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CBF1269">
      <w:pPr>
        <w:spacing w:line="360" w:lineRule="auto"/>
        <w:jc w:val="left"/>
        <w:rPr>
          <w:rFonts w:hint="eastAsia" w:ascii="宋体" w:hAnsi="宋体" w:cs="宋体"/>
          <w:b/>
          <w:bCs/>
          <w:color w:val="auto"/>
          <w:sz w:val="52"/>
          <w:szCs w:val="52"/>
          <w:highlight w:val="none"/>
          <w:lang w:eastAsia="zh-CN"/>
        </w:rPr>
        <w:sectPr>
          <w:headerReference r:id="rId3" w:type="default"/>
          <w:footerReference r:id="rId4" w:type="default"/>
          <w:pgSz w:w="11906" w:h="16838"/>
          <w:pgMar w:top="680" w:right="680" w:bottom="680" w:left="680" w:header="850" w:footer="992" w:gutter="0"/>
          <w:pgNumType w:start="1"/>
          <w:cols w:space="0" w:num="1"/>
          <w:rtlGutter w:val="0"/>
          <w:docGrid w:linePitch="312" w:charSpace="0"/>
        </w:sectPr>
      </w:pPr>
      <w:r>
        <w:rPr>
          <w:rFonts w:hint="eastAsia" w:ascii="宋体" w:hAnsi="宋体" w:cs="宋体"/>
          <w:b/>
          <w:bCs/>
          <w:color w:val="auto"/>
          <w:sz w:val="52"/>
          <w:szCs w:val="52"/>
          <w:highlight w:val="none"/>
          <w:lang w:eastAsia="zh-CN"/>
        </w:rPr>
        <w:drawing>
          <wp:inline distT="0" distB="0" distL="114300" distR="114300">
            <wp:extent cx="6532245" cy="9237980"/>
            <wp:effectExtent l="0" t="0" r="1905" b="1270"/>
            <wp:docPr id="3" name="图片 3" descr="招标文件封面-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招标文件封面-全"/>
                    <pic:cNvPicPr>
                      <a:picLocks noChangeAspect="1"/>
                    </pic:cNvPicPr>
                  </pic:nvPicPr>
                  <pic:blipFill>
                    <a:blip r:embed="rId13"/>
                    <a:stretch>
                      <a:fillRect/>
                    </a:stretch>
                  </pic:blipFill>
                  <pic:spPr>
                    <a:xfrm>
                      <a:off x="0" y="0"/>
                      <a:ext cx="6532245" cy="9237980"/>
                    </a:xfrm>
                    <a:prstGeom prst="rect">
                      <a:avLst/>
                    </a:prstGeom>
                  </pic:spPr>
                </pic:pic>
              </a:graphicData>
            </a:graphic>
          </wp:inline>
        </w:drawing>
      </w:r>
    </w:p>
    <w:p w14:paraId="6F84259D">
      <w:pPr>
        <w:pStyle w:val="2"/>
        <w:rPr>
          <w:rFonts w:hint="eastAsia"/>
          <w:lang w:eastAsia="zh-CN"/>
        </w:rPr>
      </w:pPr>
    </w:p>
    <w:p w14:paraId="766C71CE">
      <w:pPr>
        <w:spacing w:line="360" w:lineRule="auto"/>
        <w:jc w:val="center"/>
        <w:rPr>
          <w:rFonts w:hint="eastAsia" w:ascii="宋体" w:hAnsi="宋体" w:cs="宋体"/>
          <w:b/>
          <w:color w:val="auto"/>
          <w:sz w:val="44"/>
          <w:szCs w:val="44"/>
          <w:highlight w:val="none"/>
        </w:rPr>
      </w:pPr>
      <w:r>
        <w:rPr>
          <w:rFonts w:hint="eastAsia" w:ascii="宋体" w:hAnsi="宋体" w:cs="宋体"/>
          <w:b/>
          <w:color w:val="auto"/>
          <w:sz w:val="44"/>
          <w:szCs w:val="44"/>
          <w:highlight w:val="none"/>
        </w:rPr>
        <w:t>目 录</w:t>
      </w:r>
    </w:p>
    <w:p w14:paraId="44CCF3A3">
      <w:pPr>
        <w:pStyle w:val="39"/>
        <w:tabs>
          <w:tab w:val="right" w:leader="dot" w:pos="9072"/>
        </w:tabs>
        <w:rPr>
          <w:highlight w:val="none"/>
        </w:rPr>
      </w:pPr>
      <w:r>
        <w:rPr>
          <w:rFonts w:hint="eastAsia" w:ascii="宋体" w:hAnsi="宋体" w:cs="宋体"/>
          <w:color w:val="auto"/>
          <w:szCs w:val="21"/>
          <w:highlight w:val="none"/>
        </w:rPr>
        <w:fldChar w:fldCharType="begin"/>
      </w:r>
      <w:r>
        <w:rPr>
          <w:rFonts w:hint="eastAsia" w:ascii="宋体" w:hAnsi="宋体" w:cs="宋体"/>
          <w:color w:val="auto"/>
          <w:szCs w:val="21"/>
          <w:highlight w:val="none"/>
        </w:rPr>
        <w:instrText xml:space="preserve"> TOC \o "1-4" \h \z \u </w:instrText>
      </w:r>
      <w:r>
        <w:rPr>
          <w:rFonts w:hint="eastAsia" w:ascii="宋体" w:hAnsi="宋体" w:cs="宋体"/>
          <w:color w:val="auto"/>
          <w:szCs w:val="21"/>
          <w:highlight w:val="none"/>
        </w:rPr>
        <w:fldChar w:fldCharType="separate"/>
      </w: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_Toc9057 </w:instrText>
      </w:r>
      <w:r>
        <w:rPr>
          <w:rFonts w:hint="eastAsia" w:ascii="宋体" w:hAnsi="宋体" w:cs="宋体"/>
          <w:szCs w:val="21"/>
          <w:highlight w:val="none"/>
        </w:rPr>
        <w:fldChar w:fldCharType="separate"/>
      </w:r>
      <w:r>
        <w:rPr>
          <w:rFonts w:hint="eastAsia" w:ascii="宋体" w:hAnsi="宋体" w:cs="宋体"/>
          <w:szCs w:val="36"/>
          <w:highlight w:val="none"/>
        </w:rPr>
        <w:t>第一章 招标公告</w:t>
      </w:r>
      <w:r>
        <w:rPr>
          <w:highlight w:val="none"/>
        </w:rPr>
        <w:tab/>
      </w:r>
      <w:r>
        <w:rPr>
          <w:highlight w:val="none"/>
        </w:rPr>
        <w:fldChar w:fldCharType="begin"/>
      </w:r>
      <w:r>
        <w:rPr>
          <w:highlight w:val="none"/>
        </w:rPr>
        <w:instrText xml:space="preserve"> PAGEREF _Toc9057 \h </w:instrText>
      </w:r>
      <w:r>
        <w:rPr>
          <w:highlight w:val="none"/>
        </w:rPr>
        <w:fldChar w:fldCharType="separate"/>
      </w:r>
      <w:r>
        <w:rPr>
          <w:highlight w:val="none"/>
        </w:rPr>
        <w:t>4</w:t>
      </w:r>
      <w:r>
        <w:rPr>
          <w:highlight w:val="none"/>
        </w:rPr>
        <w:fldChar w:fldCharType="end"/>
      </w:r>
      <w:r>
        <w:rPr>
          <w:rFonts w:hint="eastAsia" w:ascii="宋体" w:hAnsi="宋体" w:cs="宋体"/>
          <w:color w:val="auto"/>
          <w:szCs w:val="21"/>
          <w:highlight w:val="none"/>
        </w:rPr>
        <w:fldChar w:fldCharType="end"/>
      </w:r>
    </w:p>
    <w:p w14:paraId="06D150E6">
      <w:pPr>
        <w:pStyle w:val="47"/>
        <w:tabs>
          <w:tab w:val="right" w:leader="dot" w:pos="9072"/>
        </w:tabs>
        <w:rPr>
          <w:highlight w:val="none"/>
        </w:rPr>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_Toc15788 </w:instrText>
      </w:r>
      <w:r>
        <w:rPr>
          <w:rFonts w:hint="eastAsia" w:ascii="宋体" w:hAnsi="宋体" w:cs="宋体"/>
          <w:szCs w:val="21"/>
          <w:highlight w:val="none"/>
        </w:rPr>
        <w:fldChar w:fldCharType="separate"/>
      </w:r>
      <w:r>
        <w:rPr>
          <w:rFonts w:hint="eastAsia" w:ascii="宋体" w:hAnsi="宋体" w:eastAsia="宋体" w:cs="宋体"/>
          <w:szCs w:val="24"/>
          <w:highlight w:val="none"/>
        </w:rPr>
        <w:t>1.招标条件</w:t>
      </w:r>
      <w:r>
        <w:rPr>
          <w:highlight w:val="none"/>
        </w:rPr>
        <w:tab/>
      </w:r>
      <w:r>
        <w:rPr>
          <w:highlight w:val="none"/>
        </w:rPr>
        <w:fldChar w:fldCharType="begin"/>
      </w:r>
      <w:r>
        <w:rPr>
          <w:highlight w:val="none"/>
        </w:rPr>
        <w:instrText xml:space="preserve"> PAGEREF _Toc15788 \h </w:instrText>
      </w:r>
      <w:r>
        <w:rPr>
          <w:highlight w:val="none"/>
        </w:rPr>
        <w:fldChar w:fldCharType="separate"/>
      </w:r>
      <w:r>
        <w:rPr>
          <w:highlight w:val="none"/>
        </w:rPr>
        <w:t>4</w:t>
      </w:r>
      <w:r>
        <w:rPr>
          <w:highlight w:val="none"/>
        </w:rPr>
        <w:fldChar w:fldCharType="end"/>
      </w:r>
      <w:r>
        <w:rPr>
          <w:rFonts w:hint="eastAsia" w:ascii="宋体" w:hAnsi="宋体" w:cs="宋体"/>
          <w:color w:val="auto"/>
          <w:szCs w:val="21"/>
          <w:highlight w:val="none"/>
        </w:rPr>
        <w:fldChar w:fldCharType="end"/>
      </w:r>
    </w:p>
    <w:p w14:paraId="5BDD630F">
      <w:pPr>
        <w:pStyle w:val="47"/>
        <w:tabs>
          <w:tab w:val="right" w:leader="dot" w:pos="9072"/>
        </w:tabs>
        <w:rPr>
          <w:highlight w:val="none"/>
        </w:rPr>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_Toc20489 </w:instrText>
      </w:r>
      <w:r>
        <w:rPr>
          <w:rFonts w:hint="eastAsia" w:ascii="宋体" w:hAnsi="宋体" w:cs="宋体"/>
          <w:szCs w:val="21"/>
          <w:highlight w:val="none"/>
        </w:rPr>
        <w:fldChar w:fldCharType="separate"/>
      </w:r>
      <w:r>
        <w:rPr>
          <w:rFonts w:hint="eastAsia" w:ascii="宋体" w:hAnsi="宋体" w:eastAsia="宋体" w:cs="宋体"/>
          <w:szCs w:val="24"/>
          <w:highlight w:val="none"/>
        </w:rPr>
        <w:t>2.项目概况与招标范围</w:t>
      </w:r>
      <w:r>
        <w:rPr>
          <w:highlight w:val="none"/>
        </w:rPr>
        <w:tab/>
      </w:r>
      <w:r>
        <w:rPr>
          <w:highlight w:val="none"/>
        </w:rPr>
        <w:fldChar w:fldCharType="begin"/>
      </w:r>
      <w:r>
        <w:rPr>
          <w:highlight w:val="none"/>
        </w:rPr>
        <w:instrText xml:space="preserve"> PAGEREF _Toc20489 \h </w:instrText>
      </w:r>
      <w:r>
        <w:rPr>
          <w:highlight w:val="none"/>
        </w:rPr>
        <w:fldChar w:fldCharType="separate"/>
      </w:r>
      <w:r>
        <w:rPr>
          <w:highlight w:val="none"/>
        </w:rPr>
        <w:t>4</w:t>
      </w:r>
      <w:r>
        <w:rPr>
          <w:highlight w:val="none"/>
        </w:rPr>
        <w:fldChar w:fldCharType="end"/>
      </w:r>
      <w:r>
        <w:rPr>
          <w:rFonts w:hint="eastAsia" w:ascii="宋体" w:hAnsi="宋体" w:cs="宋体"/>
          <w:color w:val="auto"/>
          <w:szCs w:val="21"/>
          <w:highlight w:val="none"/>
        </w:rPr>
        <w:fldChar w:fldCharType="end"/>
      </w:r>
    </w:p>
    <w:p w14:paraId="2B02884F">
      <w:pPr>
        <w:pStyle w:val="47"/>
        <w:tabs>
          <w:tab w:val="right" w:leader="dot" w:pos="9072"/>
        </w:tabs>
        <w:rPr>
          <w:highlight w:val="none"/>
        </w:rPr>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_Toc6567 </w:instrText>
      </w:r>
      <w:r>
        <w:rPr>
          <w:rFonts w:hint="eastAsia" w:ascii="宋体" w:hAnsi="宋体" w:cs="宋体"/>
          <w:szCs w:val="21"/>
          <w:highlight w:val="none"/>
        </w:rPr>
        <w:fldChar w:fldCharType="separate"/>
      </w:r>
      <w:r>
        <w:rPr>
          <w:rFonts w:hint="eastAsia" w:ascii="宋体" w:hAnsi="宋体" w:eastAsia="宋体" w:cs="宋体"/>
          <w:szCs w:val="24"/>
          <w:highlight w:val="none"/>
        </w:rPr>
        <w:t>3.投标人资格要求</w:t>
      </w:r>
      <w:r>
        <w:rPr>
          <w:highlight w:val="none"/>
        </w:rPr>
        <w:tab/>
      </w:r>
      <w:r>
        <w:rPr>
          <w:highlight w:val="none"/>
        </w:rPr>
        <w:fldChar w:fldCharType="begin"/>
      </w:r>
      <w:r>
        <w:rPr>
          <w:highlight w:val="none"/>
        </w:rPr>
        <w:instrText xml:space="preserve"> PAGEREF _Toc6567 \h </w:instrText>
      </w:r>
      <w:r>
        <w:rPr>
          <w:highlight w:val="none"/>
        </w:rPr>
        <w:fldChar w:fldCharType="separate"/>
      </w:r>
      <w:r>
        <w:rPr>
          <w:highlight w:val="none"/>
        </w:rPr>
        <w:t>4</w:t>
      </w:r>
      <w:r>
        <w:rPr>
          <w:highlight w:val="none"/>
        </w:rPr>
        <w:fldChar w:fldCharType="end"/>
      </w:r>
      <w:r>
        <w:rPr>
          <w:rFonts w:hint="eastAsia" w:ascii="宋体" w:hAnsi="宋体" w:cs="宋体"/>
          <w:color w:val="auto"/>
          <w:szCs w:val="21"/>
          <w:highlight w:val="none"/>
        </w:rPr>
        <w:fldChar w:fldCharType="end"/>
      </w:r>
    </w:p>
    <w:p w14:paraId="3032AF73">
      <w:pPr>
        <w:pStyle w:val="47"/>
        <w:tabs>
          <w:tab w:val="right" w:leader="dot" w:pos="9072"/>
        </w:tabs>
        <w:rPr>
          <w:highlight w:val="none"/>
        </w:rPr>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_Toc3422 </w:instrText>
      </w:r>
      <w:r>
        <w:rPr>
          <w:rFonts w:hint="eastAsia" w:ascii="宋体" w:hAnsi="宋体" w:cs="宋体"/>
          <w:szCs w:val="21"/>
          <w:highlight w:val="none"/>
        </w:rPr>
        <w:fldChar w:fldCharType="separate"/>
      </w:r>
      <w:r>
        <w:rPr>
          <w:rFonts w:hint="eastAsia" w:ascii="宋体" w:hAnsi="宋体"/>
          <w:bCs/>
          <w:szCs w:val="24"/>
          <w:highlight w:val="none"/>
        </w:rPr>
        <w:t>4.招标文件的获取</w:t>
      </w:r>
      <w:r>
        <w:rPr>
          <w:highlight w:val="none"/>
        </w:rPr>
        <w:tab/>
      </w:r>
      <w:r>
        <w:rPr>
          <w:highlight w:val="none"/>
        </w:rPr>
        <w:fldChar w:fldCharType="begin"/>
      </w:r>
      <w:r>
        <w:rPr>
          <w:highlight w:val="none"/>
        </w:rPr>
        <w:instrText xml:space="preserve"> PAGEREF _Toc3422 \h </w:instrText>
      </w:r>
      <w:r>
        <w:rPr>
          <w:highlight w:val="none"/>
        </w:rPr>
        <w:fldChar w:fldCharType="separate"/>
      </w:r>
      <w:r>
        <w:rPr>
          <w:highlight w:val="none"/>
        </w:rPr>
        <w:t>5</w:t>
      </w:r>
      <w:r>
        <w:rPr>
          <w:highlight w:val="none"/>
        </w:rPr>
        <w:fldChar w:fldCharType="end"/>
      </w:r>
      <w:r>
        <w:rPr>
          <w:rFonts w:hint="eastAsia" w:ascii="宋体" w:hAnsi="宋体" w:cs="宋体"/>
          <w:color w:val="auto"/>
          <w:szCs w:val="21"/>
          <w:highlight w:val="none"/>
        </w:rPr>
        <w:fldChar w:fldCharType="end"/>
      </w:r>
    </w:p>
    <w:p w14:paraId="7E73314C">
      <w:pPr>
        <w:pStyle w:val="47"/>
        <w:tabs>
          <w:tab w:val="right" w:leader="dot" w:pos="9072"/>
        </w:tabs>
        <w:rPr>
          <w:highlight w:val="none"/>
        </w:rPr>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_Toc2165 </w:instrText>
      </w:r>
      <w:r>
        <w:rPr>
          <w:rFonts w:hint="eastAsia" w:ascii="宋体" w:hAnsi="宋体" w:cs="宋体"/>
          <w:szCs w:val="21"/>
          <w:highlight w:val="none"/>
        </w:rPr>
        <w:fldChar w:fldCharType="separate"/>
      </w:r>
      <w:r>
        <w:rPr>
          <w:rFonts w:hint="eastAsia" w:ascii="宋体" w:hAnsi="宋体" w:eastAsia="宋体"/>
          <w:szCs w:val="24"/>
          <w:highlight w:val="none"/>
        </w:rPr>
        <w:t>5.投标文件的递交</w:t>
      </w:r>
      <w:r>
        <w:rPr>
          <w:highlight w:val="none"/>
        </w:rPr>
        <w:tab/>
      </w:r>
      <w:r>
        <w:rPr>
          <w:highlight w:val="none"/>
        </w:rPr>
        <w:fldChar w:fldCharType="begin"/>
      </w:r>
      <w:r>
        <w:rPr>
          <w:highlight w:val="none"/>
        </w:rPr>
        <w:instrText xml:space="preserve"> PAGEREF _Toc2165 \h </w:instrText>
      </w:r>
      <w:r>
        <w:rPr>
          <w:highlight w:val="none"/>
        </w:rPr>
        <w:fldChar w:fldCharType="separate"/>
      </w:r>
      <w:r>
        <w:rPr>
          <w:highlight w:val="none"/>
        </w:rPr>
        <w:t>5</w:t>
      </w:r>
      <w:r>
        <w:rPr>
          <w:highlight w:val="none"/>
        </w:rPr>
        <w:fldChar w:fldCharType="end"/>
      </w:r>
      <w:r>
        <w:rPr>
          <w:rFonts w:hint="eastAsia" w:ascii="宋体" w:hAnsi="宋体" w:cs="宋体"/>
          <w:color w:val="auto"/>
          <w:szCs w:val="21"/>
          <w:highlight w:val="none"/>
        </w:rPr>
        <w:fldChar w:fldCharType="end"/>
      </w:r>
    </w:p>
    <w:p w14:paraId="79D6A4C2">
      <w:pPr>
        <w:pStyle w:val="47"/>
        <w:tabs>
          <w:tab w:val="right" w:leader="dot" w:pos="9072"/>
        </w:tabs>
        <w:rPr>
          <w:highlight w:val="none"/>
        </w:rPr>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_Toc31914 </w:instrText>
      </w:r>
      <w:r>
        <w:rPr>
          <w:rFonts w:hint="eastAsia" w:ascii="宋体" w:hAnsi="宋体" w:cs="宋体"/>
          <w:szCs w:val="21"/>
          <w:highlight w:val="none"/>
        </w:rPr>
        <w:fldChar w:fldCharType="separate"/>
      </w:r>
      <w:r>
        <w:rPr>
          <w:rFonts w:hint="eastAsia" w:ascii="宋体" w:hAnsi="宋体" w:eastAsia="宋体"/>
          <w:szCs w:val="24"/>
          <w:highlight w:val="none"/>
        </w:rPr>
        <w:t>6.发布公告的媒介</w:t>
      </w:r>
      <w:r>
        <w:rPr>
          <w:highlight w:val="none"/>
        </w:rPr>
        <w:tab/>
      </w:r>
      <w:r>
        <w:rPr>
          <w:highlight w:val="none"/>
        </w:rPr>
        <w:fldChar w:fldCharType="begin"/>
      </w:r>
      <w:r>
        <w:rPr>
          <w:highlight w:val="none"/>
        </w:rPr>
        <w:instrText xml:space="preserve"> PAGEREF _Toc31914 \h </w:instrText>
      </w:r>
      <w:r>
        <w:rPr>
          <w:highlight w:val="none"/>
        </w:rPr>
        <w:fldChar w:fldCharType="separate"/>
      </w:r>
      <w:r>
        <w:rPr>
          <w:highlight w:val="none"/>
        </w:rPr>
        <w:t>6</w:t>
      </w:r>
      <w:r>
        <w:rPr>
          <w:highlight w:val="none"/>
        </w:rPr>
        <w:fldChar w:fldCharType="end"/>
      </w:r>
      <w:r>
        <w:rPr>
          <w:rFonts w:hint="eastAsia" w:ascii="宋体" w:hAnsi="宋体" w:cs="宋体"/>
          <w:color w:val="auto"/>
          <w:szCs w:val="21"/>
          <w:highlight w:val="none"/>
        </w:rPr>
        <w:fldChar w:fldCharType="end"/>
      </w:r>
    </w:p>
    <w:p w14:paraId="39BC25A3">
      <w:pPr>
        <w:pStyle w:val="47"/>
        <w:tabs>
          <w:tab w:val="right" w:leader="dot" w:pos="9072"/>
        </w:tabs>
        <w:rPr>
          <w:highlight w:val="none"/>
        </w:rPr>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_Toc30475 </w:instrText>
      </w:r>
      <w:r>
        <w:rPr>
          <w:rFonts w:hint="eastAsia" w:ascii="宋体" w:hAnsi="宋体" w:cs="宋体"/>
          <w:szCs w:val="21"/>
          <w:highlight w:val="none"/>
        </w:rPr>
        <w:fldChar w:fldCharType="separate"/>
      </w:r>
      <w:r>
        <w:rPr>
          <w:rFonts w:hint="eastAsia" w:ascii="宋体" w:hAnsi="宋体" w:eastAsia="宋体"/>
          <w:szCs w:val="24"/>
          <w:highlight w:val="none"/>
        </w:rPr>
        <w:t>7.联系方式</w:t>
      </w:r>
      <w:r>
        <w:rPr>
          <w:highlight w:val="none"/>
        </w:rPr>
        <w:tab/>
      </w:r>
      <w:r>
        <w:rPr>
          <w:highlight w:val="none"/>
        </w:rPr>
        <w:fldChar w:fldCharType="begin"/>
      </w:r>
      <w:r>
        <w:rPr>
          <w:highlight w:val="none"/>
        </w:rPr>
        <w:instrText xml:space="preserve"> PAGEREF _Toc30475 \h </w:instrText>
      </w:r>
      <w:r>
        <w:rPr>
          <w:highlight w:val="none"/>
        </w:rPr>
        <w:fldChar w:fldCharType="separate"/>
      </w:r>
      <w:r>
        <w:rPr>
          <w:highlight w:val="none"/>
        </w:rPr>
        <w:t>6</w:t>
      </w:r>
      <w:r>
        <w:rPr>
          <w:highlight w:val="none"/>
        </w:rPr>
        <w:fldChar w:fldCharType="end"/>
      </w:r>
      <w:r>
        <w:rPr>
          <w:rFonts w:hint="eastAsia" w:ascii="宋体" w:hAnsi="宋体" w:cs="宋体"/>
          <w:color w:val="auto"/>
          <w:szCs w:val="21"/>
          <w:highlight w:val="none"/>
        </w:rPr>
        <w:fldChar w:fldCharType="end"/>
      </w:r>
    </w:p>
    <w:p w14:paraId="4D1E397E">
      <w:pPr>
        <w:pStyle w:val="39"/>
        <w:tabs>
          <w:tab w:val="right" w:leader="dot" w:pos="9072"/>
        </w:tabs>
        <w:rPr>
          <w:highlight w:val="none"/>
        </w:rPr>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_Toc24767 </w:instrText>
      </w:r>
      <w:r>
        <w:rPr>
          <w:rFonts w:hint="eastAsia" w:ascii="宋体" w:hAnsi="宋体" w:cs="宋体"/>
          <w:szCs w:val="21"/>
          <w:highlight w:val="none"/>
        </w:rPr>
        <w:fldChar w:fldCharType="separate"/>
      </w:r>
      <w:r>
        <w:rPr>
          <w:rFonts w:hint="eastAsia" w:ascii="宋体" w:hAnsi="宋体" w:cs="宋体"/>
          <w:szCs w:val="36"/>
          <w:highlight w:val="none"/>
        </w:rPr>
        <w:t>第二章 投标人须知</w:t>
      </w:r>
      <w:r>
        <w:rPr>
          <w:highlight w:val="none"/>
        </w:rPr>
        <w:tab/>
      </w:r>
      <w:r>
        <w:rPr>
          <w:highlight w:val="none"/>
        </w:rPr>
        <w:fldChar w:fldCharType="begin"/>
      </w:r>
      <w:r>
        <w:rPr>
          <w:highlight w:val="none"/>
        </w:rPr>
        <w:instrText xml:space="preserve"> PAGEREF _Toc24767 \h </w:instrText>
      </w:r>
      <w:r>
        <w:rPr>
          <w:highlight w:val="none"/>
        </w:rPr>
        <w:fldChar w:fldCharType="separate"/>
      </w:r>
      <w:r>
        <w:rPr>
          <w:highlight w:val="none"/>
        </w:rPr>
        <w:t>7</w:t>
      </w:r>
      <w:r>
        <w:rPr>
          <w:highlight w:val="none"/>
        </w:rPr>
        <w:fldChar w:fldCharType="end"/>
      </w:r>
      <w:r>
        <w:rPr>
          <w:rFonts w:hint="eastAsia" w:ascii="宋体" w:hAnsi="宋体" w:cs="宋体"/>
          <w:color w:val="auto"/>
          <w:szCs w:val="21"/>
          <w:highlight w:val="none"/>
        </w:rPr>
        <w:fldChar w:fldCharType="end"/>
      </w:r>
    </w:p>
    <w:p w14:paraId="258ECC74">
      <w:pPr>
        <w:pStyle w:val="47"/>
        <w:tabs>
          <w:tab w:val="right" w:leader="dot" w:pos="9072"/>
        </w:tabs>
        <w:rPr>
          <w:highlight w:val="none"/>
        </w:rPr>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_Toc15624 </w:instrText>
      </w:r>
      <w:r>
        <w:rPr>
          <w:rFonts w:hint="eastAsia" w:ascii="宋体" w:hAnsi="宋体" w:cs="宋体"/>
          <w:szCs w:val="21"/>
          <w:highlight w:val="none"/>
        </w:rPr>
        <w:fldChar w:fldCharType="separate"/>
      </w:r>
      <w:r>
        <w:rPr>
          <w:rFonts w:hint="eastAsia" w:ascii="宋体" w:hAnsi="宋体" w:eastAsia="宋体" w:cs="宋体"/>
          <w:highlight w:val="none"/>
        </w:rPr>
        <w:t>一、投标人须知前附表</w:t>
      </w:r>
      <w:r>
        <w:rPr>
          <w:highlight w:val="none"/>
        </w:rPr>
        <w:tab/>
      </w:r>
      <w:r>
        <w:rPr>
          <w:highlight w:val="none"/>
        </w:rPr>
        <w:fldChar w:fldCharType="begin"/>
      </w:r>
      <w:r>
        <w:rPr>
          <w:highlight w:val="none"/>
        </w:rPr>
        <w:instrText xml:space="preserve"> PAGEREF _Toc15624 \h </w:instrText>
      </w:r>
      <w:r>
        <w:rPr>
          <w:highlight w:val="none"/>
        </w:rPr>
        <w:fldChar w:fldCharType="separate"/>
      </w:r>
      <w:r>
        <w:rPr>
          <w:highlight w:val="none"/>
        </w:rPr>
        <w:t>7</w:t>
      </w:r>
      <w:r>
        <w:rPr>
          <w:highlight w:val="none"/>
        </w:rPr>
        <w:fldChar w:fldCharType="end"/>
      </w:r>
      <w:r>
        <w:rPr>
          <w:rFonts w:hint="eastAsia" w:ascii="宋体" w:hAnsi="宋体" w:cs="宋体"/>
          <w:color w:val="auto"/>
          <w:szCs w:val="21"/>
          <w:highlight w:val="none"/>
        </w:rPr>
        <w:fldChar w:fldCharType="end"/>
      </w:r>
    </w:p>
    <w:p w14:paraId="3CAC8869">
      <w:pPr>
        <w:pStyle w:val="47"/>
        <w:tabs>
          <w:tab w:val="right" w:leader="dot" w:pos="9072"/>
        </w:tabs>
        <w:rPr>
          <w:highlight w:val="none"/>
        </w:rPr>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_Toc6273 </w:instrText>
      </w:r>
      <w:r>
        <w:rPr>
          <w:rFonts w:hint="eastAsia" w:ascii="宋体" w:hAnsi="宋体" w:cs="宋体"/>
          <w:szCs w:val="21"/>
          <w:highlight w:val="none"/>
        </w:rPr>
        <w:fldChar w:fldCharType="separate"/>
      </w:r>
      <w:r>
        <w:rPr>
          <w:rFonts w:hint="eastAsia" w:ascii="宋体" w:hAnsi="宋体" w:eastAsia="宋体" w:cs="宋体"/>
          <w:highlight w:val="none"/>
        </w:rPr>
        <w:t>二、投标人须知正文部分</w:t>
      </w:r>
      <w:r>
        <w:rPr>
          <w:highlight w:val="none"/>
        </w:rPr>
        <w:tab/>
      </w:r>
      <w:r>
        <w:rPr>
          <w:highlight w:val="none"/>
        </w:rPr>
        <w:fldChar w:fldCharType="begin"/>
      </w:r>
      <w:r>
        <w:rPr>
          <w:highlight w:val="none"/>
        </w:rPr>
        <w:instrText xml:space="preserve"> PAGEREF _Toc6273 \h </w:instrText>
      </w:r>
      <w:r>
        <w:rPr>
          <w:highlight w:val="none"/>
        </w:rPr>
        <w:fldChar w:fldCharType="separate"/>
      </w:r>
      <w:r>
        <w:rPr>
          <w:highlight w:val="none"/>
        </w:rPr>
        <w:t>14</w:t>
      </w:r>
      <w:r>
        <w:rPr>
          <w:highlight w:val="none"/>
        </w:rPr>
        <w:fldChar w:fldCharType="end"/>
      </w:r>
      <w:r>
        <w:rPr>
          <w:rFonts w:hint="eastAsia" w:ascii="宋体" w:hAnsi="宋体" w:cs="宋体"/>
          <w:color w:val="auto"/>
          <w:szCs w:val="21"/>
          <w:highlight w:val="none"/>
        </w:rPr>
        <w:fldChar w:fldCharType="end"/>
      </w:r>
    </w:p>
    <w:p w14:paraId="170F2C2F">
      <w:pPr>
        <w:pStyle w:val="30"/>
        <w:tabs>
          <w:tab w:val="right" w:leader="dot" w:pos="9072"/>
        </w:tabs>
        <w:rPr>
          <w:highlight w:val="none"/>
        </w:rPr>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_Toc26058 </w:instrText>
      </w:r>
      <w:r>
        <w:rPr>
          <w:rFonts w:hint="eastAsia" w:ascii="宋体" w:hAnsi="宋体" w:cs="宋体"/>
          <w:szCs w:val="21"/>
          <w:highlight w:val="none"/>
        </w:rPr>
        <w:fldChar w:fldCharType="separate"/>
      </w:r>
      <w:r>
        <w:rPr>
          <w:rFonts w:hint="eastAsia" w:ascii="宋体" w:hAnsi="宋体" w:cs="宋体"/>
          <w:szCs w:val="24"/>
          <w:highlight w:val="none"/>
        </w:rPr>
        <w:t>1 ．总则</w:t>
      </w:r>
      <w:r>
        <w:rPr>
          <w:highlight w:val="none"/>
        </w:rPr>
        <w:tab/>
      </w:r>
      <w:r>
        <w:rPr>
          <w:highlight w:val="none"/>
        </w:rPr>
        <w:fldChar w:fldCharType="begin"/>
      </w:r>
      <w:r>
        <w:rPr>
          <w:highlight w:val="none"/>
        </w:rPr>
        <w:instrText xml:space="preserve"> PAGEREF _Toc26058 \h </w:instrText>
      </w:r>
      <w:r>
        <w:rPr>
          <w:highlight w:val="none"/>
        </w:rPr>
        <w:fldChar w:fldCharType="separate"/>
      </w:r>
      <w:r>
        <w:rPr>
          <w:highlight w:val="none"/>
        </w:rPr>
        <w:t>14</w:t>
      </w:r>
      <w:r>
        <w:rPr>
          <w:highlight w:val="none"/>
        </w:rPr>
        <w:fldChar w:fldCharType="end"/>
      </w:r>
      <w:r>
        <w:rPr>
          <w:rFonts w:hint="eastAsia" w:ascii="宋体" w:hAnsi="宋体" w:cs="宋体"/>
          <w:color w:val="auto"/>
          <w:szCs w:val="21"/>
          <w:highlight w:val="none"/>
        </w:rPr>
        <w:fldChar w:fldCharType="end"/>
      </w:r>
    </w:p>
    <w:p w14:paraId="597322B2">
      <w:pPr>
        <w:pStyle w:val="40"/>
        <w:tabs>
          <w:tab w:val="right" w:leader="dot" w:pos="9072"/>
        </w:tabs>
        <w:rPr>
          <w:highlight w:val="none"/>
        </w:rPr>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_Toc3270 </w:instrText>
      </w:r>
      <w:r>
        <w:rPr>
          <w:rFonts w:hint="eastAsia" w:ascii="宋体" w:hAnsi="宋体" w:cs="宋体"/>
          <w:szCs w:val="21"/>
          <w:highlight w:val="none"/>
        </w:rPr>
        <w:fldChar w:fldCharType="separate"/>
      </w:r>
      <w:r>
        <w:rPr>
          <w:rFonts w:hint="eastAsia" w:ascii="宋体" w:hAnsi="宋体" w:cs="宋体"/>
          <w:szCs w:val="21"/>
          <w:highlight w:val="none"/>
        </w:rPr>
        <w:t>1.1 项目概况</w:t>
      </w:r>
      <w:r>
        <w:rPr>
          <w:highlight w:val="none"/>
        </w:rPr>
        <w:tab/>
      </w:r>
      <w:r>
        <w:rPr>
          <w:highlight w:val="none"/>
        </w:rPr>
        <w:fldChar w:fldCharType="begin"/>
      </w:r>
      <w:r>
        <w:rPr>
          <w:highlight w:val="none"/>
        </w:rPr>
        <w:instrText xml:space="preserve"> PAGEREF _Toc3270 \h </w:instrText>
      </w:r>
      <w:r>
        <w:rPr>
          <w:highlight w:val="none"/>
        </w:rPr>
        <w:fldChar w:fldCharType="separate"/>
      </w:r>
      <w:r>
        <w:rPr>
          <w:highlight w:val="none"/>
        </w:rPr>
        <w:t>14</w:t>
      </w:r>
      <w:r>
        <w:rPr>
          <w:highlight w:val="none"/>
        </w:rPr>
        <w:fldChar w:fldCharType="end"/>
      </w:r>
      <w:r>
        <w:rPr>
          <w:rFonts w:hint="eastAsia" w:ascii="宋体" w:hAnsi="宋体" w:cs="宋体"/>
          <w:color w:val="auto"/>
          <w:szCs w:val="21"/>
          <w:highlight w:val="none"/>
        </w:rPr>
        <w:fldChar w:fldCharType="end"/>
      </w:r>
    </w:p>
    <w:p w14:paraId="26DC7664">
      <w:pPr>
        <w:pStyle w:val="40"/>
        <w:tabs>
          <w:tab w:val="right" w:leader="dot" w:pos="9072"/>
        </w:tabs>
        <w:rPr>
          <w:highlight w:val="none"/>
        </w:rPr>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_Toc8571 </w:instrText>
      </w:r>
      <w:r>
        <w:rPr>
          <w:rFonts w:hint="eastAsia" w:ascii="宋体" w:hAnsi="宋体" w:cs="宋体"/>
          <w:szCs w:val="21"/>
          <w:highlight w:val="none"/>
        </w:rPr>
        <w:fldChar w:fldCharType="separate"/>
      </w:r>
      <w:r>
        <w:rPr>
          <w:rFonts w:hint="eastAsia" w:ascii="宋体" w:hAnsi="宋体" w:cs="宋体"/>
          <w:szCs w:val="21"/>
          <w:highlight w:val="none"/>
        </w:rPr>
        <w:t>1.2 资金来源、出资比例和资金落实情况</w:t>
      </w:r>
      <w:r>
        <w:rPr>
          <w:highlight w:val="none"/>
        </w:rPr>
        <w:tab/>
      </w:r>
      <w:r>
        <w:rPr>
          <w:highlight w:val="none"/>
        </w:rPr>
        <w:fldChar w:fldCharType="begin"/>
      </w:r>
      <w:r>
        <w:rPr>
          <w:highlight w:val="none"/>
        </w:rPr>
        <w:instrText xml:space="preserve"> PAGEREF _Toc8571 \h </w:instrText>
      </w:r>
      <w:r>
        <w:rPr>
          <w:highlight w:val="none"/>
        </w:rPr>
        <w:fldChar w:fldCharType="separate"/>
      </w:r>
      <w:r>
        <w:rPr>
          <w:highlight w:val="none"/>
        </w:rPr>
        <w:t>14</w:t>
      </w:r>
      <w:r>
        <w:rPr>
          <w:highlight w:val="none"/>
        </w:rPr>
        <w:fldChar w:fldCharType="end"/>
      </w:r>
      <w:r>
        <w:rPr>
          <w:rFonts w:hint="eastAsia" w:ascii="宋体" w:hAnsi="宋体" w:cs="宋体"/>
          <w:color w:val="auto"/>
          <w:szCs w:val="21"/>
          <w:highlight w:val="none"/>
        </w:rPr>
        <w:fldChar w:fldCharType="end"/>
      </w:r>
    </w:p>
    <w:p w14:paraId="6931555D">
      <w:pPr>
        <w:pStyle w:val="40"/>
        <w:tabs>
          <w:tab w:val="right" w:leader="dot" w:pos="9072"/>
        </w:tabs>
        <w:rPr>
          <w:highlight w:val="none"/>
        </w:rPr>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_Toc25553 </w:instrText>
      </w:r>
      <w:r>
        <w:rPr>
          <w:rFonts w:hint="eastAsia" w:ascii="宋体" w:hAnsi="宋体" w:cs="宋体"/>
          <w:szCs w:val="21"/>
          <w:highlight w:val="none"/>
        </w:rPr>
        <w:fldChar w:fldCharType="separate"/>
      </w:r>
      <w:r>
        <w:rPr>
          <w:rFonts w:hint="eastAsia" w:ascii="宋体" w:hAnsi="宋体" w:cs="宋体"/>
          <w:szCs w:val="21"/>
          <w:highlight w:val="none"/>
        </w:rPr>
        <w:t>1.3 招标范围、标段划分、</w:t>
      </w:r>
      <w:r>
        <w:rPr>
          <w:rFonts w:hint="eastAsia" w:ascii="宋体" w:hAnsi="宋体" w:cs="宋体"/>
          <w:szCs w:val="21"/>
          <w:highlight w:val="none"/>
          <w:lang w:eastAsia="zh-CN"/>
        </w:rPr>
        <w:t>服务期限</w:t>
      </w:r>
      <w:r>
        <w:rPr>
          <w:rFonts w:hint="eastAsia" w:ascii="宋体" w:hAnsi="宋体" w:cs="宋体"/>
          <w:szCs w:val="21"/>
          <w:highlight w:val="none"/>
          <w:lang w:val="en-US" w:eastAsia="zh-CN"/>
        </w:rPr>
        <w:t>和</w:t>
      </w:r>
      <w:r>
        <w:rPr>
          <w:rFonts w:hint="eastAsia" w:ascii="宋体" w:hAnsi="宋体" w:cs="宋体"/>
          <w:szCs w:val="21"/>
          <w:highlight w:val="none"/>
        </w:rPr>
        <w:t>质量</w:t>
      </w:r>
      <w:r>
        <w:rPr>
          <w:rFonts w:hint="eastAsia" w:ascii="宋体" w:hAnsi="宋体" w:cs="宋体"/>
          <w:szCs w:val="21"/>
          <w:highlight w:val="none"/>
          <w:lang w:val="en-US" w:eastAsia="zh-CN"/>
        </w:rPr>
        <w:t>要求</w:t>
      </w:r>
      <w:r>
        <w:rPr>
          <w:highlight w:val="none"/>
        </w:rPr>
        <w:tab/>
      </w:r>
      <w:r>
        <w:rPr>
          <w:highlight w:val="none"/>
        </w:rPr>
        <w:fldChar w:fldCharType="begin"/>
      </w:r>
      <w:r>
        <w:rPr>
          <w:highlight w:val="none"/>
        </w:rPr>
        <w:instrText xml:space="preserve"> PAGEREF _Toc25553 \h </w:instrText>
      </w:r>
      <w:r>
        <w:rPr>
          <w:highlight w:val="none"/>
        </w:rPr>
        <w:fldChar w:fldCharType="separate"/>
      </w:r>
      <w:r>
        <w:rPr>
          <w:highlight w:val="none"/>
        </w:rPr>
        <w:t>14</w:t>
      </w:r>
      <w:r>
        <w:rPr>
          <w:highlight w:val="none"/>
        </w:rPr>
        <w:fldChar w:fldCharType="end"/>
      </w:r>
      <w:r>
        <w:rPr>
          <w:rFonts w:hint="eastAsia" w:ascii="宋体" w:hAnsi="宋体" w:cs="宋体"/>
          <w:color w:val="auto"/>
          <w:szCs w:val="21"/>
          <w:highlight w:val="none"/>
        </w:rPr>
        <w:fldChar w:fldCharType="end"/>
      </w:r>
    </w:p>
    <w:p w14:paraId="01532082">
      <w:pPr>
        <w:pStyle w:val="40"/>
        <w:tabs>
          <w:tab w:val="right" w:leader="dot" w:pos="9072"/>
        </w:tabs>
        <w:rPr>
          <w:highlight w:val="none"/>
        </w:rPr>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_Toc797 </w:instrText>
      </w:r>
      <w:r>
        <w:rPr>
          <w:rFonts w:hint="eastAsia" w:ascii="宋体" w:hAnsi="宋体" w:cs="宋体"/>
          <w:szCs w:val="21"/>
          <w:highlight w:val="none"/>
        </w:rPr>
        <w:fldChar w:fldCharType="separate"/>
      </w:r>
      <w:r>
        <w:rPr>
          <w:rFonts w:hint="eastAsia" w:ascii="宋体" w:hAnsi="宋体" w:cs="宋体"/>
          <w:szCs w:val="21"/>
          <w:highlight w:val="none"/>
        </w:rPr>
        <w:t>1.4 投标人资格要求</w:t>
      </w:r>
      <w:r>
        <w:rPr>
          <w:highlight w:val="none"/>
        </w:rPr>
        <w:tab/>
      </w:r>
      <w:r>
        <w:rPr>
          <w:highlight w:val="none"/>
        </w:rPr>
        <w:fldChar w:fldCharType="begin"/>
      </w:r>
      <w:r>
        <w:rPr>
          <w:highlight w:val="none"/>
        </w:rPr>
        <w:instrText xml:space="preserve"> PAGEREF _Toc797 \h </w:instrText>
      </w:r>
      <w:r>
        <w:rPr>
          <w:highlight w:val="none"/>
        </w:rPr>
        <w:fldChar w:fldCharType="separate"/>
      </w:r>
      <w:r>
        <w:rPr>
          <w:highlight w:val="none"/>
        </w:rPr>
        <w:t>14</w:t>
      </w:r>
      <w:r>
        <w:rPr>
          <w:highlight w:val="none"/>
        </w:rPr>
        <w:fldChar w:fldCharType="end"/>
      </w:r>
      <w:r>
        <w:rPr>
          <w:rFonts w:hint="eastAsia" w:ascii="宋体" w:hAnsi="宋体" w:cs="宋体"/>
          <w:color w:val="auto"/>
          <w:szCs w:val="21"/>
          <w:highlight w:val="none"/>
        </w:rPr>
        <w:fldChar w:fldCharType="end"/>
      </w:r>
    </w:p>
    <w:p w14:paraId="35B89CDD">
      <w:pPr>
        <w:pStyle w:val="40"/>
        <w:tabs>
          <w:tab w:val="right" w:leader="dot" w:pos="9072"/>
        </w:tabs>
        <w:rPr>
          <w:highlight w:val="none"/>
        </w:rPr>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_Toc31553 </w:instrText>
      </w:r>
      <w:r>
        <w:rPr>
          <w:rFonts w:hint="eastAsia" w:ascii="宋体" w:hAnsi="宋体" w:cs="宋体"/>
          <w:szCs w:val="21"/>
          <w:highlight w:val="none"/>
        </w:rPr>
        <w:fldChar w:fldCharType="separate"/>
      </w:r>
      <w:r>
        <w:rPr>
          <w:rFonts w:hint="eastAsia" w:ascii="宋体" w:hAnsi="宋体" w:cs="宋体"/>
          <w:szCs w:val="21"/>
          <w:highlight w:val="none"/>
        </w:rPr>
        <w:t>1.5 费用承担</w:t>
      </w:r>
      <w:r>
        <w:rPr>
          <w:highlight w:val="none"/>
        </w:rPr>
        <w:tab/>
      </w:r>
      <w:r>
        <w:rPr>
          <w:highlight w:val="none"/>
        </w:rPr>
        <w:fldChar w:fldCharType="begin"/>
      </w:r>
      <w:r>
        <w:rPr>
          <w:highlight w:val="none"/>
        </w:rPr>
        <w:instrText xml:space="preserve"> PAGEREF _Toc31553 \h </w:instrText>
      </w:r>
      <w:r>
        <w:rPr>
          <w:highlight w:val="none"/>
        </w:rPr>
        <w:fldChar w:fldCharType="separate"/>
      </w:r>
      <w:r>
        <w:rPr>
          <w:highlight w:val="none"/>
        </w:rPr>
        <w:t>15</w:t>
      </w:r>
      <w:r>
        <w:rPr>
          <w:highlight w:val="none"/>
        </w:rPr>
        <w:fldChar w:fldCharType="end"/>
      </w:r>
      <w:r>
        <w:rPr>
          <w:rFonts w:hint="eastAsia" w:ascii="宋体" w:hAnsi="宋体" w:cs="宋体"/>
          <w:color w:val="auto"/>
          <w:szCs w:val="21"/>
          <w:highlight w:val="none"/>
        </w:rPr>
        <w:fldChar w:fldCharType="end"/>
      </w:r>
    </w:p>
    <w:p w14:paraId="31B408F4">
      <w:pPr>
        <w:pStyle w:val="40"/>
        <w:tabs>
          <w:tab w:val="right" w:leader="dot" w:pos="9072"/>
        </w:tabs>
        <w:rPr>
          <w:highlight w:val="none"/>
        </w:rPr>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_Toc13807 </w:instrText>
      </w:r>
      <w:r>
        <w:rPr>
          <w:rFonts w:hint="eastAsia" w:ascii="宋体" w:hAnsi="宋体" w:cs="宋体"/>
          <w:szCs w:val="21"/>
          <w:highlight w:val="none"/>
        </w:rPr>
        <w:fldChar w:fldCharType="separate"/>
      </w:r>
      <w:r>
        <w:rPr>
          <w:rFonts w:hint="eastAsia" w:ascii="宋体" w:hAnsi="宋体" w:cs="宋体"/>
          <w:szCs w:val="21"/>
          <w:highlight w:val="none"/>
        </w:rPr>
        <w:t>1.6 保密</w:t>
      </w:r>
      <w:r>
        <w:rPr>
          <w:highlight w:val="none"/>
        </w:rPr>
        <w:tab/>
      </w:r>
      <w:r>
        <w:rPr>
          <w:highlight w:val="none"/>
        </w:rPr>
        <w:fldChar w:fldCharType="begin"/>
      </w:r>
      <w:r>
        <w:rPr>
          <w:highlight w:val="none"/>
        </w:rPr>
        <w:instrText xml:space="preserve"> PAGEREF _Toc13807 \h </w:instrText>
      </w:r>
      <w:r>
        <w:rPr>
          <w:highlight w:val="none"/>
        </w:rPr>
        <w:fldChar w:fldCharType="separate"/>
      </w:r>
      <w:r>
        <w:rPr>
          <w:highlight w:val="none"/>
        </w:rPr>
        <w:t>15</w:t>
      </w:r>
      <w:r>
        <w:rPr>
          <w:highlight w:val="none"/>
        </w:rPr>
        <w:fldChar w:fldCharType="end"/>
      </w:r>
      <w:r>
        <w:rPr>
          <w:rFonts w:hint="eastAsia" w:ascii="宋体" w:hAnsi="宋体" w:cs="宋体"/>
          <w:color w:val="auto"/>
          <w:szCs w:val="21"/>
          <w:highlight w:val="none"/>
        </w:rPr>
        <w:fldChar w:fldCharType="end"/>
      </w:r>
    </w:p>
    <w:p w14:paraId="46863248">
      <w:pPr>
        <w:pStyle w:val="40"/>
        <w:tabs>
          <w:tab w:val="right" w:leader="dot" w:pos="9072"/>
        </w:tabs>
        <w:rPr>
          <w:highlight w:val="none"/>
        </w:rPr>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_Toc27913 </w:instrText>
      </w:r>
      <w:r>
        <w:rPr>
          <w:rFonts w:hint="eastAsia" w:ascii="宋体" w:hAnsi="宋体" w:cs="宋体"/>
          <w:szCs w:val="21"/>
          <w:highlight w:val="none"/>
        </w:rPr>
        <w:fldChar w:fldCharType="separate"/>
      </w:r>
      <w:r>
        <w:rPr>
          <w:rFonts w:hint="eastAsia" w:ascii="宋体" w:hAnsi="宋体" w:cs="宋体"/>
          <w:szCs w:val="21"/>
          <w:highlight w:val="none"/>
        </w:rPr>
        <w:t>1.7 语言文字</w:t>
      </w:r>
      <w:r>
        <w:rPr>
          <w:highlight w:val="none"/>
        </w:rPr>
        <w:tab/>
      </w:r>
      <w:r>
        <w:rPr>
          <w:highlight w:val="none"/>
        </w:rPr>
        <w:fldChar w:fldCharType="begin"/>
      </w:r>
      <w:r>
        <w:rPr>
          <w:highlight w:val="none"/>
        </w:rPr>
        <w:instrText xml:space="preserve"> PAGEREF _Toc27913 \h </w:instrText>
      </w:r>
      <w:r>
        <w:rPr>
          <w:highlight w:val="none"/>
        </w:rPr>
        <w:fldChar w:fldCharType="separate"/>
      </w:r>
      <w:r>
        <w:rPr>
          <w:highlight w:val="none"/>
        </w:rPr>
        <w:t>15</w:t>
      </w:r>
      <w:r>
        <w:rPr>
          <w:highlight w:val="none"/>
        </w:rPr>
        <w:fldChar w:fldCharType="end"/>
      </w:r>
      <w:r>
        <w:rPr>
          <w:rFonts w:hint="eastAsia" w:ascii="宋体" w:hAnsi="宋体" w:cs="宋体"/>
          <w:color w:val="auto"/>
          <w:szCs w:val="21"/>
          <w:highlight w:val="none"/>
        </w:rPr>
        <w:fldChar w:fldCharType="end"/>
      </w:r>
    </w:p>
    <w:p w14:paraId="52202E26">
      <w:pPr>
        <w:pStyle w:val="40"/>
        <w:tabs>
          <w:tab w:val="right" w:leader="dot" w:pos="9072"/>
        </w:tabs>
        <w:rPr>
          <w:highlight w:val="none"/>
        </w:rPr>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_Toc24829 </w:instrText>
      </w:r>
      <w:r>
        <w:rPr>
          <w:rFonts w:hint="eastAsia" w:ascii="宋体" w:hAnsi="宋体" w:cs="宋体"/>
          <w:szCs w:val="21"/>
          <w:highlight w:val="none"/>
        </w:rPr>
        <w:fldChar w:fldCharType="separate"/>
      </w:r>
      <w:r>
        <w:rPr>
          <w:rFonts w:hint="eastAsia" w:ascii="宋体" w:hAnsi="宋体" w:cs="宋体"/>
          <w:szCs w:val="21"/>
          <w:highlight w:val="none"/>
        </w:rPr>
        <w:t>1.8 计量单位</w:t>
      </w:r>
      <w:r>
        <w:rPr>
          <w:highlight w:val="none"/>
        </w:rPr>
        <w:tab/>
      </w:r>
      <w:r>
        <w:rPr>
          <w:highlight w:val="none"/>
        </w:rPr>
        <w:fldChar w:fldCharType="begin"/>
      </w:r>
      <w:r>
        <w:rPr>
          <w:highlight w:val="none"/>
        </w:rPr>
        <w:instrText xml:space="preserve"> PAGEREF _Toc24829 \h </w:instrText>
      </w:r>
      <w:r>
        <w:rPr>
          <w:highlight w:val="none"/>
        </w:rPr>
        <w:fldChar w:fldCharType="separate"/>
      </w:r>
      <w:r>
        <w:rPr>
          <w:highlight w:val="none"/>
        </w:rPr>
        <w:t>15</w:t>
      </w:r>
      <w:r>
        <w:rPr>
          <w:highlight w:val="none"/>
        </w:rPr>
        <w:fldChar w:fldCharType="end"/>
      </w:r>
      <w:r>
        <w:rPr>
          <w:rFonts w:hint="eastAsia" w:ascii="宋体" w:hAnsi="宋体" w:cs="宋体"/>
          <w:color w:val="auto"/>
          <w:szCs w:val="21"/>
          <w:highlight w:val="none"/>
        </w:rPr>
        <w:fldChar w:fldCharType="end"/>
      </w:r>
    </w:p>
    <w:p w14:paraId="78EEA8FF">
      <w:pPr>
        <w:pStyle w:val="40"/>
        <w:tabs>
          <w:tab w:val="right" w:leader="dot" w:pos="9072"/>
        </w:tabs>
        <w:rPr>
          <w:highlight w:val="none"/>
        </w:rPr>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_Toc3396 </w:instrText>
      </w:r>
      <w:r>
        <w:rPr>
          <w:rFonts w:hint="eastAsia" w:ascii="宋体" w:hAnsi="宋体" w:cs="宋体"/>
          <w:szCs w:val="21"/>
          <w:highlight w:val="none"/>
        </w:rPr>
        <w:fldChar w:fldCharType="separate"/>
      </w:r>
      <w:r>
        <w:rPr>
          <w:rFonts w:hint="eastAsia" w:ascii="宋体" w:hAnsi="宋体" w:cs="宋体"/>
          <w:szCs w:val="21"/>
          <w:highlight w:val="none"/>
        </w:rPr>
        <w:t>1.9 踏勘现场</w:t>
      </w:r>
      <w:r>
        <w:rPr>
          <w:highlight w:val="none"/>
        </w:rPr>
        <w:tab/>
      </w:r>
      <w:r>
        <w:rPr>
          <w:highlight w:val="none"/>
        </w:rPr>
        <w:fldChar w:fldCharType="begin"/>
      </w:r>
      <w:r>
        <w:rPr>
          <w:highlight w:val="none"/>
        </w:rPr>
        <w:instrText xml:space="preserve"> PAGEREF _Toc3396 \h </w:instrText>
      </w:r>
      <w:r>
        <w:rPr>
          <w:highlight w:val="none"/>
        </w:rPr>
        <w:fldChar w:fldCharType="separate"/>
      </w:r>
      <w:r>
        <w:rPr>
          <w:highlight w:val="none"/>
        </w:rPr>
        <w:t>15</w:t>
      </w:r>
      <w:r>
        <w:rPr>
          <w:highlight w:val="none"/>
        </w:rPr>
        <w:fldChar w:fldCharType="end"/>
      </w:r>
      <w:r>
        <w:rPr>
          <w:rFonts w:hint="eastAsia" w:ascii="宋体" w:hAnsi="宋体" w:cs="宋体"/>
          <w:color w:val="auto"/>
          <w:szCs w:val="21"/>
          <w:highlight w:val="none"/>
        </w:rPr>
        <w:fldChar w:fldCharType="end"/>
      </w:r>
    </w:p>
    <w:p w14:paraId="489CAE16">
      <w:pPr>
        <w:pStyle w:val="40"/>
        <w:tabs>
          <w:tab w:val="right" w:leader="dot" w:pos="9072"/>
        </w:tabs>
        <w:rPr>
          <w:highlight w:val="none"/>
        </w:rPr>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_Toc13366 </w:instrText>
      </w:r>
      <w:r>
        <w:rPr>
          <w:rFonts w:hint="eastAsia" w:ascii="宋体" w:hAnsi="宋体" w:cs="宋体"/>
          <w:szCs w:val="21"/>
          <w:highlight w:val="none"/>
        </w:rPr>
        <w:fldChar w:fldCharType="separate"/>
      </w:r>
      <w:r>
        <w:rPr>
          <w:rFonts w:hint="eastAsia" w:ascii="宋体" w:hAnsi="宋体" w:cs="宋体"/>
          <w:szCs w:val="21"/>
          <w:highlight w:val="none"/>
        </w:rPr>
        <w:t>1.10 投标预备会</w:t>
      </w:r>
      <w:r>
        <w:rPr>
          <w:highlight w:val="none"/>
        </w:rPr>
        <w:tab/>
      </w:r>
      <w:r>
        <w:rPr>
          <w:highlight w:val="none"/>
        </w:rPr>
        <w:fldChar w:fldCharType="begin"/>
      </w:r>
      <w:r>
        <w:rPr>
          <w:highlight w:val="none"/>
        </w:rPr>
        <w:instrText xml:space="preserve"> PAGEREF _Toc13366 \h </w:instrText>
      </w:r>
      <w:r>
        <w:rPr>
          <w:highlight w:val="none"/>
        </w:rPr>
        <w:fldChar w:fldCharType="separate"/>
      </w:r>
      <w:r>
        <w:rPr>
          <w:highlight w:val="none"/>
        </w:rPr>
        <w:t>15</w:t>
      </w:r>
      <w:r>
        <w:rPr>
          <w:highlight w:val="none"/>
        </w:rPr>
        <w:fldChar w:fldCharType="end"/>
      </w:r>
      <w:r>
        <w:rPr>
          <w:rFonts w:hint="eastAsia" w:ascii="宋体" w:hAnsi="宋体" w:cs="宋体"/>
          <w:color w:val="auto"/>
          <w:szCs w:val="21"/>
          <w:highlight w:val="none"/>
        </w:rPr>
        <w:fldChar w:fldCharType="end"/>
      </w:r>
    </w:p>
    <w:p w14:paraId="13D0A0D2">
      <w:pPr>
        <w:pStyle w:val="40"/>
        <w:tabs>
          <w:tab w:val="right" w:leader="dot" w:pos="9072"/>
        </w:tabs>
        <w:rPr>
          <w:highlight w:val="none"/>
        </w:rPr>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_Toc21247 </w:instrText>
      </w:r>
      <w:r>
        <w:rPr>
          <w:rFonts w:hint="eastAsia" w:ascii="宋体" w:hAnsi="宋体" w:cs="宋体"/>
          <w:szCs w:val="21"/>
          <w:highlight w:val="none"/>
        </w:rPr>
        <w:fldChar w:fldCharType="separate"/>
      </w:r>
      <w:r>
        <w:rPr>
          <w:rFonts w:hint="eastAsia" w:ascii="宋体" w:hAnsi="宋体" w:cs="宋体"/>
          <w:szCs w:val="21"/>
          <w:highlight w:val="none"/>
        </w:rPr>
        <w:t>1.11 分包</w:t>
      </w:r>
      <w:r>
        <w:rPr>
          <w:highlight w:val="none"/>
        </w:rPr>
        <w:tab/>
      </w:r>
      <w:r>
        <w:rPr>
          <w:highlight w:val="none"/>
        </w:rPr>
        <w:fldChar w:fldCharType="begin"/>
      </w:r>
      <w:r>
        <w:rPr>
          <w:highlight w:val="none"/>
        </w:rPr>
        <w:instrText xml:space="preserve"> PAGEREF _Toc21247 \h </w:instrText>
      </w:r>
      <w:r>
        <w:rPr>
          <w:highlight w:val="none"/>
        </w:rPr>
        <w:fldChar w:fldCharType="separate"/>
      </w:r>
      <w:r>
        <w:rPr>
          <w:highlight w:val="none"/>
        </w:rPr>
        <w:t>16</w:t>
      </w:r>
      <w:r>
        <w:rPr>
          <w:highlight w:val="none"/>
        </w:rPr>
        <w:fldChar w:fldCharType="end"/>
      </w:r>
      <w:r>
        <w:rPr>
          <w:rFonts w:hint="eastAsia" w:ascii="宋体" w:hAnsi="宋体" w:cs="宋体"/>
          <w:color w:val="auto"/>
          <w:szCs w:val="21"/>
          <w:highlight w:val="none"/>
        </w:rPr>
        <w:fldChar w:fldCharType="end"/>
      </w:r>
    </w:p>
    <w:p w14:paraId="490A7005">
      <w:pPr>
        <w:pStyle w:val="40"/>
        <w:tabs>
          <w:tab w:val="right" w:leader="dot" w:pos="9072"/>
        </w:tabs>
        <w:rPr>
          <w:highlight w:val="none"/>
        </w:rPr>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_Toc14181 </w:instrText>
      </w:r>
      <w:r>
        <w:rPr>
          <w:rFonts w:hint="eastAsia" w:ascii="宋体" w:hAnsi="宋体" w:cs="宋体"/>
          <w:szCs w:val="21"/>
          <w:highlight w:val="none"/>
        </w:rPr>
        <w:fldChar w:fldCharType="separate"/>
      </w:r>
      <w:r>
        <w:rPr>
          <w:rFonts w:hint="eastAsia" w:ascii="宋体" w:hAnsi="宋体" w:cs="宋体"/>
          <w:szCs w:val="21"/>
          <w:highlight w:val="none"/>
        </w:rPr>
        <w:t>1.12 偏离</w:t>
      </w:r>
      <w:r>
        <w:rPr>
          <w:highlight w:val="none"/>
        </w:rPr>
        <w:tab/>
      </w:r>
      <w:r>
        <w:rPr>
          <w:highlight w:val="none"/>
        </w:rPr>
        <w:fldChar w:fldCharType="begin"/>
      </w:r>
      <w:r>
        <w:rPr>
          <w:highlight w:val="none"/>
        </w:rPr>
        <w:instrText xml:space="preserve"> PAGEREF _Toc14181 \h </w:instrText>
      </w:r>
      <w:r>
        <w:rPr>
          <w:highlight w:val="none"/>
        </w:rPr>
        <w:fldChar w:fldCharType="separate"/>
      </w:r>
      <w:r>
        <w:rPr>
          <w:highlight w:val="none"/>
        </w:rPr>
        <w:t>16</w:t>
      </w:r>
      <w:r>
        <w:rPr>
          <w:highlight w:val="none"/>
        </w:rPr>
        <w:fldChar w:fldCharType="end"/>
      </w:r>
      <w:r>
        <w:rPr>
          <w:rFonts w:hint="eastAsia" w:ascii="宋体" w:hAnsi="宋体" w:cs="宋体"/>
          <w:color w:val="auto"/>
          <w:szCs w:val="21"/>
          <w:highlight w:val="none"/>
        </w:rPr>
        <w:fldChar w:fldCharType="end"/>
      </w:r>
    </w:p>
    <w:p w14:paraId="65FB1C1F">
      <w:pPr>
        <w:pStyle w:val="30"/>
        <w:tabs>
          <w:tab w:val="right" w:leader="dot" w:pos="9072"/>
        </w:tabs>
        <w:rPr>
          <w:highlight w:val="none"/>
        </w:rPr>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_Toc12451 </w:instrText>
      </w:r>
      <w:r>
        <w:rPr>
          <w:rFonts w:hint="eastAsia" w:ascii="宋体" w:hAnsi="宋体" w:cs="宋体"/>
          <w:szCs w:val="21"/>
          <w:highlight w:val="none"/>
        </w:rPr>
        <w:fldChar w:fldCharType="separate"/>
      </w:r>
      <w:r>
        <w:rPr>
          <w:rFonts w:hint="eastAsia" w:ascii="宋体" w:hAnsi="宋体" w:cs="宋体"/>
          <w:szCs w:val="24"/>
          <w:highlight w:val="none"/>
        </w:rPr>
        <w:t>2．招标文件</w:t>
      </w:r>
      <w:r>
        <w:rPr>
          <w:highlight w:val="none"/>
        </w:rPr>
        <w:tab/>
      </w:r>
      <w:r>
        <w:rPr>
          <w:highlight w:val="none"/>
        </w:rPr>
        <w:fldChar w:fldCharType="begin"/>
      </w:r>
      <w:r>
        <w:rPr>
          <w:highlight w:val="none"/>
        </w:rPr>
        <w:instrText xml:space="preserve"> PAGEREF _Toc12451 \h </w:instrText>
      </w:r>
      <w:r>
        <w:rPr>
          <w:highlight w:val="none"/>
        </w:rPr>
        <w:fldChar w:fldCharType="separate"/>
      </w:r>
      <w:r>
        <w:rPr>
          <w:highlight w:val="none"/>
        </w:rPr>
        <w:t>16</w:t>
      </w:r>
      <w:r>
        <w:rPr>
          <w:highlight w:val="none"/>
        </w:rPr>
        <w:fldChar w:fldCharType="end"/>
      </w:r>
      <w:r>
        <w:rPr>
          <w:rFonts w:hint="eastAsia" w:ascii="宋体" w:hAnsi="宋体" w:cs="宋体"/>
          <w:color w:val="auto"/>
          <w:szCs w:val="21"/>
          <w:highlight w:val="none"/>
        </w:rPr>
        <w:fldChar w:fldCharType="end"/>
      </w:r>
    </w:p>
    <w:p w14:paraId="7A3C1261">
      <w:pPr>
        <w:pStyle w:val="40"/>
        <w:tabs>
          <w:tab w:val="right" w:leader="dot" w:pos="9072"/>
        </w:tabs>
        <w:rPr>
          <w:highlight w:val="none"/>
        </w:rPr>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_Toc22541 </w:instrText>
      </w:r>
      <w:r>
        <w:rPr>
          <w:rFonts w:hint="eastAsia" w:ascii="宋体" w:hAnsi="宋体" w:cs="宋体"/>
          <w:szCs w:val="21"/>
          <w:highlight w:val="none"/>
        </w:rPr>
        <w:fldChar w:fldCharType="separate"/>
      </w:r>
      <w:r>
        <w:rPr>
          <w:rFonts w:hint="eastAsia" w:ascii="宋体" w:hAnsi="宋体" w:cs="宋体"/>
          <w:szCs w:val="21"/>
          <w:highlight w:val="none"/>
        </w:rPr>
        <w:t>2.1 招标文件的组成</w:t>
      </w:r>
      <w:r>
        <w:rPr>
          <w:highlight w:val="none"/>
        </w:rPr>
        <w:tab/>
      </w:r>
      <w:r>
        <w:rPr>
          <w:highlight w:val="none"/>
        </w:rPr>
        <w:fldChar w:fldCharType="begin"/>
      </w:r>
      <w:r>
        <w:rPr>
          <w:highlight w:val="none"/>
        </w:rPr>
        <w:instrText xml:space="preserve"> PAGEREF _Toc22541 \h </w:instrText>
      </w:r>
      <w:r>
        <w:rPr>
          <w:highlight w:val="none"/>
        </w:rPr>
        <w:fldChar w:fldCharType="separate"/>
      </w:r>
      <w:r>
        <w:rPr>
          <w:highlight w:val="none"/>
        </w:rPr>
        <w:t>16</w:t>
      </w:r>
      <w:r>
        <w:rPr>
          <w:highlight w:val="none"/>
        </w:rPr>
        <w:fldChar w:fldCharType="end"/>
      </w:r>
      <w:r>
        <w:rPr>
          <w:rFonts w:hint="eastAsia" w:ascii="宋体" w:hAnsi="宋体" w:cs="宋体"/>
          <w:color w:val="auto"/>
          <w:szCs w:val="21"/>
          <w:highlight w:val="none"/>
        </w:rPr>
        <w:fldChar w:fldCharType="end"/>
      </w:r>
    </w:p>
    <w:p w14:paraId="1E03969D">
      <w:pPr>
        <w:pStyle w:val="40"/>
        <w:tabs>
          <w:tab w:val="right" w:leader="dot" w:pos="9072"/>
        </w:tabs>
        <w:rPr>
          <w:highlight w:val="none"/>
        </w:rPr>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_Toc21780 </w:instrText>
      </w:r>
      <w:r>
        <w:rPr>
          <w:rFonts w:hint="eastAsia" w:ascii="宋体" w:hAnsi="宋体" w:cs="宋体"/>
          <w:szCs w:val="21"/>
          <w:highlight w:val="none"/>
        </w:rPr>
        <w:fldChar w:fldCharType="separate"/>
      </w:r>
      <w:r>
        <w:rPr>
          <w:rFonts w:hint="eastAsia" w:ascii="宋体" w:hAnsi="宋体" w:cs="宋体"/>
          <w:szCs w:val="21"/>
          <w:highlight w:val="none"/>
        </w:rPr>
        <w:t>2.2 招标文件的澄清</w:t>
      </w:r>
      <w:r>
        <w:rPr>
          <w:highlight w:val="none"/>
        </w:rPr>
        <w:tab/>
      </w:r>
      <w:r>
        <w:rPr>
          <w:highlight w:val="none"/>
        </w:rPr>
        <w:fldChar w:fldCharType="begin"/>
      </w:r>
      <w:r>
        <w:rPr>
          <w:highlight w:val="none"/>
        </w:rPr>
        <w:instrText xml:space="preserve"> PAGEREF _Toc21780 \h </w:instrText>
      </w:r>
      <w:r>
        <w:rPr>
          <w:highlight w:val="none"/>
        </w:rPr>
        <w:fldChar w:fldCharType="separate"/>
      </w:r>
      <w:r>
        <w:rPr>
          <w:highlight w:val="none"/>
        </w:rPr>
        <w:t>16</w:t>
      </w:r>
      <w:r>
        <w:rPr>
          <w:highlight w:val="none"/>
        </w:rPr>
        <w:fldChar w:fldCharType="end"/>
      </w:r>
      <w:r>
        <w:rPr>
          <w:rFonts w:hint="eastAsia" w:ascii="宋体" w:hAnsi="宋体" w:cs="宋体"/>
          <w:color w:val="auto"/>
          <w:szCs w:val="21"/>
          <w:highlight w:val="none"/>
        </w:rPr>
        <w:fldChar w:fldCharType="end"/>
      </w:r>
    </w:p>
    <w:p w14:paraId="39FEB2D8">
      <w:pPr>
        <w:pStyle w:val="40"/>
        <w:tabs>
          <w:tab w:val="right" w:leader="dot" w:pos="9072"/>
        </w:tabs>
        <w:rPr>
          <w:highlight w:val="none"/>
        </w:rPr>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_Toc15902 </w:instrText>
      </w:r>
      <w:r>
        <w:rPr>
          <w:rFonts w:hint="eastAsia" w:ascii="宋体" w:hAnsi="宋体" w:cs="宋体"/>
          <w:szCs w:val="21"/>
          <w:highlight w:val="none"/>
        </w:rPr>
        <w:fldChar w:fldCharType="separate"/>
      </w:r>
      <w:r>
        <w:rPr>
          <w:rFonts w:hint="eastAsia" w:ascii="宋体" w:hAnsi="宋体" w:cs="宋体"/>
          <w:szCs w:val="21"/>
          <w:highlight w:val="none"/>
        </w:rPr>
        <w:t>2.3 招标文件的修改</w:t>
      </w:r>
      <w:r>
        <w:rPr>
          <w:highlight w:val="none"/>
        </w:rPr>
        <w:tab/>
      </w:r>
      <w:r>
        <w:rPr>
          <w:highlight w:val="none"/>
        </w:rPr>
        <w:fldChar w:fldCharType="begin"/>
      </w:r>
      <w:r>
        <w:rPr>
          <w:highlight w:val="none"/>
        </w:rPr>
        <w:instrText xml:space="preserve"> PAGEREF _Toc15902 \h </w:instrText>
      </w:r>
      <w:r>
        <w:rPr>
          <w:highlight w:val="none"/>
        </w:rPr>
        <w:fldChar w:fldCharType="separate"/>
      </w:r>
      <w:r>
        <w:rPr>
          <w:highlight w:val="none"/>
        </w:rPr>
        <w:t>16</w:t>
      </w:r>
      <w:r>
        <w:rPr>
          <w:highlight w:val="none"/>
        </w:rPr>
        <w:fldChar w:fldCharType="end"/>
      </w:r>
      <w:r>
        <w:rPr>
          <w:rFonts w:hint="eastAsia" w:ascii="宋体" w:hAnsi="宋体" w:cs="宋体"/>
          <w:color w:val="auto"/>
          <w:szCs w:val="21"/>
          <w:highlight w:val="none"/>
        </w:rPr>
        <w:fldChar w:fldCharType="end"/>
      </w:r>
    </w:p>
    <w:p w14:paraId="18CEDDB6">
      <w:pPr>
        <w:pStyle w:val="30"/>
        <w:tabs>
          <w:tab w:val="right" w:leader="dot" w:pos="9072"/>
        </w:tabs>
        <w:rPr>
          <w:highlight w:val="none"/>
        </w:rPr>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_Toc29908 </w:instrText>
      </w:r>
      <w:r>
        <w:rPr>
          <w:rFonts w:hint="eastAsia" w:ascii="宋体" w:hAnsi="宋体" w:cs="宋体"/>
          <w:szCs w:val="21"/>
          <w:highlight w:val="none"/>
        </w:rPr>
        <w:fldChar w:fldCharType="separate"/>
      </w:r>
      <w:r>
        <w:rPr>
          <w:rFonts w:hint="eastAsia" w:ascii="宋体" w:hAnsi="宋体" w:cs="宋体"/>
          <w:szCs w:val="24"/>
          <w:highlight w:val="none"/>
        </w:rPr>
        <w:t>3．投标文件</w:t>
      </w:r>
      <w:r>
        <w:rPr>
          <w:highlight w:val="none"/>
        </w:rPr>
        <w:tab/>
      </w:r>
      <w:r>
        <w:rPr>
          <w:highlight w:val="none"/>
        </w:rPr>
        <w:fldChar w:fldCharType="begin"/>
      </w:r>
      <w:r>
        <w:rPr>
          <w:highlight w:val="none"/>
        </w:rPr>
        <w:instrText xml:space="preserve"> PAGEREF _Toc29908 \h </w:instrText>
      </w:r>
      <w:r>
        <w:rPr>
          <w:highlight w:val="none"/>
        </w:rPr>
        <w:fldChar w:fldCharType="separate"/>
      </w:r>
      <w:r>
        <w:rPr>
          <w:highlight w:val="none"/>
        </w:rPr>
        <w:t>17</w:t>
      </w:r>
      <w:r>
        <w:rPr>
          <w:highlight w:val="none"/>
        </w:rPr>
        <w:fldChar w:fldCharType="end"/>
      </w:r>
      <w:r>
        <w:rPr>
          <w:rFonts w:hint="eastAsia" w:ascii="宋体" w:hAnsi="宋体" w:cs="宋体"/>
          <w:color w:val="auto"/>
          <w:szCs w:val="21"/>
          <w:highlight w:val="none"/>
        </w:rPr>
        <w:fldChar w:fldCharType="end"/>
      </w:r>
    </w:p>
    <w:p w14:paraId="579E7574">
      <w:pPr>
        <w:pStyle w:val="40"/>
        <w:tabs>
          <w:tab w:val="right" w:leader="dot" w:pos="9072"/>
        </w:tabs>
        <w:rPr>
          <w:highlight w:val="none"/>
        </w:rPr>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_Toc1190 </w:instrText>
      </w:r>
      <w:r>
        <w:rPr>
          <w:rFonts w:hint="eastAsia" w:ascii="宋体" w:hAnsi="宋体" w:cs="宋体"/>
          <w:szCs w:val="21"/>
          <w:highlight w:val="none"/>
        </w:rPr>
        <w:fldChar w:fldCharType="separate"/>
      </w:r>
      <w:r>
        <w:rPr>
          <w:rFonts w:hint="eastAsia" w:ascii="宋体" w:hAnsi="宋体" w:cs="宋体"/>
          <w:szCs w:val="21"/>
          <w:highlight w:val="none"/>
        </w:rPr>
        <w:t>3.1 投标文件的组成</w:t>
      </w:r>
      <w:r>
        <w:rPr>
          <w:highlight w:val="none"/>
        </w:rPr>
        <w:tab/>
      </w:r>
      <w:r>
        <w:rPr>
          <w:highlight w:val="none"/>
        </w:rPr>
        <w:fldChar w:fldCharType="begin"/>
      </w:r>
      <w:r>
        <w:rPr>
          <w:highlight w:val="none"/>
        </w:rPr>
        <w:instrText xml:space="preserve"> PAGEREF _Toc1190 \h </w:instrText>
      </w:r>
      <w:r>
        <w:rPr>
          <w:highlight w:val="none"/>
        </w:rPr>
        <w:fldChar w:fldCharType="separate"/>
      </w:r>
      <w:r>
        <w:rPr>
          <w:highlight w:val="none"/>
        </w:rPr>
        <w:t>17</w:t>
      </w:r>
      <w:r>
        <w:rPr>
          <w:highlight w:val="none"/>
        </w:rPr>
        <w:fldChar w:fldCharType="end"/>
      </w:r>
      <w:r>
        <w:rPr>
          <w:rFonts w:hint="eastAsia" w:ascii="宋体" w:hAnsi="宋体" w:cs="宋体"/>
          <w:color w:val="auto"/>
          <w:szCs w:val="21"/>
          <w:highlight w:val="none"/>
        </w:rPr>
        <w:fldChar w:fldCharType="end"/>
      </w:r>
    </w:p>
    <w:p w14:paraId="28DD766B">
      <w:pPr>
        <w:pStyle w:val="40"/>
        <w:tabs>
          <w:tab w:val="right" w:leader="dot" w:pos="9072"/>
        </w:tabs>
        <w:rPr>
          <w:highlight w:val="none"/>
        </w:rPr>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_Toc23808 </w:instrText>
      </w:r>
      <w:r>
        <w:rPr>
          <w:rFonts w:hint="eastAsia" w:ascii="宋体" w:hAnsi="宋体" w:cs="宋体"/>
          <w:szCs w:val="21"/>
          <w:highlight w:val="none"/>
        </w:rPr>
        <w:fldChar w:fldCharType="separate"/>
      </w:r>
      <w:r>
        <w:rPr>
          <w:rFonts w:hint="eastAsia" w:ascii="宋体" w:hAnsi="宋体" w:cs="宋体"/>
          <w:szCs w:val="21"/>
          <w:highlight w:val="none"/>
        </w:rPr>
        <w:t>3.2 投标报价</w:t>
      </w:r>
      <w:r>
        <w:rPr>
          <w:highlight w:val="none"/>
        </w:rPr>
        <w:tab/>
      </w:r>
      <w:r>
        <w:rPr>
          <w:highlight w:val="none"/>
        </w:rPr>
        <w:fldChar w:fldCharType="begin"/>
      </w:r>
      <w:r>
        <w:rPr>
          <w:highlight w:val="none"/>
        </w:rPr>
        <w:instrText xml:space="preserve"> PAGEREF _Toc23808 \h </w:instrText>
      </w:r>
      <w:r>
        <w:rPr>
          <w:highlight w:val="none"/>
        </w:rPr>
        <w:fldChar w:fldCharType="separate"/>
      </w:r>
      <w:r>
        <w:rPr>
          <w:highlight w:val="none"/>
        </w:rPr>
        <w:t>17</w:t>
      </w:r>
      <w:r>
        <w:rPr>
          <w:highlight w:val="none"/>
        </w:rPr>
        <w:fldChar w:fldCharType="end"/>
      </w:r>
      <w:r>
        <w:rPr>
          <w:rFonts w:hint="eastAsia" w:ascii="宋体" w:hAnsi="宋体" w:cs="宋体"/>
          <w:color w:val="auto"/>
          <w:szCs w:val="21"/>
          <w:highlight w:val="none"/>
        </w:rPr>
        <w:fldChar w:fldCharType="end"/>
      </w:r>
    </w:p>
    <w:p w14:paraId="45936544">
      <w:pPr>
        <w:pStyle w:val="40"/>
        <w:tabs>
          <w:tab w:val="right" w:leader="dot" w:pos="9072"/>
        </w:tabs>
        <w:rPr>
          <w:highlight w:val="none"/>
        </w:rPr>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_Toc4466 </w:instrText>
      </w:r>
      <w:r>
        <w:rPr>
          <w:rFonts w:hint="eastAsia" w:ascii="宋体" w:hAnsi="宋体" w:cs="宋体"/>
          <w:szCs w:val="21"/>
          <w:highlight w:val="none"/>
        </w:rPr>
        <w:fldChar w:fldCharType="separate"/>
      </w:r>
      <w:r>
        <w:rPr>
          <w:rFonts w:hint="eastAsia" w:ascii="宋体" w:hAnsi="宋体" w:cs="宋体"/>
          <w:szCs w:val="21"/>
          <w:highlight w:val="none"/>
        </w:rPr>
        <w:t>3.3 投标有效期</w:t>
      </w:r>
      <w:r>
        <w:rPr>
          <w:highlight w:val="none"/>
        </w:rPr>
        <w:tab/>
      </w:r>
      <w:r>
        <w:rPr>
          <w:highlight w:val="none"/>
        </w:rPr>
        <w:fldChar w:fldCharType="begin"/>
      </w:r>
      <w:r>
        <w:rPr>
          <w:highlight w:val="none"/>
        </w:rPr>
        <w:instrText xml:space="preserve"> PAGEREF _Toc4466 \h </w:instrText>
      </w:r>
      <w:r>
        <w:rPr>
          <w:highlight w:val="none"/>
        </w:rPr>
        <w:fldChar w:fldCharType="separate"/>
      </w:r>
      <w:r>
        <w:rPr>
          <w:highlight w:val="none"/>
        </w:rPr>
        <w:t>17</w:t>
      </w:r>
      <w:r>
        <w:rPr>
          <w:highlight w:val="none"/>
        </w:rPr>
        <w:fldChar w:fldCharType="end"/>
      </w:r>
      <w:r>
        <w:rPr>
          <w:rFonts w:hint="eastAsia" w:ascii="宋体" w:hAnsi="宋体" w:cs="宋体"/>
          <w:color w:val="auto"/>
          <w:szCs w:val="21"/>
          <w:highlight w:val="none"/>
        </w:rPr>
        <w:fldChar w:fldCharType="end"/>
      </w:r>
    </w:p>
    <w:p w14:paraId="3E6A1230">
      <w:pPr>
        <w:pStyle w:val="40"/>
        <w:tabs>
          <w:tab w:val="right" w:leader="dot" w:pos="9072"/>
        </w:tabs>
        <w:rPr>
          <w:highlight w:val="none"/>
        </w:rPr>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_Toc31951 </w:instrText>
      </w:r>
      <w:r>
        <w:rPr>
          <w:rFonts w:hint="eastAsia" w:ascii="宋体" w:hAnsi="宋体" w:cs="宋体"/>
          <w:szCs w:val="21"/>
          <w:highlight w:val="none"/>
        </w:rPr>
        <w:fldChar w:fldCharType="separate"/>
      </w:r>
      <w:r>
        <w:rPr>
          <w:rFonts w:hint="eastAsia" w:ascii="宋体" w:hAnsi="宋体" w:cs="宋体"/>
          <w:szCs w:val="21"/>
          <w:highlight w:val="none"/>
        </w:rPr>
        <w:t>3.4 投标保证金</w:t>
      </w:r>
      <w:r>
        <w:rPr>
          <w:rFonts w:hint="eastAsia" w:ascii="宋体" w:hAnsi="宋体" w:cs="宋体"/>
          <w:szCs w:val="21"/>
          <w:highlight w:val="none"/>
          <w:lang w:eastAsia="zh-CN"/>
        </w:rPr>
        <w:t>：</w:t>
      </w:r>
      <w:r>
        <w:rPr>
          <w:rFonts w:hint="eastAsia" w:ascii="宋体" w:hAnsi="宋体" w:cs="宋体"/>
          <w:szCs w:val="21"/>
          <w:highlight w:val="none"/>
          <w:lang w:val="en-US" w:eastAsia="zh-CN"/>
        </w:rPr>
        <w:t>不要求</w:t>
      </w:r>
      <w:r>
        <w:rPr>
          <w:highlight w:val="none"/>
        </w:rPr>
        <w:tab/>
      </w:r>
      <w:r>
        <w:rPr>
          <w:highlight w:val="none"/>
        </w:rPr>
        <w:fldChar w:fldCharType="begin"/>
      </w:r>
      <w:r>
        <w:rPr>
          <w:highlight w:val="none"/>
        </w:rPr>
        <w:instrText xml:space="preserve"> PAGEREF _Toc31951 \h </w:instrText>
      </w:r>
      <w:r>
        <w:rPr>
          <w:highlight w:val="none"/>
        </w:rPr>
        <w:fldChar w:fldCharType="separate"/>
      </w:r>
      <w:r>
        <w:rPr>
          <w:highlight w:val="none"/>
        </w:rPr>
        <w:t>18</w:t>
      </w:r>
      <w:r>
        <w:rPr>
          <w:highlight w:val="none"/>
        </w:rPr>
        <w:fldChar w:fldCharType="end"/>
      </w:r>
      <w:r>
        <w:rPr>
          <w:rFonts w:hint="eastAsia" w:ascii="宋体" w:hAnsi="宋体" w:cs="宋体"/>
          <w:color w:val="auto"/>
          <w:szCs w:val="21"/>
          <w:highlight w:val="none"/>
        </w:rPr>
        <w:fldChar w:fldCharType="end"/>
      </w:r>
    </w:p>
    <w:p w14:paraId="4902CA5B">
      <w:pPr>
        <w:pStyle w:val="40"/>
        <w:tabs>
          <w:tab w:val="right" w:leader="dot" w:pos="9072"/>
        </w:tabs>
        <w:rPr>
          <w:highlight w:val="none"/>
        </w:rPr>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_Toc7436 </w:instrText>
      </w:r>
      <w:r>
        <w:rPr>
          <w:rFonts w:hint="eastAsia" w:ascii="宋体" w:hAnsi="宋体" w:cs="宋体"/>
          <w:szCs w:val="21"/>
          <w:highlight w:val="none"/>
        </w:rPr>
        <w:fldChar w:fldCharType="separate"/>
      </w:r>
      <w:r>
        <w:rPr>
          <w:rFonts w:hint="eastAsia" w:ascii="宋体" w:hAnsi="宋体" w:cs="宋体"/>
          <w:szCs w:val="21"/>
          <w:highlight w:val="none"/>
        </w:rPr>
        <w:t>3.5 资格审查资料</w:t>
      </w:r>
      <w:r>
        <w:rPr>
          <w:highlight w:val="none"/>
        </w:rPr>
        <w:tab/>
      </w:r>
      <w:r>
        <w:rPr>
          <w:highlight w:val="none"/>
        </w:rPr>
        <w:fldChar w:fldCharType="begin"/>
      </w:r>
      <w:r>
        <w:rPr>
          <w:highlight w:val="none"/>
        </w:rPr>
        <w:instrText xml:space="preserve"> PAGEREF _Toc7436 \h </w:instrText>
      </w:r>
      <w:r>
        <w:rPr>
          <w:highlight w:val="none"/>
        </w:rPr>
        <w:fldChar w:fldCharType="separate"/>
      </w:r>
      <w:r>
        <w:rPr>
          <w:highlight w:val="none"/>
        </w:rPr>
        <w:t>18</w:t>
      </w:r>
      <w:r>
        <w:rPr>
          <w:highlight w:val="none"/>
        </w:rPr>
        <w:fldChar w:fldCharType="end"/>
      </w:r>
      <w:r>
        <w:rPr>
          <w:rFonts w:hint="eastAsia" w:ascii="宋体" w:hAnsi="宋体" w:cs="宋体"/>
          <w:color w:val="auto"/>
          <w:szCs w:val="21"/>
          <w:highlight w:val="none"/>
        </w:rPr>
        <w:fldChar w:fldCharType="end"/>
      </w:r>
    </w:p>
    <w:p w14:paraId="35CF5B73">
      <w:pPr>
        <w:pStyle w:val="40"/>
        <w:tabs>
          <w:tab w:val="right" w:leader="dot" w:pos="9072"/>
        </w:tabs>
        <w:rPr>
          <w:highlight w:val="none"/>
        </w:rPr>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_Toc24589 </w:instrText>
      </w:r>
      <w:r>
        <w:rPr>
          <w:rFonts w:hint="eastAsia" w:ascii="宋体" w:hAnsi="宋体" w:cs="宋体"/>
          <w:szCs w:val="21"/>
          <w:highlight w:val="none"/>
        </w:rPr>
        <w:fldChar w:fldCharType="separate"/>
      </w:r>
      <w:r>
        <w:rPr>
          <w:rFonts w:hint="eastAsia" w:ascii="宋体" w:hAnsi="宋体" w:cs="宋体"/>
          <w:szCs w:val="21"/>
          <w:highlight w:val="none"/>
        </w:rPr>
        <w:t>3.6 备选投标方案</w:t>
      </w:r>
      <w:r>
        <w:rPr>
          <w:highlight w:val="none"/>
        </w:rPr>
        <w:tab/>
      </w:r>
      <w:r>
        <w:rPr>
          <w:highlight w:val="none"/>
        </w:rPr>
        <w:fldChar w:fldCharType="begin"/>
      </w:r>
      <w:r>
        <w:rPr>
          <w:highlight w:val="none"/>
        </w:rPr>
        <w:instrText xml:space="preserve"> PAGEREF _Toc24589 \h </w:instrText>
      </w:r>
      <w:r>
        <w:rPr>
          <w:highlight w:val="none"/>
        </w:rPr>
        <w:fldChar w:fldCharType="separate"/>
      </w:r>
      <w:r>
        <w:rPr>
          <w:highlight w:val="none"/>
        </w:rPr>
        <w:t>18</w:t>
      </w:r>
      <w:r>
        <w:rPr>
          <w:highlight w:val="none"/>
        </w:rPr>
        <w:fldChar w:fldCharType="end"/>
      </w:r>
      <w:r>
        <w:rPr>
          <w:rFonts w:hint="eastAsia" w:ascii="宋体" w:hAnsi="宋体" w:cs="宋体"/>
          <w:color w:val="auto"/>
          <w:szCs w:val="21"/>
          <w:highlight w:val="none"/>
        </w:rPr>
        <w:fldChar w:fldCharType="end"/>
      </w:r>
    </w:p>
    <w:p w14:paraId="54E1773A">
      <w:pPr>
        <w:pStyle w:val="40"/>
        <w:tabs>
          <w:tab w:val="right" w:leader="dot" w:pos="9072"/>
        </w:tabs>
        <w:rPr>
          <w:highlight w:val="none"/>
        </w:rPr>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_Toc3027 </w:instrText>
      </w:r>
      <w:r>
        <w:rPr>
          <w:rFonts w:hint="eastAsia" w:ascii="宋体" w:hAnsi="宋体" w:cs="宋体"/>
          <w:szCs w:val="21"/>
          <w:highlight w:val="none"/>
        </w:rPr>
        <w:fldChar w:fldCharType="separate"/>
      </w:r>
      <w:r>
        <w:rPr>
          <w:rFonts w:hint="eastAsia" w:ascii="宋体" w:hAnsi="宋体" w:cs="宋体"/>
          <w:szCs w:val="21"/>
          <w:highlight w:val="none"/>
        </w:rPr>
        <w:t>3.7 投标文件的编制</w:t>
      </w:r>
      <w:r>
        <w:rPr>
          <w:highlight w:val="none"/>
        </w:rPr>
        <w:tab/>
      </w:r>
      <w:r>
        <w:rPr>
          <w:highlight w:val="none"/>
        </w:rPr>
        <w:fldChar w:fldCharType="begin"/>
      </w:r>
      <w:r>
        <w:rPr>
          <w:highlight w:val="none"/>
        </w:rPr>
        <w:instrText xml:space="preserve"> PAGEREF _Toc3027 \h </w:instrText>
      </w:r>
      <w:r>
        <w:rPr>
          <w:highlight w:val="none"/>
        </w:rPr>
        <w:fldChar w:fldCharType="separate"/>
      </w:r>
      <w:r>
        <w:rPr>
          <w:highlight w:val="none"/>
        </w:rPr>
        <w:t>18</w:t>
      </w:r>
      <w:r>
        <w:rPr>
          <w:highlight w:val="none"/>
        </w:rPr>
        <w:fldChar w:fldCharType="end"/>
      </w:r>
      <w:r>
        <w:rPr>
          <w:rFonts w:hint="eastAsia" w:ascii="宋体" w:hAnsi="宋体" w:cs="宋体"/>
          <w:color w:val="auto"/>
          <w:szCs w:val="21"/>
          <w:highlight w:val="none"/>
        </w:rPr>
        <w:fldChar w:fldCharType="end"/>
      </w:r>
    </w:p>
    <w:p w14:paraId="6CD99A27">
      <w:pPr>
        <w:pStyle w:val="30"/>
        <w:tabs>
          <w:tab w:val="right" w:leader="dot" w:pos="9072"/>
        </w:tabs>
        <w:rPr>
          <w:highlight w:val="none"/>
        </w:rPr>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_Toc19025 </w:instrText>
      </w:r>
      <w:r>
        <w:rPr>
          <w:rFonts w:hint="eastAsia" w:ascii="宋体" w:hAnsi="宋体" w:cs="宋体"/>
          <w:szCs w:val="21"/>
          <w:highlight w:val="none"/>
        </w:rPr>
        <w:fldChar w:fldCharType="separate"/>
      </w:r>
      <w:r>
        <w:rPr>
          <w:rFonts w:hint="eastAsia" w:ascii="宋体" w:hAnsi="宋体" w:cs="宋体"/>
          <w:szCs w:val="24"/>
          <w:highlight w:val="none"/>
        </w:rPr>
        <w:t>4．投标</w:t>
      </w:r>
      <w:r>
        <w:rPr>
          <w:highlight w:val="none"/>
        </w:rPr>
        <w:tab/>
      </w:r>
      <w:r>
        <w:rPr>
          <w:highlight w:val="none"/>
        </w:rPr>
        <w:fldChar w:fldCharType="begin"/>
      </w:r>
      <w:r>
        <w:rPr>
          <w:highlight w:val="none"/>
        </w:rPr>
        <w:instrText xml:space="preserve"> PAGEREF _Toc19025 \h </w:instrText>
      </w:r>
      <w:r>
        <w:rPr>
          <w:highlight w:val="none"/>
        </w:rPr>
        <w:fldChar w:fldCharType="separate"/>
      </w:r>
      <w:r>
        <w:rPr>
          <w:highlight w:val="none"/>
        </w:rPr>
        <w:t>18</w:t>
      </w:r>
      <w:r>
        <w:rPr>
          <w:highlight w:val="none"/>
        </w:rPr>
        <w:fldChar w:fldCharType="end"/>
      </w:r>
      <w:r>
        <w:rPr>
          <w:rFonts w:hint="eastAsia" w:ascii="宋体" w:hAnsi="宋体" w:cs="宋体"/>
          <w:color w:val="auto"/>
          <w:szCs w:val="21"/>
          <w:highlight w:val="none"/>
        </w:rPr>
        <w:fldChar w:fldCharType="end"/>
      </w:r>
    </w:p>
    <w:p w14:paraId="604A6B9C">
      <w:pPr>
        <w:pStyle w:val="40"/>
        <w:tabs>
          <w:tab w:val="right" w:leader="dot" w:pos="9072"/>
        </w:tabs>
        <w:rPr>
          <w:highlight w:val="none"/>
        </w:rPr>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_Toc10454 </w:instrText>
      </w:r>
      <w:r>
        <w:rPr>
          <w:rFonts w:hint="eastAsia" w:ascii="宋体" w:hAnsi="宋体" w:cs="宋体"/>
          <w:szCs w:val="21"/>
          <w:highlight w:val="none"/>
        </w:rPr>
        <w:fldChar w:fldCharType="separate"/>
      </w:r>
      <w:r>
        <w:rPr>
          <w:rFonts w:hint="eastAsia" w:ascii="宋体" w:hAnsi="宋体" w:cs="宋体"/>
          <w:szCs w:val="21"/>
          <w:highlight w:val="none"/>
        </w:rPr>
        <w:t>4.1 投标文件的加密</w:t>
      </w:r>
      <w:r>
        <w:rPr>
          <w:highlight w:val="none"/>
        </w:rPr>
        <w:tab/>
      </w:r>
      <w:r>
        <w:rPr>
          <w:highlight w:val="none"/>
        </w:rPr>
        <w:fldChar w:fldCharType="begin"/>
      </w:r>
      <w:r>
        <w:rPr>
          <w:highlight w:val="none"/>
        </w:rPr>
        <w:instrText xml:space="preserve"> PAGEREF _Toc10454 \h </w:instrText>
      </w:r>
      <w:r>
        <w:rPr>
          <w:highlight w:val="none"/>
        </w:rPr>
        <w:fldChar w:fldCharType="separate"/>
      </w:r>
      <w:r>
        <w:rPr>
          <w:highlight w:val="none"/>
        </w:rPr>
        <w:t>18</w:t>
      </w:r>
      <w:r>
        <w:rPr>
          <w:highlight w:val="none"/>
        </w:rPr>
        <w:fldChar w:fldCharType="end"/>
      </w:r>
      <w:r>
        <w:rPr>
          <w:rFonts w:hint="eastAsia" w:ascii="宋体" w:hAnsi="宋体" w:cs="宋体"/>
          <w:color w:val="auto"/>
          <w:szCs w:val="21"/>
          <w:highlight w:val="none"/>
        </w:rPr>
        <w:fldChar w:fldCharType="end"/>
      </w:r>
    </w:p>
    <w:p w14:paraId="6FC387D5">
      <w:pPr>
        <w:pStyle w:val="40"/>
        <w:tabs>
          <w:tab w:val="right" w:leader="dot" w:pos="9072"/>
        </w:tabs>
        <w:rPr>
          <w:highlight w:val="none"/>
        </w:rPr>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_Toc24832 </w:instrText>
      </w:r>
      <w:r>
        <w:rPr>
          <w:rFonts w:hint="eastAsia" w:ascii="宋体" w:hAnsi="宋体" w:cs="宋体"/>
          <w:szCs w:val="21"/>
          <w:highlight w:val="none"/>
        </w:rPr>
        <w:fldChar w:fldCharType="separate"/>
      </w:r>
      <w:r>
        <w:rPr>
          <w:rFonts w:hint="eastAsia" w:ascii="宋体" w:hAnsi="宋体" w:cs="宋体"/>
          <w:szCs w:val="21"/>
          <w:highlight w:val="none"/>
        </w:rPr>
        <w:t>4.2 投标文件的递交</w:t>
      </w:r>
      <w:r>
        <w:rPr>
          <w:highlight w:val="none"/>
        </w:rPr>
        <w:tab/>
      </w:r>
      <w:r>
        <w:rPr>
          <w:highlight w:val="none"/>
        </w:rPr>
        <w:fldChar w:fldCharType="begin"/>
      </w:r>
      <w:r>
        <w:rPr>
          <w:highlight w:val="none"/>
        </w:rPr>
        <w:instrText xml:space="preserve"> PAGEREF _Toc24832 \h </w:instrText>
      </w:r>
      <w:r>
        <w:rPr>
          <w:highlight w:val="none"/>
        </w:rPr>
        <w:fldChar w:fldCharType="separate"/>
      </w:r>
      <w:r>
        <w:rPr>
          <w:highlight w:val="none"/>
        </w:rPr>
        <w:t>18</w:t>
      </w:r>
      <w:r>
        <w:rPr>
          <w:highlight w:val="none"/>
        </w:rPr>
        <w:fldChar w:fldCharType="end"/>
      </w:r>
      <w:r>
        <w:rPr>
          <w:rFonts w:hint="eastAsia" w:ascii="宋体" w:hAnsi="宋体" w:cs="宋体"/>
          <w:color w:val="auto"/>
          <w:szCs w:val="21"/>
          <w:highlight w:val="none"/>
        </w:rPr>
        <w:fldChar w:fldCharType="end"/>
      </w:r>
    </w:p>
    <w:p w14:paraId="539548B3">
      <w:pPr>
        <w:pStyle w:val="40"/>
        <w:tabs>
          <w:tab w:val="right" w:leader="dot" w:pos="9072"/>
        </w:tabs>
        <w:rPr>
          <w:highlight w:val="none"/>
        </w:rPr>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_Toc6212 </w:instrText>
      </w:r>
      <w:r>
        <w:rPr>
          <w:rFonts w:hint="eastAsia" w:ascii="宋体" w:hAnsi="宋体" w:cs="宋体"/>
          <w:szCs w:val="21"/>
          <w:highlight w:val="none"/>
        </w:rPr>
        <w:fldChar w:fldCharType="separate"/>
      </w:r>
      <w:r>
        <w:rPr>
          <w:rFonts w:hint="eastAsia" w:ascii="宋体" w:hAnsi="宋体" w:cs="宋体"/>
          <w:szCs w:val="21"/>
          <w:highlight w:val="none"/>
        </w:rPr>
        <w:t>4.3 投标文件的修改与撤回</w:t>
      </w:r>
      <w:r>
        <w:rPr>
          <w:highlight w:val="none"/>
        </w:rPr>
        <w:tab/>
      </w:r>
      <w:r>
        <w:rPr>
          <w:highlight w:val="none"/>
        </w:rPr>
        <w:fldChar w:fldCharType="begin"/>
      </w:r>
      <w:r>
        <w:rPr>
          <w:highlight w:val="none"/>
        </w:rPr>
        <w:instrText xml:space="preserve"> PAGEREF _Toc6212 \h </w:instrText>
      </w:r>
      <w:r>
        <w:rPr>
          <w:highlight w:val="none"/>
        </w:rPr>
        <w:fldChar w:fldCharType="separate"/>
      </w:r>
      <w:r>
        <w:rPr>
          <w:highlight w:val="none"/>
        </w:rPr>
        <w:t>18</w:t>
      </w:r>
      <w:r>
        <w:rPr>
          <w:highlight w:val="none"/>
        </w:rPr>
        <w:fldChar w:fldCharType="end"/>
      </w:r>
      <w:r>
        <w:rPr>
          <w:rFonts w:hint="eastAsia" w:ascii="宋体" w:hAnsi="宋体" w:cs="宋体"/>
          <w:color w:val="auto"/>
          <w:szCs w:val="21"/>
          <w:highlight w:val="none"/>
        </w:rPr>
        <w:fldChar w:fldCharType="end"/>
      </w:r>
    </w:p>
    <w:p w14:paraId="779AB772">
      <w:pPr>
        <w:pStyle w:val="30"/>
        <w:tabs>
          <w:tab w:val="right" w:leader="dot" w:pos="9072"/>
        </w:tabs>
        <w:rPr>
          <w:highlight w:val="none"/>
        </w:rPr>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_Toc610 </w:instrText>
      </w:r>
      <w:r>
        <w:rPr>
          <w:rFonts w:hint="eastAsia" w:ascii="宋体" w:hAnsi="宋体" w:cs="宋体"/>
          <w:szCs w:val="21"/>
          <w:highlight w:val="none"/>
        </w:rPr>
        <w:fldChar w:fldCharType="separate"/>
      </w:r>
      <w:r>
        <w:rPr>
          <w:rFonts w:hint="eastAsia" w:ascii="宋体" w:hAnsi="宋体" w:cs="宋体"/>
          <w:szCs w:val="24"/>
          <w:highlight w:val="none"/>
        </w:rPr>
        <w:t>5．开标</w:t>
      </w:r>
      <w:r>
        <w:rPr>
          <w:highlight w:val="none"/>
        </w:rPr>
        <w:tab/>
      </w:r>
      <w:r>
        <w:rPr>
          <w:highlight w:val="none"/>
        </w:rPr>
        <w:fldChar w:fldCharType="begin"/>
      </w:r>
      <w:r>
        <w:rPr>
          <w:highlight w:val="none"/>
        </w:rPr>
        <w:instrText xml:space="preserve"> PAGEREF _Toc610 \h </w:instrText>
      </w:r>
      <w:r>
        <w:rPr>
          <w:highlight w:val="none"/>
        </w:rPr>
        <w:fldChar w:fldCharType="separate"/>
      </w:r>
      <w:r>
        <w:rPr>
          <w:highlight w:val="none"/>
        </w:rPr>
        <w:t>18</w:t>
      </w:r>
      <w:r>
        <w:rPr>
          <w:highlight w:val="none"/>
        </w:rPr>
        <w:fldChar w:fldCharType="end"/>
      </w:r>
      <w:r>
        <w:rPr>
          <w:rFonts w:hint="eastAsia" w:ascii="宋体" w:hAnsi="宋体" w:cs="宋体"/>
          <w:color w:val="auto"/>
          <w:szCs w:val="21"/>
          <w:highlight w:val="none"/>
        </w:rPr>
        <w:fldChar w:fldCharType="end"/>
      </w:r>
    </w:p>
    <w:p w14:paraId="1CDB0E7D">
      <w:pPr>
        <w:pStyle w:val="40"/>
        <w:tabs>
          <w:tab w:val="right" w:leader="dot" w:pos="9072"/>
        </w:tabs>
        <w:rPr>
          <w:highlight w:val="none"/>
        </w:rPr>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_Toc18106 </w:instrText>
      </w:r>
      <w:r>
        <w:rPr>
          <w:rFonts w:hint="eastAsia" w:ascii="宋体" w:hAnsi="宋体" w:cs="宋体"/>
          <w:szCs w:val="21"/>
          <w:highlight w:val="none"/>
        </w:rPr>
        <w:fldChar w:fldCharType="separate"/>
      </w:r>
      <w:r>
        <w:rPr>
          <w:rFonts w:hint="eastAsia" w:ascii="宋体" w:hAnsi="宋体" w:cs="宋体"/>
          <w:szCs w:val="21"/>
          <w:highlight w:val="none"/>
        </w:rPr>
        <w:t>5.1 开标时间和地点</w:t>
      </w:r>
      <w:r>
        <w:rPr>
          <w:highlight w:val="none"/>
        </w:rPr>
        <w:tab/>
      </w:r>
      <w:r>
        <w:rPr>
          <w:highlight w:val="none"/>
        </w:rPr>
        <w:fldChar w:fldCharType="begin"/>
      </w:r>
      <w:r>
        <w:rPr>
          <w:highlight w:val="none"/>
        </w:rPr>
        <w:instrText xml:space="preserve"> PAGEREF _Toc18106 \h </w:instrText>
      </w:r>
      <w:r>
        <w:rPr>
          <w:highlight w:val="none"/>
        </w:rPr>
        <w:fldChar w:fldCharType="separate"/>
      </w:r>
      <w:r>
        <w:rPr>
          <w:highlight w:val="none"/>
        </w:rPr>
        <w:t>18</w:t>
      </w:r>
      <w:r>
        <w:rPr>
          <w:highlight w:val="none"/>
        </w:rPr>
        <w:fldChar w:fldCharType="end"/>
      </w:r>
      <w:r>
        <w:rPr>
          <w:rFonts w:hint="eastAsia" w:ascii="宋体" w:hAnsi="宋体" w:cs="宋体"/>
          <w:color w:val="auto"/>
          <w:szCs w:val="21"/>
          <w:highlight w:val="none"/>
        </w:rPr>
        <w:fldChar w:fldCharType="end"/>
      </w:r>
    </w:p>
    <w:p w14:paraId="49A16B84">
      <w:pPr>
        <w:pStyle w:val="40"/>
        <w:tabs>
          <w:tab w:val="right" w:leader="dot" w:pos="9072"/>
        </w:tabs>
        <w:rPr>
          <w:highlight w:val="none"/>
        </w:rPr>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_Toc6732 </w:instrText>
      </w:r>
      <w:r>
        <w:rPr>
          <w:rFonts w:hint="eastAsia" w:ascii="宋体" w:hAnsi="宋体" w:cs="宋体"/>
          <w:szCs w:val="21"/>
          <w:highlight w:val="none"/>
        </w:rPr>
        <w:fldChar w:fldCharType="separate"/>
      </w:r>
      <w:r>
        <w:rPr>
          <w:rFonts w:hint="eastAsia" w:ascii="宋体" w:hAnsi="宋体" w:cs="宋体"/>
          <w:szCs w:val="21"/>
          <w:highlight w:val="none"/>
        </w:rPr>
        <w:t>5.2 开标程序</w:t>
      </w:r>
      <w:r>
        <w:rPr>
          <w:highlight w:val="none"/>
        </w:rPr>
        <w:tab/>
      </w:r>
      <w:r>
        <w:rPr>
          <w:highlight w:val="none"/>
        </w:rPr>
        <w:fldChar w:fldCharType="begin"/>
      </w:r>
      <w:r>
        <w:rPr>
          <w:highlight w:val="none"/>
        </w:rPr>
        <w:instrText xml:space="preserve"> PAGEREF _Toc6732 \h </w:instrText>
      </w:r>
      <w:r>
        <w:rPr>
          <w:highlight w:val="none"/>
        </w:rPr>
        <w:fldChar w:fldCharType="separate"/>
      </w:r>
      <w:r>
        <w:rPr>
          <w:highlight w:val="none"/>
        </w:rPr>
        <w:t>19</w:t>
      </w:r>
      <w:r>
        <w:rPr>
          <w:highlight w:val="none"/>
        </w:rPr>
        <w:fldChar w:fldCharType="end"/>
      </w:r>
      <w:r>
        <w:rPr>
          <w:rFonts w:hint="eastAsia" w:ascii="宋体" w:hAnsi="宋体" w:cs="宋体"/>
          <w:color w:val="auto"/>
          <w:szCs w:val="21"/>
          <w:highlight w:val="none"/>
        </w:rPr>
        <w:fldChar w:fldCharType="end"/>
      </w:r>
    </w:p>
    <w:p w14:paraId="5E482024">
      <w:pPr>
        <w:pStyle w:val="40"/>
        <w:tabs>
          <w:tab w:val="right" w:leader="dot" w:pos="9072"/>
        </w:tabs>
        <w:rPr>
          <w:highlight w:val="none"/>
        </w:rPr>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_Toc955 </w:instrText>
      </w:r>
      <w:r>
        <w:rPr>
          <w:rFonts w:hint="eastAsia" w:ascii="宋体" w:hAnsi="宋体" w:cs="宋体"/>
          <w:szCs w:val="21"/>
          <w:highlight w:val="none"/>
        </w:rPr>
        <w:fldChar w:fldCharType="separate"/>
      </w:r>
      <w:r>
        <w:rPr>
          <w:rFonts w:hint="eastAsia" w:ascii="宋体" w:hAnsi="宋体" w:cs="宋体"/>
          <w:szCs w:val="21"/>
          <w:highlight w:val="none"/>
        </w:rPr>
        <w:t>5.3投标文件不予受理情形</w:t>
      </w:r>
      <w:r>
        <w:rPr>
          <w:highlight w:val="none"/>
        </w:rPr>
        <w:tab/>
      </w:r>
      <w:r>
        <w:rPr>
          <w:highlight w:val="none"/>
        </w:rPr>
        <w:fldChar w:fldCharType="begin"/>
      </w:r>
      <w:r>
        <w:rPr>
          <w:highlight w:val="none"/>
        </w:rPr>
        <w:instrText xml:space="preserve"> PAGEREF _Toc955 \h </w:instrText>
      </w:r>
      <w:r>
        <w:rPr>
          <w:highlight w:val="none"/>
        </w:rPr>
        <w:fldChar w:fldCharType="separate"/>
      </w:r>
      <w:r>
        <w:rPr>
          <w:highlight w:val="none"/>
        </w:rPr>
        <w:t>19</w:t>
      </w:r>
      <w:r>
        <w:rPr>
          <w:highlight w:val="none"/>
        </w:rPr>
        <w:fldChar w:fldCharType="end"/>
      </w:r>
      <w:r>
        <w:rPr>
          <w:rFonts w:hint="eastAsia" w:ascii="宋体" w:hAnsi="宋体" w:cs="宋体"/>
          <w:color w:val="auto"/>
          <w:szCs w:val="21"/>
          <w:highlight w:val="none"/>
        </w:rPr>
        <w:fldChar w:fldCharType="end"/>
      </w:r>
    </w:p>
    <w:p w14:paraId="695F1B49">
      <w:pPr>
        <w:pStyle w:val="30"/>
        <w:tabs>
          <w:tab w:val="right" w:leader="dot" w:pos="9072"/>
        </w:tabs>
        <w:rPr>
          <w:highlight w:val="none"/>
        </w:rPr>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_Toc2349 </w:instrText>
      </w:r>
      <w:r>
        <w:rPr>
          <w:rFonts w:hint="eastAsia" w:ascii="宋体" w:hAnsi="宋体" w:cs="宋体"/>
          <w:szCs w:val="21"/>
          <w:highlight w:val="none"/>
        </w:rPr>
        <w:fldChar w:fldCharType="separate"/>
      </w:r>
      <w:r>
        <w:rPr>
          <w:rFonts w:hint="eastAsia" w:ascii="宋体" w:hAnsi="宋体" w:cs="宋体"/>
          <w:szCs w:val="24"/>
          <w:highlight w:val="none"/>
        </w:rPr>
        <w:t>6．评标</w:t>
      </w:r>
      <w:r>
        <w:rPr>
          <w:highlight w:val="none"/>
        </w:rPr>
        <w:tab/>
      </w:r>
      <w:r>
        <w:rPr>
          <w:highlight w:val="none"/>
        </w:rPr>
        <w:fldChar w:fldCharType="begin"/>
      </w:r>
      <w:r>
        <w:rPr>
          <w:highlight w:val="none"/>
        </w:rPr>
        <w:instrText xml:space="preserve"> PAGEREF _Toc2349 \h </w:instrText>
      </w:r>
      <w:r>
        <w:rPr>
          <w:highlight w:val="none"/>
        </w:rPr>
        <w:fldChar w:fldCharType="separate"/>
      </w:r>
      <w:r>
        <w:rPr>
          <w:highlight w:val="none"/>
        </w:rPr>
        <w:t>19</w:t>
      </w:r>
      <w:r>
        <w:rPr>
          <w:highlight w:val="none"/>
        </w:rPr>
        <w:fldChar w:fldCharType="end"/>
      </w:r>
      <w:r>
        <w:rPr>
          <w:rFonts w:hint="eastAsia" w:ascii="宋体" w:hAnsi="宋体" w:cs="宋体"/>
          <w:color w:val="auto"/>
          <w:szCs w:val="21"/>
          <w:highlight w:val="none"/>
        </w:rPr>
        <w:fldChar w:fldCharType="end"/>
      </w:r>
    </w:p>
    <w:p w14:paraId="4DD545CA">
      <w:pPr>
        <w:pStyle w:val="40"/>
        <w:tabs>
          <w:tab w:val="right" w:leader="dot" w:pos="9072"/>
        </w:tabs>
        <w:rPr>
          <w:highlight w:val="none"/>
        </w:rPr>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_Toc10506 </w:instrText>
      </w:r>
      <w:r>
        <w:rPr>
          <w:rFonts w:hint="eastAsia" w:ascii="宋体" w:hAnsi="宋体" w:cs="宋体"/>
          <w:szCs w:val="21"/>
          <w:highlight w:val="none"/>
        </w:rPr>
        <w:fldChar w:fldCharType="separate"/>
      </w:r>
      <w:r>
        <w:rPr>
          <w:rFonts w:hint="eastAsia" w:ascii="宋体" w:hAnsi="宋体" w:cs="宋体"/>
          <w:szCs w:val="21"/>
          <w:highlight w:val="none"/>
        </w:rPr>
        <w:t>6.1 评标委员会</w:t>
      </w:r>
      <w:r>
        <w:rPr>
          <w:highlight w:val="none"/>
        </w:rPr>
        <w:tab/>
      </w:r>
      <w:r>
        <w:rPr>
          <w:highlight w:val="none"/>
        </w:rPr>
        <w:fldChar w:fldCharType="begin"/>
      </w:r>
      <w:r>
        <w:rPr>
          <w:highlight w:val="none"/>
        </w:rPr>
        <w:instrText xml:space="preserve"> PAGEREF _Toc10506 \h </w:instrText>
      </w:r>
      <w:r>
        <w:rPr>
          <w:highlight w:val="none"/>
        </w:rPr>
        <w:fldChar w:fldCharType="separate"/>
      </w:r>
      <w:r>
        <w:rPr>
          <w:highlight w:val="none"/>
        </w:rPr>
        <w:t>19</w:t>
      </w:r>
      <w:r>
        <w:rPr>
          <w:highlight w:val="none"/>
        </w:rPr>
        <w:fldChar w:fldCharType="end"/>
      </w:r>
      <w:r>
        <w:rPr>
          <w:rFonts w:hint="eastAsia" w:ascii="宋体" w:hAnsi="宋体" w:cs="宋体"/>
          <w:color w:val="auto"/>
          <w:szCs w:val="21"/>
          <w:highlight w:val="none"/>
        </w:rPr>
        <w:fldChar w:fldCharType="end"/>
      </w:r>
    </w:p>
    <w:p w14:paraId="74B18EEC">
      <w:pPr>
        <w:pStyle w:val="40"/>
        <w:tabs>
          <w:tab w:val="right" w:leader="dot" w:pos="9072"/>
        </w:tabs>
        <w:rPr>
          <w:highlight w:val="none"/>
        </w:rPr>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_Toc6278 </w:instrText>
      </w:r>
      <w:r>
        <w:rPr>
          <w:rFonts w:hint="eastAsia" w:ascii="宋体" w:hAnsi="宋体" w:cs="宋体"/>
          <w:szCs w:val="21"/>
          <w:highlight w:val="none"/>
        </w:rPr>
        <w:fldChar w:fldCharType="separate"/>
      </w:r>
      <w:r>
        <w:rPr>
          <w:rFonts w:hint="eastAsia" w:ascii="宋体" w:hAnsi="宋体" w:cs="宋体"/>
          <w:szCs w:val="21"/>
          <w:highlight w:val="none"/>
        </w:rPr>
        <w:t>6.2 评标原则</w:t>
      </w:r>
      <w:r>
        <w:rPr>
          <w:highlight w:val="none"/>
        </w:rPr>
        <w:tab/>
      </w:r>
      <w:r>
        <w:rPr>
          <w:highlight w:val="none"/>
        </w:rPr>
        <w:fldChar w:fldCharType="begin"/>
      </w:r>
      <w:r>
        <w:rPr>
          <w:highlight w:val="none"/>
        </w:rPr>
        <w:instrText xml:space="preserve"> PAGEREF _Toc6278 \h </w:instrText>
      </w:r>
      <w:r>
        <w:rPr>
          <w:highlight w:val="none"/>
        </w:rPr>
        <w:fldChar w:fldCharType="separate"/>
      </w:r>
      <w:r>
        <w:rPr>
          <w:highlight w:val="none"/>
        </w:rPr>
        <w:t>20</w:t>
      </w:r>
      <w:r>
        <w:rPr>
          <w:highlight w:val="none"/>
        </w:rPr>
        <w:fldChar w:fldCharType="end"/>
      </w:r>
      <w:r>
        <w:rPr>
          <w:rFonts w:hint="eastAsia" w:ascii="宋体" w:hAnsi="宋体" w:cs="宋体"/>
          <w:color w:val="auto"/>
          <w:szCs w:val="21"/>
          <w:highlight w:val="none"/>
        </w:rPr>
        <w:fldChar w:fldCharType="end"/>
      </w:r>
    </w:p>
    <w:p w14:paraId="40DCE522">
      <w:pPr>
        <w:pStyle w:val="40"/>
        <w:tabs>
          <w:tab w:val="right" w:leader="dot" w:pos="9072"/>
        </w:tabs>
        <w:rPr>
          <w:highlight w:val="none"/>
        </w:rPr>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_Toc32201 </w:instrText>
      </w:r>
      <w:r>
        <w:rPr>
          <w:rFonts w:hint="eastAsia" w:ascii="宋体" w:hAnsi="宋体" w:cs="宋体"/>
          <w:szCs w:val="21"/>
          <w:highlight w:val="none"/>
        </w:rPr>
        <w:fldChar w:fldCharType="separate"/>
      </w:r>
      <w:r>
        <w:rPr>
          <w:rFonts w:hint="eastAsia" w:ascii="宋体" w:hAnsi="宋体" w:cs="宋体"/>
          <w:szCs w:val="21"/>
          <w:highlight w:val="none"/>
        </w:rPr>
        <w:t>6.3 评标</w:t>
      </w:r>
      <w:r>
        <w:rPr>
          <w:highlight w:val="none"/>
        </w:rPr>
        <w:tab/>
      </w:r>
      <w:r>
        <w:rPr>
          <w:highlight w:val="none"/>
        </w:rPr>
        <w:fldChar w:fldCharType="begin"/>
      </w:r>
      <w:r>
        <w:rPr>
          <w:highlight w:val="none"/>
        </w:rPr>
        <w:instrText xml:space="preserve"> PAGEREF _Toc32201 \h </w:instrText>
      </w:r>
      <w:r>
        <w:rPr>
          <w:highlight w:val="none"/>
        </w:rPr>
        <w:fldChar w:fldCharType="separate"/>
      </w:r>
      <w:r>
        <w:rPr>
          <w:highlight w:val="none"/>
        </w:rPr>
        <w:t>20</w:t>
      </w:r>
      <w:r>
        <w:rPr>
          <w:highlight w:val="none"/>
        </w:rPr>
        <w:fldChar w:fldCharType="end"/>
      </w:r>
      <w:r>
        <w:rPr>
          <w:rFonts w:hint="eastAsia" w:ascii="宋体" w:hAnsi="宋体" w:cs="宋体"/>
          <w:color w:val="auto"/>
          <w:szCs w:val="21"/>
          <w:highlight w:val="none"/>
        </w:rPr>
        <w:fldChar w:fldCharType="end"/>
      </w:r>
    </w:p>
    <w:p w14:paraId="60467D1F">
      <w:pPr>
        <w:pStyle w:val="30"/>
        <w:tabs>
          <w:tab w:val="right" w:leader="dot" w:pos="9072"/>
        </w:tabs>
        <w:rPr>
          <w:highlight w:val="none"/>
        </w:rPr>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_Toc4111 </w:instrText>
      </w:r>
      <w:r>
        <w:rPr>
          <w:rFonts w:hint="eastAsia" w:ascii="宋体" w:hAnsi="宋体" w:cs="宋体"/>
          <w:szCs w:val="21"/>
          <w:highlight w:val="none"/>
        </w:rPr>
        <w:fldChar w:fldCharType="separate"/>
      </w:r>
      <w:r>
        <w:rPr>
          <w:rFonts w:hint="eastAsia" w:ascii="宋体" w:hAnsi="宋体" w:cs="宋体"/>
          <w:szCs w:val="24"/>
          <w:highlight w:val="none"/>
        </w:rPr>
        <w:t>7．合同授予</w:t>
      </w:r>
      <w:r>
        <w:rPr>
          <w:highlight w:val="none"/>
        </w:rPr>
        <w:tab/>
      </w:r>
      <w:r>
        <w:rPr>
          <w:highlight w:val="none"/>
        </w:rPr>
        <w:fldChar w:fldCharType="begin"/>
      </w:r>
      <w:r>
        <w:rPr>
          <w:highlight w:val="none"/>
        </w:rPr>
        <w:instrText xml:space="preserve"> PAGEREF _Toc4111 \h </w:instrText>
      </w:r>
      <w:r>
        <w:rPr>
          <w:highlight w:val="none"/>
        </w:rPr>
        <w:fldChar w:fldCharType="separate"/>
      </w:r>
      <w:r>
        <w:rPr>
          <w:highlight w:val="none"/>
        </w:rPr>
        <w:t>20</w:t>
      </w:r>
      <w:r>
        <w:rPr>
          <w:highlight w:val="none"/>
        </w:rPr>
        <w:fldChar w:fldCharType="end"/>
      </w:r>
      <w:r>
        <w:rPr>
          <w:rFonts w:hint="eastAsia" w:ascii="宋体" w:hAnsi="宋体" w:cs="宋体"/>
          <w:color w:val="auto"/>
          <w:szCs w:val="21"/>
          <w:highlight w:val="none"/>
        </w:rPr>
        <w:fldChar w:fldCharType="end"/>
      </w:r>
    </w:p>
    <w:p w14:paraId="60A4925B">
      <w:pPr>
        <w:pStyle w:val="40"/>
        <w:tabs>
          <w:tab w:val="right" w:leader="dot" w:pos="9072"/>
        </w:tabs>
        <w:rPr>
          <w:highlight w:val="none"/>
        </w:rPr>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_Toc15231 </w:instrText>
      </w:r>
      <w:r>
        <w:rPr>
          <w:rFonts w:hint="eastAsia" w:ascii="宋体" w:hAnsi="宋体" w:cs="宋体"/>
          <w:szCs w:val="21"/>
          <w:highlight w:val="none"/>
        </w:rPr>
        <w:fldChar w:fldCharType="separate"/>
      </w:r>
      <w:r>
        <w:rPr>
          <w:rFonts w:hint="eastAsia" w:ascii="宋体" w:hAnsi="宋体" w:cs="宋体"/>
          <w:szCs w:val="21"/>
          <w:highlight w:val="none"/>
        </w:rPr>
        <w:t>7.1 定标方式</w:t>
      </w:r>
      <w:r>
        <w:rPr>
          <w:highlight w:val="none"/>
        </w:rPr>
        <w:tab/>
      </w:r>
      <w:r>
        <w:rPr>
          <w:highlight w:val="none"/>
        </w:rPr>
        <w:fldChar w:fldCharType="begin"/>
      </w:r>
      <w:r>
        <w:rPr>
          <w:highlight w:val="none"/>
        </w:rPr>
        <w:instrText xml:space="preserve"> PAGEREF _Toc15231 \h </w:instrText>
      </w:r>
      <w:r>
        <w:rPr>
          <w:highlight w:val="none"/>
        </w:rPr>
        <w:fldChar w:fldCharType="separate"/>
      </w:r>
      <w:r>
        <w:rPr>
          <w:highlight w:val="none"/>
        </w:rPr>
        <w:t>20</w:t>
      </w:r>
      <w:r>
        <w:rPr>
          <w:highlight w:val="none"/>
        </w:rPr>
        <w:fldChar w:fldCharType="end"/>
      </w:r>
      <w:r>
        <w:rPr>
          <w:rFonts w:hint="eastAsia" w:ascii="宋体" w:hAnsi="宋体" w:cs="宋体"/>
          <w:color w:val="auto"/>
          <w:szCs w:val="21"/>
          <w:highlight w:val="none"/>
        </w:rPr>
        <w:fldChar w:fldCharType="end"/>
      </w:r>
    </w:p>
    <w:p w14:paraId="0A233D9D">
      <w:pPr>
        <w:pStyle w:val="40"/>
        <w:tabs>
          <w:tab w:val="right" w:leader="dot" w:pos="9072"/>
        </w:tabs>
        <w:rPr>
          <w:highlight w:val="none"/>
        </w:rPr>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_Toc22809 </w:instrText>
      </w:r>
      <w:r>
        <w:rPr>
          <w:rFonts w:hint="eastAsia" w:ascii="宋体" w:hAnsi="宋体" w:cs="宋体"/>
          <w:szCs w:val="21"/>
          <w:highlight w:val="none"/>
        </w:rPr>
        <w:fldChar w:fldCharType="separate"/>
      </w:r>
      <w:r>
        <w:rPr>
          <w:rFonts w:hint="eastAsia" w:ascii="宋体" w:hAnsi="宋体" w:cs="宋体"/>
          <w:szCs w:val="21"/>
          <w:highlight w:val="none"/>
        </w:rPr>
        <w:t>7.2 中标通知</w:t>
      </w:r>
      <w:r>
        <w:rPr>
          <w:highlight w:val="none"/>
        </w:rPr>
        <w:tab/>
      </w:r>
      <w:r>
        <w:rPr>
          <w:highlight w:val="none"/>
        </w:rPr>
        <w:fldChar w:fldCharType="begin"/>
      </w:r>
      <w:r>
        <w:rPr>
          <w:highlight w:val="none"/>
        </w:rPr>
        <w:instrText xml:space="preserve"> PAGEREF _Toc22809 \h </w:instrText>
      </w:r>
      <w:r>
        <w:rPr>
          <w:highlight w:val="none"/>
        </w:rPr>
        <w:fldChar w:fldCharType="separate"/>
      </w:r>
      <w:r>
        <w:rPr>
          <w:highlight w:val="none"/>
        </w:rPr>
        <w:t>20</w:t>
      </w:r>
      <w:r>
        <w:rPr>
          <w:highlight w:val="none"/>
        </w:rPr>
        <w:fldChar w:fldCharType="end"/>
      </w:r>
      <w:r>
        <w:rPr>
          <w:rFonts w:hint="eastAsia" w:ascii="宋体" w:hAnsi="宋体" w:cs="宋体"/>
          <w:color w:val="auto"/>
          <w:szCs w:val="21"/>
          <w:highlight w:val="none"/>
        </w:rPr>
        <w:fldChar w:fldCharType="end"/>
      </w:r>
    </w:p>
    <w:p w14:paraId="7A7F9BDA">
      <w:pPr>
        <w:pStyle w:val="40"/>
        <w:tabs>
          <w:tab w:val="right" w:leader="dot" w:pos="9072"/>
        </w:tabs>
        <w:rPr>
          <w:highlight w:val="none"/>
        </w:rPr>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_Toc3196 </w:instrText>
      </w:r>
      <w:r>
        <w:rPr>
          <w:rFonts w:hint="eastAsia" w:ascii="宋体" w:hAnsi="宋体" w:cs="宋体"/>
          <w:szCs w:val="21"/>
          <w:highlight w:val="none"/>
        </w:rPr>
        <w:fldChar w:fldCharType="separate"/>
      </w:r>
      <w:r>
        <w:rPr>
          <w:rFonts w:hint="eastAsia" w:ascii="宋体" w:hAnsi="宋体" w:cs="宋体"/>
          <w:szCs w:val="21"/>
          <w:highlight w:val="none"/>
        </w:rPr>
        <w:t>7.3 履约担保</w:t>
      </w:r>
      <w:r>
        <w:rPr>
          <w:highlight w:val="none"/>
        </w:rPr>
        <w:tab/>
      </w:r>
      <w:r>
        <w:rPr>
          <w:highlight w:val="none"/>
        </w:rPr>
        <w:fldChar w:fldCharType="begin"/>
      </w:r>
      <w:r>
        <w:rPr>
          <w:highlight w:val="none"/>
        </w:rPr>
        <w:instrText xml:space="preserve"> PAGEREF _Toc3196 \h </w:instrText>
      </w:r>
      <w:r>
        <w:rPr>
          <w:highlight w:val="none"/>
        </w:rPr>
        <w:fldChar w:fldCharType="separate"/>
      </w:r>
      <w:r>
        <w:rPr>
          <w:highlight w:val="none"/>
        </w:rPr>
        <w:t>20</w:t>
      </w:r>
      <w:r>
        <w:rPr>
          <w:highlight w:val="none"/>
        </w:rPr>
        <w:fldChar w:fldCharType="end"/>
      </w:r>
      <w:r>
        <w:rPr>
          <w:rFonts w:hint="eastAsia" w:ascii="宋体" w:hAnsi="宋体" w:cs="宋体"/>
          <w:color w:val="auto"/>
          <w:szCs w:val="21"/>
          <w:highlight w:val="none"/>
        </w:rPr>
        <w:fldChar w:fldCharType="end"/>
      </w:r>
    </w:p>
    <w:p w14:paraId="690A096D">
      <w:pPr>
        <w:pStyle w:val="40"/>
        <w:tabs>
          <w:tab w:val="right" w:leader="dot" w:pos="9072"/>
        </w:tabs>
        <w:rPr>
          <w:highlight w:val="none"/>
        </w:rPr>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_Toc18926 </w:instrText>
      </w:r>
      <w:r>
        <w:rPr>
          <w:rFonts w:hint="eastAsia" w:ascii="宋体" w:hAnsi="宋体" w:cs="宋体"/>
          <w:szCs w:val="21"/>
          <w:highlight w:val="none"/>
        </w:rPr>
        <w:fldChar w:fldCharType="separate"/>
      </w:r>
      <w:r>
        <w:rPr>
          <w:rFonts w:hint="eastAsia" w:ascii="宋体" w:hAnsi="宋体" w:cs="宋体"/>
          <w:szCs w:val="21"/>
          <w:highlight w:val="none"/>
        </w:rPr>
        <w:t>7.4 签订合同</w:t>
      </w:r>
      <w:r>
        <w:rPr>
          <w:highlight w:val="none"/>
        </w:rPr>
        <w:tab/>
      </w:r>
      <w:r>
        <w:rPr>
          <w:highlight w:val="none"/>
        </w:rPr>
        <w:fldChar w:fldCharType="begin"/>
      </w:r>
      <w:r>
        <w:rPr>
          <w:highlight w:val="none"/>
        </w:rPr>
        <w:instrText xml:space="preserve"> PAGEREF _Toc18926 \h </w:instrText>
      </w:r>
      <w:r>
        <w:rPr>
          <w:highlight w:val="none"/>
        </w:rPr>
        <w:fldChar w:fldCharType="separate"/>
      </w:r>
      <w:r>
        <w:rPr>
          <w:highlight w:val="none"/>
        </w:rPr>
        <w:t>20</w:t>
      </w:r>
      <w:r>
        <w:rPr>
          <w:highlight w:val="none"/>
        </w:rPr>
        <w:fldChar w:fldCharType="end"/>
      </w:r>
      <w:r>
        <w:rPr>
          <w:rFonts w:hint="eastAsia" w:ascii="宋体" w:hAnsi="宋体" w:cs="宋体"/>
          <w:color w:val="auto"/>
          <w:szCs w:val="21"/>
          <w:highlight w:val="none"/>
        </w:rPr>
        <w:fldChar w:fldCharType="end"/>
      </w:r>
    </w:p>
    <w:p w14:paraId="0A7E5A29">
      <w:pPr>
        <w:pStyle w:val="30"/>
        <w:tabs>
          <w:tab w:val="right" w:leader="dot" w:pos="9072"/>
        </w:tabs>
        <w:rPr>
          <w:highlight w:val="none"/>
        </w:rPr>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_Toc22070 </w:instrText>
      </w:r>
      <w:r>
        <w:rPr>
          <w:rFonts w:hint="eastAsia" w:ascii="宋体" w:hAnsi="宋体" w:cs="宋体"/>
          <w:szCs w:val="21"/>
          <w:highlight w:val="none"/>
        </w:rPr>
        <w:fldChar w:fldCharType="separate"/>
      </w:r>
      <w:r>
        <w:rPr>
          <w:rFonts w:hint="eastAsia" w:ascii="宋体" w:hAnsi="宋体" w:cs="宋体"/>
          <w:szCs w:val="24"/>
          <w:highlight w:val="none"/>
        </w:rPr>
        <w:t>8．重新招标和不再招标</w:t>
      </w:r>
      <w:r>
        <w:rPr>
          <w:highlight w:val="none"/>
        </w:rPr>
        <w:tab/>
      </w:r>
      <w:r>
        <w:rPr>
          <w:highlight w:val="none"/>
        </w:rPr>
        <w:fldChar w:fldCharType="begin"/>
      </w:r>
      <w:r>
        <w:rPr>
          <w:highlight w:val="none"/>
        </w:rPr>
        <w:instrText xml:space="preserve"> PAGEREF _Toc22070 \h </w:instrText>
      </w:r>
      <w:r>
        <w:rPr>
          <w:highlight w:val="none"/>
        </w:rPr>
        <w:fldChar w:fldCharType="separate"/>
      </w:r>
      <w:r>
        <w:rPr>
          <w:highlight w:val="none"/>
        </w:rPr>
        <w:t>20</w:t>
      </w:r>
      <w:r>
        <w:rPr>
          <w:highlight w:val="none"/>
        </w:rPr>
        <w:fldChar w:fldCharType="end"/>
      </w:r>
      <w:r>
        <w:rPr>
          <w:rFonts w:hint="eastAsia" w:ascii="宋体" w:hAnsi="宋体" w:cs="宋体"/>
          <w:color w:val="auto"/>
          <w:szCs w:val="21"/>
          <w:highlight w:val="none"/>
        </w:rPr>
        <w:fldChar w:fldCharType="end"/>
      </w:r>
    </w:p>
    <w:p w14:paraId="6C1FDDB2">
      <w:pPr>
        <w:pStyle w:val="40"/>
        <w:tabs>
          <w:tab w:val="right" w:leader="dot" w:pos="9072"/>
        </w:tabs>
        <w:rPr>
          <w:highlight w:val="none"/>
        </w:rPr>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_Toc16699 </w:instrText>
      </w:r>
      <w:r>
        <w:rPr>
          <w:rFonts w:hint="eastAsia" w:ascii="宋体" w:hAnsi="宋体" w:cs="宋体"/>
          <w:szCs w:val="21"/>
          <w:highlight w:val="none"/>
        </w:rPr>
        <w:fldChar w:fldCharType="separate"/>
      </w:r>
      <w:r>
        <w:rPr>
          <w:rFonts w:hint="eastAsia" w:ascii="宋体" w:hAnsi="宋体" w:cs="宋体"/>
          <w:szCs w:val="21"/>
          <w:highlight w:val="none"/>
        </w:rPr>
        <w:t>8.1 重新招标</w:t>
      </w:r>
      <w:r>
        <w:rPr>
          <w:highlight w:val="none"/>
        </w:rPr>
        <w:tab/>
      </w:r>
      <w:r>
        <w:rPr>
          <w:highlight w:val="none"/>
        </w:rPr>
        <w:fldChar w:fldCharType="begin"/>
      </w:r>
      <w:r>
        <w:rPr>
          <w:highlight w:val="none"/>
        </w:rPr>
        <w:instrText xml:space="preserve"> PAGEREF _Toc16699 \h </w:instrText>
      </w:r>
      <w:r>
        <w:rPr>
          <w:highlight w:val="none"/>
        </w:rPr>
        <w:fldChar w:fldCharType="separate"/>
      </w:r>
      <w:r>
        <w:rPr>
          <w:highlight w:val="none"/>
        </w:rPr>
        <w:t>20</w:t>
      </w:r>
      <w:r>
        <w:rPr>
          <w:highlight w:val="none"/>
        </w:rPr>
        <w:fldChar w:fldCharType="end"/>
      </w:r>
      <w:r>
        <w:rPr>
          <w:rFonts w:hint="eastAsia" w:ascii="宋体" w:hAnsi="宋体" w:cs="宋体"/>
          <w:color w:val="auto"/>
          <w:szCs w:val="21"/>
          <w:highlight w:val="none"/>
        </w:rPr>
        <w:fldChar w:fldCharType="end"/>
      </w:r>
    </w:p>
    <w:p w14:paraId="7C34EF4E">
      <w:pPr>
        <w:pStyle w:val="40"/>
        <w:tabs>
          <w:tab w:val="right" w:leader="dot" w:pos="9072"/>
        </w:tabs>
        <w:rPr>
          <w:highlight w:val="none"/>
        </w:rPr>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_Toc30597 </w:instrText>
      </w:r>
      <w:r>
        <w:rPr>
          <w:rFonts w:hint="eastAsia" w:ascii="宋体" w:hAnsi="宋体" w:cs="宋体"/>
          <w:szCs w:val="21"/>
          <w:highlight w:val="none"/>
        </w:rPr>
        <w:fldChar w:fldCharType="separate"/>
      </w:r>
      <w:r>
        <w:rPr>
          <w:rFonts w:hint="eastAsia" w:ascii="宋体" w:hAnsi="宋体" w:cs="宋体"/>
          <w:szCs w:val="21"/>
          <w:highlight w:val="none"/>
        </w:rPr>
        <w:t>8.2 不再招标</w:t>
      </w:r>
      <w:r>
        <w:rPr>
          <w:highlight w:val="none"/>
        </w:rPr>
        <w:tab/>
      </w:r>
      <w:r>
        <w:rPr>
          <w:highlight w:val="none"/>
        </w:rPr>
        <w:fldChar w:fldCharType="begin"/>
      </w:r>
      <w:r>
        <w:rPr>
          <w:highlight w:val="none"/>
        </w:rPr>
        <w:instrText xml:space="preserve"> PAGEREF _Toc30597 \h </w:instrText>
      </w:r>
      <w:r>
        <w:rPr>
          <w:highlight w:val="none"/>
        </w:rPr>
        <w:fldChar w:fldCharType="separate"/>
      </w:r>
      <w:r>
        <w:rPr>
          <w:highlight w:val="none"/>
        </w:rPr>
        <w:t>21</w:t>
      </w:r>
      <w:r>
        <w:rPr>
          <w:highlight w:val="none"/>
        </w:rPr>
        <w:fldChar w:fldCharType="end"/>
      </w:r>
      <w:r>
        <w:rPr>
          <w:rFonts w:hint="eastAsia" w:ascii="宋体" w:hAnsi="宋体" w:cs="宋体"/>
          <w:color w:val="auto"/>
          <w:szCs w:val="21"/>
          <w:highlight w:val="none"/>
        </w:rPr>
        <w:fldChar w:fldCharType="end"/>
      </w:r>
    </w:p>
    <w:p w14:paraId="2CEBAD9D">
      <w:pPr>
        <w:pStyle w:val="30"/>
        <w:tabs>
          <w:tab w:val="right" w:leader="dot" w:pos="9072"/>
        </w:tabs>
        <w:rPr>
          <w:highlight w:val="none"/>
        </w:rPr>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_Toc14796 </w:instrText>
      </w:r>
      <w:r>
        <w:rPr>
          <w:rFonts w:hint="eastAsia" w:ascii="宋体" w:hAnsi="宋体" w:cs="宋体"/>
          <w:szCs w:val="21"/>
          <w:highlight w:val="none"/>
        </w:rPr>
        <w:fldChar w:fldCharType="separate"/>
      </w:r>
      <w:r>
        <w:rPr>
          <w:rFonts w:hint="eastAsia" w:ascii="宋体" w:hAnsi="宋体" w:cs="宋体"/>
          <w:szCs w:val="24"/>
          <w:highlight w:val="none"/>
        </w:rPr>
        <w:t>9．纪律和监督</w:t>
      </w:r>
      <w:r>
        <w:rPr>
          <w:highlight w:val="none"/>
        </w:rPr>
        <w:tab/>
      </w:r>
      <w:r>
        <w:rPr>
          <w:highlight w:val="none"/>
        </w:rPr>
        <w:fldChar w:fldCharType="begin"/>
      </w:r>
      <w:r>
        <w:rPr>
          <w:highlight w:val="none"/>
        </w:rPr>
        <w:instrText xml:space="preserve"> PAGEREF _Toc14796 \h </w:instrText>
      </w:r>
      <w:r>
        <w:rPr>
          <w:highlight w:val="none"/>
        </w:rPr>
        <w:fldChar w:fldCharType="separate"/>
      </w:r>
      <w:r>
        <w:rPr>
          <w:highlight w:val="none"/>
        </w:rPr>
        <w:t>21</w:t>
      </w:r>
      <w:r>
        <w:rPr>
          <w:highlight w:val="none"/>
        </w:rPr>
        <w:fldChar w:fldCharType="end"/>
      </w:r>
      <w:r>
        <w:rPr>
          <w:rFonts w:hint="eastAsia" w:ascii="宋体" w:hAnsi="宋体" w:cs="宋体"/>
          <w:color w:val="auto"/>
          <w:szCs w:val="21"/>
          <w:highlight w:val="none"/>
        </w:rPr>
        <w:fldChar w:fldCharType="end"/>
      </w:r>
    </w:p>
    <w:p w14:paraId="4614BDB2">
      <w:pPr>
        <w:pStyle w:val="40"/>
        <w:tabs>
          <w:tab w:val="right" w:leader="dot" w:pos="9072"/>
        </w:tabs>
        <w:rPr>
          <w:highlight w:val="none"/>
        </w:rPr>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_Toc8696 </w:instrText>
      </w:r>
      <w:r>
        <w:rPr>
          <w:rFonts w:hint="eastAsia" w:ascii="宋体" w:hAnsi="宋体" w:cs="宋体"/>
          <w:szCs w:val="21"/>
          <w:highlight w:val="none"/>
        </w:rPr>
        <w:fldChar w:fldCharType="separate"/>
      </w:r>
      <w:r>
        <w:rPr>
          <w:rFonts w:hint="eastAsia" w:ascii="宋体" w:hAnsi="宋体" w:cs="宋体"/>
          <w:szCs w:val="21"/>
          <w:highlight w:val="none"/>
        </w:rPr>
        <w:t>9.1 对招标人的纪律要求</w:t>
      </w:r>
      <w:r>
        <w:rPr>
          <w:highlight w:val="none"/>
        </w:rPr>
        <w:tab/>
      </w:r>
      <w:r>
        <w:rPr>
          <w:highlight w:val="none"/>
        </w:rPr>
        <w:fldChar w:fldCharType="begin"/>
      </w:r>
      <w:r>
        <w:rPr>
          <w:highlight w:val="none"/>
        </w:rPr>
        <w:instrText xml:space="preserve"> PAGEREF _Toc8696 \h </w:instrText>
      </w:r>
      <w:r>
        <w:rPr>
          <w:highlight w:val="none"/>
        </w:rPr>
        <w:fldChar w:fldCharType="separate"/>
      </w:r>
      <w:r>
        <w:rPr>
          <w:highlight w:val="none"/>
        </w:rPr>
        <w:t>21</w:t>
      </w:r>
      <w:r>
        <w:rPr>
          <w:highlight w:val="none"/>
        </w:rPr>
        <w:fldChar w:fldCharType="end"/>
      </w:r>
      <w:r>
        <w:rPr>
          <w:rFonts w:hint="eastAsia" w:ascii="宋体" w:hAnsi="宋体" w:cs="宋体"/>
          <w:color w:val="auto"/>
          <w:szCs w:val="21"/>
          <w:highlight w:val="none"/>
        </w:rPr>
        <w:fldChar w:fldCharType="end"/>
      </w:r>
    </w:p>
    <w:p w14:paraId="0D67DFCB">
      <w:pPr>
        <w:pStyle w:val="40"/>
        <w:tabs>
          <w:tab w:val="right" w:leader="dot" w:pos="9072"/>
        </w:tabs>
        <w:rPr>
          <w:highlight w:val="none"/>
        </w:rPr>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_Toc287 </w:instrText>
      </w:r>
      <w:r>
        <w:rPr>
          <w:rFonts w:hint="eastAsia" w:ascii="宋体" w:hAnsi="宋体" w:cs="宋体"/>
          <w:szCs w:val="21"/>
          <w:highlight w:val="none"/>
        </w:rPr>
        <w:fldChar w:fldCharType="separate"/>
      </w:r>
      <w:r>
        <w:rPr>
          <w:rFonts w:hint="eastAsia" w:ascii="宋体" w:hAnsi="宋体" w:cs="宋体"/>
          <w:szCs w:val="21"/>
          <w:highlight w:val="none"/>
        </w:rPr>
        <w:t>9.2 对投标人的纪律要求</w:t>
      </w:r>
      <w:r>
        <w:rPr>
          <w:highlight w:val="none"/>
        </w:rPr>
        <w:tab/>
      </w:r>
      <w:r>
        <w:rPr>
          <w:highlight w:val="none"/>
        </w:rPr>
        <w:fldChar w:fldCharType="begin"/>
      </w:r>
      <w:r>
        <w:rPr>
          <w:highlight w:val="none"/>
        </w:rPr>
        <w:instrText xml:space="preserve"> PAGEREF _Toc287 \h </w:instrText>
      </w:r>
      <w:r>
        <w:rPr>
          <w:highlight w:val="none"/>
        </w:rPr>
        <w:fldChar w:fldCharType="separate"/>
      </w:r>
      <w:r>
        <w:rPr>
          <w:highlight w:val="none"/>
        </w:rPr>
        <w:t>21</w:t>
      </w:r>
      <w:r>
        <w:rPr>
          <w:highlight w:val="none"/>
        </w:rPr>
        <w:fldChar w:fldCharType="end"/>
      </w:r>
      <w:r>
        <w:rPr>
          <w:rFonts w:hint="eastAsia" w:ascii="宋体" w:hAnsi="宋体" w:cs="宋体"/>
          <w:color w:val="auto"/>
          <w:szCs w:val="21"/>
          <w:highlight w:val="none"/>
        </w:rPr>
        <w:fldChar w:fldCharType="end"/>
      </w:r>
    </w:p>
    <w:p w14:paraId="5601E7F8">
      <w:pPr>
        <w:pStyle w:val="40"/>
        <w:tabs>
          <w:tab w:val="right" w:leader="dot" w:pos="9072"/>
        </w:tabs>
        <w:rPr>
          <w:highlight w:val="none"/>
        </w:rPr>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_Toc28310 </w:instrText>
      </w:r>
      <w:r>
        <w:rPr>
          <w:rFonts w:hint="eastAsia" w:ascii="宋体" w:hAnsi="宋体" w:cs="宋体"/>
          <w:szCs w:val="21"/>
          <w:highlight w:val="none"/>
        </w:rPr>
        <w:fldChar w:fldCharType="separate"/>
      </w:r>
      <w:r>
        <w:rPr>
          <w:rFonts w:hint="eastAsia" w:ascii="宋体" w:hAnsi="宋体" w:cs="宋体"/>
          <w:szCs w:val="21"/>
          <w:highlight w:val="none"/>
        </w:rPr>
        <w:t>9.3 对评标委员会成员的纪律要求</w:t>
      </w:r>
      <w:r>
        <w:rPr>
          <w:highlight w:val="none"/>
        </w:rPr>
        <w:tab/>
      </w:r>
      <w:r>
        <w:rPr>
          <w:highlight w:val="none"/>
        </w:rPr>
        <w:fldChar w:fldCharType="begin"/>
      </w:r>
      <w:r>
        <w:rPr>
          <w:highlight w:val="none"/>
        </w:rPr>
        <w:instrText xml:space="preserve"> PAGEREF _Toc28310 \h </w:instrText>
      </w:r>
      <w:r>
        <w:rPr>
          <w:highlight w:val="none"/>
        </w:rPr>
        <w:fldChar w:fldCharType="separate"/>
      </w:r>
      <w:r>
        <w:rPr>
          <w:highlight w:val="none"/>
        </w:rPr>
        <w:t>21</w:t>
      </w:r>
      <w:r>
        <w:rPr>
          <w:highlight w:val="none"/>
        </w:rPr>
        <w:fldChar w:fldCharType="end"/>
      </w:r>
      <w:r>
        <w:rPr>
          <w:rFonts w:hint="eastAsia" w:ascii="宋体" w:hAnsi="宋体" w:cs="宋体"/>
          <w:color w:val="auto"/>
          <w:szCs w:val="21"/>
          <w:highlight w:val="none"/>
        </w:rPr>
        <w:fldChar w:fldCharType="end"/>
      </w:r>
    </w:p>
    <w:p w14:paraId="166A8C66">
      <w:pPr>
        <w:pStyle w:val="40"/>
        <w:tabs>
          <w:tab w:val="right" w:leader="dot" w:pos="9072"/>
        </w:tabs>
        <w:rPr>
          <w:highlight w:val="none"/>
        </w:rPr>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_Toc20379 </w:instrText>
      </w:r>
      <w:r>
        <w:rPr>
          <w:rFonts w:hint="eastAsia" w:ascii="宋体" w:hAnsi="宋体" w:cs="宋体"/>
          <w:szCs w:val="21"/>
          <w:highlight w:val="none"/>
        </w:rPr>
        <w:fldChar w:fldCharType="separate"/>
      </w:r>
      <w:r>
        <w:rPr>
          <w:rFonts w:hint="eastAsia" w:ascii="宋体" w:hAnsi="宋体" w:cs="宋体"/>
          <w:szCs w:val="21"/>
          <w:highlight w:val="none"/>
        </w:rPr>
        <w:t>9.4 对与评标活动有关的工作人员的纪律要求</w:t>
      </w:r>
      <w:r>
        <w:rPr>
          <w:highlight w:val="none"/>
        </w:rPr>
        <w:tab/>
      </w:r>
      <w:r>
        <w:rPr>
          <w:highlight w:val="none"/>
        </w:rPr>
        <w:fldChar w:fldCharType="begin"/>
      </w:r>
      <w:r>
        <w:rPr>
          <w:highlight w:val="none"/>
        </w:rPr>
        <w:instrText xml:space="preserve"> PAGEREF _Toc20379 \h </w:instrText>
      </w:r>
      <w:r>
        <w:rPr>
          <w:highlight w:val="none"/>
        </w:rPr>
        <w:fldChar w:fldCharType="separate"/>
      </w:r>
      <w:r>
        <w:rPr>
          <w:highlight w:val="none"/>
        </w:rPr>
        <w:t>21</w:t>
      </w:r>
      <w:r>
        <w:rPr>
          <w:highlight w:val="none"/>
        </w:rPr>
        <w:fldChar w:fldCharType="end"/>
      </w:r>
      <w:r>
        <w:rPr>
          <w:rFonts w:hint="eastAsia" w:ascii="宋体" w:hAnsi="宋体" w:cs="宋体"/>
          <w:color w:val="auto"/>
          <w:szCs w:val="21"/>
          <w:highlight w:val="none"/>
        </w:rPr>
        <w:fldChar w:fldCharType="end"/>
      </w:r>
    </w:p>
    <w:p w14:paraId="5CAA7CA8">
      <w:pPr>
        <w:pStyle w:val="40"/>
        <w:tabs>
          <w:tab w:val="right" w:leader="dot" w:pos="9072"/>
        </w:tabs>
        <w:rPr>
          <w:highlight w:val="none"/>
        </w:rPr>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_Toc4542 </w:instrText>
      </w:r>
      <w:r>
        <w:rPr>
          <w:rFonts w:hint="eastAsia" w:ascii="宋体" w:hAnsi="宋体" w:cs="宋体"/>
          <w:szCs w:val="21"/>
          <w:highlight w:val="none"/>
        </w:rPr>
        <w:fldChar w:fldCharType="separate"/>
      </w:r>
      <w:r>
        <w:rPr>
          <w:rFonts w:hint="eastAsia" w:ascii="宋体" w:hAnsi="宋体" w:cs="宋体"/>
          <w:szCs w:val="21"/>
          <w:highlight w:val="none"/>
        </w:rPr>
        <w:t>9.5 投诉</w:t>
      </w:r>
      <w:r>
        <w:rPr>
          <w:highlight w:val="none"/>
        </w:rPr>
        <w:tab/>
      </w:r>
      <w:r>
        <w:rPr>
          <w:highlight w:val="none"/>
        </w:rPr>
        <w:fldChar w:fldCharType="begin"/>
      </w:r>
      <w:r>
        <w:rPr>
          <w:highlight w:val="none"/>
        </w:rPr>
        <w:instrText xml:space="preserve"> PAGEREF _Toc4542 \h </w:instrText>
      </w:r>
      <w:r>
        <w:rPr>
          <w:highlight w:val="none"/>
        </w:rPr>
        <w:fldChar w:fldCharType="separate"/>
      </w:r>
      <w:r>
        <w:rPr>
          <w:highlight w:val="none"/>
        </w:rPr>
        <w:t>21</w:t>
      </w:r>
      <w:r>
        <w:rPr>
          <w:highlight w:val="none"/>
        </w:rPr>
        <w:fldChar w:fldCharType="end"/>
      </w:r>
      <w:r>
        <w:rPr>
          <w:rFonts w:hint="eastAsia" w:ascii="宋体" w:hAnsi="宋体" w:cs="宋体"/>
          <w:color w:val="auto"/>
          <w:szCs w:val="21"/>
          <w:highlight w:val="none"/>
        </w:rPr>
        <w:fldChar w:fldCharType="end"/>
      </w:r>
    </w:p>
    <w:p w14:paraId="01B39DED">
      <w:pPr>
        <w:pStyle w:val="30"/>
        <w:tabs>
          <w:tab w:val="right" w:leader="dot" w:pos="9072"/>
        </w:tabs>
        <w:rPr>
          <w:highlight w:val="none"/>
        </w:rPr>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_Toc28430 </w:instrText>
      </w:r>
      <w:r>
        <w:rPr>
          <w:rFonts w:hint="eastAsia" w:ascii="宋体" w:hAnsi="宋体" w:cs="宋体"/>
          <w:szCs w:val="21"/>
          <w:highlight w:val="none"/>
        </w:rPr>
        <w:fldChar w:fldCharType="separate"/>
      </w:r>
      <w:r>
        <w:rPr>
          <w:rFonts w:hint="eastAsia" w:ascii="宋体" w:hAnsi="宋体" w:cs="宋体"/>
          <w:szCs w:val="24"/>
          <w:highlight w:val="none"/>
        </w:rPr>
        <w:t>10．需要补充的其他内容</w:t>
      </w:r>
      <w:r>
        <w:rPr>
          <w:highlight w:val="none"/>
        </w:rPr>
        <w:tab/>
      </w:r>
      <w:r>
        <w:rPr>
          <w:highlight w:val="none"/>
        </w:rPr>
        <w:fldChar w:fldCharType="begin"/>
      </w:r>
      <w:r>
        <w:rPr>
          <w:highlight w:val="none"/>
        </w:rPr>
        <w:instrText xml:space="preserve"> PAGEREF _Toc28430 \h </w:instrText>
      </w:r>
      <w:r>
        <w:rPr>
          <w:highlight w:val="none"/>
        </w:rPr>
        <w:fldChar w:fldCharType="separate"/>
      </w:r>
      <w:r>
        <w:rPr>
          <w:highlight w:val="none"/>
        </w:rPr>
        <w:t>22</w:t>
      </w:r>
      <w:r>
        <w:rPr>
          <w:highlight w:val="none"/>
        </w:rPr>
        <w:fldChar w:fldCharType="end"/>
      </w:r>
      <w:r>
        <w:rPr>
          <w:rFonts w:hint="eastAsia" w:ascii="宋体" w:hAnsi="宋体" w:cs="宋体"/>
          <w:color w:val="auto"/>
          <w:szCs w:val="21"/>
          <w:highlight w:val="none"/>
        </w:rPr>
        <w:fldChar w:fldCharType="end"/>
      </w:r>
    </w:p>
    <w:p w14:paraId="3F58881E">
      <w:pPr>
        <w:pStyle w:val="30"/>
        <w:tabs>
          <w:tab w:val="right" w:leader="dot" w:pos="9072"/>
        </w:tabs>
        <w:rPr>
          <w:highlight w:val="none"/>
        </w:rPr>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_Toc18259 </w:instrText>
      </w:r>
      <w:r>
        <w:rPr>
          <w:rFonts w:hint="eastAsia" w:ascii="宋体" w:hAnsi="宋体" w:cs="宋体"/>
          <w:szCs w:val="21"/>
          <w:highlight w:val="none"/>
        </w:rPr>
        <w:fldChar w:fldCharType="separate"/>
      </w:r>
      <w:r>
        <w:rPr>
          <w:rFonts w:hint="eastAsia" w:ascii="宋体" w:hAnsi="宋体" w:cs="宋体"/>
          <w:highlight w:val="none"/>
        </w:rPr>
        <w:t>附件：电子投标文件编制及上传要求</w:t>
      </w:r>
      <w:r>
        <w:rPr>
          <w:highlight w:val="none"/>
        </w:rPr>
        <w:tab/>
      </w:r>
      <w:r>
        <w:rPr>
          <w:highlight w:val="none"/>
        </w:rPr>
        <w:fldChar w:fldCharType="begin"/>
      </w:r>
      <w:r>
        <w:rPr>
          <w:highlight w:val="none"/>
        </w:rPr>
        <w:instrText xml:space="preserve"> PAGEREF _Toc18259 \h </w:instrText>
      </w:r>
      <w:r>
        <w:rPr>
          <w:highlight w:val="none"/>
        </w:rPr>
        <w:fldChar w:fldCharType="separate"/>
      </w:r>
      <w:r>
        <w:rPr>
          <w:highlight w:val="none"/>
        </w:rPr>
        <w:t>23</w:t>
      </w:r>
      <w:r>
        <w:rPr>
          <w:highlight w:val="none"/>
        </w:rPr>
        <w:fldChar w:fldCharType="end"/>
      </w:r>
      <w:r>
        <w:rPr>
          <w:rFonts w:hint="eastAsia" w:ascii="宋体" w:hAnsi="宋体" w:cs="宋体"/>
          <w:color w:val="auto"/>
          <w:szCs w:val="21"/>
          <w:highlight w:val="none"/>
        </w:rPr>
        <w:fldChar w:fldCharType="end"/>
      </w:r>
    </w:p>
    <w:p w14:paraId="46B8C3E8">
      <w:pPr>
        <w:pStyle w:val="39"/>
        <w:tabs>
          <w:tab w:val="right" w:leader="dot" w:pos="9072"/>
        </w:tabs>
        <w:rPr>
          <w:highlight w:val="none"/>
        </w:rPr>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_Toc5492 </w:instrText>
      </w:r>
      <w:r>
        <w:rPr>
          <w:rFonts w:hint="eastAsia" w:ascii="宋体" w:hAnsi="宋体" w:cs="宋体"/>
          <w:szCs w:val="21"/>
          <w:highlight w:val="none"/>
        </w:rPr>
        <w:fldChar w:fldCharType="separate"/>
      </w:r>
      <w:r>
        <w:rPr>
          <w:rFonts w:hint="eastAsia" w:ascii="宋体" w:hAnsi="宋体" w:cs="宋体"/>
          <w:highlight w:val="none"/>
        </w:rPr>
        <w:t>第三章 评标办法</w:t>
      </w:r>
      <w:r>
        <w:rPr>
          <w:highlight w:val="none"/>
        </w:rPr>
        <w:tab/>
      </w:r>
      <w:r>
        <w:rPr>
          <w:highlight w:val="none"/>
        </w:rPr>
        <w:fldChar w:fldCharType="begin"/>
      </w:r>
      <w:r>
        <w:rPr>
          <w:highlight w:val="none"/>
        </w:rPr>
        <w:instrText xml:space="preserve"> PAGEREF _Toc5492 \h </w:instrText>
      </w:r>
      <w:r>
        <w:rPr>
          <w:highlight w:val="none"/>
        </w:rPr>
        <w:fldChar w:fldCharType="separate"/>
      </w:r>
      <w:r>
        <w:rPr>
          <w:highlight w:val="none"/>
        </w:rPr>
        <w:t>24</w:t>
      </w:r>
      <w:r>
        <w:rPr>
          <w:highlight w:val="none"/>
        </w:rPr>
        <w:fldChar w:fldCharType="end"/>
      </w:r>
      <w:r>
        <w:rPr>
          <w:rFonts w:hint="eastAsia" w:ascii="宋体" w:hAnsi="宋体" w:cs="宋体"/>
          <w:color w:val="auto"/>
          <w:szCs w:val="21"/>
          <w:highlight w:val="none"/>
        </w:rPr>
        <w:fldChar w:fldCharType="end"/>
      </w:r>
    </w:p>
    <w:p w14:paraId="754B58F2">
      <w:pPr>
        <w:pStyle w:val="47"/>
        <w:tabs>
          <w:tab w:val="right" w:leader="dot" w:pos="9072"/>
        </w:tabs>
        <w:rPr>
          <w:highlight w:val="none"/>
        </w:rPr>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_Toc26863 </w:instrText>
      </w:r>
      <w:r>
        <w:rPr>
          <w:rFonts w:hint="eastAsia" w:ascii="宋体" w:hAnsi="宋体" w:cs="宋体"/>
          <w:szCs w:val="21"/>
          <w:highlight w:val="none"/>
        </w:rPr>
        <w:fldChar w:fldCharType="separate"/>
      </w:r>
      <w:r>
        <w:rPr>
          <w:rFonts w:hint="eastAsia" w:ascii="宋体" w:hAnsi="宋体" w:cs="宋体"/>
          <w:highlight w:val="none"/>
        </w:rPr>
        <w:t>评标办法前附表</w:t>
      </w:r>
      <w:r>
        <w:rPr>
          <w:highlight w:val="none"/>
        </w:rPr>
        <w:tab/>
      </w:r>
      <w:r>
        <w:rPr>
          <w:highlight w:val="none"/>
        </w:rPr>
        <w:fldChar w:fldCharType="begin"/>
      </w:r>
      <w:r>
        <w:rPr>
          <w:highlight w:val="none"/>
        </w:rPr>
        <w:instrText xml:space="preserve"> PAGEREF _Toc26863 \h </w:instrText>
      </w:r>
      <w:r>
        <w:rPr>
          <w:highlight w:val="none"/>
        </w:rPr>
        <w:fldChar w:fldCharType="separate"/>
      </w:r>
      <w:r>
        <w:rPr>
          <w:highlight w:val="none"/>
        </w:rPr>
        <w:t>24</w:t>
      </w:r>
      <w:r>
        <w:rPr>
          <w:highlight w:val="none"/>
        </w:rPr>
        <w:fldChar w:fldCharType="end"/>
      </w:r>
      <w:r>
        <w:rPr>
          <w:rFonts w:hint="eastAsia" w:ascii="宋体" w:hAnsi="宋体" w:cs="宋体"/>
          <w:color w:val="auto"/>
          <w:szCs w:val="21"/>
          <w:highlight w:val="none"/>
        </w:rPr>
        <w:fldChar w:fldCharType="end"/>
      </w:r>
    </w:p>
    <w:p w14:paraId="74323CBE">
      <w:pPr>
        <w:pStyle w:val="30"/>
        <w:tabs>
          <w:tab w:val="right" w:leader="dot" w:pos="9072"/>
        </w:tabs>
        <w:rPr>
          <w:highlight w:val="none"/>
        </w:rPr>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_Toc11480 </w:instrText>
      </w:r>
      <w:r>
        <w:rPr>
          <w:rFonts w:hint="eastAsia" w:ascii="宋体" w:hAnsi="宋体" w:cs="宋体"/>
          <w:szCs w:val="21"/>
          <w:highlight w:val="none"/>
        </w:rPr>
        <w:fldChar w:fldCharType="separate"/>
      </w:r>
      <w:r>
        <w:rPr>
          <w:rFonts w:hint="eastAsia" w:ascii="宋体" w:hAnsi="宋体" w:cs="宋体"/>
          <w:highlight w:val="none"/>
        </w:rPr>
        <w:t>1.评标方法</w:t>
      </w:r>
      <w:r>
        <w:rPr>
          <w:highlight w:val="none"/>
        </w:rPr>
        <w:tab/>
      </w:r>
      <w:r>
        <w:rPr>
          <w:highlight w:val="none"/>
        </w:rPr>
        <w:fldChar w:fldCharType="begin"/>
      </w:r>
      <w:r>
        <w:rPr>
          <w:highlight w:val="none"/>
        </w:rPr>
        <w:instrText xml:space="preserve"> PAGEREF _Toc11480 \h </w:instrText>
      </w:r>
      <w:r>
        <w:rPr>
          <w:highlight w:val="none"/>
        </w:rPr>
        <w:fldChar w:fldCharType="separate"/>
      </w:r>
      <w:r>
        <w:rPr>
          <w:highlight w:val="none"/>
        </w:rPr>
        <w:t>27</w:t>
      </w:r>
      <w:r>
        <w:rPr>
          <w:highlight w:val="none"/>
        </w:rPr>
        <w:fldChar w:fldCharType="end"/>
      </w:r>
      <w:r>
        <w:rPr>
          <w:rFonts w:hint="eastAsia" w:ascii="宋体" w:hAnsi="宋体" w:cs="宋体"/>
          <w:color w:val="auto"/>
          <w:szCs w:val="21"/>
          <w:highlight w:val="none"/>
        </w:rPr>
        <w:fldChar w:fldCharType="end"/>
      </w:r>
    </w:p>
    <w:p w14:paraId="24B953AF">
      <w:pPr>
        <w:pStyle w:val="30"/>
        <w:tabs>
          <w:tab w:val="right" w:leader="dot" w:pos="9072"/>
        </w:tabs>
        <w:rPr>
          <w:highlight w:val="none"/>
        </w:rPr>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_Toc32323 </w:instrText>
      </w:r>
      <w:r>
        <w:rPr>
          <w:rFonts w:hint="eastAsia" w:ascii="宋体" w:hAnsi="宋体" w:cs="宋体"/>
          <w:szCs w:val="21"/>
          <w:highlight w:val="none"/>
        </w:rPr>
        <w:fldChar w:fldCharType="separate"/>
      </w:r>
      <w:r>
        <w:rPr>
          <w:rFonts w:hint="eastAsia" w:ascii="宋体" w:hAnsi="宋体" w:cs="宋体"/>
          <w:highlight w:val="none"/>
        </w:rPr>
        <w:t>2.评审标准</w:t>
      </w:r>
      <w:r>
        <w:rPr>
          <w:highlight w:val="none"/>
        </w:rPr>
        <w:tab/>
      </w:r>
      <w:r>
        <w:rPr>
          <w:highlight w:val="none"/>
        </w:rPr>
        <w:fldChar w:fldCharType="begin"/>
      </w:r>
      <w:r>
        <w:rPr>
          <w:highlight w:val="none"/>
        </w:rPr>
        <w:instrText xml:space="preserve"> PAGEREF _Toc32323 \h </w:instrText>
      </w:r>
      <w:r>
        <w:rPr>
          <w:highlight w:val="none"/>
        </w:rPr>
        <w:fldChar w:fldCharType="separate"/>
      </w:r>
      <w:r>
        <w:rPr>
          <w:highlight w:val="none"/>
        </w:rPr>
        <w:t>27</w:t>
      </w:r>
      <w:r>
        <w:rPr>
          <w:highlight w:val="none"/>
        </w:rPr>
        <w:fldChar w:fldCharType="end"/>
      </w:r>
      <w:r>
        <w:rPr>
          <w:rFonts w:hint="eastAsia" w:ascii="宋体" w:hAnsi="宋体" w:cs="宋体"/>
          <w:color w:val="auto"/>
          <w:szCs w:val="21"/>
          <w:highlight w:val="none"/>
        </w:rPr>
        <w:fldChar w:fldCharType="end"/>
      </w:r>
    </w:p>
    <w:p w14:paraId="2FA06125">
      <w:pPr>
        <w:pStyle w:val="40"/>
        <w:tabs>
          <w:tab w:val="right" w:leader="dot" w:pos="9072"/>
        </w:tabs>
        <w:rPr>
          <w:highlight w:val="none"/>
        </w:rPr>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_Toc27134 </w:instrText>
      </w:r>
      <w:r>
        <w:rPr>
          <w:rFonts w:hint="eastAsia" w:ascii="宋体" w:hAnsi="宋体" w:cs="宋体"/>
          <w:szCs w:val="21"/>
          <w:highlight w:val="none"/>
        </w:rPr>
        <w:fldChar w:fldCharType="separate"/>
      </w:r>
      <w:r>
        <w:rPr>
          <w:rFonts w:hint="eastAsia" w:ascii="宋体" w:hAnsi="宋体" w:cs="宋体"/>
          <w:szCs w:val="21"/>
          <w:highlight w:val="none"/>
        </w:rPr>
        <w:t>2.1 初步评审标准</w:t>
      </w:r>
      <w:r>
        <w:rPr>
          <w:highlight w:val="none"/>
        </w:rPr>
        <w:tab/>
      </w:r>
      <w:r>
        <w:rPr>
          <w:highlight w:val="none"/>
        </w:rPr>
        <w:fldChar w:fldCharType="begin"/>
      </w:r>
      <w:r>
        <w:rPr>
          <w:highlight w:val="none"/>
        </w:rPr>
        <w:instrText xml:space="preserve"> PAGEREF _Toc27134 \h </w:instrText>
      </w:r>
      <w:r>
        <w:rPr>
          <w:highlight w:val="none"/>
        </w:rPr>
        <w:fldChar w:fldCharType="separate"/>
      </w:r>
      <w:r>
        <w:rPr>
          <w:highlight w:val="none"/>
        </w:rPr>
        <w:t>27</w:t>
      </w:r>
      <w:r>
        <w:rPr>
          <w:highlight w:val="none"/>
        </w:rPr>
        <w:fldChar w:fldCharType="end"/>
      </w:r>
      <w:r>
        <w:rPr>
          <w:rFonts w:hint="eastAsia" w:ascii="宋体" w:hAnsi="宋体" w:cs="宋体"/>
          <w:color w:val="auto"/>
          <w:szCs w:val="21"/>
          <w:highlight w:val="none"/>
        </w:rPr>
        <w:fldChar w:fldCharType="end"/>
      </w:r>
    </w:p>
    <w:p w14:paraId="7869B2F6">
      <w:pPr>
        <w:pStyle w:val="40"/>
        <w:tabs>
          <w:tab w:val="right" w:leader="dot" w:pos="9072"/>
        </w:tabs>
        <w:rPr>
          <w:highlight w:val="none"/>
        </w:rPr>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_Toc8332 </w:instrText>
      </w:r>
      <w:r>
        <w:rPr>
          <w:rFonts w:hint="eastAsia" w:ascii="宋体" w:hAnsi="宋体" w:cs="宋体"/>
          <w:szCs w:val="21"/>
          <w:highlight w:val="none"/>
        </w:rPr>
        <w:fldChar w:fldCharType="separate"/>
      </w:r>
      <w:r>
        <w:rPr>
          <w:rFonts w:hint="eastAsia" w:ascii="宋体" w:hAnsi="宋体" w:cs="宋体"/>
          <w:szCs w:val="21"/>
          <w:highlight w:val="none"/>
        </w:rPr>
        <w:t>2.2分值构成与评分标准</w:t>
      </w:r>
      <w:r>
        <w:rPr>
          <w:highlight w:val="none"/>
        </w:rPr>
        <w:tab/>
      </w:r>
      <w:r>
        <w:rPr>
          <w:highlight w:val="none"/>
        </w:rPr>
        <w:fldChar w:fldCharType="begin"/>
      </w:r>
      <w:r>
        <w:rPr>
          <w:highlight w:val="none"/>
        </w:rPr>
        <w:instrText xml:space="preserve"> PAGEREF _Toc8332 \h </w:instrText>
      </w:r>
      <w:r>
        <w:rPr>
          <w:highlight w:val="none"/>
        </w:rPr>
        <w:fldChar w:fldCharType="separate"/>
      </w:r>
      <w:r>
        <w:rPr>
          <w:highlight w:val="none"/>
        </w:rPr>
        <w:t>27</w:t>
      </w:r>
      <w:r>
        <w:rPr>
          <w:highlight w:val="none"/>
        </w:rPr>
        <w:fldChar w:fldCharType="end"/>
      </w:r>
      <w:r>
        <w:rPr>
          <w:rFonts w:hint="eastAsia" w:ascii="宋体" w:hAnsi="宋体" w:cs="宋体"/>
          <w:color w:val="auto"/>
          <w:szCs w:val="21"/>
          <w:highlight w:val="none"/>
        </w:rPr>
        <w:fldChar w:fldCharType="end"/>
      </w:r>
    </w:p>
    <w:p w14:paraId="43A2BD6E">
      <w:pPr>
        <w:pStyle w:val="30"/>
        <w:tabs>
          <w:tab w:val="right" w:leader="dot" w:pos="9072"/>
        </w:tabs>
        <w:rPr>
          <w:highlight w:val="none"/>
        </w:rPr>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_Toc656 </w:instrText>
      </w:r>
      <w:r>
        <w:rPr>
          <w:rFonts w:hint="eastAsia" w:ascii="宋体" w:hAnsi="宋体" w:cs="宋体"/>
          <w:szCs w:val="21"/>
          <w:highlight w:val="none"/>
        </w:rPr>
        <w:fldChar w:fldCharType="separate"/>
      </w:r>
      <w:r>
        <w:rPr>
          <w:rFonts w:hint="eastAsia" w:ascii="宋体" w:hAnsi="宋体" w:cs="宋体"/>
          <w:highlight w:val="none"/>
        </w:rPr>
        <w:t>3.评标程序</w:t>
      </w:r>
      <w:r>
        <w:rPr>
          <w:highlight w:val="none"/>
        </w:rPr>
        <w:tab/>
      </w:r>
      <w:r>
        <w:rPr>
          <w:highlight w:val="none"/>
        </w:rPr>
        <w:fldChar w:fldCharType="begin"/>
      </w:r>
      <w:r>
        <w:rPr>
          <w:highlight w:val="none"/>
        </w:rPr>
        <w:instrText xml:space="preserve"> PAGEREF _Toc656 \h </w:instrText>
      </w:r>
      <w:r>
        <w:rPr>
          <w:highlight w:val="none"/>
        </w:rPr>
        <w:fldChar w:fldCharType="separate"/>
      </w:r>
      <w:r>
        <w:rPr>
          <w:highlight w:val="none"/>
        </w:rPr>
        <w:t>27</w:t>
      </w:r>
      <w:r>
        <w:rPr>
          <w:highlight w:val="none"/>
        </w:rPr>
        <w:fldChar w:fldCharType="end"/>
      </w:r>
      <w:r>
        <w:rPr>
          <w:rFonts w:hint="eastAsia" w:ascii="宋体" w:hAnsi="宋体" w:cs="宋体"/>
          <w:color w:val="auto"/>
          <w:szCs w:val="21"/>
          <w:highlight w:val="none"/>
        </w:rPr>
        <w:fldChar w:fldCharType="end"/>
      </w:r>
    </w:p>
    <w:p w14:paraId="0A426150">
      <w:pPr>
        <w:pStyle w:val="40"/>
        <w:tabs>
          <w:tab w:val="right" w:leader="dot" w:pos="9072"/>
        </w:tabs>
        <w:rPr>
          <w:highlight w:val="none"/>
        </w:rPr>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_Toc12964 </w:instrText>
      </w:r>
      <w:r>
        <w:rPr>
          <w:rFonts w:hint="eastAsia" w:ascii="宋体" w:hAnsi="宋体" w:cs="宋体"/>
          <w:szCs w:val="21"/>
          <w:highlight w:val="none"/>
        </w:rPr>
        <w:fldChar w:fldCharType="separate"/>
      </w:r>
      <w:r>
        <w:rPr>
          <w:rFonts w:hint="eastAsia" w:ascii="宋体" w:hAnsi="宋体" w:cs="宋体"/>
          <w:highlight w:val="none"/>
        </w:rPr>
        <w:t>3.1 初步评审</w:t>
      </w:r>
      <w:r>
        <w:rPr>
          <w:highlight w:val="none"/>
        </w:rPr>
        <w:tab/>
      </w:r>
      <w:r>
        <w:rPr>
          <w:highlight w:val="none"/>
        </w:rPr>
        <w:fldChar w:fldCharType="begin"/>
      </w:r>
      <w:r>
        <w:rPr>
          <w:highlight w:val="none"/>
        </w:rPr>
        <w:instrText xml:space="preserve"> PAGEREF _Toc12964 \h </w:instrText>
      </w:r>
      <w:r>
        <w:rPr>
          <w:highlight w:val="none"/>
        </w:rPr>
        <w:fldChar w:fldCharType="separate"/>
      </w:r>
      <w:r>
        <w:rPr>
          <w:highlight w:val="none"/>
        </w:rPr>
        <w:t>27</w:t>
      </w:r>
      <w:r>
        <w:rPr>
          <w:highlight w:val="none"/>
        </w:rPr>
        <w:fldChar w:fldCharType="end"/>
      </w:r>
      <w:r>
        <w:rPr>
          <w:rFonts w:hint="eastAsia" w:ascii="宋体" w:hAnsi="宋体" w:cs="宋体"/>
          <w:color w:val="auto"/>
          <w:szCs w:val="21"/>
          <w:highlight w:val="none"/>
        </w:rPr>
        <w:fldChar w:fldCharType="end"/>
      </w:r>
    </w:p>
    <w:p w14:paraId="2A238DAE">
      <w:pPr>
        <w:pStyle w:val="40"/>
        <w:tabs>
          <w:tab w:val="right" w:leader="dot" w:pos="9072"/>
        </w:tabs>
        <w:rPr>
          <w:highlight w:val="none"/>
        </w:rPr>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_Toc10873 </w:instrText>
      </w:r>
      <w:r>
        <w:rPr>
          <w:rFonts w:hint="eastAsia" w:ascii="宋体" w:hAnsi="宋体" w:cs="宋体"/>
          <w:szCs w:val="21"/>
          <w:highlight w:val="none"/>
        </w:rPr>
        <w:fldChar w:fldCharType="separate"/>
      </w:r>
      <w:r>
        <w:rPr>
          <w:rFonts w:hint="eastAsia" w:ascii="宋体" w:hAnsi="宋体" w:cs="宋体"/>
          <w:highlight w:val="none"/>
        </w:rPr>
        <w:t>3.2 详细评审</w:t>
      </w:r>
      <w:r>
        <w:rPr>
          <w:highlight w:val="none"/>
        </w:rPr>
        <w:tab/>
      </w:r>
      <w:r>
        <w:rPr>
          <w:highlight w:val="none"/>
        </w:rPr>
        <w:fldChar w:fldCharType="begin"/>
      </w:r>
      <w:r>
        <w:rPr>
          <w:highlight w:val="none"/>
        </w:rPr>
        <w:instrText xml:space="preserve"> PAGEREF _Toc10873 \h </w:instrText>
      </w:r>
      <w:r>
        <w:rPr>
          <w:highlight w:val="none"/>
        </w:rPr>
        <w:fldChar w:fldCharType="separate"/>
      </w:r>
      <w:r>
        <w:rPr>
          <w:highlight w:val="none"/>
        </w:rPr>
        <w:t>27</w:t>
      </w:r>
      <w:r>
        <w:rPr>
          <w:highlight w:val="none"/>
        </w:rPr>
        <w:fldChar w:fldCharType="end"/>
      </w:r>
      <w:r>
        <w:rPr>
          <w:rFonts w:hint="eastAsia" w:ascii="宋体" w:hAnsi="宋体" w:cs="宋体"/>
          <w:color w:val="auto"/>
          <w:szCs w:val="21"/>
          <w:highlight w:val="none"/>
        </w:rPr>
        <w:fldChar w:fldCharType="end"/>
      </w:r>
    </w:p>
    <w:p w14:paraId="7862385E">
      <w:pPr>
        <w:pStyle w:val="40"/>
        <w:tabs>
          <w:tab w:val="right" w:leader="dot" w:pos="9072"/>
        </w:tabs>
        <w:rPr>
          <w:highlight w:val="none"/>
        </w:rPr>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_Toc19323 </w:instrText>
      </w:r>
      <w:r>
        <w:rPr>
          <w:rFonts w:hint="eastAsia" w:ascii="宋体" w:hAnsi="宋体" w:cs="宋体"/>
          <w:szCs w:val="21"/>
          <w:highlight w:val="none"/>
        </w:rPr>
        <w:fldChar w:fldCharType="separate"/>
      </w:r>
      <w:r>
        <w:rPr>
          <w:rFonts w:hint="eastAsia" w:ascii="宋体" w:hAnsi="宋体" w:cs="宋体"/>
          <w:highlight w:val="none"/>
        </w:rPr>
        <w:t>3.3 投标文件的澄清和补正</w:t>
      </w:r>
      <w:r>
        <w:rPr>
          <w:highlight w:val="none"/>
        </w:rPr>
        <w:tab/>
      </w:r>
      <w:r>
        <w:rPr>
          <w:highlight w:val="none"/>
        </w:rPr>
        <w:fldChar w:fldCharType="begin"/>
      </w:r>
      <w:r>
        <w:rPr>
          <w:highlight w:val="none"/>
        </w:rPr>
        <w:instrText xml:space="preserve"> PAGEREF _Toc19323 \h </w:instrText>
      </w:r>
      <w:r>
        <w:rPr>
          <w:highlight w:val="none"/>
        </w:rPr>
        <w:fldChar w:fldCharType="separate"/>
      </w:r>
      <w:r>
        <w:rPr>
          <w:highlight w:val="none"/>
        </w:rPr>
        <w:t>28</w:t>
      </w:r>
      <w:r>
        <w:rPr>
          <w:highlight w:val="none"/>
        </w:rPr>
        <w:fldChar w:fldCharType="end"/>
      </w:r>
      <w:r>
        <w:rPr>
          <w:rFonts w:hint="eastAsia" w:ascii="宋体" w:hAnsi="宋体" w:cs="宋体"/>
          <w:color w:val="auto"/>
          <w:szCs w:val="21"/>
          <w:highlight w:val="none"/>
        </w:rPr>
        <w:fldChar w:fldCharType="end"/>
      </w:r>
    </w:p>
    <w:p w14:paraId="75D0FA8E">
      <w:pPr>
        <w:pStyle w:val="40"/>
        <w:tabs>
          <w:tab w:val="right" w:leader="dot" w:pos="9072"/>
        </w:tabs>
        <w:rPr>
          <w:highlight w:val="none"/>
        </w:rPr>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_Toc11496 </w:instrText>
      </w:r>
      <w:r>
        <w:rPr>
          <w:rFonts w:hint="eastAsia" w:ascii="宋体" w:hAnsi="宋体" w:cs="宋体"/>
          <w:szCs w:val="21"/>
          <w:highlight w:val="none"/>
        </w:rPr>
        <w:fldChar w:fldCharType="separate"/>
      </w:r>
      <w:r>
        <w:rPr>
          <w:rFonts w:hint="eastAsia" w:ascii="宋体" w:hAnsi="宋体" w:cs="宋体"/>
          <w:highlight w:val="none"/>
        </w:rPr>
        <w:t>3.4 评标结果</w:t>
      </w:r>
      <w:r>
        <w:rPr>
          <w:highlight w:val="none"/>
        </w:rPr>
        <w:tab/>
      </w:r>
      <w:r>
        <w:rPr>
          <w:highlight w:val="none"/>
        </w:rPr>
        <w:fldChar w:fldCharType="begin"/>
      </w:r>
      <w:r>
        <w:rPr>
          <w:highlight w:val="none"/>
        </w:rPr>
        <w:instrText xml:space="preserve"> PAGEREF _Toc11496 \h </w:instrText>
      </w:r>
      <w:r>
        <w:rPr>
          <w:highlight w:val="none"/>
        </w:rPr>
        <w:fldChar w:fldCharType="separate"/>
      </w:r>
      <w:r>
        <w:rPr>
          <w:highlight w:val="none"/>
        </w:rPr>
        <w:t>28</w:t>
      </w:r>
      <w:r>
        <w:rPr>
          <w:highlight w:val="none"/>
        </w:rPr>
        <w:fldChar w:fldCharType="end"/>
      </w:r>
      <w:r>
        <w:rPr>
          <w:rFonts w:hint="eastAsia" w:ascii="宋体" w:hAnsi="宋体" w:cs="宋体"/>
          <w:color w:val="auto"/>
          <w:szCs w:val="21"/>
          <w:highlight w:val="none"/>
        </w:rPr>
        <w:fldChar w:fldCharType="end"/>
      </w:r>
    </w:p>
    <w:p w14:paraId="31ECA981">
      <w:pPr>
        <w:pStyle w:val="47"/>
        <w:tabs>
          <w:tab w:val="right" w:leader="dot" w:pos="9072"/>
        </w:tabs>
        <w:rPr>
          <w:highlight w:val="none"/>
        </w:rPr>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_Toc24948 </w:instrText>
      </w:r>
      <w:r>
        <w:rPr>
          <w:rFonts w:hint="eastAsia" w:ascii="宋体" w:hAnsi="宋体" w:cs="宋体"/>
          <w:szCs w:val="21"/>
          <w:highlight w:val="none"/>
        </w:rPr>
        <w:fldChar w:fldCharType="separate"/>
      </w:r>
      <w:r>
        <w:rPr>
          <w:rFonts w:hint="eastAsia" w:ascii="宋体" w:hAnsi="宋体" w:eastAsia="宋体" w:cs="宋体"/>
          <w:szCs w:val="24"/>
          <w:highlight w:val="none"/>
        </w:rPr>
        <w:t>附件A：评标详细程序</w:t>
      </w:r>
      <w:r>
        <w:rPr>
          <w:highlight w:val="none"/>
        </w:rPr>
        <w:tab/>
      </w:r>
      <w:r>
        <w:rPr>
          <w:highlight w:val="none"/>
        </w:rPr>
        <w:fldChar w:fldCharType="begin"/>
      </w:r>
      <w:r>
        <w:rPr>
          <w:highlight w:val="none"/>
        </w:rPr>
        <w:instrText xml:space="preserve"> PAGEREF _Toc24948 \h </w:instrText>
      </w:r>
      <w:r>
        <w:rPr>
          <w:highlight w:val="none"/>
        </w:rPr>
        <w:fldChar w:fldCharType="separate"/>
      </w:r>
      <w:r>
        <w:rPr>
          <w:highlight w:val="none"/>
        </w:rPr>
        <w:t>29</w:t>
      </w:r>
      <w:r>
        <w:rPr>
          <w:highlight w:val="none"/>
        </w:rPr>
        <w:fldChar w:fldCharType="end"/>
      </w:r>
      <w:r>
        <w:rPr>
          <w:rFonts w:hint="eastAsia" w:ascii="宋体" w:hAnsi="宋体" w:cs="宋体"/>
          <w:color w:val="auto"/>
          <w:szCs w:val="21"/>
          <w:highlight w:val="none"/>
        </w:rPr>
        <w:fldChar w:fldCharType="end"/>
      </w:r>
    </w:p>
    <w:p w14:paraId="13D2AEE1">
      <w:pPr>
        <w:pStyle w:val="40"/>
        <w:tabs>
          <w:tab w:val="right" w:leader="dot" w:pos="9072"/>
        </w:tabs>
        <w:rPr>
          <w:highlight w:val="none"/>
        </w:rPr>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_Toc1731 </w:instrText>
      </w:r>
      <w:r>
        <w:rPr>
          <w:rFonts w:hint="eastAsia" w:ascii="宋体" w:hAnsi="宋体" w:cs="宋体"/>
          <w:szCs w:val="21"/>
          <w:highlight w:val="none"/>
        </w:rPr>
        <w:fldChar w:fldCharType="separate"/>
      </w:r>
      <w:r>
        <w:rPr>
          <w:rFonts w:hint="eastAsia" w:ascii="宋体" w:hAnsi="宋体" w:cs="宋体"/>
          <w:highlight w:val="none"/>
        </w:rPr>
        <w:t>A0.总则</w:t>
      </w:r>
      <w:r>
        <w:rPr>
          <w:highlight w:val="none"/>
        </w:rPr>
        <w:tab/>
      </w:r>
      <w:r>
        <w:rPr>
          <w:highlight w:val="none"/>
        </w:rPr>
        <w:fldChar w:fldCharType="begin"/>
      </w:r>
      <w:r>
        <w:rPr>
          <w:highlight w:val="none"/>
        </w:rPr>
        <w:instrText xml:space="preserve"> PAGEREF _Toc1731 \h </w:instrText>
      </w:r>
      <w:r>
        <w:rPr>
          <w:highlight w:val="none"/>
        </w:rPr>
        <w:fldChar w:fldCharType="separate"/>
      </w:r>
      <w:r>
        <w:rPr>
          <w:highlight w:val="none"/>
        </w:rPr>
        <w:t>29</w:t>
      </w:r>
      <w:r>
        <w:rPr>
          <w:highlight w:val="none"/>
        </w:rPr>
        <w:fldChar w:fldCharType="end"/>
      </w:r>
      <w:r>
        <w:rPr>
          <w:rFonts w:hint="eastAsia" w:ascii="宋体" w:hAnsi="宋体" w:cs="宋体"/>
          <w:color w:val="auto"/>
          <w:szCs w:val="21"/>
          <w:highlight w:val="none"/>
        </w:rPr>
        <w:fldChar w:fldCharType="end"/>
      </w:r>
    </w:p>
    <w:p w14:paraId="0B972013">
      <w:pPr>
        <w:pStyle w:val="40"/>
        <w:tabs>
          <w:tab w:val="right" w:leader="dot" w:pos="9072"/>
        </w:tabs>
        <w:rPr>
          <w:highlight w:val="none"/>
        </w:rPr>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_Toc9649 </w:instrText>
      </w:r>
      <w:r>
        <w:rPr>
          <w:rFonts w:hint="eastAsia" w:ascii="宋体" w:hAnsi="宋体" w:cs="宋体"/>
          <w:szCs w:val="21"/>
          <w:highlight w:val="none"/>
        </w:rPr>
        <w:fldChar w:fldCharType="separate"/>
      </w:r>
      <w:r>
        <w:rPr>
          <w:rFonts w:hint="eastAsia" w:ascii="宋体" w:hAnsi="宋体" w:cs="宋体"/>
          <w:highlight w:val="none"/>
        </w:rPr>
        <w:t>A1.基本程序</w:t>
      </w:r>
      <w:r>
        <w:rPr>
          <w:highlight w:val="none"/>
        </w:rPr>
        <w:tab/>
      </w:r>
      <w:r>
        <w:rPr>
          <w:highlight w:val="none"/>
        </w:rPr>
        <w:fldChar w:fldCharType="begin"/>
      </w:r>
      <w:r>
        <w:rPr>
          <w:highlight w:val="none"/>
        </w:rPr>
        <w:instrText xml:space="preserve"> PAGEREF _Toc9649 \h </w:instrText>
      </w:r>
      <w:r>
        <w:rPr>
          <w:highlight w:val="none"/>
        </w:rPr>
        <w:fldChar w:fldCharType="separate"/>
      </w:r>
      <w:r>
        <w:rPr>
          <w:highlight w:val="none"/>
        </w:rPr>
        <w:t>29</w:t>
      </w:r>
      <w:r>
        <w:rPr>
          <w:highlight w:val="none"/>
        </w:rPr>
        <w:fldChar w:fldCharType="end"/>
      </w:r>
      <w:r>
        <w:rPr>
          <w:rFonts w:hint="eastAsia" w:ascii="宋体" w:hAnsi="宋体" w:cs="宋体"/>
          <w:color w:val="auto"/>
          <w:szCs w:val="21"/>
          <w:highlight w:val="none"/>
        </w:rPr>
        <w:fldChar w:fldCharType="end"/>
      </w:r>
    </w:p>
    <w:p w14:paraId="2274F372">
      <w:pPr>
        <w:pStyle w:val="40"/>
        <w:tabs>
          <w:tab w:val="right" w:leader="dot" w:pos="9072"/>
        </w:tabs>
        <w:rPr>
          <w:highlight w:val="none"/>
        </w:rPr>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_Toc21835 </w:instrText>
      </w:r>
      <w:r>
        <w:rPr>
          <w:rFonts w:hint="eastAsia" w:ascii="宋体" w:hAnsi="宋体" w:cs="宋体"/>
          <w:szCs w:val="21"/>
          <w:highlight w:val="none"/>
        </w:rPr>
        <w:fldChar w:fldCharType="separate"/>
      </w:r>
      <w:r>
        <w:rPr>
          <w:rFonts w:hint="eastAsia" w:ascii="宋体" w:hAnsi="宋体" w:cs="宋体"/>
          <w:highlight w:val="none"/>
        </w:rPr>
        <w:t>A2.评标准备</w:t>
      </w:r>
      <w:r>
        <w:rPr>
          <w:highlight w:val="none"/>
        </w:rPr>
        <w:tab/>
      </w:r>
      <w:r>
        <w:rPr>
          <w:highlight w:val="none"/>
        </w:rPr>
        <w:fldChar w:fldCharType="begin"/>
      </w:r>
      <w:r>
        <w:rPr>
          <w:highlight w:val="none"/>
        </w:rPr>
        <w:instrText xml:space="preserve"> PAGEREF _Toc21835 \h </w:instrText>
      </w:r>
      <w:r>
        <w:rPr>
          <w:highlight w:val="none"/>
        </w:rPr>
        <w:fldChar w:fldCharType="separate"/>
      </w:r>
      <w:r>
        <w:rPr>
          <w:highlight w:val="none"/>
        </w:rPr>
        <w:t>29</w:t>
      </w:r>
      <w:r>
        <w:rPr>
          <w:highlight w:val="none"/>
        </w:rPr>
        <w:fldChar w:fldCharType="end"/>
      </w:r>
      <w:r>
        <w:rPr>
          <w:rFonts w:hint="eastAsia" w:ascii="宋体" w:hAnsi="宋体" w:cs="宋体"/>
          <w:color w:val="auto"/>
          <w:szCs w:val="21"/>
          <w:highlight w:val="none"/>
        </w:rPr>
        <w:fldChar w:fldCharType="end"/>
      </w:r>
    </w:p>
    <w:p w14:paraId="5CAD7919">
      <w:pPr>
        <w:pStyle w:val="40"/>
        <w:tabs>
          <w:tab w:val="right" w:leader="dot" w:pos="9072"/>
        </w:tabs>
        <w:rPr>
          <w:highlight w:val="none"/>
        </w:rPr>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_Toc13954 </w:instrText>
      </w:r>
      <w:r>
        <w:rPr>
          <w:rFonts w:hint="eastAsia" w:ascii="宋体" w:hAnsi="宋体" w:cs="宋体"/>
          <w:szCs w:val="21"/>
          <w:highlight w:val="none"/>
        </w:rPr>
        <w:fldChar w:fldCharType="separate"/>
      </w:r>
      <w:r>
        <w:rPr>
          <w:rFonts w:hint="eastAsia" w:ascii="宋体" w:hAnsi="宋体" w:cs="宋体"/>
          <w:highlight w:val="none"/>
        </w:rPr>
        <w:t>A3.初步评审</w:t>
      </w:r>
      <w:r>
        <w:rPr>
          <w:highlight w:val="none"/>
        </w:rPr>
        <w:tab/>
      </w:r>
      <w:r>
        <w:rPr>
          <w:highlight w:val="none"/>
        </w:rPr>
        <w:fldChar w:fldCharType="begin"/>
      </w:r>
      <w:r>
        <w:rPr>
          <w:highlight w:val="none"/>
        </w:rPr>
        <w:instrText xml:space="preserve"> PAGEREF _Toc13954 \h </w:instrText>
      </w:r>
      <w:r>
        <w:rPr>
          <w:highlight w:val="none"/>
        </w:rPr>
        <w:fldChar w:fldCharType="separate"/>
      </w:r>
      <w:r>
        <w:rPr>
          <w:highlight w:val="none"/>
        </w:rPr>
        <w:t>30</w:t>
      </w:r>
      <w:r>
        <w:rPr>
          <w:highlight w:val="none"/>
        </w:rPr>
        <w:fldChar w:fldCharType="end"/>
      </w:r>
      <w:r>
        <w:rPr>
          <w:rFonts w:hint="eastAsia" w:ascii="宋体" w:hAnsi="宋体" w:cs="宋体"/>
          <w:color w:val="auto"/>
          <w:szCs w:val="21"/>
          <w:highlight w:val="none"/>
        </w:rPr>
        <w:fldChar w:fldCharType="end"/>
      </w:r>
    </w:p>
    <w:p w14:paraId="32FB1BA0">
      <w:pPr>
        <w:pStyle w:val="40"/>
        <w:tabs>
          <w:tab w:val="right" w:leader="dot" w:pos="9072"/>
        </w:tabs>
        <w:rPr>
          <w:highlight w:val="none"/>
        </w:rPr>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_Toc17213 </w:instrText>
      </w:r>
      <w:r>
        <w:rPr>
          <w:rFonts w:hint="eastAsia" w:ascii="宋体" w:hAnsi="宋体" w:cs="宋体"/>
          <w:szCs w:val="21"/>
          <w:highlight w:val="none"/>
        </w:rPr>
        <w:fldChar w:fldCharType="separate"/>
      </w:r>
      <w:r>
        <w:rPr>
          <w:rFonts w:hint="eastAsia" w:ascii="宋体" w:hAnsi="宋体" w:cs="宋体"/>
          <w:highlight w:val="none"/>
        </w:rPr>
        <w:t>A4.详细评审</w:t>
      </w:r>
      <w:r>
        <w:rPr>
          <w:highlight w:val="none"/>
        </w:rPr>
        <w:tab/>
      </w:r>
      <w:r>
        <w:rPr>
          <w:highlight w:val="none"/>
        </w:rPr>
        <w:fldChar w:fldCharType="begin"/>
      </w:r>
      <w:r>
        <w:rPr>
          <w:highlight w:val="none"/>
        </w:rPr>
        <w:instrText xml:space="preserve"> PAGEREF _Toc17213 \h </w:instrText>
      </w:r>
      <w:r>
        <w:rPr>
          <w:highlight w:val="none"/>
        </w:rPr>
        <w:fldChar w:fldCharType="separate"/>
      </w:r>
      <w:r>
        <w:rPr>
          <w:highlight w:val="none"/>
        </w:rPr>
        <w:t>31</w:t>
      </w:r>
      <w:r>
        <w:rPr>
          <w:highlight w:val="none"/>
        </w:rPr>
        <w:fldChar w:fldCharType="end"/>
      </w:r>
      <w:r>
        <w:rPr>
          <w:rFonts w:hint="eastAsia" w:ascii="宋体" w:hAnsi="宋体" w:cs="宋体"/>
          <w:color w:val="auto"/>
          <w:szCs w:val="21"/>
          <w:highlight w:val="none"/>
        </w:rPr>
        <w:fldChar w:fldCharType="end"/>
      </w:r>
    </w:p>
    <w:p w14:paraId="147E4C54">
      <w:pPr>
        <w:pStyle w:val="40"/>
        <w:tabs>
          <w:tab w:val="right" w:leader="dot" w:pos="9072"/>
        </w:tabs>
        <w:rPr>
          <w:highlight w:val="none"/>
        </w:rPr>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_Toc19099 </w:instrText>
      </w:r>
      <w:r>
        <w:rPr>
          <w:rFonts w:hint="eastAsia" w:ascii="宋体" w:hAnsi="宋体" w:cs="宋体"/>
          <w:szCs w:val="21"/>
          <w:highlight w:val="none"/>
        </w:rPr>
        <w:fldChar w:fldCharType="separate"/>
      </w:r>
      <w:r>
        <w:rPr>
          <w:rFonts w:hint="eastAsia" w:ascii="宋体" w:hAnsi="宋体" w:cs="宋体"/>
          <w:highlight w:val="none"/>
        </w:rPr>
        <w:t>A5.推荐中标候选人</w:t>
      </w:r>
      <w:r>
        <w:rPr>
          <w:highlight w:val="none"/>
        </w:rPr>
        <w:tab/>
      </w:r>
      <w:r>
        <w:rPr>
          <w:highlight w:val="none"/>
        </w:rPr>
        <w:fldChar w:fldCharType="begin"/>
      </w:r>
      <w:r>
        <w:rPr>
          <w:highlight w:val="none"/>
        </w:rPr>
        <w:instrText xml:space="preserve"> PAGEREF _Toc19099 \h </w:instrText>
      </w:r>
      <w:r>
        <w:rPr>
          <w:highlight w:val="none"/>
        </w:rPr>
        <w:fldChar w:fldCharType="separate"/>
      </w:r>
      <w:r>
        <w:rPr>
          <w:highlight w:val="none"/>
        </w:rPr>
        <w:t>31</w:t>
      </w:r>
      <w:r>
        <w:rPr>
          <w:highlight w:val="none"/>
        </w:rPr>
        <w:fldChar w:fldCharType="end"/>
      </w:r>
      <w:r>
        <w:rPr>
          <w:rFonts w:hint="eastAsia" w:ascii="宋体" w:hAnsi="宋体" w:cs="宋体"/>
          <w:color w:val="auto"/>
          <w:szCs w:val="21"/>
          <w:highlight w:val="none"/>
        </w:rPr>
        <w:fldChar w:fldCharType="end"/>
      </w:r>
    </w:p>
    <w:p w14:paraId="60D62BBE">
      <w:pPr>
        <w:pStyle w:val="40"/>
        <w:tabs>
          <w:tab w:val="right" w:leader="dot" w:pos="9072"/>
        </w:tabs>
        <w:rPr>
          <w:highlight w:val="none"/>
        </w:rPr>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_Toc12224 </w:instrText>
      </w:r>
      <w:r>
        <w:rPr>
          <w:rFonts w:hint="eastAsia" w:ascii="宋体" w:hAnsi="宋体" w:cs="宋体"/>
          <w:szCs w:val="21"/>
          <w:highlight w:val="none"/>
        </w:rPr>
        <w:fldChar w:fldCharType="separate"/>
      </w:r>
      <w:r>
        <w:rPr>
          <w:rFonts w:hint="eastAsia" w:ascii="宋体" w:hAnsi="宋体" w:cs="宋体"/>
          <w:highlight w:val="none"/>
        </w:rPr>
        <w:t>A6.特殊情况的处置程序</w:t>
      </w:r>
      <w:r>
        <w:rPr>
          <w:highlight w:val="none"/>
        </w:rPr>
        <w:tab/>
      </w:r>
      <w:r>
        <w:rPr>
          <w:highlight w:val="none"/>
        </w:rPr>
        <w:fldChar w:fldCharType="begin"/>
      </w:r>
      <w:r>
        <w:rPr>
          <w:highlight w:val="none"/>
        </w:rPr>
        <w:instrText xml:space="preserve"> PAGEREF _Toc12224 \h </w:instrText>
      </w:r>
      <w:r>
        <w:rPr>
          <w:highlight w:val="none"/>
        </w:rPr>
        <w:fldChar w:fldCharType="separate"/>
      </w:r>
      <w:r>
        <w:rPr>
          <w:highlight w:val="none"/>
        </w:rPr>
        <w:t>32</w:t>
      </w:r>
      <w:r>
        <w:rPr>
          <w:highlight w:val="none"/>
        </w:rPr>
        <w:fldChar w:fldCharType="end"/>
      </w:r>
      <w:r>
        <w:rPr>
          <w:rFonts w:hint="eastAsia" w:ascii="宋体" w:hAnsi="宋体" w:cs="宋体"/>
          <w:color w:val="auto"/>
          <w:szCs w:val="21"/>
          <w:highlight w:val="none"/>
        </w:rPr>
        <w:fldChar w:fldCharType="end"/>
      </w:r>
    </w:p>
    <w:p w14:paraId="48362258">
      <w:pPr>
        <w:pStyle w:val="40"/>
        <w:tabs>
          <w:tab w:val="right" w:leader="dot" w:pos="9072"/>
        </w:tabs>
        <w:rPr>
          <w:highlight w:val="none"/>
        </w:rPr>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_Toc17093 </w:instrText>
      </w:r>
      <w:r>
        <w:rPr>
          <w:rFonts w:hint="eastAsia" w:ascii="宋体" w:hAnsi="宋体" w:cs="宋体"/>
          <w:szCs w:val="21"/>
          <w:highlight w:val="none"/>
        </w:rPr>
        <w:fldChar w:fldCharType="separate"/>
      </w:r>
      <w:r>
        <w:rPr>
          <w:rFonts w:hint="eastAsia" w:ascii="宋体" w:hAnsi="宋体" w:cs="宋体"/>
          <w:highlight w:val="none"/>
        </w:rPr>
        <w:t>A7.补充条款</w:t>
      </w:r>
      <w:r>
        <w:rPr>
          <w:highlight w:val="none"/>
        </w:rPr>
        <w:tab/>
      </w:r>
      <w:r>
        <w:rPr>
          <w:highlight w:val="none"/>
        </w:rPr>
        <w:fldChar w:fldCharType="begin"/>
      </w:r>
      <w:r>
        <w:rPr>
          <w:highlight w:val="none"/>
        </w:rPr>
        <w:instrText xml:space="preserve"> PAGEREF _Toc17093 \h </w:instrText>
      </w:r>
      <w:r>
        <w:rPr>
          <w:highlight w:val="none"/>
        </w:rPr>
        <w:fldChar w:fldCharType="separate"/>
      </w:r>
      <w:r>
        <w:rPr>
          <w:highlight w:val="none"/>
        </w:rPr>
        <w:t>32</w:t>
      </w:r>
      <w:r>
        <w:rPr>
          <w:highlight w:val="none"/>
        </w:rPr>
        <w:fldChar w:fldCharType="end"/>
      </w:r>
      <w:r>
        <w:rPr>
          <w:rFonts w:hint="eastAsia" w:ascii="宋体" w:hAnsi="宋体" w:cs="宋体"/>
          <w:color w:val="auto"/>
          <w:szCs w:val="21"/>
          <w:highlight w:val="none"/>
        </w:rPr>
        <w:fldChar w:fldCharType="end"/>
      </w:r>
    </w:p>
    <w:p w14:paraId="5EFA09C1">
      <w:pPr>
        <w:pStyle w:val="47"/>
        <w:tabs>
          <w:tab w:val="right" w:leader="dot" w:pos="9072"/>
        </w:tabs>
        <w:rPr>
          <w:highlight w:val="none"/>
        </w:rPr>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_Toc26063 </w:instrText>
      </w:r>
      <w:r>
        <w:rPr>
          <w:rFonts w:hint="eastAsia" w:ascii="宋体" w:hAnsi="宋体" w:cs="宋体"/>
          <w:szCs w:val="21"/>
          <w:highlight w:val="none"/>
        </w:rPr>
        <w:fldChar w:fldCharType="separate"/>
      </w:r>
      <w:r>
        <w:rPr>
          <w:rFonts w:hint="eastAsia" w:ascii="宋体" w:hAnsi="宋体" w:eastAsia="宋体" w:cs="宋体"/>
          <w:szCs w:val="24"/>
          <w:highlight w:val="none"/>
        </w:rPr>
        <w:t>附件B：投标被否决条件</w:t>
      </w:r>
      <w:r>
        <w:rPr>
          <w:highlight w:val="none"/>
        </w:rPr>
        <w:tab/>
      </w:r>
      <w:r>
        <w:rPr>
          <w:highlight w:val="none"/>
        </w:rPr>
        <w:fldChar w:fldCharType="begin"/>
      </w:r>
      <w:r>
        <w:rPr>
          <w:highlight w:val="none"/>
        </w:rPr>
        <w:instrText xml:space="preserve"> PAGEREF _Toc26063 \h </w:instrText>
      </w:r>
      <w:r>
        <w:rPr>
          <w:highlight w:val="none"/>
        </w:rPr>
        <w:fldChar w:fldCharType="separate"/>
      </w:r>
      <w:r>
        <w:rPr>
          <w:highlight w:val="none"/>
        </w:rPr>
        <w:t>33</w:t>
      </w:r>
      <w:r>
        <w:rPr>
          <w:highlight w:val="none"/>
        </w:rPr>
        <w:fldChar w:fldCharType="end"/>
      </w:r>
      <w:r>
        <w:rPr>
          <w:rFonts w:hint="eastAsia" w:ascii="宋体" w:hAnsi="宋体" w:cs="宋体"/>
          <w:color w:val="auto"/>
          <w:szCs w:val="21"/>
          <w:highlight w:val="none"/>
        </w:rPr>
        <w:fldChar w:fldCharType="end"/>
      </w:r>
    </w:p>
    <w:p w14:paraId="7B9D6419">
      <w:pPr>
        <w:pStyle w:val="39"/>
        <w:tabs>
          <w:tab w:val="right" w:leader="dot" w:pos="9072"/>
        </w:tabs>
        <w:rPr>
          <w:highlight w:val="none"/>
        </w:rPr>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_Toc15890 </w:instrText>
      </w:r>
      <w:r>
        <w:rPr>
          <w:rFonts w:hint="eastAsia" w:ascii="宋体" w:hAnsi="宋体" w:cs="宋体"/>
          <w:szCs w:val="21"/>
          <w:highlight w:val="none"/>
        </w:rPr>
        <w:fldChar w:fldCharType="separate"/>
      </w:r>
      <w:r>
        <w:rPr>
          <w:rFonts w:hint="eastAsia" w:ascii="宋体" w:hAnsi="宋体" w:cs="宋体"/>
          <w:highlight w:val="none"/>
        </w:rPr>
        <w:t>第四章 合同条款及格式</w:t>
      </w:r>
      <w:r>
        <w:rPr>
          <w:highlight w:val="none"/>
        </w:rPr>
        <w:tab/>
      </w:r>
      <w:r>
        <w:rPr>
          <w:highlight w:val="none"/>
        </w:rPr>
        <w:fldChar w:fldCharType="begin"/>
      </w:r>
      <w:r>
        <w:rPr>
          <w:highlight w:val="none"/>
        </w:rPr>
        <w:instrText xml:space="preserve"> PAGEREF _Toc15890 \h </w:instrText>
      </w:r>
      <w:r>
        <w:rPr>
          <w:highlight w:val="none"/>
        </w:rPr>
        <w:fldChar w:fldCharType="separate"/>
      </w:r>
      <w:r>
        <w:rPr>
          <w:highlight w:val="none"/>
        </w:rPr>
        <w:t>35</w:t>
      </w:r>
      <w:r>
        <w:rPr>
          <w:highlight w:val="none"/>
        </w:rPr>
        <w:fldChar w:fldCharType="end"/>
      </w:r>
      <w:r>
        <w:rPr>
          <w:rFonts w:hint="eastAsia" w:ascii="宋体" w:hAnsi="宋体" w:cs="宋体"/>
          <w:color w:val="auto"/>
          <w:szCs w:val="21"/>
          <w:highlight w:val="none"/>
        </w:rPr>
        <w:fldChar w:fldCharType="end"/>
      </w:r>
    </w:p>
    <w:p w14:paraId="397CD40B">
      <w:pPr>
        <w:pStyle w:val="47"/>
        <w:tabs>
          <w:tab w:val="right" w:leader="dot" w:pos="9072"/>
        </w:tabs>
        <w:rPr>
          <w:highlight w:val="none"/>
        </w:rPr>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_Toc12304 </w:instrText>
      </w:r>
      <w:r>
        <w:rPr>
          <w:rFonts w:hint="eastAsia" w:ascii="宋体" w:hAnsi="宋体" w:cs="宋体"/>
          <w:szCs w:val="21"/>
          <w:highlight w:val="none"/>
        </w:rPr>
        <w:fldChar w:fldCharType="separate"/>
      </w:r>
      <w:r>
        <w:rPr>
          <w:rFonts w:hint="eastAsia" w:ascii="等线" w:hAnsi="等线" w:eastAsia="等线" w:cs="Times New Roman"/>
          <w:szCs w:val="24"/>
          <w:highlight w:val="none"/>
        </w:rPr>
        <w:t>第一部分  合同协议书</w:t>
      </w:r>
      <w:r>
        <w:rPr>
          <w:highlight w:val="none"/>
        </w:rPr>
        <w:tab/>
      </w:r>
      <w:r>
        <w:rPr>
          <w:highlight w:val="none"/>
        </w:rPr>
        <w:fldChar w:fldCharType="begin"/>
      </w:r>
      <w:r>
        <w:rPr>
          <w:highlight w:val="none"/>
        </w:rPr>
        <w:instrText xml:space="preserve"> PAGEREF _Toc12304 \h </w:instrText>
      </w:r>
      <w:r>
        <w:rPr>
          <w:highlight w:val="none"/>
        </w:rPr>
        <w:fldChar w:fldCharType="separate"/>
      </w:r>
      <w:r>
        <w:rPr>
          <w:highlight w:val="none"/>
        </w:rPr>
        <w:t>35</w:t>
      </w:r>
      <w:r>
        <w:rPr>
          <w:highlight w:val="none"/>
        </w:rPr>
        <w:fldChar w:fldCharType="end"/>
      </w:r>
      <w:r>
        <w:rPr>
          <w:rFonts w:hint="eastAsia" w:ascii="宋体" w:hAnsi="宋体" w:cs="宋体"/>
          <w:color w:val="auto"/>
          <w:szCs w:val="21"/>
          <w:highlight w:val="none"/>
        </w:rPr>
        <w:fldChar w:fldCharType="end"/>
      </w:r>
    </w:p>
    <w:p w14:paraId="2B7A8347">
      <w:pPr>
        <w:pStyle w:val="47"/>
        <w:tabs>
          <w:tab w:val="right" w:leader="dot" w:pos="9072"/>
        </w:tabs>
        <w:rPr>
          <w:highlight w:val="none"/>
        </w:rPr>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_Toc27889 </w:instrText>
      </w:r>
      <w:r>
        <w:rPr>
          <w:rFonts w:hint="eastAsia" w:ascii="宋体" w:hAnsi="宋体" w:cs="宋体"/>
          <w:szCs w:val="21"/>
          <w:highlight w:val="none"/>
        </w:rPr>
        <w:fldChar w:fldCharType="separate"/>
      </w:r>
      <w:r>
        <w:rPr>
          <w:rFonts w:ascii="宋体" w:hAnsi="宋体" w:eastAsia="宋体" w:cs="宋体"/>
          <w:bCs/>
          <w:kern w:val="2"/>
          <w:szCs w:val="32"/>
          <w:highlight w:val="none"/>
          <w:lang w:val="en-US" w:eastAsia="zh-CN" w:bidi="ar-SA"/>
        </w:rPr>
        <w:t>第二部分  通用条件</w:t>
      </w:r>
      <w:r>
        <w:rPr>
          <w:highlight w:val="none"/>
        </w:rPr>
        <w:tab/>
      </w:r>
      <w:r>
        <w:rPr>
          <w:highlight w:val="none"/>
        </w:rPr>
        <w:fldChar w:fldCharType="begin"/>
      </w:r>
      <w:r>
        <w:rPr>
          <w:highlight w:val="none"/>
        </w:rPr>
        <w:instrText xml:space="preserve"> PAGEREF _Toc27889 \h </w:instrText>
      </w:r>
      <w:r>
        <w:rPr>
          <w:highlight w:val="none"/>
        </w:rPr>
        <w:fldChar w:fldCharType="separate"/>
      </w:r>
      <w:r>
        <w:rPr>
          <w:highlight w:val="none"/>
        </w:rPr>
        <w:t>37</w:t>
      </w:r>
      <w:r>
        <w:rPr>
          <w:highlight w:val="none"/>
        </w:rPr>
        <w:fldChar w:fldCharType="end"/>
      </w:r>
      <w:r>
        <w:rPr>
          <w:rFonts w:hint="eastAsia" w:ascii="宋体" w:hAnsi="宋体" w:cs="宋体"/>
          <w:color w:val="auto"/>
          <w:szCs w:val="21"/>
          <w:highlight w:val="none"/>
        </w:rPr>
        <w:fldChar w:fldCharType="end"/>
      </w:r>
    </w:p>
    <w:p w14:paraId="22F3B448">
      <w:pPr>
        <w:pStyle w:val="47"/>
        <w:tabs>
          <w:tab w:val="right" w:leader="dot" w:pos="9072"/>
        </w:tabs>
        <w:rPr>
          <w:highlight w:val="none"/>
        </w:rPr>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_Toc13357 </w:instrText>
      </w:r>
      <w:r>
        <w:rPr>
          <w:rFonts w:hint="eastAsia" w:ascii="宋体" w:hAnsi="宋体" w:cs="宋体"/>
          <w:szCs w:val="21"/>
          <w:highlight w:val="none"/>
        </w:rPr>
        <w:fldChar w:fldCharType="separate"/>
      </w:r>
      <w:r>
        <w:rPr>
          <w:rFonts w:ascii="宋体" w:hAnsi="宋体" w:eastAsia="宋体" w:cs="宋体"/>
          <w:bCs/>
          <w:kern w:val="2"/>
          <w:szCs w:val="32"/>
          <w:highlight w:val="none"/>
          <w:lang w:val="en-US" w:eastAsia="zh-CN" w:bidi="ar-SA"/>
        </w:rPr>
        <w:t>第三部分  专用条件</w:t>
      </w:r>
      <w:r>
        <w:rPr>
          <w:highlight w:val="none"/>
        </w:rPr>
        <w:tab/>
      </w:r>
      <w:r>
        <w:rPr>
          <w:highlight w:val="none"/>
        </w:rPr>
        <w:fldChar w:fldCharType="begin"/>
      </w:r>
      <w:r>
        <w:rPr>
          <w:highlight w:val="none"/>
        </w:rPr>
        <w:instrText xml:space="preserve"> PAGEREF _Toc13357 \h </w:instrText>
      </w:r>
      <w:r>
        <w:rPr>
          <w:highlight w:val="none"/>
        </w:rPr>
        <w:fldChar w:fldCharType="separate"/>
      </w:r>
      <w:r>
        <w:rPr>
          <w:highlight w:val="none"/>
        </w:rPr>
        <w:t>45</w:t>
      </w:r>
      <w:r>
        <w:rPr>
          <w:highlight w:val="none"/>
        </w:rPr>
        <w:fldChar w:fldCharType="end"/>
      </w:r>
      <w:r>
        <w:rPr>
          <w:rFonts w:hint="eastAsia" w:ascii="宋体" w:hAnsi="宋体" w:cs="宋体"/>
          <w:color w:val="auto"/>
          <w:szCs w:val="21"/>
          <w:highlight w:val="none"/>
        </w:rPr>
        <w:fldChar w:fldCharType="end"/>
      </w:r>
    </w:p>
    <w:p w14:paraId="21FBE9BC">
      <w:pPr>
        <w:pStyle w:val="39"/>
        <w:tabs>
          <w:tab w:val="right" w:leader="dot" w:pos="9072"/>
        </w:tabs>
        <w:rPr>
          <w:highlight w:val="none"/>
        </w:rPr>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_Toc396 </w:instrText>
      </w:r>
      <w:r>
        <w:rPr>
          <w:rFonts w:hint="eastAsia" w:ascii="宋体" w:hAnsi="宋体" w:cs="宋体"/>
          <w:szCs w:val="21"/>
          <w:highlight w:val="none"/>
        </w:rPr>
        <w:fldChar w:fldCharType="separate"/>
      </w:r>
      <w:r>
        <w:rPr>
          <w:rFonts w:hint="eastAsia" w:ascii="宋体" w:hAnsi="宋体" w:cs="宋体"/>
          <w:highlight w:val="none"/>
          <w:lang w:val="zh-CN"/>
        </w:rPr>
        <w:t>第五章 服务要求</w:t>
      </w:r>
      <w:r>
        <w:rPr>
          <w:highlight w:val="none"/>
        </w:rPr>
        <w:tab/>
      </w:r>
      <w:r>
        <w:rPr>
          <w:highlight w:val="none"/>
        </w:rPr>
        <w:fldChar w:fldCharType="begin"/>
      </w:r>
      <w:r>
        <w:rPr>
          <w:highlight w:val="none"/>
        </w:rPr>
        <w:instrText xml:space="preserve"> PAGEREF _Toc396 \h </w:instrText>
      </w:r>
      <w:r>
        <w:rPr>
          <w:highlight w:val="none"/>
        </w:rPr>
        <w:fldChar w:fldCharType="separate"/>
      </w:r>
      <w:r>
        <w:rPr>
          <w:highlight w:val="none"/>
        </w:rPr>
        <w:t>48</w:t>
      </w:r>
      <w:r>
        <w:rPr>
          <w:highlight w:val="none"/>
        </w:rPr>
        <w:fldChar w:fldCharType="end"/>
      </w:r>
      <w:r>
        <w:rPr>
          <w:rFonts w:hint="eastAsia" w:ascii="宋体" w:hAnsi="宋体" w:cs="宋体"/>
          <w:color w:val="auto"/>
          <w:szCs w:val="21"/>
          <w:highlight w:val="none"/>
        </w:rPr>
        <w:fldChar w:fldCharType="end"/>
      </w:r>
    </w:p>
    <w:p w14:paraId="7BDFCB2C">
      <w:pPr>
        <w:pStyle w:val="39"/>
        <w:tabs>
          <w:tab w:val="right" w:leader="dot" w:pos="9072"/>
        </w:tabs>
        <w:rPr>
          <w:highlight w:val="none"/>
        </w:rPr>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_Toc6699 </w:instrText>
      </w:r>
      <w:r>
        <w:rPr>
          <w:rFonts w:hint="eastAsia" w:ascii="宋体" w:hAnsi="宋体" w:cs="宋体"/>
          <w:szCs w:val="21"/>
          <w:highlight w:val="none"/>
        </w:rPr>
        <w:fldChar w:fldCharType="separate"/>
      </w:r>
      <w:r>
        <w:rPr>
          <w:rFonts w:hint="eastAsia" w:ascii="宋体" w:hAnsi="宋体" w:cs="宋体"/>
          <w:szCs w:val="24"/>
          <w:highlight w:val="none"/>
        </w:rPr>
        <w:t xml:space="preserve">第六章 </w:t>
      </w:r>
      <w:r>
        <w:rPr>
          <w:rFonts w:hint="eastAsia" w:ascii="宋体" w:hAnsi="宋体" w:cs="宋体"/>
          <w:szCs w:val="24"/>
          <w:highlight w:val="none"/>
          <w:lang w:val="zh-CN"/>
        </w:rPr>
        <w:t>投标文件格式</w:t>
      </w:r>
      <w:r>
        <w:rPr>
          <w:highlight w:val="none"/>
        </w:rPr>
        <w:tab/>
      </w:r>
      <w:r>
        <w:rPr>
          <w:highlight w:val="none"/>
        </w:rPr>
        <w:fldChar w:fldCharType="begin"/>
      </w:r>
      <w:r>
        <w:rPr>
          <w:highlight w:val="none"/>
        </w:rPr>
        <w:instrText xml:space="preserve"> PAGEREF _Toc6699 \h </w:instrText>
      </w:r>
      <w:r>
        <w:rPr>
          <w:highlight w:val="none"/>
        </w:rPr>
        <w:fldChar w:fldCharType="separate"/>
      </w:r>
      <w:r>
        <w:rPr>
          <w:highlight w:val="none"/>
        </w:rPr>
        <w:t>49</w:t>
      </w:r>
      <w:r>
        <w:rPr>
          <w:highlight w:val="none"/>
        </w:rPr>
        <w:fldChar w:fldCharType="end"/>
      </w:r>
      <w:r>
        <w:rPr>
          <w:rFonts w:hint="eastAsia" w:ascii="宋体" w:hAnsi="宋体" w:cs="宋体"/>
          <w:color w:val="auto"/>
          <w:szCs w:val="21"/>
          <w:highlight w:val="none"/>
        </w:rPr>
        <w:fldChar w:fldCharType="end"/>
      </w:r>
    </w:p>
    <w:p w14:paraId="13877974">
      <w:pPr>
        <w:pStyle w:val="47"/>
        <w:tabs>
          <w:tab w:val="right" w:leader="dot" w:pos="9072"/>
        </w:tabs>
        <w:rPr>
          <w:highlight w:val="none"/>
        </w:rPr>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_Toc20556 </w:instrText>
      </w:r>
      <w:r>
        <w:rPr>
          <w:rFonts w:hint="eastAsia" w:ascii="宋体" w:hAnsi="宋体" w:cs="宋体"/>
          <w:szCs w:val="21"/>
          <w:highlight w:val="none"/>
        </w:rPr>
        <w:fldChar w:fldCharType="separate"/>
      </w:r>
      <w:r>
        <w:rPr>
          <w:rFonts w:hint="eastAsia" w:ascii="宋体" w:hAnsi="宋体" w:eastAsia="宋体" w:cs="宋体"/>
          <w:szCs w:val="36"/>
          <w:highlight w:val="none"/>
        </w:rPr>
        <w:t>第一部分 资格审查部分</w:t>
      </w:r>
      <w:r>
        <w:rPr>
          <w:highlight w:val="none"/>
        </w:rPr>
        <w:tab/>
      </w:r>
      <w:r>
        <w:rPr>
          <w:highlight w:val="none"/>
        </w:rPr>
        <w:fldChar w:fldCharType="begin"/>
      </w:r>
      <w:r>
        <w:rPr>
          <w:highlight w:val="none"/>
        </w:rPr>
        <w:instrText xml:space="preserve"> PAGEREF _Toc20556 \h </w:instrText>
      </w:r>
      <w:r>
        <w:rPr>
          <w:highlight w:val="none"/>
        </w:rPr>
        <w:fldChar w:fldCharType="separate"/>
      </w:r>
      <w:r>
        <w:rPr>
          <w:highlight w:val="none"/>
        </w:rPr>
        <w:t>51</w:t>
      </w:r>
      <w:r>
        <w:rPr>
          <w:highlight w:val="none"/>
        </w:rPr>
        <w:fldChar w:fldCharType="end"/>
      </w:r>
      <w:r>
        <w:rPr>
          <w:rFonts w:hint="eastAsia" w:ascii="宋体" w:hAnsi="宋体" w:cs="宋体"/>
          <w:color w:val="auto"/>
          <w:szCs w:val="21"/>
          <w:highlight w:val="none"/>
        </w:rPr>
        <w:fldChar w:fldCharType="end"/>
      </w:r>
    </w:p>
    <w:p w14:paraId="7EF61F1D">
      <w:pPr>
        <w:pStyle w:val="30"/>
        <w:tabs>
          <w:tab w:val="right" w:leader="dot" w:pos="9072"/>
        </w:tabs>
        <w:rPr>
          <w:highlight w:val="none"/>
        </w:rPr>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_Toc26457 </w:instrText>
      </w:r>
      <w:r>
        <w:rPr>
          <w:rFonts w:hint="eastAsia" w:ascii="宋体" w:hAnsi="宋体" w:cs="宋体"/>
          <w:szCs w:val="21"/>
          <w:highlight w:val="none"/>
        </w:rPr>
        <w:fldChar w:fldCharType="separate"/>
      </w:r>
      <w:r>
        <w:rPr>
          <w:rFonts w:hint="eastAsia" w:ascii="宋体" w:hAnsi="宋体" w:cs="宋体"/>
          <w:szCs w:val="28"/>
          <w:highlight w:val="none"/>
        </w:rPr>
        <w:t>（一）法定代表人身份证明书</w:t>
      </w:r>
      <w:r>
        <w:rPr>
          <w:highlight w:val="none"/>
        </w:rPr>
        <w:tab/>
      </w:r>
      <w:r>
        <w:rPr>
          <w:highlight w:val="none"/>
        </w:rPr>
        <w:fldChar w:fldCharType="begin"/>
      </w:r>
      <w:r>
        <w:rPr>
          <w:highlight w:val="none"/>
        </w:rPr>
        <w:instrText xml:space="preserve"> PAGEREF _Toc26457 \h </w:instrText>
      </w:r>
      <w:r>
        <w:rPr>
          <w:highlight w:val="none"/>
        </w:rPr>
        <w:fldChar w:fldCharType="separate"/>
      </w:r>
      <w:r>
        <w:rPr>
          <w:highlight w:val="none"/>
        </w:rPr>
        <w:t>51</w:t>
      </w:r>
      <w:r>
        <w:rPr>
          <w:highlight w:val="none"/>
        </w:rPr>
        <w:fldChar w:fldCharType="end"/>
      </w:r>
      <w:r>
        <w:rPr>
          <w:rFonts w:hint="eastAsia" w:ascii="宋体" w:hAnsi="宋体" w:cs="宋体"/>
          <w:color w:val="auto"/>
          <w:szCs w:val="21"/>
          <w:highlight w:val="none"/>
        </w:rPr>
        <w:fldChar w:fldCharType="end"/>
      </w:r>
    </w:p>
    <w:p w14:paraId="4E178F52">
      <w:pPr>
        <w:pStyle w:val="30"/>
        <w:tabs>
          <w:tab w:val="right" w:leader="dot" w:pos="9072"/>
        </w:tabs>
        <w:rPr>
          <w:highlight w:val="none"/>
        </w:rPr>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_Toc2447 </w:instrText>
      </w:r>
      <w:r>
        <w:rPr>
          <w:rFonts w:hint="eastAsia" w:ascii="宋体" w:hAnsi="宋体" w:cs="宋体"/>
          <w:szCs w:val="21"/>
          <w:highlight w:val="none"/>
        </w:rPr>
        <w:fldChar w:fldCharType="separate"/>
      </w:r>
      <w:r>
        <w:rPr>
          <w:rFonts w:hint="eastAsia" w:ascii="宋体" w:hAnsi="宋体" w:cs="宋体"/>
          <w:szCs w:val="28"/>
          <w:highlight w:val="none"/>
        </w:rPr>
        <w:t>（二）授权委托书</w:t>
      </w:r>
      <w:r>
        <w:rPr>
          <w:highlight w:val="none"/>
        </w:rPr>
        <w:tab/>
      </w:r>
      <w:r>
        <w:rPr>
          <w:highlight w:val="none"/>
        </w:rPr>
        <w:fldChar w:fldCharType="begin"/>
      </w:r>
      <w:r>
        <w:rPr>
          <w:highlight w:val="none"/>
        </w:rPr>
        <w:instrText xml:space="preserve"> PAGEREF _Toc2447 \h </w:instrText>
      </w:r>
      <w:r>
        <w:rPr>
          <w:highlight w:val="none"/>
        </w:rPr>
        <w:fldChar w:fldCharType="separate"/>
      </w:r>
      <w:r>
        <w:rPr>
          <w:highlight w:val="none"/>
        </w:rPr>
        <w:t>52</w:t>
      </w:r>
      <w:r>
        <w:rPr>
          <w:highlight w:val="none"/>
        </w:rPr>
        <w:fldChar w:fldCharType="end"/>
      </w:r>
      <w:r>
        <w:rPr>
          <w:rFonts w:hint="eastAsia" w:ascii="宋体" w:hAnsi="宋体" w:cs="宋体"/>
          <w:color w:val="auto"/>
          <w:szCs w:val="21"/>
          <w:highlight w:val="none"/>
        </w:rPr>
        <w:fldChar w:fldCharType="end"/>
      </w:r>
    </w:p>
    <w:p w14:paraId="22AFBB6A">
      <w:pPr>
        <w:pStyle w:val="30"/>
        <w:tabs>
          <w:tab w:val="right" w:leader="dot" w:pos="9072"/>
        </w:tabs>
        <w:rPr>
          <w:highlight w:val="none"/>
        </w:rPr>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_Toc29128 </w:instrText>
      </w:r>
      <w:r>
        <w:rPr>
          <w:rFonts w:hint="eastAsia" w:ascii="宋体" w:hAnsi="宋体" w:cs="宋体"/>
          <w:szCs w:val="21"/>
          <w:highlight w:val="none"/>
        </w:rPr>
        <w:fldChar w:fldCharType="separate"/>
      </w:r>
      <w:r>
        <w:rPr>
          <w:rFonts w:hint="eastAsia" w:ascii="宋体" w:hAnsi="宋体" w:cs="宋体"/>
          <w:kern w:val="0"/>
          <w:szCs w:val="30"/>
          <w:highlight w:val="none"/>
        </w:rPr>
        <w:t>（</w:t>
      </w:r>
      <w:r>
        <w:rPr>
          <w:rFonts w:hint="eastAsia" w:ascii="宋体" w:hAnsi="宋体" w:cs="宋体"/>
          <w:kern w:val="0"/>
          <w:szCs w:val="30"/>
          <w:highlight w:val="none"/>
          <w:lang w:val="en-US" w:eastAsia="zh-CN"/>
        </w:rPr>
        <w:t>三</w:t>
      </w:r>
      <w:r>
        <w:rPr>
          <w:rFonts w:hint="eastAsia" w:ascii="宋体" w:hAnsi="宋体" w:cs="宋体"/>
          <w:kern w:val="0"/>
          <w:szCs w:val="30"/>
          <w:highlight w:val="none"/>
        </w:rPr>
        <w:t>）投标人基本情况表</w:t>
      </w:r>
      <w:r>
        <w:rPr>
          <w:highlight w:val="none"/>
        </w:rPr>
        <w:tab/>
      </w:r>
      <w:r>
        <w:rPr>
          <w:highlight w:val="none"/>
        </w:rPr>
        <w:fldChar w:fldCharType="begin"/>
      </w:r>
      <w:r>
        <w:rPr>
          <w:highlight w:val="none"/>
        </w:rPr>
        <w:instrText xml:space="preserve"> PAGEREF _Toc29128 \h </w:instrText>
      </w:r>
      <w:r>
        <w:rPr>
          <w:highlight w:val="none"/>
        </w:rPr>
        <w:fldChar w:fldCharType="separate"/>
      </w:r>
      <w:r>
        <w:rPr>
          <w:highlight w:val="none"/>
        </w:rPr>
        <w:t>53</w:t>
      </w:r>
      <w:r>
        <w:rPr>
          <w:highlight w:val="none"/>
        </w:rPr>
        <w:fldChar w:fldCharType="end"/>
      </w:r>
      <w:r>
        <w:rPr>
          <w:rFonts w:hint="eastAsia" w:ascii="宋体" w:hAnsi="宋体" w:cs="宋体"/>
          <w:color w:val="auto"/>
          <w:szCs w:val="21"/>
          <w:highlight w:val="none"/>
        </w:rPr>
        <w:fldChar w:fldCharType="end"/>
      </w:r>
    </w:p>
    <w:p w14:paraId="4D5CAA81">
      <w:pPr>
        <w:pStyle w:val="30"/>
        <w:tabs>
          <w:tab w:val="right" w:leader="dot" w:pos="9072"/>
        </w:tabs>
        <w:rPr>
          <w:highlight w:val="none"/>
        </w:rPr>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_Toc32190 </w:instrText>
      </w:r>
      <w:r>
        <w:rPr>
          <w:rFonts w:hint="eastAsia" w:ascii="宋体" w:hAnsi="宋体" w:cs="宋体"/>
          <w:szCs w:val="21"/>
          <w:highlight w:val="none"/>
        </w:rPr>
        <w:fldChar w:fldCharType="separate"/>
      </w:r>
      <w:r>
        <w:rPr>
          <w:rFonts w:hint="eastAsia" w:ascii="宋体" w:hAnsi="宋体" w:cs="宋体"/>
          <w:szCs w:val="30"/>
          <w:highlight w:val="none"/>
        </w:rPr>
        <w:t>（</w:t>
      </w:r>
      <w:r>
        <w:rPr>
          <w:rFonts w:hint="eastAsia" w:ascii="宋体" w:hAnsi="宋体" w:cs="宋体"/>
          <w:szCs w:val="30"/>
          <w:highlight w:val="none"/>
          <w:lang w:val="en-US" w:eastAsia="zh-CN"/>
        </w:rPr>
        <w:t>四</w:t>
      </w:r>
      <w:r>
        <w:rPr>
          <w:rFonts w:hint="eastAsia" w:ascii="宋体" w:hAnsi="宋体" w:cs="宋体"/>
          <w:szCs w:val="30"/>
          <w:highlight w:val="none"/>
        </w:rPr>
        <w:t>）拟投入项目团队组成</w:t>
      </w:r>
      <w:r>
        <w:rPr>
          <w:highlight w:val="none"/>
        </w:rPr>
        <w:tab/>
      </w:r>
      <w:r>
        <w:rPr>
          <w:highlight w:val="none"/>
        </w:rPr>
        <w:fldChar w:fldCharType="begin"/>
      </w:r>
      <w:r>
        <w:rPr>
          <w:highlight w:val="none"/>
        </w:rPr>
        <w:instrText xml:space="preserve"> PAGEREF _Toc32190 \h </w:instrText>
      </w:r>
      <w:r>
        <w:rPr>
          <w:highlight w:val="none"/>
        </w:rPr>
        <w:fldChar w:fldCharType="separate"/>
      </w:r>
      <w:r>
        <w:rPr>
          <w:highlight w:val="none"/>
        </w:rPr>
        <w:t>54</w:t>
      </w:r>
      <w:r>
        <w:rPr>
          <w:highlight w:val="none"/>
        </w:rPr>
        <w:fldChar w:fldCharType="end"/>
      </w:r>
      <w:r>
        <w:rPr>
          <w:rFonts w:hint="eastAsia" w:ascii="宋体" w:hAnsi="宋体" w:cs="宋体"/>
          <w:color w:val="auto"/>
          <w:szCs w:val="21"/>
          <w:highlight w:val="none"/>
        </w:rPr>
        <w:fldChar w:fldCharType="end"/>
      </w:r>
    </w:p>
    <w:p w14:paraId="54866E2C">
      <w:pPr>
        <w:pStyle w:val="40"/>
        <w:tabs>
          <w:tab w:val="right" w:leader="dot" w:pos="9072"/>
        </w:tabs>
        <w:rPr>
          <w:highlight w:val="none"/>
        </w:rPr>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_Toc14442 </w:instrText>
      </w:r>
      <w:r>
        <w:rPr>
          <w:rFonts w:hint="eastAsia" w:ascii="宋体" w:hAnsi="宋体" w:cs="宋体"/>
          <w:szCs w:val="21"/>
          <w:highlight w:val="none"/>
        </w:rPr>
        <w:fldChar w:fldCharType="separate"/>
      </w:r>
      <w:r>
        <w:rPr>
          <w:rFonts w:hint="eastAsia" w:ascii="宋体" w:hAnsi="宋体" w:cs="宋体"/>
          <w:szCs w:val="28"/>
          <w:highlight w:val="none"/>
          <w:lang w:val="en-US" w:eastAsia="zh-CN"/>
        </w:rPr>
        <w:t>4.1总监理工程师</w:t>
      </w:r>
      <w:r>
        <w:rPr>
          <w:rFonts w:hint="eastAsia" w:ascii="宋体" w:hAnsi="宋体" w:cs="宋体"/>
          <w:szCs w:val="28"/>
          <w:highlight w:val="none"/>
        </w:rPr>
        <w:t>简历表</w:t>
      </w:r>
      <w:r>
        <w:rPr>
          <w:highlight w:val="none"/>
        </w:rPr>
        <w:tab/>
      </w:r>
      <w:r>
        <w:rPr>
          <w:highlight w:val="none"/>
        </w:rPr>
        <w:fldChar w:fldCharType="begin"/>
      </w:r>
      <w:r>
        <w:rPr>
          <w:highlight w:val="none"/>
        </w:rPr>
        <w:instrText xml:space="preserve"> PAGEREF _Toc14442 \h </w:instrText>
      </w:r>
      <w:r>
        <w:rPr>
          <w:highlight w:val="none"/>
        </w:rPr>
        <w:fldChar w:fldCharType="separate"/>
      </w:r>
      <w:r>
        <w:rPr>
          <w:highlight w:val="none"/>
        </w:rPr>
        <w:t>55</w:t>
      </w:r>
      <w:r>
        <w:rPr>
          <w:highlight w:val="none"/>
        </w:rPr>
        <w:fldChar w:fldCharType="end"/>
      </w:r>
      <w:r>
        <w:rPr>
          <w:rFonts w:hint="eastAsia" w:ascii="宋体" w:hAnsi="宋体" w:cs="宋体"/>
          <w:color w:val="auto"/>
          <w:szCs w:val="21"/>
          <w:highlight w:val="none"/>
        </w:rPr>
        <w:fldChar w:fldCharType="end"/>
      </w:r>
    </w:p>
    <w:p w14:paraId="51565FC7">
      <w:pPr>
        <w:pStyle w:val="40"/>
        <w:tabs>
          <w:tab w:val="right" w:leader="dot" w:pos="9072"/>
        </w:tabs>
        <w:rPr>
          <w:highlight w:val="none"/>
        </w:rPr>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_Toc10092 </w:instrText>
      </w:r>
      <w:r>
        <w:rPr>
          <w:rFonts w:hint="eastAsia" w:ascii="宋体" w:hAnsi="宋体" w:cs="宋体"/>
          <w:szCs w:val="21"/>
          <w:highlight w:val="none"/>
        </w:rPr>
        <w:fldChar w:fldCharType="separate"/>
      </w:r>
      <w:r>
        <w:rPr>
          <w:rFonts w:hint="eastAsia" w:ascii="宋体" w:hAnsi="宋体" w:cs="宋体"/>
          <w:szCs w:val="30"/>
          <w:highlight w:val="none"/>
          <w:lang w:val="en-US" w:eastAsia="zh-CN"/>
        </w:rPr>
        <w:t>4.2人员承诺书</w:t>
      </w:r>
      <w:r>
        <w:rPr>
          <w:highlight w:val="none"/>
        </w:rPr>
        <w:tab/>
      </w:r>
      <w:r>
        <w:rPr>
          <w:highlight w:val="none"/>
        </w:rPr>
        <w:fldChar w:fldCharType="begin"/>
      </w:r>
      <w:r>
        <w:rPr>
          <w:highlight w:val="none"/>
        </w:rPr>
        <w:instrText xml:space="preserve"> PAGEREF _Toc10092 \h </w:instrText>
      </w:r>
      <w:r>
        <w:rPr>
          <w:highlight w:val="none"/>
        </w:rPr>
        <w:fldChar w:fldCharType="separate"/>
      </w:r>
      <w:r>
        <w:rPr>
          <w:highlight w:val="none"/>
        </w:rPr>
        <w:t>56</w:t>
      </w:r>
      <w:r>
        <w:rPr>
          <w:highlight w:val="none"/>
        </w:rPr>
        <w:fldChar w:fldCharType="end"/>
      </w:r>
      <w:r>
        <w:rPr>
          <w:rFonts w:hint="eastAsia" w:ascii="宋体" w:hAnsi="宋体" w:cs="宋体"/>
          <w:color w:val="auto"/>
          <w:szCs w:val="21"/>
          <w:highlight w:val="none"/>
        </w:rPr>
        <w:fldChar w:fldCharType="end"/>
      </w:r>
    </w:p>
    <w:p w14:paraId="0DE56584">
      <w:pPr>
        <w:pStyle w:val="30"/>
        <w:tabs>
          <w:tab w:val="right" w:leader="dot" w:pos="9072"/>
        </w:tabs>
        <w:rPr>
          <w:highlight w:val="none"/>
        </w:rPr>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_Toc3404 </w:instrText>
      </w:r>
      <w:r>
        <w:rPr>
          <w:rFonts w:hint="eastAsia" w:ascii="宋体" w:hAnsi="宋体" w:cs="宋体"/>
          <w:szCs w:val="21"/>
          <w:highlight w:val="none"/>
        </w:rPr>
        <w:fldChar w:fldCharType="separate"/>
      </w:r>
      <w:r>
        <w:rPr>
          <w:rFonts w:hint="eastAsia" w:ascii="宋体" w:hAnsi="宋体" w:cs="宋体"/>
          <w:szCs w:val="30"/>
          <w:highlight w:val="none"/>
        </w:rPr>
        <w:t>（</w:t>
      </w:r>
      <w:r>
        <w:rPr>
          <w:rFonts w:hint="eastAsia" w:ascii="宋体" w:hAnsi="宋体" w:cs="宋体"/>
          <w:szCs w:val="30"/>
          <w:highlight w:val="none"/>
          <w:lang w:val="en-US" w:eastAsia="zh-CN"/>
        </w:rPr>
        <w:t>五</w:t>
      </w:r>
      <w:r>
        <w:rPr>
          <w:rFonts w:hint="eastAsia" w:ascii="宋体" w:hAnsi="宋体" w:cs="宋体"/>
          <w:szCs w:val="30"/>
          <w:highlight w:val="none"/>
        </w:rPr>
        <w:t>）</w:t>
      </w:r>
      <w:r>
        <w:rPr>
          <w:rFonts w:hint="eastAsia" w:ascii="宋体" w:hAnsi="宋体" w:eastAsia="宋体" w:cs="宋体"/>
          <w:szCs w:val="30"/>
          <w:highlight w:val="none"/>
        </w:rPr>
        <w:t>廉洁诚信承诺书</w:t>
      </w:r>
      <w:r>
        <w:rPr>
          <w:highlight w:val="none"/>
        </w:rPr>
        <w:tab/>
      </w:r>
      <w:r>
        <w:rPr>
          <w:highlight w:val="none"/>
        </w:rPr>
        <w:fldChar w:fldCharType="begin"/>
      </w:r>
      <w:r>
        <w:rPr>
          <w:highlight w:val="none"/>
        </w:rPr>
        <w:instrText xml:space="preserve"> PAGEREF _Toc3404 \h </w:instrText>
      </w:r>
      <w:r>
        <w:rPr>
          <w:highlight w:val="none"/>
        </w:rPr>
        <w:fldChar w:fldCharType="separate"/>
      </w:r>
      <w:r>
        <w:rPr>
          <w:highlight w:val="none"/>
        </w:rPr>
        <w:t>57</w:t>
      </w:r>
      <w:r>
        <w:rPr>
          <w:highlight w:val="none"/>
        </w:rPr>
        <w:fldChar w:fldCharType="end"/>
      </w:r>
      <w:r>
        <w:rPr>
          <w:rFonts w:hint="eastAsia" w:ascii="宋体" w:hAnsi="宋体" w:cs="宋体"/>
          <w:color w:val="auto"/>
          <w:szCs w:val="21"/>
          <w:highlight w:val="none"/>
        </w:rPr>
        <w:fldChar w:fldCharType="end"/>
      </w:r>
    </w:p>
    <w:p w14:paraId="253C4597">
      <w:pPr>
        <w:pStyle w:val="30"/>
        <w:tabs>
          <w:tab w:val="right" w:leader="dot" w:pos="9072"/>
        </w:tabs>
        <w:rPr>
          <w:highlight w:val="none"/>
        </w:rPr>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_Toc21288 </w:instrText>
      </w:r>
      <w:r>
        <w:rPr>
          <w:rFonts w:hint="eastAsia" w:ascii="宋体" w:hAnsi="宋体" w:cs="宋体"/>
          <w:szCs w:val="21"/>
          <w:highlight w:val="none"/>
        </w:rPr>
        <w:fldChar w:fldCharType="separate"/>
      </w:r>
      <w:r>
        <w:rPr>
          <w:rFonts w:hint="eastAsia" w:ascii="宋体" w:hAnsi="宋体" w:cs="宋体"/>
          <w:szCs w:val="30"/>
          <w:highlight w:val="none"/>
        </w:rPr>
        <w:t>（</w:t>
      </w:r>
      <w:r>
        <w:rPr>
          <w:rFonts w:hint="eastAsia" w:ascii="宋体" w:hAnsi="宋体" w:cs="宋体"/>
          <w:szCs w:val="30"/>
          <w:highlight w:val="none"/>
          <w:lang w:val="en-US" w:eastAsia="zh-CN"/>
        </w:rPr>
        <w:t>六</w:t>
      </w:r>
      <w:r>
        <w:rPr>
          <w:rFonts w:hint="eastAsia" w:ascii="宋体" w:hAnsi="宋体" w:cs="宋体"/>
          <w:szCs w:val="30"/>
          <w:highlight w:val="none"/>
        </w:rPr>
        <w:t>）信誉承诺</w:t>
      </w:r>
      <w:r>
        <w:rPr>
          <w:highlight w:val="none"/>
        </w:rPr>
        <w:tab/>
      </w:r>
      <w:r>
        <w:rPr>
          <w:highlight w:val="none"/>
        </w:rPr>
        <w:fldChar w:fldCharType="begin"/>
      </w:r>
      <w:r>
        <w:rPr>
          <w:highlight w:val="none"/>
        </w:rPr>
        <w:instrText xml:space="preserve"> PAGEREF _Toc21288 \h </w:instrText>
      </w:r>
      <w:r>
        <w:rPr>
          <w:highlight w:val="none"/>
        </w:rPr>
        <w:fldChar w:fldCharType="separate"/>
      </w:r>
      <w:r>
        <w:rPr>
          <w:highlight w:val="none"/>
        </w:rPr>
        <w:t>58</w:t>
      </w:r>
      <w:r>
        <w:rPr>
          <w:highlight w:val="none"/>
        </w:rPr>
        <w:fldChar w:fldCharType="end"/>
      </w:r>
      <w:r>
        <w:rPr>
          <w:rFonts w:hint="eastAsia" w:ascii="宋体" w:hAnsi="宋体" w:cs="宋体"/>
          <w:color w:val="auto"/>
          <w:szCs w:val="21"/>
          <w:highlight w:val="none"/>
        </w:rPr>
        <w:fldChar w:fldCharType="end"/>
      </w:r>
    </w:p>
    <w:p w14:paraId="43A58750">
      <w:pPr>
        <w:pStyle w:val="30"/>
        <w:tabs>
          <w:tab w:val="right" w:leader="dot" w:pos="9072"/>
        </w:tabs>
        <w:rPr>
          <w:highlight w:val="none"/>
        </w:rPr>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_Toc10891 </w:instrText>
      </w:r>
      <w:r>
        <w:rPr>
          <w:rFonts w:hint="eastAsia" w:ascii="宋体" w:hAnsi="宋体" w:cs="宋体"/>
          <w:szCs w:val="21"/>
          <w:highlight w:val="none"/>
        </w:rPr>
        <w:fldChar w:fldCharType="separate"/>
      </w:r>
      <w:r>
        <w:rPr>
          <w:rFonts w:hint="eastAsia" w:ascii="宋体" w:hAnsi="宋体" w:eastAsia="宋体" w:cs="宋体"/>
          <w:bCs/>
          <w:highlight w:val="none"/>
        </w:rPr>
        <w:t>（</w:t>
      </w:r>
      <w:r>
        <w:rPr>
          <w:rFonts w:hint="eastAsia" w:ascii="宋体" w:hAnsi="宋体" w:eastAsia="宋体" w:cs="宋体"/>
          <w:bCs/>
          <w:highlight w:val="none"/>
          <w:lang w:val="en-US" w:eastAsia="zh-CN"/>
        </w:rPr>
        <w:t>七</w:t>
      </w:r>
      <w:r>
        <w:rPr>
          <w:rFonts w:hint="eastAsia" w:ascii="宋体" w:hAnsi="宋体" w:eastAsia="宋体" w:cs="宋体"/>
          <w:bCs/>
          <w:highlight w:val="none"/>
        </w:rPr>
        <w:t>）信用查询截图</w:t>
      </w:r>
      <w:r>
        <w:rPr>
          <w:highlight w:val="none"/>
        </w:rPr>
        <w:tab/>
      </w:r>
      <w:r>
        <w:rPr>
          <w:highlight w:val="none"/>
        </w:rPr>
        <w:fldChar w:fldCharType="begin"/>
      </w:r>
      <w:r>
        <w:rPr>
          <w:highlight w:val="none"/>
        </w:rPr>
        <w:instrText xml:space="preserve"> PAGEREF _Toc10891 \h </w:instrText>
      </w:r>
      <w:r>
        <w:rPr>
          <w:highlight w:val="none"/>
        </w:rPr>
        <w:fldChar w:fldCharType="separate"/>
      </w:r>
      <w:r>
        <w:rPr>
          <w:highlight w:val="none"/>
        </w:rPr>
        <w:t>59</w:t>
      </w:r>
      <w:r>
        <w:rPr>
          <w:highlight w:val="none"/>
        </w:rPr>
        <w:fldChar w:fldCharType="end"/>
      </w:r>
      <w:r>
        <w:rPr>
          <w:rFonts w:hint="eastAsia" w:ascii="宋体" w:hAnsi="宋体" w:cs="宋体"/>
          <w:color w:val="auto"/>
          <w:szCs w:val="21"/>
          <w:highlight w:val="none"/>
        </w:rPr>
        <w:fldChar w:fldCharType="end"/>
      </w:r>
    </w:p>
    <w:p w14:paraId="7A3E237D">
      <w:pPr>
        <w:pStyle w:val="30"/>
        <w:tabs>
          <w:tab w:val="right" w:leader="dot" w:pos="9072"/>
        </w:tabs>
        <w:rPr>
          <w:highlight w:val="none"/>
        </w:rPr>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_Toc15145 </w:instrText>
      </w:r>
      <w:r>
        <w:rPr>
          <w:rFonts w:hint="eastAsia" w:ascii="宋体" w:hAnsi="宋体" w:cs="宋体"/>
          <w:szCs w:val="21"/>
          <w:highlight w:val="none"/>
        </w:rPr>
        <w:fldChar w:fldCharType="separate"/>
      </w:r>
      <w:r>
        <w:rPr>
          <w:rFonts w:hint="eastAsia" w:ascii="宋体" w:hAnsi="宋体" w:cs="宋体"/>
          <w:szCs w:val="30"/>
          <w:highlight w:val="none"/>
        </w:rPr>
        <w:t>（</w:t>
      </w:r>
      <w:r>
        <w:rPr>
          <w:rFonts w:hint="eastAsia" w:ascii="宋体" w:hAnsi="宋体" w:cs="宋体"/>
          <w:szCs w:val="30"/>
          <w:highlight w:val="none"/>
          <w:lang w:val="en-US" w:eastAsia="zh-CN"/>
        </w:rPr>
        <w:t>八</w:t>
      </w:r>
      <w:r>
        <w:rPr>
          <w:rFonts w:hint="eastAsia" w:ascii="宋体" w:hAnsi="宋体" w:cs="宋体"/>
          <w:szCs w:val="30"/>
          <w:highlight w:val="none"/>
        </w:rPr>
        <w:t>）招标文件要求的及投标人认为应提交的其他资料</w:t>
      </w:r>
      <w:r>
        <w:rPr>
          <w:highlight w:val="none"/>
        </w:rPr>
        <w:tab/>
      </w:r>
      <w:r>
        <w:rPr>
          <w:highlight w:val="none"/>
        </w:rPr>
        <w:fldChar w:fldCharType="begin"/>
      </w:r>
      <w:r>
        <w:rPr>
          <w:highlight w:val="none"/>
        </w:rPr>
        <w:instrText xml:space="preserve"> PAGEREF _Toc15145 \h </w:instrText>
      </w:r>
      <w:r>
        <w:rPr>
          <w:highlight w:val="none"/>
        </w:rPr>
        <w:fldChar w:fldCharType="separate"/>
      </w:r>
      <w:r>
        <w:rPr>
          <w:highlight w:val="none"/>
        </w:rPr>
        <w:t>60</w:t>
      </w:r>
      <w:r>
        <w:rPr>
          <w:highlight w:val="none"/>
        </w:rPr>
        <w:fldChar w:fldCharType="end"/>
      </w:r>
      <w:r>
        <w:rPr>
          <w:rFonts w:hint="eastAsia" w:ascii="宋体" w:hAnsi="宋体" w:cs="宋体"/>
          <w:color w:val="auto"/>
          <w:szCs w:val="21"/>
          <w:highlight w:val="none"/>
        </w:rPr>
        <w:fldChar w:fldCharType="end"/>
      </w:r>
    </w:p>
    <w:p w14:paraId="23D23CAF">
      <w:pPr>
        <w:pStyle w:val="47"/>
        <w:tabs>
          <w:tab w:val="right" w:leader="dot" w:pos="9072"/>
        </w:tabs>
        <w:rPr>
          <w:highlight w:val="none"/>
        </w:rPr>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_Toc20461 </w:instrText>
      </w:r>
      <w:r>
        <w:rPr>
          <w:rFonts w:hint="eastAsia" w:ascii="宋体" w:hAnsi="宋体" w:cs="宋体"/>
          <w:szCs w:val="21"/>
          <w:highlight w:val="none"/>
        </w:rPr>
        <w:fldChar w:fldCharType="separate"/>
      </w:r>
      <w:r>
        <w:rPr>
          <w:rFonts w:hint="eastAsia" w:ascii="宋体" w:hAnsi="宋体" w:eastAsia="宋体" w:cs="宋体"/>
          <w:szCs w:val="36"/>
          <w:highlight w:val="none"/>
        </w:rPr>
        <w:t>第二部分 商务部分</w:t>
      </w:r>
      <w:r>
        <w:rPr>
          <w:highlight w:val="none"/>
        </w:rPr>
        <w:tab/>
      </w:r>
      <w:r>
        <w:rPr>
          <w:highlight w:val="none"/>
        </w:rPr>
        <w:fldChar w:fldCharType="begin"/>
      </w:r>
      <w:r>
        <w:rPr>
          <w:highlight w:val="none"/>
        </w:rPr>
        <w:instrText xml:space="preserve"> PAGEREF _Toc20461 \h </w:instrText>
      </w:r>
      <w:r>
        <w:rPr>
          <w:highlight w:val="none"/>
        </w:rPr>
        <w:fldChar w:fldCharType="separate"/>
      </w:r>
      <w:r>
        <w:rPr>
          <w:highlight w:val="none"/>
        </w:rPr>
        <w:t>61</w:t>
      </w:r>
      <w:r>
        <w:rPr>
          <w:highlight w:val="none"/>
        </w:rPr>
        <w:fldChar w:fldCharType="end"/>
      </w:r>
      <w:r>
        <w:rPr>
          <w:rFonts w:hint="eastAsia" w:ascii="宋体" w:hAnsi="宋体" w:cs="宋体"/>
          <w:color w:val="auto"/>
          <w:szCs w:val="21"/>
          <w:highlight w:val="none"/>
        </w:rPr>
        <w:fldChar w:fldCharType="end"/>
      </w:r>
    </w:p>
    <w:p w14:paraId="0F73C04A">
      <w:pPr>
        <w:pStyle w:val="30"/>
        <w:tabs>
          <w:tab w:val="right" w:leader="dot" w:pos="9072"/>
        </w:tabs>
        <w:rPr>
          <w:highlight w:val="none"/>
        </w:rPr>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_Toc23799 </w:instrText>
      </w:r>
      <w:r>
        <w:rPr>
          <w:rFonts w:hint="eastAsia" w:ascii="宋体" w:hAnsi="宋体" w:cs="宋体"/>
          <w:szCs w:val="21"/>
          <w:highlight w:val="none"/>
        </w:rPr>
        <w:fldChar w:fldCharType="separate"/>
      </w:r>
      <w:r>
        <w:rPr>
          <w:rFonts w:hint="eastAsia" w:ascii="宋体" w:hAnsi="宋体" w:cs="宋体"/>
          <w:bCs/>
          <w:szCs w:val="28"/>
          <w:highlight w:val="none"/>
        </w:rPr>
        <w:t>开标（唱标）一览表</w:t>
      </w:r>
      <w:r>
        <w:rPr>
          <w:highlight w:val="none"/>
        </w:rPr>
        <w:tab/>
      </w:r>
      <w:r>
        <w:rPr>
          <w:highlight w:val="none"/>
        </w:rPr>
        <w:fldChar w:fldCharType="begin"/>
      </w:r>
      <w:r>
        <w:rPr>
          <w:highlight w:val="none"/>
        </w:rPr>
        <w:instrText xml:space="preserve"> PAGEREF _Toc23799 \h </w:instrText>
      </w:r>
      <w:r>
        <w:rPr>
          <w:highlight w:val="none"/>
        </w:rPr>
        <w:fldChar w:fldCharType="separate"/>
      </w:r>
      <w:r>
        <w:rPr>
          <w:highlight w:val="none"/>
        </w:rPr>
        <w:t>61</w:t>
      </w:r>
      <w:r>
        <w:rPr>
          <w:highlight w:val="none"/>
        </w:rPr>
        <w:fldChar w:fldCharType="end"/>
      </w:r>
      <w:r>
        <w:rPr>
          <w:rFonts w:hint="eastAsia" w:ascii="宋体" w:hAnsi="宋体" w:cs="宋体"/>
          <w:color w:val="auto"/>
          <w:szCs w:val="21"/>
          <w:highlight w:val="none"/>
        </w:rPr>
        <w:fldChar w:fldCharType="end"/>
      </w:r>
    </w:p>
    <w:p w14:paraId="7061B571">
      <w:pPr>
        <w:pStyle w:val="30"/>
        <w:tabs>
          <w:tab w:val="right" w:leader="dot" w:pos="9072"/>
        </w:tabs>
        <w:rPr>
          <w:highlight w:val="none"/>
        </w:rPr>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_Toc13894 </w:instrText>
      </w:r>
      <w:r>
        <w:rPr>
          <w:rFonts w:hint="eastAsia" w:ascii="宋体" w:hAnsi="宋体" w:cs="宋体"/>
          <w:szCs w:val="21"/>
          <w:highlight w:val="none"/>
        </w:rPr>
        <w:fldChar w:fldCharType="separate"/>
      </w:r>
      <w:r>
        <w:rPr>
          <w:rFonts w:hint="eastAsia" w:ascii="宋体" w:hAnsi="宋体" w:cs="宋体"/>
          <w:bCs/>
          <w:szCs w:val="28"/>
          <w:highlight w:val="none"/>
        </w:rPr>
        <w:t>投标函及投标函附录</w:t>
      </w:r>
      <w:r>
        <w:rPr>
          <w:highlight w:val="none"/>
        </w:rPr>
        <w:tab/>
      </w:r>
      <w:r>
        <w:rPr>
          <w:highlight w:val="none"/>
        </w:rPr>
        <w:fldChar w:fldCharType="begin"/>
      </w:r>
      <w:r>
        <w:rPr>
          <w:highlight w:val="none"/>
        </w:rPr>
        <w:instrText xml:space="preserve"> PAGEREF _Toc13894 \h </w:instrText>
      </w:r>
      <w:r>
        <w:rPr>
          <w:highlight w:val="none"/>
        </w:rPr>
        <w:fldChar w:fldCharType="separate"/>
      </w:r>
      <w:r>
        <w:rPr>
          <w:highlight w:val="none"/>
        </w:rPr>
        <w:t>62</w:t>
      </w:r>
      <w:r>
        <w:rPr>
          <w:highlight w:val="none"/>
        </w:rPr>
        <w:fldChar w:fldCharType="end"/>
      </w:r>
      <w:r>
        <w:rPr>
          <w:rFonts w:hint="eastAsia" w:ascii="宋体" w:hAnsi="宋体" w:cs="宋体"/>
          <w:color w:val="auto"/>
          <w:szCs w:val="21"/>
          <w:highlight w:val="none"/>
        </w:rPr>
        <w:fldChar w:fldCharType="end"/>
      </w:r>
    </w:p>
    <w:p w14:paraId="7AAA70AC">
      <w:pPr>
        <w:pStyle w:val="40"/>
        <w:tabs>
          <w:tab w:val="right" w:leader="dot" w:pos="9072"/>
        </w:tabs>
        <w:rPr>
          <w:highlight w:val="none"/>
        </w:rPr>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_Toc16831 </w:instrText>
      </w:r>
      <w:r>
        <w:rPr>
          <w:rFonts w:hint="eastAsia" w:ascii="宋体" w:hAnsi="宋体" w:cs="宋体"/>
          <w:szCs w:val="21"/>
          <w:highlight w:val="none"/>
        </w:rPr>
        <w:fldChar w:fldCharType="separate"/>
      </w:r>
      <w:r>
        <w:rPr>
          <w:rFonts w:hint="eastAsia" w:ascii="宋体" w:hAnsi="宋体" w:cs="宋体"/>
          <w:szCs w:val="30"/>
          <w:highlight w:val="none"/>
        </w:rPr>
        <w:t>（一）投标函</w:t>
      </w:r>
      <w:r>
        <w:rPr>
          <w:highlight w:val="none"/>
        </w:rPr>
        <w:tab/>
      </w:r>
      <w:r>
        <w:rPr>
          <w:highlight w:val="none"/>
        </w:rPr>
        <w:fldChar w:fldCharType="begin"/>
      </w:r>
      <w:r>
        <w:rPr>
          <w:highlight w:val="none"/>
        </w:rPr>
        <w:instrText xml:space="preserve"> PAGEREF _Toc16831 \h </w:instrText>
      </w:r>
      <w:r>
        <w:rPr>
          <w:highlight w:val="none"/>
        </w:rPr>
        <w:fldChar w:fldCharType="separate"/>
      </w:r>
      <w:r>
        <w:rPr>
          <w:highlight w:val="none"/>
        </w:rPr>
        <w:t>62</w:t>
      </w:r>
      <w:r>
        <w:rPr>
          <w:highlight w:val="none"/>
        </w:rPr>
        <w:fldChar w:fldCharType="end"/>
      </w:r>
      <w:r>
        <w:rPr>
          <w:rFonts w:hint="eastAsia" w:ascii="宋体" w:hAnsi="宋体" w:cs="宋体"/>
          <w:color w:val="auto"/>
          <w:szCs w:val="21"/>
          <w:highlight w:val="none"/>
        </w:rPr>
        <w:fldChar w:fldCharType="end"/>
      </w:r>
    </w:p>
    <w:p w14:paraId="7D35F286">
      <w:pPr>
        <w:pStyle w:val="40"/>
        <w:tabs>
          <w:tab w:val="right" w:leader="dot" w:pos="9072"/>
        </w:tabs>
        <w:rPr>
          <w:highlight w:val="none"/>
        </w:rPr>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_Toc20247 </w:instrText>
      </w:r>
      <w:r>
        <w:rPr>
          <w:rFonts w:hint="eastAsia" w:ascii="宋体" w:hAnsi="宋体" w:cs="宋体"/>
          <w:szCs w:val="21"/>
          <w:highlight w:val="none"/>
        </w:rPr>
        <w:fldChar w:fldCharType="separate"/>
      </w:r>
      <w:r>
        <w:rPr>
          <w:rFonts w:hint="eastAsia" w:ascii="宋体" w:hAnsi="宋体" w:cs="宋体"/>
          <w:kern w:val="0"/>
          <w:szCs w:val="30"/>
          <w:highlight w:val="none"/>
        </w:rPr>
        <w:t>（二）投标函附录</w:t>
      </w:r>
      <w:r>
        <w:rPr>
          <w:highlight w:val="none"/>
        </w:rPr>
        <w:tab/>
      </w:r>
      <w:r>
        <w:rPr>
          <w:highlight w:val="none"/>
        </w:rPr>
        <w:fldChar w:fldCharType="begin"/>
      </w:r>
      <w:r>
        <w:rPr>
          <w:highlight w:val="none"/>
        </w:rPr>
        <w:instrText xml:space="preserve"> PAGEREF _Toc20247 \h </w:instrText>
      </w:r>
      <w:r>
        <w:rPr>
          <w:highlight w:val="none"/>
        </w:rPr>
        <w:fldChar w:fldCharType="separate"/>
      </w:r>
      <w:r>
        <w:rPr>
          <w:highlight w:val="none"/>
        </w:rPr>
        <w:t>63</w:t>
      </w:r>
      <w:r>
        <w:rPr>
          <w:highlight w:val="none"/>
        </w:rPr>
        <w:fldChar w:fldCharType="end"/>
      </w:r>
      <w:r>
        <w:rPr>
          <w:rFonts w:hint="eastAsia" w:ascii="宋体" w:hAnsi="宋体" w:cs="宋体"/>
          <w:color w:val="auto"/>
          <w:szCs w:val="21"/>
          <w:highlight w:val="none"/>
        </w:rPr>
        <w:fldChar w:fldCharType="end"/>
      </w:r>
    </w:p>
    <w:p w14:paraId="5CDCE5DE">
      <w:pPr>
        <w:pStyle w:val="47"/>
        <w:tabs>
          <w:tab w:val="right" w:leader="dot" w:pos="9072"/>
        </w:tabs>
        <w:rPr>
          <w:highlight w:val="none"/>
        </w:rPr>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_Toc30201 </w:instrText>
      </w:r>
      <w:r>
        <w:rPr>
          <w:rFonts w:hint="eastAsia" w:ascii="宋体" w:hAnsi="宋体" w:cs="宋体"/>
          <w:szCs w:val="21"/>
          <w:highlight w:val="none"/>
        </w:rPr>
        <w:fldChar w:fldCharType="separate"/>
      </w:r>
      <w:r>
        <w:rPr>
          <w:rFonts w:hint="eastAsia" w:ascii="宋体" w:hAnsi="宋体" w:eastAsia="宋体" w:cs="宋体"/>
          <w:highlight w:val="none"/>
        </w:rPr>
        <w:t>第三部分 技术标部分</w:t>
      </w:r>
      <w:r>
        <w:rPr>
          <w:highlight w:val="none"/>
        </w:rPr>
        <w:tab/>
      </w:r>
      <w:r>
        <w:rPr>
          <w:highlight w:val="none"/>
        </w:rPr>
        <w:fldChar w:fldCharType="begin"/>
      </w:r>
      <w:r>
        <w:rPr>
          <w:highlight w:val="none"/>
        </w:rPr>
        <w:instrText xml:space="preserve"> PAGEREF _Toc30201 \h </w:instrText>
      </w:r>
      <w:r>
        <w:rPr>
          <w:highlight w:val="none"/>
        </w:rPr>
        <w:fldChar w:fldCharType="separate"/>
      </w:r>
      <w:r>
        <w:rPr>
          <w:highlight w:val="none"/>
        </w:rPr>
        <w:t>64</w:t>
      </w:r>
      <w:r>
        <w:rPr>
          <w:highlight w:val="none"/>
        </w:rPr>
        <w:fldChar w:fldCharType="end"/>
      </w:r>
      <w:r>
        <w:rPr>
          <w:rFonts w:hint="eastAsia" w:ascii="宋体" w:hAnsi="宋体" w:cs="宋体"/>
          <w:color w:val="auto"/>
          <w:szCs w:val="21"/>
          <w:highlight w:val="none"/>
        </w:rPr>
        <w:fldChar w:fldCharType="end"/>
      </w:r>
    </w:p>
    <w:p w14:paraId="10299637">
      <w:pPr>
        <w:pStyle w:val="30"/>
        <w:tabs>
          <w:tab w:val="right" w:leader="dot" w:pos="9072"/>
        </w:tabs>
        <w:rPr>
          <w:highlight w:val="none"/>
        </w:rPr>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_Toc14851 </w:instrText>
      </w:r>
      <w:r>
        <w:rPr>
          <w:rFonts w:hint="eastAsia" w:ascii="宋体" w:hAnsi="宋体" w:cs="宋体"/>
          <w:szCs w:val="21"/>
          <w:highlight w:val="none"/>
        </w:rPr>
        <w:fldChar w:fldCharType="separate"/>
      </w:r>
      <w:r>
        <w:rPr>
          <w:rFonts w:hint="eastAsia" w:ascii="宋体" w:hAnsi="宋体" w:cs="宋体"/>
          <w:bCs/>
          <w:szCs w:val="28"/>
          <w:highlight w:val="none"/>
        </w:rPr>
        <w:t>一、监理大纲</w:t>
      </w:r>
      <w:r>
        <w:rPr>
          <w:highlight w:val="none"/>
        </w:rPr>
        <w:tab/>
      </w:r>
      <w:r>
        <w:rPr>
          <w:highlight w:val="none"/>
        </w:rPr>
        <w:fldChar w:fldCharType="begin"/>
      </w:r>
      <w:r>
        <w:rPr>
          <w:highlight w:val="none"/>
        </w:rPr>
        <w:instrText xml:space="preserve"> PAGEREF _Toc14851 \h </w:instrText>
      </w:r>
      <w:r>
        <w:rPr>
          <w:highlight w:val="none"/>
        </w:rPr>
        <w:fldChar w:fldCharType="separate"/>
      </w:r>
      <w:r>
        <w:rPr>
          <w:highlight w:val="none"/>
        </w:rPr>
        <w:t>64</w:t>
      </w:r>
      <w:r>
        <w:rPr>
          <w:highlight w:val="none"/>
        </w:rPr>
        <w:fldChar w:fldCharType="end"/>
      </w:r>
      <w:r>
        <w:rPr>
          <w:rFonts w:hint="eastAsia" w:ascii="宋体" w:hAnsi="宋体" w:cs="宋体"/>
          <w:color w:val="auto"/>
          <w:szCs w:val="21"/>
          <w:highlight w:val="none"/>
        </w:rPr>
        <w:fldChar w:fldCharType="end"/>
      </w:r>
    </w:p>
    <w:p w14:paraId="42B90FF3">
      <w:pPr>
        <w:pStyle w:val="30"/>
        <w:tabs>
          <w:tab w:val="right" w:leader="dot" w:pos="9072"/>
        </w:tabs>
        <w:rPr>
          <w:highlight w:val="none"/>
        </w:rPr>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_Toc4998 </w:instrText>
      </w:r>
      <w:r>
        <w:rPr>
          <w:rFonts w:hint="eastAsia" w:ascii="宋体" w:hAnsi="宋体" w:cs="宋体"/>
          <w:szCs w:val="21"/>
          <w:highlight w:val="none"/>
        </w:rPr>
        <w:fldChar w:fldCharType="separate"/>
      </w:r>
      <w:r>
        <w:rPr>
          <w:rFonts w:hint="eastAsia" w:ascii="宋体" w:hAnsi="宋体" w:cs="宋体"/>
          <w:bCs/>
          <w:szCs w:val="28"/>
          <w:highlight w:val="none"/>
        </w:rPr>
        <w:t>二、监理工作重点、难点分析</w:t>
      </w:r>
      <w:r>
        <w:rPr>
          <w:highlight w:val="none"/>
        </w:rPr>
        <w:tab/>
      </w:r>
      <w:r>
        <w:rPr>
          <w:highlight w:val="none"/>
        </w:rPr>
        <w:fldChar w:fldCharType="begin"/>
      </w:r>
      <w:r>
        <w:rPr>
          <w:highlight w:val="none"/>
        </w:rPr>
        <w:instrText xml:space="preserve"> PAGEREF _Toc4998 \h </w:instrText>
      </w:r>
      <w:r>
        <w:rPr>
          <w:highlight w:val="none"/>
        </w:rPr>
        <w:fldChar w:fldCharType="separate"/>
      </w:r>
      <w:r>
        <w:rPr>
          <w:highlight w:val="none"/>
        </w:rPr>
        <w:t>64</w:t>
      </w:r>
      <w:r>
        <w:rPr>
          <w:highlight w:val="none"/>
        </w:rPr>
        <w:fldChar w:fldCharType="end"/>
      </w:r>
      <w:r>
        <w:rPr>
          <w:rFonts w:hint="eastAsia" w:ascii="宋体" w:hAnsi="宋体" w:cs="宋体"/>
          <w:color w:val="auto"/>
          <w:szCs w:val="21"/>
          <w:highlight w:val="none"/>
        </w:rPr>
        <w:fldChar w:fldCharType="end"/>
      </w:r>
    </w:p>
    <w:p w14:paraId="7930DAE9">
      <w:pPr>
        <w:pStyle w:val="30"/>
        <w:tabs>
          <w:tab w:val="right" w:leader="dot" w:pos="9072"/>
        </w:tabs>
        <w:rPr>
          <w:highlight w:val="none"/>
        </w:rPr>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_Toc26382 </w:instrText>
      </w:r>
      <w:r>
        <w:rPr>
          <w:rFonts w:hint="eastAsia" w:ascii="宋体" w:hAnsi="宋体" w:cs="宋体"/>
          <w:szCs w:val="21"/>
          <w:highlight w:val="none"/>
        </w:rPr>
        <w:fldChar w:fldCharType="separate"/>
      </w:r>
      <w:r>
        <w:rPr>
          <w:rFonts w:hint="eastAsia" w:ascii="宋体" w:hAnsi="宋体" w:cs="宋体"/>
          <w:bCs/>
          <w:szCs w:val="28"/>
          <w:highlight w:val="none"/>
          <w:lang w:val="en-US" w:eastAsia="zh-CN"/>
        </w:rPr>
        <w:t>三</w:t>
      </w:r>
      <w:r>
        <w:rPr>
          <w:rFonts w:hint="eastAsia" w:ascii="宋体" w:hAnsi="宋体" w:cs="宋体"/>
          <w:bCs/>
          <w:szCs w:val="28"/>
          <w:highlight w:val="none"/>
        </w:rPr>
        <w:t>、违约承诺及处罚措施</w:t>
      </w:r>
      <w:r>
        <w:rPr>
          <w:highlight w:val="none"/>
        </w:rPr>
        <w:tab/>
      </w:r>
      <w:r>
        <w:rPr>
          <w:highlight w:val="none"/>
        </w:rPr>
        <w:fldChar w:fldCharType="begin"/>
      </w:r>
      <w:r>
        <w:rPr>
          <w:highlight w:val="none"/>
        </w:rPr>
        <w:instrText xml:space="preserve"> PAGEREF _Toc26382 \h </w:instrText>
      </w:r>
      <w:r>
        <w:rPr>
          <w:highlight w:val="none"/>
        </w:rPr>
        <w:fldChar w:fldCharType="separate"/>
      </w:r>
      <w:r>
        <w:rPr>
          <w:highlight w:val="none"/>
        </w:rPr>
        <w:t>64</w:t>
      </w:r>
      <w:r>
        <w:rPr>
          <w:highlight w:val="none"/>
        </w:rPr>
        <w:fldChar w:fldCharType="end"/>
      </w:r>
      <w:r>
        <w:rPr>
          <w:rFonts w:hint="eastAsia" w:ascii="宋体" w:hAnsi="宋体" w:cs="宋体"/>
          <w:color w:val="auto"/>
          <w:szCs w:val="21"/>
          <w:highlight w:val="none"/>
        </w:rPr>
        <w:fldChar w:fldCharType="end"/>
      </w:r>
    </w:p>
    <w:p w14:paraId="325910D5">
      <w:pPr>
        <w:pStyle w:val="30"/>
        <w:tabs>
          <w:tab w:val="right" w:leader="dot" w:pos="9072"/>
        </w:tabs>
        <w:rPr>
          <w:highlight w:val="none"/>
        </w:rPr>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_Toc6511 </w:instrText>
      </w:r>
      <w:r>
        <w:rPr>
          <w:rFonts w:hint="eastAsia" w:ascii="宋体" w:hAnsi="宋体" w:cs="宋体"/>
          <w:szCs w:val="21"/>
          <w:highlight w:val="none"/>
        </w:rPr>
        <w:fldChar w:fldCharType="separate"/>
      </w:r>
      <w:r>
        <w:rPr>
          <w:rFonts w:hint="eastAsia" w:ascii="宋体" w:hAnsi="宋体" w:cs="宋体"/>
          <w:bCs/>
          <w:szCs w:val="28"/>
          <w:highlight w:val="none"/>
          <w:lang w:val="en-US" w:eastAsia="zh-CN"/>
        </w:rPr>
        <w:t>四</w:t>
      </w:r>
      <w:r>
        <w:rPr>
          <w:rFonts w:hint="eastAsia" w:ascii="宋体" w:hAnsi="宋体" w:cs="宋体"/>
          <w:bCs/>
          <w:szCs w:val="28"/>
          <w:highlight w:val="none"/>
        </w:rPr>
        <w:t>、服务保障措施及承诺</w:t>
      </w:r>
      <w:r>
        <w:rPr>
          <w:highlight w:val="none"/>
        </w:rPr>
        <w:tab/>
      </w:r>
      <w:r>
        <w:rPr>
          <w:highlight w:val="none"/>
        </w:rPr>
        <w:fldChar w:fldCharType="begin"/>
      </w:r>
      <w:r>
        <w:rPr>
          <w:highlight w:val="none"/>
        </w:rPr>
        <w:instrText xml:space="preserve"> PAGEREF _Toc6511 \h </w:instrText>
      </w:r>
      <w:r>
        <w:rPr>
          <w:highlight w:val="none"/>
        </w:rPr>
        <w:fldChar w:fldCharType="separate"/>
      </w:r>
      <w:r>
        <w:rPr>
          <w:highlight w:val="none"/>
        </w:rPr>
        <w:t>64</w:t>
      </w:r>
      <w:r>
        <w:rPr>
          <w:highlight w:val="none"/>
        </w:rPr>
        <w:fldChar w:fldCharType="end"/>
      </w:r>
      <w:r>
        <w:rPr>
          <w:rFonts w:hint="eastAsia" w:ascii="宋体" w:hAnsi="宋体" w:cs="宋体"/>
          <w:color w:val="auto"/>
          <w:szCs w:val="21"/>
          <w:highlight w:val="none"/>
        </w:rPr>
        <w:fldChar w:fldCharType="end"/>
      </w:r>
    </w:p>
    <w:p w14:paraId="0E7740E1">
      <w:pPr>
        <w:pStyle w:val="30"/>
        <w:tabs>
          <w:tab w:val="right" w:leader="dot" w:pos="9072"/>
        </w:tabs>
        <w:rPr>
          <w:highlight w:val="none"/>
        </w:rPr>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_Toc21451 </w:instrText>
      </w:r>
      <w:r>
        <w:rPr>
          <w:rFonts w:hint="eastAsia" w:ascii="宋体" w:hAnsi="宋体" w:cs="宋体"/>
          <w:szCs w:val="21"/>
          <w:highlight w:val="none"/>
        </w:rPr>
        <w:fldChar w:fldCharType="separate"/>
      </w:r>
      <w:r>
        <w:rPr>
          <w:rFonts w:hint="eastAsia" w:ascii="宋体" w:hAnsi="宋体" w:cs="宋体"/>
          <w:bCs/>
          <w:szCs w:val="28"/>
          <w:highlight w:val="none"/>
          <w:lang w:val="en-US" w:eastAsia="zh-CN"/>
        </w:rPr>
        <w:t>五</w:t>
      </w:r>
      <w:r>
        <w:rPr>
          <w:rFonts w:hint="eastAsia" w:ascii="宋体" w:hAnsi="宋体" w:cs="宋体"/>
          <w:bCs/>
          <w:szCs w:val="28"/>
          <w:highlight w:val="none"/>
        </w:rPr>
        <w:t>、廉洁管理措施及承诺</w:t>
      </w:r>
      <w:r>
        <w:rPr>
          <w:highlight w:val="none"/>
        </w:rPr>
        <w:tab/>
      </w:r>
      <w:r>
        <w:rPr>
          <w:highlight w:val="none"/>
        </w:rPr>
        <w:fldChar w:fldCharType="begin"/>
      </w:r>
      <w:r>
        <w:rPr>
          <w:highlight w:val="none"/>
        </w:rPr>
        <w:instrText xml:space="preserve"> PAGEREF _Toc21451 \h </w:instrText>
      </w:r>
      <w:r>
        <w:rPr>
          <w:highlight w:val="none"/>
        </w:rPr>
        <w:fldChar w:fldCharType="separate"/>
      </w:r>
      <w:r>
        <w:rPr>
          <w:highlight w:val="none"/>
        </w:rPr>
        <w:t>64</w:t>
      </w:r>
      <w:r>
        <w:rPr>
          <w:highlight w:val="none"/>
        </w:rPr>
        <w:fldChar w:fldCharType="end"/>
      </w:r>
      <w:r>
        <w:rPr>
          <w:rFonts w:hint="eastAsia" w:ascii="宋体" w:hAnsi="宋体" w:cs="宋体"/>
          <w:color w:val="auto"/>
          <w:szCs w:val="21"/>
          <w:highlight w:val="none"/>
        </w:rPr>
        <w:fldChar w:fldCharType="end"/>
      </w:r>
    </w:p>
    <w:p w14:paraId="6E55EF14">
      <w:pPr>
        <w:pStyle w:val="47"/>
        <w:tabs>
          <w:tab w:val="right" w:leader="dot" w:pos="9628"/>
        </w:tabs>
        <w:spacing w:line="360" w:lineRule="auto"/>
        <w:ind w:left="0" w:leftChars="0"/>
        <w:rPr>
          <w:rFonts w:hint="eastAsia" w:ascii="宋体" w:hAnsi="宋体" w:cs="宋体"/>
          <w:color w:val="auto"/>
          <w:szCs w:val="21"/>
          <w:highlight w:val="none"/>
        </w:rPr>
      </w:pPr>
      <w:r>
        <w:rPr>
          <w:rFonts w:hint="eastAsia" w:ascii="宋体" w:hAnsi="宋体" w:cs="宋体"/>
          <w:color w:val="auto"/>
          <w:szCs w:val="21"/>
          <w:highlight w:val="none"/>
        </w:rPr>
        <w:fldChar w:fldCharType="end"/>
      </w:r>
    </w:p>
    <w:p w14:paraId="76311AD4">
      <w:pPr>
        <w:pStyle w:val="3"/>
        <w:numPr>
          <w:ilvl w:val="0"/>
          <w:numId w:val="7"/>
        </w:numPr>
        <w:jc w:val="center"/>
        <w:rPr>
          <w:rFonts w:hint="eastAsia" w:ascii="宋体" w:hAnsi="宋体" w:eastAsia="宋体" w:cs="宋体"/>
          <w:color w:val="auto"/>
          <w:sz w:val="36"/>
          <w:szCs w:val="36"/>
          <w:highlight w:val="none"/>
        </w:rPr>
        <w:sectPr>
          <w:pgSz w:w="11906" w:h="16838"/>
          <w:pgMar w:top="1417" w:right="1417" w:bottom="1417" w:left="1417" w:header="850" w:footer="992" w:gutter="0"/>
          <w:pgNumType w:start="1"/>
          <w:cols w:space="0" w:num="1"/>
          <w:rtlGutter w:val="0"/>
          <w:docGrid w:linePitch="312" w:charSpace="0"/>
        </w:sectPr>
      </w:pPr>
    </w:p>
    <w:p w14:paraId="0F6EE2A1">
      <w:pPr>
        <w:pStyle w:val="3"/>
        <w:jc w:val="center"/>
        <w:rPr>
          <w:rFonts w:hint="eastAsia" w:ascii="宋体" w:hAnsi="宋体" w:cs="宋体"/>
          <w:color w:val="auto"/>
          <w:sz w:val="36"/>
          <w:szCs w:val="36"/>
          <w:highlight w:val="none"/>
        </w:rPr>
      </w:pPr>
      <w:bookmarkStart w:id="0" w:name="_Toc9057"/>
      <w:bookmarkStart w:id="1" w:name="_Toc32506"/>
      <w:bookmarkStart w:id="2" w:name="_Toc15971"/>
      <w:r>
        <w:rPr>
          <w:rFonts w:hint="eastAsia" w:ascii="宋体" w:hAnsi="宋体" w:cs="宋体"/>
          <w:color w:val="auto"/>
          <w:sz w:val="36"/>
          <w:szCs w:val="36"/>
          <w:highlight w:val="none"/>
        </w:rPr>
        <w:t>第一章 招标公告</w:t>
      </w:r>
      <w:bookmarkEnd w:id="0"/>
      <w:bookmarkEnd w:id="1"/>
      <w:bookmarkEnd w:id="2"/>
    </w:p>
    <w:p w14:paraId="56E499BE">
      <w:pPr>
        <w:keepNext/>
        <w:keepLines/>
        <w:adjustRightInd w:val="0"/>
        <w:snapToGrid w:val="0"/>
        <w:spacing w:line="360" w:lineRule="auto"/>
        <w:jc w:val="center"/>
        <w:rPr>
          <w:rFonts w:hint="eastAsia" w:ascii="宋体" w:hAnsi="宋体" w:eastAsia="宋体" w:cs="宋体"/>
          <w:b/>
          <w:color w:val="auto"/>
          <w:sz w:val="36"/>
          <w:szCs w:val="36"/>
          <w:highlight w:val="none"/>
        </w:rPr>
      </w:pPr>
      <w:bookmarkStart w:id="3" w:name="_Toc26997"/>
      <w:bookmarkStart w:id="4" w:name="_Toc26954"/>
      <w:bookmarkStart w:id="5" w:name="_Toc11380_WPSOffice_Level2"/>
      <w:bookmarkStart w:id="6" w:name="_Toc7191"/>
      <w:bookmarkStart w:id="7" w:name="_Toc22130"/>
      <w:r>
        <w:rPr>
          <w:rFonts w:hint="eastAsia" w:ascii="宋体" w:hAnsi="宋体" w:cs="宋体"/>
          <w:b/>
          <w:color w:val="auto"/>
          <w:kern w:val="44"/>
          <w:sz w:val="36"/>
          <w:szCs w:val="36"/>
          <w:highlight w:val="none"/>
          <w:lang w:eastAsia="zh-CN"/>
        </w:rPr>
        <w:t>云南省文山州丘北县树皮乡高标准农田建设项目监理服务</w:t>
      </w:r>
      <w:r>
        <w:rPr>
          <w:rFonts w:hint="eastAsia" w:ascii="宋体" w:hAnsi="宋体" w:eastAsia="宋体" w:cs="宋体"/>
          <w:b/>
          <w:color w:val="auto"/>
          <w:sz w:val="36"/>
          <w:szCs w:val="36"/>
          <w:highlight w:val="none"/>
        </w:rPr>
        <w:t>招标公告</w:t>
      </w:r>
      <w:bookmarkEnd w:id="3"/>
      <w:bookmarkEnd w:id="4"/>
      <w:bookmarkEnd w:id="5"/>
      <w:bookmarkEnd w:id="6"/>
      <w:bookmarkEnd w:id="7"/>
    </w:p>
    <w:p w14:paraId="2F072CB2">
      <w:pPr>
        <w:rPr>
          <w:rFonts w:hint="eastAsia" w:ascii="宋体" w:hAnsi="宋体" w:cs="宋体"/>
          <w:color w:val="auto"/>
          <w:highlight w:val="none"/>
        </w:rPr>
      </w:pPr>
    </w:p>
    <w:p w14:paraId="7CAA5A97">
      <w:pPr>
        <w:pStyle w:val="4"/>
        <w:snapToGrid w:val="0"/>
        <w:spacing w:before="0" w:after="0" w:line="360" w:lineRule="auto"/>
        <w:rPr>
          <w:rFonts w:hint="eastAsia" w:ascii="宋体" w:hAnsi="宋体" w:eastAsia="宋体" w:cs="宋体"/>
          <w:color w:val="auto"/>
          <w:sz w:val="21"/>
          <w:szCs w:val="24"/>
          <w:highlight w:val="none"/>
        </w:rPr>
      </w:pPr>
      <w:bookmarkStart w:id="8" w:name="_Toc4560"/>
      <w:bookmarkStart w:id="9" w:name="_Toc30833"/>
      <w:bookmarkStart w:id="10" w:name="_Toc15788"/>
      <w:bookmarkStart w:id="11" w:name="_Toc21662"/>
      <w:bookmarkStart w:id="12" w:name="_Toc28120"/>
      <w:bookmarkStart w:id="13" w:name="_Toc19752"/>
      <w:bookmarkStart w:id="14" w:name="_Toc480359033"/>
      <w:bookmarkStart w:id="15" w:name="_Toc392508351"/>
      <w:bookmarkStart w:id="16" w:name="_Toc366144060"/>
      <w:bookmarkStart w:id="17" w:name="_Toc392508352"/>
      <w:bookmarkStart w:id="18" w:name="_Toc3649"/>
      <w:bookmarkStart w:id="19" w:name="_Toc24571"/>
      <w:bookmarkStart w:id="20" w:name="_Toc317079418"/>
      <w:bookmarkStart w:id="21" w:name="_Toc10131"/>
      <w:bookmarkStart w:id="22" w:name="_Toc366144061"/>
      <w:bookmarkStart w:id="23" w:name="_Toc317079419"/>
      <w:r>
        <w:rPr>
          <w:rFonts w:hint="eastAsia" w:ascii="宋体" w:hAnsi="宋体" w:eastAsia="宋体" w:cs="宋体"/>
          <w:color w:val="auto"/>
          <w:sz w:val="21"/>
          <w:szCs w:val="24"/>
          <w:highlight w:val="none"/>
        </w:rPr>
        <w:t>1.招标条件</w:t>
      </w:r>
      <w:bookmarkEnd w:id="8"/>
      <w:bookmarkEnd w:id="9"/>
      <w:bookmarkEnd w:id="10"/>
      <w:bookmarkEnd w:id="11"/>
      <w:bookmarkEnd w:id="12"/>
      <w:bookmarkEnd w:id="13"/>
    </w:p>
    <w:p w14:paraId="1CEBBDE3">
      <w:pPr>
        <w:snapToGrid w:val="0"/>
        <w:spacing w:line="360" w:lineRule="auto"/>
        <w:ind w:firstLine="420" w:firstLineChars="200"/>
        <w:rPr>
          <w:rFonts w:hint="eastAsia" w:ascii="宋体" w:hAnsi="宋体" w:cs="宋体"/>
          <w:color w:val="auto"/>
          <w:position w:val="-2"/>
          <w:szCs w:val="21"/>
          <w:highlight w:val="none"/>
        </w:rPr>
      </w:pPr>
      <w:r>
        <w:rPr>
          <w:rFonts w:hint="eastAsia" w:ascii="宋体" w:hAnsi="宋体" w:cs="宋体"/>
          <w:color w:val="auto"/>
          <w:position w:val="-2"/>
          <w:szCs w:val="21"/>
          <w:highlight w:val="none"/>
          <w:lang w:eastAsia="zh-CN"/>
        </w:rPr>
        <w:t>云南省文山州丘北县树皮乡高标准农田建设项目监理服务</w:t>
      </w:r>
      <w:r>
        <w:rPr>
          <w:rFonts w:hint="eastAsia" w:ascii="宋体" w:hAnsi="宋体" w:cs="宋体"/>
          <w:color w:val="auto"/>
          <w:position w:val="-2"/>
          <w:szCs w:val="21"/>
          <w:highlight w:val="none"/>
        </w:rPr>
        <w:t>已由丘北县发展和改革局以丘发改复〔2025〕17号批准实施，招标人为丘北县农业农村和科学技术局，招标代理机构为国义招标股份有限公司，现对该项目进行公开招标。</w:t>
      </w:r>
    </w:p>
    <w:p w14:paraId="62EF292C">
      <w:pPr>
        <w:pStyle w:val="4"/>
        <w:snapToGrid w:val="0"/>
        <w:spacing w:before="0" w:after="0" w:line="360" w:lineRule="auto"/>
        <w:rPr>
          <w:rFonts w:hint="eastAsia" w:ascii="宋体" w:hAnsi="宋体" w:eastAsia="宋体" w:cs="宋体"/>
          <w:color w:val="auto"/>
          <w:sz w:val="21"/>
          <w:szCs w:val="24"/>
          <w:highlight w:val="none"/>
        </w:rPr>
      </w:pPr>
      <w:bookmarkStart w:id="24" w:name="_Toc15637"/>
      <w:bookmarkStart w:id="25" w:name="_Toc20489"/>
      <w:bookmarkStart w:id="26" w:name="_Toc11196"/>
      <w:bookmarkStart w:id="27" w:name="_Toc17721"/>
      <w:bookmarkStart w:id="28" w:name="_Toc22494"/>
      <w:bookmarkStart w:id="29" w:name="_Toc21974"/>
      <w:r>
        <w:rPr>
          <w:rFonts w:hint="eastAsia" w:ascii="宋体" w:hAnsi="宋体" w:eastAsia="宋体" w:cs="宋体"/>
          <w:color w:val="auto"/>
          <w:sz w:val="21"/>
          <w:szCs w:val="24"/>
          <w:highlight w:val="none"/>
        </w:rPr>
        <w:t>2.项目概况与招标范围</w:t>
      </w:r>
      <w:bookmarkEnd w:id="24"/>
      <w:bookmarkEnd w:id="25"/>
      <w:bookmarkEnd w:id="26"/>
      <w:bookmarkEnd w:id="27"/>
      <w:bookmarkEnd w:id="28"/>
      <w:bookmarkEnd w:id="29"/>
    </w:p>
    <w:p w14:paraId="1773D92F">
      <w:pPr>
        <w:adjustRightInd w:val="0"/>
        <w:snapToGrid w:val="0"/>
        <w:spacing w:line="360" w:lineRule="auto"/>
        <w:ind w:firstLine="420" w:firstLineChars="200"/>
        <w:rPr>
          <w:rFonts w:hint="eastAsia" w:ascii="宋体" w:hAnsi="宋体" w:eastAsia="宋体" w:cs="宋体"/>
          <w:color w:val="auto"/>
          <w:position w:val="-2"/>
          <w:szCs w:val="21"/>
          <w:highlight w:val="none"/>
          <w:lang w:eastAsia="zh-CN"/>
        </w:rPr>
      </w:pPr>
      <w:r>
        <w:rPr>
          <w:rFonts w:hint="eastAsia" w:ascii="宋体" w:hAnsi="宋体" w:cs="宋体"/>
          <w:color w:val="auto"/>
          <w:position w:val="-2"/>
          <w:szCs w:val="21"/>
          <w:highlight w:val="none"/>
        </w:rPr>
        <w:t>2.1项目名称：</w:t>
      </w:r>
      <w:r>
        <w:rPr>
          <w:rFonts w:hint="eastAsia" w:ascii="宋体" w:hAnsi="宋体" w:cs="宋体"/>
          <w:color w:val="auto"/>
          <w:position w:val="-2"/>
          <w:szCs w:val="21"/>
          <w:highlight w:val="none"/>
          <w:lang w:eastAsia="zh-CN"/>
        </w:rPr>
        <w:t>云南省文山州丘北县树皮乡高标准农田建设项目监理服务</w:t>
      </w:r>
    </w:p>
    <w:p w14:paraId="340EFECB">
      <w:pPr>
        <w:adjustRightInd w:val="0"/>
        <w:snapToGrid w:val="0"/>
        <w:spacing w:line="360" w:lineRule="auto"/>
        <w:ind w:firstLine="420" w:firstLineChars="200"/>
        <w:rPr>
          <w:rFonts w:hint="eastAsia" w:ascii="宋体" w:hAnsi="宋体" w:cs="宋体"/>
          <w:color w:val="auto"/>
          <w:position w:val="-2"/>
          <w:szCs w:val="21"/>
          <w:highlight w:val="none"/>
        </w:rPr>
      </w:pPr>
      <w:r>
        <w:rPr>
          <w:rFonts w:hint="eastAsia" w:ascii="宋体" w:hAnsi="宋体" w:cs="宋体"/>
          <w:color w:val="auto"/>
          <w:position w:val="-2"/>
          <w:szCs w:val="21"/>
          <w:highlight w:val="none"/>
        </w:rPr>
        <w:t>2.2建设规模：</w:t>
      </w:r>
      <w:bookmarkStart w:id="30" w:name="_Hlk109671863"/>
      <w:r>
        <w:rPr>
          <w:rFonts w:hint="eastAsia" w:ascii="宋体" w:hAnsi="宋体" w:cs="宋体"/>
          <w:color w:val="auto"/>
          <w:position w:val="-2"/>
          <w:szCs w:val="21"/>
          <w:highlight w:val="none"/>
        </w:rPr>
        <w:t>项目计划总投资约21000万元，计划建设高标准农田7万亩，主要建设包括但不限于灌溉与排水工程、田间管池灌溉工程、水窖工程、排水沟工程、田间道路工程等。</w:t>
      </w:r>
    </w:p>
    <w:bookmarkEnd w:id="30"/>
    <w:p w14:paraId="2850DF65">
      <w:pPr>
        <w:adjustRightInd w:val="0"/>
        <w:snapToGrid w:val="0"/>
        <w:spacing w:line="360" w:lineRule="auto"/>
        <w:ind w:firstLine="420" w:firstLineChars="200"/>
        <w:rPr>
          <w:rFonts w:hint="eastAsia" w:ascii="宋体" w:hAnsi="宋体" w:eastAsia="宋体" w:cs="宋体"/>
          <w:color w:val="auto"/>
          <w:position w:val="-2"/>
          <w:szCs w:val="21"/>
          <w:highlight w:val="none"/>
          <w:lang w:val="en-US" w:eastAsia="zh-CN"/>
        </w:rPr>
      </w:pPr>
      <w:r>
        <w:rPr>
          <w:rFonts w:hint="eastAsia" w:ascii="宋体" w:hAnsi="宋体" w:cs="宋体"/>
          <w:color w:val="auto"/>
          <w:szCs w:val="21"/>
          <w:highlight w:val="none"/>
        </w:rPr>
        <w:t>2.3招标范围：</w:t>
      </w:r>
      <w:r>
        <w:rPr>
          <w:rFonts w:hint="eastAsia" w:ascii="宋体" w:hAnsi="宋体" w:cs="宋体"/>
          <w:color w:val="auto"/>
          <w:szCs w:val="21"/>
          <w:highlight w:val="none"/>
          <w:lang w:val="en-US" w:eastAsia="zh-CN"/>
        </w:rPr>
        <w:t>完成</w:t>
      </w:r>
      <w:r>
        <w:rPr>
          <w:rFonts w:hint="eastAsia" w:ascii="宋体" w:hAnsi="宋体" w:cs="宋体"/>
          <w:color w:val="auto"/>
          <w:szCs w:val="21"/>
          <w:highlight w:val="none"/>
          <w:lang w:eastAsia="zh-CN"/>
        </w:rPr>
        <w:t>云南省文山州丘北县树皮乡高标准农田建设项目</w:t>
      </w:r>
      <w:r>
        <w:rPr>
          <w:rFonts w:hint="eastAsia" w:ascii="宋体" w:hAnsi="宋体" w:cs="宋体"/>
          <w:color w:val="auto"/>
          <w:szCs w:val="21"/>
          <w:highlight w:val="none"/>
          <w:lang w:val="en-US" w:eastAsia="zh-CN"/>
        </w:rPr>
        <w:t>工程范围内所有实施内容的监理服务工作，从施工准备阶段（包含前期现场所涉及的所有工作）、施工阶段、施工现场协调管理、试运行阶段、竣工验收阶段、审计阶段、工程移交阶段及保修期内的全过程监理服务，包括但不限于：质量控制、进度控制、成本控制、变更控制、安全文明施工管理、项目实施过程中的组织协调、施工过程监理信息、合同管理、资料管理、组织协调及国家强制性条文所规定的监理服务内容</w:t>
      </w:r>
      <w:r>
        <w:rPr>
          <w:rFonts w:hint="eastAsia" w:ascii="宋体" w:hAnsi="宋体" w:cs="宋体"/>
          <w:color w:val="auto"/>
          <w:szCs w:val="21"/>
          <w:highlight w:val="none"/>
        </w:rPr>
        <w:t>。具体内容详见</w:t>
      </w:r>
      <w:r>
        <w:rPr>
          <w:rFonts w:hint="eastAsia" w:ascii="宋体" w:hAnsi="宋体" w:cs="宋体"/>
          <w:color w:val="auto"/>
          <w:szCs w:val="21"/>
          <w:highlight w:val="none"/>
          <w:lang w:val="en-US" w:eastAsia="zh-CN"/>
        </w:rPr>
        <w:t>招标文件“</w:t>
      </w:r>
      <w:r>
        <w:rPr>
          <w:rFonts w:hint="eastAsia" w:ascii="宋体" w:hAnsi="宋体" w:cs="宋体"/>
          <w:color w:val="auto"/>
          <w:szCs w:val="21"/>
          <w:highlight w:val="none"/>
        </w:rPr>
        <w:t>第五章</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lang w:eastAsia="zh-CN"/>
        </w:rPr>
        <w:t>服务要求</w:t>
      </w:r>
      <w:r>
        <w:rPr>
          <w:rFonts w:hint="eastAsia" w:ascii="宋体" w:hAnsi="宋体" w:cs="宋体"/>
          <w:color w:val="auto"/>
          <w:szCs w:val="21"/>
          <w:highlight w:val="none"/>
          <w:lang w:val="en-US" w:eastAsia="zh-CN"/>
        </w:rPr>
        <w:t>”</w:t>
      </w:r>
      <w:r>
        <w:rPr>
          <w:rFonts w:hint="eastAsia" w:ascii="宋体" w:hAnsi="宋体" w:cs="宋体"/>
          <w:color w:val="auto"/>
          <w:szCs w:val="21"/>
          <w:highlight w:val="none"/>
          <w:lang w:eastAsia="zh-CN"/>
        </w:rPr>
        <w:t>。</w:t>
      </w:r>
    </w:p>
    <w:p w14:paraId="696A21DB">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cs="宋体"/>
          <w:color w:val="auto"/>
          <w:position w:val="-2"/>
          <w:szCs w:val="21"/>
          <w:highlight w:val="none"/>
        </w:rPr>
      </w:pPr>
      <w:r>
        <w:rPr>
          <w:rFonts w:hint="eastAsia" w:ascii="宋体" w:hAnsi="宋体" w:cs="宋体"/>
          <w:color w:val="auto"/>
          <w:position w:val="-2"/>
          <w:szCs w:val="21"/>
          <w:highlight w:val="none"/>
        </w:rPr>
        <w:t>2.4</w:t>
      </w:r>
      <w:r>
        <w:rPr>
          <w:rFonts w:hint="eastAsia" w:ascii="宋体" w:hAnsi="宋体" w:cs="宋体"/>
          <w:color w:val="auto"/>
          <w:position w:val="-2"/>
          <w:szCs w:val="21"/>
          <w:highlight w:val="none"/>
          <w:lang w:eastAsia="zh-CN"/>
        </w:rPr>
        <w:t>项目建设地点</w:t>
      </w:r>
      <w:r>
        <w:rPr>
          <w:rFonts w:hint="eastAsia" w:ascii="宋体" w:hAnsi="宋体" w:cs="宋体"/>
          <w:color w:val="auto"/>
          <w:position w:val="-2"/>
          <w:szCs w:val="21"/>
          <w:highlight w:val="none"/>
        </w:rPr>
        <w:t>：</w:t>
      </w:r>
      <w:r>
        <w:rPr>
          <w:rFonts w:hint="eastAsia" w:ascii="宋体" w:hAnsi="宋体" w:cs="宋体"/>
          <w:color w:val="auto"/>
          <w:position w:val="-2"/>
          <w:szCs w:val="21"/>
          <w:highlight w:val="none"/>
          <w:lang w:eastAsia="zh-CN"/>
        </w:rPr>
        <w:t>文山州丘北县锦屏镇密纳村委会，天星乡笼陶村委会，树皮乡矣得村委会、树皮村委会、朦胧村委会</w:t>
      </w:r>
      <w:r>
        <w:rPr>
          <w:rFonts w:hint="eastAsia" w:ascii="宋体" w:hAnsi="宋体" w:cs="宋体"/>
          <w:color w:val="auto"/>
          <w:position w:val="-2"/>
          <w:szCs w:val="21"/>
          <w:highlight w:val="none"/>
        </w:rPr>
        <w:t>。</w:t>
      </w:r>
    </w:p>
    <w:p w14:paraId="73D5CDFD">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cs="宋体"/>
          <w:color w:val="auto"/>
          <w:position w:val="-2"/>
          <w:szCs w:val="21"/>
          <w:highlight w:val="none"/>
        </w:rPr>
      </w:pPr>
      <w:r>
        <w:rPr>
          <w:rFonts w:hint="eastAsia" w:ascii="宋体" w:hAnsi="宋体" w:cs="宋体"/>
          <w:color w:val="auto"/>
          <w:position w:val="-2"/>
          <w:szCs w:val="21"/>
          <w:highlight w:val="none"/>
        </w:rPr>
        <w:t>2.5</w:t>
      </w:r>
      <w:r>
        <w:rPr>
          <w:rFonts w:hint="eastAsia" w:ascii="宋体" w:hAnsi="宋体" w:cs="宋体"/>
          <w:color w:val="auto"/>
          <w:position w:val="-2"/>
          <w:szCs w:val="21"/>
          <w:highlight w:val="none"/>
          <w:lang w:eastAsia="zh-CN"/>
        </w:rPr>
        <w:t>服务期限</w:t>
      </w:r>
      <w:r>
        <w:rPr>
          <w:rFonts w:hint="eastAsia" w:ascii="宋体" w:hAnsi="宋体" w:cs="宋体"/>
          <w:color w:val="auto"/>
          <w:position w:val="-2"/>
          <w:szCs w:val="21"/>
          <w:highlight w:val="none"/>
          <w:lang w:val="zh-CN"/>
        </w:rPr>
        <w:t>：</w:t>
      </w:r>
      <w:r>
        <w:rPr>
          <w:rFonts w:hint="eastAsia" w:ascii="宋体" w:hAnsi="宋体" w:cs="宋体"/>
          <w:color w:val="auto"/>
          <w:position w:val="-2"/>
          <w:szCs w:val="21"/>
          <w:highlight w:val="none"/>
          <w:lang w:val="en-US" w:eastAsia="zh-CN"/>
        </w:rPr>
        <w:t>合同签订生效之日起，至质量保修期满完成全部监理及服务工作止（质量保修期自工程交工验收合格之日起算）。</w:t>
      </w:r>
    </w:p>
    <w:p w14:paraId="5D58E5A6">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cs="宋体"/>
          <w:color w:val="auto"/>
          <w:position w:val="-2"/>
          <w:szCs w:val="21"/>
          <w:highlight w:val="none"/>
        </w:rPr>
      </w:pPr>
      <w:r>
        <w:rPr>
          <w:rFonts w:hint="eastAsia" w:ascii="宋体" w:hAnsi="宋体" w:cs="宋体"/>
          <w:color w:val="auto"/>
          <w:position w:val="-2"/>
          <w:szCs w:val="21"/>
          <w:highlight w:val="none"/>
        </w:rPr>
        <w:t>2.6质量要求：</w:t>
      </w:r>
      <w:r>
        <w:rPr>
          <w:rFonts w:hint="eastAsia" w:ascii="宋体" w:hAnsi="宋体" w:cs="宋体"/>
          <w:color w:val="auto"/>
          <w:position w:val="-2"/>
          <w:szCs w:val="21"/>
          <w:highlight w:val="none"/>
          <w:lang w:eastAsia="zh-CN"/>
        </w:rPr>
        <w:t>符合国家、行业及地方现行的相关标准及强制性规范，确保工程通过有关部门的验收及审查。</w:t>
      </w:r>
    </w:p>
    <w:p w14:paraId="4B0F2812">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cs="宋体"/>
          <w:color w:val="auto"/>
          <w:position w:val="-2"/>
          <w:szCs w:val="21"/>
          <w:highlight w:val="none"/>
        </w:rPr>
      </w:pPr>
      <w:r>
        <w:rPr>
          <w:rFonts w:hint="eastAsia" w:ascii="宋体" w:hAnsi="宋体" w:cs="宋体"/>
          <w:color w:val="auto"/>
          <w:kern w:val="21"/>
          <w:szCs w:val="21"/>
          <w:highlight w:val="none"/>
          <w:lang w:val="en-US" w:eastAsia="zh-CN"/>
        </w:rPr>
        <w:t>2.7</w:t>
      </w:r>
      <w:r>
        <w:rPr>
          <w:rFonts w:hint="eastAsia" w:ascii="宋体" w:hAnsi="宋体" w:cs="宋体"/>
          <w:color w:val="auto"/>
          <w:position w:val="-2"/>
          <w:szCs w:val="21"/>
          <w:highlight w:val="none"/>
        </w:rPr>
        <w:t>标段划分：本项目不划分标段。</w:t>
      </w:r>
    </w:p>
    <w:p w14:paraId="3B0EBBD9">
      <w:pPr>
        <w:pStyle w:val="4"/>
        <w:snapToGrid w:val="0"/>
        <w:spacing w:before="0" w:after="0" w:line="360" w:lineRule="auto"/>
        <w:rPr>
          <w:rFonts w:hint="eastAsia" w:ascii="宋体" w:hAnsi="宋体" w:eastAsia="宋体" w:cs="宋体"/>
          <w:color w:val="auto"/>
          <w:sz w:val="21"/>
          <w:szCs w:val="24"/>
          <w:highlight w:val="none"/>
        </w:rPr>
      </w:pPr>
      <w:bookmarkStart w:id="31" w:name="_Toc28627"/>
      <w:bookmarkStart w:id="32" w:name="_Toc6688"/>
      <w:bookmarkStart w:id="33" w:name="_Toc5398"/>
      <w:bookmarkStart w:id="34" w:name="_Toc11419"/>
      <w:bookmarkStart w:id="35" w:name="_Toc28561"/>
      <w:bookmarkStart w:id="36" w:name="_Toc6567"/>
      <w:r>
        <w:rPr>
          <w:rFonts w:hint="eastAsia" w:ascii="宋体" w:hAnsi="宋体" w:eastAsia="宋体" w:cs="宋体"/>
          <w:color w:val="auto"/>
          <w:sz w:val="21"/>
          <w:szCs w:val="24"/>
          <w:highlight w:val="none"/>
        </w:rPr>
        <w:t>3.投标人资格要求</w:t>
      </w:r>
      <w:bookmarkEnd w:id="31"/>
      <w:bookmarkEnd w:id="32"/>
      <w:bookmarkEnd w:id="33"/>
      <w:bookmarkEnd w:id="34"/>
      <w:bookmarkEnd w:id="35"/>
      <w:bookmarkEnd w:id="36"/>
    </w:p>
    <w:p w14:paraId="6DB28D3A">
      <w:pPr>
        <w:adjustRightInd w:val="0"/>
        <w:snapToGrid w:val="0"/>
        <w:spacing w:line="360" w:lineRule="auto"/>
        <w:ind w:firstLine="420" w:firstLineChars="200"/>
        <w:rPr>
          <w:rFonts w:hint="eastAsia" w:ascii="宋体" w:hAnsi="宋体" w:cs="宋体"/>
          <w:b w:val="0"/>
          <w:bCs w:val="0"/>
          <w:color w:val="auto"/>
          <w:position w:val="-2"/>
          <w:szCs w:val="21"/>
          <w:highlight w:val="none"/>
        </w:rPr>
      </w:pPr>
      <w:r>
        <w:rPr>
          <w:rFonts w:hint="eastAsia" w:ascii="宋体" w:hAnsi="宋体" w:cs="宋体"/>
          <w:b w:val="0"/>
          <w:bCs w:val="0"/>
          <w:color w:val="auto"/>
          <w:position w:val="-2"/>
          <w:szCs w:val="21"/>
          <w:highlight w:val="none"/>
        </w:rPr>
        <w:t>3.1投标人主体及资质要求：</w:t>
      </w:r>
    </w:p>
    <w:p w14:paraId="16F6D97D">
      <w:pPr>
        <w:adjustRightInd w:val="0"/>
        <w:snapToGrid w:val="0"/>
        <w:spacing w:line="360" w:lineRule="auto"/>
        <w:ind w:firstLine="420" w:firstLineChars="200"/>
        <w:rPr>
          <w:rFonts w:hint="eastAsia" w:ascii="宋体" w:hAnsi="宋体" w:cs="宋体"/>
          <w:color w:val="auto"/>
          <w:position w:val="-2"/>
          <w:szCs w:val="21"/>
          <w:highlight w:val="none"/>
          <w:lang w:eastAsia="zh-CN"/>
        </w:rPr>
      </w:pPr>
      <w:r>
        <w:rPr>
          <w:rFonts w:hint="eastAsia" w:ascii="宋体" w:hAnsi="宋体" w:cs="宋体"/>
          <w:b w:val="0"/>
          <w:bCs w:val="0"/>
          <w:color w:val="auto"/>
          <w:position w:val="-2"/>
          <w:szCs w:val="21"/>
          <w:highlight w:val="none"/>
        </w:rPr>
        <w:t>3.1</w:t>
      </w:r>
      <w:r>
        <w:rPr>
          <w:rFonts w:hint="eastAsia" w:ascii="宋体" w:hAnsi="宋体" w:cs="宋体"/>
          <w:b w:val="0"/>
          <w:bCs w:val="0"/>
          <w:color w:val="auto"/>
          <w:position w:val="-2"/>
          <w:szCs w:val="21"/>
          <w:highlight w:val="none"/>
          <w:lang w:val="en-US" w:eastAsia="zh-CN"/>
        </w:rPr>
        <w:t>.1</w:t>
      </w:r>
      <w:r>
        <w:rPr>
          <w:rFonts w:hint="eastAsia" w:ascii="宋体" w:hAnsi="宋体" w:cs="宋体"/>
          <w:b w:val="0"/>
          <w:bCs w:val="0"/>
          <w:color w:val="auto"/>
          <w:position w:val="-2"/>
          <w:szCs w:val="21"/>
          <w:highlight w:val="none"/>
        </w:rPr>
        <w:t>投标人主体要求</w:t>
      </w:r>
      <w:r>
        <w:rPr>
          <w:rFonts w:hint="eastAsia" w:ascii="宋体" w:hAnsi="宋体" w:cs="宋体"/>
          <w:b w:val="0"/>
          <w:bCs w:val="0"/>
          <w:color w:val="auto"/>
          <w:position w:val="-2"/>
          <w:szCs w:val="21"/>
          <w:highlight w:val="none"/>
          <w:lang w:eastAsia="zh-CN"/>
        </w:rPr>
        <w:t>：</w:t>
      </w:r>
      <w:r>
        <w:rPr>
          <w:rFonts w:hint="eastAsia" w:ascii="宋体" w:hAnsi="宋体" w:cs="宋体"/>
          <w:color w:val="auto"/>
          <w:position w:val="-2"/>
          <w:szCs w:val="21"/>
          <w:highlight w:val="none"/>
        </w:rPr>
        <w:t>本次招标要求投标人必须是在中华人民共和国境内依法成立，具有独立法人资格和独立承担民事责任能力的法人或其他组织</w:t>
      </w:r>
      <w:r>
        <w:rPr>
          <w:rFonts w:hint="eastAsia" w:ascii="宋体" w:hAnsi="宋体" w:cs="宋体"/>
          <w:color w:val="auto"/>
          <w:position w:val="-2"/>
          <w:szCs w:val="21"/>
          <w:highlight w:val="none"/>
          <w:lang w:eastAsia="zh-CN"/>
        </w:rPr>
        <w:t>。</w:t>
      </w:r>
    </w:p>
    <w:p w14:paraId="3375604E">
      <w:pPr>
        <w:adjustRightInd w:val="0"/>
        <w:snapToGrid w:val="0"/>
        <w:spacing w:line="360" w:lineRule="auto"/>
        <w:ind w:firstLine="420" w:firstLineChars="200"/>
        <w:rPr>
          <w:rFonts w:hint="eastAsia" w:ascii="宋体" w:hAnsi="宋体" w:cs="宋体"/>
          <w:color w:val="auto"/>
          <w:position w:val="-2"/>
          <w:szCs w:val="21"/>
          <w:highlight w:val="none"/>
          <w:lang w:val="en-US" w:eastAsia="zh-CN"/>
        </w:rPr>
      </w:pPr>
      <w:r>
        <w:rPr>
          <w:rFonts w:hint="eastAsia" w:ascii="宋体" w:hAnsi="宋体" w:cs="宋体"/>
          <w:b w:val="0"/>
          <w:bCs w:val="0"/>
          <w:color w:val="auto"/>
          <w:position w:val="-2"/>
          <w:szCs w:val="21"/>
          <w:highlight w:val="none"/>
          <w:lang w:val="en-US" w:eastAsia="zh-CN"/>
        </w:rPr>
        <w:t>3.1.2投标人资质要求</w:t>
      </w:r>
      <w:r>
        <w:rPr>
          <w:rFonts w:hint="eastAsia" w:ascii="宋体" w:hAnsi="宋体" w:cs="宋体"/>
          <w:color w:val="auto"/>
          <w:position w:val="-2"/>
          <w:szCs w:val="21"/>
          <w:highlight w:val="none"/>
          <w:lang w:val="en-US" w:eastAsia="zh-CN"/>
        </w:rPr>
        <w:t>：投标人须</w:t>
      </w:r>
      <w:r>
        <w:rPr>
          <w:rFonts w:hint="eastAsia" w:ascii="宋体" w:hAnsi="宋体" w:cs="宋体"/>
          <w:color w:val="auto"/>
          <w:position w:val="-2"/>
          <w:szCs w:val="21"/>
          <w:highlight w:val="none"/>
        </w:rPr>
        <w:t>具备有效</w:t>
      </w:r>
      <w:r>
        <w:rPr>
          <w:rFonts w:hint="eastAsia" w:ascii="宋体" w:hAnsi="宋体" w:cs="宋体"/>
          <w:color w:val="auto"/>
          <w:position w:val="-2"/>
          <w:szCs w:val="21"/>
          <w:highlight w:val="none"/>
          <w:lang w:val="en-US" w:eastAsia="zh-CN"/>
        </w:rPr>
        <w:t>的以下资质之一：</w:t>
      </w:r>
    </w:p>
    <w:p w14:paraId="1FCA680A">
      <w:pPr>
        <w:numPr>
          <w:ilvl w:val="0"/>
          <w:numId w:val="8"/>
        </w:numPr>
        <w:adjustRightInd w:val="0"/>
        <w:snapToGrid w:val="0"/>
        <w:spacing w:line="360" w:lineRule="auto"/>
        <w:ind w:firstLine="420" w:firstLineChars="200"/>
        <w:rPr>
          <w:rFonts w:hint="eastAsia" w:ascii="宋体" w:hAnsi="宋体" w:cs="宋体"/>
          <w:color w:val="auto"/>
          <w:position w:val="-2"/>
          <w:szCs w:val="21"/>
          <w:highlight w:val="none"/>
        </w:rPr>
      </w:pPr>
      <w:r>
        <w:rPr>
          <w:rFonts w:hint="eastAsia" w:ascii="宋体" w:hAnsi="宋体" w:cs="宋体"/>
          <w:color w:val="auto"/>
          <w:position w:val="-2"/>
          <w:szCs w:val="21"/>
          <w:highlight w:val="none"/>
        </w:rPr>
        <w:t>工程监理综合资质</w:t>
      </w:r>
      <w:r>
        <w:rPr>
          <w:rFonts w:hint="eastAsia" w:ascii="宋体" w:hAnsi="宋体" w:cs="宋体"/>
          <w:color w:val="auto"/>
          <w:position w:val="-2"/>
          <w:szCs w:val="21"/>
          <w:highlight w:val="none"/>
          <w:lang w:eastAsia="zh-CN"/>
        </w:rPr>
        <w:t>；（</w:t>
      </w:r>
      <w:r>
        <w:rPr>
          <w:rFonts w:hint="eastAsia" w:ascii="宋体" w:hAnsi="宋体" w:cs="宋体"/>
          <w:color w:val="auto"/>
          <w:position w:val="-2"/>
          <w:szCs w:val="21"/>
          <w:highlight w:val="none"/>
          <w:lang w:val="en-US" w:eastAsia="zh-CN"/>
        </w:rPr>
        <w:t>2</w:t>
      </w:r>
      <w:r>
        <w:rPr>
          <w:rFonts w:hint="eastAsia" w:ascii="宋体" w:hAnsi="宋体" w:cs="宋体"/>
          <w:color w:val="auto"/>
          <w:position w:val="-2"/>
          <w:szCs w:val="21"/>
          <w:highlight w:val="none"/>
          <w:lang w:eastAsia="zh-CN"/>
        </w:rPr>
        <w:t>）</w:t>
      </w:r>
      <w:r>
        <w:rPr>
          <w:rFonts w:hint="eastAsia" w:ascii="宋体" w:hAnsi="宋体" w:cs="宋体"/>
          <w:color w:val="auto"/>
          <w:position w:val="-2"/>
          <w:szCs w:val="21"/>
          <w:highlight w:val="none"/>
        </w:rPr>
        <w:t>水利水电工程监理</w:t>
      </w:r>
      <w:r>
        <w:rPr>
          <w:rFonts w:hint="eastAsia" w:ascii="宋体" w:hAnsi="宋体" w:cs="宋体"/>
          <w:color w:val="auto"/>
          <w:position w:val="-2"/>
          <w:szCs w:val="21"/>
          <w:highlight w:val="none"/>
          <w:lang w:val="en-US" w:eastAsia="zh-CN"/>
        </w:rPr>
        <w:t>丙</w:t>
      </w:r>
      <w:r>
        <w:rPr>
          <w:rFonts w:hint="eastAsia" w:ascii="宋体" w:hAnsi="宋体" w:cs="宋体"/>
          <w:color w:val="auto"/>
          <w:position w:val="-2"/>
          <w:szCs w:val="21"/>
          <w:highlight w:val="none"/>
        </w:rPr>
        <w:t>级</w:t>
      </w:r>
      <w:r>
        <w:rPr>
          <w:rFonts w:hint="eastAsia" w:ascii="宋体" w:hAnsi="宋体" w:cs="宋体"/>
          <w:color w:val="auto"/>
          <w:position w:val="-2"/>
          <w:szCs w:val="21"/>
          <w:highlight w:val="none"/>
          <w:lang w:val="en-US" w:eastAsia="zh-CN"/>
        </w:rPr>
        <w:t>及以上</w:t>
      </w:r>
      <w:r>
        <w:rPr>
          <w:rFonts w:hint="eastAsia" w:ascii="宋体" w:hAnsi="宋体" w:cs="宋体"/>
          <w:color w:val="auto"/>
          <w:position w:val="-2"/>
          <w:szCs w:val="21"/>
          <w:highlight w:val="none"/>
        </w:rPr>
        <w:t>资质</w:t>
      </w:r>
      <w:r>
        <w:rPr>
          <w:rFonts w:hint="eastAsia" w:ascii="宋体" w:hAnsi="宋体" w:cs="宋体"/>
          <w:color w:val="auto"/>
          <w:position w:val="-2"/>
          <w:szCs w:val="21"/>
          <w:highlight w:val="none"/>
          <w:lang w:eastAsia="zh-CN"/>
        </w:rPr>
        <w:t>；（</w:t>
      </w:r>
      <w:r>
        <w:rPr>
          <w:rFonts w:hint="eastAsia" w:ascii="宋体" w:hAnsi="宋体" w:cs="宋体"/>
          <w:color w:val="auto"/>
          <w:position w:val="-2"/>
          <w:szCs w:val="21"/>
          <w:highlight w:val="none"/>
          <w:lang w:val="en-US" w:eastAsia="zh-CN"/>
        </w:rPr>
        <w:t>3</w:t>
      </w:r>
      <w:r>
        <w:rPr>
          <w:rFonts w:hint="eastAsia" w:ascii="宋体" w:hAnsi="宋体" w:cs="宋体"/>
          <w:color w:val="auto"/>
          <w:position w:val="-2"/>
          <w:szCs w:val="21"/>
          <w:highlight w:val="none"/>
          <w:lang w:eastAsia="zh-CN"/>
        </w:rPr>
        <w:t>）</w:t>
      </w:r>
      <w:r>
        <w:rPr>
          <w:rFonts w:hint="eastAsia" w:ascii="宋体" w:hAnsi="宋体" w:cs="宋体"/>
          <w:color w:val="auto"/>
          <w:position w:val="-2"/>
          <w:szCs w:val="21"/>
          <w:highlight w:val="none"/>
          <w:lang w:val="en-US" w:eastAsia="zh-CN"/>
        </w:rPr>
        <w:t>水利工程施工监理丙级及以上</w:t>
      </w:r>
      <w:r>
        <w:rPr>
          <w:rFonts w:hint="eastAsia" w:ascii="宋体" w:hAnsi="宋体" w:cs="宋体"/>
          <w:color w:val="auto"/>
          <w:position w:val="-2"/>
          <w:szCs w:val="21"/>
          <w:highlight w:val="none"/>
        </w:rPr>
        <w:t>资质</w:t>
      </w:r>
      <w:r>
        <w:rPr>
          <w:rFonts w:hint="eastAsia" w:ascii="宋体" w:hAnsi="宋体" w:cs="宋体"/>
          <w:color w:val="auto"/>
          <w:position w:val="-2"/>
          <w:szCs w:val="21"/>
          <w:highlight w:val="none"/>
          <w:lang w:val="en-US" w:eastAsia="zh-CN"/>
        </w:rPr>
        <w:t>；（4）市政公用工程监理丙级及以上</w:t>
      </w:r>
      <w:r>
        <w:rPr>
          <w:rFonts w:hint="eastAsia" w:ascii="宋体" w:hAnsi="宋体" w:cs="宋体"/>
          <w:color w:val="auto"/>
          <w:position w:val="-2"/>
          <w:szCs w:val="21"/>
          <w:highlight w:val="none"/>
        </w:rPr>
        <w:t>资质</w:t>
      </w:r>
      <w:r>
        <w:rPr>
          <w:rFonts w:hint="eastAsia" w:ascii="宋体" w:hAnsi="宋体" w:cs="宋体"/>
          <w:color w:val="auto"/>
          <w:position w:val="-2"/>
          <w:szCs w:val="21"/>
          <w:highlight w:val="none"/>
          <w:lang w:eastAsia="zh-CN"/>
        </w:rPr>
        <w:t>。</w:t>
      </w:r>
    </w:p>
    <w:p w14:paraId="5F6C020F">
      <w:pPr>
        <w:adjustRightInd w:val="0"/>
        <w:snapToGrid w:val="0"/>
        <w:spacing w:line="360" w:lineRule="auto"/>
        <w:ind w:firstLine="422" w:firstLineChars="200"/>
        <w:rPr>
          <w:rFonts w:hint="eastAsia" w:ascii="宋体" w:hAnsi="宋体" w:eastAsia="宋体" w:cs="宋体"/>
          <w:b/>
          <w:bCs/>
          <w:color w:val="auto"/>
          <w:kern w:val="2"/>
          <w:position w:val="-2"/>
          <w:sz w:val="21"/>
          <w:szCs w:val="21"/>
          <w:highlight w:val="none"/>
          <w:lang w:eastAsia="zh-CN"/>
        </w:rPr>
      </w:pPr>
      <w:r>
        <w:rPr>
          <w:rFonts w:hint="eastAsia" w:ascii="宋体" w:hAnsi="宋体" w:eastAsia="宋体" w:cs="宋体"/>
          <w:b/>
          <w:bCs/>
          <w:color w:val="auto"/>
          <w:kern w:val="2"/>
          <w:position w:val="-2"/>
          <w:sz w:val="21"/>
          <w:szCs w:val="21"/>
          <w:highlight w:val="none"/>
        </w:rPr>
        <w:t>3.</w:t>
      </w:r>
      <w:r>
        <w:rPr>
          <w:rFonts w:hint="eastAsia" w:ascii="宋体" w:hAnsi="宋体" w:cs="宋体"/>
          <w:b/>
          <w:bCs/>
          <w:color w:val="auto"/>
          <w:kern w:val="2"/>
          <w:position w:val="-2"/>
          <w:sz w:val="21"/>
          <w:szCs w:val="21"/>
          <w:highlight w:val="none"/>
          <w:lang w:val="en-US" w:eastAsia="zh-CN"/>
        </w:rPr>
        <w:t>2</w:t>
      </w:r>
      <w:r>
        <w:rPr>
          <w:rFonts w:hint="eastAsia" w:ascii="宋体" w:hAnsi="宋体" w:eastAsia="宋体" w:cs="宋体"/>
          <w:b/>
          <w:bCs/>
          <w:color w:val="auto"/>
          <w:kern w:val="2"/>
          <w:position w:val="-2"/>
          <w:sz w:val="21"/>
          <w:szCs w:val="21"/>
          <w:highlight w:val="none"/>
          <w:lang w:val="en-US" w:eastAsia="zh-CN"/>
        </w:rPr>
        <w:t>人员</w:t>
      </w:r>
      <w:r>
        <w:rPr>
          <w:rFonts w:hint="eastAsia" w:ascii="宋体" w:hAnsi="宋体" w:eastAsia="宋体" w:cs="宋体"/>
          <w:b/>
          <w:bCs/>
          <w:color w:val="auto"/>
          <w:kern w:val="2"/>
          <w:position w:val="-2"/>
          <w:sz w:val="21"/>
          <w:szCs w:val="21"/>
          <w:highlight w:val="none"/>
        </w:rPr>
        <w:t>要求</w:t>
      </w:r>
      <w:r>
        <w:rPr>
          <w:rFonts w:hint="eastAsia" w:ascii="宋体" w:hAnsi="宋体" w:eastAsia="宋体" w:cs="宋体"/>
          <w:b/>
          <w:bCs/>
          <w:color w:val="auto"/>
          <w:kern w:val="2"/>
          <w:position w:val="-2"/>
          <w:sz w:val="21"/>
          <w:szCs w:val="21"/>
          <w:highlight w:val="none"/>
          <w:lang w:eastAsia="zh-CN"/>
        </w:rPr>
        <w:t>：</w:t>
      </w:r>
    </w:p>
    <w:p w14:paraId="6B9004FB">
      <w:pPr>
        <w:adjustRightInd w:val="0"/>
        <w:snapToGrid w:val="0"/>
        <w:spacing w:line="360" w:lineRule="auto"/>
        <w:ind w:firstLine="420" w:firstLineChars="200"/>
        <w:rPr>
          <w:rFonts w:hint="eastAsia" w:ascii="宋体" w:hAnsi="宋体" w:eastAsia="宋体" w:cs="宋体"/>
          <w:b w:val="0"/>
          <w:bCs w:val="0"/>
          <w:color w:val="auto"/>
          <w:kern w:val="2"/>
          <w:position w:val="-2"/>
          <w:sz w:val="21"/>
          <w:szCs w:val="21"/>
          <w:highlight w:val="none"/>
          <w:lang w:eastAsia="zh-CN"/>
        </w:rPr>
      </w:pPr>
      <w:r>
        <w:rPr>
          <w:rFonts w:hint="eastAsia" w:ascii="宋体" w:hAnsi="宋体" w:cs="宋体"/>
          <w:b w:val="0"/>
          <w:bCs w:val="0"/>
          <w:color w:val="auto"/>
          <w:kern w:val="2"/>
          <w:position w:val="-2"/>
          <w:sz w:val="21"/>
          <w:szCs w:val="21"/>
          <w:highlight w:val="none"/>
          <w:lang w:eastAsia="zh-CN"/>
        </w:rPr>
        <w:t>（</w:t>
      </w:r>
      <w:r>
        <w:rPr>
          <w:rFonts w:hint="eastAsia" w:ascii="宋体" w:hAnsi="宋体" w:cs="宋体"/>
          <w:b w:val="0"/>
          <w:bCs w:val="0"/>
          <w:color w:val="auto"/>
          <w:kern w:val="2"/>
          <w:position w:val="-2"/>
          <w:sz w:val="21"/>
          <w:szCs w:val="21"/>
          <w:highlight w:val="none"/>
          <w:lang w:val="en-US" w:eastAsia="zh-CN"/>
        </w:rPr>
        <w:t>1</w:t>
      </w:r>
      <w:r>
        <w:rPr>
          <w:rFonts w:hint="eastAsia" w:ascii="宋体" w:hAnsi="宋体" w:cs="宋体"/>
          <w:b w:val="0"/>
          <w:bCs w:val="0"/>
          <w:color w:val="auto"/>
          <w:kern w:val="2"/>
          <w:position w:val="-2"/>
          <w:sz w:val="21"/>
          <w:szCs w:val="21"/>
          <w:highlight w:val="none"/>
          <w:lang w:eastAsia="zh-CN"/>
        </w:rPr>
        <w:t>）</w:t>
      </w:r>
      <w:r>
        <w:rPr>
          <w:rFonts w:hint="eastAsia" w:ascii="宋体" w:hAnsi="宋体" w:eastAsia="宋体" w:cs="宋体"/>
          <w:b w:val="0"/>
          <w:bCs w:val="0"/>
          <w:color w:val="auto"/>
          <w:kern w:val="2"/>
          <w:position w:val="-2"/>
          <w:sz w:val="21"/>
          <w:szCs w:val="21"/>
          <w:highlight w:val="none"/>
          <w:lang w:eastAsia="zh-CN"/>
        </w:rPr>
        <w:t>拟派的总监理工程师须</w:t>
      </w:r>
      <w:r>
        <w:rPr>
          <w:rFonts w:hint="eastAsia" w:ascii="宋体" w:hAnsi="宋体" w:cs="宋体"/>
          <w:b w:val="0"/>
          <w:bCs w:val="0"/>
          <w:color w:val="auto"/>
          <w:kern w:val="2"/>
          <w:position w:val="-2"/>
          <w:sz w:val="21"/>
          <w:szCs w:val="21"/>
          <w:highlight w:val="none"/>
          <w:lang w:val="en-US" w:eastAsia="zh-CN"/>
        </w:rPr>
        <w:t>具有</w:t>
      </w:r>
      <w:r>
        <w:rPr>
          <w:rFonts w:hint="eastAsia" w:ascii="宋体" w:hAnsi="宋体" w:cs="宋体"/>
          <w:b w:val="0"/>
          <w:bCs w:val="0"/>
          <w:color w:val="auto"/>
          <w:kern w:val="2"/>
          <w:position w:val="-2"/>
          <w:sz w:val="21"/>
          <w:szCs w:val="21"/>
          <w:highlight w:val="none"/>
          <w:lang w:eastAsia="zh-CN"/>
        </w:rPr>
        <w:t>中华人民共和国注册监理工程师注册执业证书</w:t>
      </w:r>
      <w:r>
        <w:rPr>
          <w:rFonts w:hint="eastAsia" w:ascii="宋体" w:hAnsi="宋体" w:eastAsia="宋体" w:cs="宋体"/>
          <w:b w:val="0"/>
          <w:bCs w:val="0"/>
          <w:color w:val="auto"/>
          <w:kern w:val="2"/>
          <w:position w:val="-2"/>
          <w:sz w:val="21"/>
          <w:szCs w:val="21"/>
          <w:highlight w:val="none"/>
          <w:lang w:eastAsia="zh-CN"/>
        </w:rPr>
        <w:t>（</w:t>
      </w:r>
      <w:r>
        <w:rPr>
          <w:rFonts w:hint="eastAsia" w:ascii="宋体" w:hAnsi="宋体" w:cs="宋体"/>
          <w:b w:val="0"/>
          <w:bCs w:val="0"/>
          <w:color w:val="auto"/>
          <w:kern w:val="2"/>
          <w:position w:val="-2"/>
          <w:sz w:val="21"/>
          <w:szCs w:val="21"/>
          <w:highlight w:val="none"/>
          <w:lang w:val="en-US" w:eastAsia="zh-CN"/>
        </w:rPr>
        <w:t>注册</w:t>
      </w:r>
      <w:r>
        <w:rPr>
          <w:rFonts w:hint="eastAsia" w:ascii="宋体" w:hAnsi="宋体" w:eastAsia="宋体" w:cs="宋体"/>
          <w:b w:val="0"/>
          <w:bCs w:val="0"/>
          <w:color w:val="auto"/>
          <w:kern w:val="2"/>
          <w:position w:val="-2"/>
          <w:sz w:val="21"/>
          <w:szCs w:val="21"/>
          <w:highlight w:val="none"/>
          <w:lang w:eastAsia="zh-CN"/>
        </w:rPr>
        <w:t>专业为：市政公用工程或水利水电工程</w:t>
      </w:r>
      <w:r>
        <w:rPr>
          <w:rFonts w:hint="eastAsia" w:ascii="宋体" w:hAnsi="宋体" w:cs="宋体"/>
          <w:b w:val="0"/>
          <w:bCs w:val="0"/>
          <w:color w:val="auto"/>
          <w:kern w:val="2"/>
          <w:position w:val="-2"/>
          <w:sz w:val="21"/>
          <w:szCs w:val="21"/>
          <w:highlight w:val="none"/>
          <w:lang w:val="en-US" w:eastAsia="zh-CN"/>
        </w:rPr>
        <w:t>或水利工程施工监理</w:t>
      </w:r>
      <w:r>
        <w:rPr>
          <w:rFonts w:hint="eastAsia" w:ascii="宋体" w:hAnsi="宋体" w:eastAsia="宋体" w:cs="宋体"/>
          <w:b w:val="0"/>
          <w:bCs w:val="0"/>
          <w:color w:val="auto"/>
          <w:kern w:val="2"/>
          <w:position w:val="-2"/>
          <w:sz w:val="21"/>
          <w:szCs w:val="21"/>
          <w:highlight w:val="none"/>
          <w:lang w:eastAsia="zh-CN"/>
        </w:rPr>
        <w:t>)，注册单位为</w:t>
      </w:r>
      <w:r>
        <w:rPr>
          <w:rFonts w:hint="eastAsia" w:ascii="宋体" w:hAnsi="宋体" w:cs="宋体"/>
          <w:b w:val="0"/>
          <w:bCs w:val="0"/>
          <w:color w:val="auto"/>
          <w:kern w:val="2"/>
          <w:position w:val="-2"/>
          <w:sz w:val="21"/>
          <w:szCs w:val="21"/>
          <w:highlight w:val="none"/>
          <w:lang w:eastAsia="zh-CN"/>
        </w:rPr>
        <w:t>投标人</w:t>
      </w:r>
      <w:r>
        <w:rPr>
          <w:rFonts w:hint="eastAsia" w:ascii="宋体" w:hAnsi="宋体" w:eastAsia="宋体" w:cs="宋体"/>
          <w:b w:val="0"/>
          <w:bCs w:val="0"/>
          <w:color w:val="auto"/>
          <w:kern w:val="2"/>
          <w:position w:val="-2"/>
          <w:sz w:val="21"/>
          <w:szCs w:val="21"/>
          <w:highlight w:val="none"/>
          <w:lang w:eastAsia="zh-CN"/>
        </w:rPr>
        <w:t>本单位，提供投标单位为其缴纳的202</w:t>
      </w:r>
      <w:r>
        <w:rPr>
          <w:rFonts w:hint="eastAsia" w:ascii="宋体" w:hAnsi="宋体" w:cs="宋体"/>
          <w:b w:val="0"/>
          <w:bCs w:val="0"/>
          <w:color w:val="auto"/>
          <w:kern w:val="2"/>
          <w:position w:val="-2"/>
          <w:sz w:val="21"/>
          <w:szCs w:val="21"/>
          <w:highlight w:val="none"/>
          <w:lang w:eastAsia="zh-CN"/>
        </w:rPr>
        <w:t>4</w:t>
      </w:r>
      <w:r>
        <w:rPr>
          <w:rFonts w:hint="eastAsia" w:ascii="宋体" w:hAnsi="宋体" w:eastAsia="宋体" w:cs="宋体"/>
          <w:b w:val="0"/>
          <w:bCs w:val="0"/>
          <w:color w:val="auto"/>
          <w:kern w:val="2"/>
          <w:position w:val="-2"/>
          <w:sz w:val="21"/>
          <w:szCs w:val="21"/>
          <w:highlight w:val="none"/>
          <w:lang w:eastAsia="zh-CN"/>
        </w:rPr>
        <w:t>年6月1日至今任意连续3个月的基本养老保险证明材料。若成立时间不能覆盖前述时间的企业，根据实际情况提供；拟派的总监理工程师为退休人员且相关证书仍合格有效、满足招标文件要求的，可不提供基本养老保险证明材料。</w:t>
      </w:r>
      <w:r>
        <w:rPr>
          <w:rFonts w:hint="eastAsia" w:ascii="宋体" w:hAnsi="宋体" w:cs="宋体"/>
          <w:b w:val="0"/>
          <w:bCs w:val="0"/>
          <w:color w:val="auto"/>
          <w:kern w:val="2"/>
          <w:position w:val="-2"/>
          <w:sz w:val="21"/>
          <w:szCs w:val="21"/>
          <w:highlight w:val="none"/>
          <w:lang w:eastAsia="zh-CN"/>
        </w:rPr>
        <w:t>（</w:t>
      </w:r>
      <w:r>
        <w:rPr>
          <w:rFonts w:hint="eastAsia" w:ascii="宋体" w:hAnsi="宋体" w:cs="宋体"/>
          <w:b w:val="0"/>
          <w:bCs w:val="0"/>
          <w:color w:val="auto"/>
          <w:kern w:val="2"/>
          <w:position w:val="-2"/>
          <w:sz w:val="21"/>
          <w:szCs w:val="21"/>
          <w:highlight w:val="none"/>
          <w:lang w:val="en-US" w:eastAsia="zh-CN"/>
        </w:rPr>
        <w:t>2</w:t>
      </w:r>
      <w:r>
        <w:rPr>
          <w:rFonts w:hint="eastAsia" w:ascii="宋体" w:hAnsi="宋体" w:cs="宋体"/>
          <w:b w:val="0"/>
          <w:bCs w:val="0"/>
          <w:color w:val="auto"/>
          <w:kern w:val="2"/>
          <w:position w:val="-2"/>
          <w:sz w:val="21"/>
          <w:szCs w:val="21"/>
          <w:highlight w:val="none"/>
          <w:lang w:eastAsia="zh-CN"/>
        </w:rPr>
        <w:t>）</w:t>
      </w:r>
      <w:r>
        <w:rPr>
          <w:rFonts w:hint="eastAsia" w:ascii="宋体" w:hAnsi="宋体" w:eastAsia="宋体" w:cs="宋体"/>
          <w:b w:val="0"/>
          <w:bCs w:val="0"/>
          <w:color w:val="auto"/>
          <w:kern w:val="2"/>
          <w:position w:val="-2"/>
          <w:sz w:val="21"/>
          <w:szCs w:val="21"/>
          <w:highlight w:val="none"/>
          <w:lang w:eastAsia="zh-CN"/>
        </w:rPr>
        <w:t>总监理工程师未担任其他在建建设工程的总监理工程师及专业现场监理人员，提供承诺。</w:t>
      </w:r>
    </w:p>
    <w:p w14:paraId="54FE6AB1">
      <w:pPr>
        <w:pStyle w:val="74"/>
        <w:snapToGrid w:val="0"/>
        <w:spacing w:line="360" w:lineRule="auto"/>
        <w:ind w:firstLine="422" w:firstLineChars="200"/>
        <w:rPr>
          <w:rFonts w:hint="eastAsia" w:ascii="宋体" w:hAnsi="宋体" w:eastAsia="宋体" w:cs="宋体"/>
          <w:b/>
          <w:bCs/>
          <w:color w:val="auto"/>
          <w:kern w:val="2"/>
          <w:position w:val="-2"/>
          <w:sz w:val="21"/>
          <w:szCs w:val="21"/>
          <w:highlight w:val="none"/>
        </w:rPr>
      </w:pPr>
      <w:r>
        <w:rPr>
          <w:rFonts w:hint="eastAsia" w:ascii="宋体" w:hAnsi="宋体" w:eastAsia="宋体" w:cs="宋体"/>
          <w:b/>
          <w:bCs/>
          <w:color w:val="auto"/>
          <w:kern w:val="2"/>
          <w:position w:val="-2"/>
          <w:sz w:val="21"/>
          <w:szCs w:val="21"/>
          <w:highlight w:val="none"/>
        </w:rPr>
        <w:t>3.</w:t>
      </w:r>
      <w:r>
        <w:rPr>
          <w:rFonts w:hint="eastAsia" w:ascii="宋体" w:hAnsi="宋体" w:eastAsia="宋体" w:cs="宋体"/>
          <w:b/>
          <w:bCs/>
          <w:color w:val="auto"/>
          <w:kern w:val="2"/>
          <w:position w:val="-2"/>
          <w:sz w:val="21"/>
          <w:szCs w:val="21"/>
          <w:highlight w:val="none"/>
          <w:lang w:val="en-US" w:eastAsia="zh-CN"/>
        </w:rPr>
        <w:t>3</w:t>
      </w:r>
      <w:r>
        <w:rPr>
          <w:rFonts w:hint="eastAsia" w:ascii="宋体" w:hAnsi="宋体" w:eastAsia="宋体" w:cs="宋体"/>
          <w:b/>
          <w:bCs/>
          <w:color w:val="auto"/>
          <w:kern w:val="2"/>
          <w:position w:val="-2"/>
          <w:sz w:val="21"/>
          <w:szCs w:val="21"/>
          <w:highlight w:val="none"/>
        </w:rPr>
        <w:t>信誉要求</w:t>
      </w:r>
      <w:bookmarkStart w:id="37" w:name="_Toc7031"/>
      <w:bookmarkStart w:id="38" w:name="_Toc15336"/>
      <w:r>
        <w:rPr>
          <w:rFonts w:hint="eastAsia" w:ascii="宋体" w:hAnsi="宋体" w:eastAsia="宋体" w:cs="宋体"/>
          <w:b/>
          <w:bCs/>
          <w:color w:val="auto"/>
          <w:kern w:val="2"/>
          <w:position w:val="-2"/>
          <w:sz w:val="21"/>
          <w:szCs w:val="21"/>
          <w:highlight w:val="none"/>
        </w:rPr>
        <w:t>：</w:t>
      </w:r>
    </w:p>
    <w:p w14:paraId="6F571790">
      <w:pPr>
        <w:pStyle w:val="74"/>
        <w:snapToGrid w:val="0"/>
        <w:spacing w:line="360" w:lineRule="auto"/>
        <w:ind w:firstLine="420" w:firstLineChars="200"/>
        <w:rPr>
          <w:rFonts w:hint="eastAsia" w:ascii="宋体" w:hAnsi="宋体" w:eastAsia="宋体" w:cs="宋体"/>
          <w:color w:val="auto"/>
          <w:kern w:val="2"/>
          <w:position w:val="-2"/>
          <w:sz w:val="21"/>
          <w:szCs w:val="21"/>
          <w:highlight w:val="none"/>
        </w:rPr>
      </w:pPr>
      <w:r>
        <w:rPr>
          <w:rFonts w:hint="eastAsia" w:ascii="宋体" w:hAnsi="宋体" w:eastAsia="宋体" w:cs="宋体"/>
          <w:color w:val="auto"/>
          <w:kern w:val="2"/>
          <w:position w:val="-2"/>
          <w:sz w:val="21"/>
          <w:szCs w:val="21"/>
          <w:highlight w:val="none"/>
        </w:rPr>
        <w:t>3.</w:t>
      </w:r>
      <w:r>
        <w:rPr>
          <w:rFonts w:hint="eastAsia" w:ascii="宋体" w:hAnsi="宋体" w:eastAsia="宋体" w:cs="宋体"/>
          <w:color w:val="auto"/>
          <w:kern w:val="2"/>
          <w:position w:val="-2"/>
          <w:sz w:val="21"/>
          <w:szCs w:val="21"/>
          <w:highlight w:val="none"/>
          <w:lang w:val="en-US" w:eastAsia="zh-CN"/>
        </w:rPr>
        <w:t>3</w:t>
      </w:r>
      <w:r>
        <w:rPr>
          <w:rFonts w:hint="eastAsia" w:ascii="宋体" w:hAnsi="宋体" w:eastAsia="宋体" w:cs="宋体"/>
          <w:color w:val="auto"/>
          <w:kern w:val="2"/>
          <w:position w:val="-2"/>
          <w:sz w:val="21"/>
          <w:szCs w:val="21"/>
          <w:highlight w:val="none"/>
        </w:rPr>
        <w:t>.1投标人</w:t>
      </w:r>
      <w:r>
        <w:rPr>
          <w:rFonts w:hint="eastAsia" w:ascii="宋体" w:hAnsi="宋体" w:eastAsia="宋体" w:cs="宋体"/>
          <w:color w:val="auto"/>
          <w:kern w:val="2"/>
          <w:position w:val="-2"/>
          <w:sz w:val="21"/>
          <w:szCs w:val="21"/>
          <w:highlight w:val="none"/>
          <w:lang w:eastAsia="zh-CN"/>
        </w:rPr>
        <w:t>2022年1月1日</w:t>
      </w:r>
      <w:r>
        <w:rPr>
          <w:rFonts w:hint="eastAsia" w:ascii="宋体" w:hAnsi="宋体" w:eastAsia="宋体" w:cs="宋体"/>
          <w:color w:val="auto"/>
          <w:kern w:val="2"/>
          <w:position w:val="-2"/>
          <w:sz w:val="21"/>
          <w:szCs w:val="21"/>
          <w:highlight w:val="none"/>
        </w:rPr>
        <w:t>至今没有处于被责令停产停业、投标资格被取消、财产被接管、破产状态，暂扣或者吊销许可证、暂扣或者吊销执照；未进入清算程序或其他丧失履约能力的情形。</w:t>
      </w:r>
    </w:p>
    <w:p w14:paraId="752D9813">
      <w:pPr>
        <w:pStyle w:val="74"/>
        <w:snapToGrid w:val="0"/>
        <w:spacing w:line="360" w:lineRule="auto"/>
        <w:ind w:firstLine="420" w:firstLineChars="200"/>
        <w:rPr>
          <w:rFonts w:hint="eastAsia" w:ascii="宋体" w:hAnsi="宋体" w:eastAsia="宋体" w:cs="宋体"/>
          <w:color w:val="auto"/>
          <w:kern w:val="2"/>
          <w:position w:val="-2"/>
          <w:sz w:val="21"/>
          <w:szCs w:val="21"/>
          <w:highlight w:val="none"/>
        </w:rPr>
      </w:pPr>
      <w:r>
        <w:rPr>
          <w:rFonts w:hint="eastAsia" w:ascii="宋体" w:hAnsi="宋体" w:eastAsia="宋体" w:cs="宋体"/>
          <w:color w:val="auto"/>
          <w:kern w:val="2"/>
          <w:position w:val="-2"/>
          <w:sz w:val="21"/>
          <w:szCs w:val="21"/>
          <w:highlight w:val="none"/>
        </w:rPr>
        <w:t>3.</w:t>
      </w:r>
      <w:r>
        <w:rPr>
          <w:rFonts w:hint="eastAsia" w:ascii="宋体" w:hAnsi="宋体" w:eastAsia="宋体" w:cs="宋体"/>
          <w:color w:val="auto"/>
          <w:kern w:val="2"/>
          <w:position w:val="-2"/>
          <w:sz w:val="21"/>
          <w:szCs w:val="21"/>
          <w:highlight w:val="none"/>
          <w:lang w:val="en-US" w:eastAsia="zh-CN"/>
        </w:rPr>
        <w:t>3</w:t>
      </w:r>
      <w:r>
        <w:rPr>
          <w:rFonts w:hint="eastAsia" w:ascii="宋体" w:hAnsi="宋体" w:eastAsia="宋体" w:cs="宋体"/>
          <w:color w:val="auto"/>
          <w:kern w:val="2"/>
          <w:position w:val="-2"/>
          <w:sz w:val="21"/>
          <w:szCs w:val="21"/>
          <w:highlight w:val="none"/>
        </w:rPr>
        <w:t>.2投标人未被“中国执行信息公开网”列入“失信被执行人”（投标人提供查询截图附于投标文件中）。</w:t>
      </w:r>
    </w:p>
    <w:p w14:paraId="4BF5B881">
      <w:pPr>
        <w:pStyle w:val="74"/>
        <w:snapToGrid w:val="0"/>
        <w:spacing w:line="360" w:lineRule="auto"/>
        <w:ind w:firstLine="420" w:firstLineChars="200"/>
        <w:rPr>
          <w:rFonts w:hint="eastAsia" w:ascii="宋体" w:hAnsi="宋体" w:eastAsia="宋体" w:cs="宋体"/>
          <w:color w:val="auto"/>
          <w:kern w:val="2"/>
          <w:position w:val="-2"/>
          <w:sz w:val="21"/>
          <w:szCs w:val="21"/>
          <w:highlight w:val="none"/>
        </w:rPr>
      </w:pPr>
      <w:r>
        <w:rPr>
          <w:rFonts w:hint="eastAsia" w:ascii="宋体" w:hAnsi="宋体" w:eastAsia="宋体" w:cs="宋体"/>
          <w:color w:val="auto"/>
          <w:kern w:val="2"/>
          <w:position w:val="-2"/>
          <w:sz w:val="21"/>
          <w:szCs w:val="21"/>
          <w:highlight w:val="none"/>
        </w:rPr>
        <w:t>3.</w:t>
      </w:r>
      <w:r>
        <w:rPr>
          <w:rFonts w:hint="eastAsia" w:ascii="宋体" w:hAnsi="宋体" w:eastAsia="宋体" w:cs="宋体"/>
          <w:color w:val="auto"/>
          <w:kern w:val="2"/>
          <w:position w:val="-2"/>
          <w:sz w:val="21"/>
          <w:szCs w:val="21"/>
          <w:highlight w:val="none"/>
          <w:lang w:val="en-US" w:eastAsia="zh-CN"/>
        </w:rPr>
        <w:t>3</w:t>
      </w:r>
      <w:r>
        <w:rPr>
          <w:rFonts w:hint="eastAsia" w:ascii="宋体" w:hAnsi="宋体" w:eastAsia="宋体" w:cs="宋体"/>
          <w:color w:val="auto"/>
          <w:kern w:val="2"/>
          <w:position w:val="-2"/>
          <w:sz w:val="21"/>
          <w:szCs w:val="21"/>
          <w:highlight w:val="none"/>
        </w:rPr>
        <w:t>.3投标人未被“国家企业信用信息公示系统”列入“严重违法失信名单（黑名单）信息”（投标人提供查询截图附于投标文件中）。</w:t>
      </w:r>
    </w:p>
    <w:bookmarkEnd w:id="37"/>
    <w:bookmarkEnd w:id="38"/>
    <w:p w14:paraId="3DDFD121">
      <w:pPr>
        <w:adjustRightInd w:val="0"/>
        <w:snapToGrid w:val="0"/>
        <w:spacing w:line="360" w:lineRule="auto"/>
        <w:ind w:firstLine="422" w:firstLineChars="200"/>
        <w:rPr>
          <w:rFonts w:hint="eastAsia" w:ascii="宋体" w:hAnsi="宋体" w:cs="宋体"/>
          <w:color w:val="auto"/>
          <w:sz w:val="21"/>
          <w:szCs w:val="21"/>
          <w:highlight w:val="none"/>
        </w:rPr>
      </w:pPr>
      <w:r>
        <w:rPr>
          <w:rFonts w:hint="eastAsia" w:ascii="宋体" w:hAnsi="宋体" w:cs="宋体"/>
          <w:b/>
          <w:bCs/>
          <w:color w:val="auto"/>
          <w:szCs w:val="21"/>
          <w:highlight w:val="none"/>
        </w:rPr>
        <w:t>3.</w:t>
      </w:r>
      <w:r>
        <w:rPr>
          <w:rFonts w:hint="eastAsia" w:ascii="宋体" w:hAnsi="宋体" w:cs="宋体"/>
          <w:b/>
          <w:bCs/>
          <w:color w:val="auto"/>
          <w:szCs w:val="21"/>
          <w:highlight w:val="none"/>
          <w:lang w:val="en-US" w:eastAsia="zh-CN"/>
        </w:rPr>
        <w:t>4</w:t>
      </w:r>
      <w:r>
        <w:rPr>
          <w:rFonts w:hint="eastAsia" w:ascii="宋体" w:hAnsi="宋体" w:cs="宋体"/>
          <w:b/>
          <w:bCs/>
          <w:color w:val="auto"/>
          <w:szCs w:val="21"/>
          <w:highlight w:val="none"/>
        </w:rPr>
        <w:t>联合体要求</w:t>
      </w:r>
      <w:r>
        <w:rPr>
          <w:rFonts w:hint="eastAsia" w:ascii="宋体" w:hAnsi="宋体" w:cs="宋体"/>
          <w:b/>
          <w:bCs/>
          <w:color w:val="auto"/>
          <w:szCs w:val="21"/>
          <w:highlight w:val="none"/>
          <w:lang w:eastAsia="zh-CN"/>
        </w:rPr>
        <w:t>：</w:t>
      </w:r>
      <w:r>
        <w:rPr>
          <w:rFonts w:hint="eastAsia" w:ascii="宋体" w:hAnsi="宋体" w:cs="宋体"/>
          <w:color w:val="auto"/>
          <w:sz w:val="21"/>
          <w:szCs w:val="21"/>
          <w:highlight w:val="none"/>
        </w:rPr>
        <w:t>本次招标</w:t>
      </w:r>
      <w:r>
        <w:rPr>
          <w:rFonts w:hint="eastAsia" w:ascii="宋体" w:hAnsi="宋体" w:cs="宋体"/>
          <w:color w:val="auto"/>
          <w:sz w:val="21"/>
          <w:szCs w:val="21"/>
          <w:highlight w:val="none"/>
          <w:lang w:val="en-US" w:eastAsia="zh-CN"/>
        </w:rPr>
        <w:t>不</w:t>
      </w:r>
      <w:r>
        <w:rPr>
          <w:rFonts w:hint="eastAsia" w:ascii="宋体" w:hAnsi="宋体" w:cs="宋体"/>
          <w:color w:val="auto"/>
          <w:sz w:val="21"/>
          <w:szCs w:val="21"/>
          <w:highlight w:val="none"/>
        </w:rPr>
        <w:t>接受联合体投标。</w:t>
      </w:r>
    </w:p>
    <w:p w14:paraId="3FCF1CD7">
      <w:pPr>
        <w:adjustRightInd w:val="0"/>
        <w:snapToGrid w:val="0"/>
        <w:spacing w:line="360" w:lineRule="auto"/>
        <w:ind w:firstLine="422" w:firstLineChars="200"/>
        <w:rPr>
          <w:rFonts w:hint="eastAsia" w:ascii="宋体" w:hAnsi="宋体" w:cs="宋体"/>
          <w:color w:val="auto"/>
          <w:szCs w:val="21"/>
          <w:highlight w:val="none"/>
        </w:rPr>
      </w:pPr>
      <w:r>
        <w:rPr>
          <w:rFonts w:hint="eastAsia" w:ascii="宋体" w:hAnsi="宋体" w:cs="宋体"/>
          <w:b/>
          <w:bCs/>
          <w:color w:val="auto"/>
          <w:szCs w:val="21"/>
          <w:highlight w:val="none"/>
        </w:rPr>
        <w:t>3.</w:t>
      </w:r>
      <w:r>
        <w:rPr>
          <w:rFonts w:hint="eastAsia" w:ascii="宋体" w:hAnsi="宋体" w:cs="宋体"/>
          <w:b/>
          <w:bCs/>
          <w:color w:val="auto"/>
          <w:szCs w:val="21"/>
          <w:highlight w:val="none"/>
          <w:lang w:val="en-US" w:eastAsia="zh-CN"/>
        </w:rPr>
        <w:t>5</w:t>
      </w:r>
      <w:r>
        <w:rPr>
          <w:rFonts w:hint="eastAsia" w:ascii="宋体" w:hAnsi="宋体" w:cs="宋体"/>
          <w:b/>
          <w:bCs/>
          <w:color w:val="auto"/>
          <w:szCs w:val="21"/>
          <w:highlight w:val="none"/>
        </w:rPr>
        <w:t>其他要求</w:t>
      </w:r>
      <w:r>
        <w:rPr>
          <w:rFonts w:hint="eastAsia" w:ascii="宋体" w:hAnsi="宋体" w:cs="宋体"/>
          <w:color w:val="auto"/>
          <w:szCs w:val="21"/>
          <w:highlight w:val="none"/>
        </w:rPr>
        <w:t>：与招标人存在利害关系可能影响招标公正性的法人、其他组织或者个人，不得参加投标；单位负责人为同一人或者存在控股、管理关系的不同单位，不得参加同一标段投标或者未划分标段的同一招标项目投标。</w:t>
      </w:r>
    </w:p>
    <w:p w14:paraId="0D0118C2">
      <w:pPr>
        <w:adjustRightInd w:val="0"/>
        <w:snapToGrid w:val="0"/>
        <w:spacing w:line="360" w:lineRule="auto"/>
        <w:ind w:firstLine="422" w:firstLineChars="200"/>
        <w:rPr>
          <w:rFonts w:hint="eastAsia" w:ascii="宋体" w:hAnsi="宋体" w:cs="宋体"/>
          <w:color w:val="auto"/>
          <w:szCs w:val="21"/>
          <w:highlight w:val="none"/>
        </w:rPr>
      </w:pPr>
      <w:r>
        <w:rPr>
          <w:rFonts w:hint="eastAsia" w:ascii="宋体" w:hAnsi="宋体" w:cs="宋体"/>
          <w:b/>
          <w:bCs/>
          <w:color w:val="auto"/>
          <w:szCs w:val="21"/>
          <w:highlight w:val="none"/>
        </w:rPr>
        <w:t>3.</w:t>
      </w:r>
      <w:r>
        <w:rPr>
          <w:rFonts w:hint="eastAsia" w:ascii="宋体" w:hAnsi="宋体" w:cs="宋体"/>
          <w:b/>
          <w:bCs/>
          <w:color w:val="auto"/>
          <w:szCs w:val="21"/>
          <w:highlight w:val="none"/>
          <w:lang w:val="en-US" w:eastAsia="zh-CN"/>
        </w:rPr>
        <w:t>6</w:t>
      </w:r>
      <w:r>
        <w:rPr>
          <w:rFonts w:hint="eastAsia" w:ascii="宋体" w:hAnsi="宋体" w:cs="宋体"/>
          <w:b/>
          <w:bCs/>
          <w:color w:val="auto"/>
          <w:szCs w:val="21"/>
          <w:highlight w:val="none"/>
        </w:rPr>
        <w:t>资格审查方式：</w:t>
      </w:r>
      <w:r>
        <w:rPr>
          <w:rFonts w:hint="eastAsia" w:ascii="宋体" w:hAnsi="宋体" w:cs="宋体"/>
          <w:color w:val="auto"/>
          <w:szCs w:val="21"/>
          <w:highlight w:val="none"/>
        </w:rPr>
        <w:t>本项目采用资格后审。</w:t>
      </w:r>
    </w:p>
    <w:p w14:paraId="7A3EB0BC">
      <w:pPr>
        <w:snapToGrid w:val="0"/>
        <w:spacing w:line="360" w:lineRule="auto"/>
        <w:outlineLvl w:val="1"/>
        <w:rPr>
          <w:rFonts w:hint="eastAsia" w:ascii="宋体" w:hAnsi="宋体"/>
          <w:szCs w:val="24"/>
          <w:highlight w:val="none"/>
        </w:rPr>
      </w:pPr>
      <w:bookmarkStart w:id="39" w:name="_Toc8041"/>
      <w:bookmarkStart w:id="40" w:name="_Toc3422"/>
      <w:bookmarkStart w:id="41" w:name="_Toc21776"/>
      <w:bookmarkStart w:id="42" w:name="_Toc26737"/>
      <w:bookmarkStart w:id="43" w:name="_Toc21957"/>
      <w:r>
        <w:rPr>
          <w:rFonts w:hint="eastAsia" w:ascii="宋体" w:hAnsi="宋体"/>
          <w:b/>
          <w:bCs/>
          <w:szCs w:val="24"/>
          <w:highlight w:val="none"/>
        </w:rPr>
        <w:t>4.招标文件的获取</w:t>
      </w:r>
      <w:bookmarkEnd w:id="39"/>
      <w:bookmarkEnd w:id="40"/>
    </w:p>
    <w:p w14:paraId="78E16B4F">
      <w:pPr>
        <w:widowControl/>
        <w:adjustRightInd w:val="0"/>
        <w:snapToGrid w:val="0"/>
        <w:spacing w:line="360" w:lineRule="auto"/>
        <w:ind w:firstLine="420" w:firstLineChars="200"/>
        <w:jc w:val="left"/>
        <w:rPr>
          <w:kern w:val="0"/>
          <w:szCs w:val="21"/>
          <w:highlight w:val="none"/>
        </w:rPr>
      </w:pPr>
      <w:r>
        <w:rPr>
          <w:kern w:val="0"/>
          <w:szCs w:val="21"/>
          <w:highlight w:val="none"/>
        </w:rPr>
        <w:t>4.1凡有意参加投标者，请于</w:t>
      </w:r>
      <w:r>
        <w:rPr>
          <w:rFonts w:hint="eastAsia"/>
          <w:kern w:val="0"/>
          <w:szCs w:val="21"/>
          <w:highlight w:val="none"/>
        </w:rPr>
        <w:t>2025年</w:t>
      </w:r>
      <w:r>
        <w:rPr>
          <w:rFonts w:hint="eastAsia"/>
          <w:kern w:val="0"/>
          <w:szCs w:val="21"/>
          <w:highlight w:val="none"/>
          <w:lang w:val="en-US" w:eastAsia="zh-CN"/>
        </w:rPr>
        <w:t>4</w:t>
      </w:r>
      <w:r>
        <w:rPr>
          <w:rFonts w:hint="eastAsia"/>
          <w:kern w:val="0"/>
          <w:szCs w:val="21"/>
          <w:highlight w:val="none"/>
        </w:rPr>
        <w:t>月</w:t>
      </w:r>
      <w:r>
        <w:rPr>
          <w:rFonts w:hint="eastAsia"/>
          <w:kern w:val="0"/>
          <w:szCs w:val="21"/>
          <w:highlight w:val="none"/>
          <w:lang w:val="en-US" w:eastAsia="zh-CN"/>
        </w:rPr>
        <w:t>23</w:t>
      </w:r>
      <w:r>
        <w:rPr>
          <w:rFonts w:hint="eastAsia"/>
          <w:kern w:val="0"/>
          <w:szCs w:val="21"/>
          <w:highlight w:val="none"/>
        </w:rPr>
        <w:t>日</w:t>
      </w:r>
      <w:r>
        <w:rPr>
          <w:rFonts w:hint="eastAsia"/>
          <w:kern w:val="0"/>
          <w:szCs w:val="21"/>
          <w:highlight w:val="none"/>
          <w:lang w:val="en-US" w:eastAsia="zh-CN"/>
        </w:rPr>
        <w:t>00</w:t>
      </w:r>
      <w:r>
        <w:rPr>
          <w:rFonts w:hint="eastAsia"/>
          <w:kern w:val="0"/>
          <w:szCs w:val="21"/>
          <w:highlight w:val="none"/>
        </w:rPr>
        <w:t>时</w:t>
      </w:r>
      <w:r>
        <w:rPr>
          <w:rFonts w:hint="eastAsia"/>
          <w:kern w:val="0"/>
          <w:szCs w:val="21"/>
          <w:highlight w:val="none"/>
          <w:lang w:val="en-US" w:eastAsia="zh-CN"/>
        </w:rPr>
        <w:t>00</w:t>
      </w:r>
      <w:r>
        <w:rPr>
          <w:rFonts w:hint="eastAsia"/>
          <w:kern w:val="0"/>
          <w:szCs w:val="21"/>
          <w:highlight w:val="none"/>
        </w:rPr>
        <w:t>分至2025年</w:t>
      </w:r>
      <w:r>
        <w:rPr>
          <w:rFonts w:hint="eastAsia"/>
          <w:kern w:val="0"/>
          <w:szCs w:val="21"/>
          <w:highlight w:val="none"/>
          <w:lang w:val="en-US" w:eastAsia="zh-CN"/>
        </w:rPr>
        <w:t>4</w:t>
      </w:r>
      <w:r>
        <w:rPr>
          <w:rFonts w:hint="eastAsia"/>
          <w:kern w:val="0"/>
          <w:szCs w:val="21"/>
          <w:highlight w:val="none"/>
        </w:rPr>
        <w:t>月</w:t>
      </w:r>
      <w:r>
        <w:rPr>
          <w:rFonts w:hint="eastAsia"/>
          <w:kern w:val="0"/>
          <w:szCs w:val="21"/>
          <w:highlight w:val="none"/>
          <w:lang w:val="en-US" w:eastAsia="zh-CN"/>
        </w:rPr>
        <w:t>29</w:t>
      </w:r>
      <w:r>
        <w:rPr>
          <w:rFonts w:hint="eastAsia"/>
          <w:kern w:val="0"/>
          <w:szCs w:val="21"/>
          <w:highlight w:val="none"/>
        </w:rPr>
        <w:t>日</w:t>
      </w:r>
      <w:r>
        <w:rPr>
          <w:rFonts w:hint="eastAsia"/>
          <w:kern w:val="0"/>
          <w:szCs w:val="21"/>
          <w:highlight w:val="none"/>
          <w:lang w:val="en-US" w:eastAsia="zh-CN"/>
        </w:rPr>
        <w:t>23</w:t>
      </w:r>
      <w:r>
        <w:rPr>
          <w:rFonts w:hint="eastAsia"/>
          <w:kern w:val="0"/>
          <w:szCs w:val="21"/>
          <w:highlight w:val="none"/>
        </w:rPr>
        <w:t>时</w:t>
      </w:r>
      <w:r>
        <w:rPr>
          <w:rFonts w:hint="eastAsia"/>
          <w:kern w:val="0"/>
          <w:szCs w:val="21"/>
          <w:highlight w:val="none"/>
          <w:lang w:val="en-US" w:eastAsia="zh-CN"/>
        </w:rPr>
        <w:t>59</w:t>
      </w:r>
      <w:r>
        <w:rPr>
          <w:rFonts w:hint="eastAsia"/>
          <w:kern w:val="0"/>
          <w:szCs w:val="21"/>
          <w:highlight w:val="none"/>
        </w:rPr>
        <w:t>分</w:t>
      </w:r>
      <w:r>
        <w:rPr>
          <w:kern w:val="0"/>
          <w:szCs w:val="21"/>
          <w:highlight w:val="none"/>
        </w:rPr>
        <w:t>（以网上公告时间为准），登录</w:t>
      </w:r>
      <w:r>
        <w:rPr>
          <w:kern w:val="0"/>
          <w:szCs w:val="21"/>
          <w:highlight w:val="none"/>
          <w:u w:val="single"/>
        </w:rPr>
        <w:t>云南省公共资源交易信</w:t>
      </w:r>
      <w:r>
        <w:rPr>
          <w:rFonts w:hint="eastAsia" w:ascii="宋体" w:hAnsi="宋体" w:cs="宋体"/>
          <w:kern w:val="0"/>
          <w:szCs w:val="21"/>
          <w:highlight w:val="none"/>
          <w:u w:val="single"/>
        </w:rPr>
        <w:t>息网（网址：https：//ggzy.yn.gov.cn/），进入后切换至文山州）</w:t>
      </w:r>
      <w:r>
        <w:rPr>
          <w:rFonts w:hint="eastAsia" w:ascii="宋体" w:hAnsi="宋体" w:cs="宋体"/>
          <w:kern w:val="0"/>
          <w:szCs w:val="21"/>
          <w:highlight w:val="none"/>
        </w:rPr>
        <w:t>，凭企业数字证书（CA）在网上获取招标文件及其它招标资料（含招标电子技术标文件</w:t>
      </w:r>
      <w:r>
        <w:rPr>
          <w:kern w:val="0"/>
          <w:szCs w:val="21"/>
          <w:highlight w:val="none"/>
        </w:rPr>
        <w:t>，格式为*.BZBJ）。未办理企业数字证书</w:t>
      </w:r>
      <w:r>
        <w:rPr>
          <w:rFonts w:hint="eastAsia" w:ascii="宋体" w:hAnsi="宋体" w:cs="宋体"/>
          <w:kern w:val="0"/>
          <w:szCs w:val="21"/>
          <w:highlight w:val="none"/>
        </w:rPr>
        <w:t>（CA）的企</w:t>
      </w:r>
      <w:r>
        <w:rPr>
          <w:kern w:val="0"/>
          <w:szCs w:val="21"/>
          <w:highlight w:val="none"/>
        </w:rPr>
        <w:t>业需要按照云南省公共资源交易电子认证的要求，办理企业数字证书（CA），并在云南省公共资源交易信息网完成注册通过后，便可获取招标文件，此为获取招标文件的唯一途径。</w:t>
      </w:r>
    </w:p>
    <w:p w14:paraId="30A72063">
      <w:pPr>
        <w:widowControl/>
        <w:adjustRightInd w:val="0"/>
        <w:snapToGrid w:val="0"/>
        <w:spacing w:line="360" w:lineRule="auto"/>
        <w:ind w:firstLine="420" w:firstLineChars="200"/>
        <w:jc w:val="left"/>
        <w:rPr>
          <w:rFonts w:hint="eastAsia" w:ascii="宋体" w:hAnsi="宋体"/>
          <w:bCs/>
          <w:szCs w:val="24"/>
          <w:highlight w:val="none"/>
        </w:rPr>
      </w:pPr>
      <w:r>
        <w:rPr>
          <w:kern w:val="0"/>
          <w:szCs w:val="21"/>
          <w:highlight w:val="none"/>
        </w:rPr>
        <w:t>4.2其他要求：</w:t>
      </w:r>
      <w:r>
        <w:rPr>
          <w:kern w:val="0"/>
          <w:szCs w:val="21"/>
          <w:highlight w:val="none"/>
          <w:u w:val="single"/>
        </w:rPr>
        <w:t>/</w:t>
      </w:r>
      <w:r>
        <w:rPr>
          <w:kern w:val="0"/>
          <w:szCs w:val="21"/>
          <w:highlight w:val="none"/>
        </w:rPr>
        <w:t>。</w:t>
      </w:r>
    </w:p>
    <w:p w14:paraId="681F99C6">
      <w:pPr>
        <w:pStyle w:val="4"/>
        <w:snapToGrid w:val="0"/>
        <w:spacing w:before="0" w:after="0" w:line="360" w:lineRule="auto"/>
        <w:rPr>
          <w:rFonts w:hint="eastAsia" w:ascii="宋体" w:hAnsi="宋体" w:eastAsia="宋体"/>
          <w:sz w:val="21"/>
          <w:szCs w:val="24"/>
          <w:highlight w:val="none"/>
        </w:rPr>
      </w:pPr>
      <w:bookmarkStart w:id="44" w:name="_Toc17536"/>
      <w:bookmarkStart w:id="45" w:name="_Toc2165"/>
      <w:r>
        <w:rPr>
          <w:rFonts w:hint="eastAsia" w:ascii="宋体" w:hAnsi="宋体" w:eastAsia="宋体"/>
          <w:sz w:val="21"/>
          <w:szCs w:val="24"/>
          <w:highlight w:val="none"/>
        </w:rPr>
        <w:t>5.投标文件的递交</w:t>
      </w:r>
      <w:bookmarkEnd w:id="44"/>
      <w:bookmarkEnd w:id="45"/>
    </w:p>
    <w:p w14:paraId="5F9C0215">
      <w:pPr>
        <w:snapToGrid w:val="0"/>
        <w:spacing w:line="360" w:lineRule="auto"/>
        <w:ind w:firstLine="420" w:firstLineChars="200"/>
        <w:jc w:val="left"/>
        <w:rPr>
          <w:rFonts w:hint="eastAsia" w:ascii="宋体" w:hAnsi="宋体" w:cs="宋体"/>
          <w:kern w:val="0"/>
          <w:szCs w:val="21"/>
          <w:highlight w:val="none"/>
        </w:rPr>
      </w:pPr>
      <w:r>
        <w:rPr>
          <w:rFonts w:hint="eastAsia" w:ascii="宋体" w:hAnsi="宋体" w:cs="宋体"/>
          <w:kern w:val="0"/>
          <w:szCs w:val="21"/>
          <w:highlight w:val="none"/>
        </w:rPr>
        <w:t>5.1 投标文件上传的截止时间（投标截止时间，下同）为：2025年</w:t>
      </w:r>
      <w:r>
        <w:rPr>
          <w:rFonts w:hint="eastAsia" w:ascii="宋体" w:hAnsi="宋体" w:cs="宋体"/>
          <w:kern w:val="0"/>
          <w:szCs w:val="21"/>
          <w:highlight w:val="none"/>
          <w:lang w:val="en-US" w:eastAsia="zh-CN"/>
        </w:rPr>
        <w:t>5</w:t>
      </w:r>
      <w:r>
        <w:rPr>
          <w:rFonts w:hint="eastAsia" w:ascii="宋体" w:hAnsi="宋体" w:cs="宋体"/>
          <w:kern w:val="0"/>
          <w:szCs w:val="21"/>
          <w:highlight w:val="none"/>
        </w:rPr>
        <w:t>月</w:t>
      </w:r>
      <w:r>
        <w:rPr>
          <w:rFonts w:hint="eastAsia" w:ascii="宋体" w:hAnsi="宋体" w:cs="宋体"/>
          <w:kern w:val="0"/>
          <w:szCs w:val="21"/>
          <w:highlight w:val="none"/>
          <w:lang w:val="en-US" w:eastAsia="zh-CN"/>
        </w:rPr>
        <w:t>13</w:t>
      </w:r>
      <w:r>
        <w:rPr>
          <w:rFonts w:hint="eastAsia" w:ascii="宋体" w:hAnsi="宋体" w:cs="宋体"/>
          <w:kern w:val="0"/>
          <w:szCs w:val="21"/>
          <w:highlight w:val="none"/>
        </w:rPr>
        <w:t>日</w:t>
      </w:r>
      <w:r>
        <w:rPr>
          <w:rFonts w:hint="eastAsia" w:ascii="宋体" w:hAnsi="宋体" w:cs="宋体"/>
          <w:kern w:val="0"/>
          <w:szCs w:val="21"/>
          <w:highlight w:val="none"/>
          <w:lang w:val="en-US" w:eastAsia="zh-CN"/>
        </w:rPr>
        <w:t>8</w:t>
      </w:r>
      <w:r>
        <w:rPr>
          <w:rFonts w:hint="eastAsia" w:ascii="宋体" w:hAnsi="宋体" w:cs="宋体"/>
          <w:kern w:val="0"/>
          <w:szCs w:val="21"/>
          <w:highlight w:val="none"/>
        </w:rPr>
        <w:t>时</w:t>
      </w:r>
      <w:r>
        <w:rPr>
          <w:rFonts w:hint="eastAsia" w:ascii="宋体" w:hAnsi="宋体" w:cs="宋体"/>
          <w:kern w:val="0"/>
          <w:szCs w:val="21"/>
          <w:highlight w:val="none"/>
          <w:lang w:val="en-US" w:eastAsia="zh-CN"/>
        </w:rPr>
        <w:t>30</w:t>
      </w:r>
      <w:r>
        <w:rPr>
          <w:rFonts w:hint="eastAsia" w:ascii="宋体" w:hAnsi="宋体" w:cs="宋体"/>
          <w:kern w:val="0"/>
          <w:szCs w:val="21"/>
          <w:highlight w:val="none"/>
        </w:rPr>
        <w:t>分（北京时间）。</w:t>
      </w:r>
    </w:p>
    <w:p w14:paraId="128444BE">
      <w:pPr>
        <w:snapToGrid w:val="0"/>
        <w:spacing w:line="360" w:lineRule="auto"/>
        <w:ind w:firstLine="420" w:firstLineChars="200"/>
        <w:jc w:val="left"/>
        <w:rPr>
          <w:rFonts w:hint="eastAsia" w:ascii="宋体" w:hAnsi="宋体" w:cs="宋体"/>
          <w:kern w:val="0"/>
          <w:szCs w:val="21"/>
          <w:highlight w:val="none"/>
        </w:rPr>
      </w:pPr>
      <w:r>
        <w:rPr>
          <w:rFonts w:hint="eastAsia" w:ascii="宋体" w:hAnsi="宋体" w:cs="宋体"/>
          <w:kern w:val="0"/>
          <w:szCs w:val="21"/>
          <w:highlight w:val="none"/>
        </w:rPr>
        <w:t>5.2 网上上传：网上上传网址为云南省公共资源交易信息网</w:t>
      </w:r>
      <w:r>
        <w:rPr>
          <w:rFonts w:hint="eastAsia" w:ascii="宋体" w:hAnsi="宋体" w:cs="宋体"/>
          <w:kern w:val="0"/>
          <w:szCs w:val="21"/>
          <w:highlight w:val="none"/>
          <w:u w:val="single"/>
        </w:rPr>
        <w:t>（网址：https：//ggzy.yn.gov.cn/），进入后切换至文山州）</w:t>
      </w:r>
      <w:r>
        <w:rPr>
          <w:rFonts w:hint="eastAsia" w:ascii="宋体" w:hAnsi="宋体" w:cs="宋体"/>
          <w:kern w:val="0"/>
          <w:szCs w:val="21"/>
          <w:highlight w:val="none"/>
        </w:rPr>
        <w:t>，投标人须在投标截止时间前完成所有投标文件的上传。投标人根据拟要投标的项目，按照网上投标系统要求上传全部投标文件，投标文件上传后须自行检查投标文件的完整性并进行确认签名后，方完成全部投标文件网上上传操作。投标人可自行打印“上传投标文件回执”。投标截止时间前未完成投标文件传输的，视为撤回投标文件。</w:t>
      </w:r>
    </w:p>
    <w:p w14:paraId="4F1ECBA9">
      <w:pPr>
        <w:snapToGrid w:val="0"/>
        <w:spacing w:line="360" w:lineRule="auto"/>
        <w:ind w:firstLine="420" w:firstLineChars="200"/>
        <w:jc w:val="left"/>
        <w:rPr>
          <w:rFonts w:hint="eastAsia" w:ascii="宋体" w:hAnsi="宋体" w:cs="宋体"/>
          <w:kern w:val="0"/>
          <w:szCs w:val="21"/>
          <w:highlight w:val="none"/>
        </w:rPr>
      </w:pPr>
      <w:r>
        <w:rPr>
          <w:rFonts w:hint="eastAsia" w:ascii="宋体" w:hAnsi="宋体" w:cs="宋体"/>
          <w:kern w:val="0"/>
          <w:szCs w:val="21"/>
          <w:highlight w:val="none"/>
        </w:rPr>
        <w:t>5.3 网上开标：投标人登录云南省公共资源交易信息网进入开标服务大厅，按照《云南省公共资源交易电子化平台智能开标系统培训教材（适用投标人和供应商）》完成网上智能开标远程解密。</w:t>
      </w:r>
    </w:p>
    <w:p w14:paraId="4735C00E">
      <w:pPr>
        <w:snapToGrid w:val="0"/>
        <w:spacing w:line="360" w:lineRule="auto"/>
        <w:ind w:firstLine="420" w:firstLineChars="200"/>
        <w:jc w:val="left"/>
        <w:rPr>
          <w:rFonts w:hint="eastAsia" w:ascii="宋体" w:hAnsi="宋体" w:cs="宋体"/>
          <w:kern w:val="0"/>
          <w:szCs w:val="21"/>
          <w:highlight w:val="none"/>
        </w:rPr>
      </w:pPr>
      <w:r>
        <w:rPr>
          <w:rFonts w:hint="eastAsia" w:ascii="宋体" w:hAnsi="宋体" w:cs="宋体"/>
          <w:kern w:val="0"/>
          <w:szCs w:val="21"/>
          <w:highlight w:val="none"/>
        </w:rPr>
        <w:t>本项目解密时间为30分钟，若投标人未在规定时间完成以上解密，则视为撤销其投标文件。因公共资源交易电子服务系统、现场网络、设备及其他特殊原因，导致不能正常解密投标文件的，经核实和上报相关部门同意后，可再次下达网上解密指令来延长解密时间。解密过程中如有问题，可以在线提出异议，由代理机构给予对应的回复。在规定的统一提出异议时间内不提出异议的，则视为对解密结果无异议。</w:t>
      </w:r>
    </w:p>
    <w:p w14:paraId="7223BA66">
      <w:pPr>
        <w:snapToGrid w:val="0"/>
        <w:spacing w:line="360" w:lineRule="auto"/>
        <w:ind w:firstLine="420" w:firstLineChars="200"/>
        <w:jc w:val="left"/>
        <w:rPr>
          <w:rFonts w:hint="eastAsia" w:ascii="宋体" w:hAnsi="宋体" w:cs="宋体"/>
          <w:kern w:val="0"/>
          <w:szCs w:val="21"/>
          <w:highlight w:val="none"/>
        </w:rPr>
      </w:pPr>
      <w:r>
        <w:rPr>
          <w:rFonts w:hint="eastAsia" w:ascii="宋体" w:hAnsi="宋体" w:cs="宋体"/>
          <w:kern w:val="0"/>
          <w:szCs w:val="21"/>
          <w:highlight w:val="none"/>
        </w:rPr>
        <w:t>解密完成后各投标人须按照流程要求对开标一览表进行远程CA签字确认，本项目下达远程签字指令3分钟内签名确认，在规定的签名确认时间内不进行开标一览表确认的，则视为对开标结果无异议。</w:t>
      </w:r>
    </w:p>
    <w:p w14:paraId="01CF1A81">
      <w:pPr>
        <w:pStyle w:val="4"/>
        <w:snapToGrid w:val="0"/>
        <w:spacing w:before="0" w:after="0" w:line="360" w:lineRule="auto"/>
        <w:rPr>
          <w:rFonts w:hint="eastAsia" w:ascii="宋体" w:hAnsi="宋体" w:eastAsia="宋体"/>
          <w:sz w:val="21"/>
          <w:szCs w:val="24"/>
          <w:highlight w:val="none"/>
        </w:rPr>
      </w:pPr>
      <w:bookmarkStart w:id="46" w:name="_Toc31914"/>
      <w:bookmarkStart w:id="47" w:name="_Toc8039"/>
      <w:r>
        <w:rPr>
          <w:rFonts w:hint="eastAsia" w:ascii="宋体" w:hAnsi="宋体" w:eastAsia="宋体"/>
          <w:sz w:val="21"/>
          <w:szCs w:val="24"/>
          <w:highlight w:val="none"/>
        </w:rPr>
        <w:t>6.发布公告的媒介</w:t>
      </w:r>
      <w:bookmarkEnd w:id="46"/>
      <w:bookmarkEnd w:id="47"/>
    </w:p>
    <w:p w14:paraId="3C22F813">
      <w:pPr>
        <w:spacing w:line="360" w:lineRule="auto"/>
        <w:ind w:firstLine="420" w:firstLineChars="200"/>
        <w:rPr>
          <w:rFonts w:hint="eastAsia" w:ascii="宋体" w:hAnsi="宋体" w:cs="宋体"/>
          <w:highlight w:val="none"/>
        </w:rPr>
      </w:pPr>
      <w:r>
        <w:rPr>
          <w:rFonts w:hint="eastAsia" w:ascii="宋体" w:hAnsi="宋体" w:cs="宋体"/>
          <w:szCs w:val="21"/>
          <w:highlight w:val="none"/>
        </w:rPr>
        <w:t>本次招标公告在云南省公共资源交易信息网（http：//ggzy.yn.gov.cn/）、中国招标投标公共服务平台网站（www.cebpubservice.com）上发布，</w:t>
      </w:r>
      <w:r>
        <w:rPr>
          <w:rFonts w:ascii="宋体" w:hAnsi="宋体" w:cs="宋体"/>
          <w:szCs w:val="21"/>
          <w:highlight w:val="none"/>
        </w:rPr>
        <w:t>招标人和招标人委托的本项目招标代理机构对其他网站或媒体转载的公告及公告内容不承担任何责任</w:t>
      </w:r>
      <w:r>
        <w:rPr>
          <w:rFonts w:hint="eastAsia" w:ascii="宋体" w:hAnsi="宋体" w:cs="宋体"/>
          <w:szCs w:val="21"/>
          <w:highlight w:val="none"/>
        </w:rPr>
        <w:t>。</w:t>
      </w:r>
    </w:p>
    <w:p w14:paraId="22A45574">
      <w:pPr>
        <w:pStyle w:val="4"/>
        <w:snapToGrid w:val="0"/>
        <w:spacing w:before="0" w:after="0" w:line="360" w:lineRule="auto"/>
        <w:rPr>
          <w:rFonts w:hint="eastAsia" w:ascii="宋体" w:hAnsi="宋体" w:eastAsia="宋体"/>
          <w:sz w:val="21"/>
          <w:szCs w:val="24"/>
          <w:highlight w:val="none"/>
        </w:rPr>
      </w:pPr>
      <w:bookmarkStart w:id="48" w:name="_Toc542"/>
      <w:bookmarkStart w:id="49" w:name="_Toc30475"/>
      <w:r>
        <w:rPr>
          <w:rFonts w:hint="eastAsia" w:ascii="宋体" w:hAnsi="宋体" w:eastAsia="宋体"/>
          <w:sz w:val="21"/>
          <w:szCs w:val="24"/>
          <w:highlight w:val="none"/>
        </w:rPr>
        <w:t>7.联系方式</w:t>
      </w:r>
      <w:bookmarkEnd w:id="48"/>
      <w:bookmarkEnd w:id="49"/>
    </w:p>
    <w:p w14:paraId="625A9D2C">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招标人名称：丘北县农业农村和科学技术局</w:t>
      </w:r>
    </w:p>
    <w:p w14:paraId="41476970">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地址：云南省丘北县锦屏镇政通路45号</w:t>
      </w:r>
    </w:p>
    <w:p w14:paraId="479EF7FC">
      <w:pPr>
        <w:spacing w:line="360" w:lineRule="auto"/>
        <w:ind w:firstLine="420" w:firstLineChars="200"/>
        <w:rPr>
          <w:rFonts w:hint="eastAsia" w:ascii="宋体" w:hAnsi="宋体" w:cs="宋体"/>
          <w:bCs/>
          <w:szCs w:val="21"/>
          <w:highlight w:val="none"/>
        </w:rPr>
      </w:pPr>
      <w:r>
        <w:rPr>
          <w:rFonts w:hint="eastAsia" w:ascii="宋体" w:hAnsi="宋体" w:cs="宋体"/>
          <w:bCs/>
          <w:szCs w:val="21"/>
          <w:highlight w:val="none"/>
        </w:rPr>
        <w:t>联系人：周老师</w:t>
      </w:r>
    </w:p>
    <w:p w14:paraId="2B1306BF">
      <w:pPr>
        <w:spacing w:line="360" w:lineRule="auto"/>
        <w:ind w:firstLine="420" w:firstLineChars="200"/>
        <w:rPr>
          <w:rFonts w:hint="eastAsia" w:ascii="宋体" w:hAnsi="宋体" w:cs="宋体"/>
          <w:bCs/>
          <w:szCs w:val="21"/>
          <w:highlight w:val="none"/>
        </w:rPr>
      </w:pPr>
      <w:r>
        <w:rPr>
          <w:rFonts w:hint="eastAsia" w:ascii="宋体" w:hAnsi="宋体" w:cs="宋体"/>
          <w:bCs/>
          <w:szCs w:val="21"/>
          <w:highlight w:val="none"/>
        </w:rPr>
        <w:t>电  话：13688732399</w:t>
      </w:r>
    </w:p>
    <w:p w14:paraId="33B08F57">
      <w:pPr>
        <w:adjustRightInd w:val="0"/>
        <w:spacing w:line="360" w:lineRule="auto"/>
        <w:ind w:firstLine="482"/>
        <w:rPr>
          <w:rFonts w:hint="eastAsia" w:ascii="宋体" w:hAnsi="宋体" w:cs="宋体"/>
          <w:szCs w:val="21"/>
          <w:highlight w:val="none"/>
        </w:rPr>
      </w:pPr>
      <w:r>
        <w:rPr>
          <w:rFonts w:hint="eastAsia" w:ascii="宋体" w:hAnsi="宋体" w:cs="宋体"/>
          <w:szCs w:val="21"/>
          <w:highlight w:val="none"/>
        </w:rPr>
        <w:t>招标代理机构：国义招标股份有限公司</w:t>
      </w:r>
    </w:p>
    <w:p w14:paraId="023D10BB">
      <w:pPr>
        <w:adjustRightInd w:val="0"/>
        <w:spacing w:line="360" w:lineRule="auto"/>
        <w:ind w:firstLine="482"/>
        <w:rPr>
          <w:rFonts w:hint="eastAsia" w:ascii="宋体" w:hAnsi="宋体" w:cs="宋体"/>
          <w:szCs w:val="21"/>
          <w:highlight w:val="none"/>
        </w:rPr>
      </w:pPr>
      <w:r>
        <w:rPr>
          <w:rFonts w:hint="eastAsia" w:ascii="宋体" w:hAnsi="宋体" w:cs="宋体"/>
          <w:szCs w:val="21"/>
          <w:highlight w:val="none"/>
        </w:rPr>
        <w:t>执 行  机 构：国义招标股份有限公司昆明分公司</w:t>
      </w:r>
    </w:p>
    <w:p w14:paraId="1AE74660">
      <w:pPr>
        <w:adjustRightInd w:val="0"/>
        <w:spacing w:line="360" w:lineRule="auto"/>
        <w:ind w:firstLine="482"/>
        <w:rPr>
          <w:rFonts w:hint="eastAsia" w:ascii="宋体" w:hAnsi="宋体" w:cs="宋体"/>
          <w:szCs w:val="21"/>
          <w:highlight w:val="none"/>
        </w:rPr>
      </w:pPr>
      <w:r>
        <w:rPr>
          <w:rFonts w:hint="eastAsia" w:ascii="宋体" w:hAnsi="宋体" w:cs="宋体"/>
          <w:szCs w:val="21"/>
          <w:highlight w:val="none"/>
        </w:rPr>
        <w:t>联 系  地 址：云南省昆明市拓东路45号（春城路和拓东路交汇口）世博大厦16楼</w:t>
      </w:r>
    </w:p>
    <w:p w14:paraId="3776A8D5">
      <w:pPr>
        <w:adjustRightInd w:val="0"/>
        <w:spacing w:line="360" w:lineRule="auto"/>
        <w:ind w:firstLine="482"/>
        <w:rPr>
          <w:rFonts w:hint="eastAsia" w:ascii="宋体" w:hAnsi="宋体" w:cs="宋体"/>
          <w:szCs w:val="21"/>
          <w:highlight w:val="none"/>
        </w:rPr>
      </w:pPr>
      <w:r>
        <w:rPr>
          <w:rFonts w:hint="eastAsia" w:ascii="宋体" w:hAnsi="宋体" w:cs="宋体"/>
          <w:szCs w:val="21"/>
          <w:highlight w:val="none"/>
        </w:rPr>
        <w:t>项目组联系人：谭韬、杨金凤、赵进军、胡景、顾珀如</w:t>
      </w:r>
    </w:p>
    <w:p w14:paraId="646FA3C2">
      <w:pPr>
        <w:adjustRightInd w:val="0"/>
        <w:spacing w:line="360" w:lineRule="auto"/>
        <w:ind w:firstLine="482"/>
        <w:rPr>
          <w:rFonts w:hint="eastAsia" w:ascii="宋体" w:hAnsi="宋体" w:cs="宋体"/>
          <w:szCs w:val="21"/>
          <w:highlight w:val="none"/>
        </w:rPr>
      </w:pPr>
      <w:r>
        <w:rPr>
          <w:rFonts w:hint="eastAsia" w:ascii="宋体" w:hAnsi="宋体" w:cs="宋体"/>
          <w:szCs w:val="21"/>
          <w:highlight w:val="none"/>
        </w:rPr>
        <w:t>联 系  电 话：0871-67354468</w:t>
      </w:r>
    </w:p>
    <w:p w14:paraId="6F283FFF">
      <w:pPr>
        <w:pStyle w:val="56"/>
        <w:spacing w:after="0" w:line="360" w:lineRule="auto"/>
        <w:ind w:left="0" w:leftChars="0" w:firstLine="420" w:firstLineChars="200"/>
        <w:rPr>
          <w:rFonts w:hint="eastAsia" w:ascii="宋体" w:hAnsi="宋体" w:cs="宋体"/>
          <w:sz w:val="21"/>
          <w:szCs w:val="21"/>
          <w:highlight w:val="none"/>
        </w:rPr>
      </w:pPr>
      <w:r>
        <w:rPr>
          <w:rFonts w:hint="eastAsia" w:ascii="宋体" w:hAnsi="宋体" w:cs="宋体"/>
          <w:sz w:val="21"/>
          <w:szCs w:val="21"/>
          <w:highlight w:val="none"/>
        </w:rPr>
        <w:t>监督部门名称：丘北县农业农村和科学技术局</w:t>
      </w:r>
    </w:p>
    <w:p w14:paraId="7EAFB616">
      <w:pPr>
        <w:pStyle w:val="56"/>
        <w:spacing w:after="0" w:line="360" w:lineRule="auto"/>
        <w:ind w:left="0" w:leftChars="0" w:firstLine="420" w:firstLineChars="200"/>
        <w:rPr>
          <w:rFonts w:hint="eastAsia" w:ascii="宋体" w:hAnsi="宋体" w:cs="宋体"/>
          <w:sz w:val="21"/>
          <w:szCs w:val="21"/>
          <w:highlight w:val="none"/>
        </w:rPr>
      </w:pPr>
      <w:r>
        <w:rPr>
          <w:rFonts w:hint="eastAsia" w:ascii="宋体" w:hAnsi="宋体" w:cs="宋体"/>
          <w:sz w:val="21"/>
          <w:szCs w:val="21"/>
          <w:highlight w:val="none"/>
        </w:rPr>
        <w:t>联系电话：0876-4121258</w:t>
      </w:r>
    </w:p>
    <w:bookmarkEnd w:id="14"/>
    <w:bookmarkEnd w:id="15"/>
    <w:bookmarkEnd w:id="16"/>
    <w:bookmarkEnd w:id="17"/>
    <w:bookmarkEnd w:id="18"/>
    <w:bookmarkEnd w:id="19"/>
    <w:bookmarkEnd w:id="20"/>
    <w:bookmarkEnd w:id="21"/>
    <w:bookmarkEnd w:id="22"/>
    <w:bookmarkEnd w:id="23"/>
    <w:bookmarkEnd w:id="41"/>
    <w:bookmarkEnd w:id="42"/>
    <w:bookmarkEnd w:id="43"/>
    <w:p w14:paraId="664A9133">
      <w:pPr>
        <w:keepNext/>
        <w:keepLines/>
        <w:spacing w:line="360" w:lineRule="auto"/>
        <w:jc w:val="center"/>
        <w:rPr>
          <w:rFonts w:hint="eastAsia" w:ascii="宋体" w:hAnsi="宋体" w:cs="宋体"/>
          <w:color w:val="auto"/>
          <w:sz w:val="36"/>
          <w:szCs w:val="36"/>
          <w:highlight w:val="none"/>
        </w:rPr>
      </w:pPr>
      <w:bookmarkStart w:id="50" w:name="_Toc366144067"/>
      <w:bookmarkStart w:id="51" w:name="_Toc184635069"/>
      <w:bookmarkStart w:id="52" w:name="_Toc306524531"/>
      <w:r>
        <w:rPr>
          <w:rFonts w:hint="eastAsia" w:ascii="宋体" w:hAnsi="宋体" w:cs="宋体"/>
          <w:color w:val="auto"/>
          <w:sz w:val="36"/>
          <w:szCs w:val="36"/>
          <w:highlight w:val="none"/>
        </w:rPr>
        <w:br w:type="page"/>
      </w:r>
    </w:p>
    <w:p w14:paraId="0285F99E">
      <w:pPr>
        <w:pStyle w:val="3"/>
        <w:jc w:val="center"/>
        <w:rPr>
          <w:rFonts w:hint="eastAsia" w:ascii="宋体" w:hAnsi="宋体" w:cs="宋体"/>
          <w:color w:val="auto"/>
          <w:sz w:val="36"/>
          <w:szCs w:val="36"/>
          <w:highlight w:val="none"/>
        </w:rPr>
      </w:pPr>
      <w:bookmarkStart w:id="53" w:name="_Toc24767"/>
      <w:bookmarkStart w:id="54" w:name="_Toc11947"/>
      <w:bookmarkStart w:id="55" w:name="_Toc18103"/>
      <w:r>
        <w:rPr>
          <w:rFonts w:hint="eastAsia" w:ascii="宋体" w:hAnsi="宋体" w:cs="宋体"/>
          <w:color w:val="auto"/>
          <w:sz w:val="36"/>
          <w:szCs w:val="36"/>
          <w:highlight w:val="none"/>
        </w:rPr>
        <w:t>第二章 投标人须知</w:t>
      </w:r>
      <w:bookmarkEnd w:id="50"/>
      <w:bookmarkEnd w:id="51"/>
      <w:bookmarkEnd w:id="52"/>
      <w:bookmarkEnd w:id="53"/>
      <w:bookmarkEnd w:id="54"/>
      <w:bookmarkEnd w:id="55"/>
    </w:p>
    <w:p w14:paraId="0278D7A5">
      <w:pPr>
        <w:pStyle w:val="4"/>
        <w:spacing w:before="0" w:after="0" w:line="360" w:lineRule="auto"/>
        <w:jc w:val="center"/>
        <w:rPr>
          <w:rFonts w:hint="eastAsia" w:ascii="宋体" w:hAnsi="宋体" w:eastAsia="宋体" w:cs="宋体"/>
          <w:color w:val="auto"/>
          <w:sz w:val="24"/>
          <w:highlight w:val="none"/>
        </w:rPr>
      </w:pPr>
      <w:bookmarkStart w:id="56" w:name="_Toc2143"/>
      <w:bookmarkStart w:id="57" w:name="_Toc306524532"/>
      <w:bookmarkStart w:id="58" w:name="_Toc9527"/>
      <w:bookmarkStart w:id="59" w:name="_Toc184635070"/>
      <w:bookmarkStart w:id="60" w:name="_Toc19721"/>
      <w:bookmarkStart w:id="61" w:name="_Toc366144068"/>
      <w:bookmarkStart w:id="62" w:name="_Toc15624"/>
      <w:bookmarkStart w:id="63" w:name="_Toc22558"/>
      <w:r>
        <w:rPr>
          <w:rFonts w:hint="eastAsia" w:ascii="宋体" w:hAnsi="宋体" w:eastAsia="宋体" w:cs="宋体"/>
          <w:color w:val="auto"/>
          <w:sz w:val="24"/>
          <w:highlight w:val="none"/>
        </w:rPr>
        <w:t>一、投标人须知前附表</w:t>
      </w:r>
      <w:bookmarkEnd w:id="56"/>
      <w:bookmarkEnd w:id="57"/>
      <w:bookmarkEnd w:id="58"/>
      <w:bookmarkEnd w:id="59"/>
      <w:bookmarkEnd w:id="60"/>
      <w:bookmarkEnd w:id="61"/>
      <w:bookmarkEnd w:id="62"/>
      <w:bookmarkEnd w:id="63"/>
    </w:p>
    <w:tbl>
      <w:tblPr>
        <w:tblStyle w:val="57"/>
        <w:tblW w:w="97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9"/>
        <w:gridCol w:w="1655"/>
        <w:gridCol w:w="7052"/>
      </w:tblGrid>
      <w:tr w14:paraId="5D0324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39" w:type="dxa"/>
            <w:vAlign w:val="center"/>
          </w:tcPr>
          <w:p w14:paraId="18C2719D">
            <w:pPr>
              <w:spacing w:line="360" w:lineRule="auto"/>
              <w:jc w:val="center"/>
              <w:rPr>
                <w:rFonts w:hint="eastAsia" w:ascii="宋体" w:hAnsi="宋体" w:cs="宋体"/>
                <w:b/>
                <w:color w:val="auto"/>
                <w:szCs w:val="21"/>
                <w:highlight w:val="none"/>
              </w:rPr>
            </w:pPr>
            <w:r>
              <w:rPr>
                <w:rFonts w:hint="eastAsia" w:ascii="宋体" w:hAnsi="宋体" w:cs="宋体"/>
                <w:b/>
                <w:color w:val="auto"/>
                <w:szCs w:val="21"/>
                <w:highlight w:val="none"/>
              </w:rPr>
              <w:t>条款号</w:t>
            </w:r>
          </w:p>
        </w:tc>
        <w:tc>
          <w:tcPr>
            <w:tcW w:w="1655" w:type="dxa"/>
            <w:vAlign w:val="center"/>
          </w:tcPr>
          <w:p w14:paraId="5D696F90">
            <w:pPr>
              <w:spacing w:line="360" w:lineRule="auto"/>
              <w:jc w:val="center"/>
              <w:rPr>
                <w:rFonts w:hint="eastAsia" w:ascii="宋体" w:hAnsi="宋体" w:cs="宋体"/>
                <w:b/>
                <w:color w:val="auto"/>
                <w:szCs w:val="21"/>
                <w:highlight w:val="none"/>
              </w:rPr>
            </w:pPr>
            <w:r>
              <w:rPr>
                <w:rFonts w:hint="eastAsia" w:ascii="宋体" w:hAnsi="宋体" w:cs="宋体"/>
                <w:b/>
                <w:color w:val="auto"/>
                <w:szCs w:val="21"/>
                <w:highlight w:val="none"/>
              </w:rPr>
              <w:t>条 款 名 称</w:t>
            </w:r>
          </w:p>
        </w:tc>
        <w:tc>
          <w:tcPr>
            <w:tcW w:w="7052" w:type="dxa"/>
            <w:vAlign w:val="center"/>
          </w:tcPr>
          <w:p w14:paraId="692EE0F6">
            <w:pPr>
              <w:spacing w:line="360" w:lineRule="auto"/>
              <w:jc w:val="center"/>
              <w:rPr>
                <w:rFonts w:hint="eastAsia" w:ascii="宋体" w:hAnsi="宋体" w:cs="宋体"/>
                <w:b/>
                <w:color w:val="auto"/>
                <w:szCs w:val="21"/>
                <w:highlight w:val="none"/>
              </w:rPr>
            </w:pPr>
            <w:r>
              <w:rPr>
                <w:rFonts w:hint="eastAsia" w:ascii="宋体" w:hAnsi="宋体" w:cs="宋体"/>
                <w:b/>
                <w:color w:val="auto"/>
                <w:szCs w:val="21"/>
                <w:highlight w:val="none"/>
              </w:rPr>
              <w:t>编 列 内 容</w:t>
            </w:r>
          </w:p>
        </w:tc>
      </w:tr>
      <w:tr w14:paraId="6C4EB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39" w:type="dxa"/>
            <w:vAlign w:val="center"/>
          </w:tcPr>
          <w:p w14:paraId="1EDCC485">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1.1.2</w:t>
            </w:r>
          </w:p>
        </w:tc>
        <w:tc>
          <w:tcPr>
            <w:tcW w:w="1655" w:type="dxa"/>
            <w:vAlign w:val="center"/>
          </w:tcPr>
          <w:p w14:paraId="0DF679A4">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招标人</w:t>
            </w:r>
          </w:p>
        </w:tc>
        <w:tc>
          <w:tcPr>
            <w:tcW w:w="7052" w:type="dxa"/>
            <w:vAlign w:val="center"/>
          </w:tcPr>
          <w:p w14:paraId="08FF0852">
            <w:pPr>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rPr>
              <w:t>招标人：</w:t>
            </w:r>
            <w:r>
              <w:rPr>
                <w:rFonts w:hint="eastAsia" w:ascii="宋体" w:hAnsi="宋体" w:cs="宋体"/>
                <w:color w:val="auto"/>
                <w:highlight w:val="none"/>
                <w:lang w:eastAsia="zh-CN"/>
              </w:rPr>
              <w:t>丘北县农业农村和科学技术局</w:t>
            </w:r>
          </w:p>
          <w:p w14:paraId="16533780">
            <w:pPr>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rPr>
              <w:t>地  址：</w:t>
            </w:r>
            <w:r>
              <w:rPr>
                <w:rFonts w:hint="eastAsia" w:ascii="宋体" w:hAnsi="宋体" w:cs="宋体"/>
                <w:color w:val="auto"/>
                <w:highlight w:val="none"/>
                <w:lang w:eastAsia="zh-CN"/>
              </w:rPr>
              <w:t>云南省丘北县锦屏镇政通路45号</w:t>
            </w:r>
          </w:p>
          <w:p w14:paraId="4C3173B9">
            <w:pPr>
              <w:spacing w:line="360" w:lineRule="auto"/>
              <w:rPr>
                <w:rFonts w:hint="eastAsia" w:ascii="宋体" w:hAnsi="宋体" w:eastAsia="宋体" w:cs="宋体"/>
                <w:color w:val="auto"/>
                <w:highlight w:val="none"/>
                <w:lang w:val="en-US" w:eastAsia="zh-CN"/>
              </w:rPr>
            </w:pPr>
            <w:r>
              <w:rPr>
                <w:rFonts w:hint="eastAsia" w:ascii="宋体" w:hAnsi="宋体" w:cs="宋体"/>
                <w:color w:val="auto"/>
                <w:highlight w:val="none"/>
              </w:rPr>
              <w:t>联系人：</w:t>
            </w:r>
            <w:r>
              <w:rPr>
                <w:rFonts w:hint="eastAsia" w:ascii="宋体" w:hAnsi="宋体" w:cs="宋体"/>
                <w:color w:val="auto"/>
                <w:highlight w:val="none"/>
                <w:lang w:eastAsia="zh-CN"/>
              </w:rPr>
              <w:t>周老师</w:t>
            </w:r>
          </w:p>
          <w:p w14:paraId="40B5740F">
            <w:pPr>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rPr>
              <w:t>联系电话：</w:t>
            </w:r>
            <w:r>
              <w:rPr>
                <w:rFonts w:hint="eastAsia" w:ascii="宋体" w:hAnsi="宋体" w:cs="宋体"/>
                <w:color w:val="auto"/>
                <w:highlight w:val="none"/>
                <w:lang w:eastAsia="zh-CN"/>
              </w:rPr>
              <w:t>13688732399</w:t>
            </w:r>
          </w:p>
        </w:tc>
      </w:tr>
      <w:tr w14:paraId="010317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39" w:type="dxa"/>
            <w:vAlign w:val="center"/>
          </w:tcPr>
          <w:p w14:paraId="78C90237">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1.1.3</w:t>
            </w:r>
          </w:p>
        </w:tc>
        <w:tc>
          <w:tcPr>
            <w:tcW w:w="1655" w:type="dxa"/>
            <w:vAlign w:val="center"/>
          </w:tcPr>
          <w:p w14:paraId="1A562F14">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招标代理机构</w:t>
            </w:r>
          </w:p>
        </w:tc>
        <w:tc>
          <w:tcPr>
            <w:tcW w:w="7052" w:type="dxa"/>
            <w:vAlign w:val="center"/>
          </w:tcPr>
          <w:p w14:paraId="5F39DB89">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招标代理机构：国义招标股份有限公司</w:t>
            </w:r>
          </w:p>
          <w:p w14:paraId="2D33EABD">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执行机构：国义招标股份有限公司昆明分公司</w:t>
            </w:r>
          </w:p>
          <w:p w14:paraId="681693AF">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联系地址：云南省昆明市拓东路45号（春城路和拓东路交汇口）世博大厦16楼</w:t>
            </w:r>
          </w:p>
          <w:p w14:paraId="7A6645CA">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项目组联系人：谭韬、杨金凤、赵进军、胡景、顾珀如</w:t>
            </w:r>
          </w:p>
          <w:p w14:paraId="5D501018">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联系电话：0871-67354468</w:t>
            </w:r>
          </w:p>
          <w:p w14:paraId="35E8075C">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电子邮箱：zjj@ebidding.com</w:t>
            </w:r>
          </w:p>
        </w:tc>
      </w:tr>
      <w:tr w14:paraId="5EFE7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39" w:type="dxa"/>
            <w:vAlign w:val="center"/>
          </w:tcPr>
          <w:p w14:paraId="1735B3CD">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1.1.4</w:t>
            </w:r>
          </w:p>
        </w:tc>
        <w:tc>
          <w:tcPr>
            <w:tcW w:w="1655" w:type="dxa"/>
            <w:vAlign w:val="center"/>
          </w:tcPr>
          <w:p w14:paraId="04FE4EFA">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项目名称</w:t>
            </w:r>
          </w:p>
        </w:tc>
        <w:tc>
          <w:tcPr>
            <w:tcW w:w="7052" w:type="dxa"/>
            <w:vAlign w:val="center"/>
          </w:tcPr>
          <w:p w14:paraId="62D8AB9B">
            <w:pP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云南省文山州丘北县树皮乡高标准农田建设项目监理服务</w:t>
            </w:r>
          </w:p>
        </w:tc>
      </w:tr>
      <w:tr w14:paraId="250B6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39" w:type="dxa"/>
            <w:vAlign w:val="center"/>
          </w:tcPr>
          <w:p w14:paraId="2FFE634A">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1.1.5</w:t>
            </w:r>
          </w:p>
        </w:tc>
        <w:tc>
          <w:tcPr>
            <w:tcW w:w="1655" w:type="dxa"/>
            <w:vAlign w:val="center"/>
          </w:tcPr>
          <w:p w14:paraId="4C41904B">
            <w:pPr>
              <w:spacing w:line="360" w:lineRule="auto"/>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项目建设地点</w:t>
            </w:r>
          </w:p>
        </w:tc>
        <w:tc>
          <w:tcPr>
            <w:tcW w:w="7052" w:type="dxa"/>
            <w:vAlign w:val="center"/>
          </w:tcPr>
          <w:p w14:paraId="3B8D40E6">
            <w:pPr>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详见招标公告</w:t>
            </w:r>
            <w:r>
              <w:rPr>
                <w:rFonts w:hint="eastAsia" w:ascii="宋体" w:hAnsi="宋体" w:cs="宋体"/>
                <w:color w:val="auto"/>
                <w:szCs w:val="21"/>
                <w:highlight w:val="none"/>
                <w:lang w:val="zh-CN"/>
              </w:rPr>
              <w:t>。</w:t>
            </w:r>
          </w:p>
        </w:tc>
      </w:tr>
      <w:tr w14:paraId="269BF3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39" w:type="dxa"/>
            <w:vAlign w:val="center"/>
          </w:tcPr>
          <w:p w14:paraId="15B00CC5">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1.2.1</w:t>
            </w:r>
          </w:p>
        </w:tc>
        <w:tc>
          <w:tcPr>
            <w:tcW w:w="1655" w:type="dxa"/>
            <w:vAlign w:val="center"/>
          </w:tcPr>
          <w:p w14:paraId="37726EB5">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资金来源</w:t>
            </w:r>
          </w:p>
        </w:tc>
        <w:tc>
          <w:tcPr>
            <w:tcW w:w="7052" w:type="dxa"/>
            <w:vAlign w:val="center"/>
          </w:tcPr>
          <w:p w14:paraId="0416BD65">
            <w:pPr>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lang w:val="en-US" w:eastAsia="zh-CN"/>
              </w:rPr>
              <w:t>财政资金</w:t>
            </w:r>
            <w:r>
              <w:rPr>
                <w:rFonts w:hint="eastAsia" w:ascii="宋体" w:hAnsi="宋体" w:cs="宋体"/>
                <w:color w:val="auto"/>
                <w:szCs w:val="21"/>
                <w:highlight w:val="none"/>
                <w:lang w:val="zh-CN"/>
              </w:rPr>
              <w:t>。</w:t>
            </w:r>
          </w:p>
        </w:tc>
      </w:tr>
      <w:tr w14:paraId="286882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39" w:type="dxa"/>
            <w:vAlign w:val="center"/>
          </w:tcPr>
          <w:p w14:paraId="746B5679">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1.3.1</w:t>
            </w:r>
          </w:p>
        </w:tc>
        <w:tc>
          <w:tcPr>
            <w:tcW w:w="1655" w:type="dxa"/>
            <w:vAlign w:val="center"/>
          </w:tcPr>
          <w:p w14:paraId="2F782E69">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招标范围</w:t>
            </w:r>
          </w:p>
        </w:tc>
        <w:tc>
          <w:tcPr>
            <w:tcW w:w="7052" w:type="dxa"/>
            <w:vAlign w:val="center"/>
          </w:tcPr>
          <w:p w14:paraId="0393D39B">
            <w:pPr>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详见招标公告</w:t>
            </w:r>
            <w:r>
              <w:rPr>
                <w:rFonts w:hint="eastAsia" w:ascii="宋体" w:hAnsi="宋体" w:cs="宋体"/>
                <w:color w:val="auto"/>
                <w:szCs w:val="21"/>
                <w:highlight w:val="none"/>
                <w:lang w:val="zh-CN"/>
              </w:rPr>
              <w:t>。</w:t>
            </w:r>
          </w:p>
        </w:tc>
      </w:tr>
      <w:tr w14:paraId="5636D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39" w:type="dxa"/>
            <w:vAlign w:val="center"/>
          </w:tcPr>
          <w:p w14:paraId="6E14A2A5">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1.3.2</w:t>
            </w:r>
          </w:p>
        </w:tc>
        <w:tc>
          <w:tcPr>
            <w:tcW w:w="1655" w:type="dxa"/>
            <w:vAlign w:val="center"/>
          </w:tcPr>
          <w:p w14:paraId="568EF3D8">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标段划分</w:t>
            </w:r>
          </w:p>
        </w:tc>
        <w:tc>
          <w:tcPr>
            <w:tcW w:w="7052" w:type="dxa"/>
            <w:vAlign w:val="center"/>
          </w:tcPr>
          <w:p w14:paraId="0BF11A41">
            <w:pPr>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本项目不划分标段。</w:t>
            </w:r>
          </w:p>
        </w:tc>
      </w:tr>
      <w:tr w14:paraId="1CBA0B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39" w:type="dxa"/>
            <w:vAlign w:val="center"/>
          </w:tcPr>
          <w:p w14:paraId="570212E4">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1.3.3</w:t>
            </w:r>
          </w:p>
        </w:tc>
        <w:tc>
          <w:tcPr>
            <w:tcW w:w="1655" w:type="dxa"/>
            <w:vAlign w:val="center"/>
          </w:tcPr>
          <w:p w14:paraId="3BB826B2">
            <w:pPr>
              <w:spacing w:line="360" w:lineRule="auto"/>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服务期限</w:t>
            </w:r>
          </w:p>
        </w:tc>
        <w:tc>
          <w:tcPr>
            <w:tcW w:w="7052" w:type="dxa"/>
            <w:vAlign w:val="center"/>
          </w:tcPr>
          <w:p w14:paraId="1AADD494">
            <w:pPr>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详见招标公告</w:t>
            </w:r>
            <w:r>
              <w:rPr>
                <w:rFonts w:hint="eastAsia" w:ascii="宋体" w:hAnsi="宋体" w:cs="宋体"/>
                <w:color w:val="auto"/>
                <w:szCs w:val="21"/>
                <w:highlight w:val="none"/>
                <w:lang w:val="zh-CN"/>
              </w:rPr>
              <w:t>。</w:t>
            </w:r>
          </w:p>
        </w:tc>
      </w:tr>
      <w:tr w14:paraId="43707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39" w:type="dxa"/>
            <w:vAlign w:val="center"/>
          </w:tcPr>
          <w:p w14:paraId="0CFA4AFC">
            <w:pPr>
              <w:spacing w:line="360" w:lineRule="auto"/>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1.3.</w:t>
            </w:r>
            <w:r>
              <w:rPr>
                <w:rFonts w:hint="eastAsia" w:ascii="宋体" w:hAnsi="宋体" w:cs="宋体"/>
                <w:color w:val="auto"/>
                <w:szCs w:val="21"/>
                <w:highlight w:val="none"/>
                <w:lang w:val="en-US" w:eastAsia="zh-CN"/>
              </w:rPr>
              <w:t>4</w:t>
            </w:r>
          </w:p>
        </w:tc>
        <w:tc>
          <w:tcPr>
            <w:tcW w:w="1655" w:type="dxa"/>
            <w:vAlign w:val="center"/>
          </w:tcPr>
          <w:p w14:paraId="2B028AAB">
            <w:pPr>
              <w:spacing w:line="360" w:lineRule="auto"/>
              <w:jc w:val="center"/>
              <w:rPr>
                <w:rFonts w:hint="eastAsia" w:ascii="宋体" w:hAnsi="宋体" w:cs="宋体"/>
                <w:color w:val="auto"/>
                <w:szCs w:val="21"/>
                <w:highlight w:val="none"/>
              </w:rPr>
            </w:pPr>
            <w:r>
              <w:rPr>
                <w:rFonts w:hint="eastAsia" w:ascii="宋体" w:hAnsi="宋体" w:cs="宋体"/>
                <w:color w:val="auto"/>
                <w:highlight w:val="none"/>
              </w:rPr>
              <w:t>质量要求</w:t>
            </w:r>
          </w:p>
        </w:tc>
        <w:tc>
          <w:tcPr>
            <w:tcW w:w="7052" w:type="dxa"/>
            <w:vAlign w:val="center"/>
          </w:tcPr>
          <w:p w14:paraId="51DF537C">
            <w:pPr>
              <w:snapToGrid w:val="0"/>
              <w:spacing w:line="360" w:lineRule="auto"/>
              <w:rPr>
                <w:rFonts w:hint="eastAsia" w:ascii="宋体" w:hAnsi="宋体" w:cs="宋体"/>
                <w:color w:val="auto"/>
                <w:position w:val="-2"/>
                <w:szCs w:val="21"/>
                <w:highlight w:val="none"/>
              </w:rPr>
            </w:pPr>
            <w:r>
              <w:rPr>
                <w:rFonts w:hint="eastAsia" w:ascii="宋体" w:hAnsi="宋体" w:cs="宋体"/>
                <w:color w:val="auto"/>
                <w:position w:val="-2"/>
                <w:szCs w:val="21"/>
                <w:highlight w:val="none"/>
              </w:rPr>
              <w:t>详见招标公告</w:t>
            </w:r>
          </w:p>
        </w:tc>
      </w:tr>
      <w:tr w14:paraId="6A6B9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39" w:type="dxa"/>
            <w:vAlign w:val="center"/>
          </w:tcPr>
          <w:p w14:paraId="0E4E27E0">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1.4.1</w:t>
            </w:r>
          </w:p>
        </w:tc>
        <w:tc>
          <w:tcPr>
            <w:tcW w:w="1655" w:type="dxa"/>
            <w:vAlign w:val="center"/>
          </w:tcPr>
          <w:p w14:paraId="06A2BF6C">
            <w:pPr>
              <w:spacing w:line="360" w:lineRule="auto"/>
              <w:jc w:val="center"/>
              <w:rPr>
                <w:rFonts w:hint="eastAsia" w:ascii="宋体" w:hAnsi="宋体" w:cs="宋体"/>
                <w:color w:val="auto"/>
                <w:szCs w:val="21"/>
                <w:highlight w:val="none"/>
              </w:rPr>
            </w:pPr>
            <w:r>
              <w:rPr>
                <w:rFonts w:hint="eastAsia" w:ascii="宋体" w:hAnsi="宋体" w:cs="宋体"/>
                <w:color w:val="auto"/>
                <w:highlight w:val="none"/>
              </w:rPr>
              <w:t>投标人资格条件、能力和信誉</w:t>
            </w:r>
          </w:p>
        </w:tc>
        <w:tc>
          <w:tcPr>
            <w:tcW w:w="7052" w:type="dxa"/>
            <w:vAlign w:val="center"/>
          </w:tcPr>
          <w:p w14:paraId="59384BC0">
            <w:pPr>
              <w:snapToGrid w:val="0"/>
              <w:spacing w:line="360" w:lineRule="auto"/>
              <w:rPr>
                <w:rFonts w:hint="eastAsia" w:ascii="宋体" w:hAnsi="宋体" w:cs="宋体"/>
                <w:color w:val="auto"/>
                <w:position w:val="-2"/>
                <w:szCs w:val="21"/>
                <w:highlight w:val="none"/>
              </w:rPr>
            </w:pPr>
            <w:r>
              <w:rPr>
                <w:rFonts w:hint="eastAsia" w:ascii="宋体" w:hAnsi="宋体" w:cs="宋体"/>
                <w:color w:val="auto"/>
                <w:position w:val="-2"/>
                <w:szCs w:val="21"/>
                <w:highlight w:val="none"/>
              </w:rPr>
              <w:t>详见第一章 招标公告 3 投标人资格要求。</w:t>
            </w:r>
          </w:p>
        </w:tc>
      </w:tr>
      <w:tr w14:paraId="40467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39" w:type="dxa"/>
            <w:vAlign w:val="center"/>
          </w:tcPr>
          <w:p w14:paraId="098D74BA">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1.4.2</w:t>
            </w:r>
          </w:p>
        </w:tc>
        <w:tc>
          <w:tcPr>
            <w:tcW w:w="1655" w:type="dxa"/>
            <w:vAlign w:val="center"/>
          </w:tcPr>
          <w:p w14:paraId="44007DD5">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是否接受联合体投标</w:t>
            </w:r>
          </w:p>
        </w:tc>
        <w:tc>
          <w:tcPr>
            <w:tcW w:w="7052" w:type="dxa"/>
            <w:vAlign w:val="center"/>
          </w:tcPr>
          <w:p w14:paraId="68C57719">
            <w:pPr>
              <w:pStyle w:val="56"/>
              <w:spacing w:after="0" w:line="360" w:lineRule="auto"/>
              <w:ind w:left="0" w:leftChars="0" w:firstLine="0"/>
              <w:rPr>
                <w:rFonts w:hint="eastAsia" w:ascii="宋体" w:hAnsi="宋体" w:cs="宋体"/>
                <w:color w:val="auto"/>
                <w:szCs w:val="21"/>
                <w:highlight w:val="none"/>
              </w:rPr>
            </w:pPr>
            <w:r>
              <w:rPr>
                <w:rFonts w:hint="eastAsia" w:ascii="宋体" w:hAnsi="宋体" w:cs="宋体"/>
                <w:color w:val="auto"/>
                <w:sz w:val="21"/>
                <w:szCs w:val="21"/>
                <w:highlight w:val="none"/>
              </w:rPr>
              <w:t>本次招标</w:t>
            </w:r>
            <w:r>
              <w:rPr>
                <w:rFonts w:hint="eastAsia" w:ascii="宋体" w:hAnsi="宋体" w:cs="宋体"/>
                <w:color w:val="auto"/>
                <w:sz w:val="21"/>
                <w:szCs w:val="21"/>
                <w:highlight w:val="none"/>
                <w:lang w:val="en-US" w:eastAsia="zh-CN"/>
              </w:rPr>
              <w:t>不</w:t>
            </w:r>
            <w:r>
              <w:rPr>
                <w:rFonts w:hint="eastAsia" w:ascii="宋体" w:hAnsi="宋体" w:cs="宋体"/>
                <w:color w:val="auto"/>
                <w:sz w:val="21"/>
                <w:szCs w:val="21"/>
                <w:highlight w:val="none"/>
              </w:rPr>
              <w:t>接受联合体投标。</w:t>
            </w:r>
          </w:p>
        </w:tc>
      </w:tr>
      <w:tr w14:paraId="6C1F8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39" w:type="dxa"/>
            <w:vAlign w:val="center"/>
          </w:tcPr>
          <w:p w14:paraId="689C9DA8">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1.5</w:t>
            </w:r>
          </w:p>
        </w:tc>
        <w:tc>
          <w:tcPr>
            <w:tcW w:w="1655" w:type="dxa"/>
            <w:vAlign w:val="center"/>
          </w:tcPr>
          <w:p w14:paraId="4949968B">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cs="宋体"/>
                <w:color w:val="auto"/>
                <w:szCs w:val="21"/>
                <w:highlight w:val="none"/>
              </w:rPr>
            </w:pPr>
            <w:r>
              <w:rPr>
                <w:rFonts w:hint="eastAsia" w:ascii="宋体" w:hAnsi="宋体" w:cs="宋体"/>
                <w:color w:val="auto"/>
                <w:highlight w:val="none"/>
              </w:rPr>
              <w:t>费用承担</w:t>
            </w:r>
          </w:p>
        </w:tc>
        <w:tc>
          <w:tcPr>
            <w:tcW w:w="7052" w:type="dxa"/>
            <w:vAlign w:val="center"/>
          </w:tcPr>
          <w:p w14:paraId="51385F43">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cs="宋体"/>
                <w:color w:val="auto"/>
                <w:highlight w:val="none"/>
              </w:rPr>
            </w:pPr>
            <w:r>
              <w:rPr>
                <w:rFonts w:hint="eastAsia" w:ascii="宋体" w:hAnsi="宋体" w:cs="宋体"/>
                <w:color w:val="auto"/>
                <w:highlight w:val="none"/>
              </w:rPr>
              <w:t>（1）投标人应承担其参加本招标活动自身所发生的费用。</w:t>
            </w:r>
          </w:p>
          <w:p w14:paraId="0F52A28F">
            <w:pPr>
              <w:adjustRightInd w:val="0"/>
              <w:snapToGrid w:val="0"/>
              <w:spacing w:line="360" w:lineRule="auto"/>
              <w:rPr>
                <w:rFonts w:hint="eastAsia" w:ascii="宋体" w:hAnsi="宋体" w:eastAsia="宋体" w:cs="宋体"/>
                <w:color w:val="auto"/>
                <w:kern w:val="2"/>
                <w:sz w:val="21"/>
                <w:szCs w:val="20"/>
                <w:highlight w:val="none"/>
              </w:rPr>
            </w:pPr>
            <w:r>
              <w:rPr>
                <w:rFonts w:hint="eastAsia" w:ascii="宋体" w:hAnsi="宋体" w:cs="宋体"/>
                <w:color w:val="auto"/>
                <w:highlight w:val="none"/>
              </w:rPr>
              <w:t>（2）招标代理服务费由中标人支付，由中标人在领取中标通知书的同时，一次性向招标代理机构缴纳。招标代理服务费按国家发改委计价格[2002]1980号文规定计算出的金额下浮30%计取，该项费用不单列，请各投标人自行考虑，本项目服务费按预估中标金额进行计算。</w:t>
            </w:r>
          </w:p>
        </w:tc>
      </w:tr>
      <w:tr w14:paraId="70429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39" w:type="dxa"/>
            <w:vAlign w:val="center"/>
          </w:tcPr>
          <w:p w14:paraId="1012155D">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1.9.1</w:t>
            </w:r>
          </w:p>
        </w:tc>
        <w:tc>
          <w:tcPr>
            <w:tcW w:w="1655" w:type="dxa"/>
            <w:vAlign w:val="center"/>
          </w:tcPr>
          <w:p w14:paraId="5B62FA71">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踏勘现场</w:t>
            </w:r>
          </w:p>
        </w:tc>
        <w:tc>
          <w:tcPr>
            <w:tcW w:w="7052" w:type="dxa"/>
            <w:vAlign w:val="center"/>
          </w:tcPr>
          <w:p w14:paraId="331FC8F6">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不统一组织。</w:t>
            </w:r>
          </w:p>
          <w:p w14:paraId="3514D7F8">
            <w:pPr>
              <w:numPr>
                <w:ilvl w:val="255"/>
                <w:numId w:val="0"/>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1.投标人可自行踏勘；</w:t>
            </w:r>
          </w:p>
          <w:p w14:paraId="103D67EB">
            <w:pPr>
              <w:numPr>
                <w:ilvl w:val="255"/>
                <w:numId w:val="0"/>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2.投标人踏勘现场发生的费用自理；</w:t>
            </w:r>
          </w:p>
          <w:p w14:paraId="3469AB88">
            <w:pPr>
              <w:numPr>
                <w:ilvl w:val="255"/>
                <w:numId w:val="0"/>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3.投标人自行负责在踏勘现场中所发生的人员伤亡和财产损失。</w:t>
            </w:r>
          </w:p>
        </w:tc>
      </w:tr>
      <w:tr w14:paraId="17ED6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39" w:type="dxa"/>
            <w:vAlign w:val="center"/>
          </w:tcPr>
          <w:p w14:paraId="5191588D">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1.10.1</w:t>
            </w:r>
          </w:p>
        </w:tc>
        <w:tc>
          <w:tcPr>
            <w:tcW w:w="1655" w:type="dxa"/>
            <w:vAlign w:val="center"/>
          </w:tcPr>
          <w:p w14:paraId="4A266ABF">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投标预备会</w:t>
            </w:r>
          </w:p>
        </w:tc>
        <w:tc>
          <w:tcPr>
            <w:tcW w:w="7052" w:type="dxa"/>
            <w:vAlign w:val="center"/>
          </w:tcPr>
          <w:p w14:paraId="555BB3EA">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不召开。</w:t>
            </w:r>
          </w:p>
        </w:tc>
      </w:tr>
      <w:tr w14:paraId="11EB2A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39" w:type="dxa"/>
            <w:vAlign w:val="center"/>
          </w:tcPr>
          <w:p w14:paraId="28FA951B">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1.10.2</w:t>
            </w:r>
          </w:p>
        </w:tc>
        <w:tc>
          <w:tcPr>
            <w:tcW w:w="1655" w:type="dxa"/>
            <w:vAlign w:val="center"/>
          </w:tcPr>
          <w:p w14:paraId="06D04B9F">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投标人提出问题的截止时间</w:t>
            </w:r>
          </w:p>
        </w:tc>
        <w:tc>
          <w:tcPr>
            <w:tcW w:w="7052" w:type="dxa"/>
          </w:tcPr>
          <w:p w14:paraId="7EC6FE1A">
            <w:pPr>
              <w:autoSpaceDE w:val="0"/>
              <w:autoSpaceDN w:val="0"/>
              <w:adjustRightInd w:val="0"/>
              <w:spacing w:line="360" w:lineRule="auto"/>
              <w:rPr>
                <w:rFonts w:hint="eastAsia" w:ascii="宋体" w:hAnsi="宋体" w:cs="宋体"/>
                <w:color w:val="auto"/>
                <w:szCs w:val="21"/>
                <w:highlight w:val="none"/>
              </w:rPr>
            </w:pPr>
            <w:r>
              <w:rPr>
                <w:rFonts w:hint="eastAsia" w:ascii="宋体" w:hAnsi="宋体" w:cs="宋体"/>
                <w:color w:val="auto"/>
                <w:highlight w:val="none"/>
              </w:rPr>
              <w:t>投标截止时间</w:t>
            </w:r>
            <w:r>
              <w:rPr>
                <w:rFonts w:hint="eastAsia" w:ascii="宋体" w:hAnsi="宋体" w:cs="宋体"/>
                <w:color w:val="auto"/>
                <w:kern w:val="0"/>
                <w:highlight w:val="none"/>
              </w:rPr>
              <w:t>10日</w:t>
            </w:r>
            <w:r>
              <w:rPr>
                <w:rFonts w:hint="eastAsia" w:ascii="宋体" w:hAnsi="宋体" w:cs="宋体"/>
                <w:color w:val="auto"/>
                <w:highlight w:val="none"/>
              </w:rPr>
              <w:t>以前</w:t>
            </w:r>
            <w:r>
              <w:rPr>
                <w:rFonts w:hint="eastAsia" w:ascii="宋体" w:hAnsi="宋体" w:cs="宋体"/>
                <w:color w:val="auto"/>
                <w:szCs w:val="21"/>
                <w:highlight w:val="none"/>
              </w:rPr>
              <w:t>，所有获取了招标文件的潜在投标人凭企业数字证书（CA）登录</w:t>
            </w:r>
            <w:r>
              <w:rPr>
                <w:rFonts w:hint="eastAsia" w:ascii="宋体" w:hAnsi="宋体" w:cs="宋体"/>
                <w:bCs/>
                <w:color w:val="auto"/>
                <w:szCs w:val="21"/>
                <w:highlight w:val="none"/>
                <w:u w:val="single"/>
              </w:rPr>
              <w:t>云南省公共资源交易信息网（</w:t>
            </w:r>
            <w:r>
              <w:rPr>
                <w:rFonts w:hint="eastAsia" w:ascii="宋体" w:hAnsi="宋体" w:cs="宋体"/>
                <w:color w:val="auto"/>
                <w:szCs w:val="21"/>
                <w:highlight w:val="none"/>
                <w:u w:val="single"/>
              </w:rPr>
              <w:t>https：//ggzy.yn.gov.cn/），进入后切换至</w:t>
            </w:r>
            <w:r>
              <w:rPr>
                <w:rFonts w:hint="eastAsia" w:ascii="宋体" w:hAnsi="宋体" w:cs="宋体"/>
                <w:color w:val="auto"/>
                <w:szCs w:val="21"/>
                <w:highlight w:val="none"/>
                <w:u w:val="single"/>
                <w:lang w:eastAsia="zh-CN"/>
              </w:rPr>
              <w:t>文山州</w:t>
            </w:r>
            <w:r>
              <w:rPr>
                <w:rFonts w:hint="eastAsia" w:ascii="宋体" w:hAnsi="宋体" w:cs="宋体"/>
                <w:color w:val="auto"/>
                <w:szCs w:val="21"/>
                <w:highlight w:val="none"/>
              </w:rPr>
              <w:t>，通过网络在线方式进行不署名提问。</w:t>
            </w:r>
          </w:p>
        </w:tc>
      </w:tr>
      <w:tr w14:paraId="36781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39" w:type="dxa"/>
            <w:vAlign w:val="center"/>
          </w:tcPr>
          <w:p w14:paraId="63FF9592">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1.10.3</w:t>
            </w:r>
          </w:p>
        </w:tc>
        <w:tc>
          <w:tcPr>
            <w:tcW w:w="1655" w:type="dxa"/>
            <w:vAlign w:val="center"/>
          </w:tcPr>
          <w:p w14:paraId="78D823C1">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招标人书面澄清的时间</w:t>
            </w:r>
          </w:p>
        </w:tc>
        <w:tc>
          <w:tcPr>
            <w:tcW w:w="7052" w:type="dxa"/>
          </w:tcPr>
          <w:p w14:paraId="1122CFC7">
            <w:pPr>
              <w:spacing w:line="360" w:lineRule="auto"/>
              <w:rPr>
                <w:rFonts w:hint="eastAsia" w:ascii="宋体" w:hAnsi="宋体" w:cs="宋体"/>
                <w:color w:val="auto"/>
                <w:highlight w:val="none"/>
              </w:rPr>
            </w:pPr>
            <w:r>
              <w:rPr>
                <w:rFonts w:hint="eastAsia" w:ascii="宋体" w:hAnsi="宋体" w:cs="宋体"/>
                <w:color w:val="auto"/>
                <w:highlight w:val="none"/>
              </w:rPr>
              <w:t>招标人可因任何原因，在投标截止时间前对招标文件进行修改，由招标人以补遗书方式按程序报有关主管部门备案后，提交公共资源交易中心统一通过网络向潜在投标人发布，所有获取了招标文件的潜在投标人登录全国公共资源交易平台(云南省)/云南省公共资源交易信息网凭企业身份认证数字证书（CA）查看修改内容。</w:t>
            </w:r>
          </w:p>
          <w:p w14:paraId="47E4BFD6">
            <w:pPr>
              <w:spacing w:line="360" w:lineRule="auto"/>
              <w:rPr>
                <w:rFonts w:hint="eastAsia" w:ascii="宋体" w:hAnsi="宋体" w:cs="宋体"/>
                <w:color w:val="auto"/>
                <w:highlight w:val="none"/>
              </w:rPr>
            </w:pPr>
            <w:r>
              <w:rPr>
                <w:rFonts w:hint="eastAsia" w:ascii="宋体" w:hAnsi="宋体" w:cs="宋体"/>
                <w:color w:val="auto"/>
                <w:highlight w:val="none"/>
              </w:rPr>
              <w:t>为使投标人编写投标文件时，有充分时间对招标文件的修改部分进行研究，招标人可酌情延长投标截止日期。</w:t>
            </w:r>
          </w:p>
        </w:tc>
      </w:tr>
      <w:tr w14:paraId="0A5FD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39" w:type="dxa"/>
            <w:vAlign w:val="center"/>
          </w:tcPr>
          <w:p w14:paraId="65CD2D96">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1.11</w:t>
            </w:r>
          </w:p>
        </w:tc>
        <w:tc>
          <w:tcPr>
            <w:tcW w:w="1655" w:type="dxa"/>
            <w:vAlign w:val="center"/>
          </w:tcPr>
          <w:p w14:paraId="5630FAE8">
            <w:pPr>
              <w:spacing w:line="360" w:lineRule="auto"/>
              <w:jc w:val="cente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分包</w:t>
            </w:r>
          </w:p>
        </w:tc>
        <w:tc>
          <w:tcPr>
            <w:tcW w:w="7052" w:type="dxa"/>
            <w:vAlign w:val="center"/>
          </w:tcPr>
          <w:p w14:paraId="255ECA59">
            <w:pPr>
              <w:spacing w:line="360" w:lineRule="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不</w:t>
            </w:r>
            <w:r>
              <w:rPr>
                <w:rFonts w:hint="eastAsia" w:ascii="宋体" w:hAnsi="宋体" w:cs="宋体"/>
                <w:b w:val="0"/>
                <w:bCs w:val="0"/>
                <w:color w:val="auto"/>
                <w:szCs w:val="21"/>
                <w:highlight w:val="none"/>
              </w:rPr>
              <w:t>允许。</w:t>
            </w:r>
          </w:p>
        </w:tc>
      </w:tr>
      <w:tr w14:paraId="02919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39" w:type="dxa"/>
            <w:vAlign w:val="center"/>
          </w:tcPr>
          <w:p w14:paraId="0621191C">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1.12</w:t>
            </w:r>
          </w:p>
        </w:tc>
        <w:tc>
          <w:tcPr>
            <w:tcW w:w="1655" w:type="dxa"/>
            <w:vAlign w:val="center"/>
          </w:tcPr>
          <w:p w14:paraId="53E68E06">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偏离</w:t>
            </w:r>
          </w:p>
        </w:tc>
        <w:tc>
          <w:tcPr>
            <w:tcW w:w="7052" w:type="dxa"/>
            <w:vAlign w:val="center"/>
          </w:tcPr>
          <w:p w14:paraId="5AD163E6">
            <w:pPr>
              <w:spacing w:line="360" w:lineRule="auto"/>
              <w:rPr>
                <w:rFonts w:hint="eastAsia" w:ascii="宋体" w:hAnsi="宋体" w:cs="宋体"/>
                <w:color w:val="auto"/>
                <w:szCs w:val="21"/>
                <w:highlight w:val="none"/>
              </w:rPr>
            </w:pPr>
            <w:r>
              <w:rPr>
                <w:rFonts w:hint="eastAsia" w:ascii="宋体" w:hAnsi="宋体" w:cs="宋体"/>
                <w:color w:val="auto"/>
                <w:highlight w:val="none"/>
              </w:rPr>
              <w:t>投标人可在招标文件要求的条件上作出正偏离的承诺（如质量标准提高、处罚额度增大等）。</w:t>
            </w:r>
          </w:p>
        </w:tc>
      </w:tr>
      <w:tr w14:paraId="2DB2A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39" w:type="dxa"/>
            <w:vAlign w:val="center"/>
          </w:tcPr>
          <w:p w14:paraId="614DE0BB">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2.1</w:t>
            </w:r>
          </w:p>
        </w:tc>
        <w:tc>
          <w:tcPr>
            <w:tcW w:w="1655" w:type="dxa"/>
            <w:vAlign w:val="center"/>
          </w:tcPr>
          <w:p w14:paraId="16009824">
            <w:pPr>
              <w:spacing w:line="360" w:lineRule="auto"/>
              <w:jc w:val="center"/>
              <w:rPr>
                <w:rFonts w:hint="eastAsia" w:ascii="宋体" w:hAnsi="宋体" w:cs="宋体"/>
                <w:color w:val="auto"/>
                <w:szCs w:val="21"/>
                <w:highlight w:val="none"/>
              </w:rPr>
            </w:pPr>
            <w:r>
              <w:rPr>
                <w:rFonts w:hint="eastAsia" w:ascii="宋体" w:hAnsi="宋体" w:cs="宋体"/>
                <w:color w:val="auto"/>
                <w:highlight w:val="none"/>
              </w:rPr>
              <w:t>构成招标文件的其他资料</w:t>
            </w:r>
          </w:p>
        </w:tc>
        <w:tc>
          <w:tcPr>
            <w:tcW w:w="7052" w:type="dxa"/>
            <w:vAlign w:val="center"/>
          </w:tcPr>
          <w:p w14:paraId="62DCF153">
            <w:pPr>
              <w:spacing w:line="360" w:lineRule="auto"/>
              <w:rPr>
                <w:rFonts w:hint="eastAsia" w:ascii="宋体" w:hAnsi="宋体" w:cs="宋体"/>
                <w:color w:val="auto"/>
                <w:highlight w:val="none"/>
              </w:rPr>
            </w:pPr>
            <w:r>
              <w:rPr>
                <w:rFonts w:hint="eastAsia" w:ascii="宋体" w:hAnsi="宋体" w:cs="宋体"/>
                <w:color w:val="auto"/>
                <w:highlight w:val="none"/>
              </w:rPr>
              <w:t>招标文件答疑、补遗、修改（如有）等。</w:t>
            </w:r>
          </w:p>
        </w:tc>
      </w:tr>
      <w:tr w14:paraId="4E8D5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39" w:type="dxa"/>
            <w:vAlign w:val="center"/>
          </w:tcPr>
          <w:p w14:paraId="40FB7660">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2.2.1</w:t>
            </w:r>
          </w:p>
        </w:tc>
        <w:tc>
          <w:tcPr>
            <w:tcW w:w="1655" w:type="dxa"/>
            <w:vAlign w:val="center"/>
          </w:tcPr>
          <w:p w14:paraId="65FD104E">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投标人要求澄清招标文件的截止时间</w:t>
            </w:r>
          </w:p>
        </w:tc>
        <w:tc>
          <w:tcPr>
            <w:tcW w:w="7052" w:type="dxa"/>
            <w:vAlign w:val="center"/>
          </w:tcPr>
          <w:p w14:paraId="7F730647">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同1.10.2的时间要求</w:t>
            </w:r>
          </w:p>
          <w:p w14:paraId="1205AA7F">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投标人应仔细阅读和检查招标文件的全部内容。如发现缺页或附件不全，应及时向招标人提出，以便补齐。如有疑问，应在投标人须知前附表规定的时间前以在线不署名提交方式登录</w:t>
            </w:r>
            <w:r>
              <w:rPr>
                <w:rFonts w:hint="eastAsia" w:ascii="宋体" w:hAnsi="宋体" w:cs="宋体"/>
                <w:bCs/>
                <w:color w:val="auto"/>
                <w:szCs w:val="21"/>
                <w:highlight w:val="none"/>
                <w:u w:val="single"/>
              </w:rPr>
              <w:t>云南省公共资源交易信息网（</w:t>
            </w:r>
            <w:r>
              <w:rPr>
                <w:rFonts w:hint="eastAsia" w:ascii="宋体" w:hAnsi="宋体" w:cs="宋体"/>
                <w:color w:val="auto"/>
                <w:szCs w:val="21"/>
                <w:highlight w:val="none"/>
                <w:u w:val="single"/>
              </w:rPr>
              <w:t>https：//ggzy.yn.gov.cn/），进入后切换至</w:t>
            </w:r>
            <w:r>
              <w:rPr>
                <w:rFonts w:hint="eastAsia" w:ascii="宋体" w:hAnsi="宋体" w:cs="宋体"/>
                <w:color w:val="auto"/>
                <w:szCs w:val="21"/>
                <w:highlight w:val="none"/>
                <w:u w:val="single"/>
                <w:lang w:eastAsia="zh-CN"/>
              </w:rPr>
              <w:t>文山州</w:t>
            </w:r>
            <w:r>
              <w:rPr>
                <w:rFonts w:hint="eastAsia" w:ascii="宋体" w:hAnsi="宋体" w:cs="宋体"/>
                <w:color w:val="auto"/>
                <w:szCs w:val="21"/>
                <w:highlight w:val="none"/>
              </w:rPr>
              <w:t>要求招标人对招标文件予以澄清。</w:t>
            </w:r>
          </w:p>
        </w:tc>
      </w:tr>
      <w:tr w14:paraId="07B957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39" w:type="dxa"/>
            <w:vAlign w:val="center"/>
          </w:tcPr>
          <w:p w14:paraId="5728126A">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2.2.2</w:t>
            </w:r>
          </w:p>
        </w:tc>
        <w:tc>
          <w:tcPr>
            <w:tcW w:w="1655" w:type="dxa"/>
            <w:vAlign w:val="center"/>
          </w:tcPr>
          <w:p w14:paraId="7BDFA7DA">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投标截止时间</w:t>
            </w:r>
          </w:p>
        </w:tc>
        <w:tc>
          <w:tcPr>
            <w:tcW w:w="7052" w:type="dxa"/>
            <w:vAlign w:val="center"/>
          </w:tcPr>
          <w:p w14:paraId="261EB21B">
            <w:pPr>
              <w:spacing w:line="360" w:lineRule="auto"/>
              <w:ind w:left="42" w:leftChars="20" w:right="42" w:rightChars="20"/>
              <w:rPr>
                <w:rFonts w:hint="eastAsia" w:ascii="宋体" w:hAnsi="宋体" w:cs="宋体"/>
                <w:color w:val="auto"/>
                <w:kern w:val="21"/>
                <w:szCs w:val="21"/>
                <w:highlight w:val="none"/>
              </w:rPr>
            </w:pPr>
            <w:r>
              <w:rPr>
                <w:rFonts w:hint="eastAsia" w:ascii="宋体" w:hAnsi="宋体" w:cs="宋体"/>
                <w:color w:val="auto"/>
                <w:kern w:val="21"/>
                <w:szCs w:val="21"/>
                <w:highlight w:val="none"/>
              </w:rPr>
              <w:t>以招标公告载明的投标截止时间或最后一次澄清发布（若有）的投标截止时间为准。</w:t>
            </w:r>
          </w:p>
          <w:p w14:paraId="7BAAD8D9">
            <w:pPr>
              <w:spacing w:line="360" w:lineRule="auto"/>
              <w:jc w:val="left"/>
              <w:rPr>
                <w:rFonts w:hint="eastAsia" w:ascii="宋体" w:hAnsi="宋体" w:cs="宋体"/>
                <w:color w:val="auto"/>
                <w:szCs w:val="21"/>
                <w:highlight w:val="none"/>
              </w:rPr>
            </w:pPr>
            <w:r>
              <w:rPr>
                <w:rFonts w:hint="eastAsia" w:ascii="宋体" w:hAnsi="宋体" w:cs="宋体"/>
                <w:color w:val="auto"/>
                <w:kern w:val="21"/>
                <w:highlight w:val="none"/>
              </w:rPr>
              <w:t>招标人或招标代理机构可以酌情延长投标截止期。在此情况下，招标人和投标人受投标截止期制约的所有权利和义务均应延长至新的截止日期。</w:t>
            </w:r>
          </w:p>
        </w:tc>
      </w:tr>
      <w:tr w14:paraId="2D990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39" w:type="dxa"/>
            <w:vAlign w:val="center"/>
          </w:tcPr>
          <w:p w14:paraId="7F472C67">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2.2.3</w:t>
            </w:r>
          </w:p>
        </w:tc>
        <w:tc>
          <w:tcPr>
            <w:tcW w:w="1655" w:type="dxa"/>
            <w:vAlign w:val="center"/>
          </w:tcPr>
          <w:p w14:paraId="3B7EC93A">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投标人确认收到招标文件澄清的时间</w:t>
            </w:r>
          </w:p>
        </w:tc>
        <w:tc>
          <w:tcPr>
            <w:tcW w:w="7052" w:type="dxa"/>
            <w:vAlign w:val="center"/>
          </w:tcPr>
          <w:p w14:paraId="78F94BEB">
            <w:pPr>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投标人自行登录</w:t>
            </w:r>
            <w:r>
              <w:rPr>
                <w:rFonts w:hint="eastAsia" w:ascii="宋体" w:hAnsi="宋体" w:cs="宋体"/>
                <w:bCs/>
                <w:color w:val="auto"/>
                <w:szCs w:val="21"/>
                <w:highlight w:val="none"/>
                <w:u w:val="single"/>
              </w:rPr>
              <w:t>云南省公共资源交易信息网（https：//ggzy.yn.gov.cn/）</w:t>
            </w:r>
            <w:r>
              <w:rPr>
                <w:rFonts w:hint="eastAsia" w:ascii="宋体" w:hAnsi="宋体" w:cs="宋体"/>
                <w:color w:val="auto"/>
                <w:szCs w:val="21"/>
                <w:highlight w:val="none"/>
                <w:u w:val="single"/>
              </w:rPr>
              <w:t>，进入后切换至</w:t>
            </w:r>
            <w:r>
              <w:rPr>
                <w:rFonts w:hint="eastAsia" w:ascii="宋体" w:hAnsi="宋体" w:cs="宋体"/>
                <w:color w:val="auto"/>
                <w:szCs w:val="21"/>
                <w:highlight w:val="none"/>
                <w:u w:val="single"/>
                <w:lang w:eastAsia="zh-CN"/>
              </w:rPr>
              <w:t>文山州</w:t>
            </w:r>
            <w:r>
              <w:rPr>
                <w:rFonts w:hint="eastAsia" w:ascii="宋体" w:hAnsi="宋体" w:cs="宋体"/>
                <w:color w:val="auto"/>
                <w:szCs w:val="21"/>
                <w:highlight w:val="none"/>
                <w:u w:val="single"/>
              </w:rPr>
              <w:t>，</w:t>
            </w:r>
            <w:r>
              <w:rPr>
                <w:rFonts w:hint="eastAsia" w:ascii="宋体" w:hAnsi="宋体" w:cs="宋体"/>
                <w:color w:val="auto"/>
                <w:szCs w:val="21"/>
                <w:highlight w:val="none"/>
              </w:rPr>
              <w:t>获取澄清，无须回复确认已收到该澄清。</w:t>
            </w:r>
          </w:p>
        </w:tc>
      </w:tr>
      <w:tr w14:paraId="46496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39" w:type="dxa"/>
            <w:vAlign w:val="center"/>
          </w:tcPr>
          <w:p w14:paraId="3C72CDCA">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2.3.2</w:t>
            </w:r>
          </w:p>
        </w:tc>
        <w:tc>
          <w:tcPr>
            <w:tcW w:w="1655" w:type="dxa"/>
            <w:vAlign w:val="center"/>
          </w:tcPr>
          <w:p w14:paraId="7BFBD92F">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投标人确认收到招标文件修改的时间</w:t>
            </w:r>
          </w:p>
        </w:tc>
        <w:tc>
          <w:tcPr>
            <w:tcW w:w="7052" w:type="dxa"/>
            <w:vAlign w:val="center"/>
          </w:tcPr>
          <w:p w14:paraId="3F4143BA">
            <w:pPr>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投标人自行登录</w:t>
            </w:r>
            <w:r>
              <w:rPr>
                <w:rFonts w:hint="eastAsia" w:ascii="宋体" w:hAnsi="宋体" w:cs="宋体"/>
                <w:bCs/>
                <w:color w:val="auto"/>
                <w:szCs w:val="21"/>
                <w:highlight w:val="none"/>
                <w:u w:val="single"/>
              </w:rPr>
              <w:t>云南省公共资源交易信息网（https：//ggzy.yn.gov.cn/）</w:t>
            </w:r>
            <w:r>
              <w:rPr>
                <w:rFonts w:hint="eastAsia" w:ascii="宋体" w:hAnsi="宋体" w:cs="宋体"/>
                <w:color w:val="auto"/>
                <w:szCs w:val="21"/>
                <w:highlight w:val="none"/>
                <w:u w:val="single"/>
              </w:rPr>
              <w:t>，进入后切换至</w:t>
            </w:r>
            <w:r>
              <w:rPr>
                <w:rFonts w:hint="eastAsia" w:ascii="宋体" w:hAnsi="宋体" w:cs="宋体"/>
                <w:color w:val="auto"/>
                <w:szCs w:val="21"/>
                <w:highlight w:val="none"/>
                <w:u w:val="single"/>
                <w:lang w:eastAsia="zh-CN"/>
              </w:rPr>
              <w:t>文山州</w:t>
            </w:r>
            <w:r>
              <w:rPr>
                <w:rFonts w:hint="eastAsia" w:ascii="宋体" w:hAnsi="宋体" w:cs="宋体"/>
                <w:color w:val="auto"/>
                <w:szCs w:val="21"/>
                <w:highlight w:val="none"/>
                <w:u w:val="single"/>
              </w:rPr>
              <w:t>，</w:t>
            </w:r>
            <w:r>
              <w:rPr>
                <w:rFonts w:hint="eastAsia" w:ascii="宋体" w:hAnsi="宋体" w:cs="宋体"/>
                <w:color w:val="auto"/>
                <w:szCs w:val="21"/>
                <w:highlight w:val="none"/>
              </w:rPr>
              <w:t>收取修改内容，无须回复确认已收到该修改。</w:t>
            </w:r>
          </w:p>
        </w:tc>
      </w:tr>
      <w:tr w14:paraId="5C6398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39" w:type="dxa"/>
            <w:vAlign w:val="center"/>
          </w:tcPr>
          <w:p w14:paraId="55437E8E">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3.1.1</w:t>
            </w:r>
          </w:p>
        </w:tc>
        <w:tc>
          <w:tcPr>
            <w:tcW w:w="1655" w:type="dxa"/>
            <w:vAlign w:val="center"/>
          </w:tcPr>
          <w:p w14:paraId="1B302A30">
            <w:pPr>
              <w:spacing w:line="360" w:lineRule="auto"/>
              <w:jc w:val="center"/>
              <w:rPr>
                <w:rFonts w:hint="eastAsia" w:ascii="宋体" w:hAnsi="宋体" w:cs="宋体"/>
                <w:color w:val="auto"/>
                <w:szCs w:val="21"/>
                <w:highlight w:val="none"/>
              </w:rPr>
            </w:pPr>
            <w:r>
              <w:rPr>
                <w:rFonts w:hint="eastAsia" w:ascii="宋体" w:hAnsi="宋体" w:cs="宋体"/>
                <w:color w:val="auto"/>
                <w:highlight w:val="none"/>
              </w:rPr>
              <w:t>构成投标文件的其他资料</w:t>
            </w:r>
          </w:p>
        </w:tc>
        <w:tc>
          <w:tcPr>
            <w:tcW w:w="7052" w:type="dxa"/>
            <w:vAlign w:val="center"/>
          </w:tcPr>
          <w:p w14:paraId="7FDC3A36">
            <w:pPr>
              <w:spacing w:line="360" w:lineRule="auto"/>
              <w:rPr>
                <w:rFonts w:hint="eastAsia" w:ascii="宋体" w:hAnsi="宋体" w:cs="宋体"/>
                <w:color w:val="auto"/>
                <w:szCs w:val="21"/>
                <w:highlight w:val="none"/>
              </w:rPr>
            </w:pPr>
            <w:r>
              <w:rPr>
                <w:rFonts w:hint="eastAsia" w:ascii="宋体" w:hAnsi="宋体" w:cs="宋体"/>
                <w:color w:val="auto"/>
                <w:highlight w:val="none"/>
                <w:lang w:val="zh-TW"/>
              </w:rPr>
              <w:t>在投标文件递交截止时间前提交的补充、修改资料及</w:t>
            </w:r>
            <w:r>
              <w:rPr>
                <w:rFonts w:hint="eastAsia" w:ascii="宋体" w:hAnsi="宋体" w:cs="宋体"/>
                <w:color w:val="auto"/>
                <w:highlight w:val="none"/>
              </w:rPr>
              <w:fldChar w:fldCharType="begin"/>
            </w:r>
            <w:r>
              <w:rPr>
                <w:rFonts w:hint="eastAsia" w:ascii="宋体" w:hAnsi="宋体" w:cs="宋体"/>
                <w:color w:val="auto"/>
                <w:highlight w:val="none"/>
              </w:rPr>
              <w:instrText xml:space="preserve"> AUTOTEXT  input137 \* MERGEFORMAT </w:instrText>
            </w:r>
            <w:r>
              <w:rPr>
                <w:rFonts w:hint="eastAsia" w:ascii="宋体" w:hAnsi="宋体" w:cs="宋体"/>
                <w:color w:val="auto"/>
                <w:highlight w:val="none"/>
              </w:rPr>
              <w:fldChar w:fldCharType="separate"/>
            </w:r>
            <w:r>
              <w:rPr>
                <w:rFonts w:hint="eastAsia" w:ascii="宋体" w:hAnsi="宋体" w:cs="宋体"/>
                <w:color w:val="auto"/>
                <w:highlight w:val="none"/>
                <w:lang w:val="zh-TW"/>
              </w:rPr>
              <w:t>承诺书和投标人认为能证明自身实力的材料等</w:t>
            </w:r>
            <w:r>
              <w:rPr>
                <w:rFonts w:hint="eastAsia" w:ascii="宋体" w:hAnsi="宋体" w:cs="宋体"/>
                <w:color w:val="auto"/>
                <w:highlight w:val="none"/>
              </w:rPr>
              <w:fldChar w:fldCharType="end"/>
            </w:r>
            <w:r>
              <w:rPr>
                <w:rFonts w:hint="eastAsia" w:ascii="宋体" w:hAnsi="宋体" w:cs="宋体"/>
                <w:color w:val="auto"/>
                <w:highlight w:val="none"/>
                <w:lang w:val="zh-TW"/>
              </w:rPr>
              <w:t>。</w:t>
            </w:r>
          </w:p>
        </w:tc>
      </w:tr>
      <w:tr w14:paraId="1AEDF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39" w:type="dxa"/>
            <w:vAlign w:val="center"/>
          </w:tcPr>
          <w:p w14:paraId="0D43058D">
            <w:pPr>
              <w:spacing w:line="360" w:lineRule="auto"/>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3.2.1</w:t>
            </w:r>
          </w:p>
        </w:tc>
        <w:tc>
          <w:tcPr>
            <w:tcW w:w="1655" w:type="dxa"/>
            <w:vAlign w:val="center"/>
          </w:tcPr>
          <w:p w14:paraId="03B04E5F">
            <w:pPr>
              <w:spacing w:line="360" w:lineRule="auto"/>
              <w:jc w:val="center"/>
              <w:rPr>
                <w:rFonts w:hint="eastAsia" w:ascii="宋体" w:hAnsi="宋体" w:cs="宋体"/>
                <w:color w:val="auto"/>
                <w:highlight w:val="none"/>
              </w:rPr>
            </w:pPr>
            <w:r>
              <w:rPr>
                <w:rFonts w:hint="eastAsia" w:ascii="宋体" w:hAnsi="宋体" w:cs="宋体"/>
                <w:color w:val="auto"/>
                <w:szCs w:val="21"/>
                <w:highlight w:val="none"/>
              </w:rPr>
              <w:t>投标报价</w:t>
            </w:r>
            <w:r>
              <w:rPr>
                <w:rFonts w:hint="eastAsia" w:ascii="宋体" w:hAnsi="宋体" w:cs="宋体"/>
                <w:color w:val="auto"/>
                <w:szCs w:val="21"/>
                <w:highlight w:val="none"/>
                <w:lang w:val="en-US" w:eastAsia="zh-CN"/>
              </w:rPr>
              <w:t>说明</w:t>
            </w:r>
          </w:p>
        </w:tc>
        <w:tc>
          <w:tcPr>
            <w:tcW w:w="7052" w:type="dxa"/>
            <w:vAlign w:val="center"/>
          </w:tcPr>
          <w:p w14:paraId="2E3BF25D">
            <w:pPr>
              <w:numPr>
                <w:ilvl w:val="0"/>
                <w:numId w:val="9"/>
              </w:numPr>
              <w:spacing w:line="360" w:lineRule="auto"/>
              <w:rPr>
                <w:rFonts w:hint="eastAsia" w:ascii="宋体" w:hAnsi="宋体" w:cs="宋体"/>
                <w:color w:val="auto"/>
                <w:highlight w:val="none"/>
                <w:lang w:val="zh-TW" w:eastAsia="zh-CN"/>
              </w:rPr>
            </w:pPr>
            <w:r>
              <w:rPr>
                <w:rFonts w:hint="eastAsia" w:ascii="宋体" w:hAnsi="宋体" w:cs="宋体"/>
                <w:color w:val="auto"/>
                <w:highlight w:val="none"/>
                <w:lang w:val="zh-TW"/>
              </w:rPr>
              <w:t>本项目报价</w:t>
            </w:r>
            <w:r>
              <w:rPr>
                <w:rFonts w:hint="eastAsia" w:ascii="宋体" w:hAnsi="宋体" w:cs="宋体"/>
                <w:color w:val="auto"/>
                <w:highlight w:val="none"/>
                <w:lang w:val="en-US" w:eastAsia="zh-CN"/>
              </w:rPr>
              <w:t>采用监理服务费率填报</w:t>
            </w:r>
            <w:r>
              <w:rPr>
                <w:rFonts w:hint="eastAsia" w:ascii="宋体" w:hAnsi="宋体" w:cs="宋体"/>
                <w:color w:val="auto"/>
                <w:highlight w:val="none"/>
                <w:lang w:val="zh-TW"/>
              </w:rPr>
              <w:t>，</w:t>
            </w:r>
            <w:r>
              <w:rPr>
                <w:rFonts w:hint="eastAsia" w:ascii="宋体" w:hAnsi="宋体" w:cs="宋体"/>
                <w:color w:val="auto"/>
                <w:highlight w:val="none"/>
                <w:lang w:val="en-US" w:eastAsia="zh-CN"/>
              </w:rPr>
              <w:t>该</w:t>
            </w:r>
            <w:r>
              <w:rPr>
                <w:rFonts w:hint="eastAsia" w:ascii="宋体" w:hAnsi="宋体" w:cs="宋体"/>
                <w:color w:val="auto"/>
                <w:highlight w:val="none"/>
                <w:lang w:val="zh-TW"/>
              </w:rPr>
              <w:t>报价应是监理服务期内，监理单位按合同规定的范围所提供的全部服务所需的费用</w:t>
            </w:r>
            <w:r>
              <w:rPr>
                <w:rFonts w:hint="eastAsia" w:ascii="宋体" w:hAnsi="宋体" w:cs="宋体"/>
                <w:color w:val="auto"/>
                <w:highlight w:val="none"/>
                <w:lang w:val="zh-TW" w:eastAsia="zh-CN"/>
              </w:rPr>
              <w:t>，</w:t>
            </w:r>
            <w:r>
              <w:rPr>
                <w:rFonts w:hint="eastAsia" w:ascii="宋体" w:hAnsi="宋体" w:cs="宋体"/>
                <w:color w:val="auto"/>
                <w:highlight w:val="none"/>
                <w:lang w:val="zh-TW"/>
              </w:rPr>
              <w:t>包含但不限于咨询服务费、差旅费、现场服务费、应缴税费及完成本项目提供所有服务的费用等。本费用不因</w:t>
            </w:r>
            <w:r>
              <w:rPr>
                <w:rFonts w:hint="eastAsia" w:ascii="宋体" w:hAnsi="宋体" w:cs="宋体"/>
                <w:color w:val="auto"/>
                <w:highlight w:val="none"/>
                <w:lang w:val="en-US" w:eastAsia="zh-CN"/>
              </w:rPr>
              <w:t>投标人</w:t>
            </w:r>
            <w:r>
              <w:rPr>
                <w:rFonts w:hint="eastAsia" w:ascii="宋体" w:hAnsi="宋体" w:cs="宋体"/>
                <w:color w:val="auto"/>
                <w:highlight w:val="none"/>
                <w:lang w:val="zh-TW"/>
              </w:rPr>
              <w:t>提供服务所依据的相关国家标准</w:t>
            </w:r>
            <w:r>
              <w:rPr>
                <w:rFonts w:hint="eastAsia" w:ascii="宋体" w:hAnsi="宋体" w:cs="宋体"/>
                <w:color w:val="auto"/>
                <w:highlight w:val="none"/>
                <w:lang w:val="zh-TW" w:eastAsia="zh-CN"/>
              </w:rPr>
              <w:t>、</w:t>
            </w:r>
            <w:r>
              <w:rPr>
                <w:rFonts w:hint="eastAsia" w:ascii="宋体" w:hAnsi="宋体" w:cs="宋体"/>
                <w:color w:val="auto"/>
                <w:highlight w:val="none"/>
                <w:lang w:val="zh-TW"/>
              </w:rPr>
              <w:t>技术标准等的任何变化而进行调整</w:t>
            </w:r>
            <w:r>
              <w:rPr>
                <w:rFonts w:hint="eastAsia" w:ascii="宋体" w:hAnsi="宋体" w:cs="宋体"/>
                <w:color w:val="auto"/>
                <w:highlight w:val="none"/>
                <w:lang w:val="zh-TW" w:eastAsia="zh-CN"/>
              </w:rPr>
              <w:t>。</w:t>
            </w:r>
          </w:p>
          <w:p w14:paraId="35B9362B">
            <w:pPr>
              <w:numPr>
                <w:ilvl w:val="0"/>
                <w:numId w:val="9"/>
              </w:numPr>
              <w:spacing w:line="360" w:lineRule="auto"/>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最终监理服务费结算价格=审定的建安工程费*中标监理服务费率</w:t>
            </w:r>
          </w:p>
        </w:tc>
      </w:tr>
      <w:tr w14:paraId="38E0E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39" w:type="dxa"/>
            <w:vAlign w:val="center"/>
          </w:tcPr>
          <w:p w14:paraId="3691352C">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3.3.1</w:t>
            </w:r>
          </w:p>
        </w:tc>
        <w:tc>
          <w:tcPr>
            <w:tcW w:w="1655" w:type="dxa"/>
            <w:vAlign w:val="center"/>
          </w:tcPr>
          <w:p w14:paraId="52C0AB64">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投标有效期</w:t>
            </w:r>
          </w:p>
        </w:tc>
        <w:tc>
          <w:tcPr>
            <w:tcW w:w="7052" w:type="dxa"/>
            <w:vAlign w:val="center"/>
          </w:tcPr>
          <w:p w14:paraId="028D1D32">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90日历天，从投标截止之日算起。</w:t>
            </w:r>
          </w:p>
        </w:tc>
      </w:tr>
      <w:tr w14:paraId="1B2E2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39" w:type="dxa"/>
            <w:vAlign w:val="center"/>
          </w:tcPr>
          <w:p w14:paraId="4D397750">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3.4.1</w:t>
            </w:r>
          </w:p>
        </w:tc>
        <w:tc>
          <w:tcPr>
            <w:tcW w:w="1655" w:type="dxa"/>
            <w:vAlign w:val="center"/>
          </w:tcPr>
          <w:p w14:paraId="7B80D024">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投标保证金</w:t>
            </w:r>
          </w:p>
        </w:tc>
        <w:tc>
          <w:tcPr>
            <w:tcW w:w="7052" w:type="dxa"/>
            <w:vAlign w:val="center"/>
          </w:tcPr>
          <w:p w14:paraId="59150F94">
            <w:pPr>
              <w:adjustRightInd w:val="0"/>
              <w:snapToGrid w:val="0"/>
              <w:spacing w:line="360" w:lineRule="auto"/>
              <w:rPr>
                <w:rFonts w:hint="default" w:ascii="宋体" w:hAnsi="宋体" w:eastAsia="宋体" w:cs="宋体"/>
                <w:color w:val="auto"/>
                <w:highlight w:val="none"/>
                <w:lang w:val="en-US" w:eastAsia="zh-CN"/>
              </w:rPr>
            </w:pPr>
            <w:r>
              <w:rPr>
                <w:rFonts w:hint="eastAsia" w:ascii="宋体" w:hAnsi="宋体" w:cs="宋体"/>
                <w:color w:val="auto"/>
                <w:szCs w:val="21"/>
                <w:highlight w:val="none"/>
              </w:rPr>
              <w:t>根据《云南省人民政府关于印发〔2024〕年进一步推动经济稳进提质政策措施的通知》（云政发〔2024〕7号）第十八条规定</w:t>
            </w:r>
            <w:r>
              <w:rPr>
                <w:rFonts w:hint="eastAsia" w:ascii="宋体" w:hAnsi="宋体" w:cs="宋体"/>
                <w:color w:val="auto"/>
                <w:szCs w:val="21"/>
                <w:highlight w:val="none"/>
                <w:lang w:eastAsia="zh-CN"/>
              </w:rPr>
              <w:t>：“</w:t>
            </w:r>
            <w:r>
              <w:rPr>
                <w:rFonts w:hint="eastAsia" w:ascii="宋体" w:hAnsi="宋体" w:cs="宋体"/>
                <w:color w:val="auto"/>
                <w:szCs w:val="21"/>
                <w:highlight w:val="none"/>
              </w:rPr>
              <w:t>在工程建设项目招投标领域，对依法必须招标且标的金额 1000 万元以下（含1000万元）的政府投资项目，免于收取无失信记录企业投标保证金</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；本项目不要求递交投标保证金。</w:t>
            </w:r>
          </w:p>
        </w:tc>
      </w:tr>
      <w:tr w14:paraId="0958C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39" w:type="dxa"/>
            <w:vAlign w:val="center"/>
          </w:tcPr>
          <w:p w14:paraId="421574CD">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3.6</w:t>
            </w:r>
          </w:p>
        </w:tc>
        <w:tc>
          <w:tcPr>
            <w:tcW w:w="1655" w:type="dxa"/>
            <w:vAlign w:val="center"/>
          </w:tcPr>
          <w:p w14:paraId="533DB5F9">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是否允许递交备选投标方案</w:t>
            </w:r>
          </w:p>
        </w:tc>
        <w:tc>
          <w:tcPr>
            <w:tcW w:w="7052" w:type="dxa"/>
            <w:vAlign w:val="center"/>
          </w:tcPr>
          <w:p w14:paraId="45401D05">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不允许。</w:t>
            </w:r>
          </w:p>
        </w:tc>
      </w:tr>
      <w:tr w14:paraId="1CFA9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39" w:type="dxa"/>
            <w:vAlign w:val="center"/>
          </w:tcPr>
          <w:p w14:paraId="128B53C4">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3.7.1</w:t>
            </w:r>
          </w:p>
        </w:tc>
        <w:tc>
          <w:tcPr>
            <w:tcW w:w="1655" w:type="dxa"/>
            <w:vAlign w:val="center"/>
          </w:tcPr>
          <w:p w14:paraId="19CBFBA1">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投标文件格式</w:t>
            </w:r>
          </w:p>
        </w:tc>
        <w:tc>
          <w:tcPr>
            <w:tcW w:w="7052" w:type="dxa"/>
            <w:vAlign w:val="center"/>
          </w:tcPr>
          <w:p w14:paraId="12A6DBC5">
            <w:pPr>
              <w:adjustRightInd w:val="0"/>
              <w:snapToGrid w:val="0"/>
              <w:spacing w:line="360" w:lineRule="auto"/>
              <w:rPr>
                <w:rFonts w:hint="eastAsia" w:ascii="宋体" w:hAnsi="宋体" w:cs="宋体"/>
                <w:color w:val="auto"/>
                <w:szCs w:val="21"/>
                <w:highlight w:val="none"/>
              </w:rPr>
            </w:pPr>
            <w:r>
              <w:rPr>
                <w:rFonts w:hint="eastAsia" w:ascii="宋体" w:hAnsi="宋体" w:cs="宋体"/>
                <w:color w:val="auto"/>
                <w:kern w:val="0"/>
                <w:highlight w:val="none"/>
              </w:rPr>
              <w:t>（1）投标文件全部采用电子文档，格式为*.BTBJ，应使用《云南省工程建设模块化投标文件编制系统》制作，并进行电子签名（或签字）及加密。</w:t>
            </w:r>
          </w:p>
        </w:tc>
      </w:tr>
      <w:tr w14:paraId="300F9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39" w:type="dxa"/>
            <w:vAlign w:val="center"/>
          </w:tcPr>
          <w:p w14:paraId="2D2CEEE6">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3.7.3</w:t>
            </w:r>
          </w:p>
        </w:tc>
        <w:tc>
          <w:tcPr>
            <w:tcW w:w="1655" w:type="dxa"/>
            <w:vAlign w:val="center"/>
          </w:tcPr>
          <w:p w14:paraId="4A5FA1AD">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投标文件的签署</w:t>
            </w:r>
          </w:p>
        </w:tc>
        <w:tc>
          <w:tcPr>
            <w:tcW w:w="7052" w:type="dxa"/>
            <w:vAlign w:val="center"/>
          </w:tcPr>
          <w:p w14:paraId="758C5B8C">
            <w:pPr>
              <w:numPr>
                <w:ilvl w:val="0"/>
                <w:numId w:val="10"/>
              </w:numPr>
              <w:spacing w:line="360" w:lineRule="auto"/>
              <w:rPr>
                <w:rFonts w:hint="eastAsia" w:ascii="宋体" w:hAnsi="宋体" w:cs="宋体"/>
                <w:color w:val="auto"/>
                <w:highlight w:val="none"/>
              </w:rPr>
            </w:pPr>
            <w:r>
              <w:rPr>
                <w:rFonts w:hint="eastAsia" w:ascii="宋体" w:hAnsi="宋体" w:cs="宋体"/>
                <w:color w:val="auto"/>
                <w:highlight w:val="none"/>
              </w:rPr>
              <w:t>按照投标文件格式，采用单位和个人数字证书电子签章（或盖章）及电子签名（或签字）。</w:t>
            </w:r>
          </w:p>
          <w:p w14:paraId="18E9A4D2">
            <w:pPr>
              <w:numPr>
                <w:ilvl w:val="0"/>
                <w:numId w:val="10"/>
              </w:numPr>
              <w:spacing w:line="360" w:lineRule="auto"/>
              <w:rPr>
                <w:rFonts w:hint="eastAsia" w:ascii="宋体" w:hAnsi="宋体" w:cs="宋体"/>
                <w:color w:val="auto"/>
                <w:szCs w:val="21"/>
                <w:highlight w:val="none"/>
              </w:rPr>
            </w:pPr>
            <w:r>
              <w:rPr>
                <w:rFonts w:hint="eastAsia" w:ascii="宋体" w:hAnsi="宋体" w:cs="宋体"/>
                <w:color w:val="auto"/>
                <w:highlight w:val="none"/>
              </w:rPr>
              <w:t>投标文件在需要电子签章（或盖章）的地方进行电子签章（或盖章），无需逐页电子签章（或盖章）。</w:t>
            </w:r>
          </w:p>
        </w:tc>
      </w:tr>
      <w:tr w14:paraId="1EF0CF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39" w:type="dxa"/>
            <w:vAlign w:val="center"/>
          </w:tcPr>
          <w:p w14:paraId="0595757D">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3.7.4</w:t>
            </w:r>
          </w:p>
        </w:tc>
        <w:tc>
          <w:tcPr>
            <w:tcW w:w="1655" w:type="dxa"/>
            <w:vAlign w:val="center"/>
          </w:tcPr>
          <w:p w14:paraId="3DDE6741">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投标文件的提交及解密须知</w:t>
            </w:r>
          </w:p>
        </w:tc>
        <w:tc>
          <w:tcPr>
            <w:tcW w:w="7052" w:type="dxa"/>
            <w:vAlign w:val="center"/>
          </w:tcPr>
          <w:p w14:paraId="7780A8EF">
            <w:pPr>
              <w:wordWrap w:val="0"/>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1、网上递交：网上递交网址为云南省公共资源交易信息网（https：//ggzy.yn.gov.cn/），进入后切换至</w:t>
            </w:r>
            <w:r>
              <w:rPr>
                <w:rFonts w:hint="eastAsia" w:ascii="宋体" w:hAnsi="宋体" w:cs="宋体"/>
                <w:color w:val="auto"/>
                <w:szCs w:val="21"/>
                <w:highlight w:val="none"/>
                <w:lang w:eastAsia="zh-CN"/>
              </w:rPr>
              <w:t>文山州</w:t>
            </w:r>
            <w:r>
              <w:rPr>
                <w:rFonts w:hint="eastAsia" w:ascii="宋体" w:hAnsi="宋体" w:cs="宋体"/>
                <w:color w:val="auto"/>
                <w:szCs w:val="21"/>
                <w:highlight w:val="none"/>
              </w:rPr>
              <w:t>），投标人须在投标截止时间前完成所有投标文件的上传，网上确认电子签名，并打印“上传投标文件回执”，投标截止时间前未完成投标文件传输的，视为撤回投标文件。</w:t>
            </w:r>
          </w:p>
          <w:p w14:paraId="4C4AEB76">
            <w:pPr>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2、网上递交的投标文件应使用数字证书进行加密。投标人使用某个数字证书（CA）对投标文件进行了数字证书（CA）加密，需要在网上远程解密时使用该数字证书（CA）进行网上远程解密，才能读取或导入投标文件，因投标人原因造成投标文件未解密的，视为撤回其投标文件。</w:t>
            </w:r>
          </w:p>
          <w:p w14:paraId="088CBA58">
            <w:pPr>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3、本项目开标方式采用网上智能开标远程解密方式，投标人无需亲临开标现场参与开标和解密投标文件。请各投标人自行查阅“云南省公共资源交易信息网”关于网上智能开标解锁的相关教程。技术咨询：北京筑龙信息技术有限责任公司，电话：010-86483801，QQ：4009618998。</w:t>
            </w:r>
          </w:p>
        </w:tc>
      </w:tr>
      <w:tr w14:paraId="42479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39" w:type="dxa"/>
            <w:vAlign w:val="center"/>
          </w:tcPr>
          <w:p w14:paraId="381DE204">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3.7.5</w:t>
            </w:r>
          </w:p>
        </w:tc>
        <w:tc>
          <w:tcPr>
            <w:tcW w:w="1655" w:type="dxa"/>
            <w:vAlign w:val="center"/>
          </w:tcPr>
          <w:p w14:paraId="7039805A">
            <w:pPr>
              <w:spacing w:line="360" w:lineRule="auto"/>
              <w:jc w:val="center"/>
              <w:rPr>
                <w:rFonts w:hint="eastAsia" w:ascii="宋体" w:hAnsi="宋体" w:cs="宋体"/>
                <w:color w:val="auto"/>
                <w:highlight w:val="none"/>
              </w:rPr>
            </w:pPr>
            <w:r>
              <w:rPr>
                <w:rFonts w:hint="eastAsia" w:ascii="宋体" w:hAnsi="宋体" w:cs="宋体"/>
                <w:color w:val="auto"/>
                <w:highlight w:val="none"/>
              </w:rPr>
              <w:t>投标文件的密封</w:t>
            </w:r>
          </w:p>
        </w:tc>
        <w:tc>
          <w:tcPr>
            <w:tcW w:w="7052" w:type="dxa"/>
            <w:vAlign w:val="center"/>
          </w:tcPr>
          <w:p w14:paraId="683D9C3F">
            <w:pPr>
              <w:spacing w:line="360" w:lineRule="auto"/>
              <w:rPr>
                <w:rFonts w:hint="eastAsia" w:ascii="宋体" w:hAnsi="宋体" w:cs="宋体"/>
                <w:b/>
                <w:bCs/>
                <w:color w:val="auto"/>
                <w:highlight w:val="none"/>
              </w:rPr>
            </w:pPr>
            <w:r>
              <w:rPr>
                <w:rFonts w:hint="eastAsia" w:ascii="宋体" w:hAnsi="宋体" w:cs="宋体"/>
                <w:bCs/>
                <w:color w:val="auto"/>
                <w:szCs w:val="21"/>
                <w:highlight w:val="none"/>
              </w:rPr>
              <w:t>网上递交的投标文件应使用数字证书进行加密。投标人使用某个数字证书（CA）对投标文件进行了数字证书（CA）加密，需要在网上远程解密时使用该数字证书（CA）进行网上远程解密，才能读取或导入投标文件，因投标人原因造成投标文件未解密的，视为撤回其投标文件。</w:t>
            </w:r>
          </w:p>
        </w:tc>
      </w:tr>
      <w:tr w14:paraId="17DEB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39" w:type="dxa"/>
            <w:vAlign w:val="center"/>
          </w:tcPr>
          <w:p w14:paraId="4212933B">
            <w:pPr>
              <w:spacing w:line="360" w:lineRule="auto"/>
              <w:jc w:val="center"/>
              <w:rPr>
                <w:rFonts w:hint="eastAsia" w:ascii="宋体" w:hAnsi="宋体" w:cs="宋体"/>
                <w:color w:val="auto"/>
                <w:szCs w:val="21"/>
                <w:highlight w:val="none"/>
              </w:rPr>
            </w:pPr>
            <w:r>
              <w:rPr>
                <w:rFonts w:hint="eastAsia" w:ascii="宋体" w:hAnsi="宋体" w:cs="宋体"/>
                <w:color w:val="auto"/>
                <w:kern w:val="21"/>
                <w:szCs w:val="21"/>
                <w:highlight w:val="none"/>
              </w:rPr>
              <w:t>4.1</w:t>
            </w:r>
          </w:p>
        </w:tc>
        <w:tc>
          <w:tcPr>
            <w:tcW w:w="1655" w:type="dxa"/>
            <w:vAlign w:val="center"/>
          </w:tcPr>
          <w:p w14:paraId="274B411A">
            <w:pPr>
              <w:spacing w:line="360" w:lineRule="auto"/>
              <w:jc w:val="center"/>
              <w:rPr>
                <w:rFonts w:hint="eastAsia" w:ascii="宋体" w:hAnsi="宋体" w:cs="宋体"/>
                <w:color w:val="auto"/>
                <w:highlight w:val="none"/>
              </w:rPr>
            </w:pPr>
            <w:r>
              <w:rPr>
                <w:rFonts w:hint="eastAsia" w:ascii="宋体" w:hAnsi="宋体" w:cs="宋体"/>
                <w:color w:val="auto"/>
                <w:kern w:val="21"/>
                <w:szCs w:val="21"/>
                <w:highlight w:val="none"/>
              </w:rPr>
              <w:t>投标文件的加密</w:t>
            </w:r>
          </w:p>
        </w:tc>
        <w:tc>
          <w:tcPr>
            <w:tcW w:w="7052" w:type="dxa"/>
            <w:vAlign w:val="center"/>
          </w:tcPr>
          <w:p w14:paraId="3C82CAA3">
            <w:pPr>
              <w:spacing w:line="360" w:lineRule="auto"/>
              <w:rPr>
                <w:rFonts w:hint="eastAsia" w:ascii="宋体" w:hAnsi="宋体" w:cs="宋体"/>
                <w:bCs/>
                <w:color w:val="auto"/>
                <w:szCs w:val="21"/>
                <w:highlight w:val="none"/>
              </w:rPr>
            </w:pPr>
            <w:r>
              <w:rPr>
                <w:rFonts w:hint="eastAsia" w:ascii="宋体" w:hAnsi="宋体" w:cs="宋体"/>
                <w:color w:val="auto"/>
                <w:kern w:val="21"/>
                <w:szCs w:val="21"/>
                <w:highlight w:val="none"/>
              </w:rPr>
              <w:t>投标文件制作完成后，投标人应使用 CA 数字证书对投标文件进行文件加密，形成加密的投标文件。</w:t>
            </w:r>
          </w:p>
        </w:tc>
      </w:tr>
      <w:tr w14:paraId="6D8E9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39" w:type="dxa"/>
            <w:vAlign w:val="center"/>
          </w:tcPr>
          <w:p w14:paraId="2AF912E3">
            <w:pPr>
              <w:spacing w:line="360" w:lineRule="auto"/>
              <w:jc w:val="center"/>
              <w:rPr>
                <w:rFonts w:hint="eastAsia" w:ascii="宋体" w:hAnsi="宋体" w:cs="宋体"/>
                <w:color w:val="auto"/>
                <w:kern w:val="21"/>
                <w:szCs w:val="21"/>
                <w:highlight w:val="none"/>
              </w:rPr>
            </w:pPr>
            <w:r>
              <w:rPr>
                <w:rFonts w:hint="eastAsia" w:ascii="宋体" w:hAnsi="宋体" w:cs="宋体"/>
                <w:color w:val="auto"/>
                <w:kern w:val="21"/>
                <w:szCs w:val="21"/>
                <w:highlight w:val="none"/>
              </w:rPr>
              <w:t>4.2.1</w:t>
            </w:r>
          </w:p>
        </w:tc>
        <w:tc>
          <w:tcPr>
            <w:tcW w:w="1655" w:type="dxa"/>
            <w:vAlign w:val="center"/>
          </w:tcPr>
          <w:p w14:paraId="38C0AE09">
            <w:pPr>
              <w:spacing w:line="360" w:lineRule="auto"/>
              <w:jc w:val="center"/>
              <w:rPr>
                <w:rFonts w:hint="eastAsia" w:ascii="宋体" w:hAnsi="宋体" w:cs="宋体"/>
                <w:color w:val="auto"/>
                <w:kern w:val="21"/>
                <w:szCs w:val="21"/>
                <w:highlight w:val="none"/>
              </w:rPr>
            </w:pPr>
            <w:r>
              <w:rPr>
                <w:rFonts w:hint="eastAsia" w:ascii="宋体" w:hAnsi="宋体" w:cs="宋体"/>
                <w:bCs/>
                <w:color w:val="auto"/>
                <w:kern w:val="21"/>
                <w:szCs w:val="21"/>
                <w:highlight w:val="none"/>
              </w:rPr>
              <w:t>上传电子投标文件</w:t>
            </w:r>
          </w:p>
        </w:tc>
        <w:tc>
          <w:tcPr>
            <w:tcW w:w="7052" w:type="dxa"/>
            <w:vAlign w:val="center"/>
          </w:tcPr>
          <w:p w14:paraId="30BF7134">
            <w:pPr>
              <w:spacing w:line="360" w:lineRule="auto"/>
              <w:rPr>
                <w:rFonts w:hint="eastAsia" w:ascii="宋体" w:hAnsi="宋体" w:cs="宋体"/>
                <w:color w:val="auto"/>
                <w:kern w:val="21"/>
                <w:szCs w:val="21"/>
                <w:highlight w:val="none"/>
              </w:rPr>
            </w:pPr>
            <w:r>
              <w:rPr>
                <w:rFonts w:hint="eastAsia" w:ascii="宋体" w:hAnsi="宋体" w:cs="宋体"/>
                <w:color w:val="auto"/>
                <w:kern w:val="21"/>
                <w:szCs w:val="21"/>
                <w:highlight w:val="none"/>
              </w:rPr>
              <w:t>见招标公告</w:t>
            </w:r>
          </w:p>
        </w:tc>
      </w:tr>
      <w:tr w14:paraId="34681A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39" w:type="dxa"/>
            <w:vAlign w:val="center"/>
          </w:tcPr>
          <w:p w14:paraId="1631A6BE">
            <w:pPr>
              <w:spacing w:line="360" w:lineRule="auto"/>
              <w:jc w:val="center"/>
              <w:rPr>
                <w:rFonts w:hint="eastAsia" w:ascii="宋体" w:hAnsi="宋体" w:cs="宋体"/>
                <w:color w:val="auto"/>
                <w:kern w:val="21"/>
                <w:szCs w:val="21"/>
                <w:highlight w:val="none"/>
              </w:rPr>
            </w:pPr>
            <w:r>
              <w:rPr>
                <w:rFonts w:hint="eastAsia" w:ascii="宋体" w:hAnsi="宋体" w:cs="宋体"/>
                <w:color w:val="auto"/>
                <w:kern w:val="21"/>
                <w:szCs w:val="21"/>
                <w:highlight w:val="none"/>
              </w:rPr>
              <w:t>4.2.2</w:t>
            </w:r>
          </w:p>
        </w:tc>
        <w:tc>
          <w:tcPr>
            <w:tcW w:w="1655" w:type="dxa"/>
            <w:vAlign w:val="center"/>
          </w:tcPr>
          <w:p w14:paraId="0A0AFD8C">
            <w:pPr>
              <w:spacing w:line="360" w:lineRule="auto"/>
              <w:jc w:val="center"/>
              <w:rPr>
                <w:rFonts w:hint="eastAsia" w:ascii="宋体" w:hAnsi="宋体" w:cs="宋体"/>
                <w:bCs/>
                <w:color w:val="auto"/>
                <w:kern w:val="21"/>
                <w:szCs w:val="21"/>
                <w:highlight w:val="none"/>
              </w:rPr>
            </w:pPr>
            <w:r>
              <w:rPr>
                <w:rFonts w:hint="eastAsia" w:ascii="宋体" w:hAnsi="宋体" w:cs="宋体"/>
                <w:color w:val="auto"/>
                <w:kern w:val="21"/>
                <w:szCs w:val="21"/>
                <w:highlight w:val="none"/>
              </w:rPr>
              <w:t>是否退还投标文件</w:t>
            </w:r>
          </w:p>
        </w:tc>
        <w:tc>
          <w:tcPr>
            <w:tcW w:w="7052" w:type="dxa"/>
            <w:vAlign w:val="center"/>
          </w:tcPr>
          <w:p w14:paraId="5391EF86">
            <w:pPr>
              <w:spacing w:line="360" w:lineRule="auto"/>
              <w:rPr>
                <w:rFonts w:hint="eastAsia" w:ascii="宋体" w:hAnsi="宋体" w:cs="宋体"/>
                <w:color w:val="auto"/>
                <w:kern w:val="21"/>
                <w:szCs w:val="21"/>
                <w:highlight w:val="none"/>
              </w:rPr>
            </w:pPr>
            <w:r>
              <w:rPr>
                <w:rFonts w:hint="eastAsia" w:ascii="宋体" w:hAnsi="宋体" w:cs="宋体"/>
                <w:color w:val="auto"/>
                <w:kern w:val="21"/>
                <w:szCs w:val="21"/>
                <w:highlight w:val="none"/>
              </w:rPr>
              <w:t>否</w:t>
            </w:r>
          </w:p>
        </w:tc>
      </w:tr>
      <w:tr w14:paraId="73E35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39" w:type="dxa"/>
            <w:vAlign w:val="center"/>
          </w:tcPr>
          <w:p w14:paraId="10820194">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5.1</w:t>
            </w:r>
          </w:p>
        </w:tc>
        <w:tc>
          <w:tcPr>
            <w:tcW w:w="1655" w:type="dxa"/>
            <w:vAlign w:val="center"/>
          </w:tcPr>
          <w:p w14:paraId="28423477">
            <w:pPr>
              <w:spacing w:line="360" w:lineRule="auto"/>
              <w:jc w:val="cente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开标时间和地点</w:t>
            </w:r>
          </w:p>
        </w:tc>
        <w:tc>
          <w:tcPr>
            <w:tcW w:w="7052" w:type="dxa"/>
            <w:vAlign w:val="center"/>
          </w:tcPr>
          <w:p w14:paraId="179281EE">
            <w:pPr>
              <w:spacing w:line="360" w:lineRule="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开标时间：同投标截止时间</w:t>
            </w:r>
          </w:p>
          <w:p w14:paraId="0D3841E4">
            <w:pPr>
              <w:spacing w:line="360" w:lineRule="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开标地点：本项目采用网上远程开标（即远程在线开标）</w:t>
            </w:r>
          </w:p>
        </w:tc>
      </w:tr>
      <w:tr w14:paraId="19A73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39" w:type="dxa"/>
            <w:vAlign w:val="center"/>
          </w:tcPr>
          <w:p w14:paraId="5002EC22">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6.1.1</w:t>
            </w:r>
          </w:p>
        </w:tc>
        <w:tc>
          <w:tcPr>
            <w:tcW w:w="1655" w:type="dxa"/>
            <w:vAlign w:val="center"/>
          </w:tcPr>
          <w:p w14:paraId="0B84D658">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评标委员会的组建</w:t>
            </w:r>
          </w:p>
        </w:tc>
        <w:tc>
          <w:tcPr>
            <w:tcW w:w="7052" w:type="dxa"/>
            <w:vAlign w:val="center"/>
          </w:tcPr>
          <w:p w14:paraId="31379BFB">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评标委员会构成：5人及以上的单数</w:t>
            </w:r>
            <w:r>
              <w:rPr>
                <w:rFonts w:hint="eastAsia" w:ascii="宋体" w:hAnsi="宋体" w:cs="宋体"/>
                <w:color w:val="auto"/>
                <w:szCs w:val="21"/>
                <w:highlight w:val="none"/>
                <w:lang w:val="en-US" w:eastAsia="zh-CN"/>
              </w:rPr>
              <w:t>组成</w:t>
            </w:r>
            <w:r>
              <w:rPr>
                <w:rFonts w:hint="eastAsia" w:ascii="宋体" w:hAnsi="宋体" w:cs="宋体"/>
                <w:color w:val="auto"/>
                <w:szCs w:val="21"/>
                <w:highlight w:val="none"/>
              </w:rPr>
              <w:t>；</w:t>
            </w:r>
          </w:p>
          <w:p w14:paraId="6F724A50">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评标委员会由招标人代表和技术、经济等有关方面的专家组成。其中技术、经济等方面的专家不得少于成员总数的三分之二，招标人代表不得超过成员总数的三分之一</w:t>
            </w:r>
            <w:r>
              <w:rPr>
                <w:rFonts w:hint="eastAsia" w:ascii="宋体" w:hAnsi="宋体" w:cs="宋体"/>
                <w:color w:val="auto"/>
                <w:szCs w:val="21"/>
                <w:highlight w:val="none"/>
                <w:lang w:eastAsia="zh-CN"/>
              </w:rPr>
              <w:t>，</w:t>
            </w:r>
            <w:r>
              <w:rPr>
                <w:rFonts w:hint="eastAsia" w:ascii="宋体" w:hAnsi="宋体" w:cs="宋体"/>
                <w:color w:val="auto"/>
                <w:szCs w:val="21"/>
                <w:highlight w:val="none"/>
              </w:rPr>
              <w:t>技术、经济等有关方面的专家从《云南省综合评标专家库》随机抽取。</w:t>
            </w:r>
          </w:p>
        </w:tc>
      </w:tr>
      <w:tr w14:paraId="50A7AA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39" w:type="dxa"/>
            <w:vAlign w:val="center"/>
          </w:tcPr>
          <w:p w14:paraId="53700E34">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6.3</w:t>
            </w:r>
          </w:p>
        </w:tc>
        <w:tc>
          <w:tcPr>
            <w:tcW w:w="1655" w:type="dxa"/>
            <w:vAlign w:val="center"/>
          </w:tcPr>
          <w:p w14:paraId="264D2D58">
            <w:pPr>
              <w:spacing w:line="360" w:lineRule="auto"/>
              <w:jc w:val="center"/>
              <w:rPr>
                <w:rFonts w:hint="eastAsia" w:ascii="宋体" w:hAnsi="宋体" w:cs="宋体"/>
                <w:color w:val="auto"/>
                <w:szCs w:val="21"/>
                <w:highlight w:val="none"/>
              </w:rPr>
            </w:pPr>
            <w:r>
              <w:rPr>
                <w:rFonts w:hint="eastAsia" w:ascii="宋体" w:hAnsi="宋体" w:cs="宋体"/>
                <w:color w:val="auto"/>
                <w:highlight w:val="none"/>
              </w:rPr>
              <w:t>评标方法及标准</w:t>
            </w:r>
          </w:p>
        </w:tc>
        <w:tc>
          <w:tcPr>
            <w:tcW w:w="7052" w:type="dxa"/>
            <w:vAlign w:val="center"/>
          </w:tcPr>
          <w:p w14:paraId="5C2E6408">
            <w:pPr>
              <w:spacing w:line="360" w:lineRule="auto"/>
              <w:rPr>
                <w:rFonts w:hint="eastAsia" w:ascii="宋体" w:hAnsi="宋体" w:cs="宋体"/>
                <w:color w:val="auto"/>
                <w:szCs w:val="21"/>
                <w:highlight w:val="none"/>
              </w:rPr>
            </w:pPr>
            <w:r>
              <w:rPr>
                <w:rFonts w:hint="eastAsia" w:ascii="宋体" w:hAnsi="宋体" w:cs="宋体"/>
                <w:b/>
                <w:bCs/>
                <w:color w:val="auto"/>
                <w:highlight w:val="none"/>
              </w:rPr>
              <w:t>综合评估法</w:t>
            </w:r>
          </w:p>
        </w:tc>
      </w:tr>
      <w:tr w14:paraId="3DBAC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39" w:type="dxa"/>
            <w:vAlign w:val="center"/>
          </w:tcPr>
          <w:p w14:paraId="42A53DD6">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7.1</w:t>
            </w:r>
          </w:p>
        </w:tc>
        <w:tc>
          <w:tcPr>
            <w:tcW w:w="1655" w:type="dxa"/>
            <w:vAlign w:val="center"/>
          </w:tcPr>
          <w:p w14:paraId="4A7DD2C6">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是否授权评标委员会确定中标人</w:t>
            </w:r>
          </w:p>
        </w:tc>
        <w:tc>
          <w:tcPr>
            <w:tcW w:w="7052" w:type="dxa"/>
            <w:vAlign w:val="center"/>
          </w:tcPr>
          <w:p w14:paraId="39BACF13">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否</w:t>
            </w:r>
          </w:p>
          <w:p w14:paraId="0D74641B">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由评标委员会根据“第三章 评标办法”的相关规定推荐1～3名中标候选人。</w:t>
            </w:r>
          </w:p>
        </w:tc>
      </w:tr>
      <w:tr w14:paraId="23F94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39" w:type="dxa"/>
            <w:vAlign w:val="center"/>
          </w:tcPr>
          <w:p w14:paraId="4A1A1D1D">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7.3.1</w:t>
            </w:r>
          </w:p>
        </w:tc>
        <w:tc>
          <w:tcPr>
            <w:tcW w:w="1655" w:type="dxa"/>
            <w:vAlign w:val="center"/>
          </w:tcPr>
          <w:p w14:paraId="683ACE8E">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履约担保</w:t>
            </w:r>
          </w:p>
        </w:tc>
        <w:tc>
          <w:tcPr>
            <w:tcW w:w="7052" w:type="dxa"/>
            <w:vAlign w:val="center"/>
          </w:tcPr>
          <w:p w14:paraId="2AD601F7">
            <w:pPr>
              <w:spacing w:line="360" w:lineRule="auto"/>
              <w:rPr>
                <w:rFonts w:hint="eastAsia" w:ascii="宋体" w:hAnsi="宋体" w:eastAsia="宋体" w:cs="宋体"/>
                <w:color w:val="auto"/>
                <w:szCs w:val="21"/>
                <w:highlight w:val="none"/>
                <w:lang w:eastAsia="zh-CN"/>
              </w:rPr>
            </w:pPr>
            <w:r>
              <w:rPr>
                <w:rFonts w:hint="eastAsia" w:ascii="宋体" w:hAnsi="宋体" w:cs="宋体"/>
                <w:color w:val="auto"/>
                <w:highlight w:val="none"/>
                <w:lang w:val="en-US" w:eastAsia="zh-CN"/>
              </w:rPr>
              <w:t>不要求</w:t>
            </w:r>
          </w:p>
        </w:tc>
      </w:tr>
      <w:tr w14:paraId="486AE0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39" w:type="dxa"/>
            <w:vAlign w:val="center"/>
          </w:tcPr>
          <w:p w14:paraId="64298C39">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10</w:t>
            </w:r>
          </w:p>
        </w:tc>
        <w:tc>
          <w:tcPr>
            <w:tcW w:w="8707" w:type="dxa"/>
            <w:gridSpan w:val="2"/>
            <w:vAlign w:val="center"/>
          </w:tcPr>
          <w:p w14:paraId="071034B2">
            <w:pPr>
              <w:spacing w:line="360" w:lineRule="auto"/>
              <w:jc w:val="center"/>
              <w:rPr>
                <w:rFonts w:hint="eastAsia" w:ascii="宋体" w:hAnsi="宋体" w:cs="宋体"/>
                <w:color w:val="auto"/>
                <w:sz w:val="24"/>
                <w:highlight w:val="none"/>
              </w:rPr>
            </w:pPr>
            <w:r>
              <w:rPr>
                <w:rFonts w:hint="eastAsia" w:ascii="宋体" w:hAnsi="宋体" w:cs="宋体"/>
                <w:color w:val="auto"/>
                <w:sz w:val="22"/>
                <w:szCs w:val="18"/>
                <w:highlight w:val="none"/>
              </w:rPr>
              <w:t>需要补充的其他内容</w:t>
            </w:r>
          </w:p>
        </w:tc>
      </w:tr>
      <w:tr w14:paraId="6EEF5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39" w:type="dxa"/>
            <w:vAlign w:val="center"/>
          </w:tcPr>
          <w:p w14:paraId="3C762881">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10.1</w:t>
            </w:r>
          </w:p>
        </w:tc>
        <w:tc>
          <w:tcPr>
            <w:tcW w:w="1655" w:type="dxa"/>
            <w:vAlign w:val="center"/>
          </w:tcPr>
          <w:p w14:paraId="77EFD701">
            <w:pPr>
              <w:spacing w:line="360" w:lineRule="auto"/>
              <w:jc w:val="center"/>
              <w:rPr>
                <w:rFonts w:hint="eastAsia" w:ascii="宋体" w:hAnsi="宋体" w:cs="宋体"/>
                <w:color w:val="auto"/>
                <w:szCs w:val="21"/>
                <w:highlight w:val="none"/>
              </w:rPr>
            </w:pPr>
            <w:r>
              <w:rPr>
                <w:rFonts w:hint="eastAsia" w:ascii="宋体" w:hAnsi="宋体" w:cs="宋体"/>
                <w:color w:val="auto"/>
                <w:highlight w:val="none"/>
              </w:rPr>
              <w:t>同义词语</w:t>
            </w:r>
          </w:p>
        </w:tc>
        <w:tc>
          <w:tcPr>
            <w:tcW w:w="7052" w:type="dxa"/>
            <w:vAlign w:val="center"/>
          </w:tcPr>
          <w:p w14:paraId="227DB8C1">
            <w:pPr>
              <w:spacing w:line="360" w:lineRule="auto"/>
              <w:rPr>
                <w:rFonts w:hint="eastAsia" w:ascii="宋体" w:hAnsi="宋体" w:cs="宋体"/>
                <w:color w:val="auto"/>
                <w:szCs w:val="28"/>
                <w:highlight w:val="none"/>
              </w:rPr>
            </w:pPr>
            <w:r>
              <w:rPr>
                <w:rFonts w:hint="eastAsia" w:ascii="宋体" w:hAnsi="宋体" w:cs="宋体"/>
                <w:color w:val="auto"/>
                <w:highlight w:val="none"/>
              </w:rPr>
              <w:t>构成招标文件组成部分的“通用合同条款”、“专用合同条款”、“技术标准和要求”等章节中出现的措辞“发包人”和“承包人”，在招标投标阶段应当分别按“招标人”和“投标人”进行理解。</w:t>
            </w:r>
          </w:p>
        </w:tc>
      </w:tr>
      <w:tr w14:paraId="428DB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39" w:type="dxa"/>
            <w:tcBorders>
              <w:top w:val="single" w:color="auto" w:sz="4" w:space="0"/>
              <w:left w:val="single" w:color="auto" w:sz="4" w:space="0"/>
              <w:bottom w:val="single" w:color="auto" w:sz="4" w:space="0"/>
              <w:right w:val="single" w:color="auto" w:sz="4" w:space="0"/>
            </w:tcBorders>
            <w:vAlign w:val="center"/>
          </w:tcPr>
          <w:p w14:paraId="30578C08">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10.2</w:t>
            </w:r>
          </w:p>
        </w:tc>
        <w:tc>
          <w:tcPr>
            <w:tcW w:w="1655" w:type="dxa"/>
            <w:tcBorders>
              <w:top w:val="single" w:color="auto" w:sz="4" w:space="0"/>
              <w:left w:val="single" w:color="auto" w:sz="4" w:space="0"/>
              <w:bottom w:val="single" w:color="auto" w:sz="4" w:space="0"/>
              <w:right w:val="single" w:color="auto" w:sz="4" w:space="0"/>
            </w:tcBorders>
            <w:vAlign w:val="center"/>
          </w:tcPr>
          <w:p w14:paraId="3BEDB0DA">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“暗标”评审</w:t>
            </w:r>
          </w:p>
        </w:tc>
        <w:tc>
          <w:tcPr>
            <w:tcW w:w="7052" w:type="dxa"/>
            <w:tcBorders>
              <w:top w:val="single" w:color="auto" w:sz="4" w:space="0"/>
              <w:left w:val="single" w:color="auto" w:sz="4" w:space="0"/>
              <w:bottom w:val="single" w:color="auto" w:sz="4" w:space="0"/>
              <w:right w:val="single" w:color="auto" w:sz="4" w:space="0"/>
            </w:tcBorders>
            <w:vAlign w:val="center"/>
          </w:tcPr>
          <w:p w14:paraId="193284EF">
            <w:pPr>
              <w:adjustRightInd w:val="0"/>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不采用</w:t>
            </w:r>
          </w:p>
        </w:tc>
      </w:tr>
      <w:tr w14:paraId="610A01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39" w:type="dxa"/>
            <w:tcBorders>
              <w:top w:val="single" w:color="auto" w:sz="4" w:space="0"/>
              <w:left w:val="single" w:color="auto" w:sz="4" w:space="0"/>
              <w:bottom w:val="single" w:color="auto" w:sz="4" w:space="0"/>
              <w:right w:val="single" w:color="auto" w:sz="4" w:space="0"/>
            </w:tcBorders>
            <w:vAlign w:val="center"/>
          </w:tcPr>
          <w:p w14:paraId="183612C3">
            <w:pPr>
              <w:spacing w:line="360" w:lineRule="auto"/>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10.</w:t>
            </w:r>
            <w:r>
              <w:rPr>
                <w:rFonts w:hint="eastAsia" w:ascii="宋体" w:hAnsi="宋体" w:cs="宋体"/>
                <w:color w:val="auto"/>
                <w:szCs w:val="21"/>
                <w:highlight w:val="none"/>
                <w:lang w:val="en-US" w:eastAsia="zh-CN"/>
              </w:rPr>
              <w:t>3</w:t>
            </w:r>
          </w:p>
        </w:tc>
        <w:tc>
          <w:tcPr>
            <w:tcW w:w="1655" w:type="dxa"/>
            <w:tcBorders>
              <w:top w:val="single" w:color="auto" w:sz="4" w:space="0"/>
              <w:left w:val="single" w:color="auto" w:sz="4" w:space="0"/>
              <w:bottom w:val="single" w:color="auto" w:sz="4" w:space="0"/>
              <w:right w:val="single" w:color="auto" w:sz="4" w:space="0"/>
            </w:tcBorders>
            <w:vAlign w:val="center"/>
          </w:tcPr>
          <w:p w14:paraId="543649B4">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评标结果公示</w:t>
            </w:r>
          </w:p>
        </w:tc>
        <w:tc>
          <w:tcPr>
            <w:tcW w:w="7052" w:type="dxa"/>
            <w:vAlign w:val="center"/>
          </w:tcPr>
          <w:p w14:paraId="5C2D9E45">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在中标通知书发出前，招标人将中标候选人的情况在本招标项目招标公告发布的同一媒介予以公示，公示期不少于3日。</w:t>
            </w:r>
          </w:p>
        </w:tc>
      </w:tr>
      <w:tr w14:paraId="1E32A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39" w:type="dxa"/>
            <w:tcBorders>
              <w:top w:val="single" w:color="auto" w:sz="4" w:space="0"/>
              <w:left w:val="single" w:color="auto" w:sz="4" w:space="0"/>
              <w:bottom w:val="single" w:color="auto" w:sz="4" w:space="0"/>
              <w:right w:val="single" w:color="auto" w:sz="4" w:space="0"/>
            </w:tcBorders>
            <w:vAlign w:val="center"/>
          </w:tcPr>
          <w:p w14:paraId="787E2760">
            <w:pPr>
              <w:spacing w:line="360" w:lineRule="auto"/>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10.</w:t>
            </w:r>
            <w:r>
              <w:rPr>
                <w:rFonts w:hint="eastAsia" w:ascii="宋体" w:hAnsi="宋体" w:cs="宋体"/>
                <w:color w:val="auto"/>
                <w:szCs w:val="21"/>
                <w:highlight w:val="none"/>
                <w:lang w:val="en-US" w:eastAsia="zh-CN"/>
              </w:rPr>
              <w:t>4</w:t>
            </w:r>
          </w:p>
        </w:tc>
        <w:tc>
          <w:tcPr>
            <w:tcW w:w="1655" w:type="dxa"/>
            <w:tcBorders>
              <w:top w:val="single" w:color="auto" w:sz="4" w:space="0"/>
              <w:left w:val="single" w:color="auto" w:sz="4" w:space="0"/>
              <w:bottom w:val="single" w:color="auto" w:sz="4" w:space="0"/>
              <w:right w:val="single" w:color="auto" w:sz="4" w:space="0"/>
            </w:tcBorders>
            <w:vAlign w:val="center"/>
          </w:tcPr>
          <w:p w14:paraId="6A04133B">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知识产权</w:t>
            </w:r>
          </w:p>
        </w:tc>
        <w:tc>
          <w:tcPr>
            <w:tcW w:w="7052" w:type="dxa"/>
            <w:tcBorders>
              <w:top w:val="single" w:color="auto" w:sz="4" w:space="0"/>
              <w:left w:val="single" w:color="auto" w:sz="4" w:space="0"/>
              <w:bottom w:val="single" w:color="auto" w:sz="4" w:space="0"/>
              <w:right w:val="single" w:color="auto" w:sz="4" w:space="0"/>
            </w:tcBorders>
            <w:vAlign w:val="center"/>
          </w:tcPr>
          <w:p w14:paraId="5EB60198">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构成本招标文件各个组成部分的文件，未经招标人书面同意，投标人不得擅自复印和用于非本招标项目所需的其他目的。招标人全部或部分使用未中标人投标文件中的技术成果或技术方案时，需征得其书面同意，并不得擅自复印或提供给第三人。</w:t>
            </w:r>
          </w:p>
        </w:tc>
      </w:tr>
      <w:tr w14:paraId="2B24A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39" w:type="dxa"/>
            <w:tcBorders>
              <w:top w:val="single" w:color="auto" w:sz="4" w:space="0"/>
              <w:left w:val="single" w:color="auto" w:sz="4" w:space="0"/>
              <w:bottom w:val="single" w:color="auto" w:sz="4" w:space="0"/>
              <w:right w:val="single" w:color="auto" w:sz="4" w:space="0"/>
            </w:tcBorders>
            <w:vAlign w:val="center"/>
          </w:tcPr>
          <w:p w14:paraId="4730C117">
            <w:pPr>
              <w:spacing w:line="360" w:lineRule="auto"/>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10.</w:t>
            </w:r>
            <w:r>
              <w:rPr>
                <w:rFonts w:hint="eastAsia" w:ascii="宋体" w:hAnsi="宋体" w:cs="宋体"/>
                <w:color w:val="auto"/>
                <w:szCs w:val="21"/>
                <w:highlight w:val="none"/>
                <w:lang w:val="en-US" w:eastAsia="zh-CN"/>
              </w:rPr>
              <w:t>5</w:t>
            </w:r>
          </w:p>
        </w:tc>
        <w:tc>
          <w:tcPr>
            <w:tcW w:w="1655" w:type="dxa"/>
            <w:tcBorders>
              <w:top w:val="single" w:color="auto" w:sz="4" w:space="0"/>
              <w:left w:val="single" w:color="auto" w:sz="4" w:space="0"/>
              <w:bottom w:val="single" w:color="auto" w:sz="4" w:space="0"/>
              <w:right w:val="single" w:color="auto" w:sz="4" w:space="0"/>
            </w:tcBorders>
            <w:vAlign w:val="center"/>
          </w:tcPr>
          <w:p w14:paraId="1886D9E2">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监督</w:t>
            </w:r>
          </w:p>
        </w:tc>
        <w:tc>
          <w:tcPr>
            <w:tcW w:w="7052" w:type="dxa"/>
            <w:tcBorders>
              <w:top w:val="single" w:color="auto" w:sz="4" w:space="0"/>
              <w:left w:val="single" w:color="auto" w:sz="4" w:space="0"/>
              <w:bottom w:val="single" w:color="auto" w:sz="4" w:space="0"/>
              <w:right w:val="single" w:color="auto" w:sz="4" w:space="0"/>
            </w:tcBorders>
            <w:vAlign w:val="center"/>
          </w:tcPr>
          <w:p w14:paraId="0EC0736C">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本项目的招标投标活动及其相关当事人应当接受有管辖权的建设工程招标投标行政监督部门依法实施的监督。</w:t>
            </w:r>
          </w:p>
        </w:tc>
      </w:tr>
      <w:tr w14:paraId="11F0E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39" w:type="dxa"/>
            <w:tcBorders>
              <w:top w:val="single" w:color="auto" w:sz="4" w:space="0"/>
              <w:left w:val="single" w:color="auto" w:sz="4" w:space="0"/>
              <w:right w:val="single" w:color="auto" w:sz="4" w:space="0"/>
            </w:tcBorders>
            <w:vAlign w:val="center"/>
          </w:tcPr>
          <w:p w14:paraId="3E5BDF57">
            <w:pPr>
              <w:spacing w:line="360" w:lineRule="auto"/>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10.</w:t>
            </w:r>
            <w:r>
              <w:rPr>
                <w:rFonts w:hint="eastAsia" w:ascii="宋体" w:hAnsi="宋体" w:cs="宋体"/>
                <w:color w:val="auto"/>
                <w:szCs w:val="21"/>
                <w:highlight w:val="none"/>
                <w:lang w:val="en-US" w:eastAsia="zh-CN"/>
              </w:rPr>
              <w:t>6</w:t>
            </w:r>
          </w:p>
        </w:tc>
        <w:tc>
          <w:tcPr>
            <w:tcW w:w="1655" w:type="dxa"/>
            <w:tcBorders>
              <w:top w:val="single" w:color="auto" w:sz="4" w:space="0"/>
              <w:left w:val="single" w:color="auto" w:sz="4" w:space="0"/>
              <w:right w:val="single" w:color="auto" w:sz="4" w:space="0"/>
            </w:tcBorders>
            <w:vAlign w:val="center"/>
          </w:tcPr>
          <w:p w14:paraId="3A8A0EA1">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招标文件的解释</w:t>
            </w:r>
          </w:p>
        </w:tc>
        <w:tc>
          <w:tcPr>
            <w:tcW w:w="7052" w:type="dxa"/>
            <w:tcBorders>
              <w:top w:val="single" w:color="auto" w:sz="4" w:space="0"/>
              <w:left w:val="single" w:color="auto" w:sz="4" w:space="0"/>
              <w:right w:val="single" w:color="auto" w:sz="4" w:space="0"/>
            </w:tcBorders>
            <w:vAlign w:val="center"/>
          </w:tcPr>
          <w:p w14:paraId="1693998C">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解释权：构成本招标文件的各个组成文件应互为解释，互为说明；如有不明确或不一致，构成合同文件组成内容的，以合同文件约定内容为准，且以专用合同条款约定的合同文件优先顺序解释；除招标文件中有特别规定外，仅适用于招标投标阶段的规定，按招标公告、投标人须知、评标办法、投标文件格式的先后顺序解释；同一组成文件中就同一事项的规定或约定不一致的，以编排顺序在后者为准；同一组成文件不同版本之间有不一致的，以形成时间在后者为准。按本款前述规定仍不能形成结论的，按照有利于所有投标人进行解释。</w:t>
            </w:r>
          </w:p>
        </w:tc>
      </w:tr>
      <w:tr w14:paraId="5E156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39" w:type="dxa"/>
            <w:tcBorders>
              <w:top w:val="single" w:color="auto" w:sz="4" w:space="0"/>
              <w:left w:val="single" w:color="auto" w:sz="4" w:space="0"/>
              <w:bottom w:val="single" w:color="auto" w:sz="4" w:space="0"/>
              <w:right w:val="single" w:color="auto" w:sz="4" w:space="0"/>
            </w:tcBorders>
            <w:vAlign w:val="center"/>
          </w:tcPr>
          <w:p w14:paraId="0E1467E6">
            <w:pPr>
              <w:spacing w:line="360" w:lineRule="auto"/>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10.</w:t>
            </w:r>
            <w:r>
              <w:rPr>
                <w:rFonts w:hint="eastAsia" w:ascii="宋体" w:hAnsi="宋体" w:cs="宋体"/>
                <w:color w:val="auto"/>
                <w:szCs w:val="21"/>
                <w:highlight w:val="none"/>
                <w:lang w:val="en-US" w:eastAsia="zh-CN"/>
              </w:rPr>
              <w:t>7</w:t>
            </w:r>
          </w:p>
        </w:tc>
        <w:tc>
          <w:tcPr>
            <w:tcW w:w="1655" w:type="dxa"/>
            <w:tcBorders>
              <w:top w:val="single" w:color="auto" w:sz="4" w:space="0"/>
              <w:left w:val="single" w:color="auto" w:sz="4" w:space="0"/>
              <w:bottom w:val="single" w:color="auto" w:sz="4" w:space="0"/>
              <w:right w:val="single" w:color="auto" w:sz="4" w:space="0"/>
            </w:tcBorders>
            <w:vAlign w:val="center"/>
          </w:tcPr>
          <w:p w14:paraId="3294527D">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招标人补充的其他内容</w:t>
            </w:r>
          </w:p>
        </w:tc>
        <w:tc>
          <w:tcPr>
            <w:tcW w:w="7052" w:type="dxa"/>
            <w:tcBorders>
              <w:top w:val="single" w:color="auto" w:sz="4" w:space="0"/>
              <w:left w:val="single" w:color="auto" w:sz="4" w:space="0"/>
              <w:bottom w:val="single" w:color="auto" w:sz="4" w:space="0"/>
              <w:right w:val="single" w:color="auto" w:sz="4" w:space="0"/>
            </w:tcBorders>
            <w:vAlign w:val="center"/>
          </w:tcPr>
          <w:p w14:paraId="470ACF33">
            <w:pPr>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一、开标方式：网上智能开标远程解密方式，相关要求如下：</w:t>
            </w:r>
          </w:p>
          <w:p w14:paraId="7935E364">
            <w:pPr>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1、远程解密：投标人须在投标截止时间前登录“云南省公共资源交易信息网（https：//ggzy.yn.gov.cn/），进入后切换至</w:t>
            </w:r>
            <w:r>
              <w:rPr>
                <w:rFonts w:hint="eastAsia" w:ascii="宋体" w:hAnsi="宋体" w:cs="宋体"/>
                <w:color w:val="auto"/>
                <w:szCs w:val="21"/>
                <w:highlight w:val="none"/>
                <w:lang w:eastAsia="zh-CN"/>
              </w:rPr>
              <w:t>文山州</w:t>
            </w:r>
            <w:r>
              <w:rPr>
                <w:rFonts w:hint="eastAsia" w:ascii="宋体" w:hAnsi="宋体" w:cs="宋体"/>
                <w:color w:val="auto"/>
                <w:szCs w:val="21"/>
                <w:highlight w:val="none"/>
              </w:rPr>
              <w:t>）”，进入开标室页面，并按照指令提示完成投标文件远程解密、查看开标一览表等相关操作。</w:t>
            </w:r>
          </w:p>
          <w:p w14:paraId="2E5A6AF4">
            <w:pPr>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2、远程解密时间：投标人须在招标人或招标代理机构下达网上解密指令后30分钟内完成投标文件远程解密工作。若未在此时间内完成网上远程解密或者因投标人操作失误、自身原因导致没有按此时间进行远程解密的，视为撤回投标文件不再进入评标阶段。在规定解密截止时间后已解密的投标人不足三家的，按规定依法重新组织招标。</w:t>
            </w:r>
          </w:p>
          <w:p w14:paraId="6B380A48">
            <w:pPr>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3、电子签名确认时间：投标人须在唱标结束后3分钟内对唱标结果进行电子签名确认，若未在此时间内电子签名确认的，视为投标人认可唱标结果，自动进入下一环节。</w:t>
            </w:r>
          </w:p>
          <w:p w14:paraId="730DE2C4">
            <w:pPr>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4、异议提出时间：投标人须在唱标结束后3分钟内提出异议，若未在此时间内提出异议的，视为投标人认可开标过程和结果且无异议，自动进入下一环节。</w:t>
            </w:r>
          </w:p>
          <w:p w14:paraId="6E6CAE26">
            <w:pPr>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5、延长解密时间的特殊情况：因开标系统、开标现场网络、设备及其他特殊原因，导致不能正常解密投标文件的，经核实和上报相关部门同意后，可再次下达网上解密指令延长解密时间。</w:t>
            </w:r>
          </w:p>
          <w:p w14:paraId="33F299D8">
            <w:pPr>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6、操作流程及方法：上述具体操作流程及方法请各投标人自行查阅“云南省公共资源交易信息网（https：//ggzy.yn.gov.cn/），进入后切换至</w:t>
            </w:r>
            <w:r>
              <w:rPr>
                <w:rFonts w:hint="eastAsia" w:ascii="宋体" w:hAnsi="宋体" w:cs="宋体"/>
                <w:color w:val="auto"/>
                <w:szCs w:val="21"/>
                <w:highlight w:val="none"/>
                <w:lang w:eastAsia="zh-CN"/>
              </w:rPr>
              <w:t>文山州</w:t>
            </w:r>
            <w:r>
              <w:rPr>
                <w:rFonts w:hint="eastAsia" w:ascii="宋体" w:hAnsi="宋体" w:cs="宋体"/>
                <w:color w:val="auto"/>
                <w:szCs w:val="21"/>
                <w:highlight w:val="none"/>
              </w:rPr>
              <w:t>）”。技术咨询：北京筑龙信息技术有限责任公司，电话：010-86483801，QQ：4009618998。</w:t>
            </w:r>
          </w:p>
          <w:p w14:paraId="04EC893D">
            <w:pPr>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lang w:val="en-US" w:eastAsia="zh-CN"/>
              </w:rPr>
              <w:t>二</w:t>
            </w:r>
            <w:r>
              <w:rPr>
                <w:rFonts w:hint="eastAsia" w:ascii="宋体" w:hAnsi="宋体" w:cs="宋体"/>
                <w:color w:val="auto"/>
                <w:szCs w:val="21"/>
                <w:highlight w:val="none"/>
              </w:rPr>
              <w:t>、各投标人应诚信投标，确保电子投标文件提交的所有材料真实、准确、有效和完整，若投标人提供虚假材料，一经查实，即取消投标资格；对伪造、变造有关证件、材料、信息，骗取投标资格或中标的，将按照相关法律、法规进行严肃处罚。投标人的资格审查和诚信承诺贯穿招投标工作</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监理</w:t>
            </w:r>
            <w:r>
              <w:rPr>
                <w:rFonts w:hint="eastAsia" w:ascii="宋体" w:hAnsi="宋体" w:cs="宋体"/>
                <w:color w:val="auto"/>
                <w:szCs w:val="21"/>
                <w:highlight w:val="none"/>
              </w:rPr>
              <w:t>服务全过程，在招投标、</w:t>
            </w:r>
            <w:r>
              <w:rPr>
                <w:rFonts w:hint="eastAsia" w:ascii="宋体" w:hAnsi="宋体" w:cs="宋体"/>
                <w:color w:val="auto"/>
                <w:szCs w:val="21"/>
                <w:highlight w:val="none"/>
                <w:lang w:val="en-US" w:eastAsia="zh-CN"/>
              </w:rPr>
              <w:t>监理</w:t>
            </w:r>
            <w:r>
              <w:rPr>
                <w:rFonts w:hint="eastAsia" w:ascii="宋体" w:hAnsi="宋体" w:cs="宋体"/>
                <w:color w:val="auto"/>
                <w:szCs w:val="21"/>
                <w:highlight w:val="none"/>
              </w:rPr>
              <w:t>服务各环节发现投标人不符合投标资格条件和提供虚假材料的，不论是评标过程中还是结果公示中，或者已签订合同并执行完毕，招标人、监管单位均可追究由其造成的一切后果（包括但不限于刑事及民事责任）。</w:t>
            </w:r>
          </w:p>
          <w:p w14:paraId="561390AD">
            <w:pPr>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lang w:val="en-US" w:eastAsia="zh-CN"/>
              </w:rPr>
              <w:t>三</w:t>
            </w:r>
            <w:r>
              <w:rPr>
                <w:rFonts w:hint="eastAsia" w:ascii="宋体" w:hAnsi="宋体" w:cs="宋体"/>
                <w:color w:val="auto"/>
                <w:szCs w:val="21"/>
                <w:highlight w:val="none"/>
              </w:rPr>
              <w:t>、本项目必须符合国家相关的质量验收规范及评定标准，如在工作过程国家、地方、行业行政主管部门出具或更新的技术规范、标准、规程、强制性标准的，中标人须无条件按最新的技术规范、标准、规程、强制性标准进行实施。</w:t>
            </w:r>
          </w:p>
          <w:p w14:paraId="2BA36145">
            <w:pPr>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lang w:val="en-US" w:eastAsia="zh-CN"/>
              </w:rPr>
              <w:t>四</w:t>
            </w:r>
            <w:r>
              <w:rPr>
                <w:rFonts w:hint="eastAsia" w:ascii="宋体" w:hAnsi="宋体" w:cs="宋体"/>
                <w:color w:val="auto"/>
                <w:szCs w:val="21"/>
                <w:highlight w:val="none"/>
              </w:rPr>
              <w:t>、招标文件中要求的扫描件是指有效的原件彩色扫描件。</w:t>
            </w:r>
          </w:p>
        </w:tc>
      </w:tr>
      <w:tr w14:paraId="00F623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39" w:type="dxa"/>
            <w:tcBorders>
              <w:top w:val="single" w:color="auto" w:sz="4" w:space="0"/>
              <w:left w:val="single" w:color="auto" w:sz="4" w:space="0"/>
              <w:bottom w:val="single" w:color="auto" w:sz="4" w:space="0"/>
              <w:right w:val="single" w:color="auto" w:sz="4" w:space="0"/>
            </w:tcBorders>
            <w:vAlign w:val="center"/>
          </w:tcPr>
          <w:p w14:paraId="10FCA8DC">
            <w:pPr>
              <w:spacing w:line="360" w:lineRule="auto"/>
              <w:jc w:val="center"/>
              <w:rPr>
                <w:rFonts w:hint="default" w:ascii="宋体" w:hAnsi="宋体" w:eastAsia="宋体" w:cs="宋体"/>
                <w:color w:val="auto"/>
                <w:szCs w:val="21"/>
                <w:highlight w:val="none"/>
                <w:lang w:val="en-US" w:eastAsia="zh-CN"/>
              </w:rPr>
            </w:pPr>
            <w:bookmarkStart w:id="64" w:name="_Toc306524533"/>
            <w:bookmarkStart w:id="65" w:name="_Toc366144069"/>
            <w:bookmarkStart w:id="66" w:name="_Toc184635071"/>
            <w:r>
              <w:rPr>
                <w:rFonts w:hint="eastAsia" w:ascii="宋体" w:hAnsi="宋体" w:cs="宋体"/>
                <w:b/>
                <w:bCs/>
                <w:color w:val="auto"/>
                <w:szCs w:val="21"/>
                <w:highlight w:val="none"/>
              </w:rPr>
              <w:t>10.</w:t>
            </w:r>
            <w:r>
              <w:rPr>
                <w:rFonts w:hint="eastAsia" w:ascii="宋体" w:hAnsi="宋体" w:cs="宋体"/>
                <w:b/>
                <w:bCs/>
                <w:color w:val="auto"/>
                <w:szCs w:val="21"/>
                <w:highlight w:val="none"/>
                <w:lang w:val="en-US" w:eastAsia="zh-CN"/>
              </w:rPr>
              <w:t>8</w:t>
            </w:r>
          </w:p>
        </w:tc>
        <w:tc>
          <w:tcPr>
            <w:tcW w:w="1655" w:type="dxa"/>
            <w:tcBorders>
              <w:top w:val="single" w:color="auto" w:sz="4" w:space="0"/>
              <w:left w:val="single" w:color="auto" w:sz="4" w:space="0"/>
              <w:bottom w:val="single" w:color="auto" w:sz="4" w:space="0"/>
              <w:right w:val="single" w:color="auto" w:sz="4" w:space="0"/>
            </w:tcBorders>
            <w:vAlign w:val="center"/>
          </w:tcPr>
          <w:p w14:paraId="3C4C29CE">
            <w:pPr>
              <w:spacing w:line="360" w:lineRule="auto"/>
              <w:jc w:val="center"/>
              <w:rPr>
                <w:rFonts w:hint="eastAsia" w:ascii="宋体" w:hAnsi="宋体" w:cs="宋体"/>
                <w:b/>
                <w:bCs/>
                <w:color w:val="auto"/>
                <w:szCs w:val="21"/>
                <w:highlight w:val="none"/>
              </w:rPr>
            </w:pPr>
            <w:r>
              <w:rPr>
                <w:rFonts w:hint="eastAsia" w:ascii="宋体" w:hAnsi="宋体" w:cs="宋体"/>
                <w:b/>
                <w:bCs/>
                <w:color w:val="auto"/>
                <w:szCs w:val="21"/>
                <w:highlight w:val="none"/>
              </w:rPr>
              <w:t>招标控制价</w:t>
            </w:r>
          </w:p>
          <w:p w14:paraId="167A9740">
            <w:pPr>
              <w:spacing w:line="360" w:lineRule="auto"/>
              <w:jc w:val="center"/>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lang w:eastAsia="zh-CN"/>
              </w:rPr>
              <w:t>（</w:t>
            </w:r>
            <w:r>
              <w:rPr>
                <w:rFonts w:hint="eastAsia" w:ascii="宋体" w:hAnsi="宋体" w:cs="宋体"/>
                <w:b/>
                <w:bCs/>
                <w:color w:val="auto"/>
                <w:szCs w:val="21"/>
                <w:highlight w:val="none"/>
                <w:lang w:val="en-US" w:eastAsia="zh-CN"/>
              </w:rPr>
              <w:t>费率</w:t>
            </w:r>
            <w:r>
              <w:rPr>
                <w:rFonts w:hint="eastAsia" w:ascii="宋体" w:hAnsi="宋体" w:cs="宋体"/>
                <w:b/>
                <w:bCs/>
                <w:color w:val="auto"/>
                <w:szCs w:val="21"/>
                <w:highlight w:val="none"/>
                <w:lang w:eastAsia="zh-CN"/>
              </w:rPr>
              <w:t>）</w:t>
            </w:r>
          </w:p>
        </w:tc>
        <w:tc>
          <w:tcPr>
            <w:tcW w:w="7052" w:type="dxa"/>
            <w:tcBorders>
              <w:top w:val="single" w:color="auto" w:sz="4" w:space="0"/>
              <w:left w:val="single" w:color="auto" w:sz="4" w:space="0"/>
              <w:bottom w:val="single" w:color="auto" w:sz="4" w:space="0"/>
              <w:right w:val="single" w:color="auto" w:sz="4" w:space="0"/>
            </w:tcBorders>
            <w:vAlign w:val="center"/>
          </w:tcPr>
          <w:p w14:paraId="735A8E16">
            <w:pPr>
              <w:spacing w:line="360" w:lineRule="auto"/>
              <w:jc w:val="left"/>
              <w:rPr>
                <w:rFonts w:hint="eastAsia" w:ascii="宋体" w:hAnsi="宋体" w:eastAsia="宋体" w:cs="宋体"/>
                <w:b/>
                <w:bCs/>
                <w:color w:val="auto"/>
                <w:szCs w:val="21"/>
                <w:highlight w:val="none"/>
                <w:lang w:val="en-US" w:eastAsia="zh-CN"/>
              </w:rPr>
            </w:pPr>
            <w:r>
              <w:rPr>
                <w:rFonts w:hint="eastAsia" w:ascii="宋体" w:hAnsi="宋体" w:cs="宋体"/>
                <w:b/>
                <w:bCs/>
                <w:color w:val="auto"/>
                <w:highlight w:val="none"/>
                <w:lang w:val="en-US" w:eastAsia="zh-CN"/>
              </w:rPr>
              <w:t>招标控制价</w:t>
            </w:r>
            <w:r>
              <w:rPr>
                <w:rFonts w:hint="eastAsia" w:ascii="宋体" w:hAnsi="宋体" w:cs="宋体"/>
                <w:b/>
                <w:bCs/>
                <w:color w:val="auto"/>
                <w:szCs w:val="21"/>
                <w:highlight w:val="none"/>
                <w:lang w:eastAsia="zh-CN"/>
              </w:rPr>
              <w:t>（</w:t>
            </w:r>
            <w:r>
              <w:rPr>
                <w:rFonts w:hint="eastAsia" w:ascii="宋体" w:hAnsi="宋体" w:cs="宋体"/>
                <w:b/>
                <w:bCs/>
                <w:color w:val="auto"/>
                <w:szCs w:val="21"/>
                <w:highlight w:val="none"/>
                <w:lang w:val="en-US" w:eastAsia="zh-CN"/>
              </w:rPr>
              <w:t>费率</w:t>
            </w:r>
            <w:r>
              <w:rPr>
                <w:rFonts w:hint="eastAsia" w:ascii="宋体" w:hAnsi="宋体" w:cs="宋体"/>
                <w:b/>
                <w:bCs/>
                <w:color w:val="auto"/>
                <w:szCs w:val="21"/>
                <w:highlight w:val="none"/>
                <w:lang w:eastAsia="zh-CN"/>
              </w:rPr>
              <w:t>）</w:t>
            </w:r>
            <w:r>
              <w:rPr>
                <w:rFonts w:hint="eastAsia" w:ascii="宋体" w:hAnsi="宋体" w:cs="宋体"/>
                <w:b/>
                <w:bCs/>
                <w:color w:val="auto"/>
                <w:highlight w:val="none"/>
                <w:lang w:val="en-US" w:eastAsia="zh-CN"/>
              </w:rPr>
              <w:t>：1.37%</w:t>
            </w:r>
            <w:r>
              <w:rPr>
                <w:rFonts w:hint="eastAsia" w:ascii="宋体" w:hAnsi="宋体" w:eastAsia="宋体" w:cs="宋体"/>
                <w:b/>
                <w:bCs/>
                <w:color w:val="auto"/>
                <w:highlight w:val="none"/>
              </w:rPr>
              <w:t>。</w:t>
            </w:r>
          </w:p>
          <w:p w14:paraId="66A23984">
            <w:pPr>
              <w:spacing w:line="360" w:lineRule="auto"/>
              <w:jc w:val="left"/>
              <w:rPr>
                <w:rFonts w:hint="eastAsia" w:ascii="宋体" w:hAnsi="宋体" w:cs="宋体"/>
                <w:b/>
                <w:bCs/>
                <w:color w:val="auto"/>
                <w:szCs w:val="21"/>
                <w:highlight w:val="none"/>
              </w:rPr>
            </w:pPr>
            <w:r>
              <w:rPr>
                <w:rFonts w:hint="eastAsia" w:ascii="宋体" w:hAnsi="宋体" w:cs="宋体"/>
                <w:b/>
                <w:bCs/>
                <w:color w:val="auto"/>
                <w:szCs w:val="21"/>
                <w:highlight w:val="none"/>
              </w:rPr>
              <w:t>注：投标人投标报价不得超过招标控制价，否则将导致其投标被拒绝。</w:t>
            </w:r>
          </w:p>
        </w:tc>
      </w:tr>
    </w:tbl>
    <w:p w14:paraId="489325D9">
      <w:pPr>
        <w:pStyle w:val="4"/>
        <w:tabs>
          <w:tab w:val="left" w:pos="3244"/>
          <w:tab w:val="center" w:pos="4819"/>
        </w:tabs>
        <w:spacing w:line="24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br w:type="page"/>
      </w:r>
      <w:bookmarkStart w:id="67" w:name="_Toc10657"/>
      <w:bookmarkStart w:id="68" w:name="_Toc5851"/>
      <w:bookmarkStart w:id="69" w:name="_Toc18551"/>
      <w:bookmarkStart w:id="70" w:name="_Toc6273"/>
      <w:bookmarkStart w:id="71" w:name="_Toc15038"/>
      <w:r>
        <w:rPr>
          <w:rFonts w:hint="eastAsia" w:ascii="宋体" w:hAnsi="宋体" w:eastAsia="宋体" w:cs="宋体"/>
          <w:color w:val="auto"/>
          <w:sz w:val="24"/>
          <w:highlight w:val="none"/>
        </w:rPr>
        <w:t>二、投标人须知正文部分</w:t>
      </w:r>
      <w:bookmarkEnd w:id="64"/>
      <w:bookmarkEnd w:id="65"/>
      <w:bookmarkEnd w:id="67"/>
      <w:bookmarkEnd w:id="68"/>
      <w:bookmarkEnd w:id="69"/>
      <w:bookmarkEnd w:id="70"/>
      <w:bookmarkEnd w:id="71"/>
    </w:p>
    <w:p w14:paraId="785354D0">
      <w:pPr>
        <w:pStyle w:val="5"/>
        <w:rPr>
          <w:rFonts w:hint="eastAsia" w:ascii="宋体" w:hAnsi="宋体" w:cs="宋体"/>
          <w:color w:val="auto"/>
          <w:szCs w:val="24"/>
          <w:highlight w:val="none"/>
        </w:rPr>
      </w:pPr>
      <w:bookmarkStart w:id="72" w:name="_Toc366144070"/>
      <w:bookmarkStart w:id="73" w:name="_Toc28855"/>
      <w:bookmarkStart w:id="74" w:name="_Toc26058"/>
      <w:bookmarkStart w:id="75" w:name="_Toc15149"/>
      <w:bookmarkStart w:id="76" w:name="_Toc306524534"/>
      <w:bookmarkStart w:id="77" w:name="_Toc1380"/>
      <w:bookmarkStart w:id="78" w:name="_Toc13888"/>
      <w:bookmarkStart w:id="79" w:name="_Toc6201"/>
      <w:bookmarkStart w:id="80" w:name="_Toc19460"/>
      <w:r>
        <w:rPr>
          <w:rFonts w:hint="eastAsia" w:ascii="宋体" w:hAnsi="宋体" w:cs="宋体"/>
          <w:color w:val="auto"/>
          <w:szCs w:val="24"/>
          <w:highlight w:val="none"/>
        </w:rPr>
        <w:t>1 ．总则</w:t>
      </w:r>
      <w:bookmarkEnd w:id="66"/>
      <w:bookmarkEnd w:id="72"/>
      <w:bookmarkEnd w:id="73"/>
      <w:bookmarkEnd w:id="74"/>
      <w:bookmarkEnd w:id="75"/>
      <w:bookmarkEnd w:id="76"/>
      <w:bookmarkEnd w:id="77"/>
      <w:bookmarkEnd w:id="78"/>
      <w:bookmarkEnd w:id="79"/>
      <w:bookmarkEnd w:id="80"/>
    </w:p>
    <w:p w14:paraId="0F33D6E5">
      <w:pPr>
        <w:pStyle w:val="6"/>
        <w:rPr>
          <w:rFonts w:hint="eastAsia" w:ascii="宋体" w:hAnsi="宋体" w:cs="宋体"/>
          <w:color w:val="auto"/>
          <w:sz w:val="21"/>
          <w:szCs w:val="21"/>
          <w:highlight w:val="none"/>
        </w:rPr>
      </w:pPr>
      <w:bookmarkStart w:id="81" w:name="_Toc13203"/>
      <w:bookmarkStart w:id="82" w:name="_Toc12295"/>
      <w:bookmarkStart w:id="83" w:name="_Toc3270"/>
      <w:bookmarkStart w:id="84" w:name="_Toc495621863"/>
      <w:bookmarkStart w:id="85" w:name="_Toc24049"/>
      <w:bookmarkStart w:id="86" w:name="_Toc9475"/>
      <w:bookmarkStart w:id="87" w:name="_Toc22537"/>
      <w:bookmarkStart w:id="88" w:name="_Toc16096283"/>
      <w:bookmarkStart w:id="89" w:name="_Toc28471"/>
      <w:bookmarkStart w:id="90" w:name="_Toc21500"/>
      <w:bookmarkStart w:id="91" w:name="_Toc7230"/>
      <w:r>
        <w:rPr>
          <w:rFonts w:hint="eastAsia" w:ascii="宋体" w:hAnsi="宋体" w:cs="宋体"/>
          <w:color w:val="auto"/>
          <w:sz w:val="21"/>
          <w:szCs w:val="21"/>
          <w:highlight w:val="none"/>
        </w:rPr>
        <w:t>1.1 项目概况</w:t>
      </w:r>
      <w:bookmarkEnd w:id="81"/>
      <w:bookmarkEnd w:id="82"/>
      <w:bookmarkEnd w:id="83"/>
      <w:bookmarkEnd w:id="84"/>
      <w:bookmarkEnd w:id="85"/>
      <w:bookmarkEnd w:id="86"/>
      <w:bookmarkEnd w:id="87"/>
      <w:bookmarkEnd w:id="88"/>
      <w:bookmarkEnd w:id="89"/>
      <w:bookmarkEnd w:id="90"/>
      <w:bookmarkEnd w:id="91"/>
    </w:p>
    <w:p w14:paraId="65368328">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1.1.1 根据《中华人民共和国招标投标法》等有关法律、法规和规章的规定，本招标项目己具备招标条件，现对本项目进行招标。</w:t>
      </w:r>
    </w:p>
    <w:p w14:paraId="6BAC0A6B">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1.1.2 本招标项目招标人：见投标人须知前附表。</w:t>
      </w:r>
    </w:p>
    <w:p w14:paraId="584C7D3B">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1.1.3 本招标项目招标代理机构：见投标人须知前附表。</w:t>
      </w:r>
    </w:p>
    <w:p w14:paraId="40B72A26">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1.1.4 本招标项目名称：见投标人须知前附表。</w:t>
      </w:r>
    </w:p>
    <w:p w14:paraId="79C38AFF">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1.1.5 本招标项目建设地点：见投标人须知前附表。</w:t>
      </w:r>
    </w:p>
    <w:p w14:paraId="2656F396">
      <w:pPr>
        <w:pStyle w:val="6"/>
        <w:rPr>
          <w:rFonts w:hint="eastAsia" w:ascii="宋体" w:hAnsi="宋体" w:cs="宋体"/>
          <w:color w:val="auto"/>
          <w:sz w:val="21"/>
          <w:szCs w:val="21"/>
          <w:highlight w:val="none"/>
        </w:rPr>
      </w:pPr>
      <w:bookmarkStart w:id="92" w:name="_Toc14263"/>
      <w:bookmarkStart w:id="93" w:name="_Toc11575"/>
      <w:bookmarkStart w:id="94" w:name="_Toc29505"/>
      <w:bookmarkStart w:id="95" w:name="_Toc16096284"/>
      <w:bookmarkStart w:id="96" w:name="_Toc896"/>
      <w:bookmarkStart w:id="97" w:name="_Toc5837"/>
      <w:bookmarkStart w:id="98" w:name="_Toc495621864"/>
      <w:bookmarkStart w:id="99" w:name="_Toc8571"/>
      <w:bookmarkStart w:id="100" w:name="_Toc9120"/>
      <w:bookmarkStart w:id="101" w:name="_Toc7837"/>
      <w:bookmarkStart w:id="102" w:name="_Toc22007"/>
      <w:r>
        <w:rPr>
          <w:rFonts w:hint="eastAsia" w:ascii="宋体" w:hAnsi="宋体" w:cs="宋体"/>
          <w:color w:val="auto"/>
          <w:sz w:val="21"/>
          <w:szCs w:val="21"/>
          <w:highlight w:val="none"/>
        </w:rPr>
        <w:t>1.2 资金来源、出资比例和资金落实情况</w:t>
      </w:r>
      <w:bookmarkEnd w:id="92"/>
      <w:bookmarkEnd w:id="93"/>
      <w:bookmarkEnd w:id="94"/>
      <w:bookmarkEnd w:id="95"/>
      <w:bookmarkEnd w:id="96"/>
      <w:bookmarkEnd w:id="97"/>
      <w:bookmarkEnd w:id="98"/>
      <w:bookmarkEnd w:id="99"/>
      <w:bookmarkEnd w:id="100"/>
      <w:bookmarkEnd w:id="101"/>
      <w:bookmarkEnd w:id="102"/>
    </w:p>
    <w:p w14:paraId="3E2FC2EA">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1.2.1 本招标项目的资金来源：见投标人须知前附表。</w:t>
      </w:r>
    </w:p>
    <w:p w14:paraId="3A0D2781">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1.2.2 本招标项目的出资比例：见投标人须知前附表。</w:t>
      </w:r>
    </w:p>
    <w:p w14:paraId="65AE28ED">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1.2.3 本招标项目的资金落实情况：见投标人须知前附表。</w:t>
      </w:r>
    </w:p>
    <w:p w14:paraId="2955FD76">
      <w:pPr>
        <w:pStyle w:val="6"/>
        <w:rPr>
          <w:rFonts w:hint="eastAsia" w:ascii="宋体" w:hAnsi="宋体" w:cs="宋体"/>
          <w:color w:val="auto"/>
          <w:sz w:val="21"/>
          <w:szCs w:val="21"/>
          <w:highlight w:val="none"/>
        </w:rPr>
      </w:pPr>
      <w:bookmarkStart w:id="103" w:name="_Toc16920"/>
      <w:bookmarkStart w:id="104" w:name="_Toc8388"/>
      <w:bookmarkStart w:id="105" w:name="_Toc2373"/>
      <w:bookmarkStart w:id="106" w:name="_Toc495621865"/>
      <w:bookmarkStart w:id="107" w:name="_Toc25553"/>
      <w:bookmarkStart w:id="108" w:name="_Toc16096285"/>
      <w:bookmarkStart w:id="109" w:name="_Toc15120"/>
      <w:bookmarkStart w:id="110" w:name="_Toc23175"/>
      <w:bookmarkStart w:id="111" w:name="_Toc28749"/>
      <w:bookmarkStart w:id="112" w:name="_Toc27854"/>
      <w:bookmarkStart w:id="113" w:name="_Toc2486"/>
      <w:r>
        <w:rPr>
          <w:rFonts w:hint="eastAsia" w:ascii="宋体" w:hAnsi="宋体" w:cs="宋体"/>
          <w:color w:val="auto"/>
          <w:sz w:val="21"/>
          <w:szCs w:val="21"/>
          <w:highlight w:val="none"/>
        </w:rPr>
        <w:t>1.3 招标范围、标段划分、</w:t>
      </w:r>
      <w:r>
        <w:rPr>
          <w:rFonts w:hint="eastAsia" w:ascii="宋体" w:hAnsi="宋体" w:cs="宋体"/>
          <w:color w:val="auto"/>
          <w:sz w:val="21"/>
          <w:szCs w:val="21"/>
          <w:highlight w:val="none"/>
          <w:lang w:eastAsia="zh-CN"/>
        </w:rPr>
        <w:t>服务期限</w:t>
      </w:r>
      <w:r>
        <w:rPr>
          <w:rFonts w:hint="eastAsia" w:ascii="宋体" w:hAnsi="宋体" w:cs="宋体"/>
          <w:color w:val="auto"/>
          <w:sz w:val="21"/>
          <w:szCs w:val="21"/>
          <w:highlight w:val="none"/>
          <w:lang w:val="en-US" w:eastAsia="zh-CN"/>
        </w:rPr>
        <w:t>和</w:t>
      </w:r>
      <w:r>
        <w:rPr>
          <w:rFonts w:hint="eastAsia" w:ascii="宋体" w:hAnsi="宋体" w:cs="宋体"/>
          <w:color w:val="auto"/>
          <w:sz w:val="21"/>
          <w:szCs w:val="21"/>
          <w:highlight w:val="none"/>
        </w:rPr>
        <w:t>质量</w:t>
      </w:r>
      <w:r>
        <w:rPr>
          <w:rFonts w:hint="eastAsia" w:ascii="宋体" w:hAnsi="宋体" w:cs="宋体"/>
          <w:color w:val="auto"/>
          <w:sz w:val="21"/>
          <w:szCs w:val="21"/>
          <w:highlight w:val="none"/>
          <w:lang w:val="en-US" w:eastAsia="zh-CN"/>
        </w:rPr>
        <w:t>要求</w:t>
      </w:r>
      <w:bookmarkEnd w:id="103"/>
      <w:bookmarkEnd w:id="104"/>
      <w:bookmarkEnd w:id="105"/>
      <w:bookmarkEnd w:id="106"/>
      <w:bookmarkEnd w:id="107"/>
      <w:bookmarkEnd w:id="108"/>
      <w:bookmarkEnd w:id="109"/>
      <w:bookmarkEnd w:id="110"/>
      <w:bookmarkEnd w:id="111"/>
      <w:bookmarkEnd w:id="112"/>
      <w:bookmarkEnd w:id="113"/>
    </w:p>
    <w:p w14:paraId="059512EA">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1.3.1 本次招标范围：见投标人须知前附表。</w:t>
      </w:r>
    </w:p>
    <w:p w14:paraId="463DCED9">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1.3.2本招标项目的标段划分：见投标人须知前附表。</w:t>
      </w:r>
    </w:p>
    <w:p w14:paraId="2AC2F727">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1.3.3本招标项目的</w:t>
      </w:r>
      <w:r>
        <w:rPr>
          <w:rFonts w:hint="eastAsia" w:ascii="宋体" w:hAnsi="宋体" w:cs="宋体"/>
          <w:color w:val="auto"/>
          <w:szCs w:val="21"/>
          <w:highlight w:val="none"/>
          <w:lang w:eastAsia="zh-CN"/>
        </w:rPr>
        <w:t>服务期限</w:t>
      </w:r>
      <w:r>
        <w:rPr>
          <w:rFonts w:hint="eastAsia" w:ascii="宋体" w:hAnsi="宋体" w:cs="宋体"/>
          <w:color w:val="auto"/>
          <w:szCs w:val="21"/>
          <w:highlight w:val="none"/>
        </w:rPr>
        <w:t>：见投标人须知前附表。</w:t>
      </w:r>
    </w:p>
    <w:p w14:paraId="10E9B858">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1.3.4本招标项目的质量</w:t>
      </w:r>
      <w:r>
        <w:rPr>
          <w:rFonts w:hint="eastAsia" w:ascii="宋体" w:hAnsi="宋体" w:cs="宋体"/>
          <w:color w:val="auto"/>
          <w:szCs w:val="21"/>
          <w:highlight w:val="none"/>
          <w:lang w:val="en-US" w:eastAsia="zh-CN"/>
        </w:rPr>
        <w:t>要求</w:t>
      </w:r>
      <w:r>
        <w:rPr>
          <w:rFonts w:hint="eastAsia" w:ascii="宋体" w:hAnsi="宋体" w:cs="宋体"/>
          <w:color w:val="auto"/>
          <w:szCs w:val="21"/>
          <w:highlight w:val="none"/>
        </w:rPr>
        <w:t>：见投标人须知前附表。</w:t>
      </w:r>
    </w:p>
    <w:p w14:paraId="4D66F6DC">
      <w:pPr>
        <w:pStyle w:val="6"/>
        <w:rPr>
          <w:rFonts w:hint="eastAsia" w:ascii="宋体" w:hAnsi="宋体" w:cs="宋体"/>
          <w:color w:val="auto"/>
          <w:sz w:val="21"/>
          <w:szCs w:val="21"/>
          <w:highlight w:val="none"/>
        </w:rPr>
      </w:pPr>
      <w:bookmarkStart w:id="114" w:name="_Toc23814"/>
      <w:bookmarkStart w:id="115" w:name="_Toc495621866"/>
      <w:bookmarkStart w:id="116" w:name="_Toc27105"/>
      <w:bookmarkStart w:id="117" w:name="_Toc10167"/>
      <w:bookmarkStart w:id="118" w:name="_Toc3030"/>
      <w:bookmarkStart w:id="119" w:name="_Toc16096286"/>
      <w:bookmarkStart w:id="120" w:name="_Toc8930"/>
      <w:bookmarkStart w:id="121" w:name="_Toc1921"/>
      <w:bookmarkStart w:id="122" w:name="_Toc16977"/>
      <w:bookmarkStart w:id="123" w:name="_Toc4885"/>
      <w:bookmarkStart w:id="124" w:name="_Toc797"/>
      <w:r>
        <w:rPr>
          <w:rFonts w:hint="eastAsia" w:ascii="宋体" w:hAnsi="宋体" w:cs="宋体"/>
          <w:color w:val="auto"/>
          <w:sz w:val="21"/>
          <w:szCs w:val="21"/>
          <w:highlight w:val="none"/>
        </w:rPr>
        <w:t>1.4 投标人资格要求</w:t>
      </w:r>
      <w:bookmarkEnd w:id="114"/>
      <w:bookmarkEnd w:id="115"/>
      <w:bookmarkEnd w:id="116"/>
      <w:bookmarkEnd w:id="117"/>
      <w:bookmarkEnd w:id="118"/>
      <w:bookmarkEnd w:id="119"/>
      <w:bookmarkEnd w:id="120"/>
      <w:bookmarkEnd w:id="121"/>
      <w:bookmarkEnd w:id="122"/>
      <w:bookmarkEnd w:id="123"/>
      <w:bookmarkEnd w:id="124"/>
    </w:p>
    <w:p w14:paraId="0078DB27">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1.4.1 投标人应具备承担本招标项目的资质条件、能力和信誉。</w:t>
      </w:r>
    </w:p>
    <w:p w14:paraId="1DA64A2C">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（1）资质条件：见投标人须知前附表；</w:t>
      </w:r>
    </w:p>
    <w:p w14:paraId="5B7583DD">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（2）信誉要求：见投标人须知前附表；</w:t>
      </w:r>
    </w:p>
    <w:p w14:paraId="1535E836">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（3）人员要求：见投标人须知前附表；</w:t>
      </w:r>
    </w:p>
    <w:p w14:paraId="58B780CF">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（4）其他要求：见投标人须知前附表。</w:t>
      </w:r>
    </w:p>
    <w:p w14:paraId="68514DD9">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1.4.2 投标人须知前附表规定接受联合体投标的，除应符合本章第1.4.1项和投标人须知前附表的要求外，还应遵守以下规定：</w:t>
      </w:r>
    </w:p>
    <w:p w14:paraId="64B3DC78">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（1）联合体各方应按招标文件提供的格式签订联合体协议书，明确联合体主投标方和各方权利义务；</w:t>
      </w:r>
    </w:p>
    <w:p w14:paraId="2C1B3051">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（2）由同一专业的单位组成的联合体，按照资质等级较低的单位确定资质等级；</w:t>
      </w:r>
    </w:p>
    <w:p w14:paraId="0DF97EC5">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（3）联合体各方不得再以自己名义单独或参加其他联合体在同一标段中投标。</w:t>
      </w:r>
    </w:p>
    <w:p w14:paraId="0CB0B60C">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1.4.3 投标人不得存在下列情形之一：</w:t>
      </w:r>
    </w:p>
    <w:p w14:paraId="6953527D">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（l）为招标人不具有独立法人资格的附属机构（单位）；</w:t>
      </w:r>
    </w:p>
    <w:p w14:paraId="58164E21">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（2）为本招标项目的代建人；</w:t>
      </w:r>
    </w:p>
    <w:p w14:paraId="2B6431F4">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（3）为本招标项目提供招标代理服务的；</w:t>
      </w:r>
    </w:p>
    <w:p w14:paraId="7A5F89E6">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（4）与本招标项目的代建人或招标代理机构同为一个法定代表人的；</w:t>
      </w:r>
    </w:p>
    <w:p w14:paraId="16C6507E">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（5）与本招标项目的代建人或招标代理机构相互控股或参股的；</w:t>
      </w:r>
    </w:p>
    <w:p w14:paraId="6EC8318D">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（6）与本招标项目的代建人或招标代理机构相互任职或工作的；</w:t>
      </w:r>
    </w:p>
    <w:p w14:paraId="396D1510">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（7）与承建单位有同一隶属关系的；</w:t>
      </w:r>
    </w:p>
    <w:p w14:paraId="13C4242B">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（8）被责令停业的；</w:t>
      </w:r>
    </w:p>
    <w:p w14:paraId="7962B9A4">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（9）被暂停或取消投标资格的；</w:t>
      </w:r>
    </w:p>
    <w:p w14:paraId="719BF3A2">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10</w:t>
      </w:r>
      <w:r>
        <w:rPr>
          <w:rFonts w:hint="eastAsia" w:ascii="宋体" w:hAnsi="宋体" w:cs="宋体"/>
          <w:color w:val="auto"/>
          <w:szCs w:val="21"/>
          <w:highlight w:val="none"/>
        </w:rPr>
        <w:t>）在最近三年内有骗取中标或严重违约或重大工程质量问题的。</w:t>
      </w:r>
    </w:p>
    <w:p w14:paraId="2D113AF8">
      <w:pPr>
        <w:pStyle w:val="6"/>
        <w:rPr>
          <w:rFonts w:hint="eastAsia" w:ascii="宋体" w:hAnsi="宋体" w:cs="宋体"/>
          <w:color w:val="auto"/>
          <w:sz w:val="21"/>
          <w:szCs w:val="21"/>
          <w:highlight w:val="none"/>
        </w:rPr>
      </w:pPr>
      <w:bookmarkStart w:id="125" w:name="_Toc28132"/>
      <w:bookmarkStart w:id="126" w:name="_Toc16096287"/>
      <w:bookmarkStart w:id="127" w:name="_Toc16503"/>
      <w:bookmarkStart w:id="128" w:name="_Toc21520"/>
      <w:bookmarkStart w:id="129" w:name="_Toc1167"/>
      <w:bookmarkStart w:id="130" w:name="_Toc12736"/>
      <w:bookmarkStart w:id="131" w:name="_Toc22440"/>
      <w:bookmarkStart w:id="132" w:name="_Toc19512"/>
      <w:bookmarkStart w:id="133" w:name="_Toc495621867"/>
      <w:bookmarkStart w:id="134" w:name="_Toc13525"/>
      <w:bookmarkStart w:id="135" w:name="_Toc31553"/>
      <w:r>
        <w:rPr>
          <w:rFonts w:hint="eastAsia" w:ascii="宋体" w:hAnsi="宋体" w:cs="宋体"/>
          <w:color w:val="auto"/>
          <w:sz w:val="21"/>
          <w:szCs w:val="21"/>
          <w:highlight w:val="none"/>
        </w:rPr>
        <w:t>1.5 费用承担</w:t>
      </w:r>
      <w:bookmarkEnd w:id="125"/>
      <w:bookmarkEnd w:id="126"/>
      <w:bookmarkEnd w:id="127"/>
      <w:bookmarkEnd w:id="128"/>
      <w:bookmarkEnd w:id="129"/>
      <w:bookmarkEnd w:id="130"/>
      <w:bookmarkEnd w:id="131"/>
      <w:bookmarkEnd w:id="132"/>
      <w:bookmarkEnd w:id="133"/>
      <w:bookmarkEnd w:id="134"/>
      <w:bookmarkEnd w:id="135"/>
    </w:p>
    <w:p w14:paraId="4F210416">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1.5.1投标人应承担其参加本招标活动自身所发生的费用。</w:t>
      </w:r>
    </w:p>
    <w:p w14:paraId="4677182F">
      <w:pPr>
        <w:spacing w:line="360" w:lineRule="auto"/>
        <w:ind w:firstLine="420" w:firstLineChars="200"/>
        <w:rPr>
          <w:rFonts w:hint="eastAsia" w:ascii="宋体" w:hAnsi="宋体" w:cs="宋体"/>
          <w:color w:val="auto"/>
          <w:szCs w:val="28"/>
          <w:highlight w:val="none"/>
        </w:rPr>
      </w:pPr>
      <w:r>
        <w:rPr>
          <w:rFonts w:hint="eastAsia" w:ascii="宋体" w:hAnsi="宋体" w:cs="宋体"/>
          <w:color w:val="auto"/>
          <w:szCs w:val="28"/>
          <w:highlight w:val="none"/>
        </w:rPr>
        <w:t>1.5.2</w:t>
      </w:r>
      <w:r>
        <w:rPr>
          <w:rFonts w:hint="eastAsia" w:ascii="宋体" w:hAnsi="宋体" w:cs="宋体"/>
          <w:color w:val="auto"/>
          <w:highlight w:val="none"/>
        </w:rPr>
        <w:t>招标代理费：</w:t>
      </w:r>
      <w:r>
        <w:rPr>
          <w:rFonts w:hint="eastAsia" w:ascii="宋体" w:hAnsi="宋体" w:cs="宋体"/>
          <w:color w:val="auto"/>
          <w:szCs w:val="21"/>
          <w:highlight w:val="none"/>
        </w:rPr>
        <w:t>见投标人须知前附表</w:t>
      </w:r>
      <w:r>
        <w:rPr>
          <w:rFonts w:hint="eastAsia" w:ascii="宋体" w:hAnsi="宋体" w:cs="宋体"/>
          <w:color w:val="auto"/>
          <w:highlight w:val="none"/>
        </w:rPr>
        <w:t>。</w:t>
      </w:r>
    </w:p>
    <w:p w14:paraId="608B2249">
      <w:pPr>
        <w:spacing w:line="360" w:lineRule="auto"/>
        <w:ind w:firstLine="472" w:firstLineChars="225"/>
        <w:rPr>
          <w:rFonts w:hint="eastAsia" w:ascii="宋体" w:hAnsi="宋体" w:cs="宋体"/>
          <w:color w:val="auto"/>
          <w:szCs w:val="21"/>
          <w:highlight w:val="none"/>
        </w:rPr>
      </w:pPr>
      <w:r>
        <w:rPr>
          <w:rFonts w:hint="eastAsia" w:ascii="宋体" w:hAnsi="宋体" w:cs="宋体"/>
          <w:color w:val="auto"/>
          <w:szCs w:val="28"/>
          <w:highlight w:val="none"/>
        </w:rPr>
        <w:t>1.5.</w:t>
      </w:r>
      <w:r>
        <w:rPr>
          <w:rFonts w:hint="eastAsia" w:ascii="宋体" w:hAnsi="宋体" w:cs="宋体"/>
          <w:color w:val="auto"/>
          <w:szCs w:val="28"/>
          <w:highlight w:val="none"/>
          <w:lang w:val="en-US" w:eastAsia="zh-CN"/>
        </w:rPr>
        <w:t>3</w:t>
      </w:r>
      <w:r>
        <w:rPr>
          <w:rFonts w:hint="eastAsia" w:ascii="宋体" w:hAnsi="宋体" w:cs="宋体"/>
          <w:color w:val="auto"/>
          <w:szCs w:val="28"/>
          <w:highlight w:val="none"/>
        </w:rPr>
        <w:t>其他费用按国家、省、市相关规定收取。</w:t>
      </w:r>
    </w:p>
    <w:p w14:paraId="11807DEA">
      <w:pPr>
        <w:pStyle w:val="6"/>
        <w:rPr>
          <w:rFonts w:hint="eastAsia" w:ascii="宋体" w:hAnsi="宋体" w:cs="宋体"/>
          <w:color w:val="auto"/>
          <w:sz w:val="21"/>
          <w:szCs w:val="21"/>
          <w:highlight w:val="none"/>
        </w:rPr>
      </w:pPr>
      <w:bookmarkStart w:id="136" w:name="_Toc16096288"/>
      <w:bookmarkStart w:id="137" w:name="_Toc25994"/>
      <w:bookmarkStart w:id="138" w:name="_Toc1129"/>
      <w:bookmarkStart w:id="139" w:name="_Toc13807"/>
      <w:bookmarkStart w:id="140" w:name="_Toc525"/>
      <w:bookmarkStart w:id="141" w:name="_Toc14581"/>
      <w:bookmarkStart w:id="142" w:name="_Toc22376"/>
      <w:bookmarkStart w:id="143" w:name="_Toc21000"/>
      <w:bookmarkStart w:id="144" w:name="_Toc18686"/>
      <w:bookmarkStart w:id="145" w:name="_Toc10309"/>
      <w:bookmarkStart w:id="146" w:name="_Toc495621868"/>
      <w:r>
        <w:rPr>
          <w:rFonts w:hint="eastAsia" w:ascii="宋体" w:hAnsi="宋体" w:cs="宋体"/>
          <w:color w:val="auto"/>
          <w:sz w:val="21"/>
          <w:szCs w:val="21"/>
          <w:highlight w:val="none"/>
        </w:rPr>
        <w:t>1.6 保密</w:t>
      </w:r>
      <w:bookmarkEnd w:id="136"/>
      <w:bookmarkEnd w:id="137"/>
      <w:bookmarkEnd w:id="138"/>
      <w:bookmarkEnd w:id="139"/>
      <w:bookmarkEnd w:id="140"/>
      <w:bookmarkEnd w:id="141"/>
      <w:bookmarkEnd w:id="142"/>
      <w:bookmarkEnd w:id="143"/>
      <w:bookmarkEnd w:id="144"/>
      <w:bookmarkEnd w:id="145"/>
      <w:bookmarkEnd w:id="146"/>
    </w:p>
    <w:p w14:paraId="62B68849">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参与招标投标活动的各方应对招标文件和投标文件中的商业和技术等秘密保密，违者应对由此造成的后果承担法律责任。</w:t>
      </w:r>
    </w:p>
    <w:p w14:paraId="1AD1CB1F">
      <w:pPr>
        <w:pStyle w:val="6"/>
        <w:rPr>
          <w:rFonts w:hint="eastAsia" w:ascii="宋体" w:hAnsi="宋体" w:cs="宋体"/>
          <w:color w:val="auto"/>
          <w:sz w:val="21"/>
          <w:szCs w:val="21"/>
          <w:highlight w:val="none"/>
        </w:rPr>
      </w:pPr>
      <w:bookmarkStart w:id="147" w:name="_Toc495621869"/>
      <w:bookmarkStart w:id="148" w:name="_Toc2199"/>
      <w:bookmarkStart w:id="149" w:name="_Toc7226"/>
      <w:bookmarkStart w:id="150" w:name="_Toc23812"/>
      <w:bookmarkStart w:id="151" w:name="_Toc19537"/>
      <w:bookmarkStart w:id="152" w:name="_Toc27913"/>
      <w:bookmarkStart w:id="153" w:name="_Toc16096289"/>
      <w:bookmarkStart w:id="154" w:name="_Toc6886"/>
      <w:bookmarkStart w:id="155" w:name="_Toc9842"/>
      <w:bookmarkStart w:id="156" w:name="_Toc10714"/>
      <w:bookmarkStart w:id="157" w:name="_Toc6892"/>
      <w:r>
        <w:rPr>
          <w:rFonts w:hint="eastAsia" w:ascii="宋体" w:hAnsi="宋体" w:cs="宋体"/>
          <w:color w:val="auto"/>
          <w:sz w:val="21"/>
          <w:szCs w:val="21"/>
          <w:highlight w:val="none"/>
        </w:rPr>
        <w:t>1.7 语言文字</w:t>
      </w:r>
      <w:bookmarkEnd w:id="147"/>
      <w:bookmarkEnd w:id="148"/>
      <w:bookmarkEnd w:id="149"/>
      <w:bookmarkEnd w:id="150"/>
      <w:bookmarkEnd w:id="151"/>
      <w:bookmarkEnd w:id="152"/>
      <w:bookmarkEnd w:id="153"/>
      <w:bookmarkEnd w:id="154"/>
      <w:bookmarkEnd w:id="155"/>
      <w:bookmarkEnd w:id="156"/>
      <w:bookmarkEnd w:id="157"/>
    </w:p>
    <w:p w14:paraId="2DF708DE">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除专用术语外，与招标投标有关的语言均使用中文。必要时专用术语应附有中文注释。</w:t>
      </w:r>
    </w:p>
    <w:p w14:paraId="6789A5B9">
      <w:pPr>
        <w:pStyle w:val="6"/>
        <w:rPr>
          <w:rFonts w:hint="eastAsia" w:ascii="宋体" w:hAnsi="宋体" w:cs="宋体"/>
          <w:color w:val="auto"/>
          <w:sz w:val="21"/>
          <w:szCs w:val="21"/>
          <w:highlight w:val="none"/>
        </w:rPr>
      </w:pPr>
      <w:bookmarkStart w:id="158" w:name="_Toc24625"/>
      <w:bookmarkStart w:id="159" w:name="_Toc495621870"/>
      <w:bookmarkStart w:id="160" w:name="_Toc5940"/>
      <w:bookmarkStart w:id="161" w:name="_Toc6881"/>
      <w:bookmarkStart w:id="162" w:name="_Toc21622"/>
      <w:bookmarkStart w:id="163" w:name="_Toc16096290"/>
      <w:bookmarkStart w:id="164" w:name="_Toc14077"/>
      <w:bookmarkStart w:id="165" w:name="_Toc21282"/>
      <w:bookmarkStart w:id="166" w:name="_Toc24829"/>
      <w:bookmarkStart w:id="167" w:name="_Toc30471"/>
      <w:bookmarkStart w:id="168" w:name="_Toc18107"/>
      <w:r>
        <w:rPr>
          <w:rFonts w:hint="eastAsia" w:ascii="宋体" w:hAnsi="宋体" w:cs="宋体"/>
          <w:color w:val="auto"/>
          <w:sz w:val="21"/>
          <w:szCs w:val="21"/>
          <w:highlight w:val="none"/>
        </w:rPr>
        <w:t>1.8 计量单位</w:t>
      </w:r>
      <w:bookmarkEnd w:id="158"/>
      <w:bookmarkEnd w:id="159"/>
      <w:bookmarkEnd w:id="160"/>
      <w:bookmarkEnd w:id="161"/>
      <w:bookmarkEnd w:id="162"/>
      <w:bookmarkEnd w:id="163"/>
      <w:bookmarkEnd w:id="164"/>
      <w:bookmarkEnd w:id="165"/>
      <w:bookmarkEnd w:id="166"/>
      <w:bookmarkEnd w:id="167"/>
      <w:bookmarkEnd w:id="168"/>
    </w:p>
    <w:p w14:paraId="18060783">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所有计量均采用中华人民共和国法定计量单位。</w:t>
      </w:r>
    </w:p>
    <w:p w14:paraId="366062E9">
      <w:pPr>
        <w:pStyle w:val="6"/>
        <w:rPr>
          <w:rFonts w:hint="eastAsia" w:ascii="宋体" w:hAnsi="宋体" w:cs="宋体"/>
          <w:color w:val="auto"/>
          <w:sz w:val="21"/>
          <w:szCs w:val="21"/>
          <w:highlight w:val="none"/>
        </w:rPr>
      </w:pPr>
      <w:bookmarkStart w:id="169" w:name="_Toc13221"/>
      <w:bookmarkStart w:id="170" w:name="_Toc20039"/>
      <w:bookmarkStart w:id="171" w:name="_Toc3396"/>
      <w:bookmarkStart w:id="172" w:name="_Toc495621871"/>
      <w:bookmarkStart w:id="173" w:name="_Toc16096291"/>
      <w:bookmarkStart w:id="174" w:name="_Toc21735"/>
      <w:bookmarkStart w:id="175" w:name="_Toc32743"/>
      <w:bookmarkStart w:id="176" w:name="_Toc13914"/>
      <w:bookmarkStart w:id="177" w:name="_Toc29601"/>
      <w:bookmarkStart w:id="178" w:name="_Toc28469"/>
      <w:bookmarkStart w:id="179" w:name="_Toc21940"/>
      <w:r>
        <w:rPr>
          <w:rFonts w:hint="eastAsia" w:ascii="宋体" w:hAnsi="宋体" w:cs="宋体"/>
          <w:color w:val="auto"/>
          <w:sz w:val="21"/>
          <w:szCs w:val="21"/>
          <w:highlight w:val="none"/>
        </w:rPr>
        <w:t>1.9 踏勘现场</w:t>
      </w:r>
      <w:bookmarkEnd w:id="169"/>
      <w:bookmarkEnd w:id="170"/>
      <w:bookmarkEnd w:id="171"/>
      <w:bookmarkEnd w:id="172"/>
      <w:bookmarkEnd w:id="173"/>
      <w:bookmarkEnd w:id="174"/>
      <w:bookmarkEnd w:id="175"/>
      <w:bookmarkEnd w:id="176"/>
      <w:bookmarkEnd w:id="177"/>
      <w:bookmarkEnd w:id="178"/>
      <w:bookmarkEnd w:id="179"/>
    </w:p>
    <w:p w14:paraId="729E2697">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1.9.1 招标人不集中组织投标现场踏勘，投标人需要了解现场情况的，可自行进行现场踏勘地点见投标人须知前附表。</w:t>
      </w:r>
    </w:p>
    <w:p w14:paraId="5B3FCF06">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1.9.2 投标人踏勘现场发生的费用自理。</w:t>
      </w:r>
    </w:p>
    <w:p w14:paraId="7194601E">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1.9.3投标人自行负责在踏勘现场中所发生的人员伤亡和财产损失。</w:t>
      </w:r>
    </w:p>
    <w:p w14:paraId="73D116E9">
      <w:pPr>
        <w:pStyle w:val="6"/>
        <w:rPr>
          <w:rFonts w:hint="eastAsia" w:ascii="宋体" w:hAnsi="宋体" w:cs="宋体"/>
          <w:color w:val="auto"/>
          <w:sz w:val="21"/>
          <w:szCs w:val="21"/>
          <w:highlight w:val="none"/>
        </w:rPr>
      </w:pPr>
      <w:bookmarkStart w:id="180" w:name="_Toc2784"/>
      <w:bookmarkStart w:id="181" w:name="_Toc15065"/>
      <w:bookmarkStart w:id="182" w:name="_Toc24165"/>
      <w:bookmarkStart w:id="183" w:name="_Toc30255"/>
      <w:bookmarkStart w:id="184" w:name="_Toc29168"/>
      <w:bookmarkStart w:id="185" w:name="_Toc16096292"/>
      <w:bookmarkStart w:id="186" w:name="_Toc27457"/>
      <w:bookmarkStart w:id="187" w:name="_Toc5497"/>
      <w:bookmarkStart w:id="188" w:name="_Toc13366"/>
      <w:bookmarkStart w:id="189" w:name="_Toc495621872"/>
      <w:bookmarkStart w:id="190" w:name="_Toc16758"/>
      <w:bookmarkStart w:id="191" w:name="_Toc306524535"/>
      <w:bookmarkStart w:id="192" w:name="_Toc184635072"/>
      <w:r>
        <w:rPr>
          <w:rFonts w:hint="eastAsia" w:ascii="宋体" w:hAnsi="宋体" w:cs="宋体"/>
          <w:color w:val="auto"/>
          <w:sz w:val="21"/>
          <w:szCs w:val="21"/>
          <w:highlight w:val="none"/>
        </w:rPr>
        <w:t>1.10 投标预备会</w:t>
      </w:r>
      <w:bookmarkEnd w:id="180"/>
      <w:bookmarkEnd w:id="181"/>
      <w:bookmarkEnd w:id="182"/>
      <w:bookmarkEnd w:id="183"/>
      <w:bookmarkEnd w:id="184"/>
      <w:bookmarkEnd w:id="185"/>
      <w:bookmarkEnd w:id="186"/>
      <w:bookmarkEnd w:id="187"/>
      <w:bookmarkEnd w:id="188"/>
      <w:bookmarkEnd w:id="189"/>
      <w:bookmarkEnd w:id="190"/>
    </w:p>
    <w:p w14:paraId="712404ED">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1.10.1 招标人不集中召开投标预备会，实行网上答疑。投标人若有疑问，需要招标人予以答疑，应以不署名的形式在云南省公共资源交易信息网（https：//ggzy.yn.gov.cn/），进入后切换至</w:t>
      </w:r>
      <w:r>
        <w:rPr>
          <w:rFonts w:hint="eastAsia" w:ascii="宋体" w:hAnsi="宋体" w:cs="宋体"/>
          <w:color w:val="auto"/>
          <w:szCs w:val="21"/>
          <w:highlight w:val="none"/>
          <w:lang w:eastAsia="zh-CN"/>
        </w:rPr>
        <w:t>文山州</w:t>
      </w:r>
      <w:r>
        <w:rPr>
          <w:rFonts w:hint="eastAsia" w:ascii="宋体" w:hAnsi="宋体" w:cs="宋体"/>
          <w:color w:val="auto"/>
          <w:szCs w:val="21"/>
          <w:highlight w:val="none"/>
        </w:rPr>
        <w:t>提出。</w:t>
      </w:r>
    </w:p>
    <w:p w14:paraId="5E4021DC">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1.10.2 投标人提出问题的截止时间和方法：见投标人须知前附表。</w:t>
      </w:r>
    </w:p>
    <w:p w14:paraId="48304044">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1.10.3 招标人澄清的时间和方法：见投标人须知前附表。</w:t>
      </w:r>
    </w:p>
    <w:p w14:paraId="1B2DEF55">
      <w:pPr>
        <w:pStyle w:val="6"/>
        <w:rPr>
          <w:rFonts w:hint="eastAsia" w:ascii="宋体" w:hAnsi="宋体" w:cs="宋体"/>
          <w:color w:val="auto"/>
          <w:sz w:val="21"/>
          <w:szCs w:val="21"/>
          <w:highlight w:val="none"/>
        </w:rPr>
      </w:pPr>
      <w:bookmarkStart w:id="193" w:name="_Toc2413"/>
      <w:bookmarkStart w:id="194" w:name="_Toc21247"/>
      <w:bookmarkStart w:id="195" w:name="_Toc9429"/>
      <w:bookmarkStart w:id="196" w:name="_Toc27353"/>
      <w:bookmarkStart w:id="197" w:name="_Toc25130"/>
      <w:bookmarkStart w:id="198" w:name="_Toc9074"/>
      <w:bookmarkStart w:id="199" w:name="_Toc31526"/>
      <w:bookmarkStart w:id="200" w:name="_Toc7492"/>
      <w:bookmarkStart w:id="201" w:name="_Toc18761"/>
      <w:bookmarkStart w:id="202" w:name="_Toc495621873"/>
      <w:bookmarkStart w:id="203" w:name="_Toc16096293"/>
      <w:r>
        <w:rPr>
          <w:rFonts w:hint="eastAsia" w:ascii="宋体" w:hAnsi="宋体" w:cs="宋体"/>
          <w:color w:val="auto"/>
          <w:sz w:val="21"/>
          <w:szCs w:val="21"/>
          <w:highlight w:val="none"/>
        </w:rPr>
        <w:t>1.11 分包</w:t>
      </w:r>
      <w:bookmarkEnd w:id="193"/>
      <w:bookmarkEnd w:id="194"/>
      <w:bookmarkEnd w:id="195"/>
      <w:bookmarkEnd w:id="196"/>
      <w:bookmarkEnd w:id="197"/>
      <w:bookmarkEnd w:id="198"/>
      <w:bookmarkEnd w:id="199"/>
      <w:bookmarkEnd w:id="200"/>
      <w:bookmarkEnd w:id="201"/>
      <w:bookmarkEnd w:id="202"/>
      <w:bookmarkEnd w:id="203"/>
    </w:p>
    <w:p w14:paraId="1E29E5D9">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见投标人须知前附表。</w:t>
      </w:r>
    </w:p>
    <w:p w14:paraId="48D5346B">
      <w:pPr>
        <w:pStyle w:val="6"/>
        <w:rPr>
          <w:rFonts w:hint="eastAsia" w:ascii="宋体" w:hAnsi="宋体" w:cs="宋体"/>
          <w:color w:val="auto"/>
          <w:sz w:val="21"/>
          <w:szCs w:val="21"/>
          <w:highlight w:val="none"/>
        </w:rPr>
      </w:pPr>
      <w:bookmarkStart w:id="204" w:name="_Toc22791"/>
      <w:bookmarkStart w:id="205" w:name="_Toc24547"/>
      <w:bookmarkStart w:id="206" w:name="_Toc30936"/>
      <w:bookmarkStart w:id="207" w:name="_Toc14181"/>
      <w:bookmarkStart w:id="208" w:name="_Toc495621874"/>
      <w:bookmarkStart w:id="209" w:name="_Toc30425"/>
      <w:bookmarkStart w:id="210" w:name="_Toc26806"/>
      <w:bookmarkStart w:id="211" w:name="_Toc19126"/>
      <w:bookmarkStart w:id="212" w:name="_Toc19656"/>
      <w:bookmarkStart w:id="213" w:name="_Toc10415"/>
      <w:bookmarkStart w:id="214" w:name="_Toc16096294"/>
      <w:r>
        <w:rPr>
          <w:rFonts w:hint="eastAsia" w:ascii="宋体" w:hAnsi="宋体" w:cs="宋体"/>
          <w:color w:val="auto"/>
          <w:sz w:val="21"/>
          <w:szCs w:val="21"/>
          <w:highlight w:val="none"/>
        </w:rPr>
        <w:t>1.12 偏离</w:t>
      </w:r>
      <w:bookmarkEnd w:id="204"/>
      <w:bookmarkEnd w:id="205"/>
      <w:bookmarkEnd w:id="206"/>
      <w:bookmarkEnd w:id="207"/>
      <w:bookmarkEnd w:id="208"/>
      <w:bookmarkEnd w:id="209"/>
      <w:bookmarkEnd w:id="210"/>
      <w:bookmarkEnd w:id="211"/>
      <w:bookmarkEnd w:id="212"/>
      <w:bookmarkEnd w:id="213"/>
      <w:bookmarkEnd w:id="214"/>
    </w:p>
    <w:p w14:paraId="0ED03F5E">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投标人须知前附表允许投标文件偏离招标文件某些要求的，偏离应当符合招标文件规定的偏离范围和幅度。</w:t>
      </w:r>
    </w:p>
    <w:p w14:paraId="5AF578D1">
      <w:pPr>
        <w:pStyle w:val="5"/>
        <w:rPr>
          <w:rFonts w:hint="eastAsia" w:ascii="宋体" w:hAnsi="宋体" w:cs="宋体"/>
          <w:color w:val="auto"/>
          <w:szCs w:val="24"/>
          <w:highlight w:val="none"/>
        </w:rPr>
      </w:pPr>
      <w:bookmarkStart w:id="215" w:name="_Toc18112"/>
      <w:bookmarkStart w:id="216" w:name="_Toc366144071"/>
      <w:bookmarkStart w:id="217" w:name="_Toc29334"/>
      <w:bookmarkStart w:id="218" w:name="_Toc12451"/>
      <w:bookmarkStart w:id="219" w:name="_Toc818"/>
      <w:bookmarkStart w:id="220" w:name="_Toc23415"/>
      <w:bookmarkStart w:id="221" w:name="_Toc23589"/>
      <w:bookmarkStart w:id="222" w:name="_Toc20961"/>
      <w:r>
        <w:rPr>
          <w:rFonts w:hint="eastAsia" w:ascii="宋体" w:hAnsi="宋体" w:cs="宋体"/>
          <w:color w:val="auto"/>
          <w:szCs w:val="24"/>
          <w:highlight w:val="none"/>
        </w:rPr>
        <w:t>2．招标文件</w:t>
      </w:r>
      <w:bookmarkEnd w:id="191"/>
      <w:bookmarkEnd w:id="192"/>
      <w:bookmarkEnd w:id="215"/>
      <w:bookmarkEnd w:id="216"/>
      <w:bookmarkEnd w:id="217"/>
      <w:bookmarkEnd w:id="218"/>
      <w:bookmarkEnd w:id="219"/>
      <w:bookmarkEnd w:id="220"/>
      <w:bookmarkEnd w:id="221"/>
      <w:bookmarkEnd w:id="222"/>
    </w:p>
    <w:p w14:paraId="1A16C8A8">
      <w:pPr>
        <w:pStyle w:val="6"/>
        <w:rPr>
          <w:rFonts w:hint="eastAsia" w:ascii="宋体" w:hAnsi="宋体" w:cs="宋体"/>
          <w:color w:val="auto"/>
          <w:sz w:val="21"/>
          <w:szCs w:val="21"/>
          <w:highlight w:val="none"/>
        </w:rPr>
      </w:pPr>
      <w:bookmarkStart w:id="223" w:name="_Toc18717"/>
      <w:bookmarkStart w:id="224" w:name="_Toc2300"/>
      <w:bookmarkStart w:id="225" w:name="_Toc27133"/>
      <w:bookmarkStart w:id="226" w:name="_Toc21071"/>
      <w:bookmarkStart w:id="227" w:name="_Toc495621876"/>
      <w:bookmarkStart w:id="228" w:name="_Toc31450"/>
      <w:bookmarkStart w:id="229" w:name="_Toc25505"/>
      <w:bookmarkStart w:id="230" w:name="_Toc19297"/>
      <w:bookmarkStart w:id="231" w:name="_Toc16096296"/>
      <w:bookmarkStart w:id="232" w:name="_Toc12157"/>
      <w:bookmarkStart w:id="233" w:name="_Toc22541"/>
      <w:r>
        <w:rPr>
          <w:rFonts w:hint="eastAsia" w:ascii="宋体" w:hAnsi="宋体" w:cs="宋体"/>
          <w:color w:val="auto"/>
          <w:sz w:val="21"/>
          <w:szCs w:val="21"/>
          <w:highlight w:val="none"/>
        </w:rPr>
        <w:t>2.1 招标文件的组成</w:t>
      </w:r>
      <w:bookmarkEnd w:id="223"/>
      <w:bookmarkEnd w:id="224"/>
      <w:bookmarkEnd w:id="225"/>
      <w:bookmarkEnd w:id="226"/>
      <w:bookmarkEnd w:id="227"/>
      <w:bookmarkEnd w:id="228"/>
      <w:bookmarkEnd w:id="229"/>
      <w:bookmarkEnd w:id="230"/>
      <w:bookmarkEnd w:id="231"/>
      <w:bookmarkEnd w:id="232"/>
      <w:bookmarkEnd w:id="233"/>
    </w:p>
    <w:p w14:paraId="6F5813EE">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本招标文件包括：</w:t>
      </w:r>
    </w:p>
    <w:p w14:paraId="27C6746E">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（1）电子招标文件，格式为*.BZBJ，包含招标公告（或投标邀请书）、投标人须知、评标办法、技术规范和要求、合同条款及格式、投标文件格式、投标人须知前附表规定的其他材料；</w:t>
      </w:r>
    </w:p>
    <w:p w14:paraId="48884E11">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（2）其他附件(电子版)。</w:t>
      </w:r>
    </w:p>
    <w:p w14:paraId="158B134F">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根据本章第1.10 款、第2.2 款和第2.3 款对招标文件所作的澄清、修改，构成招标文件的组成部分。</w:t>
      </w:r>
    </w:p>
    <w:p w14:paraId="0AAC56EF">
      <w:pPr>
        <w:pStyle w:val="6"/>
        <w:rPr>
          <w:rFonts w:hint="eastAsia" w:ascii="宋体" w:hAnsi="宋体" w:cs="宋体"/>
          <w:color w:val="auto"/>
          <w:sz w:val="21"/>
          <w:szCs w:val="21"/>
          <w:highlight w:val="none"/>
        </w:rPr>
      </w:pPr>
      <w:bookmarkStart w:id="234" w:name="_Toc27118"/>
      <w:bookmarkStart w:id="235" w:name="_Toc21780"/>
      <w:bookmarkStart w:id="236" w:name="_Toc16096297"/>
      <w:bookmarkStart w:id="237" w:name="_Toc1523"/>
      <w:bookmarkStart w:id="238" w:name="_Toc1066"/>
      <w:bookmarkStart w:id="239" w:name="_Toc26250"/>
      <w:bookmarkStart w:id="240" w:name="_Toc495621877"/>
      <w:bookmarkStart w:id="241" w:name="_Toc26222"/>
      <w:bookmarkStart w:id="242" w:name="_Toc17261"/>
      <w:bookmarkStart w:id="243" w:name="_Toc19869"/>
      <w:bookmarkStart w:id="244" w:name="_Toc11475"/>
      <w:r>
        <w:rPr>
          <w:rFonts w:hint="eastAsia" w:ascii="宋体" w:hAnsi="宋体" w:cs="宋体"/>
          <w:color w:val="auto"/>
          <w:sz w:val="21"/>
          <w:szCs w:val="21"/>
          <w:highlight w:val="none"/>
        </w:rPr>
        <w:t>2.2 招标文件的澄清</w:t>
      </w:r>
      <w:bookmarkEnd w:id="234"/>
      <w:bookmarkEnd w:id="235"/>
      <w:bookmarkEnd w:id="236"/>
      <w:bookmarkEnd w:id="237"/>
      <w:bookmarkEnd w:id="238"/>
      <w:bookmarkEnd w:id="239"/>
      <w:bookmarkEnd w:id="240"/>
      <w:bookmarkEnd w:id="241"/>
      <w:bookmarkEnd w:id="242"/>
      <w:bookmarkEnd w:id="243"/>
      <w:bookmarkEnd w:id="244"/>
    </w:p>
    <w:p w14:paraId="60EBEF83">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2.2.1同1．10．2的时间要求。投标人应仔细阅读和检查招标文件的全部内容。如发现缺项或内容不全，应在投标人须知前附表规定的截止时间前凭身份认证密匙登录云南省公共资源交易信息网（https：//ggzy.yn.gov.cn/），进入后切换至</w:t>
      </w:r>
      <w:r>
        <w:rPr>
          <w:rFonts w:hint="eastAsia" w:ascii="宋体" w:hAnsi="宋体" w:cs="宋体"/>
          <w:color w:val="auto"/>
          <w:szCs w:val="21"/>
          <w:highlight w:val="none"/>
          <w:lang w:eastAsia="zh-CN"/>
        </w:rPr>
        <w:t>文山州</w:t>
      </w:r>
      <w:r>
        <w:rPr>
          <w:rFonts w:hint="eastAsia" w:ascii="宋体" w:hAnsi="宋体" w:cs="宋体"/>
          <w:color w:val="auto"/>
          <w:szCs w:val="21"/>
          <w:highlight w:val="none"/>
        </w:rPr>
        <w:t>，通过网络在线方式进行匿名提问。</w:t>
      </w:r>
    </w:p>
    <w:p w14:paraId="1B67335D">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2.2.2投标截止时间：见投标人须知前附表。</w:t>
      </w:r>
    </w:p>
    <w:p w14:paraId="01A0D9D6">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2.2.3招标澄清和补遗全部通过网络送达，请投标人在开标截止日前，务必查询云南省公共资源交易信息网（https：//ggzy.yn.gov.cn/），进入后切换至</w:t>
      </w:r>
      <w:r>
        <w:rPr>
          <w:rFonts w:hint="eastAsia" w:ascii="宋体" w:hAnsi="宋体" w:cs="宋体"/>
          <w:color w:val="auto"/>
          <w:szCs w:val="21"/>
          <w:highlight w:val="none"/>
          <w:lang w:eastAsia="zh-CN"/>
        </w:rPr>
        <w:t>文山州</w:t>
      </w:r>
      <w:r>
        <w:rPr>
          <w:rFonts w:hint="eastAsia" w:ascii="宋体" w:hAnsi="宋体" w:cs="宋体"/>
          <w:color w:val="auto"/>
          <w:szCs w:val="21"/>
          <w:highlight w:val="none"/>
        </w:rPr>
        <w:t>，投标人自行登录云南省公共资源交易信息网（https：//ggzy.yn.gov.cn/），进入后切换至</w:t>
      </w:r>
      <w:r>
        <w:rPr>
          <w:rFonts w:hint="eastAsia" w:ascii="宋体" w:hAnsi="宋体" w:cs="宋体"/>
          <w:color w:val="auto"/>
          <w:szCs w:val="21"/>
          <w:highlight w:val="none"/>
          <w:lang w:eastAsia="zh-CN"/>
        </w:rPr>
        <w:t>文山州</w:t>
      </w:r>
      <w:r>
        <w:rPr>
          <w:rFonts w:hint="eastAsia" w:ascii="宋体" w:hAnsi="宋体" w:cs="宋体"/>
          <w:color w:val="auto"/>
          <w:szCs w:val="21"/>
          <w:highlight w:val="none"/>
        </w:rPr>
        <w:t>获取澄清，无须回复确认已收到该澄清，招标人不再另行通知。</w:t>
      </w:r>
    </w:p>
    <w:p w14:paraId="7C404466">
      <w:pPr>
        <w:pStyle w:val="6"/>
        <w:rPr>
          <w:rFonts w:hint="eastAsia" w:ascii="宋体" w:hAnsi="宋体" w:cs="宋体"/>
          <w:color w:val="auto"/>
          <w:sz w:val="21"/>
          <w:szCs w:val="21"/>
          <w:highlight w:val="none"/>
        </w:rPr>
      </w:pPr>
      <w:bookmarkStart w:id="245" w:name="_Toc24873"/>
      <w:bookmarkStart w:id="246" w:name="_Toc10061"/>
      <w:bookmarkStart w:id="247" w:name="_Toc26161"/>
      <w:bookmarkStart w:id="248" w:name="_Toc495621878"/>
      <w:bookmarkStart w:id="249" w:name="_Toc15902"/>
      <w:bookmarkStart w:id="250" w:name="_Toc636"/>
      <w:bookmarkStart w:id="251" w:name="_Toc6069"/>
      <w:bookmarkStart w:id="252" w:name="_Toc785"/>
      <w:bookmarkStart w:id="253" w:name="_Toc4149"/>
      <w:bookmarkStart w:id="254" w:name="_Toc1720"/>
      <w:bookmarkStart w:id="255" w:name="_Toc16096298"/>
      <w:r>
        <w:rPr>
          <w:rFonts w:hint="eastAsia" w:ascii="宋体" w:hAnsi="宋体" w:cs="宋体"/>
          <w:color w:val="auto"/>
          <w:sz w:val="21"/>
          <w:szCs w:val="21"/>
          <w:highlight w:val="none"/>
        </w:rPr>
        <w:t>2.3 招标文件的修改</w:t>
      </w:r>
      <w:bookmarkEnd w:id="245"/>
      <w:bookmarkEnd w:id="246"/>
      <w:bookmarkEnd w:id="247"/>
      <w:bookmarkEnd w:id="248"/>
      <w:bookmarkEnd w:id="249"/>
      <w:bookmarkEnd w:id="250"/>
      <w:bookmarkEnd w:id="251"/>
      <w:bookmarkEnd w:id="252"/>
      <w:bookmarkEnd w:id="253"/>
      <w:bookmarkEnd w:id="254"/>
      <w:bookmarkEnd w:id="255"/>
    </w:p>
    <w:p w14:paraId="04224D16">
      <w:pPr>
        <w:spacing w:line="360" w:lineRule="auto"/>
        <w:ind w:firstLine="420" w:firstLineChars="200"/>
        <w:rPr>
          <w:rFonts w:hint="eastAsia" w:ascii="宋体" w:hAnsi="宋体" w:cs="宋体"/>
          <w:color w:val="auto"/>
          <w:szCs w:val="21"/>
          <w:highlight w:val="none"/>
        </w:rPr>
      </w:pPr>
      <w:bookmarkStart w:id="256" w:name="_Toc184635073"/>
      <w:r>
        <w:rPr>
          <w:rFonts w:hint="eastAsia" w:ascii="宋体" w:hAnsi="宋体" w:cs="宋体"/>
          <w:color w:val="auto"/>
          <w:szCs w:val="21"/>
          <w:highlight w:val="none"/>
        </w:rPr>
        <w:t>2.3.1 招标文件的修改作为招标文件的组成部分，对投标人具有约束力。如果修改招标文件的时间距投标截止时间不足15日历天，并且修改内容影响投标文件编制的，应相应延长投标截止时间。</w:t>
      </w:r>
    </w:p>
    <w:p w14:paraId="6160AA53">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2.3.2投标人自行登录云南省公共资源交易信息网（https：//ggzy.yn.gov.cn/），进入后切换至</w:t>
      </w:r>
      <w:r>
        <w:rPr>
          <w:rFonts w:hint="eastAsia" w:ascii="宋体" w:hAnsi="宋体" w:cs="宋体"/>
          <w:color w:val="auto"/>
          <w:szCs w:val="21"/>
          <w:highlight w:val="none"/>
          <w:lang w:eastAsia="zh-CN"/>
        </w:rPr>
        <w:t>文山州</w:t>
      </w:r>
      <w:r>
        <w:rPr>
          <w:rFonts w:hint="eastAsia" w:ascii="宋体" w:hAnsi="宋体" w:cs="宋体"/>
          <w:color w:val="auto"/>
          <w:szCs w:val="21"/>
          <w:highlight w:val="none"/>
        </w:rPr>
        <w:t>收取修改内容，无须回复确认已收到该修改。投标人应在截标时间前随时查看云南省公共资源交易信息网（https：//ggzy.yn.gov.cn/），进入后切换至</w:t>
      </w:r>
      <w:r>
        <w:rPr>
          <w:rFonts w:hint="eastAsia" w:ascii="宋体" w:hAnsi="宋体" w:cs="宋体"/>
          <w:color w:val="auto"/>
          <w:szCs w:val="21"/>
          <w:highlight w:val="none"/>
          <w:lang w:eastAsia="zh-CN"/>
        </w:rPr>
        <w:t>文山州</w:t>
      </w:r>
      <w:r>
        <w:rPr>
          <w:rFonts w:hint="eastAsia" w:ascii="宋体" w:hAnsi="宋体" w:cs="宋体"/>
          <w:color w:val="auto"/>
          <w:szCs w:val="21"/>
          <w:highlight w:val="none"/>
        </w:rPr>
        <w:t>中有关该工程招标文件的答疑、补遗内容。否则，由此引起的投标损失自负。</w:t>
      </w:r>
    </w:p>
    <w:p w14:paraId="74956731">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2.3.3招标文件、招标文件澄清、招标文件修改文件内容均以网上发布的为准，当招标文件、招标文件澄清、招标文件修改文件内容相互矛盾时，以最后发出的为准。</w:t>
      </w:r>
    </w:p>
    <w:p w14:paraId="13C98A44">
      <w:pPr>
        <w:pStyle w:val="5"/>
        <w:rPr>
          <w:rFonts w:hint="eastAsia" w:ascii="宋体" w:hAnsi="宋体" w:cs="宋体"/>
          <w:color w:val="auto"/>
          <w:szCs w:val="24"/>
          <w:highlight w:val="none"/>
        </w:rPr>
      </w:pPr>
      <w:bookmarkStart w:id="257" w:name="_Toc28379"/>
      <w:bookmarkStart w:id="258" w:name="_Toc1940"/>
      <w:bookmarkStart w:id="259" w:name="_Toc19826"/>
      <w:bookmarkStart w:id="260" w:name="_Toc28863"/>
      <w:bookmarkStart w:id="261" w:name="_Toc366144072"/>
      <w:bookmarkStart w:id="262" w:name="_Toc10223"/>
      <w:bookmarkStart w:id="263" w:name="_Toc29908"/>
      <w:bookmarkStart w:id="264" w:name="_Toc30525"/>
      <w:r>
        <w:rPr>
          <w:rFonts w:hint="eastAsia" w:ascii="宋体" w:hAnsi="宋体" w:cs="宋体"/>
          <w:color w:val="auto"/>
          <w:szCs w:val="24"/>
          <w:highlight w:val="none"/>
        </w:rPr>
        <w:t>3．投标文件</w:t>
      </w:r>
      <w:bookmarkEnd w:id="256"/>
      <w:bookmarkEnd w:id="257"/>
      <w:bookmarkEnd w:id="258"/>
      <w:bookmarkEnd w:id="259"/>
      <w:bookmarkEnd w:id="260"/>
      <w:bookmarkEnd w:id="261"/>
      <w:bookmarkEnd w:id="262"/>
      <w:bookmarkEnd w:id="263"/>
      <w:bookmarkEnd w:id="264"/>
    </w:p>
    <w:p w14:paraId="5E2C33D6">
      <w:pPr>
        <w:pStyle w:val="6"/>
        <w:rPr>
          <w:rFonts w:hint="eastAsia" w:ascii="宋体" w:hAnsi="宋体" w:cs="宋体"/>
          <w:color w:val="auto"/>
          <w:sz w:val="21"/>
          <w:szCs w:val="21"/>
          <w:highlight w:val="none"/>
        </w:rPr>
      </w:pPr>
      <w:bookmarkStart w:id="265" w:name="_Toc16096300"/>
      <w:bookmarkStart w:id="266" w:name="_Toc3064"/>
      <w:bookmarkStart w:id="267" w:name="_Toc23437"/>
      <w:bookmarkStart w:id="268" w:name="_Toc1190"/>
      <w:bookmarkStart w:id="269" w:name="_Toc16053"/>
      <w:bookmarkStart w:id="270" w:name="_Toc8434"/>
      <w:bookmarkStart w:id="271" w:name="_Toc27100"/>
      <w:bookmarkStart w:id="272" w:name="_Toc19738"/>
      <w:bookmarkStart w:id="273" w:name="_Toc495621880"/>
      <w:bookmarkStart w:id="274" w:name="_Toc381"/>
      <w:bookmarkStart w:id="275" w:name="_Toc3920"/>
      <w:r>
        <w:rPr>
          <w:rFonts w:hint="eastAsia" w:ascii="宋体" w:hAnsi="宋体" w:cs="宋体"/>
          <w:color w:val="auto"/>
          <w:sz w:val="21"/>
          <w:szCs w:val="21"/>
          <w:highlight w:val="none"/>
        </w:rPr>
        <w:t>3.1 投标文件的组成</w:t>
      </w:r>
      <w:bookmarkEnd w:id="265"/>
      <w:bookmarkEnd w:id="266"/>
      <w:bookmarkEnd w:id="267"/>
      <w:bookmarkEnd w:id="268"/>
      <w:bookmarkEnd w:id="269"/>
      <w:bookmarkEnd w:id="270"/>
      <w:bookmarkEnd w:id="271"/>
      <w:bookmarkEnd w:id="272"/>
      <w:bookmarkEnd w:id="273"/>
      <w:bookmarkEnd w:id="274"/>
      <w:bookmarkEnd w:id="275"/>
    </w:p>
    <w:p w14:paraId="126EF187">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3.1.1投标文件全部采用电子文档，由资格审查部分、投标函部分、商务部分、技术标部分等组成。</w:t>
      </w:r>
    </w:p>
    <w:p w14:paraId="1EC6F581">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3.1.2在编制技术标投标文件时，粘贴图片使用JPG格式的文件，并且每张图片的分辩率应小于100dpi，最终的每份标书文件所占用的磁盘空间必须小于100M。</w:t>
      </w:r>
    </w:p>
    <w:p w14:paraId="3307E25F">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3.1.3投标人须知前附表规定不接受联合体投标的，或投标人没有组成联合体的，投标文件不包括本章所指的联合体协议书。</w:t>
      </w:r>
    </w:p>
    <w:p w14:paraId="0D7CE6AC">
      <w:pPr>
        <w:pStyle w:val="6"/>
        <w:rPr>
          <w:rFonts w:hint="eastAsia" w:ascii="宋体" w:hAnsi="宋体" w:cs="宋体"/>
          <w:color w:val="auto"/>
          <w:sz w:val="21"/>
          <w:szCs w:val="21"/>
          <w:highlight w:val="none"/>
        </w:rPr>
      </w:pPr>
      <w:bookmarkStart w:id="276" w:name="_Toc8078"/>
      <w:bookmarkStart w:id="277" w:name="_Toc23808"/>
      <w:bookmarkStart w:id="278" w:name="_Toc1545"/>
      <w:bookmarkStart w:id="279" w:name="_Toc9306"/>
      <w:bookmarkStart w:id="280" w:name="_Toc12303"/>
      <w:bookmarkStart w:id="281" w:name="_Toc4462"/>
      <w:bookmarkStart w:id="282" w:name="_Toc18359"/>
      <w:bookmarkStart w:id="283" w:name="_Toc16096301"/>
      <w:bookmarkStart w:id="284" w:name="_Toc4744"/>
      <w:bookmarkStart w:id="285" w:name="_Toc495621881"/>
      <w:bookmarkStart w:id="286" w:name="_Toc21404"/>
      <w:r>
        <w:rPr>
          <w:rFonts w:hint="eastAsia" w:ascii="宋体" w:hAnsi="宋体" w:cs="宋体"/>
          <w:color w:val="auto"/>
          <w:sz w:val="21"/>
          <w:szCs w:val="21"/>
          <w:highlight w:val="none"/>
        </w:rPr>
        <w:t>3.2 投标报价</w:t>
      </w:r>
      <w:bookmarkEnd w:id="276"/>
      <w:bookmarkEnd w:id="277"/>
      <w:bookmarkEnd w:id="278"/>
      <w:bookmarkEnd w:id="279"/>
      <w:bookmarkEnd w:id="280"/>
      <w:bookmarkEnd w:id="281"/>
      <w:bookmarkEnd w:id="282"/>
      <w:bookmarkEnd w:id="283"/>
      <w:bookmarkEnd w:id="284"/>
      <w:bookmarkEnd w:id="285"/>
      <w:bookmarkEnd w:id="286"/>
    </w:p>
    <w:p w14:paraId="05F66F44">
      <w:pPr>
        <w:spacing w:line="360" w:lineRule="auto"/>
        <w:ind w:firstLine="472" w:firstLineChars="225"/>
        <w:rPr>
          <w:rFonts w:hint="eastAsia" w:ascii="宋体" w:hAnsi="宋体" w:cs="宋体"/>
          <w:color w:val="auto"/>
          <w:szCs w:val="21"/>
          <w:highlight w:val="none"/>
        </w:rPr>
      </w:pPr>
      <w:bookmarkStart w:id="287" w:name="_Toc495621882"/>
      <w:bookmarkStart w:id="288" w:name="_Toc16096302"/>
      <w:r>
        <w:rPr>
          <w:rFonts w:hint="eastAsia" w:ascii="宋体" w:hAnsi="宋体" w:cs="宋体"/>
          <w:color w:val="auto"/>
          <w:szCs w:val="21"/>
          <w:highlight w:val="none"/>
        </w:rPr>
        <w:t>3.2.1</w:t>
      </w:r>
      <w:r>
        <w:rPr>
          <w:rFonts w:hint="eastAsia" w:ascii="宋体" w:hAnsi="宋体" w:cs="宋体"/>
          <w:color w:val="auto"/>
          <w:szCs w:val="21"/>
          <w:highlight w:val="none"/>
          <w:lang w:val="en-US" w:eastAsia="zh-CN"/>
        </w:rPr>
        <w:t>具体报价要求详见投标人须知前附表</w:t>
      </w:r>
      <w:r>
        <w:rPr>
          <w:rFonts w:hint="eastAsia" w:ascii="宋体" w:hAnsi="宋体" w:cs="宋体"/>
          <w:color w:val="auto"/>
          <w:szCs w:val="21"/>
          <w:highlight w:val="none"/>
        </w:rPr>
        <w:t>。</w:t>
      </w:r>
    </w:p>
    <w:p w14:paraId="3F4945B6">
      <w:pPr>
        <w:spacing w:line="360" w:lineRule="auto"/>
        <w:ind w:firstLine="472" w:firstLineChars="225"/>
        <w:rPr>
          <w:rFonts w:hint="eastAsia" w:ascii="宋体" w:hAnsi="宋体" w:cs="宋体"/>
          <w:color w:val="auto"/>
          <w:szCs w:val="21"/>
          <w:highlight w:val="none"/>
        </w:rPr>
      </w:pPr>
      <w:r>
        <w:rPr>
          <w:rFonts w:hint="eastAsia" w:ascii="宋体" w:hAnsi="宋体" w:cs="宋体"/>
          <w:color w:val="auto"/>
          <w:szCs w:val="21"/>
          <w:highlight w:val="none"/>
        </w:rPr>
        <w:t>3.2.2招标人不接受任何有选择性的报价。</w:t>
      </w:r>
    </w:p>
    <w:p w14:paraId="5A930D80">
      <w:pPr>
        <w:spacing w:line="360" w:lineRule="auto"/>
        <w:ind w:firstLine="472" w:firstLineChars="225"/>
        <w:rPr>
          <w:rFonts w:hint="eastAsia" w:ascii="宋体" w:hAnsi="宋体" w:cs="宋体"/>
          <w:color w:val="auto"/>
          <w:szCs w:val="21"/>
          <w:highlight w:val="none"/>
        </w:rPr>
      </w:pPr>
      <w:r>
        <w:rPr>
          <w:rFonts w:hint="eastAsia" w:ascii="宋体" w:hAnsi="宋体" w:cs="宋体"/>
          <w:color w:val="auto"/>
          <w:szCs w:val="21"/>
          <w:highlight w:val="none"/>
        </w:rPr>
        <w:t>3.2.</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本项目概况中的相关数据为概述情况，投标人应充分考虑项目过程中工作量变动的可能性及风险，承诺无论实施过程中项目工作量是否发生变动，中标价格均不予调整。招标人不再支付与本项目有关的其他任何费用（包括项目延期等）。</w:t>
      </w:r>
    </w:p>
    <w:p w14:paraId="6894F040">
      <w:pPr>
        <w:spacing w:line="360" w:lineRule="auto"/>
        <w:ind w:firstLine="472" w:firstLineChars="225"/>
        <w:rPr>
          <w:rFonts w:hint="eastAsia" w:ascii="宋体" w:hAnsi="宋体" w:cs="宋体"/>
          <w:color w:val="auto"/>
          <w:szCs w:val="21"/>
          <w:highlight w:val="none"/>
        </w:rPr>
      </w:pPr>
      <w:r>
        <w:rPr>
          <w:rFonts w:hint="eastAsia" w:ascii="宋体" w:hAnsi="宋体" w:cs="宋体"/>
          <w:color w:val="auto"/>
          <w:szCs w:val="21"/>
          <w:highlight w:val="none"/>
        </w:rPr>
        <w:t>3.2.</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在合同实施期间，中标价不随国家政策或法规、标准及市场因素的变化而进行调整。</w:t>
      </w:r>
    </w:p>
    <w:p w14:paraId="0649FDDD">
      <w:pPr>
        <w:spacing w:line="360" w:lineRule="auto"/>
        <w:ind w:firstLine="472" w:firstLineChars="225"/>
        <w:rPr>
          <w:rFonts w:hint="eastAsia" w:ascii="宋体" w:hAnsi="宋体" w:cs="宋体"/>
          <w:color w:val="auto"/>
          <w:szCs w:val="21"/>
          <w:highlight w:val="none"/>
        </w:rPr>
      </w:pPr>
      <w:bookmarkStart w:id="289" w:name="_Toc69140784"/>
      <w:bookmarkStart w:id="290" w:name="_Toc17626"/>
      <w:r>
        <w:rPr>
          <w:rFonts w:hint="eastAsia" w:ascii="宋体" w:hAnsi="宋体" w:cs="宋体"/>
          <w:color w:val="auto"/>
          <w:szCs w:val="21"/>
          <w:highlight w:val="none"/>
        </w:rPr>
        <w:t>3.2.</w:t>
      </w: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税金：本项目投标报价为含税价，投标阶段税率按国家现行规定执行，招标人有权根据合同履行时国家颁布的有效的税率对税额进行调整，中标人按国家规定向招标人提供发票，相关税金由中标人承担。</w:t>
      </w:r>
      <w:bookmarkEnd w:id="289"/>
      <w:bookmarkEnd w:id="290"/>
    </w:p>
    <w:p w14:paraId="04544BC5">
      <w:pPr>
        <w:pStyle w:val="6"/>
        <w:rPr>
          <w:rFonts w:hint="eastAsia" w:ascii="宋体" w:hAnsi="宋体" w:cs="宋体"/>
          <w:color w:val="auto"/>
          <w:sz w:val="21"/>
          <w:szCs w:val="21"/>
          <w:highlight w:val="none"/>
        </w:rPr>
      </w:pPr>
      <w:bookmarkStart w:id="291" w:name="_Toc27614"/>
      <w:bookmarkStart w:id="292" w:name="_Toc19376"/>
      <w:bookmarkStart w:id="293" w:name="_Toc5593"/>
      <w:bookmarkStart w:id="294" w:name="_Toc25397"/>
      <w:bookmarkStart w:id="295" w:name="_Toc26658"/>
      <w:bookmarkStart w:id="296" w:name="_Toc20690"/>
      <w:bookmarkStart w:id="297" w:name="_Toc4466"/>
      <w:bookmarkStart w:id="298" w:name="_Toc10926"/>
      <w:bookmarkStart w:id="299" w:name="_Toc18408"/>
      <w:r>
        <w:rPr>
          <w:rFonts w:hint="eastAsia" w:ascii="宋体" w:hAnsi="宋体" w:cs="宋体"/>
          <w:color w:val="auto"/>
          <w:sz w:val="21"/>
          <w:szCs w:val="21"/>
          <w:highlight w:val="none"/>
        </w:rPr>
        <w:t>3.3 投标有效期</w:t>
      </w:r>
      <w:bookmarkEnd w:id="287"/>
      <w:bookmarkEnd w:id="288"/>
      <w:bookmarkEnd w:id="291"/>
      <w:bookmarkEnd w:id="292"/>
      <w:bookmarkEnd w:id="293"/>
      <w:bookmarkEnd w:id="294"/>
      <w:bookmarkEnd w:id="295"/>
      <w:bookmarkEnd w:id="296"/>
      <w:bookmarkEnd w:id="297"/>
      <w:bookmarkEnd w:id="298"/>
      <w:bookmarkEnd w:id="299"/>
    </w:p>
    <w:p w14:paraId="211B1C6F">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3.3.1 在投标人须知前附表规定的投标有效期内，投标人不得要求撤销或修改其投标文件。</w:t>
      </w:r>
    </w:p>
    <w:p w14:paraId="79CF2C8E">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3.3.2出现特殊情况需要延长投标有效期的，招标人以书面形式通知所有投标人延长投标有效期。投标人同意延长的，应相应延长其投标保证金的有效期，但不得要求或被允许修改或撤销其投标文件；投标人拒绝延长的，其投标失效，但投标人有权收回其投标保证金。</w:t>
      </w:r>
    </w:p>
    <w:p w14:paraId="4A766B75">
      <w:pPr>
        <w:pStyle w:val="6"/>
        <w:spacing w:line="360" w:lineRule="auto"/>
        <w:ind w:firstLineChars="200"/>
        <w:rPr>
          <w:rFonts w:hint="eastAsia" w:ascii="宋体" w:hAnsi="宋体" w:eastAsia="宋体" w:cs="宋体"/>
          <w:color w:val="auto"/>
          <w:szCs w:val="21"/>
          <w:highlight w:val="none"/>
          <w:lang w:eastAsia="zh-CN"/>
        </w:rPr>
      </w:pPr>
      <w:bookmarkStart w:id="300" w:name="_Toc4156"/>
      <w:bookmarkStart w:id="301" w:name="_Toc16096303"/>
      <w:bookmarkStart w:id="302" w:name="_Toc9974"/>
      <w:bookmarkStart w:id="303" w:name="_Toc25785"/>
      <w:bookmarkStart w:id="304" w:name="_Toc5635"/>
      <w:bookmarkStart w:id="305" w:name="_Toc10325"/>
      <w:bookmarkStart w:id="306" w:name="_Toc3908"/>
      <w:bookmarkStart w:id="307" w:name="_Toc10417"/>
      <w:bookmarkStart w:id="308" w:name="_Toc22492"/>
      <w:bookmarkStart w:id="309" w:name="_Toc495621883"/>
      <w:bookmarkStart w:id="310" w:name="_Toc31951"/>
      <w:r>
        <w:rPr>
          <w:rFonts w:hint="eastAsia" w:ascii="宋体" w:hAnsi="宋体" w:cs="宋体"/>
          <w:color w:val="auto"/>
          <w:sz w:val="21"/>
          <w:szCs w:val="21"/>
          <w:highlight w:val="none"/>
        </w:rPr>
        <w:t>3.4 投标保证金</w:t>
      </w:r>
      <w:bookmarkEnd w:id="300"/>
      <w:bookmarkEnd w:id="301"/>
      <w:bookmarkEnd w:id="302"/>
      <w:bookmarkEnd w:id="303"/>
      <w:bookmarkEnd w:id="304"/>
      <w:bookmarkEnd w:id="305"/>
      <w:bookmarkEnd w:id="306"/>
      <w:bookmarkEnd w:id="307"/>
      <w:bookmarkEnd w:id="308"/>
      <w:bookmarkEnd w:id="309"/>
      <w:r>
        <w:rPr>
          <w:rFonts w:hint="eastAsia" w:ascii="宋体" w:hAnsi="宋体" w:cs="宋体"/>
          <w:color w:val="auto"/>
          <w:sz w:val="21"/>
          <w:szCs w:val="21"/>
          <w:highlight w:val="none"/>
          <w:lang w:eastAsia="zh-CN"/>
        </w:rPr>
        <w:t>：</w:t>
      </w:r>
      <w:r>
        <w:rPr>
          <w:rFonts w:hint="eastAsia" w:ascii="宋体" w:hAnsi="宋体" w:cs="宋体"/>
          <w:color w:val="auto"/>
          <w:szCs w:val="21"/>
          <w:highlight w:val="none"/>
          <w:lang w:val="en-US" w:eastAsia="zh-CN"/>
        </w:rPr>
        <w:t>不要求</w:t>
      </w:r>
      <w:bookmarkEnd w:id="310"/>
    </w:p>
    <w:p w14:paraId="50EA6D92">
      <w:pPr>
        <w:pStyle w:val="6"/>
        <w:rPr>
          <w:rFonts w:hint="eastAsia" w:ascii="宋体" w:hAnsi="宋体" w:cs="宋体"/>
          <w:color w:val="auto"/>
          <w:sz w:val="21"/>
          <w:szCs w:val="21"/>
          <w:highlight w:val="none"/>
        </w:rPr>
      </w:pPr>
      <w:bookmarkStart w:id="311" w:name="_Toc20991"/>
      <w:bookmarkStart w:id="312" w:name="_Toc16721"/>
      <w:bookmarkStart w:id="313" w:name="_Toc8419"/>
      <w:bookmarkStart w:id="314" w:name="_Toc7436"/>
      <w:bookmarkStart w:id="315" w:name="_Toc16096304"/>
      <w:bookmarkStart w:id="316" w:name="_Toc28199"/>
      <w:bookmarkStart w:id="317" w:name="_Toc16962"/>
      <w:bookmarkStart w:id="318" w:name="_Toc31121"/>
      <w:bookmarkStart w:id="319" w:name="_Toc8666"/>
      <w:bookmarkStart w:id="320" w:name="_Toc2360"/>
      <w:bookmarkStart w:id="321" w:name="_Toc495621884"/>
      <w:r>
        <w:rPr>
          <w:rFonts w:hint="eastAsia" w:ascii="宋体" w:hAnsi="宋体" w:cs="宋体"/>
          <w:color w:val="auto"/>
          <w:sz w:val="21"/>
          <w:szCs w:val="21"/>
          <w:highlight w:val="none"/>
        </w:rPr>
        <w:t>3.5 资格审查资料</w:t>
      </w:r>
      <w:bookmarkEnd w:id="311"/>
      <w:bookmarkEnd w:id="312"/>
      <w:bookmarkEnd w:id="313"/>
      <w:bookmarkEnd w:id="314"/>
      <w:bookmarkEnd w:id="315"/>
      <w:bookmarkEnd w:id="316"/>
      <w:bookmarkEnd w:id="317"/>
      <w:bookmarkEnd w:id="318"/>
      <w:bookmarkEnd w:id="319"/>
      <w:bookmarkEnd w:id="320"/>
      <w:bookmarkEnd w:id="321"/>
    </w:p>
    <w:p w14:paraId="2E0815B4">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按评标办法前附表第2.1.2资格审查标准提供。</w:t>
      </w:r>
    </w:p>
    <w:p w14:paraId="505B5F8D">
      <w:pPr>
        <w:pStyle w:val="6"/>
        <w:rPr>
          <w:rFonts w:hint="eastAsia" w:ascii="宋体" w:hAnsi="宋体" w:cs="宋体"/>
          <w:color w:val="auto"/>
          <w:sz w:val="21"/>
          <w:szCs w:val="21"/>
          <w:highlight w:val="none"/>
        </w:rPr>
      </w:pPr>
      <w:bookmarkStart w:id="322" w:name="_Toc30766"/>
      <w:bookmarkStart w:id="323" w:name="_Toc27588"/>
      <w:bookmarkStart w:id="324" w:name="_Toc15324"/>
      <w:bookmarkStart w:id="325" w:name="_Toc24589"/>
      <w:bookmarkStart w:id="326" w:name="_Toc34"/>
      <w:bookmarkStart w:id="327" w:name="_Toc2656"/>
      <w:bookmarkStart w:id="328" w:name="_Toc16555"/>
      <w:bookmarkStart w:id="329" w:name="_Toc495621885"/>
      <w:bookmarkStart w:id="330" w:name="_Toc23032"/>
      <w:bookmarkStart w:id="331" w:name="_Toc16096305"/>
      <w:bookmarkStart w:id="332" w:name="_Toc1079"/>
      <w:r>
        <w:rPr>
          <w:rFonts w:hint="eastAsia" w:ascii="宋体" w:hAnsi="宋体" w:cs="宋体"/>
          <w:color w:val="auto"/>
          <w:sz w:val="21"/>
          <w:szCs w:val="21"/>
          <w:highlight w:val="none"/>
        </w:rPr>
        <w:t>3.6 备选投标方案</w:t>
      </w:r>
      <w:bookmarkEnd w:id="322"/>
      <w:bookmarkEnd w:id="323"/>
      <w:bookmarkEnd w:id="324"/>
      <w:bookmarkEnd w:id="325"/>
      <w:bookmarkEnd w:id="326"/>
      <w:bookmarkEnd w:id="327"/>
      <w:bookmarkEnd w:id="328"/>
      <w:bookmarkEnd w:id="329"/>
      <w:bookmarkEnd w:id="330"/>
      <w:bookmarkEnd w:id="331"/>
      <w:bookmarkEnd w:id="332"/>
    </w:p>
    <w:p w14:paraId="76A5C3E5">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除投标人须知前附表另有规定外，投标人不得递交备选投标方案。允许投标人递交备选投标方案的，只有中标人所递交的备选投标方案方可予以考虑。评标委员会认为中标人的各选投标方案优于其按照招标文件要求编制的投标方案的，招标人可以接受该备选投标方案。</w:t>
      </w:r>
    </w:p>
    <w:p w14:paraId="7E5B9BAF">
      <w:pPr>
        <w:pStyle w:val="6"/>
        <w:rPr>
          <w:rFonts w:hint="eastAsia" w:ascii="宋体" w:hAnsi="宋体" w:cs="宋体"/>
          <w:color w:val="auto"/>
          <w:sz w:val="21"/>
          <w:szCs w:val="21"/>
          <w:highlight w:val="none"/>
        </w:rPr>
      </w:pPr>
      <w:bookmarkStart w:id="333" w:name="_Toc21110"/>
      <w:bookmarkStart w:id="334" w:name="_Toc495621886"/>
      <w:bookmarkStart w:id="335" w:name="_Toc3027"/>
      <w:bookmarkStart w:id="336" w:name="_Toc24479"/>
      <w:bookmarkStart w:id="337" w:name="_Toc8242"/>
      <w:bookmarkStart w:id="338" w:name="_Toc27895"/>
      <w:bookmarkStart w:id="339" w:name="_Toc12061"/>
      <w:bookmarkStart w:id="340" w:name="_Toc16096306"/>
      <w:bookmarkStart w:id="341" w:name="_Toc11470"/>
      <w:bookmarkStart w:id="342" w:name="_Toc5386"/>
      <w:bookmarkStart w:id="343" w:name="_Toc10717"/>
      <w:r>
        <w:rPr>
          <w:rFonts w:hint="eastAsia" w:ascii="宋体" w:hAnsi="宋体" w:cs="宋体"/>
          <w:color w:val="auto"/>
          <w:sz w:val="21"/>
          <w:szCs w:val="21"/>
          <w:highlight w:val="none"/>
        </w:rPr>
        <w:t>3.7 投标文件的编制</w:t>
      </w:r>
      <w:bookmarkEnd w:id="333"/>
      <w:bookmarkEnd w:id="334"/>
      <w:bookmarkEnd w:id="335"/>
      <w:bookmarkEnd w:id="336"/>
      <w:bookmarkEnd w:id="337"/>
      <w:bookmarkEnd w:id="338"/>
      <w:bookmarkEnd w:id="339"/>
      <w:bookmarkEnd w:id="340"/>
      <w:bookmarkEnd w:id="341"/>
      <w:bookmarkEnd w:id="342"/>
      <w:bookmarkEnd w:id="343"/>
    </w:p>
    <w:p w14:paraId="07F62885">
      <w:pPr>
        <w:spacing w:line="360" w:lineRule="auto"/>
        <w:ind w:firstLine="420" w:firstLineChars="200"/>
        <w:rPr>
          <w:rFonts w:hint="eastAsia" w:ascii="宋体" w:hAnsi="宋体" w:cs="宋体"/>
          <w:color w:val="auto"/>
          <w:szCs w:val="21"/>
          <w:highlight w:val="none"/>
        </w:rPr>
      </w:pPr>
      <w:bookmarkStart w:id="344" w:name="_Toc184635074"/>
      <w:r>
        <w:rPr>
          <w:rFonts w:hint="eastAsia" w:ascii="宋体" w:hAnsi="宋体" w:cs="宋体"/>
          <w:color w:val="auto"/>
          <w:szCs w:val="21"/>
          <w:highlight w:val="none"/>
        </w:rPr>
        <w:t>3.7.1 投标文件格式：见投标人须知前附表。</w:t>
      </w:r>
    </w:p>
    <w:p w14:paraId="23AAD606">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3.7.2 投标文件应当对招标文件有关</w:t>
      </w:r>
      <w:r>
        <w:rPr>
          <w:rFonts w:hint="eastAsia" w:ascii="宋体" w:hAnsi="宋体" w:cs="宋体"/>
          <w:color w:val="auto"/>
          <w:szCs w:val="21"/>
          <w:highlight w:val="none"/>
          <w:lang w:eastAsia="zh-CN"/>
        </w:rPr>
        <w:t>服务期限</w:t>
      </w:r>
      <w:r>
        <w:rPr>
          <w:rFonts w:hint="eastAsia" w:ascii="宋体" w:hAnsi="宋体" w:cs="宋体"/>
          <w:color w:val="auto"/>
          <w:szCs w:val="21"/>
          <w:highlight w:val="none"/>
        </w:rPr>
        <w:t>、投标有效期、招标范围等实质性内容作出响应。</w:t>
      </w:r>
    </w:p>
    <w:p w14:paraId="4F279160">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3.7.3投标文件的签署：见投标人须知前附表。</w:t>
      </w:r>
    </w:p>
    <w:p w14:paraId="12C7E747">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3.7.4投标文件递交及有关内容：见投标人须知前附表。</w:t>
      </w:r>
    </w:p>
    <w:p w14:paraId="36136788">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3.7.5投标文件的密封：见投标人须知前附表。</w:t>
      </w:r>
    </w:p>
    <w:p w14:paraId="1A5C48CC">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3.7.6投标文件光盘刻录要求：</w:t>
      </w:r>
      <w:r>
        <w:rPr>
          <w:rFonts w:hint="eastAsia" w:ascii="宋体" w:hAnsi="宋体" w:cs="宋体"/>
          <w:color w:val="auto"/>
          <w:szCs w:val="21"/>
          <w:highlight w:val="none"/>
          <w:lang w:val="en-US" w:eastAsia="zh-CN"/>
        </w:rPr>
        <w:t>不要求</w:t>
      </w:r>
      <w:r>
        <w:rPr>
          <w:rFonts w:hint="eastAsia" w:ascii="宋体" w:hAnsi="宋体" w:cs="宋体"/>
          <w:color w:val="auto"/>
          <w:szCs w:val="21"/>
          <w:highlight w:val="none"/>
        </w:rPr>
        <w:t>。</w:t>
      </w:r>
    </w:p>
    <w:p w14:paraId="7D7A7DC7">
      <w:pPr>
        <w:pStyle w:val="5"/>
        <w:rPr>
          <w:rFonts w:hint="eastAsia" w:ascii="宋体" w:hAnsi="宋体" w:cs="宋体"/>
          <w:color w:val="auto"/>
          <w:szCs w:val="24"/>
          <w:highlight w:val="none"/>
        </w:rPr>
      </w:pPr>
      <w:bookmarkStart w:id="345" w:name="_Toc366144073"/>
      <w:bookmarkStart w:id="346" w:name="_Toc306524536"/>
      <w:bookmarkStart w:id="347" w:name="_Toc19025"/>
      <w:bookmarkStart w:id="348" w:name="_Toc12576"/>
      <w:bookmarkStart w:id="349" w:name="_Toc14923"/>
      <w:bookmarkStart w:id="350" w:name="_Toc28390"/>
      <w:bookmarkStart w:id="351" w:name="_Toc31847"/>
      <w:bookmarkStart w:id="352" w:name="_Toc24428"/>
      <w:bookmarkStart w:id="353" w:name="_Toc301"/>
      <w:r>
        <w:rPr>
          <w:rFonts w:hint="eastAsia" w:ascii="宋体" w:hAnsi="宋体" w:cs="宋体"/>
          <w:color w:val="auto"/>
          <w:szCs w:val="24"/>
          <w:highlight w:val="none"/>
        </w:rPr>
        <w:t>4．投标</w:t>
      </w:r>
      <w:bookmarkEnd w:id="344"/>
      <w:bookmarkEnd w:id="345"/>
      <w:bookmarkEnd w:id="346"/>
      <w:bookmarkEnd w:id="347"/>
      <w:bookmarkEnd w:id="348"/>
      <w:bookmarkEnd w:id="349"/>
      <w:bookmarkEnd w:id="350"/>
      <w:bookmarkEnd w:id="351"/>
      <w:bookmarkEnd w:id="352"/>
      <w:bookmarkEnd w:id="353"/>
    </w:p>
    <w:p w14:paraId="20223622">
      <w:pPr>
        <w:pStyle w:val="6"/>
        <w:rPr>
          <w:rFonts w:hint="eastAsia" w:ascii="宋体" w:hAnsi="宋体" w:cs="宋体"/>
          <w:color w:val="auto"/>
          <w:sz w:val="21"/>
          <w:szCs w:val="21"/>
          <w:highlight w:val="none"/>
        </w:rPr>
      </w:pPr>
      <w:bookmarkStart w:id="354" w:name="_Toc495621888"/>
      <w:bookmarkStart w:id="355" w:name="_Toc20107"/>
      <w:bookmarkStart w:id="356" w:name="_Toc8624"/>
      <w:bookmarkStart w:id="357" w:name="_Toc25591"/>
      <w:bookmarkStart w:id="358" w:name="_Toc1746"/>
      <w:bookmarkStart w:id="359" w:name="_Toc32068"/>
      <w:bookmarkStart w:id="360" w:name="_Toc12697"/>
      <w:bookmarkStart w:id="361" w:name="_Toc8821"/>
      <w:bookmarkStart w:id="362" w:name="_Toc16096308"/>
      <w:bookmarkStart w:id="363" w:name="_Toc28873"/>
      <w:bookmarkStart w:id="364" w:name="_Toc10454"/>
      <w:r>
        <w:rPr>
          <w:rFonts w:hint="eastAsia" w:ascii="宋体" w:hAnsi="宋体" w:cs="宋体"/>
          <w:color w:val="auto"/>
          <w:sz w:val="21"/>
          <w:szCs w:val="21"/>
          <w:highlight w:val="none"/>
        </w:rPr>
        <w:t>4.1 投标文件的加密</w:t>
      </w:r>
      <w:bookmarkEnd w:id="354"/>
      <w:bookmarkEnd w:id="355"/>
      <w:bookmarkEnd w:id="356"/>
      <w:bookmarkEnd w:id="357"/>
      <w:bookmarkEnd w:id="358"/>
      <w:bookmarkEnd w:id="359"/>
      <w:bookmarkEnd w:id="360"/>
      <w:bookmarkEnd w:id="361"/>
      <w:bookmarkEnd w:id="362"/>
      <w:bookmarkEnd w:id="363"/>
      <w:bookmarkEnd w:id="364"/>
    </w:p>
    <w:p w14:paraId="33C82191">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具体要求见投标人须知前附表。</w:t>
      </w:r>
    </w:p>
    <w:p w14:paraId="70D92F0D">
      <w:pPr>
        <w:pStyle w:val="6"/>
        <w:rPr>
          <w:rFonts w:hint="eastAsia" w:ascii="宋体" w:hAnsi="宋体" w:cs="宋体"/>
          <w:color w:val="auto"/>
          <w:sz w:val="21"/>
          <w:szCs w:val="21"/>
          <w:highlight w:val="none"/>
        </w:rPr>
      </w:pPr>
      <w:bookmarkStart w:id="365" w:name="_Toc16096309"/>
      <w:bookmarkStart w:id="366" w:name="_Toc26262"/>
      <w:bookmarkStart w:id="367" w:name="_Toc24832"/>
      <w:bookmarkStart w:id="368" w:name="_Toc26476"/>
      <w:bookmarkStart w:id="369" w:name="_Toc31810"/>
      <w:bookmarkStart w:id="370" w:name="_Toc20840"/>
      <w:bookmarkStart w:id="371" w:name="_Toc11516"/>
      <w:bookmarkStart w:id="372" w:name="_Toc495621889"/>
      <w:bookmarkStart w:id="373" w:name="_Toc630"/>
      <w:bookmarkStart w:id="374" w:name="_Toc27975"/>
      <w:bookmarkStart w:id="375" w:name="_Toc24281"/>
      <w:r>
        <w:rPr>
          <w:rFonts w:hint="eastAsia" w:ascii="宋体" w:hAnsi="宋体" w:cs="宋体"/>
          <w:color w:val="auto"/>
          <w:sz w:val="21"/>
          <w:szCs w:val="21"/>
          <w:highlight w:val="none"/>
        </w:rPr>
        <w:t>4.2 投标文件的递交</w:t>
      </w:r>
      <w:bookmarkEnd w:id="365"/>
      <w:bookmarkEnd w:id="366"/>
      <w:bookmarkEnd w:id="367"/>
      <w:bookmarkEnd w:id="368"/>
      <w:bookmarkEnd w:id="369"/>
      <w:bookmarkEnd w:id="370"/>
      <w:bookmarkEnd w:id="371"/>
      <w:bookmarkEnd w:id="372"/>
      <w:bookmarkEnd w:id="373"/>
      <w:bookmarkEnd w:id="374"/>
      <w:bookmarkEnd w:id="375"/>
    </w:p>
    <w:p w14:paraId="688F1179">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4.2.1 上传电子投标文件：见投标人须知前附表。</w:t>
      </w:r>
    </w:p>
    <w:p w14:paraId="5FFC2C60">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4.2.2 除投标人须知前附表另有规定外，投标人所递交的投标文件不予退还。</w:t>
      </w:r>
    </w:p>
    <w:p w14:paraId="53F585C5">
      <w:pPr>
        <w:pStyle w:val="6"/>
        <w:rPr>
          <w:rFonts w:hint="eastAsia" w:ascii="宋体" w:hAnsi="宋体" w:cs="宋体"/>
          <w:color w:val="auto"/>
          <w:sz w:val="21"/>
          <w:szCs w:val="21"/>
          <w:highlight w:val="none"/>
        </w:rPr>
      </w:pPr>
      <w:bookmarkStart w:id="376" w:name="_Toc20128"/>
      <w:bookmarkStart w:id="377" w:name="_Toc3955"/>
      <w:bookmarkStart w:id="378" w:name="_Toc6937"/>
      <w:bookmarkStart w:id="379" w:name="_Toc24221"/>
      <w:bookmarkStart w:id="380" w:name="_Toc30931"/>
      <w:bookmarkStart w:id="381" w:name="_Toc6212"/>
      <w:bookmarkStart w:id="382" w:name="_Toc17572"/>
      <w:bookmarkStart w:id="383" w:name="_Toc13184"/>
      <w:r>
        <w:rPr>
          <w:rFonts w:hint="eastAsia" w:ascii="宋体" w:hAnsi="宋体" w:cs="宋体"/>
          <w:color w:val="auto"/>
          <w:sz w:val="21"/>
          <w:szCs w:val="21"/>
          <w:highlight w:val="none"/>
        </w:rPr>
        <w:t>4.3 投标文件的修改与撤回</w:t>
      </w:r>
      <w:bookmarkEnd w:id="376"/>
      <w:bookmarkEnd w:id="377"/>
      <w:bookmarkEnd w:id="378"/>
      <w:bookmarkEnd w:id="379"/>
      <w:bookmarkEnd w:id="380"/>
      <w:bookmarkEnd w:id="381"/>
      <w:bookmarkEnd w:id="382"/>
      <w:bookmarkEnd w:id="383"/>
    </w:p>
    <w:p w14:paraId="3B95D77D">
      <w:pPr>
        <w:spacing w:line="360" w:lineRule="auto"/>
        <w:ind w:firstLine="420" w:firstLineChars="200"/>
        <w:rPr>
          <w:rFonts w:hint="eastAsia" w:ascii="宋体" w:hAnsi="宋体" w:cs="宋体"/>
          <w:color w:val="auto"/>
          <w:highlight w:val="none"/>
        </w:rPr>
      </w:pPr>
      <w:bookmarkStart w:id="384" w:name="_Toc184635075"/>
      <w:r>
        <w:rPr>
          <w:rFonts w:hint="eastAsia" w:ascii="宋体" w:hAnsi="宋体" w:cs="宋体"/>
          <w:color w:val="auto"/>
          <w:highlight w:val="none"/>
        </w:rPr>
        <w:t>4.3.1 在本章第2.2.2项规定的投标截止时间前，投标人可以修改或撤回已在网上上传的投标文件，无须书面形式通知招标人。</w:t>
      </w:r>
    </w:p>
    <w:p w14:paraId="16D93BEF">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highlight w:val="none"/>
        </w:rPr>
        <w:t>4.3.</w:t>
      </w:r>
      <w:r>
        <w:rPr>
          <w:rFonts w:hint="eastAsia" w:ascii="宋体" w:hAnsi="宋体" w:cs="宋体"/>
          <w:color w:val="auto"/>
          <w:highlight w:val="none"/>
          <w:lang w:val="en-US" w:eastAsia="zh-CN"/>
        </w:rPr>
        <w:t>2</w:t>
      </w:r>
      <w:r>
        <w:rPr>
          <w:rFonts w:hint="eastAsia" w:ascii="宋体" w:hAnsi="宋体" w:cs="宋体"/>
          <w:color w:val="auto"/>
          <w:highlight w:val="none"/>
        </w:rPr>
        <w:t xml:space="preserve"> 修改的内容为投标文件的组成部分。修改的投标文件应按照本章第3条、第4条规定进行编制和上传。</w:t>
      </w:r>
    </w:p>
    <w:p w14:paraId="49DB0111">
      <w:pPr>
        <w:pStyle w:val="5"/>
        <w:rPr>
          <w:rFonts w:hint="eastAsia" w:ascii="宋体" w:hAnsi="宋体" w:cs="宋体"/>
          <w:color w:val="auto"/>
          <w:szCs w:val="24"/>
          <w:highlight w:val="none"/>
        </w:rPr>
      </w:pPr>
      <w:bookmarkStart w:id="385" w:name="_Toc14337"/>
      <w:bookmarkStart w:id="386" w:name="_Toc306524537"/>
      <w:bookmarkStart w:id="387" w:name="_Toc2732"/>
      <w:bookmarkStart w:id="388" w:name="_Toc366144074"/>
      <w:bookmarkStart w:id="389" w:name="_Toc21459"/>
      <w:bookmarkStart w:id="390" w:name="_Toc610"/>
      <w:bookmarkStart w:id="391" w:name="_Toc28859"/>
      <w:bookmarkStart w:id="392" w:name="_Toc339"/>
      <w:bookmarkStart w:id="393" w:name="_Toc15538"/>
      <w:r>
        <w:rPr>
          <w:rFonts w:hint="eastAsia" w:ascii="宋体" w:hAnsi="宋体" w:cs="宋体"/>
          <w:color w:val="auto"/>
          <w:szCs w:val="24"/>
          <w:highlight w:val="none"/>
        </w:rPr>
        <w:t>5．开标</w:t>
      </w:r>
      <w:bookmarkEnd w:id="384"/>
      <w:bookmarkEnd w:id="385"/>
      <w:bookmarkEnd w:id="386"/>
      <w:bookmarkEnd w:id="387"/>
      <w:bookmarkEnd w:id="388"/>
      <w:bookmarkEnd w:id="389"/>
      <w:bookmarkEnd w:id="390"/>
      <w:bookmarkEnd w:id="391"/>
      <w:bookmarkEnd w:id="392"/>
      <w:bookmarkEnd w:id="393"/>
    </w:p>
    <w:p w14:paraId="55107C2D">
      <w:pPr>
        <w:pStyle w:val="6"/>
        <w:rPr>
          <w:rFonts w:hint="eastAsia" w:ascii="宋体" w:hAnsi="宋体" w:cs="宋体"/>
          <w:color w:val="auto"/>
          <w:sz w:val="21"/>
          <w:szCs w:val="21"/>
          <w:highlight w:val="none"/>
        </w:rPr>
      </w:pPr>
      <w:bookmarkStart w:id="394" w:name="_Toc18106"/>
      <w:bookmarkStart w:id="395" w:name="_Toc495621891"/>
      <w:bookmarkStart w:id="396" w:name="_Toc12568"/>
      <w:bookmarkStart w:id="397" w:name="_Toc3127"/>
      <w:bookmarkStart w:id="398" w:name="_Toc22834"/>
      <w:bookmarkStart w:id="399" w:name="_Toc16096311"/>
      <w:bookmarkStart w:id="400" w:name="_Toc22666"/>
      <w:bookmarkStart w:id="401" w:name="_Toc18189"/>
      <w:bookmarkStart w:id="402" w:name="_Toc24102"/>
      <w:bookmarkStart w:id="403" w:name="_Toc21593"/>
      <w:bookmarkStart w:id="404" w:name="_Toc28626"/>
      <w:r>
        <w:rPr>
          <w:rFonts w:hint="eastAsia" w:ascii="宋体" w:hAnsi="宋体" w:cs="宋体"/>
          <w:color w:val="auto"/>
          <w:sz w:val="21"/>
          <w:szCs w:val="21"/>
          <w:highlight w:val="none"/>
        </w:rPr>
        <w:t>5.1 开标时间和地点</w:t>
      </w:r>
      <w:bookmarkEnd w:id="394"/>
      <w:bookmarkEnd w:id="395"/>
      <w:bookmarkEnd w:id="396"/>
      <w:bookmarkEnd w:id="397"/>
      <w:bookmarkEnd w:id="398"/>
      <w:bookmarkEnd w:id="399"/>
      <w:bookmarkEnd w:id="400"/>
      <w:bookmarkEnd w:id="401"/>
      <w:bookmarkEnd w:id="402"/>
      <w:bookmarkEnd w:id="403"/>
      <w:bookmarkEnd w:id="404"/>
    </w:p>
    <w:p w14:paraId="5D6AFC18">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highlight w:val="none"/>
        </w:rPr>
        <w:t>招标人在本章第2.2.2 项规定的投标截止时间（开标时间）和投标人须知前附表规定的地点公开开标</w:t>
      </w:r>
      <w:r>
        <w:rPr>
          <w:rFonts w:hint="eastAsia" w:ascii="宋体" w:hAnsi="宋体" w:cs="宋体"/>
          <w:color w:val="auto"/>
          <w:szCs w:val="21"/>
          <w:highlight w:val="none"/>
        </w:rPr>
        <w:t>。</w:t>
      </w:r>
    </w:p>
    <w:p w14:paraId="3A5C616C">
      <w:pPr>
        <w:pStyle w:val="6"/>
        <w:rPr>
          <w:rFonts w:hint="eastAsia" w:ascii="宋体" w:hAnsi="宋体" w:cs="宋体"/>
          <w:color w:val="auto"/>
          <w:sz w:val="21"/>
          <w:szCs w:val="21"/>
          <w:highlight w:val="none"/>
        </w:rPr>
      </w:pPr>
      <w:bookmarkStart w:id="405" w:name="_Toc495621892"/>
      <w:bookmarkStart w:id="406" w:name="_Toc28450"/>
      <w:bookmarkStart w:id="407" w:name="_Toc6732"/>
      <w:bookmarkStart w:id="408" w:name="_Toc16096312"/>
      <w:bookmarkStart w:id="409" w:name="_Toc29937"/>
      <w:bookmarkStart w:id="410" w:name="_Toc1468"/>
      <w:bookmarkStart w:id="411" w:name="_Toc9536"/>
      <w:bookmarkStart w:id="412" w:name="_Toc1306"/>
      <w:bookmarkStart w:id="413" w:name="_Toc5007"/>
      <w:bookmarkStart w:id="414" w:name="_Toc580"/>
      <w:bookmarkStart w:id="415" w:name="_Toc17667"/>
      <w:r>
        <w:rPr>
          <w:rFonts w:hint="eastAsia" w:ascii="宋体" w:hAnsi="宋体" w:cs="宋体"/>
          <w:color w:val="auto"/>
          <w:sz w:val="21"/>
          <w:szCs w:val="21"/>
          <w:highlight w:val="none"/>
        </w:rPr>
        <w:t>5.2 开标程序</w:t>
      </w:r>
      <w:bookmarkEnd w:id="405"/>
      <w:bookmarkEnd w:id="406"/>
      <w:bookmarkEnd w:id="407"/>
      <w:bookmarkEnd w:id="408"/>
      <w:bookmarkEnd w:id="409"/>
      <w:bookmarkEnd w:id="410"/>
      <w:bookmarkEnd w:id="411"/>
      <w:bookmarkEnd w:id="412"/>
      <w:bookmarkEnd w:id="413"/>
      <w:bookmarkEnd w:id="414"/>
      <w:bookmarkEnd w:id="415"/>
    </w:p>
    <w:p w14:paraId="7171F712">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“交易平台”按下列程序进行开标：</w:t>
      </w:r>
    </w:p>
    <w:p w14:paraId="2B74F63B">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（1）投标人通过“交易平台-开标系统”参与开标；</w:t>
      </w:r>
    </w:p>
    <w:p w14:paraId="1FAD531B">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（2）招标人同步投标保证金递交情况，查看投标基本信息（包括投标单位、投标文件和投标保证金情况）；</w:t>
      </w:r>
    </w:p>
    <w:p w14:paraId="2E506028">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3）公共资源交易平台提取所有已成功上传的投标文件，由投标人对网上上传已加密的投标文件进行远程解密，解密完成后导入有效投标人的电子投标文件。所有有效投标文件导入完成后进行唱标公布开标（唱标）一览表相关内容，并记录在案。因投标人原因造成投标文件未解密的，视为撤销其投标文件；</w:t>
      </w:r>
    </w:p>
    <w:p w14:paraId="6C7A9BB7">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（4）投标人对开标有异议的，按照本章 5.3款规定提出；</w:t>
      </w:r>
    </w:p>
    <w:p w14:paraId="0B1C0EDD">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（5）招标人、监督人、招标代理机构、公证（若有）在开标记录上签字确认；</w:t>
      </w:r>
    </w:p>
    <w:p w14:paraId="69420224">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（6）开标结束。</w:t>
      </w:r>
    </w:p>
    <w:p w14:paraId="2B747957">
      <w:pPr>
        <w:spacing w:line="360" w:lineRule="auto"/>
        <w:ind w:firstLine="420" w:firstLineChars="200"/>
        <w:rPr>
          <w:rFonts w:hint="eastAsia" w:ascii="宋体" w:hAnsi="宋体" w:cs="宋体"/>
          <w:color w:val="auto"/>
          <w:kern w:val="21"/>
          <w:szCs w:val="21"/>
          <w:highlight w:val="none"/>
        </w:rPr>
      </w:pPr>
      <w:r>
        <w:rPr>
          <w:rFonts w:hint="eastAsia" w:ascii="宋体" w:hAnsi="宋体" w:cs="宋体"/>
          <w:color w:val="auto"/>
          <w:kern w:val="21"/>
          <w:szCs w:val="21"/>
          <w:highlight w:val="none"/>
        </w:rPr>
        <w:t>投标人对开标有异议的，应当在开标现场提出，招标人应当当场作出答复，并制作记录。</w:t>
      </w:r>
      <w:r>
        <w:rPr>
          <w:rFonts w:hint="eastAsia" w:ascii="宋体" w:hAnsi="宋体" w:cs="宋体"/>
          <w:b/>
          <w:bCs/>
          <w:color w:val="auto"/>
          <w:kern w:val="21"/>
          <w:szCs w:val="21"/>
          <w:highlight w:val="none"/>
        </w:rPr>
        <w:t>招标人在开标结束后将不再接受任何应当在开标现场提出而未提出的异议。</w:t>
      </w:r>
    </w:p>
    <w:p w14:paraId="74C6FD00">
      <w:pPr>
        <w:pStyle w:val="6"/>
        <w:rPr>
          <w:rFonts w:hint="eastAsia" w:ascii="宋体" w:hAnsi="宋体" w:cs="宋体"/>
          <w:color w:val="auto"/>
          <w:sz w:val="21"/>
          <w:szCs w:val="21"/>
          <w:highlight w:val="none"/>
        </w:rPr>
      </w:pPr>
      <w:bookmarkStart w:id="416" w:name="_Toc495621893"/>
      <w:bookmarkStart w:id="417" w:name="_Toc3110"/>
      <w:bookmarkStart w:id="418" w:name="_Toc26169"/>
      <w:bookmarkStart w:id="419" w:name="_Toc955"/>
      <w:bookmarkStart w:id="420" w:name="_Toc30460"/>
      <w:bookmarkStart w:id="421" w:name="_Toc16752"/>
      <w:bookmarkStart w:id="422" w:name="_Toc16554"/>
      <w:bookmarkStart w:id="423" w:name="_Toc16096313"/>
      <w:bookmarkStart w:id="424" w:name="_Toc20621"/>
      <w:bookmarkStart w:id="425" w:name="_Toc16961"/>
      <w:bookmarkStart w:id="426" w:name="_Toc5844"/>
      <w:r>
        <w:rPr>
          <w:rFonts w:hint="eastAsia" w:ascii="宋体" w:hAnsi="宋体" w:cs="宋体"/>
          <w:color w:val="auto"/>
          <w:sz w:val="21"/>
          <w:szCs w:val="21"/>
          <w:highlight w:val="none"/>
        </w:rPr>
        <w:t>5.3投标文件不予受理情形</w:t>
      </w:r>
      <w:bookmarkEnd w:id="416"/>
      <w:bookmarkEnd w:id="417"/>
      <w:bookmarkEnd w:id="418"/>
      <w:bookmarkEnd w:id="419"/>
      <w:bookmarkEnd w:id="420"/>
      <w:bookmarkEnd w:id="421"/>
      <w:bookmarkEnd w:id="422"/>
      <w:bookmarkEnd w:id="423"/>
      <w:bookmarkEnd w:id="424"/>
      <w:bookmarkEnd w:id="425"/>
      <w:bookmarkEnd w:id="426"/>
    </w:p>
    <w:p w14:paraId="0A4515AD">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投标文件有下列情形之一的，招标人不予受理：</w:t>
      </w:r>
    </w:p>
    <w:p w14:paraId="39B71989">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（1）在投标人须知前附表2.2.2项规定的“投标截止时间”以后逾期网上上传的；</w:t>
      </w:r>
    </w:p>
    <w:p w14:paraId="5CA06D64">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（2）不符合4.1项规定的“投标文件密封”要求的；</w:t>
      </w:r>
    </w:p>
    <w:p w14:paraId="4BB4A37D">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（3）投标人提交的电子标书格式不符合3.7.1项要求或开标后无法读取导入的。</w:t>
      </w:r>
    </w:p>
    <w:p w14:paraId="203CBD28">
      <w:pPr>
        <w:pStyle w:val="5"/>
        <w:rPr>
          <w:rFonts w:hint="eastAsia" w:ascii="宋体" w:hAnsi="宋体" w:cs="宋体"/>
          <w:color w:val="auto"/>
          <w:szCs w:val="24"/>
          <w:highlight w:val="none"/>
        </w:rPr>
      </w:pPr>
      <w:bookmarkStart w:id="427" w:name="_Toc30125"/>
      <w:bookmarkStart w:id="428" w:name="_Toc30764"/>
      <w:bookmarkStart w:id="429" w:name="_Toc184635076"/>
      <w:bookmarkStart w:id="430" w:name="_Toc2349"/>
      <w:bookmarkStart w:id="431" w:name="_Toc1635"/>
      <w:bookmarkStart w:id="432" w:name="_Toc30331"/>
      <w:bookmarkStart w:id="433" w:name="_Toc306524538"/>
      <w:bookmarkStart w:id="434" w:name="_Toc366144075"/>
      <w:bookmarkStart w:id="435" w:name="_Toc30272"/>
      <w:bookmarkStart w:id="436" w:name="_Toc7088"/>
      <w:r>
        <w:rPr>
          <w:rFonts w:hint="eastAsia" w:ascii="宋体" w:hAnsi="宋体" w:cs="宋体"/>
          <w:color w:val="auto"/>
          <w:szCs w:val="24"/>
          <w:highlight w:val="none"/>
        </w:rPr>
        <w:t>6．评标</w:t>
      </w:r>
      <w:bookmarkEnd w:id="427"/>
      <w:bookmarkEnd w:id="428"/>
      <w:bookmarkEnd w:id="429"/>
      <w:bookmarkEnd w:id="430"/>
      <w:bookmarkEnd w:id="431"/>
      <w:bookmarkEnd w:id="432"/>
      <w:bookmarkEnd w:id="433"/>
      <w:bookmarkEnd w:id="434"/>
      <w:bookmarkEnd w:id="435"/>
      <w:bookmarkEnd w:id="436"/>
    </w:p>
    <w:p w14:paraId="31E6255C">
      <w:pPr>
        <w:pStyle w:val="6"/>
        <w:rPr>
          <w:rFonts w:hint="eastAsia" w:ascii="宋体" w:hAnsi="宋体" w:cs="宋体"/>
          <w:color w:val="auto"/>
          <w:sz w:val="21"/>
          <w:szCs w:val="21"/>
          <w:highlight w:val="none"/>
        </w:rPr>
      </w:pPr>
      <w:bookmarkStart w:id="437" w:name="_Toc10506"/>
      <w:bookmarkStart w:id="438" w:name="_Toc13361"/>
      <w:bookmarkStart w:id="439" w:name="_Toc12517"/>
      <w:bookmarkStart w:id="440" w:name="_Toc15648"/>
      <w:bookmarkStart w:id="441" w:name="_Toc16096315"/>
      <w:bookmarkStart w:id="442" w:name="_Toc31561"/>
      <w:bookmarkStart w:id="443" w:name="_Toc21359"/>
      <w:bookmarkStart w:id="444" w:name="_Toc495621895"/>
      <w:bookmarkStart w:id="445" w:name="_Toc1287"/>
      <w:bookmarkStart w:id="446" w:name="_Toc10391"/>
      <w:bookmarkStart w:id="447" w:name="_Toc21258"/>
      <w:r>
        <w:rPr>
          <w:rFonts w:hint="eastAsia" w:ascii="宋体" w:hAnsi="宋体" w:cs="宋体"/>
          <w:color w:val="auto"/>
          <w:sz w:val="21"/>
          <w:szCs w:val="21"/>
          <w:highlight w:val="none"/>
        </w:rPr>
        <w:t>6.1 评标委员会</w:t>
      </w:r>
      <w:bookmarkEnd w:id="437"/>
      <w:bookmarkEnd w:id="438"/>
      <w:bookmarkEnd w:id="439"/>
      <w:bookmarkEnd w:id="440"/>
      <w:bookmarkEnd w:id="441"/>
      <w:bookmarkEnd w:id="442"/>
      <w:bookmarkEnd w:id="443"/>
      <w:bookmarkEnd w:id="444"/>
      <w:bookmarkEnd w:id="445"/>
      <w:bookmarkEnd w:id="446"/>
      <w:bookmarkEnd w:id="447"/>
    </w:p>
    <w:p w14:paraId="7D06F2B4">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6.1.1 评标由招标人依法组建的评标委员会负责，评标委员会成员人数以及技术、经济等方面专家的确定方式见投标人须知前附表。</w:t>
      </w:r>
    </w:p>
    <w:p w14:paraId="7824A4EA">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6.1.2 评标委员会成员有下列情形之一的，应当回避：</w:t>
      </w:r>
    </w:p>
    <w:p w14:paraId="6837C280">
      <w:pPr>
        <w:spacing w:line="360" w:lineRule="auto"/>
        <w:ind w:firstLine="420" w:firstLineChars="200"/>
        <w:rPr>
          <w:rFonts w:hint="eastAsia" w:ascii="宋体" w:hAnsi="宋体" w:cs="宋体"/>
          <w:color w:val="auto"/>
          <w:highlight w:val="none"/>
        </w:rPr>
      </w:pPr>
      <w:r>
        <w:rPr>
          <w:rFonts w:hint="eastAsia" w:ascii="宋体" w:hAnsi="宋体" w:cs="宋体"/>
          <w:color w:val="auto"/>
          <w:szCs w:val="21"/>
          <w:highlight w:val="none"/>
        </w:rPr>
        <w:t>（</w:t>
      </w:r>
      <w:r>
        <w:rPr>
          <w:rFonts w:hint="eastAsia" w:ascii="宋体" w:hAnsi="宋体" w:cs="宋体"/>
          <w:color w:val="auto"/>
          <w:highlight w:val="none"/>
        </w:rPr>
        <w:t>1）投标人或投标人的主要负责人的近亲属；</w:t>
      </w:r>
    </w:p>
    <w:p w14:paraId="394A7AA2">
      <w:pPr>
        <w:spacing w:line="360" w:lineRule="auto"/>
        <w:ind w:firstLine="420" w:firstLineChars="200"/>
        <w:rPr>
          <w:rFonts w:hint="eastAsia" w:ascii="宋体" w:hAnsi="宋体" w:eastAsia="宋体" w:cs="宋体"/>
          <w:color w:val="auto"/>
          <w:highlight w:val="none"/>
          <w:lang w:eastAsia="zh-CN"/>
        </w:rPr>
      </w:pPr>
      <w:r>
        <w:rPr>
          <w:rFonts w:hint="eastAsia" w:ascii="宋体" w:hAnsi="宋体" w:cs="宋体"/>
          <w:color w:val="auto"/>
          <w:szCs w:val="21"/>
          <w:highlight w:val="none"/>
        </w:rPr>
        <w:t>（</w:t>
      </w:r>
      <w:r>
        <w:rPr>
          <w:rFonts w:hint="eastAsia" w:ascii="宋体" w:hAnsi="宋体" w:cs="宋体"/>
          <w:color w:val="auto"/>
          <w:highlight w:val="none"/>
        </w:rPr>
        <w:t>2）项目主管部门或者行政监督部门的人员</w:t>
      </w:r>
      <w:r>
        <w:rPr>
          <w:rFonts w:hint="eastAsia" w:ascii="宋体" w:hAnsi="宋体" w:cs="宋体"/>
          <w:color w:val="auto"/>
          <w:highlight w:val="none"/>
          <w:lang w:eastAsia="zh-CN"/>
        </w:rPr>
        <w:t>；</w:t>
      </w:r>
    </w:p>
    <w:p w14:paraId="72688ABC">
      <w:pPr>
        <w:spacing w:line="360" w:lineRule="auto"/>
        <w:ind w:firstLine="420" w:firstLineChars="200"/>
        <w:rPr>
          <w:rFonts w:hint="eastAsia" w:ascii="宋体" w:hAnsi="宋体" w:cs="宋体"/>
          <w:color w:val="auto"/>
          <w:highlight w:val="none"/>
        </w:rPr>
      </w:pPr>
      <w:r>
        <w:rPr>
          <w:rFonts w:hint="eastAsia" w:ascii="宋体" w:hAnsi="宋体" w:cs="宋体"/>
          <w:color w:val="auto"/>
          <w:szCs w:val="21"/>
          <w:highlight w:val="none"/>
        </w:rPr>
        <w:t>（</w:t>
      </w:r>
      <w:r>
        <w:rPr>
          <w:rFonts w:hint="eastAsia" w:ascii="宋体" w:hAnsi="宋体" w:cs="宋体"/>
          <w:color w:val="auto"/>
          <w:highlight w:val="none"/>
        </w:rPr>
        <w:t>3）与投标人有经济利益关系，可能影响对投标公正评审的；</w:t>
      </w:r>
    </w:p>
    <w:p w14:paraId="42F40CC6">
      <w:pPr>
        <w:spacing w:line="360" w:lineRule="auto"/>
        <w:ind w:firstLine="420" w:firstLineChars="200"/>
        <w:rPr>
          <w:rFonts w:hint="eastAsia" w:ascii="宋体" w:hAnsi="宋体" w:cs="宋体"/>
          <w:color w:val="auto"/>
          <w:highlight w:val="none"/>
        </w:rPr>
      </w:pPr>
      <w:r>
        <w:rPr>
          <w:rFonts w:hint="eastAsia" w:ascii="宋体" w:hAnsi="宋体" w:cs="宋体"/>
          <w:color w:val="auto"/>
          <w:szCs w:val="21"/>
          <w:highlight w:val="none"/>
        </w:rPr>
        <w:t>（</w:t>
      </w:r>
      <w:r>
        <w:rPr>
          <w:rFonts w:hint="eastAsia" w:ascii="宋体" w:hAnsi="宋体" w:cs="宋体"/>
          <w:color w:val="auto"/>
          <w:highlight w:val="none"/>
        </w:rPr>
        <w:t>4）曾因在招标、评标以及其他与招标投标有关活动中从事违法行为而受过行政处罚或刑事处罚的。</w:t>
      </w:r>
    </w:p>
    <w:p w14:paraId="35013F97">
      <w:pPr>
        <w:spacing w:line="360" w:lineRule="auto"/>
        <w:ind w:firstLine="420" w:firstLineChars="200"/>
        <w:rPr>
          <w:rFonts w:hint="eastAsia" w:ascii="宋体" w:hAnsi="宋体" w:cs="宋体"/>
          <w:color w:val="auto"/>
          <w:highlight w:val="none"/>
        </w:rPr>
      </w:pPr>
      <w:r>
        <w:rPr>
          <w:rFonts w:hint="eastAsia" w:ascii="宋体" w:hAnsi="宋体" w:cs="宋体"/>
          <w:color w:val="auto"/>
          <w:szCs w:val="21"/>
          <w:highlight w:val="none"/>
        </w:rPr>
        <w:t>6.1.3评审委员会成员应当客观、公正地履行职责，遵守职业道德，对所提出的评审意见承担个人责任。评审委员会成员和与评标活动有关的工作人员不得透露对投标文件的评审和比较、成交候选人的推荐情况以及与评标有关的其他情况。</w:t>
      </w:r>
    </w:p>
    <w:p w14:paraId="74BD00EE">
      <w:pPr>
        <w:pStyle w:val="6"/>
        <w:rPr>
          <w:rFonts w:hint="eastAsia" w:ascii="宋体" w:hAnsi="宋体" w:cs="宋体"/>
          <w:color w:val="auto"/>
          <w:sz w:val="21"/>
          <w:szCs w:val="21"/>
          <w:highlight w:val="none"/>
        </w:rPr>
      </w:pPr>
      <w:bookmarkStart w:id="448" w:name="_Toc6278"/>
      <w:bookmarkStart w:id="449" w:name="_Toc11102"/>
      <w:bookmarkStart w:id="450" w:name="_Toc16843"/>
      <w:bookmarkStart w:id="451" w:name="_Toc20334"/>
      <w:bookmarkStart w:id="452" w:name="_Toc18860"/>
      <w:bookmarkStart w:id="453" w:name="_Toc5481"/>
      <w:bookmarkStart w:id="454" w:name="_Toc16395"/>
      <w:bookmarkStart w:id="455" w:name="_Toc16096316"/>
      <w:bookmarkStart w:id="456" w:name="_Toc2998"/>
      <w:bookmarkStart w:id="457" w:name="_Toc495621896"/>
      <w:bookmarkStart w:id="458" w:name="_Toc7133"/>
      <w:r>
        <w:rPr>
          <w:rFonts w:hint="eastAsia" w:ascii="宋体" w:hAnsi="宋体" w:cs="宋体"/>
          <w:color w:val="auto"/>
          <w:sz w:val="21"/>
          <w:szCs w:val="21"/>
          <w:highlight w:val="none"/>
        </w:rPr>
        <w:t>6.2 评标原则</w:t>
      </w:r>
      <w:bookmarkEnd w:id="448"/>
      <w:bookmarkEnd w:id="449"/>
      <w:bookmarkEnd w:id="450"/>
      <w:bookmarkEnd w:id="451"/>
      <w:bookmarkEnd w:id="452"/>
      <w:bookmarkEnd w:id="453"/>
      <w:bookmarkEnd w:id="454"/>
      <w:bookmarkEnd w:id="455"/>
      <w:bookmarkEnd w:id="456"/>
      <w:bookmarkEnd w:id="457"/>
      <w:bookmarkEnd w:id="458"/>
    </w:p>
    <w:p w14:paraId="21FF4E65">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评标活动遵循公平、公正、科学和择优的原则。</w:t>
      </w:r>
    </w:p>
    <w:p w14:paraId="064B7D4F">
      <w:pPr>
        <w:pStyle w:val="6"/>
        <w:rPr>
          <w:rFonts w:hint="eastAsia" w:ascii="宋体" w:hAnsi="宋体" w:cs="宋体"/>
          <w:color w:val="auto"/>
          <w:sz w:val="21"/>
          <w:szCs w:val="21"/>
          <w:highlight w:val="none"/>
        </w:rPr>
      </w:pPr>
      <w:bookmarkStart w:id="459" w:name="_Toc27828"/>
      <w:bookmarkStart w:id="460" w:name="_Toc495621897"/>
      <w:bookmarkStart w:id="461" w:name="_Toc32201"/>
      <w:bookmarkStart w:id="462" w:name="_Toc5238"/>
      <w:bookmarkStart w:id="463" w:name="_Toc30478"/>
      <w:bookmarkStart w:id="464" w:name="_Toc15141"/>
      <w:bookmarkStart w:id="465" w:name="_Toc11547"/>
      <w:bookmarkStart w:id="466" w:name="_Toc310"/>
      <w:bookmarkStart w:id="467" w:name="_Toc20655"/>
      <w:bookmarkStart w:id="468" w:name="_Toc16096317"/>
      <w:bookmarkStart w:id="469" w:name="_Toc3984"/>
      <w:r>
        <w:rPr>
          <w:rFonts w:hint="eastAsia" w:ascii="宋体" w:hAnsi="宋体" w:cs="宋体"/>
          <w:color w:val="auto"/>
          <w:sz w:val="21"/>
          <w:szCs w:val="21"/>
          <w:highlight w:val="none"/>
        </w:rPr>
        <w:t>6.3 评标</w:t>
      </w:r>
      <w:bookmarkEnd w:id="459"/>
      <w:bookmarkEnd w:id="460"/>
      <w:bookmarkEnd w:id="461"/>
      <w:bookmarkEnd w:id="462"/>
      <w:bookmarkEnd w:id="463"/>
      <w:bookmarkEnd w:id="464"/>
      <w:bookmarkEnd w:id="465"/>
      <w:bookmarkEnd w:id="466"/>
      <w:bookmarkEnd w:id="467"/>
      <w:bookmarkEnd w:id="468"/>
      <w:bookmarkEnd w:id="469"/>
    </w:p>
    <w:p w14:paraId="454ACE12">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评标委员会按照第三章“评标办法”规定的方法、评审因素、标准和程序对投标文件进行评审。第三章“评标办法”没有规定的方法、评审因素和标准，不作为评标依据。</w:t>
      </w:r>
    </w:p>
    <w:p w14:paraId="64248EB6">
      <w:pPr>
        <w:pStyle w:val="5"/>
        <w:rPr>
          <w:rFonts w:hint="eastAsia" w:ascii="宋体" w:hAnsi="宋体" w:cs="宋体"/>
          <w:color w:val="auto"/>
          <w:szCs w:val="24"/>
          <w:highlight w:val="none"/>
        </w:rPr>
      </w:pPr>
      <w:bookmarkStart w:id="470" w:name="_Toc5225"/>
      <w:bookmarkStart w:id="471" w:name="_Toc28990"/>
      <w:bookmarkStart w:id="472" w:name="_Toc20150"/>
      <w:bookmarkStart w:id="473" w:name="_Toc4868"/>
      <w:bookmarkStart w:id="474" w:name="_Toc366144076"/>
      <w:bookmarkStart w:id="475" w:name="_Toc184635077"/>
      <w:bookmarkStart w:id="476" w:name="_Toc532"/>
      <w:bookmarkStart w:id="477" w:name="_Toc306524539"/>
      <w:bookmarkStart w:id="478" w:name="_Toc22061"/>
      <w:bookmarkStart w:id="479" w:name="_Toc4111"/>
      <w:r>
        <w:rPr>
          <w:rFonts w:hint="eastAsia" w:ascii="宋体" w:hAnsi="宋体" w:cs="宋体"/>
          <w:color w:val="auto"/>
          <w:szCs w:val="24"/>
          <w:highlight w:val="none"/>
        </w:rPr>
        <w:t>7．合同授予</w:t>
      </w:r>
      <w:bookmarkEnd w:id="470"/>
      <w:bookmarkEnd w:id="471"/>
      <w:bookmarkEnd w:id="472"/>
      <w:bookmarkEnd w:id="473"/>
      <w:bookmarkEnd w:id="474"/>
      <w:bookmarkEnd w:id="475"/>
      <w:bookmarkEnd w:id="476"/>
      <w:bookmarkEnd w:id="477"/>
      <w:bookmarkEnd w:id="478"/>
      <w:bookmarkEnd w:id="479"/>
    </w:p>
    <w:p w14:paraId="6E74BA2B">
      <w:pPr>
        <w:pStyle w:val="6"/>
        <w:rPr>
          <w:rFonts w:hint="eastAsia" w:ascii="宋体" w:hAnsi="宋体" w:cs="宋体"/>
          <w:color w:val="auto"/>
          <w:sz w:val="21"/>
          <w:szCs w:val="21"/>
          <w:highlight w:val="none"/>
        </w:rPr>
      </w:pPr>
      <w:bookmarkStart w:id="480" w:name="_Toc8515"/>
      <w:bookmarkStart w:id="481" w:name="_Toc27450"/>
      <w:bookmarkStart w:id="482" w:name="_Toc8933"/>
      <w:bookmarkStart w:id="483" w:name="_Toc15231"/>
      <w:bookmarkStart w:id="484" w:name="_Toc1345"/>
      <w:bookmarkStart w:id="485" w:name="_Toc1425"/>
      <w:bookmarkStart w:id="486" w:name="_Toc21370"/>
      <w:bookmarkStart w:id="487" w:name="_Toc18483"/>
      <w:bookmarkStart w:id="488" w:name="_Toc16556"/>
      <w:bookmarkStart w:id="489" w:name="_Toc16096319"/>
      <w:bookmarkStart w:id="490" w:name="_Toc495621899"/>
      <w:r>
        <w:rPr>
          <w:rFonts w:hint="eastAsia" w:ascii="宋体" w:hAnsi="宋体" w:cs="宋体"/>
          <w:color w:val="auto"/>
          <w:sz w:val="21"/>
          <w:szCs w:val="21"/>
          <w:highlight w:val="none"/>
        </w:rPr>
        <w:t>7.1 定标方式</w:t>
      </w:r>
      <w:bookmarkEnd w:id="480"/>
      <w:bookmarkEnd w:id="481"/>
      <w:bookmarkEnd w:id="482"/>
      <w:bookmarkEnd w:id="483"/>
      <w:bookmarkEnd w:id="484"/>
      <w:bookmarkEnd w:id="485"/>
      <w:bookmarkEnd w:id="486"/>
      <w:bookmarkEnd w:id="487"/>
      <w:bookmarkEnd w:id="488"/>
      <w:bookmarkEnd w:id="489"/>
      <w:bookmarkEnd w:id="490"/>
    </w:p>
    <w:p w14:paraId="2EAB8C90">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除投标人须知前附表规定评标委员会直接确定中标人外，招标人依据评标委员会推荐的中标候选人确定中标人，评标委员会推荐中标候选人的人数见投标人须知前附表。</w:t>
      </w:r>
    </w:p>
    <w:p w14:paraId="62EF5A7B">
      <w:pPr>
        <w:pStyle w:val="6"/>
        <w:rPr>
          <w:rFonts w:hint="eastAsia" w:ascii="宋体" w:hAnsi="宋体" w:cs="宋体"/>
          <w:color w:val="auto"/>
          <w:sz w:val="21"/>
          <w:szCs w:val="21"/>
          <w:highlight w:val="none"/>
        </w:rPr>
      </w:pPr>
      <w:bookmarkStart w:id="491" w:name="_Toc25129"/>
      <w:bookmarkStart w:id="492" w:name="_Toc30120"/>
      <w:bookmarkStart w:id="493" w:name="_Toc22413"/>
      <w:bookmarkStart w:id="494" w:name="_Toc29381"/>
      <w:bookmarkStart w:id="495" w:name="_Toc6283"/>
      <w:bookmarkStart w:id="496" w:name="_Toc27114"/>
      <w:bookmarkStart w:id="497" w:name="_Toc495621900"/>
      <w:bookmarkStart w:id="498" w:name="_Toc3687"/>
      <w:bookmarkStart w:id="499" w:name="_Toc16096320"/>
      <w:bookmarkStart w:id="500" w:name="_Toc27583"/>
      <w:bookmarkStart w:id="501" w:name="_Toc22809"/>
      <w:r>
        <w:rPr>
          <w:rFonts w:hint="eastAsia" w:ascii="宋体" w:hAnsi="宋体" w:cs="宋体"/>
          <w:color w:val="auto"/>
          <w:sz w:val="21"/>
          <w:szCs w:val="21"/>
          <w:highlight w:val="none"/>
        </w:rPr>
        <w:t>7.2 中标通知</w:t>
      </w:r>
      <w:bookmarkEnd w:id="491"/>
      <w:bookmarkEnd w:id="492"/>
      <w:bookmarkEnd w:id="493"/>
      <w:bookmarkEnd w:id="494"/>
      <w:bookmarkEnd w:id="495"/>
      <w:bookmarkEnd w:id="496"/>
      <w:bookmarkEnd w:id="497"/>
      <w:bookmarkEnd w:id="498"/>
      <w:bookmarkEnd w:id="499"/>
      <w:bookmarkEnd w:id="500"/>
      <w:bookmarkEnd w:id="501"/>
    </w:p>
    <w:p w14:paraId="2C318F9E">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在本章第3.3 款规定的投标有效期内，招标人以书面形式向中标人发出中标通知书，同时将中标结果通知未中标的投标人。</w:t>
      </w:r>
    </w:p>
    <w:p w14:paraId="5540D1B4">
      <w:pPr>
        <w:pStyle w:val="6"/>
        <w:rPr>
          <w:rFonts w:hint="eastAsia" w:ascii="宋体" w:hAnsi="宋体" w:cs="宋体"/>
          <w:color w:val="auto"/>
          <w:sz w:val="21"/>
          <w:szCs w:val="21"/>
          <w:highlight w:val="none"/>
        </w:rPr>
      </w:pPr>
      <w:bookmarkStart w:id="502" w:name="_Toc27269"/>
      <w:bookmarkStart w:id="503" w:name="_Toc1857"/>
      <w:bookmarkStart w:id="504" w:name="_Toc5353"/>
      <w:bookmarkStart w:id="505" w:name="_Toc16096321"/>
      <w:bookmarkStart w:id="506" w:name="_Toc495621901"/>
      <w:bookmarkStart w:id="507" w:name="_Toc32305"/>
      <w:bookmarkStart w:id="508" w:name="_Toc3196"/>
      <w:bookmarkStart w:id="509" w:name="_Toc18382"/>
      <w:bookmarkStart w:id="510" w:name="_Toc30613"/>
      <w:bookmarkStart w:id="511" w:name="_Toc10153"/>
      <w:bookmarkStart w:id="512" w:name="_Toc25903"/>
      <w:r>
        <w:rPr>
          <w:rFonts w:hint="eastAsia" w:ascii="宋体" w:hAnsi="宋体" w:cs="宋体"/>
          <w:color w:val="auto"/>
          <w:sz w:val="21"/>
          <w:szCs w:val="21"/>
          <w:highlight w:val="none"/>
        </w:rPr>
        <w:t>7.3 履约担保</w:t>
      </w:r>
      <w:bookmarkEnd w:id="502"/>
      <w:bookmarkEnd w:id="503"/>
      <w:bookmarkEnd w:id="504"/>
      <w:bookmarkEnd w:id="505"/>
      <w:bookmarkEnd w:id="506"/>
      <w:bookmarkEnd w:id="507"/>
      <w:bookmarkEnd w:id="508"/>
      <w:bookmarkEnd w:id="509"/>
      <w:bookmarkEnd w:id="510"/>
      <w:bookmarkEnd w:id="511"/>
      <w:bookmarkEnd w:id="512"/>
    </w:p>
    <w:p w14:paraId="58CEFBD0">
      <w:pPr>
        <w:spacing w:line="360" w:lineRule="auto"/>
        <w:ind w:firstLine="420" w:firstLineChars="200"/>
        <w:jc w:val="left"/>
        <w:rPr>
          <w:rFonts w:hint="eastAsia" w:ascii="宋体" w:hAnsi="宋体" w:cs="宋体"/>
          <w:color w:val="auto"/>
          <w:szCs w:val="28"/>
          <w:highlight w:val="none"/>
        </w:rPr>
      </w:pPr>
      <w:r>
        <w:rPr>
          <w:rFonts w:hint="eastAsia" w:ascii="宋体" w:hAnsi="宋体" w:cs="宋体"/>
          <w:color w:val="auto"/>
          <w:szCs w:val="28"/>
          <w:highlight w:val="none"/>
        </w:rPr>
        <w:t>7.3.1在签订合同前，中标人应按投标人须知前附表规定的金额、担保形式和招标文件第四章“合同条款及格式”规定的履约担保格式向招标人提交履约担保。联合体中标的，其履约担保由牵头人递交，并应符合投标人须知前附表规定的金额、担保形式和招标文件第四章“合同条款及格式”规定的履约担保格式要求。</w:t>
      </w:r>
    </w:p>
    <w:p w14:paraId="594405E8">
      <w:pPr>
        <w:spacing w:line="360" w:lineRule="auto"/>
        <w:ind w:firstLine="420" w:firstLineChars="200"/>
        <w:rPr>
          <w:rFonts w:hint="eastAsia" w:ascii="宋体" w:hAnsi="宋体" w:cs="宋体"/>
          <w:color w:val="auto"/>
          <w:highlight w:val="none"/>
        </w:rPr>
      </w:pPr>
      <w:r>
        <w:rPr>
          <w:rFonts w:hint="eastAsia" w:ascii="宋体" w:hAnsi="宋体" w:cs="宋体"/>
          <w:color w:val="auto"/>
          <w:szCs w:val="28"/>
          <w:highlight w:val="none"/>
        </w:rPr>
        <w:t>7.3.2 中标人不能按本章第7.3.1项要求提交履约担保的，视为放弃中标，给招标人造成损失的，中标人还应当予以赔偿。</w:t>
      </w:r>
    </w:p>
    <w:p w14:paraId="0D7BEF25">
      <w:pPr>
        <w:pStyle w:val="6"/>
        <w:rPr>
          <w:rFonts w:hint="eastAsia" w:ascii="宋体" w:hAnsi="宋体" w:cs="宋体"/>
          <w:color w:val="auto"/>
          <w:sz w:val="21"/>
          <w:szCs w:val="21"/>
          <w:highlight w:val="none"/>
        </w:rPr>
      </w:pPr>
      <w:bookmarkStart w:id="513" w:name="_Toc27026"/>
      <w:bookmarkStart w:id="514" w:name="_Toc1242"/>
      <w:bookmarkStart w:id="515" w:name="_Toc18926"/>
      <w:bookmarkStart w:id="516" w:name="_Toc10803"/>
      <w:bookmarkStart w:id="517" w:name="_Toc5739"/>
      <w:bookmarkStart w:id="518" w:name="_Toc3380"/>
      <w:bookmarkStart w:id="519" w:name="_Toc16096322"/>
      <w:bookmarkStart w:id="520" w:name="_Toc23260"/>
      <w:bookmarkStart w:id="521" w:name="_Toc19935"/>
      <w:bookmarkStart w:id="522" w:name="_Toc13189"/>
      <w:bookmarkStart w:id="523" w:name="_Toc495621902"/>
      <w:r>
        <w:rPr>
          <w:rFonts w:hint="eastAsia" w:ascii="宋体" w:hAnsi="宋体" w:cs="宋体"/>
          <w:color w:val="auto"/>
          <w:sz w:val="21"/>
          <w:szCs w:val="21"/>
          <w:highlight w:val="none"/>
        </w:rPr>
        <w:t>7.4 签订合同</w:t>
      </w:r>
      <w:bookmarkEnd w:id="513"/>
      <w:bookmarkEnd w:id="514"/>
      <w:bookmarkEnd w:id="515"/>
      <w:bookmarkEnd w:id="516"/>
      <w:bookmarkEnd w:id="517"/>
      <w:bookmarkEnd w:id="518"/>
      <w:bookmarkEnd w:id="519"/>
      <w:bookmarkEnd w:id="520"/>
      <w:bookmarkEnd w:id="521"/>
      <w:bookmarkEnd w:id="522"/>
      <w:bookmarkEnd w:id="523"/>
    </w:p>
    <w:p w14:paraId="459852A5">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7.4.1 招标人和中标人应当自中标通知书发出之日起30 天内，根据招标文件和中标人的投标文件订立书面合同。中标人无正当理由拒签合同的，招标人取消其中标资格。</w:t>
      </w:r>
    </w:p>
    <w:p w14:paraId="2206EA78">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7.4.2 发出中标通知书后，招标人无正当理由拒签合同的，给中标人造成损失的，还应当赔偿损失。</w:t>
      </w:r>
    </w:p>
    <w:p w14:paraId="38C6E351">
      <w:pPr>
        <w:pStyle w:val="5"/>
        <w:rPr>
          <w:rFonts w:hint="eastAsia" w:ascii="宋体" w:hAnsi="宋体" w:cs="宋体"/>
          <w:color w:val="auto"/>
          <w:szCs w:val="24"/>
          <w:highlight w:val="none"/>
        </w:rPr>
      </w:pPr>
      <w:bookmarkStart w:id="524" w:name="_Toc184635078"/>
      <w:bookmarkStart w:id="525" w:name="_Toc306524540"/>
      <w:bookmarkStart w:id="526" w:name="_Toc14600"/>
      <w:bookmarkStart w:id="527" w:name="_Toc18881"/>
      <w:bookmarkStart w:id="528" w:name="_Toc1312"/>
      <w:bookmarkStart w:id="529" w:name="_Toc31925"/>
      <w:bookmarkStart w:id="530" w:name="_Toc22070"/>
      <w:bookmarkStart w:id="531" w:name="_Toc366144077"/>
      <w:bookmarkStart w:id="532" w:name="_Toc17391"/>
      <w:bookmarkStart w:id="533" w:name="_Toc15078"/>
      <w:r>
        <w:rPr>
          <w:rFonts w:hint="eastAsia" w:ascii="宋体" w:hAnsi="宋体" w:cs="宋体"/>
          <w:color w:val="auto"/>
          <w:szCs w:val="24"/>
          <w:highlight w:val="none"/>
        </w:rPr>
        <w:t>8．重新招标和不再招标</w:t>
      </w:r>
      <w:bookmarkEnd w:id="524"/>
      <w:bookmarkEnd w:id="525"/>
      <w:bookmarkEnd w:id="526"/>
      <w:bookmarkEnd w:id="527"/>
      <w:bookmarkEnd w:id="528"/>
      <w:bookmarkEnd w:id="529"/>
      <w:bookmarkEnd w:id="530"/>
      <w:bookmarkEnd w:id="531"/>
      <w:bookmarkEnd w:id="532"/>
      <w:bookmarkEnd w:id="533"/>
    </w:p>
    <w:p w14:paraId="025E0F8E">
      <w:pPr>
        <w:pStyle w:val="6"/>
        <w:rPr>
          <w:rFonts w:hint="eastAsia" w:ascii="宋体" w:hAnsi="宋体" w:cs="宋体"/>
          <w:color w:val="auto"/>
          <w:sz w:val="21"/>
          <w:szCs w:val="21"/>
          <w:highlight w:val="none"/>
        </w:rPr>
      </w:pPr>
      <w:bookmarkStart w:id="534" w:name="_Toc27670"/>
      <w:bookmarkStart w:id="535" w:name="_Toc7398"/>
      <w:bookmarkStart w:id="536" w:name="_Toc11073"/>
      <w:bookmarkStart w:id="537" w:name="_Toc8072"/>
      <w:bookmarkStart w:id="538" w:name="_Toc26067"/>
      <w:bookmarkStart w:id="539" w:name="_Toc24457"/>
      <w:bookmarkStart w:id="540" w:name="_Toc16096324"/>
      <w:bookmarkStart w:id="541" w:name="_Toc7149"/>
      <w:bookmarkStart w:id="542" w:name="_Toc6111"/>
      <w:bookmarkStart w:id="543" w:name="_Toc495621904"/>
      <w:bookmarkStart w:id="544" w:name="_Toc16699"/>
      <w:r>
        <w:rPr>
          <w:rFonts w:hint="eastAsia" w:ascii="宋体" w:hAnsi="宋体" w:cs="宋体"/>
          <w:color w:val="auto"/>
          <w:sz w:val="21"/>
          <w:szCs w:val="21"/>
          <w:highlight w:val="none"/>
        </w:rPr>
        <w:t>8.1 重新招标</w:t>
      </w:r>
      <w:bookmarkEnd w:id="534"/>
      <w:bookmarkEnd w:id="535"/>
      <w:bookmarkEnd w:id="536"/>
      <w:bookmarkEnd w:id="537"/>
      <w:bookmarkEnd w:id="538"/>
      <w:bookmarkEnd w:id="539"/>
      <w:bookmarkEnd w:id="540"/>
      <w:bookmarkEnd w:id="541"/>
      <w:bookmarkEnd w:id="542"/>
      <w:bookmarkEnd w:id="543"/>
      <w:bookmarkEnd w:id="544"/>
    </w:p>
    <w:p w14:paraId="535422A7">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有下列情形之一的，招标人将重新招标：</w:t>
      </w:r>
    </w:p>
    <w:p w14:paraId="06F901B0">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（1）投标截止时间止，投标人少于3 个的；</w:t>
      </w:r>
    </w:p>
    <w:p w14:paraId="5C8FEA97">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（2）经评标委员会评审后否决所有投标的；</w:t>
      </w:r>
    </w:p>
    <w:p w14:paraId="24D4E88F">
      <w:pPr>
        <w:pStyle w:val="6"/>
        <w:rPr>
          <w:rFonts w:hint="eastAsia" w:ascii="宋体" w:hAnsi="宋体" w:cs="宋体"/>
          <w:color w:val="auto"/>
          <w:sz w:val="21"/>
          <w:szCs w:val="21"/>
          <w:highlight w:val="none"/>
        </w:rPr>
      </w:pPr>
      <w:bookmarkStart w:id="545" w:name="_Toc30259"/>
      <w:bookmarkStart w:id="546" w:name="_Toc495621905"/>
      <w:bookmarkStart w:id="547" w:name="_Toc30597"/>
      <w:bookmarkStart w:id="548" w:name="_Toc16428"/>
      <w:bookmarkStart w:id="549" w:name="_Toc16096325"/>
      <w:bookmarkStart w:id="550" w:name="_Toc5418"/>
      <w:bookmarkStart w:id="551" w:name="_Toc20846"/>
      <w:bookmarkStart w:id="552" w:name="_Toc20004"/>
      <w:bookmarkStart w:id="553" w:name="_Toc24997"/>
      <w:bookmarkStart w:id="554" w:name="_Toc11167"/>
      <w:bookmarkStart w:id="555" w:name="_Toc30866"/>
      <w:r>
        <w:rPr>
          <w:rFonts w:hint="eastAsia" w:ascii="宋体" w:hAnsi="宋体" w:cs="宋体"/>
          <w:color w:val="auto"/>
          <w:sz w:val="21"/>
          <w:szCs w:val="21"/>
          <w:highlight w:val="none"/>
        </w:rPr>
        <w:t>8.2 不再招标</w:t>
      </w:r>
      <w:bookmarkEnd w:id="545"/>
      <w:bookmarkEnd w:id="546"/>
      <w:bookmarkEnd w:id="547"/>
      <w:bookmarkEnd w:id="548"/>
      <w:bookmarkEnd w:id="549"/>
      <w:bookmarkEnd w:id="550"/>
      <w:bookmarkEnd w:id="551"/>
      <w:bookmarkEnd w:id="552"/>
      <w:bookmarkEnd w:id="553"/>
      <w:bookmarkEnd w:id="554"/>
      <w:bookmarkEnd w:id="555"/>
    </w:p>
    <w:p w14:paraId="64B0BF37">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重新招标后投标人仍少于3个或者所有投标被否决的，属于必须审批或核准的工程建设项目，经原审批或核准部门批准后不再进行招标。</w:t>
      </w:r>
    </w:p>
    <w:p w14:paraId="5C93FF5F">
      <w:pPr>
        <w:pStyle w:val="5"/>
        <w:rPr>
          <w:rFonts w:hint="eastAsia" w:ascii="宋体" w:hAnsi="宋体" w:cs="宋体"/>
          <w:color w:val="auto"/>
          <w:szCs w:val="24"/>
          <w:highlight w:val="none"/>
        </w:rPr>
      </w:pPr>
      <w:bookmarkStart w:id="556" w:name="_Toc11394"/>
      <w:bookmarkStart w:id="557" w:name="_Toc184635079"/>
      <w:bookmarkStart w:id="558" w:name="_Toc2566"/>
      <w:bookmarkStart w:id="559" w:name="_Toc15125"/>
      <w:bookmarkStart w:id="560" w:name="_Toc26299"/>
      <w:bookmarkStart w:id="561" w:name="_Toc306524541"/>
      <w:bookmarkStart w:id="562" w:name="_Toc23715"/>
      <w:bookmarkStart w:id="563" w:name="_Toc20410"/>
      <w:bookmarkStart w:id="564" w:name="_Toc14796"/>
      <w:bookmarkStart w:id="565" w:name="_Toc366144078"/>
      <w:r>
        <w:rPr>
          <w:rFonts w:hint="eastAsia" w:ascii="宋体" w:hAnsi="宋体" w:cs="宋体"/>
          <w:color w:val="auto"/>
          <w:szCs w:val="24"/>
          <w:highlight w:val="none"/>
        </w:rPr>
        <w:t>9．纪律和监督</w:t>
      </w:r>
      <w:bookmarkEnd w:id="556"/>
      <w:bookmarkEnd w:id="557"/>
      <w:bookmarkEnd w:id="558"/>
      <w:bookmarkEnd w:id="559"/>
      <w:bookmarkEnd w:id="560"/>
      <w:bookmarkEnd w:id="561"/>
      <w:bookmarkEnd w:id="562"/>
      <w:bookmarkEnd w:id="563"/>
      <w:bookmarkEnd w:id="564"/>
      <w:bookmarkEnd w:id="565"/>
    </w:p>
    <w:p w14:paraId="694B7587">
      <w:pPr>
        <w:pStyle w:val="6"/>
        <w:rPr>
          <w:rFonts w:hint="eastAsia" w:ascii="宋体" w:hAnsi="宋体" w:cs="宋体"/>
          <w:color w:val="auto"/>
          <w:sz w:val="21"/>
          <w:szCs w:val="21"/>
          <w:highlight w:val="none"/>
        </w:rPr>
      </w:pPr>
      <w:bookmarkStart w:id="566" w:name="_Toc16096327"/>
      <w:bookmarkStart w:id="567" w:name="_Toc17961"/>
      <w:bookmarkStart w:id="568" w:name="_Toc1158"/>
      <w:bookmarkStart w:id="569" w:name="_Toc13333"/>
      <w:bookmarkStart w:id="570" w:name="_Toc8696"/>
      <w:bookmarkStart w:id="571" w:name="_Toc5166"/>
      <w:bookmarkStart w:id="572" w:name="_Toc11768"/>
      <w:bookmarkStart w:id="573" w:name="_Toc17237"/>
      <w:bookmarkStart w:id="574" w:name="_Toc7369"/>
      <w:bookmarkStart w:id="575" w:name="_Toc495621907"/>
      <w:bookmarkStart w:id="576" w:name="_Toc19853"/>
      <w:r>
        <w:rPr>
          <w:rFonts w:hint="eastAsia" w:ascii="宋体" w:hAnsi="宋体" w:cs="宋体"/>
          <w:color w:val="auto"/>
          <w:sz w:val="21"/>
          <w:szCs w:val="21"/>
          <w:highlight w:val="none"/>
        </w:rPr>
        <w:t>9.1 对招标人的纪律要求</w:t>
      </w:r>
      <w:bookmarkEnd w:id="566"/>
      <w:bookmarkEnd w:id="567"/>
      <w:bookmarkEnd w:id="568"/>
      <w:bookmarkEnd w:id="569"/>
      <w:bookmarkEnd w:id="570"/>
      <w:bookmarkEnd w:id="571"/>
      <w:bookmarkEnd w:id="572"/>
      <w:bookmarkEnd w:id="573"/>
      <w:bookmarkEnd w:id="574"/>
      <w:bookmarkEnd w:id="575"/>
      <w:bookmarkEnd w:id="576"/>
    </w:p>
    <w:p w14:paraId="6BF0F376">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招标人不得泄漏招标投标活动中应当保密的情况和资料，不得与投标人串通损害国有利益、社会公共利益或者他人合法权益。</w:t>
      </w:r>
    </w:p>
    <w:p w14:paraId="3E08CB86">
      <w:pPr>
        <w:pStyle w:val="6"/>
        <w:rPr>
          <w:rFonts w:hint="eastAsia" w:ascii="宋体" w:hAnsi="宋体" w:cs="宋体"/>
          <w:color w:val="auto"/>
          <w:sz w:val="21"/>
          <w:szCs w:val="21"/>
          <w:highlight w:val="none"/>
        </w:rPr>
      </w:pPr>
      <w:bookmarkStart w:id="577" w:name="_Toc16319"/>
      <w:bookmarkStart w:id="578" w:name="_Toc3423"/>
      <w:bookmarkStart w:id="579" w:name="_Toc25039"/>
      <w:bookmarkStart w:id="580" w:name="_Toc1508"/>
      <w:bookmarkStart w:id="581" w:name="_Toc287"/>
      <w:bookmarkStart w:id="582" w:name="_Toc17185"/>
      <w:bookmarkStart w:id="583" w:name="_Toc3599"/>
      <w:bookmarkStart w:id="584" w:name="_Toc16096328"/>
      <w:bookmarkStart w:id="585" w:name="_Toc26903"/>
      <w:bookmarkStart w:id="586" w:name="_Toc495621908"/>
      <w:bookmarkStart w:id="587" w:name="_Toc15934"/>
      <w:r>
        <w:rPr>
          <w:rFonts w:hint="eastAsia" w:ascii="宋体" w:hAnsi="宋体" w:cs="宋体"/>
          <w:color w:val="auto"/>
          <w:sz w:val="21"/>
          <w:szCs w:val="21"/>
          <w:highlight w:val="none"/>
        </w:rPr>
        <w:t>9.2 对投标人的纪律要求</w:t>
      </w:r>
      <w:bookmarkEnd w:id="577"/>
      <w:bookmarkEnd w:id="578"/>
      <w:bookmarkEnd w:id="579"/>
      <w:bookmarkEnd w:id="580"/>
      <w:bookmarkEnd w:id="581"/>
      <w:bookmarkEnd w:id="582"/>
      <w:bookmarkEnd w:id="583"/>
      <w:bookmarkEnd w:id="584"/>
      <w:bookmarkEnd w:id="585"/>
      <w:bookmarkEnd w:id="586"/>
      <w:bookmarkEnd w:id="587"/>
    </w:p>
    <w:p w14:paraId="2A9245F7">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投标人不得相互串通投标或者与招标人串通投标，不得向招标人或者评标委员会成员行贿谋取中标，不得以他人名义投标或者以其他方式弄虚作假骗取中标；投标人不得以任何方式干扰、影响评标工作。</w:t>
      </w:r>
    </w:p>
    <w:p w14:paraId="02440519">
      <w:pPr>
        <w:pStyle w:val="6"/>
        <w:rPr>
          <w:rFonts w:hint="eastAsia" w:ascii="宋体" w:hAnsi="宋体" w:cs="宋体"/>
          <w:color w:val="auto"/>
          <w:sz w:val="21"/>
          <w:szCs w:val="21"/>
          <w:highlight w:val="none"/>
        </w:rPr>
      </w:pPr>
      <w:bookmarkStart w:id="588" w:name="_Toc16096329"/>
      <w:bookmarkStart w:id="589" w:name="_Toc7474"/>
      <w:bookmarkStart w:id="590" w:name="_Toc26930"/>
      <w:bookmarkStart w:id="591" w:name="_Toc6204"/>
      <w:bookmarkStart w:id="592" w:name="_Toc4199"/>
      <w:bookmarkStart w:id="593" w:name="_Toc22639"/>
      <w:bookmarkStart w:id="594" w:name="_Toc28310"/>
      <w:bookmarkStart w:id="595" w:name="_Toc15331"/>
      <w:bookmarkStart w:id="596" w:name="_Toc31463"/>
      <w:bookmarkStart w:id="597" w:name="_Toc495621909"/>
      <w:bookmarkStart w:id="598" w:name="_Toc31225"/>
      <w:r>
        <w:rPr>
          <w:rFonts w:hint="eastAsia" w:ascii="宋体" w:hAnsi="宋体" w:cs="宋体"/>
          <w:color w:val="auto"/>
          <w:sz w:val="21"/>
          <w:szCs w:val="21"/>
          <w:highlight w:val="none"/>
        </w:rPr>
        <w:t>9.3 对评标委员会成员的纪律要求</w:t>
      </w:r>
      <w:bookmarkEnd w:id="588"/>
      <w:bookmarkEnd w:id="589"/>
      <w:bookmarkEnd w:id="590"/>
      <w:bookmarkEnd w:id="591"/>
      <w:bookmarkEnd w:id="592"/>
      <w:bookmarkEnd w:id="593"/>
      <w:bookmarkEnd w:id="594"/>
      <w:bookmarkEnd w:id="595"/>
      <w:bookmarkEnd w:id="596"/>
      <w:bookmarkEnd w:id="597"/>
      <w:bookmarkEnd w:id="598"/>
    </w:p>
    <w:p w14:paraId="5B877389">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第三章“评标办法”没有规定的评审因素和标准进行评标。</w:t>
      </w:r>
    </w:p>
    <w:p w14:paraId="324D121A">
      <w:pPr>
        <w:pStyle w:val="6"/>
        <w:rPr>
          <w:rFonts w:hint="eastAsia" w:ascii="宋体" w:hAnsi="宋体" w:cs="宋体"/>
          <w:color w:val="auto"/>
          <w:sz w:val="21"/>
          <w:szCs w:val="21"/>
          <w:highlight w:val="none"/>
        </w:rPr>
      </w:pPr>
      <w:bookmarkStart w:id="599" w:name="_Toc9403"/>
      <w:bookmarkStart w:id="600" w:name="_Toc495621910"/>
      <w:bookmarkStart w:id="601" w:name="_Toc16096330"/>
      <w:bookmarkStart w:id="602" w:name="_Toc25946"/>
      <w:bookmarkStart w:id="603" w:name="_Toc5518"/>
      <w:bookmarkStart w:id="604" w:name="_Toc19762"/>
      <w:bookmarkStart w:id="605" w:name="_Toc11890"/>
      <w:bookmarkStart w:id="606" w:name="_Toc21532"/>
      <w:bookmarkStart w:id="607" w:name="_Toc15691"/>
      <w:bookmarkStart w:id="608" w:name="_Toc22970"/>
      <w:bookmarkStart w:id="609" w:name="_Toc20379"/>
      <w:r>
        <w:rPr>
          <w:rFonts w:hint="eastAsia" w:ascii="宋体" w:hAnsi="宋体" w:cs="宋体"/>
          <w:color w:val="auto"/>
          <w:sz w:val="21"/>
          <w:szCs w:val="21"/>
          <w:highlight w:val="none"/>
        </w:rPr>
        <w:t>9.4 对与评标活动有关的工作人员的纪律要求</w:t>
      </w:r>
      <w:bookmarkEnd w:id="599"/>
      <w:bookmarkEnd w:id="600"/>
      <w:bookmarkEnd w:id="601"/>
      <w:bookmarkEnd w:id="602"/>
      <w:bookmarkEnd w:id="603"/>
      <w:bookmarkEnd w:id="604"/>
      <w:bookmarkEnd w:id="605"/>
      <w:bookmarkEnd w:id="606"/>
      <w:bookmarkEnd w:id="607"/>
      <w:bookmarkEnd w:id="608"/>
      <w:bookmarkEnd w:id="609"/>
    </w:p>
    <w:p w14:paraId="2934FF89">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p>
    <w:p w14:paraId="7D6D8114">
      <w:pPr>
        <w:pStyle w:val="6"/>
        <w:rPr>
          <w:rFonts w:hint="eastAsia" w:ascii="宋体" w:hAnsi="宋体" w:cs="宋体"/>
          <w:color w:val="auto"/>
          <w:sz w:val="21"/>
          <w:szCs w:val="21"/>
          <w:highlight w:val="none"/>
        </w:rPr>
      </w:pPr>
      <w:bookmarkStart w:id="610" w:name="_Toc26637"/>
      <w:bookmarkStart w:id="611" w:name="_Toc16096331"/>
      <w:bookmarkStart w:id="612" w:name="_Toc25820"/>
      <w:bookmarkStart w:id="613" w:name="_Toc24408"/>
      <w:bookmarkStart w:id="614" w:name="_Toc2090"/>
      <w:bookmarkStart w:id="615" w:name="_Toc22474"/>
      <w:bookmarkStart w:id="616" w:name="_Toc13026"/>
      <w:bookmarkStart w:id="617" w:name="_Toc8734"/>
      <w:bookmarkStart w:id="618" w:name="_Toc4542"/>
      <w:bookmarkStart w:id="619" w:name="_Toc8553"/>
      <w:bookmarkStart w:id="620" w:name="_Toc495621911"/>
      <w:r>
        <w:rPr>
          <w:rFonts w:hint="eastAsia" w:ascii="宋体" w:hAnsi="宋体" w:cs="宋体"/>
          <w:color w:val="auto"/>
          <w:sz w:val="21"/>
          <w:szCs w:val="21"/>
          <w:highlight w:val="none"/>
        </w:rPr>
        <w:t>9.5 投诉</w:t>
      </w:r>
      <w:bookmarkEnd w:id="610"/>
      <w:bookmarkEnd w:id="611"/>
      <w:bookmarkEnd w:id="612"/>
      <w:bookmarkEnd w:id="613"/>
      <w:bookmarkEnd w:id="614"/>
      <w:bookmarkEnd w:id="615"/>
      <w:bookmarkEnd w:id="616"/>
      <w:bookmarkEnd w:id="617"/>
      <w:bookmarkEnd w:id="618"/>
      <w:bookmarkEnd w:id="619"/>
      <w:bookmarkEnd w:id="620"/>
    </w:p>
    <w:p w14:paraId="377B7B3F">
      <w:pPr>
        <w:spacing w:line="360" w:lineRule="auto"/>
        <w:ind w:firstLine="420"/>
        <w:rPr>
          <w:rFonts w:hint="eastAsia" w:ascii="宋体" w:hAnsi="宋体" w:cs="宋体"/>
          <w:color w:val="auto"/>
          <w:kern w:val="0"/>
          <w:highlight w:val="none"/>
        </w:rPr>
      </w:pPr>
      <w:r>
        <w:rPr>
          <w:rFonts w:hint="eastAsia" w:ascii="宋体" w:hAnsi="宋体" w:cs="宋体"/>
          <w:color w:val="auto"/>
          <w:kern w:val="0"/>
          <w:highlight w:val="none"/>
        </w:rPr>
        <w:t>9.5.1异议</w:t>
      </w:r>
    </w:p>
    <w:p w14:paraId="18CD6C9E">
      <w:pPr>
        <w:spacing w:line="360" w:lineRule="auto"/>
        <w:ind w:firstLine="420"/>
        <w:rPr>
          <w:rFonts w:hint="eastAsia" w:ascii="宋体" w:hAnsi="宋体" w:cs="宋体"/>
          <w:color w:val="auto"/>
          <w:kern w:val="0"/>
          <w:highlight w:val="none"/>
        </w:rPr>
      </w:pPr>
      <w:r>
        <w:rPr>
          <w:rFonts w:hint="eastAsia" w:ascii="宋体" w:hAnsi="宋体" w:cs="宋体"/>
          <w:color w:val="auto"/>
          <w:kern w:val="0"/>
          <w:highlight w:val="none"/>
        </w:rPr>
        <w:t>9.5.1.1潜在投标人或者其他利害关系人对招标文件有异议的，应当在投标截止时间10日前提出。招标人应当自收到异议之日起3日内作出答复；作出答复前，应当暂停招标投标活动。</w:t>
      </w:r>
    </w:p>
    <w:p w14:paraId="377F6357">
      <w:pPr>
        <w:spacing w:line="360" w:lineRule="auto"/>
        <w:ind w:firstLine="420"/>
        <w:rPr>
          <w:rFonts w:hint="eastAsia" w:ascii="宋体" w:hAnsi="宋体" w:cs="宋体"/>
          <w:color w:val="auto"/>
          <w:kern w:val="0"/>
          <w:highlight w:val="none"/>
        </w:rPr>
      </w:pPr>
      <w:r>
        <w:rPr>
          <w:rFonts w:hint="eastAsia" w:ascii="宋体" w:hAnsi="宋体" w:cs="宋体"/>
          <w:color w:val="auto"/>
          <w:kern w:val="0"/>
          <w:highlight w:val="none"/>
        </w:rPr>
        <w:t>9.5.1.2投标人对开标有异议的，应当在开标现场提出，招标人应当当场作出答复，并制作记录。</w:t>
      </w:r>
    </w:p>
    <w:p w14:paraId="4A09425C">
      <w:pPr>
        <w:spacing w:line="360" w:lineRule="auto"/>
        <w:ind w:firstLine="420"/>
        <w:rPr>
          <w:rFonts w:hint="eastAsia" w:ascii="宋体" w:hAnsi="宋体" w:cs="宋体"/>
          <w:color w:val="auto"/>
          <w:kern w:val="0"/>
          <w:highlight w:val="none"/>
        </w:rPr>
      </w:pPr>
      <w:r>
        <w:rPr>
          <w:rFonts w:hint="eastAsia" w:ascii="宋体" w:hAnsi="宋体" w:cs="宋体"/>
          <w:color w:val="auto"/>
          <w:kern w:val="0"/>
          <w:highlight w:val="none"/>
        </w:rPr>
        <w:t>9.5.1.3投标人或者其他利害关系人对依法必须进行招标的项目的评标结果有异议的，应当在中标候选人公示期间提出。招标人应当自收到异议之日起3日内作出答复；作出答复前，应当暂停招标投标活动。</w:t>
      </w:r>
    </w:p>
    <w:p w14:paraId="45038676">
      <w:pPr>
        <w:spacing w:line="360" w:lineRule="auto"/>
        <w:rPr>
          <w:rFonts w:hint="eastAsia" w:ascii="宋体" w:hAnsi="宋体" w:cs="宋体"/>
          <w:color w:val="auto"/>
          <w:kern w:val="0"/>
          <w:highlight w:val="none"/>
        </w:rPr>
      </w:pPr>
      <w:r>
        <w:rPr>
          <w:rFonts w:hint="eastAsia" w:ascii="宋体" w:hAnsi="宋体" w:cs="宋体"/>
          <w:color w:val="auto"/>
          <w:kern w:val="0"/>
          <w:highlight w:val="none"/>
        </w:rPr>
        <w:t xml:space="preserve">    9.5.2投诉</w:t>
      </w:r>
    </w:p>
    <w:p w14:paraId="0640435C">
      <w:pPr>
        <w:spacing w:line="360" w:lineRule="auto"/>
        <w:ind w:firstLine="420"/>
        <w:rPr>
          <w:rFonts w:hint="eastAsia" w:ascii="宋体" w:hAnsi="宋体" w:cs="宋体"/>
          <w:color w:val="auto"/>
          <w:kern w:val="0"/>
          <w:highlight w:val="none"/>
        </w:rPr>
      </w:pPr>
      <w:r>
        <w:rPr>
          <w:rFonts w:hint="eastAsia" w:ascii="宋体" w:hAnsi="宋体" w:cs="宋体"/>
          <w:color w:val="auto"/>
          <w:kern w:val="0"/>
          <w:highlight w:val="none"/>
        </w:rPr>
        <w:t>9.5.2.1投标人或者其他利害关系人认为招标投标活动不符合法律、行政法规规定的，应当在知道或者应当知道其权益受到侵害之日起十日内向有关行政监督部门提出书面投诉，其他利害关系人是指投标人以外的，与招标项目或者招标活动有直接和间接利益关系的法人、其他组织和个人。</w:t>
      </w:r>
    </w:p>
    <w:p w14:paraId="1C9640E5">
      <w:pPr>
        <w:spacing w:line="360" w:lineRule="auto"/>
        <w:ind w:firstLine="420"/>
        <w:rPr>
          <w:rFonts w:hint="eastAsia" w:ascii="宋体" w:hAnsi="宋体" w:cs="宋体"/>
          <w:color w:val="auto"/>
          <w:kern w:val="0"/>
          <w:highlight w:val="none"/>
        </w:rPr>
      </w:pPr>
      <w:r>
        <w:rPr>
          <w:rFonts w:hint="eastAsia" w:ascii="宋体" w:hAnsi="宋体" w:cs="宋体"/>
          <w:color w:val="auto"/>
          <w:kern w:val="0"/>
          <w:highlight w:val="none"/>
        </w:rPr>
        <w:t>9.5.2.2就本章9.5.1条规定事项投诉的，应当先向招标人提出异议，异议答复期间不计算在前款规定的期限内。</w:t>
      </w:r>
    </w:p>
    <w:p w14:paraId="67D5AE5B">
      <w:pPr>
        <w:spacing w:line="360" w:lineRule="auto"/>
        <w:ind w:firstLine="420"/>
        <w:rPr>
          <w:rFonts w:hint="eastAsia" w:ascii="宋体" w:hAnsi="宋体" w:cs="宋体"/>
          <w:color w:val="auto"/>
          <w:kern w:val="0"/>
          <w:highlight w:val="none"/>
        </w:rPr>
      </w:pPr>
      <w:r>
        <w:rPr>
          <w:rFonts w:hint="eastAsia" w:ascii="宋体" w:hAnsi="宋体" w:cs="宋体"/>
          <w:color w:val="auto"/>
          <w:kern w:val="0"/>
          <w:highlight w:val="none"/>
        </w:rPr>
        <w:t>9.5.2.3投诉人投诉时，应当提交投诉书。投诉书应当包括下列内容：</w:t>
      </w:r>
    </w:p>
    <w:p w14:paraId="5244FA02">
      <w:pPr>
        <w:spacing w:line="360" w:lineRule="auto"/>
        <w:ind w:firstLine="420"/>
        <w:rPr>
          <w:rFonts w:hint="eastAsia" w:ascii="宋体" w:hAnsi="宋体" w:cs="宋体"/>
          <w:color w:val="auto"/>
          <w:kern w:val="0"/>
          <w:highlight w:val="none"/>
        </w:rPr>
      </w:pPr>
      <w:r>
        <w:rPr>
          <w:rFonts w:hint="eastAsia" w:ascii="宋体" w:hAnsi="宋体" w:cs="宋体"/>
          <w:color w:val="auto"/>
          <w:kern w:val="0"/>
          <w:highlight w:val="none"/>
        </w:rPr>
        <w:t>　　（一）投诉人的名称、地址及有效联系方式；</w:t>
      </w:r>
    </w:p>
    <w:p w14:paraId="532F985B">
      <w:pPr>
        <w:spacing w:line="360" w:lineRule="auto"/>
        <w:ind w:firstLine="420"/>
        <w:rPr>
          <w:rFonts w:hint="eastAsia" w:ascii="宋体" w:hAnsi="宋体" w:cs="宋体"/>
          <w:color w:val="auto"/>
          <w:kern w:val="0"/>
          <w:highlight w:val="none"/>
        </w:rPr>
      </w:pPr>
      <w:r>
        <w:rPr>
          <w:rFonts w:hint="eastAsia" w:ascii="宋体" w:hAnsi="宋体" w:cs="宋体"/>
          <w:color w:val="auto"/>
          <w:kern w:val="0"/>
          <w:highlight w:val="none"/>
        </w:rPr>
        <w:t>　　（二）被投诉人的名称、地址及有效联系方式；</w:t>
      </w:r>
    </w:p>
    <w:p w14:paraId="0ED0AD19">
      <w:pPr>
        <w:spacing w:line="360" w:lineRule="auto"/>
        <w:ind w:firstLine="420"/>
        <w:rPr>
          <w:rFonts w:hint="eastAsia" w:ascii="宋体" w:hAnsi="宋体" w:cs="宋体"/>
          <w:color w:val="auto"/>
          <w:kern w:val="0"/>
          <w:highlight w:val="none"/>
        </w:rPr>
      </w:pPr>
      <w:r>
        <w:rPr>
          <w:rFonts w:hint="eastAsia" w:ascii="宋体" w:hAnsi="宋体" w:cs="宋体"/>
          <w:color w:val="auto"/>
          <w:kern w:val="0"/>
          <w:highlight w:val="none"/>
        </w:rPr>
        <w:t>　　（三）投诉事项的基本事实；</w:t>
      </w:r>
    </w:p>
    <w:p w14:paraId="02D75105">
      <w:pPr>
        <w:spacing w:line="360" w:lineRule="auto"/>
        <w:ind w:firstLine="420"/>
        <w:rPr>
          <w:rFonts w:hint="eastAsia" w:ascii="宋体" w:hAnsi="宋体" w:cs="宋体"/>
          <w:color w:val="auto"/>
          <w:kern w:val="0"/>
          <w:highlight w:val="none"/>
        </w:rPr>
      </w:pPr>
      <w:r>
        <w:rPr>
          <w:rFonts w:hint="eastAsia" w:ascii="宋体" w:hAnsi="宋体" w:cs="宋体"/>
          <w:color w:val="auto"/>
          <w:kern w:val="0"/>
          <w:highlight w:val="none"/>
        </w:rPr>
        <w:t>　　（四）相关请求及主张；</w:t>
      </w:r>
    </w:p>
    <w:p w14:paraId="2871CF98">
      <w:pPr>
        <w:spacing w:line="360" w:lineRule="auto"/>
        <w:ind w:firstLine="420"/>
        <w:rPr>
          <w:rFonts w:hint="eastAsia" w:ascii="宋体" w:hAnsi="宋体" w:cs="宋体"/>
          <w:color w:val="auto"/>
          <w:kern w:val="0"/>
          <w:highlight w:val="none"/>
        </w:rPr>
      </w:pPr>
      <w:r>
        <w:rPr>
          <w:rFonts w:hint="eastAsia" w:ascii="宋体" w:hAnsi="宋体" w:cs="宋体"/>
          <w:color w:val="auto"/>
          <w:kern w:val="0"/>
          <w:highlight w:val="none"/>
        </w:rPr>
        <w:t>　　（五）有效线索和相关证明材料。</w:t>
      </w:r>
    </w:p>
    <w:p w14:paraId="365DB5DB">
      <w:pPr>
        <w:spacing w:line="360" w:lineRule="auto"/>
        <w:ind w:firstLine="420"/>
        <w:rPr>
          <w:rFonts w:hint="eastAsia" w:ascii="宋体" w:hAnsi="宋体" w:cs="宋体"/>
          <w:color w:val="auto"/>
          <w:kern w:val="0"/>
          <w:highlight w:val="none"/>
        </w:rPr>
      </w:pPr>
      <w:r>
        <w:rPr>
          <w:rFonts w:hint="eastAsia" w:ascii="宋体" w:hAnsi="宋体" w:cs="宋体"/>
          <w:color w:val="auto"/>
          <w:kern w:val="0"/>
          <w:highlight w:val="none"/>
        </w:rPr>
        <w:t>投诉人是法人的，投诉书必须由其法定代表人或者授权代表签字并盖章；其他组织或者个人投诉的，投诉书必须由其主要负责人或者投诉人本人签字，并附有效身份证明复印件。投诉书有关材料是外文的，投诉人应当同时提供其中文译本。</w:t>
      </w:r>
    </w:p>
    <w:p w14:paraId="1CEDF659">
      <w:pPr>
        <w:spacing w:line="440" w:lineRule="exact"/>
        <w:ind w:firstLine="420"/>
        <w:rPr>
          <w:rFonts w:hint="eastAsia" w:ascii="宋体" w:hAnsi="宋体" w:cs="宋体"/>
          <w:color w:val="auto"/>
          <w:kern w:val="0"/>
          <w:highlight w:val="none"/>
        </w:rPr>
      </w:pPr>
      <w:r>
        <w:rPr>
          <w:rFonts w:hint="eastAsia" w:ascii="宋体" w:hAnsi="宋体" w:cs="宋体"/>
          <w:color w:val="auto"/>
          <w:kern w:val="0"/>
          <w:highlight w:val="none"/>
        </w:rPr>
        <w:t>9.5.2.4投诉人不得以投诉为名排挤竞争对手，不得进行虚假、恶意投诉，阻碍招标投标活动的正常进行。</w:t>
      </w:r>
    </w:p>
    <w:p w14:paraId="3AD594EA">
      <w:pPr>
        <w:adjustRightInd w:val="0"/>
        <w:snapToGrid w:val="0"/>
        <w:spacing w:line="360" w:lineRule="auto"/>
        <w:ind w:firstLine="420"/>
        <w:rPr>
          <w:rFonts w:hint="eastAsia" w:ascii="宋体" w:hAnsi="宋体" w:cs="宋体"/>
          <w:color w:val="auto"/>
          <w:kern w:val="0"/>
          <w:highlight w:val="none"/>
        </w:rPr>
      </w:pPr>
      <w:r>
        <w:rPr>
          <w:rFonts w:hint="eastAsia" w:ascii="宋体" w:hAnsi="宋体" w:cs="宋体"/>
          <w:color w:val="auto"/>
          <w:kern w:val="0"/>
          <w:highlight w:val="none"/>
        </w:rPr>
        <w:t>9.5.2.5投诉人可以直接投诉，也可以委托代理人办理投诉事务。代理人办理投诉事务时，应将授权委托书连同投诉书一并提交给行政监督部门。授权委托书应当明确有关委托代理权限和事项。</w:t>
      </w:r>
    </w:p>
    <w:p w14:paraId="6B90C822">
      <w:pPr>
        <w:adjustRightInd w:val="0"/>
        <w:snapToGrid w:val="0"/>
        <w:spacing w:line="360" w:lineRule="auto"/>
        <w:ind w:firstLine="420" w:firstLineChars="200"/>
        <w:rPr>
          <w:rFonts w:hint="eastAsia" w:ascii="宋体" w:hAnsi="宋体" w:cs="宋体"/>
          <w:color w:val="auto"/>
          <w:kern w:val="0"/>
          <w:highlight w:val="none"/>
        </w:rPr>
      </w:pPr>
      <w:r>
        <w:rPr>
          <w:rFonts w:hint="eastAsia" w:ascii="宋体" w:hAnsi="宋体" w:cs="宋体"/>
          <w:color w:val="auto"/>
          <w:kern w:val="0"/>
          <w:highlight w:val="none"/>
        </w:rPr>
        <w:t>9.5.2.6有下列情形之一的投诉，不予受理；</w:t>
      </w:r>
    </w:p>
    <w:p w14:paraId="7D16CF15">
      <w:pPr>
        <w:spacing w:line="360" w:lineRule="auto"/>
        <w:ind w:firstLine="420" w:firstLineChars="200"/>
        <w:rPr>
          <w:rFonts w:hint="eastAsia" w:ascii="宋体" w:hAnsi="宋体" w:cs="宋体"/>
          <w:color w:val="auto"/>
          <w:kern w:val="0"/>
          <w:highlight w:val="none"/>
        </w:rPr>
      </w:pPr>
      <w:r>
        <w:rPr>
          <w:rFonts w:hint="eastAsia" w:ascii="宋体" w:hAnsi="宋体" w:cs="宋体"/>
          <w:color w:val="auto"/>
          <w:kern w:val="0"/>
          <w:highlight w:val="none"/>
        </w:rPr>
        <w:t>（一）投诉人不是所投诉招标投标活动的参与者，或者与投诉项目无任何利害关系；</w:t>
      </w:r>
    </w:p>
    <w:p w14:paraId="1F11664B">
      <w:pPr>
        <w:spacing w:line="360" w:lineRule="auto"/>
        <w:ind w:firstLine="420" w:firstLineChars="200"/>
        <w:rPr>
          <w:rFonts w:hint="eastAsia" w:ascii="宋体" w:hAnsi="宋体" w:cs="宋体"/>
          <w:color w:val="auto"/>
          <w:kern w:val="0"/>
          <w:highlight w:val="none"/>
        </w:rPr>
      </w:pPr>
      <w:r>
        <w:rPr>
          <w:rFonts w:hint="eastAsia" w:ascii="宋体" w:hAnsi="宋体" w:cs="宋体"/>
          <w:color w:val="auto"/>
          <w:kern w:val="0"/>
          <w:highlight w:val="none"/>
        </w:rPr>
        <w:t>（二）投诉事项不具体，且未提供有效线索，难以查证的；</w:t>
      </w:r>
    </w:p>
    <w:p w14:paraId="45CFB35E">
      <w:pPr>
        <w:spacing w:line="360" w:lineRule="auto"/>
        <w:ind w:firstLine="420" w:firstLineChars="200"/>
        <w:rPr>
          <w:rFonts w:hint="eastAsia" w:ascii="宋体" w:hAnsi="宋体" w:cs="宋体"/>
          <w:color w:val="auto"/>
          <w:kern w:val="0"/>
          <w:highlight w:val="none"/>
        </w:rPr>
      </w:pPr>
      <w:r>
        <w:rPr>
          <w:rFonts w:hint="eastAsia" w:ascii="宋体" w:hAnsi="宋体" w:cs="宋体"/>
          <w:color w:val="auto"/>
          <w:kern w:val="0"/>
          <w:highlight w:val="none"/>
        </w:rPr>
        <w:t>（三）投诉书未署具投诉人真实姓名、签字和有效联系方式的；以法人名义投诉的，投诉书未经法定代表人签字并加盖公章的；</w:t>
      </w:r>
    </w:p>
    <w:p w14:paraId="6295148A">
      <w:pPr>
        <w:spacing w:line="360" w:lineRule="auto"/>
        <w:ind w:firstLine="420" w:firstLineChars="200"/>
        <w:rPr>
          <w:rFonts w:hint="eastAsia" w:ascii="宋体" w:hAnsi="宋体" w:cs="宋体"/>
          <w:color w:val="auto"/>
          <w:kern w:val="0"/>
          <w:highlight w:val="none"/>
        </w:rPr>
      </w:pPr>
      <w:r>
        <w:rPr>
          <w:rFonts w:hint="eastAsia" w:ascii="宋体" w:hAnsi="宋体" w:cs="宋体"/>
          <w:color w:val="auto"/>
          <w:kern w:val="0"/>
          <w:highlight w:val="none"/>
        </w:rPr>
        <w:t>（四）超过投诉时效的；</w:t>
      </w:r>
    </w:p>
    <w:p w14:paraId="452047B7">
      <w:pPr>
        <w:spacing w:line="360" w:lineRule="auto"/>
        <w:ind w:firstLine="420" w:firstLineChars="200"/>
        <w:rPr>
          <w:rFonts w:hint="eastAsia" w:ascii="宋体" w:hAnsi="宋体" w:cs="宋体"/>
          <w:color w:val="auto"/>
          <w:kern w:val="0"/>
          <w:highlight w:val="none"/>
        </w:rPr>
      </w:pPr>
      <w:r>
        <w:rPr>
          <w:rFonts w:hint="eastAsia" w:ascii="宋体" w:hAnsi="宋体" w:cs="宋体"/>
          <w:color w:val="auto"/>
          <w:kern w:val="0"/>
          <w:highlight w:val="none"/>
        </w:rPr>
        <w:t>（五）已经作出处理决定，并且投诉人没有提出新的证据；</w:t>
      </w:r>
    </w:p>
    <w:p w14:paraId="35A00CF7">
      <w:pPr>
        <w:spacing w:line="360" w:lineRule="auto"/>
        <w:ind w:firstLine="420" w:firstLineChars="200"/>
        <w:rPr>
          <w:rFonts w:hint="eastAsia" w:ascii="宋体" w:hAnsi="宋体" w:cs="宋体"/>
          <w:color w:val="auto"/>
          <w:kern w:val="0"/>
          <w:highlight w:val="none"/>
        </w:rPr>
      </w:pPr>
      <w:r>
        <w:rPr>
          <w:rFonts w:hint="eastAsia" w:ascii="宋体" w:hAnsi="宋体" w:cs="宋体"/>
          <w:color w:val="auto"/>
          <w:kern w:val="0"/>
          <w:highlight w:val="none"/>
        </w:rPr>
        <w:t>（六）投诉事项已进入行政复议或者行政诉讼程序的；</w:t>
      </w:r>
    </w:p>
    <w:p w14:paraId="38AAF2FA">
      <w:pPr>
        <w:spacing w:line="360" w:lineRule="auto"/>
        <w:ind w:firstLine="420"/>
        <w:rPr>
          <w:rFonts w:hint="eastAsia" w:ascii="宋体" w:hAnsi="宋体" w:cs="宋体"/>
          <w:color w:val="auto"/>
          <w:kern w:val="0"/>
          <w:highlight w:val="none"/>
        </w:rPr>
      </w:pPr>
      <w:r>
        <w:rPr>
          <w:rFonts w:hint="eastAsia" w:ascii="宋体" w:hAnsi="宋体" w:cs="宋体"/>
          <w:color w:val="auto"/>
          <w:kern w:val="0"/>
          <w:highlight w:val="none"/>
        </w:rPr>
        <w:t>9.5.2.7未尽事宜，按国家现行有关法律法规执行。</w:t>
      </w:r>
    </w:p>
    <w:p w14:paraId="26E709F2">
      <w:pPr>
        <w:pStyle w:val="5"/>
        <w:rPr>
          <w:rFonts w:hint="eastAsia" w:ascii="宋体" w:hAnsi="宋体" w:cs="宋体"/>
          <w:color w:val="auto"/>
          <w:szCs w:val="24"/>
          <w:highlight w:val="none"/>
        </w:rPr>
      </w:pPr>
      <w:bookmarkStart w:id="621" w:name="_Toc306524542"/>
      <w:bookmarkStart w:id="622" w:name="_Toc1323"/>
      <w:bookmarkStart w:id="623" w:name="_Toc10797"/>
      <w:bookmarkStart w:id="624" w:name="_Toc184635080"/>
      <w:bookmarkStart w:id="625" w:name="_Toc28430"/>
      <w:bookmarkStart w:id="626" w:name="_Toc24310"/>
      <w:bookmarkStart w:id="627" w:name="_Toc9303"/>
      <w:bookmarkStart w:id="628" w:name="_Toc12316"/>
      <w:bookmarkStart w:id="629" w:name="_Toc31055"/>
      <w:bookmarkStart w:id="630" w:name="_Toc366144079"/>
      <w:r>
        <w:rPr>
          <w:rFonts w:hint="eastAsia" w:ascii="宋体" w:hAnsi="宋体" w:cs="宋体"/>
          <w:color w:val="auto"/>
          <w:szCs w:val="24"/>
          <w:highlight w:val="none"/>
        </w:rPr>
        <w:t>10．需要补充的其他内容</w:t>
      </w:r>
      <w:bookmarkEnd w:id="621"/>
      <w:bookmarkEnd w:id="622"/>
      <w:bookmarkEnd w:id="623"/>
      <w:bookmarkEnd w:id="624"/>
      <w:bookmarkEnd w:id="625"/>
      <w:bookmarkEnd w:id="626"/>
      <w:bookmarkEnd w:id="627"/>
      <w:bookmarkEnd w:id="628"/>
      <w:bookmarkEnd w:id="629"/>
      <w:bookmarkEnd w:id="630"/>
    </w:p>
    <w:p w14:paraId="507F4583">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需要补充的其他内容：见投标人须知前附表。</w:t>
      </w:r>
    </w:p>
    <w:p w14:paraId="2EFC9F4B">
      <w:pPr>
        <w:rPr>
          <w:rFonts w:hint="eastAsia" w:ascii="宋体" w:hAnsi="宋体" w:cs="宋体"/>
          <w:color w:val="auto"/>
          <w:highlight w:val="none"/>
        </w:rPr>
      </w:pPr>
      <w:r>
        <w:rPr>
          <w:rFonts w:hint="eastAsia" w:ascii="宋体" w:hAnsi="宋体" w:cs="宋体"/>
          <w:color w:val="auto"/>
          <w:highlight w:val="none"/>
        </w:rPr>
        <w:br w:type="page"/>
      </w:r>
    </w:p>
    <w:p w14:paraId="3CC5B443">
      <w:pPr>
        <w:pStyle w:val="56"/>
        <w:rPr>
          <w:rFonts w:hint="eastAsia" w:ascii="宋体" w:hAnsi="宋体" w:cs="宋体"/>
          <w:color w:val="auto"/>
          <w:highlight w:val="none"/>
        </w:rPr>
      </w:pPr>
    </w:p>
    <w:p w14:paraId="15C28A2F">
      <w:pPr>
        <w:pStyle w:val="5"/>
        <w:rPr>
          <w:rFonts w:hint="eastAsia" w:ascii="宋体" w:hAnsi="宋体" w:cs="宋体"/>
          <w:color w:val="auto"/>
          <w:highlight w:val="none"/>
        </w:rPr>
      </w:pPr>
      <w:bookmarkStart w:id="631" w:name="_Toc6723"/>
      <w:bookmarkStart w:id="632" w:name="_Toc27203"/>
      <w:bookmarkStart w:id="633" w:name="_Toc45896976"/>
      <w:bookmarkStart w:id="634" w:name="_Toc18259"/>
      <w:bookmarkStart w:id="635" w:name="_Toc5009"/>
      <w:bookmarkStart w:id="636" w:name="_Toc18871"/>
      <w:bookmarkStart w:id="637" w:name="_Toc19363"/>
      <w:bookmarkStart w:id="638" w:name="_Toc2467"/>
      <w:bookmarkStart w:id="639" w:name="_Toc45896680"/>
      <w:bookmarkStart w:id="640" w:name="_Toc9286"/>
      <w:bookmarkStart w:id="641" w:name="_Toc306524549"/>
      <w:bookmarkStart w:id="642" w:name="_Toc366144087"/>
      <w:bookmarkStart w:id="643" w:name="_Toc184635092"/>
      <w:r>
        <w:rPr>
          <w:rFonts w:hint="eastAsia" w:ascii="宋体" w:hAnsi="宋体" w:cs="宋体"/>
          <w:color w:val="auto"/>
          <w:highlight w:val="none"/>
        </w:rPr>
        <w:t>附件：电子投标文件编制及上传要求</w:t>
      </w:r>
      <w:bookmarkEnd w:id="631"/>
      <w:bookmarkEnd w:id="632"/>
      <w:bookmarkEnd w:id="633"/>
      <w:bookmarkEnd w:id="634"/>
      <w:bookmarkEnd w:id="635"/>
      <w:bookmarkEnd w:id="636"/>
      <w:bookmarkEnd w:id="637"/>
      <w:bookmarkEnd w:id="638"/>
      <w:bookmarkEnd w:id="639"/>
      <w:bookmarkEnd w:id="640"/>
    </w:p>
    <w:p w14:paraId="041E905C">
      <w:pPr>
        <w:pStyle w:val="212"/>
        <w:spacing w:line="360" w:lineRule="auto"/>
        <w:rPr>
          <w:rFonts w:hint="eastAsia" w:cs="宋体"/>
          <w:color w:val="auto"/>
          <w:highlight w:val="none"/>
        </w:rPr>
      </w:pPr>
      <w:r>
        <w:rPr>
          <w:rFonts w:hint="eastAsia"/>
          <w:color w:val="auto"/>
          <w:highlight w:val="none"/>
        </w:rPr>
        <w:t>1、电子投标文件的制作应使用《云南省工程建设模块化投标文件编制系统》，生成电子签名（或签名）的投标文件，格式为*.BTBJ。如果要求提供电子效果图纸文件/电子视频演示文件，也必须使用《云南省工程建设模块化投标文件编制系统》制作生成电子签名的效果图纸文件（格式为*.BTBT）/视频演示文件（格式为*.BTBY），电子投标文件须在网上递交上传。</w:t>
      </w:r>
    </w:p>
    <w:p w14:paraId="35C5DBC1">
      <w:pPr>
        <w:pStyle w:val="212"/>
        <w:spacing w:line="360" w:lineRule="auto"/>
        <w:rPr>
          <w:rFonts w:hint="eastAsia" w:cs="宋体"/>
          <w:color w:val="auto"/>
          <w:highlight w:val="none"/>
        </w:rPr>
      </w:pPr>
      <w:r>
        <w:rPr>
          <w:rFonts w:hint="eastAsia"/>
          <w:color w:val="auto"/>
          <w:highlight w:val="none"/>
        </w:rPr>
        <w:t>2、《云南省工程建设模块化投标文件编制系统》提供数字证书（CA）对投标文件进行加密功能。投标人对网上递交的投标文件应加密。如果投标人使用某个数字证书（CA）对投标文件进行了数字证书（CA）加密，需要在开标会上使用该数字证书（CA）进行现场解密，才能读取或导入投标文件，因投标人原因造成投标文件未解密的，视为撤回其投标文件。</w:t>
      </w:r>
    </w:p>
    <w:p w14:paraId="7442EF5A">
      <w:pPr>
        <w:pStyle w:val="212"/>
        <w:spacing w:line="360" w:lineRule="auto"/>
        <w:rPr>
          <w:rFonts w:hint="eastAsia" w:cs="宋体"/>
          <w:color w:val="auto"/>
          <w:highlight w:val="none"/>
        </w:rPr>
      </w:pPr>
      <w:r>
        <w:rPr>
          <w:rFonts w:hint="eastAsia"/>
          <w:color w:val="auto"/>
          <w:highlight w:val="none"/>
        </w:rPr>
        <w:t>3、网上递交投标文件应根据招标文件要求，在投标截止时间前将电子投标文件上传至指定的开标项目，并打印“上传投标文件回执”，以表明上传成功。同时，应自行核验下载上传成功的投标文件，并进行查看和解密以确保上传投标文件的正确性。</w:t>
      </w:r>
    </w:p>
    <w:p w14:paraId="15B53BD0">
      <w:pPr>
        <w:pStyle w:val="212"/>
        <w:spacing w:line="360" w:lineRule="auto"/>
        <w:rPr>
          <w:rFonts w:hint="eastAsia" w:cs="宋体"/>
          <w:color w:val="auto"/>
          <w:highlight w:val="none"/>
        </w:rPr>
      </w:pPr>
      <w:r>
        <w:rPr>
          <w:rFonts w:hint="eastAsia"/>
          <w:color w:val="auto"/>
          <w:highlight w:val="none"/>
        </w:rPr>
        <w:t>4、</w:t>
      </w:r>
      <w:r>
        <w:rPr>
          <w:rFonts w:hint="eastAsia" w:cs="宋体"/>
          <w:color w:val="auto"/>
          <w:highlight w:val="none"/>
        </w:rPr>
        <w:t>投标人投标时，须按本附件 “电子投标文件编制及报送要求”规定编制及网上递交电子投标文件，按规定和相应的操作程序对上传的投标文件解密。</w:t>
      </w:r>
    </w:p>
    <w:p w14:paraId="2CA59778">
      <w:pPr>
        <w:pStyle w:val="212"/>
        <w:spacing w:line="360" w:lineRule="auto"/>
        <w:rPr>
          <w:rFonts w:hint="eastAsia"/>
          <w:color w:val="auto"/>
          <w:highlight w:val="none"/>
        </w:rPr>
      </w:pPr>
      <w:r>
        <w:rPr>
          <w:rFonts w:hint="eastAsia"/>
          <w:color w:val="auto"/>
          <w:highlight w:val="none"/>
        </w:rPr>
        <w:t>5、该投标文件制作及报送要求如果与招标文件规定不一致，以此投标文件制作及报送要求为准。</w:t>
      </w:r>
    </w:p>
    <w:p w14:paraId="3C954106">
      <w:pPr>
        <w:pStyle w:val="212"/>
        <w:spacing w:line="360" w:lineRule="auto"/>
        <w:rPr>
          <w:rFonts w:hint="eastAsia" w:cs="宋体"/>
          <w:color w:val="auto"/>
          <w:highlight w:val="none"/>
        </w:rPr>
      </w:pPr>
      <w:r>
        <w:rPr>
          <w:rFonts w:hint="eastAsia" w:cs="宋体"/>
          <w:color w:val="auto"/>
          <w:highlight w:val="none"/>
        </w:rPr>
        <w:t>6、本项目为远程解密，投标人无需到现场解密。</w:t>
      </w:r>
    </w:p>
    <w:p w14:paraId="427A18FA">
      <w:pPr>
        <w:pStyle w:val="212"/>
        <w:spacing w:line="360" w:lineRule="auto"/>
        <w:rPr>
          <w:rFonts w:hint="eastAsia" w:cs="宋体"/>
          <w:color w:val="auto"/>
          <w:highlight w:val="none"/>
        </w:rPr>
      </w:pPr>
      <w:r>
        <w:rPr>
          <w:rFonts w:hint="eastAsia"/>
          <w:color w:val="auto"/>
          <w:highlight w:val="none"/>
        </w:rPr>
        <w:t>7、在编制技术标投标文件时，</w:t>
      </w:r>
      <w:r>
        <w:rPr>
          <w:rFonts w:hint="eastAsia"/>
          <w:b w:val="0"/>
          <w:bCs w:val="0"/>
          <w:color w:val="auto"/>
          <w:highlight w:val="none"/>
        </w:rPr>
        <w:t>粘贴图片使用JPG格式的文件，并且每张图片的分辩率应小于100dpi，最终的每份标书文件所占用的磁盘空间必须小于100。</w:t>
      </w:r>
    </w:p>
    <w:p w14:paraId="690C6B30">
      <w:pPr>
        <w:pStyle w:val="212"/>
        <w:spacing w:line="360" w:lineRule="auto"/>
        <w:rPr>
          <w:rFonts w:hint="eastAsia" w:cs="宋体"/>
          <w:b w:val="0"/>
          <w:bCs w:val="0"/>
          <w:color w:val="auto"/>
          <w:highlight w:val="none"/>
        </w:rPr>
      </w:pPr>
      <w:bookmarkStart w:id="644" w:name="_Toc524363213"/>
      <w:bookmarkStart w:id="645" w:name="_Toc9368"/>
      <w:bookmarkStart w:id="646" w:name="_Toc516230809"/>
      <w:bookmarkStart w:id="647" w:name="_Toc497754411"/>
      <w:bookmarkStart w:id="648" w:name="_Toc516609419"/>
      <w:r>
        <w:rPr>
          <w:rFonts w:hint="eastAsia"/>
          <w:b w:val="0"/>
          <w:bCs w:val="0"/>
          <w:color w:val="auto"/>
          <w:highlight w:val="none"/>
        </w:rPr>
        <w:t>注：不同单位的投标文件若芯片序列号、硬盘序列号、网卡序列号一致，视为由同一台电脑编制！</w:t>
      </w:r>
      <w:bookmarkEnd w:id="644"/>
      <w:bookmarkEnd w:id="645"/>
      <w:bookmarkEnd w:id="646"/>
      <w:bookmarkEnd w:id="647"/>
      <w:bookmarkEnd w:id="648"/>
    </w:p>
    <w:p w14:paraId="33E9E94C">
      <w:pPr>
        <w:pStyle w:val="212"/>
        <w:spacing w:line="360" w:lineRule="auto"/>
        <w:rPr>
          <w:rFonts w:hint="eastAsia" w:cs="宋体"/>
          <w:color w:val="auto"/>
          <w:highlight w:val="none"/>
        </w:rPr>
      </w:pPr>
      <w:r>
        <w:rPr>
          <w:rFonts w:hint="eastAsia"/>
          <w:color w:val="auto"/>
          <w:highlight w:val="none"/>
        </w:rPr>
        <w:t>8、技术支持</w:t>
      </w:r>
    </w:p>
    <w:p w14:paraId="314CEA19">
      <w:pPr>
        <w:pStyle w:val="212"/>
        <w:spacing w:line="360" w:lineRule="auto"/>
        <w:rPr>
          <w:rFonts w:hint="eastAsia" w:cs="宋体"/>
          <w:color w:val="auto"/>
          <w:highlight w:val="none"/>
        </w:rPr>
      </w:pPr>
      <w:r>
        <w:rPr>
          <w:rFonts w:hint="eastAsia"/>
          <w:color w:val="auto"/>
          <w:highlight w:val="none"/>
        </w:rPr>
        <w:t>技术支持：北京筑龙信息技术有限责任公司</w:t>
      </w:r>
    </w:p>
    <w:p w14:paraId="0B601D09">
      <w:pPr>
        <w:pStyle w:val="212"/>
        <w:spacing w:line="360" w:lineRule="auto"/>
        <w:rPr>
          <w:rFonts w:hint="eastAsia"/>
          <w:color w:val="auto"/>
          <w:highlight w:val="none"/>
        </w:rPr>
      </w:pPr>
      <w:r>
        <w:rPr>
          <w:rFonts w:hint="eastAsia"/>
          <w:color w:val="auto"/>
          <w:highlight w:val="none"/>
        </w:rPr>
        <w:t>服务电话：400-961-8998，在线服务QQ：4009618998</w:t>
      </w:r>
    </w:p>
    <w:p w14:paraId="05ACAA8A">
      <w:pPr>
        <w:pStyle w:val="212"/>
        <w:spacing w:line="360" w:lineRule="auto"/>
        <w:rPr>
          <w:rFonts w:hint="eastAsia" w:cs="宋体"/>
          <w:color w:val="auto"/>
          <w:highlight w:val="none"/>
        </w:rPr>
      </w:pPr>
      <w:r>
        <w:rPr>
          <w:rFonts w:hint="eastAsia"/>
          <w:color w:val="auto"/>
          <w:highlight w:val="none"/>
        </w:rPr>
        <w:t>云南CA技术支持（数字证书办理）联系电话：15758595225</w:t>
      </w:r>
    </w:p>
    <w:p w14:paraId="6E9A502E">
      <w:pPr>
        <w:keepNext/>
        <w:keepLines/>
        <w:jc w:val="center"/>
        <w:rPr>
          <w:rFonts w:hint="eastAsia" w:ascii="宋体" w:hAnsi="宋体" w:cs="宋体"/>
          <w:color w:val="auto"/>
          <w:highlight w:val="none"/>
        </w:rPr>
      </w:pPr>
    </w:p>
    <w:p w14:paraId="090E50CC">
      <w:pPr>
        <w:rPr>
          <w:rFonts w:hint="eastAsia" w:ascii="宋体" w:hAnsi="宋体" w:cs="宋体"/>
          <w:color w:val="auto"/>
          <w:highlight w:val="none"/>
        </w:rPr>
      </w:pPr>
      <w:bookmarkStart w:id="649" w:name="_Toc5492"/>
      <w:bookmarkStart w:id="650" w:name="_Toc27636"/>
      <w:bookmarkStart w:id="651" w:name="_Toc11343"/>
      <w:r>
        <w:rPr>
          <w:rFonts w:hint="eastAsia" w:ascii="宋体" w:hAnsi="宋体" w:cs="宋体"/>
          <w:color w:val="auto"/>
          <w:highlight w:val="none"/>
        </w:rPr>
        <w:br w:type="page"/>
      </w:r>
    </w:p>
    <w:p w14:paraId="00A17954">
      <w:pPr>
        <w:pStyle w:val="3"/>
        <w:jc w:val="center"/>
        <w:rPr>
          <w:rFonts w:hint="eastAsia" w:ascii="宋体" w:hAnsi="宋体" w:cs="宋体"/>
          <w:color w:val="auto"/>
          <w:highlight w:val="none"/>
        </w:rPr>
      </w:pPr>
      <w:r>
        <w:rPr>
          <w:rFonts w:hint="eastAsia" w:ascii="宋体" w:hAnsi="宋体" w:cs="宋体"/>
          <w:color w:val="auto"/>
          <w:highlight w:val="none"/>
        </w:rPr>
        <w:t>第三章 评标办法</w:t>
      </w:r>
      <w:bookmarkEnd w:id="641"/>
      <w:bookmarkEnd w:id="642"/>
      <w:bookmarkEnd w:id="643"/>
      <w:bookmarkEnd w:id="649"/>
      <w:bookmarkEnd w:id="650"/>
      <w:bookmarkEnd w:id="651"/>
    </w:p>
    <w:p w14:paraId="30585026">
      <w:pPr>
        <w:spacing w:line="480" w:lineRule="auto"/>
        <w:jc w:val="center"/>
        <w:outlineLvl w:val="1"/>
        <w:rPr>
          <w:rFonts w:hint="eastAsia" w:ascii="宋体" w:hAnsi="宋体" w:cs="宋体"/>
          <w:b/>
          <w:color w:val="auto"/>
          <w:sz w:val="24"/>
          <w:highlight w:val="none"/>
        </w:rPr>
      </w:pPr>
      <w:bookmarkStart w:id="652" w:name="_Toc306524550"/>
      <w:bookmarkStart w:id="653" w:name="_Toc13722"/>
      <w:bookmarkStart w:id="654" w:name="_Toc366144088"/>
      <w:bookmarkStart w:id="655" w:name="_Toc18209"/>
      <w:bookmarkStart w:id="656" w:name="_Toc20895"/>
      <w:bookmarkStart w:id="657" w:name="_Toc26863"/>
      <w:bookmarkStart w:id="658" w:name="_Toc3098"/>
      <w:r>
        <w:rPr>
          <w:rFonts w:hint="eastAsia" w:ascii="宋体" w:hAnsi="宋体" w:cs="宋体"/>
          <w:b/>
          <w:color w:val="auto"/>
          <w:sz w:val="24"/>
          <w:highlight w:val="none"/>
        </w:rPr>
        <w:t>评标办法前附表</w:t>
      </w:r>
      <w:bookmarkEnd w:id="652"/>
      <w:bookmarkEnd w:id="653"/>
      <w:bookmarkEnd w:id="654"/>
      <w:bookmarkEnd w:id="655"/>
      <w:bookmarkEnd w:id="656"/>
      <w:bookmarkEnd w:id="657"/>
      <w:bookmarkEnd w:id="658"/>
    </w:p>
    <w:tbl>
      <w:tblPr>
        <w:tblStyle w:val="57"/>
        <w:tblpPr w:leftFromText="180" w:rightFromText="180" w:vertAnchor="text" w:tblpXSpec="center" w:tblpY="1"/>
        <w:tblOverlap w:val="never"/>
        <w:tblW w:w="98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3"/>
        <w:gridCol w:w="1408"/>
        <w:gridCol w:w="1741"/>
        <w:gridCol w:w="5845"/>
        <w:gridCol w:w="139"/>
      </w:tblGrid>
      <w:tr w14:paraId="63A2D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gridAfter w:val="1"/>
          <w:wAfter w:w="139" w:type="dxa"/>
          <w:trHeight w:val="416" w:hRule="atLeast"/>
          <w:jc w:val="center"/>
        </w:trPr>
        <w:tc>
          <w:tcPr>
            <w:tcW w:w="753" w:type="dxa"/>
            <w:vAlign w:val="center"/>
          </w:tcPr>
          <w:p w14:paraId="4CDB5D94">
            <w:pPr>
              <w:autoSpaceDE w:val="0"/>
              <w:autoSpaceDN w:val="0"/>
              <w:adjustRightInd w:val="0"/>
              <w:jc w:val="center"/>
              <w:rPr>
                <w:rFonts w:hint="eastAsia" w:ascii="宋体" w:hAnsi="宋体" w:cs="宋体"/>
                <w:color w:val="auto"/>
                <w:szCs w:val="21"/>
                <w:highlight w:val="none"/>
              </w:rPr>
            </w:pPr>
            <w:r>
              <w:rPr>
                <w:rFonts w:hint="eastAsia" w:ascii="宋体" w:hAnsi="宋体" w:cs="宋体"/>
                <w:color w:val="auto"/>
                <w:szCs w:val="21"/>
                <w:highlight w:val="none"/>
              </w:rPr>
              <w:t>条款号</w:t>
            </w:r>
          </w:p>
        </w:tc>
        <w:tc>
          <w:tcPr>
            <w:tcW w:w="1408" w:type="dxa"/>
            <w:vAlign w:val="center"/>
          </w:tcPr>
          <w:p w14:paraId="052CC673">
            <w:pPr>
              <w:autoSpaceDE w:val="0"/>
              <w:autoSpaceDN w:val="0"/>
              <w:adjustRightInd w:val="0"/>
              <w:jc w:val="center"/>
              <w:rPr>
                <w:rFonts w:hint="eastAsia" w:ascii="宋体" w:hAnsi="宋体" w:cs="宋体"/>
                <w:color w:val="auto"/>
                <w:szCs w:val="21"/>
                <w:highlight w:val="none"/>
              </w:rPr>
            </w:pPr>
            <w:r>
              <w:rPr>
                <w:rFonts w:hint="eastAsia" w:ascii="宋体" w:hAnsi="宋体" w:cs="宋体"/>
                <w:color w:val="auto"/>
                <w:szCs w:val="21"/>
                <w:highlight w:val="none"/>
              </w:rPr>
              <w:t>评审因素</w:t>
            </w:r>
          </w:p>
        </w:tc>
        <w:tc>
          <w:tcPr>
            <w:tcW w:w="7586" w:type="dxa"/>
            <w:gridSpan w:val="2"/>
            <w:vAlign w:val="center"/>
          </w:tcPr>
          <w:p w14:paraId="10EF1385">
            <w:pPr>
              <w:autoSpaceDE w:val="0"/>
              <w:autoSpaceDN w:val="0"/>
              <w:adjustRightInd w:val="0"/>
              <w:jc w:val="center"/>
              <w:rPr>
                <w:rFonts w:hint="eastAsia" w:ascii="宋体" w:hAnsi="宋体" w:cs="宋体"/>
                <w:color w:val="auto"/>
                <w:szCs w:val="21"/>
                <w:highlight w:val="none"/>
              </w:rPr>
            </w:pPr>
            <w:r>
              <w:rPr>
                <w:rFonts w:hint="eastAsia" w:ascii="宋体" w:hAnsi="宋体" w:cs="宋体"/>
                <w:color w:val="auto"/>
                <w:szCs w:val="21"/>
                <w:highlight w:val="none"/>
              </w:rPr>
              <w:t>评审标准</w:t>
            </w:r>
          </w:p>
        </w:tc>
      </w:tr>
      <w:tr w14:paraId="0E3EF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53" w:type="dxa"/>
            <w:vMerge w:val="restart"/>
            <w:vAlign w:val="center"/>
          </w:tcPr>
          <w:p w14:paraId="730086AB">
            <w:pPr>
              <w:autoSpaceDE w:val="0"/>
              <w:autoSpaceDN w:val="0"/>
              <w:adjustRightInd w:val="0"/>
              <w:jc w:val="center"/>
              <w:rPr>
                <w:rFonts w:hint="eastAsia" w:ascii="宋体" w:hAnsi="宋体" w:cs="宋体"/>
                <w:color w:val="auto"/>
                <w:szCs w:val="21"/>
                <w:highlight w:val="none"/>
              </w:rPr>
            </w:pPr>
            <w:r>
              <w:rPr>
                <w:rFonts w:hint="eastAsia" w:ascii="宋体" w:hAnsi="宋体" w:cs="宋体"/>
                <w:color w:val="auto"/>
                <w:szCs w:val="21"/>
                <w:highlight w:val="none"/>
              </w:rPr>
              <w:t>2.1.1</w:t>
            </w:r>
          </w:p>
        </w:tc>
        <w:tc>
          <w:tcPr>
            <w:tcW w:w="1408" w:type="dxa"/>
            <w:vMerge w:val="restart"/>
            <w:vAlign w:val="center"/>
          </w:tcPr>
          <w:p w14:paraId="7EAA4D64">
            <w:pPr>
              <w:autoSpaceDE w:val="0"/>
              <w:autoSpaceDN w:val="0"/>
              <w:adjustRightInd w:val="0"/>
              <w:jc w:val="center"/>
              <w:rPr>
                <w:rFonts w:hint="eastAsia" w:ascii="宋体" w:hAnsi="宋体" w:cs="宋体"/>
                <w:color w:val="auto"/>
                <w:szCs w:val="21"/>
                <w:highlight w:val="none"/>
              </w:rPr>
            </w:pPr>
            <w:r>
              <w:rPr>
                <w:rFonts w:hint="eastAsia" w:ascii="宋体" w:hAnsi="宋体" w:cs="宋体"/>
                <w:color w:val="auto"/>
                <w:szCs w:val="21"/>
                <w:highlight w:val="none"/>
              </w:rPr>
              <w:t>形式评审标准</w:t>
            </w:r>
          </w:p>
        </w:tc>
        <w:tc>
          <w:tcPr>
            <w:tcW w:w="1741" w:type="dxa"/>
            <w:vAlign w:val="center"/>
          </w:tcPr>
          <w:p w14:paraId="07157B34">
            <w:pPr>
              <w:pStyle w:val="238"/>
              <w:spacing w:line="240" w:lineRule="auto"/>
              <w:jc w:val="center"/>
              <w:rPr>
                <w:rFonts w:hint="eastAsia" w:ascii="宋体" w:eastAsia="宋体" w:cs="宋体"/>
                <w:color w:val="auto"/>
                <w:kern w:val="2"/>
                <w:sz w:val="21"/>
                <w:szCs w:val="21"/>
                <w:highlight w:val="none"/>
                <w:lang w:val="en-US"/>
              </w:rPr>
            </w:pPr>
            <w:r>
              <w:rPr>
                <w:rFonts w:hint="eastAsia" w:ascii="宋体" w:eastAsia="宋体" w:cs="宋体"/>
                <w:color w:val="auto"/>
                <w:kern w:val="2"/>
                <w:sz w:val="21"/>
                <w:szCs w:val="21"/>
                <w:highlight w:val="none"/>
                <w:lang w:val="en-US"/>
              </w:rPr>
              <w:t>投标人名称</w:t>
            </w:r>
          </w:p>
        </w:tc>
        <w:tc>
          <w:tcPr>
            <w:tcW w:w="5984" w:type="dxa"/>
            <w:gridSpan w:val="2"/>
            <w:vAlign w:val="center"/>
          </w:tcPr>
          <w:p w14:paraId="6E7DA99A">
            <w:pPr>
              <w:pStyle w:val="238"/>
              <w:spacing w:line="240" w:lineRule="auto"/>
              <w:rPr>
                <w:rFonts w:hint="eastAsia" w:ascii="宋体" w:eastAsia="宋体" w:cs="宋体"/>
                <w:color w:val="auto"/>
                <w:kern w:val="2"/>
                <w:sz w:val="21"/>
                <w:szCs w:val="21"/>
                <w:highlight w:val="none"/>
                <w:lang w:val="en-US"/>
              </w:rPr>
            </w:pPr>
            <w:r>
              <w:rPr>
                <w:rFonts w:hint="eastAsia" w:ascii="宋体" w:eastAsia="宋体" w:cs="宋体"/>
                <w:color w:val="auto"/>
                <w:kern w:val="2"/>
                <w:sz w:val="21"/>
                <w:szCs w:val="21"/>
                <w:highlight w:val="none"/>
                <w:lang w:val="en-US"/>
              </w:rPr>
              <w:t>与营业执照、资质证书一致。</w:t>
            </w:r>
          </w:p>
        </w:tc>
      </w:tr>
      <w:tr w14:paraId="23AC3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53" w:type="dxa"/>
            <w:vMerge w:val="continue"/>
            <w:vAlign w:val="center"/>
          </w:tcPr>
          <w:p w14:paraId="6849EE3B">
            <w:pPr>
              <w:autoSpaceDE w:val="0"/>
              <w:autoSpaceDN w:val="0"/>
              <w:adjustRightInd w:val="0"/>
              <w:jc w:val="center"/>
              <w:rPr>
                <w:rFonts w:hint="eastAsia" w:ascii="宋体" w:hAnsi="宋体" w:cs="宋体"/>
                <w:color w:val="auto"/>
                <w:szCs w:val="21"/>
                <w:highlight w:val="none"/>
              </w:rPr>
            </w:pPr>
          </w:p>
        </w:tc>
        <w:tc>
          <w:tcPr>
            <w:tcW w:w="1408" w:type="dxa"/>
            <w:vMerge w:val="continue"/>
            <w:vAlign w:val="center"/>
          </w:tcPr>
          <w:p w14:paraId="5A90E7FA">
            <w:pPr>
              <w:autoSpaceDE w:val="0"/>
              <w:autoSpaceDN w:val="0"/>
              <w:adjustRightInd w:val="0"/>
              <w:jc w:val="center"/>
              <w:rPr>
                <w:rFonts w:hint="eastAsia" w:ascii="宋体" w:hAnsi="宋体" w:cs="宋体"/>
                <w:color w:val="auto"/>
                <w:szCs w:val="21"/>
                <w:highlight w:val="none"/>
              </w:rPr>
            </w:pPr>
          </w:p>
        </w:tc>
        <w:tc>
          <w:tcPr>
            <w:tcW w:w="1741" w:type="dxa"/>
            <w:vAlign w:val="center"/>
          </w:tcPr>
          <w:p w14:paraId="40AC9D2A">
            <w:pPr>
              <w:pStyle w:val="238"/>
              <w:spacing w:line="240" w:lineRule="auto"/>
              <w:jc w:val="center"/>
              <w:rPr>
                <w:rFonts w:hint="eastAsia" w:ascii="宋体" w:eastAsia="宋体" w:cs="宋体"/>
                <w:color w:val="auto"/>
                <w:kern w:val="2"/>
                <w:sz w:val="21"/>
                <w:szCs w:val="21"/>
                <w:highlight w:val="none"/>
                <w:lang w:val="en-US"/>
              </w:rPr>
            </w:pPr>
            <w:r>
              <w:rPr>
                <w:rFonts w:hint="eastAsia" w:ascii="宋体" w:eastAsia="宋体" w:cs="宋体"/>
                <w:color w:val="auto"/>
                <w:kern w:val="2"/>
                <w:sz w:val="21"/>
                <w:szCs w:val="21"/>
                <w:highlight w:val="none"/>
                <w:lang w:val="en-US"/>
              </w:rPr>
              <w:t>投标文件签署</w:t>
            </w:r>
          </w:p>
        </w:tc>
        <w:tc>
          <w:tcPr>
            <w:tcW w:w="5984" w:type="dxa"/>
            <w:gridSpan w:val="2"/>
            <w:vAlign w:val="center"/>
          </w:tcPr>
          <w:p w14:paraId="6413C0BF">
            <w:pPr>
              <w:pStyle w:val="238"/>
              <w:spacing w:line="240" w:lineRule="auto"/>
              <w:rPr>
                <w:rFonts w:hint="eastAsia" w:ascii="宋体" w:eastAsia="宋体" w:cs="宋体"/>
                <w:color w:val="auto"/>
                <w:kern w:val="2"/>
                <w:sz w:val="21"/>
                <w:szCs w:val="21"/>
                <w:highlight w:val="none"/>
                <w:lang w:val="en-US"/>
              </w:rPr>
            </w:pPr>
            <w:r>
              <w:rPr>
                <w:rFonts w:hint="eastAsia" w:ascii="宋体" w:eastAsia="宋体" w:cs="宋体"/>
                <w:color w:val="auto"/>
                <w:kern w:val="2"/>
                <w:sz w:val="21"/>
                <w:szCs w:val="21"/>
                <w:highlight w:val="none"/>
                <w:lang w:val="en-US"/>
              </w:rPr>
              <w:t>符合第二章“投标人须知”第3.7.3项要求。</w:t>
            </w:r>
          </w:p>
        </w:tc>
      </w:tr>
      <w:tr w14:paraId="4BBB7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53" w:type="dxa"/>
            <w:vMerge w:val="continue"/>
            <w:vAlign w:val="center"/>
          </w:tcPr>
          <w:p w14:paraId="22719749">
            <w:pPr>
              <w:autoSpaceDE w:val="0"/>
              <w:autoSpaceDN w:val="0"/>
              <w:adjustRightInd w:val="0"/>
              <w:jc w:val="center"/>
              <w:rPr>
                <w:rFonts w:hint="eastAsia" w:ascii="宋体" w:hAnsi="宋体" w:cs="宋体"/>
                <w:color w:val="auto"/>
                <w:szCs w:val="21"/>
                <w:highlight w:val="none"/>
              </w:rPr>
            </w:pPr>
          </w:p>
        </w:tc>
        <w:tc>
          <w:tcPr>
            <w:tcW w:w="1408" w:type="dxa"/>
            <w:vMerge w:val="continue"/>
            <w:vAlign w:val="center"/>
          </w:tcPr>
          <w:p w14:paraId="4F680667">
            <w:pPr>
              <w:autoSpaceDE w:val="0"/>
              <w:autoSpaceDN w:val="0"/>
              <w:adjustRightInd w:val="0"/>
              <w:jc w:val="center"/>
              <w:rPr>
                <w:rFonts w:hint="eastAsia" w:ascii="宋体" w:hAnsi="宋体" w:cs="宋体"/>
                <w:color w:val="auto"/>
                <w:szCs w:val="21"/>
                <w:highlight w:val="none"/>
              </w:rPr>
            </w:pPr>
          </w:p>
        </w:tc>
        <w:tc>
          <w:tcPr>
            <w:tcW w:w="1741" w:type="dxa"/>
            <w:vAlign w:val="center"/>
          </w:tcPr>
          <w:p w14:paraId="7BBB361E">
            <w:pPr>
              <w:pStyle w:val="238"/>
              <w:spacing w:line="240" w:lineRule="auto"/>
              <w:jc w:val="center"/>
              <w:rPr>
                <w:rFonts w:hint="eastAsia" w:ascii="宋体" w:eastAsia="宋体" w:cs="宋体"/>
                <w:color w:val="auto"/>
                <w:kern w:val="2"/>
                <w:sz w:val="21"/>
                <w:szCs w:val="21"/>
                <w:highlight w:val="none"/>
                <w:lang w:val="en-US"/>
              </w:rPr>
            </w:pPr>
            <w:r>
              <w:rPr>
                <w:rFonts w:hint="eastAsia" w:ascii="宋体" w:eastAsia="宋体" w:cs="宋体"/>
                <w:color w:val="auto"/>
                <w:kern w:val="2"/>
                <w:sz w:val="21"/>
                <w:szCs w:val="21"/>
                <w:highlight w:val="none"/>
                <w:lang w:val="en-US"/>
              </w:rPr>
              <w:t>投标文件格式</w:t>
            </w:r>
          </w:p>
        </w:tc>
        <w:tc>
          <w:tcPr>
            <w:tcW w:w="5984" w:type="dxa"/>
            <w:gridSpan w:val="2"/>
            <w:vAlign w:val="center"/>
          </w:tcPr>
          <w:p w14:paraId="2C0B9A38">
            <w:pPr>
              <w:pStyle w:val="238"/>
              <w:adjustRightInd w:val="0"/>
              <w:snapToGrid w:val="0"/>
              <w:spacing w:line="360" w:lineRule="auto"/>
              <w:rPr>
                <w:rFonts w:hint="eastAsia" w:ascii="宋体" w:eastAsia="宋体" w:cs="宋体"/>
                <w:color w:val="auto"/>
                <w:kern w:val="2"/>
                <w:sz w:val="21"/>
                <w:szCs w:val="21"/>
                <w:highlight w:val="none"/>
                <w:lang w:val="en-US" w:eastAsia="zh-CN"/>
              </w:rPr>
            </w:pPr>
            <w:r>
              <w:rPr>
                <w:rFonts w:hint="eastAsia" w:ascii="宋体" w:eastAsia="宋体" w:cs="宋体"/>
                <w:color w:val="auto"/>
                <w:kern w:val="2"/>
                <w:sz w:val="21"/>
                <w:szCs w:val="21"/>
                <w:highlight w:val="none"/>
                <w:lang w:val="en-US"/>
              </w:rPr>
              <w:t>符合第二章“投标人须知”附件：电子投标文件编制及上传要求和“投标人须知”第3.7.1项要求。</w:t>
            </w:r>
            <w:r>
              <w:rPr>
                <w:rFonts w:hint="eastAsia" w:ascii="宋体" w:eastAsia="宋体" w:cs="宋体"/>
                <w:color w:val="auto"/>
                <w:kern w:val="2"/>
                <w:sz w:val="21"/>
                <w:szCs w:val="21"/>
                <w:highlight w:val="none"/>
                <w:lang w:val="en-US" w:eastAsia="zh-CN"/>
              </w:rPr>
              <w:t>且“开标（唱标）一览表”“投标函及投标函附录”“廉洁诚信承诺书”“信誉承诺”“人员承诺书”符合第六章“投标文件格式”的要求。</w:t>
            </w:r>
          </w:p>
        </w:tc>
      </w:tr>
      <w:tr w14:paraId="064D4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753" w:type="dxa"/>
            <w:vMerge w:val="continue"/>
            <w:vAlign w:val="center"/>
          </w:tcPr>
          <w:p w14:paraId="73548231">
            <w:pPr>
              <w:autoSpaceDE w:val="0"/>
              <w:autoSpaceDN w:val="0"/>
              <w:adjustRightInd w:val="0"/>
              <w:jc w:val="center"/>
              <w:rPr>
                <w:rFonts w:hint="eastAsia" w:ascii="宋体" w:hAnsi="宋体" w:cs="宋体"/>
                <w:color w:val="auto"/>
                <w:szCs w:val="21"/>
                <w:highlight w:val="none"/>
              </w:rPr>
            </w:pPr>
          </w:p>
        </w:tc>
        <w:tc>
          <w:tcPr>
            <w:tcW w:w="1408" w:type="dxa"/>
            <w:vMerge w:val="continue"/>
            <w:vAlign w:val="center"/>
          </w:tcPr>
          <w:p w14:paraId="308DD6D4">
            <w:pPr>
              <w:autoSpaceDE w:val="0"/>
              <w:autoSpaceDN w:val="0"/>
              <w:adjustRightInd w:val="0"/>
              <w:jc w:val="center"/>
              <w:rPr>
                <w:rFonts w:hint="eastAsia" w:ascii="宋体" w:hAnsi="宋体" w:cs="宋体"/>
                <w:color w:val="auto"/>
                <w:szCs w:val="21"/>
                <w:highlight w:val="none"/>
              </w:rPr>
            </w:pPr>
          </w:p>
        </w:tc>
        <w:tc>
          <w:tcPr>
            <w:tcW w:w="1741" w:type="dxa"/>
            <w:vAlign w:val="center"/>
          </w:tcPr>
          <w:p w14:paraId="19CA34FF">
            <w:pPr>
              <w:pStyle w:val="238"/>
              <w:spacing w:line="240" w:lineRule="auto"/>
              <w:jc w:val="center"/>
              <w:rPr>
                <w:rFonts w:hint="eastAsia" w:ascii="宋体" w:eastAsia="宋体" w:cs="宋体"/>
                <w:color w:val="auto"/>
                <w:kern w:val="2"/>
                <w:sz w:val="21"/>
                <w:szCs w:val="21"/>
                <w:highlight w:val="none"/>
                <w:lang w:val="en-US"/>
              </w:rPr>
            </w:pPr>
            <w:r>
              <w:rPr>
                <w:rFonts w:hint="eastAsia" w:ascii="宋体" w:eastAsia="宋体" w:cs="宋体"/>
                <w:color w:val="auto"/>
                <w:kern w:val="2"/>
                <w:sz w:val="21"/>
                <w:szCs w:val="21"/>
                <w:highlight w:val="none"/>
                <w:lang w:val="en-US"/>
              </w:rPr>
              <w:t>报价唯一</w:t>
            </w:r>
          </w:p>
        </w:tc>
        <w:tc>
          <w:tcPr>
            <w:tcW w:w="5984" w:type="dxa"/>
            <w:gridSpan w:val="2"/>
            <w:vAlign w:val="center"/>
          </w:tcPr>
          <w:p w14:paraId="682F390A">
            <w:pPr>
              <w:pStyle w:val="238"/>
              <w:spacing w:line="240" w:lineRule="auto"/>
              <w:rPr>
                <w:rFonts w:hint="eastAsia" w:ascii="宋体" w:eastAsia="宋体" w:cs="宋体"/>
                <w:color w:val="auto"/>
                <w:kern w:val="2"/>
                <w:sz w:val="21"/>
                <w:szCs w:val="21"/>
                <w:highlight w:val="none"/>
                <w:lang w:val="en-US"/>
              </w:rPr>
            </w:pPr>
            <w:r>
              <w:rPr>
                <w:rFonts w:hint="eastAsia" w:ascii="宋体" w:eastAsia="宋体" w:cs="宋体"/>
                <w:color w:val="auto"/>
                <w:kern w:val="2"/>
                <w:sz w:val="21"/>
                <w:szCs w:val="21"/>
                <w:highlight w:val="none"/>
                <w:lang w:val="en-US"/>
              </w:rPr>
              <w:t>只能有一个有效报价。</w:t>
            </w:r>
          </w:p>
        </w:tc>
      </w:tr>
      <w:tr w14:paraId="0974B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753" w:type="dxa"/>
            <w:vMerge w:val="restart"/>
            <w:vAlign w:val="center"/>
          </w:tcPr>
          <w:p w14:paraId="0E67C840">
            <w:pPr>
              <w:autoSpaceDE w:val="0"/>
              <w:autoSpaceDN w:val="0"/>
              <w:adjustRightInd w:val="0"/>
              <w:jc w:val="center"/>
              <w:rPr>
                <w:rFonts w:hint="eastAsia" w:ascii="宋体" w:hAnsi="宋体" w:cs="宋体"/>
                <w:color w:val="auto"/>
                <w:szCs w:val="21"/>
                <w:highlight w:val="none"/>
              </w:rPr>
            </w:pPr>
            <w:r>
              <w:rPr>
                <w:rFonts w:hint="eastAsia" w:ascii="宋体" w:hAnsi="宋体" w:cs="宋体"/>
                <w:color w:val="auto"/>
                <w:szCs w:val="21"/>
                <w:highlight w:val="none"/>
              </w:rPr>
              <w:t>2.1.2</w:t>
            </w:r>
          </w:p>
        </w:tc>
        <w:tc>
          <w:tcPr>
            <w:tcW w:w="1408" w:type="dxa"/>
            <w:vMerge w:val="restart"/>
            <w:vAlign w:val="center"/>
          </w:tcPr>
          <w:p w14:paraId="3E35DC50">
            <w:pPr>
              <w:autoSpaceDE w:val="0"/>
              <w:autoSpaceDN w:val="0"/>
              <w:adjustRightInd w:val="0"/>
              <w:jc w:val="center"/>
              <w:rPr>
                <w:rFonts w:hint="eastAsia" w:ascii="宋体" w:hAnsi="宋体" w:cs="宋体"/>
                <w:color w:val="auto"/>
                <w:szCs w:val="21"/>
                <w:highlight w:val="none"/>
              </w:rPr>
            </w:pPr>
            <w:r>
              <w:rPr>
                <w:rFonts w:hint="eastAsia" w:ascii="宋体" w:hAnsi="宋体" w:cs="宋体"/>
                <w:color w:val="auto"/>
                <w:szCs w:val="21"/>
                <w:highlight w:val="none"/>
              </w:rPr>
              <w:t>资格评审标准</w:t>
            </w:r>
          </w:p>
        </w:tc>
        <w:tc>
          <w:tcPr>
            <w:tcW w:w="1741" w:type="dxa"/>
            <w:vAlign w:val="center"/>
          </w:tcPr>
          <w:p w14:paraId="49A27F0F">
            <w:pPr>
              <w:pStyle w:val="238"/>
              <w:spacing w:line="240" w:lineRule="auto"/>
              <w:jc w:val="center"/>
              <w:rPr>
                <w:rFonts w:hint="eastAsia" w:ascii="宋体" w:eastAsia="宋体" w:cs="宋体"/>
                <w:color w:val="auto"/>
                <w:kern w:val="2"/>
                <w:sz w:val="21"/>
                <w:szCs w:val="21"/>
                <w:highlight w:val="none"/>
                <w:lang w:val="en-US"/>
              </w:rPr>
            </w:pPr>
            <w:r>
              <w:rPr>
                <w:rFonts w:hint="eastAsia" w:ascii="宋体" w:eastAsia="宋体" w:cs="宋体"/>
                <w:color w:val="auto"/>
                <w:kern w:val="2"/>
                <w:sz w:val="21"/>
                <w:szCs w:val="21"/>
                <w:highlight w:val="none"/>
                <w:lang w:val="en-US"/>
              </w:rPr>
              <w:t>投标人主体及资质要求</w:t>
            </w:r>
          </w:p>
        </w:tc>
        <w:tc>
          <w:tcPr>
            <w:tcW w:w="5984" w:type="dxa"/>
            <w:gridSpan w:val="2"/>
            <w:vAlign w:val="center"/>
          </w:tcPr>
          <w:p w14:paraId="60BCB2D9">
            <w:pPr>
              <w:pStyle w:val="238"/>
              <w:spacing w:line="240" w:lineRule="auto"/>
              <w:rPr>
                <w:rFonts w:hint="eastAsia" w:ascii="宋体" w:eastAsia="宋体" w:cs="宋体"/>
                <w:color w:val="auto"/>
                <w:kern w:val="2"/>
                <w:sz w:val="21"/>
                <w:szCs w:val="21"/>
                <w:highlight w:val="none"/>
                <w:lang w:val="en-US"/>
              </w:rPr>
            </w:pPr>
            <w:r>
              <w:rPr>
                <w:rFonts w:hint="eastAsia" w:ascii="宋体" w:eastAsia="宋体" w:cs="宋体"/>
                <w:color w:val="auto"/>
                <w:kern w:val="2"/>
                <w:sz w:val="21"/>
                <w:szCs w:val="21"/>
                <w:highlight w:val="none"/>
                <w:lang w:val="en-US"/>
              </w:rPr>
              <w:t>符合第二章“投标人须知”第1.4.1项规定。</w:t>
            </w:r>
          </w:p>
        </w:tc>
      </w:tr>
      <w:tr w14:paraId="61F77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753" w:type="dxa"/>
            <w:vMerge w:val="continue"/>
            <w:vAlign w:val="center"/>
          </w:tcPr>
          <w:p w14:paraId="37B110A6">
            <w:pPr>
              <w:autoSpaceDE w:val="0"/>
              <w:autoSpaceDN w:val="0"/>
              <w:adjustRightInd w:val="0"/>
              <w:jc w:val="center"/>
              <w:rPr>
                <w:rFonts w:hint="eastAsia" w:ascii="宋体" w:hAnsi="宋体" w:cs="宋体"/>
                <w:color w:val="auto"/>
                <w:szCs w:val="21"/>
                <w:highlight w:val="none"/>
              </w:rPr>
            </w:pPr>
          </w:p>
        </w:tc>
        <w:tc>
          <w:tcPr>
            <w:tcW w:w="1408" w:type="dxa"/>
            <w:vMerge w:val="continue"/>
            <w:vAlign w:val="center"/>
          </w:tcPr>
          <w:p w14:paraId="0A9AD82B">
            <w:pPr>
              <w:autoSpaceDE w:val="0"/>
              <w:autoSpaceDN w:val="0"/>
              <w:adjustRightInd w:val="0"/>
              <w:jc w:val="center"/>
              <w:rPr>
                <w:rFonts w:hint="eastAsia" w:ascii="宋体" w:hAnsi="宋体" w:cs="宋体"/>
                <w:color w:val="auto"/>
                <w:szCs w:val="21"/>
                <w:highlight w:val="none"/>
              </w:rPr>
            </w:pPr>
          </w:p>
        </w:tc>
        <w:tc>
          <w:tcPr>
            <w:tcW w:w="1741" w:type="dxa"/>
            <w:vAlign w:val="center"/>
          </w:tcPr>
          <w:p w14:paraId="0EEA01DC">
            <w:pPr>
              <w:pStyle w:val="238"/>
              <w:spacing w:line="240" w:lineRule="auto"/>
              <w:jc w:val="center"/>
              <w:rPr>
                <w:rFonts w:hint="eastAsia" w:ascii="宋体" w:eastAsia="宋体" w:cs="宋体"/>
                <w:color w:val="auto"/>
                <w:kern w:val="2"/>
                <w:sz w:val="21"/>
                <w:szCs w:val="21"/>
                <w:highlight w:val="none"/>
                <w:lang w:val="en-US"/>
              </w:rPr>
            </w:pPr>
            <w:r>
              <w:rPr>
                <w:rFonts w:hint="eastAsia" w:ascii="宋体" w:eastAsia="宋体" w:cs="宋体"/>
                <w:color w:val="auto"/>
                <w:kern w:val="2"/>
                <w:sz w:val="21"/>
                <w:szCs w:val="21"/>
                <w:highlight w:val="none"/>
                <w:lang w:val="en-US"/>
              </w:rPr>
              <w:t>人员要求</w:t>
            </w:r>
          </w:p>
        </w:tc>
        <w:tc>
          <w:tcPr>
            <w:tcW w:w="5984" w:type="dxa"/>
            <w:gridSpan w:val="2"/>
            <w:vAlign w:val="center"/>
          </w:tcPr>
          <w:p w14:paraId="43F59899">
            <w:pPr>
              <w:pStyle w:val="238"/>
              <w:spacing w:line="240" w:lineRule="auto"/>
              <w:rPr>
                <w:rFonts w:hint="eastAsia" w:ascii="宋体" w:eastAsia="宋体" w:cs="宋体"/>
                <w:color w:val="auto"/>
                <w:kern w:val="2"/>
                <w:sz w:val="21"/>
                <w:szCs w:val="21"/>
                <w:highlight w:val="none"/>
                <w:lang w:val="en-US"/>
              </w:rPr>
            </w:pPr>
            <w:r>
              <w:rPr>
                <w:rFonts w:hint="eastAsia" w:ascii="宋体" w:eastAsia="宋体" w:cs="宋体"/>
                <w:color w:val="auto"/>
                <w:kern w:val="2"/>
                <w:sz w:val="21"/>
                <w:szCs w:val="21"/>
                <w:highlight w:val="none"/>
                <w:lang w:val="en-US"/>
              </w:rPr>
              <w:t>符合第二章“投标人须知”第1.4.1项规定。</w:t>
            </w:r>
          </w:p>
        </w:tc>
      </w:tr>
      <w:tr w14:paraId="3A3514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753" w:type="dxa"/>
            <w:vMerge w:val="continue"/>
            <w:vAlign w:val="center"/>
          </w:tcPr>
          <w:p w14:paraId="6187EDD4">
            <w:pPr>
              <w:autoSpaceDE w:val="0"/>
              <w:autoSpaceDN w:val="0"/>
              <w:adjustRightInd w:val="0"/>
              <w:jc w:val="center"/>
              <w:rPr>
                <w:rFonts w:hint="eastAsia" w:ascii="宋体" w:hAnsi="宋体" w:cs="宋体"/>
                <w:color w:val="auto"/>
                <w:szCs w:val="21"/>
                <w:highlight w:val="none"/>
              </w:rPr>
            </w:pPr>
          </w:p>
        </w:tc>
        <w:tc>
          <w:tcPr>
            <w:tcW w:w="1408" w:type="dxa"/>
            <w:vMerge w:val="continue"/>
            <w:vAlign w:val="center"/>
          </w:tcPr>
          <w:p w14:paraId="27DACC27">
            <w:pPr>
              <w:autoSpaceDE w:val="0"/>
              <w:autoSpaceDN w:val="0"/>
              <w:adjustRightInd w:val="0"/>
              <w:jc w:val="center"/>
              <w:rPr>
                <w:rFonts w:hint="eastAsia" w:ascii="宋体" w:hAnsi="宋体" w:cs="宋体"/>
                <w:color w:val="auto"/>
                <w:szCs w:val="21"/>
                <w:highlight w:val="none"/>
              </w:rPr>
            </w:pPr>
          </w:p>
        </w:tc>
        <w:tc>
          <w:tcPr>
            <w:tcW w:w="1741" w:type="dxa"/>
            <w:vAlign w:val="center"/>
          </w:tcPr>
          <w:p w14:paraId="6BBB2004">
            <w:pPr>
              <w:pStyle w:val="238"/>
              <w:spacing w:line="240" w:lineRule="auto"/>
              <w:jc w:val="center"/>
              <w:rPr>
                <w:rFonts w:hint="eastAsia" w:ascii="宋体" w:eastAsia="宋体" w:cs="宋体"/>
                <w:color w:val="auto"/>
                <w:kern w:val="2"/>
                <w:sz w:val="21"/>
                <w:szCs w:val="21"/>
                <w:highlight w:val="none"/>
                <w:lang w:val="en-US"/>
              </w:rPr>
            </w:pPr>
            <w:r>
              <w:rPr>
                <w:rFonts w:hint="eastAsia" w:ascii="宋体" w:eastAsia="宋体" w:cs="宋体"/>
                <w:color w:val="auto"/>
                <w:kern w:val="2"/>
                <w:sz w:val="21"/>
                <w:szCs w:val="21"/>
                <w:highlight w:val="none"/>
                <w:lang w:val="en-US"/>
              </w:rPr>
              <w:t>信誉要求</w:t>
            </w:r>
          </w:p>
        </w:tc>
        <w:tc>
          <w:tcPr>
            <w:tcW w:w="5984" w:type="dxa"/>
            <w:gridSpan w:val="2"/>
            <w:vAlign w:val="center"/>
          </w:tcPr>
          <w:p w14:paraId="302F6D6A">
            <w:pPr>
              <w:pStyle w:val="238"/>
              <w:spacing w:line="240" w:lineRule="auto"/>
              <w:rPr>
                <w:rFonts w:hint="eastAsia" w:ascii="宋体" w:eastAsia="宋体" w:cs="宋体"/>
                <w:color w:val="auto"/>
                <w:kern w:val="2"/>
                <w:sz w:val="21"/>
                <w:szCs w:val="21"/>
                <w:highlight w:val="none"/>
                <w:lang w:val="en-US"/>
              </w:rPr>
            </w:pPr>
            <w:r>
              <w:rPr>
                <w:rFonts w:hint="eastAsia" w:ascii="宋体" w:eastAsia="宋体" w:cs="宋体"/>
                <w:color w:val="auto"/>
                <w:kern w:val="2"/>
                <w:sz w:val="21"/>
                <w:szCs w:val="21"/>
                <w:highlight w:val="none"/>
                <w:lang w:val="en-US"/>
              </w:rPr>
              <w:t>符合第二章“投标人须知”第1.4.1项规定。</w:t>
            </w:r>
          </w:p>
        </w:tc>
      </w:tr>
      <w:tr w14:paraId="3C16F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753" w:type="dxa"/>
            <w:vMerge w:val="continue"/>
            <w:vAlign w:val="center"/>
          </w:tcPr>
          <w:p w14:paraId="713FFB26">
            <w:pPr>
              <w:autoSpaceDE w:val="0"/>
              <w:autoSpaceDN w:val="0"/>
              <w:adjustRightInd w:val="0"/>
              <w:jc w:val="center"/>
              <w:rPr>
                <w:rFonts w:hint="eastAsia" w:ascii="宋体" w:hAnsi="宋体" w:cs="宋体"/>
                <w:color w:val="auto"/>
                <w:szCs w:val="21"/>
                <w:highlight w:val="none"/>
              </w:rPr>
            </w:pPr>
          </w:p>
        </w:tc>
        <w:tc>
          <w:tcPr>
            <w:tcW w:w="1408" w:type="dxa"/>
            <w:vMerge w:val="continue"/>
            <w:vAlign w:val="center"/>
          </w:tcPr>
          <w:p w14:paraId="4B8566B4">
            <w:pPr>
              <w:autoSpaceDE w:val="0"/>
              <w:autoSpaceDN w:val="0"/>
              <w:adjustRightInd w:val="0"/>
              <w:jc w:val="center"/>
              <w:rPr>
                <w:rFonts w:hint="eastAsia" w:ascii="宋体" w:hAnsi="宋体" w:cs="宋体"/>
                <w:color w:val="auto"/>
                <w:szCs w:val="21"/>
                <w:highlight w:val="none"/>
              </w:rPr>
            </w:pPr>
          </w:p>
        </w:tc>
        <w:tc>
          <w:tcPr>
            <w:tcW w:w="1741" w:type="dxa"/>
            <w:vAlign w:val="center"/>
          </w:tcPr>
          <w:p w14:paraId="7BAAFE39">
            <w:pPr>
              <w:pStyle w:val="238"/>
              <w:spacing w:line="240" w:lineRule="auto"/>
              <w:jc w:val="center"/>
              <w:rPr>
                <w:rFonts w:hint="eastAsia" w:ascii="宋体" w:eastAsia="宋体" w:cs="宋体"/>
                <w:color w:val="auto"/>
                <w:kern w:val="2"/>
                <w:sz w:val="21"/>
                <w:szCs w:val="21"/>
                <w:highlight w:val="none"/>
                <w:lang w:val="en-US"/>
              </w:rPr>
            </w:pPr>
            <w:r>
              <w:rPr>
                <w:rFonts w:hint="eastAsia" w:ascii="宋体" w:eastAsia="宋体" w:cs="宋体"/>
                <w:color w:val="auto"/>
                <w:kern w:val="2"/>
                <w:sz w:val="21"/>
                <w:szCs w:val="21"/>
                <w:highlight w:val="none"/>
                <w:lang w:val="en-US"/>
              </w:rPr>
              <w:t>联合体要求</w:t>
            </w:r>
          </w:p>
        </w:tc>
        <w:tc>
          <w:tcPr>
            <w:tcW w:w="5984" w:type="dxa"/>
            <w:gridSpan w:val="2"/>
            <w:vAlign w:val="center"/>
          </w:tcPr>
          <w:p w14:paraId="0EDC738C">
            <w:pPr>
              <w:pStyle w:val="238"/>
              <w:spacing w:line="240" w:lineRule="auto"/>
              <w:rPr>
                <w:rFonts w:hint="eastAsia" w:ascii="宋体" w:eastAsia="宋体" w:cs="宋体"/>
                <w:color w:val="auto"/>
                <w:kern w:val="2"/>
                <w:sz w:val="21"/>
                <w:szCs w:val="21"/>
                <w:highlight w:val="none"/>
                <w:lang w:val="en-US"/>
              </w:rPr>
            </w:pPr>
            <w:r>
              <w:rPr>
                <w:rFonts w:hint="eastAsia" w:ascii="宋体" w:eastAsia="宋体" w:cs="宋体"/>
                <w:color w:val="auto"/>
                <w:kern w:val="2"/>
                <w:sz w:val="21"/>
                <w:szCs w:val="21"/>
                <w:highlight w:val="none"/>
                <w:lang w:val="en-US"/>
              </w:rPr>
              <w:t>符合第二章“投标人须知”第1.4.1项规定。</w:t>
            </w:r>
          </w:p>
        </w:tc>
      </w:tr>
      <w:tr w14:paraId="51B202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753" w:type="dxa"/>
            <w:vMerge w:val="continue"/>
            <w:vAlign w:val="center"/>
          </w:tcPr>
          <w:p w14:paraId="5EC19641">
            <w:pPr>
              <w:autoSpaceDE w:val="0"/>
              <w:autoSpaceDN w:val="0"/>
              <w:adjustRightInd w:val="0"/>
              <w:jc w:val="center"/>
              <w:rPr>
                <w:rFonts w:hint="eastAsia" w:ascii="宋体" w:hAnsi="宋体" w:cs="宋体"/>
                <w:color w:val="auto"/>
                <w:szCs w:val="21"/>
                <w:highlight w:val="none"/>
              </w:rPr>
            </w:pPr>
          </w:p>
        </w:tc>
        <w:tc>
          <w:tcPr>
            <w:tcW w:w="1408" w:type="dxa"/>
            <w:vMerge w:val="continue"/>
            <w:vAlign w:val="center"/>
          </w:tcPr>
          <w:p w14:paraId="34DC5F3D">
            <w:pPr>
              <w:autoSpaceDE w:val="0"/>
              <w:autoSpaceDN w:val="0"/>
              <w:adjustRightInd w:val="0"/>
              <w:jc w:val="center"/>
              <w:rPr>
                <w:rFonts w:hint="eastAsia" w:ascii="宋体" w:hAnsi="宋体" w:cs="宋体"/>
                <w:color w:val="auto"/>
                <w:szCs w:val="21"/>
                <w:highlight w:val="none"/>
              </w:rPr>
            </w:pPr>
          </w:p>
        </w:tc>
        <w:tc>
          <w:tcPr>
            <w:tcW w:w="1741" w:type="dxa"/>
            <w:vAlign w:val="center"/>
          </w:tcPr>
          <w:p w14:paraId="0129DC66">
            <w:pPr>
              <w:pStyle w:val="238"/>
              <w:spacing w:line="240" w:lineRule="auto"/>
              <w:jc w:val="center"/>
              <w:rPr>
                <w:rFonts w:hint="eastAsia" w:ascii="宋体" w:eastAsia="宋体" w:cs="宋体"/>
                <w:color w:val="auto"/>
                <w:kern w:val="2"/>
                <w:sz w:val="21"/>
                <w:szCs w:val="21"/>
                <w:highlight w:val="none"/>
                <w:lang w:val="en-US"/>
              </w:rPr>
            </w:pPr>
            <w:r>
              <w:rPr>
                <w:rFonts w:hint="eastAsia" w:ascii="宋体" w:eastAsia="宋体" w:cs="宋体"/>
                <w:color w:val="auto"/>
                <w:kern w:val="2"/>
                <w:sz w:val="21"/>
                <w:szCs w:val="21"/>
                <w:highlight w:val="none"/>
                <w:lang w:val="en-US"/>
              </w:rPr>
              <w:t>其他要求</w:t>
            </w:r>
          </w:p>
        </w:tc>
        <w:tc>
          <w:tcPr>
            <w:tcW w:w="5984" w:type="dxa"/>
            <w:gridSpan w:val="2"/>
            <w:vAlign w:val="center"/>
          </w:tcPr>
          <w:p w14:paraId="79227C2D">
            <w:pPr>
              <w:pStyle w:val="238"/>
              <w:spacing w:line="240" w:lineRule="auto"/>
              <w:rPr>
                <w:rFonts w:hint="eastAsia" w:ascii="宋体" w:eastAsia="宋体" w:cs="宋体"/>
                <w:color w:val="auto"/>
                <w:kern w:val="2"/>
                <w:sz w:val="21"/>
                <w:szCs w:val="21"/>
                <w:highlight w:val="none"/>
                <w:lang w:val="en-US"/>
              </w:rPr>
            </w:pPr>
            <w:r>
              <w:rPr>
                <w:rFonts w:hint="eastAsia" w:ascii="宋体" w:eastAsia="宋体" w:cs="宋体"/>
                <w:color w:val="auto"/>
                <w:kern w:val="2"/>
                <w:sz w:val="21"/>
                <w:szCs w:val="21"/>
                <w:highlight w:val="none"/>
                <w:lang w:val="en-US"/>
              </w:rPr>
              <w:t>符合第二章“投标人须知”第1.4.</w:t>
            </w:r>
            <w:r>
              <w:rPr>
                <w:rFonts w:hint="eastAsia" w:ascii="宋体" w:eastAsia="宋体" w:cs="宋体"/>
                <w:color w:val="auto"/>
                <w:kern w:val="2"/>
                <w:sz w:val="21"/>
                <w:szCs w:val="21"/>
                <w:highlight w:val="none"/>
                <w:lang w:val="en-US" w:eastAsia="zh-CN"/>
              </w:rPr>
              <w:t>1</w:t>
            </w:r>
            <w:r>
              <w:rPr>
                <w:rFonts w:hint="eastAsia" w:ascii="宋体" w:eastAsia="宋体" w:cs="宋体"/>
                <w:color w:val="auto"/>
                <w:kern w:val="2"/>
                <w:sz w:val="21"/>
                <w:szCs w:val="21"/>
                <w:highlight w:val="none"/>
                <w:lang w:val="en-US"/>
              </w:rPr>
              <w:t>项规定。</w:t>
            </w:r>
          </w:p>
        </w:tc>
      </w:tr>
      <w:tr w14:paraId="04E93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jc w:val="center"/>
        </w:trPr>
        <w:tc>
          <w:tcPr>
            <w:tcW w:w="753" w:type="dxa"/>
            <w:vMerge w:val="restart"/>
            <w:vAlign w:val="center"/>
          </w:tcPr>
          <w:p w14:paraId="2700C2E9">
            <w:pPr>
              <w:autoSpaceDE w:val="0"/>
              <w:autoSpaceDN w:val="0"/>
              <w:adjustRightInd w:val="0"/>
              <w:jc w:val="center"/>
              <w:rPr>
                <w:rFonts w:hint="eastAsia" w:ascii="宋体" w:hAnsi="宋体" w:cs="宋体"/>
                <w:color w:val="auto"/>
                <w:szCs w:val="21"/>
                <w:highlight w:val="none"/>
              </w:rPr>
            </w:pPr>
            <w:r>
              <w:rPr>
                <w:rFonts w:hint="eastAsia" w:ascii="宋体" w:hAnsi="宋体" w:cs="宋体"/>
                <w:color w:val="auto"/>
                <w:szCs w:val="21"/>
                <w:highlight w:val="none"/>
              </w:rPr>
              <w:t>2.1.3</w:t>
            </w:r>
          </w:p>
        </w:tc>
        <w:tc>
          <w:tcPr>
            <w:tcW w:w="1408" w:type="dxa"/>
            <w:vMerge w:val="restart"/>
            <w:vAlign w:val="center"/>
          </w:tcPr>
          <w:p w14:paraId="22B85E0A">
            <w:pPr>
              <w:autoSpaceDE w:val="0"/>
              <w:autoSpaceDN w:val="0"/>
              <w:adjustRightInd w:val="0"/>
              <w:jc w:val="center"/>
              <w:rPr>
                <w:rFonts w:hint="eastAsia" w:ascii="宋体" w:hAnsi="宋体" w:cs="宋体"/>
                <w:color w:val="auto"/>
                <w:szCs w:val="21"/>
                <w:highlight w:val="none"/>
              </w:rPr>
            </w:pPr>
            <w:r>
              <w:rPr>
                <w:rFonts w:hint="eastAsia" w:ascii="宋体" w:hAnsi="宋体" w:cs="宋体"/>
                <w:color w:val="auto"/>
                <w:szCs w:val="21"/>
                <w:highlight w:val="none"/>
              </w:rPr>
              <w:t>响应性评审标准</w:t>
            </w:r>
          </w:p>
        </w:tc>
        <w:tc>
          <w:tcPr>
            <w:tcW w:w="1741" w:type="dxa"/>
            <w:vAlign w:val="center"/>
          </w:tcPr>
          <w:p w14:paraId="312EAC85">
            <w:pPr>
              <w:pStyle w:val="238"/>
              <w:spacing w:line="240" w:lineRule="auto"/>
              <w:jc w:val="center"/>
              <w:rPr>
                <w:rFonts w:hint="eastAsia" w:ascii="宋体" w:eastAsia="宋体" w:cs="宋体"/>
                <w:color w:val="auto"/>
                <w:kern w:val="2"/>
                <w:sz w:val="21"/>
                <w:szCs w:val="21"/>
                <w:highlight w:val="none"/>
                <w:lang w:val="en-US"/>
              </w:rPr>
            </w:pPr>
            <w:r>
              <w:rPr>
                <w:rFonts w:hint="eastAsia" w:ascii="宋体" w:eastAsia="宋体" w:cs="宋体"/>
                <w:color w:val="auto"/>
                <w:kern w:val="2"/>
                <w:sz w:val="21"/>
                <w:szCs w:val="21"/>
                <w:highlight w:val="none"/>
                <w:lang w:val="en-US"/>
              </w:rPr>
              <w:t>投标内容</w:t>
            </w:r>
          </w:p>
        </w:tc>
        <w:tc>
          <w:tcPr>
            <w:tcW w:w="5984" w:type="dxa"/>
            <w:gridSpan w:val="2"/>
            <w:vAlign w:val="center"/>
          </w:tcPr>
          <w:p w14:paraId="5ECCEB82">
            <w:pPr>
              <w:pStyle w:val="238"/>
              <w:spacing w:line="240" w:lineRule="auto"/>
              <w:rPr>
                <w:rFonts w:hint="eastAsia" w:ascii="宋体" w:eastAsia="宋体" w:cs="宋体"/>
                <w:color w:val="auto"/>
                <w:kern w:val="2"/>
                <w:sz w:val="21"/>
                <w:szCs w:val="21"/>
                <w:highlight w:val="none"/>
                <w:lang w:val="en-US"/>
              </w:rPr>
            </w:pPr>
            <w:r>
              <w:rPr>
                <w:rFonts w:hint="eastAsia" w:ascii="宋体" w:eastAsia="宋体" w:cs="宋体"/>
                <w:color w:val="auto"/>
                <w:kern w:val="2"/>
                <w:sz w:val="21"/>
                <w:szCs w:val="21"/>
                <w:highlight w:val="none"/>
                <w:lang w:val="en-US"/>
              </w:rPr>
              <w:t>符合第二章“投标人须知”第1.3.1项规定。</w:t>
            </w:r>
          </w:p>
        </w:tc>
      </w:tr>
      <w:tr w14:paraId="641AFC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3" w:type="dxa"/>
            <w:vMerge w:val="continue"/>
            <w:vAlign w:val="center"/>
          </w:tcPr>
          <w:p w14:paraId="22AFFBFD">
            <w:pPr>
              <w:autoSpaceDE w:val="0"/>
              <w:autoSpaceDN w:val="0"/>
              <w:adjustRightInd w:val="0"/>
              <w:jc w:val="center"/>
              <w:rPr>
                <w:rFonts w:hint="eastAsia" w:ascii="宋体" w:hAnsi="宋体" w:cs="宋体"/>
                <w:color w:val="auto"/>
                <w:szCs w:val="21"/>
                <w:highlight w:val="none"/>
              </w:rPr>
            </w:pPr>
          </w:p>
        </w:tc>
        <w:tc>
          <w:tcPr>
            <w:tcW w:w="1408" w:type="dxa"/>
            <w:vMerge w:val="continue"/>
            <w:vAlign w:val="center"/>
          </w:tcPr>
          <w:p w14:paraId="49752986">
            <w:pPr>
              <w:autoSpaceDE w:val="0"/>
              <w:autoSpaceDN w:val="0"/>
              <w:adjustRightInd w:val="0"/>
              <w:jc w:val="center"/>
              <w:rPr>
                <w:rFonts w:hint="eastAsia" w:ascii="宋体" w:hAnsi="宋体" w:cs="宋体"/>
                <w:color w:val="auto"/>
                <w:szCs w:val="21"/>
                <w:highlight w:val="none"/>
              </w:rPr>
            </w:pPr>
          </w:p>
        </w:tc>
        <w:tc>
          <w:tcPr>
            <w:tcW w:w="1741" w:type="dxa"/>
            <w:vAlign w:val="center"/>
          </w:tcPr>
          <w:p w14:paraId="1D00373B">
            <w:pPr>
              <w:pStyle w:val="238"/>
              <w:spacing w:line="240" w:lineRule="auto"/>
              <w:jc w:val="center"/>
              <w:rPr>
                <w:rFonts w:hint="eastAsia" w:ascii="宋体" w:eastAsia="宋体" w:cs="宋体"/>
                <w:color w:val="auto"/>
                <w:kern w:val="2"/>
                <w:sz w:val="21"/>
                <w:szCs w:val="21"/>
                <w:highlight w:val="none"/>
                <w:lang w:val="en-US"/>
              </w:rPr>
            </w:pPr>
            <w:r>
              <w:rPr>
                <w:rFonts w:hint="eastAsia" w:ascii="宋体" w:eastAsia="宋体" w:cs="宋体"/>
                <w:color w:val="auto"/>
                <w:kern w:val="2"/>
                <w:sz w:val="21"/>
                <w:szCs w:val="21"/>
                <w:highlight w:val="none"/>
                <w:lang w:val="en-US"/>
              </w:rPr>
              <w:t>投标报价</w:t>
            </w:r>
          </w:p>
        </w:tc>
        <w:tc>
          <w:tcPr>
            <w:tcW w:w="5984" w:type="dxa"/>
            <w:gridSpan w:val="2"/>
            <w:vAlign w:val="center"/>
          </w:tcPr>
          <w:p w14:paraId="25FE7999">
            <w:pPr>
              <w:pStyle w:val="238"/>
              <w:spacing w:line="240" w:lineRule="auto"/>
              <w:rPr>
                <w:rFonts w:hint="eastAsia" w:ascii="宋体" w:eastAsia="宋体" w:cs="宋体"/>
                <w:color w:val="auto"/>
                <w:kern w:val="2"/>
                <w:sz w:val="21"/>
                <w:szCs w:val="21"/>
                <w:highlight w:val="none"/>
                <w:lang w:val="en-US"/>
              </w:rPr>
            </w:pPr>
            <w:r>
              <w:rPr>
                <w:rFonts w:hint="eastAsia" w:ascii="宋体" w:eastAsia="宋体" w:cs="宋体"/>
                <w:color w:val="auto"/>
                <w:kern w:val="2"/>
                <w:sz w:val="21"/>
                <w:szCs w:val="21"/>
                <w:highlight w:val="none"/>
                <w:lang w:val="en-US"/>
              </w:rPr>
              <w:t>符合第二章“投标人须知”第 3.2 款规定。</w:t>
            </w:r>
          </w:p>
        </w:tc>
      </w:tr>
      <w:tr w14:paraId="4D0CA8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3" w:type="dxa"/>
            <w:vMerge w:val="continue"/>
            <w:vAlign w:val="center"/>
          </w:tcPr>
          <w:p w14:paraId="48D13AB6">
            <w:pPr>
              <w:autoSpaceDE w:val="0"/>
              <w:autoSpaceDN w:val="0"/>
              <w:adjustRightInd w:val="0"/>
              <w:jc w:val="center"/>
              <w:rPr>
                <w:rFonts w:hint="eastAsia" w:ascii="宋体" w:hAnsi="宋体" w:cs="宋体"/>
                <w:color w:val="auto"/>
                <w:szCs w:val="21"/>
                <w:highlight w:val="none"/>
              </w:rPr>
            </w:pPr>
          </w:p>
        </w:tc>
        <w:tc>
          <w:tcPr>
            <w:tcW w:w="1408" w:type="dxa"/>
            <w:vMerge w:val="continue"/>
            <w:vAlign w:val="center"/>
          </w:tcPr>
          <w:p w14:paraId="73BCA81E">
            <w:pPr>
              <w:autoSpaceDE w:val="0"/>
              <w:autoSpaceDN w:val="0"/>
              <w:adjustRightInd w:val="0"/>
              <w:jc w:val="center"/>
              <w:rPr>
                <w:rFonts w:hint="eastAsia" w:ascii="宋体" w:hAnsi="宋体" w:cs="宋体"/>
                <w:color w:val="auto"/>
                <w:szCs w:val="21"/>
                <w:highlight w:val="none"/>
              </w:rPr>
            </w:pPr>
          </w:p>
        </w:tc>
        <w:tc>
          <w:tcPr>
            <w:tcW w:w="1741" w:type="dxa"/>
            <w:vAlign w:val="center"/>
          </w:tcPr>
          <w:p w14:paraId="52FCF0BE">
            <w:pPr>
              <w:pStyle w:val="238"/>
              <w:spacing w:line="240" w:lineRule="auto"/>
              <w:jc w:val="center"/>
              <w:rPr>
                <w:rFonts w:hint="eastAsia" w:ascii="宋体" w:eastAsia="宋体" w:cs="宋体"/>
                <w:color w:val="auto"/>
                <w:kern w:val="2"/>
                <w:sz w:val="21"/>
                <w:szCs w:val="21"/>
                <w:highlight w:val="none"/>
                <w:lang w:val="en-US" w:eastAsia="zh-CN"/>
              </w:rPr>
            </w:pPr>
            <w:r>
              <w:rPr>
                <w:rFonts w:hint="eastAsia" w:ascii="宋体" w:eastAsia="宋体" w:cs="宋体"/>
                <w:color w:val="auto"/>
                <w:kern w:val="2"/>
                <w:sz w:val="21"/>
                <w:szCs w:val="21"/>
                <w:highlight w:val="none"/>
                <w:lang w:val="en-US" w:eastAsia="zh-CN"/>
              </w:rPr>
              <w:t>服务期限</w:t>
            </w:r>
          </w:p>
        </w:tc>
        <w:tc>
          <w:tcPr>
            <w:tcW w:w="5984" w:type="dxa"/>
            <w:gridSpan w:val="2"/>
            <w:vAlign w:val="center"/>
          </w:tcPr>
          <w:p w14:paraId="1E657C6A">
            <w:pPr>
              <w:pStyle w:val="238"/>
              <w:spacing w:line="240" w:lineRule="auto"/>
              <w:rPr>
                <w:rFonts w:hint="eastAsia" w:ascii="宋体" w:eastAsia="宋体" w:cs="宋体"/>
                <w:color w:val="auto"/>
                <w:kern w:val="2"/>
                <w:sz w:val="21"/>
                <w:szCs w:val="21"/>
                <w:highlight w:val="none"/>
                <w:lang w:val="en-US"/>
              </w:rPr>
            </w:pPr>
            <w:r>
              <w:rPr>
                <w:rFonts w:hint="eastAsia" w:ascii="宋体" w:eastAsia="宋体" w:cs="宋体"/>
                <w:color w:val="auto"/>
                <w:kern w:val="2"/>
                <w:sz w:val="21"/>
                <w:szCs w:val="21"/>
                <w:highlight w:val="none"/>
                <w:lang w:val="en-US"/>
              </w:rPr>
              <w:t>符合第二章“投标人须知”第1.3.3项规定。</w:t>
            </w:r>
          </w:p>
        </w:tc>
      </w:tr>
      <w:tr w14:paraId="53BB2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753" w:type="dxa"/>
            <w:vMerge w:val="continue"/>
            <w:vAlign w:val="center"/>
          </w:tcPr>
          <w:p w14:paraId="2CA8153D">
            <w:pPr>
              <w:autoSpaceDE w:val="0"/>
              <w:autoSpaceDN w:val="0"/>
              <w:adjustRightInd w:val="0"/>
              <w:jc w:val="center"/>
              <w:rPr>
                <w:rFonts w:hint="eastAsia" w:ascii="宋体" w:hAnsi="宋体" w:cs="宋体"/>
                <w:color w:val="auto"/>
                <w:szCs w:val="21"/>
                <w:highlight w:val="none"/>
              </w:rPr>
            </w:pPr>
          </w:p>
        </w:tc>
        <w:tc>
          <w:tcPr>
            <w:tcW w:w="1408" w:type="dxa"/>
            <w:vMerge w:val="continue"/>
            <w:vAlign w:val="center"/>
          </w:tcPr>
          <w:p w14:paraId="05930622">
            <w:pPr>
              <w:autoSpaceDE w:val="0"/>
              <w:autoSpaceDN w:val="0"/>
              <w:adjustRightInd w:val="0"/>
              <w:jc w:val="center"/>
              <w:rPr>
                <w:rFonts w:hint="eastAsia" w:ascii="宋体" w:hAnsi="宋体" w:cs="宋体"/>
                <w:color w:val="auto"/>
                <w:szCs w:val="21"/>
                <w:highlight w:val="none"/>
              </w:rPr>
            </w:pPr>
          </w:p>
        </w:tc>
        <w:tc>
          <w:tcPr>
            <w:tcW w:w="1741" w:type="dxa"/>
            <w:vAlign w:val="center"/>
          </w:tcPr>
          <w:p w14:paraId="78D2C8E1">
            <w:pPr>
              <w:pStyle w:val="238"/>
              <w:spacing w:line="240" w:lineRule="auto"/>
              <w:jc w:val="center"/>
              <w:rPr>
                <w:rFonts w:hint="eastAsia" w:ascii="宋体" w:eastAsia="宋体" w:cs="宋体"/>
                <w:color w:val="auto"/>
                <w:kern w:val="2"/>
                <w:sz w:val="21"/>
                <w:szCs w:val="21"/>
                <w:highlight w:val="none"/>
                <w:lang w:val="en-US"/>
              </w:rPr>
            </w:pPr>
            <w:r>
              <w:rPr>
                <w:rFonts w:hint="eastAsia" w:ascii="宋体" w:eastAsia="宋体" w:cs="宋体"/>
                <w:color w:val="auto"/>
                <w:kern w:val="2"/>
                <w:sz w:val="21"/>
                <w:szCs w:val="21"/>
                <w:highlight w:val="none"/>
                <w:lang w:val="en-US"/>
              </w:rPr>
              <w:t>质量要求</w:t>
            </w:r>
          </w:p>
        </w:tc>
        <w:tc>
          <w:tcPr>
            <w:tcW w:w="5984" w:type="dxa"/>
            <w:gridSpan w:val="2"/>
            <w:vAlign w:val="center"/>
          </w:tcPr>
          <w:p w14:paraId="7AA78CEF">
            <w:pPr>
              <w:pStyle w:val="238"/>
              <w:spacing w:line="240" w:lineRule="auto"/>
              <w:rPr>
                <w:rFonts w:hint="eastAsia" w:ascii="宋体" w:eastAsia="宋体" w:cs="宋体"/>
                <w:color w:val="auto"/>
                <w:kern w:val="2"/>
                <w:sz w:val="21"/>
                <w:szCs w:val="21"/>
                <w:highlight w:val="none"/>
                <w:lang w:val="en-US"/>
              </w:rPr>
            </w:pPr>
            <w:r>
              <w:rPr>
                <w:rFonts w:hint="eastAsia" w:ascii="宋体" w:eastAsia="宋体" w:cs="宋体"/>
                <w:color w:val="auto"/>
                <w:kern w:val="2"/>
                <w:sz w:val="21"/>
                <w:szCs w:val="21"/>
                <w:highlight w:val="none"/>
                <w:lang w:val="en-US"/>
              </w:rPr>
              <w:t>符合第二章“投标人须知”第1.3.</w:t>
            </w:r>
            <w:r>
              <w:rPr>
                <w:rFonts w:hint="eastAsia" w:ascii="宋体" w:eastAsia="宋体" w:cs="宋体"/>
                <w:color w:val="auto"/>
                <w:kern w:val="2"/>
                <w:sz w:val="21"/>
                <w:szCs w:val="21"/>
                <w:highlight w:val="none"/>
                <w:lang w:val="en-US" w:eastAsia="zh-CN"/>
              </w:rPr>
              <w:t>4</w:t>
            </w:r>
            <w:r>
              <w:rPr>
                <w:rFonts w:hint="eastAsia" w:ascii="宋体" w:eastAsia="宋体" w:cs="宋体"/>
                <w:color w:val="auto"/>
                <w:kern w:val="2"/>
                <w:sz w:val="21"/>
                <w:szCs w:val="21"/>
                <w:highlight w:val="none"/>
                <w:lang w:val="en-US"/>
              </w:rPr>
              <w:t>项规定。</w:t>
            </w:r>
          </w:p>
        </w:tc>
      </w:tr>
      <w:tr w14:paraId="795133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53" w:type="dxa"/>
            <w:vMerge w:val="continue"/>
            <w:vAlign w:val="center"/>
          </w:tcPr>
          <w:p w14:paraId="3FF21A83">
            <w:pPr>
              <w:autoSpaceDE w:val="0"/>
              <w:autoSpaceDN w:val="0"/>
              <w:adjustRightInd w:val="0"/>
              <w:jc w:val="center"/>
              <w:rPr>
                <w:rFonts w:hint="eastAsia" w:ascii="宋体" w:hAnsi="宋体" w:cs="宋体"/>
                <w:color w:val="auto"/>
                <w:szCs w:val="21"/>
                <w:highlight w:val="none"/>
              </w:rPr>
            </w:pPr>
          </w:p>
        </w:tc>
        <w:tc>
          <w:tcPr>
            <w:tcW w:w="1408" w:type="dxa"/>
            <w:vMerge w:val="continue"/>
            <w:vAlign w:val="center"/>
          </w:tcPr>
          <w:p w14:paraId="409F0C46">
            <w:pPr>
              <w:autoSpaceDE w:val="0"/>
              <w:autoSpaceDN w:val="0"/>
              <w:adjustRightInd w:val="0"/>
              <w:jc w:val="center"/>
              <w:rPr>
                <w:rFonts w:hint="eastAsia" w:ascii="宋体" w:hAnsi="宋体" w:cs="宋体"/>
                <w:color w:val="auto"/>
                <w:szCs w:val="21"/>
                <w:highlight w:val="none"/>
              </w:rPr>
            </w:pPr>
          </w:p>
        </w:tc>
        <w:tc>
          <w:tcPr>
            <w:tcW w:w="1741" w:type="dxa"/>
            <w:vAlign w:val="center"/>
          </w:tcPr>
          <w:p w14:paraId="50EA9651">
            <w:pPr>
              <w:pStyle w:val="238"/>
              <w:spacing w:line="240" w:lineRule="auto"/>
              <w:jc w:val="center"/>
              <w:rPr>
                <w:rFonts w:hint="eastAsia" w:ascii="宋体" w:eastAsia="宋体" w:cs="宋体"/>
                <w:color w:val="auto"/>
                <w:kern w:val="2"/>
                <w:sz w:val="21"/>
                <w:szCs w:val="21"/>
                <w:highlight w:val="none"/>
                <w:lang w:val="en-US"/>
              </w:rPr>
            </w:pPr>
            <w:r>
              <w:rPr>
                <w:rFonts w:hint="eastAsia" w:ascii="宋体" w:eastAsia="宋体" w:cs="宋体"/>
                <w:color w:val="auto"/>
                <w:kern w:val="2"/>
                <w:sz w:val="21"/>
                <w:szCs w:val="21"/>
                <w:highlight w:val="none"/>
                <w:lang w:val="en-US"/>
              </w:rPr>
              <w:t>投标有效期</w:t>
            </w:r>
          </w:p>
        </w:tc>
        <w:tc>
          <w:tcPr>
            <w:tcW w:w="5984" w:type="dxa"/>
            <w:gridSpan w:val="2"/>
            <w:vAlign w:val="center"/>
          </w:tcPr>
          <w:p w14:paraId="4945D520">
            <w:pPr>
              <w:pStyle w:val="238"/>
              <w:spacing w:line="240" w:lineRule="auto"/>
              <w:rPr>
                <w:rFonts w:hint="eastAsia" w:ascii="宋体" w:eastAsia="宋体" w:cs="宋体"/>
                <w:color w:val="auto"/>
                <w:kern w:val="2"/>
                <w:sz w:val="21"/>
                <w:szCs w:val="21"/>
                <w:highlight w:val="none"/>
                <w:lang w:val="en-US"/>
              </w:rPr>
            </w:pPr>
            <w:r>
              <w:rPr>
                <w:rFonts w:hint="eastAsia" w:ascii="宋体" w:eastAsia="宋体" w:cs="宋体"/>
                <w:color w:val="auto"/>
                <w:kern w:val="2"/>
                <w:sz w:val="21"/>
                <w:szCs w:val="21"/>
                <w:highlight w:val="none"/>
                <w:lang w:val="en-US"/>
              </w:rPr>
              <w:t>符合第二章“投标人须知”第3.3.1项规定。</w:t>
            </w:r>
          </w:p>
        </w:tc>
      </w:tr>
      <w:tr w14:paraId="613E7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753" w:type="dxa"/>
            <w:vMerge w:val="continue"/>
            <w:vAlign w:val="center"/>
          </w:tcPr>
          <w:p w14:paraId="4B785BE1">
            <w:pPr>
              <w:autoSpaceDE w:val="0"/>
              <w:autoSpaceDN w:val="0"/>
              <w:adjustRightInd w:val="0"/>
              <w:jc w:val="center"/>
              <w:rPr>
                <w:rFonts w:hint="eastAsia" w:ascii="宋体" w:hAnsi="宋体" w:cs="宋体"/>
                <w:color w:val="auto"/>
                <w:szCs w:val="21"/>
                <w:highlight w:val="none"/>
              </w:rPr>
            </w:pPr>
          </w:p>
        </w:tc>
        <w:tc>
          <w:tcPr>
            <w:tcW w:w="1408" w:type="dxa"/>
            <w:vMerge w:val="continue"/>
            <w:vAlign w:val="center"/>
          </w:tcPr>
          <w:p w14:paraId="5DE78C4A">
            <w:pPr>
              <w:autoSpaceDE w:val="0"/>
              <w:autoSpaceDN w:val="0"/>
              <w:adjustRightInd w:val="0"/>
              <w:jc w:val="center"/>
              <w:rPr>
                <w:rFonts w:hint="eastAsia" w:ascii="宋体" w:hAnsi="宋体" w:cs="宋体"/>
                <w:color w:val="auto"/>
                <w:szCs w:val="21"/>
                <w:highlight w:val="none"/>
              </w:rPr>
            </w:pPr>
          </w:p>
        </w:tc>
        <w:tc>
          <w:tcPr>
            <w:tcW w:w="1741" w:type="dxa"/>
            <w:vAlign w:val="center"/>
          </w:tcPr>
          <w:p w14:paraId="059E25FC">
            <w:pPr>
              <w:pStyle w:val="238"/>
              <w:spacing w:line="240" w:lineRule="auto"/>
              <w:jc w:val="center"/>
              <w:rPr>
                <w:rFonts w:hint="eastAsia" w:ascii="宋体" w:eastAsia="宋体" w:cs="宋体"/>
                <w:color w:val="auto"/>
                <w:kern w:val="2"/>
                <w:sz w:val="21"/>
                <w:szCs w:val="21"/>
                <w:highlight w:val="none"/>
                <w:lang w:val="en-US"/>
              </w:rPr>
            </w:pPr>
            <w:r>
              <w:rPr>
                <w:rFonts w:hint="eastAsia" w:ascii="宋体" w:eastAsia="宋体" w:cs="宋体"/>
                <w:color w:val="auto"/>
                <w:kern w:val="2"/>
                <w:sz w:val="21"/>
                <w:szCs w:val="21"/>
                <w:highlight w:val="none"/>
                <w:lang w:val="en-US"/>
              </w:rPr>
              <w:t>投标被否决条件</w:t>
            </w:r>
          </w:p>
        </w:tc>
        <w:tc>
          <w:tcPr>
            <w:tcW w:w="5984" w:type="dxa"/>
            <w:gridSpan w:val="2"/>
            <w:vAlign w:val="center"/>
          </w:tcPr>
          <w:p w14:paraId="10EF39A4">
            <w:pPr>
              <w:pStyle w:val="238"/>
              <w:spacing w:line="240" w:lineRule="auto"/>
              <w:rPr>
                <w:rFonts w:hint="eastAsia" w:ascii="宋体" w:eastAsia="宋体" w:cs="宋体"/>
                <w:color w:val="auto"/>
                <w:kern w:val="2"/>
                <w:sz w:val="21"/>
                <w:szCs w:val="21"/>
                <w:highlight w:val="none"/>
                <w:lang w:val="en-US"/>
              </w:rPr>
            </w:pPr>
            <w:r>
              <w:rPr>
                <w:rFonts w:hint="eastAsia" w:ascii="宋体" w:eastAsia="宋体" w:cs="宋体"/>
                <w:color w:val="auto"/>
                <w:kern w:val="2"/>
                <w:sz w:val="21"/>
                <w:szCs w:val="21"/>
                <w:highlight w:val="none"/>
                <w:lang w:val="en-US"/>
              </w:rPr>
              <w:t>未出现本章附件B：投标被否决条件的情况。</w:t>
            </w:r>
          </w:p>
        </w:tc>
      </w:tr>
      <w:tr w14:paraId="6F8FB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39" w:type="dxa"/>
          <w:trHeight w:val="923" w:hRule="atLeast"/>
          <w:jc w:val="center"/>
        </w:trPr>
        <w:tc>
          <w:tcPr>
            <w:tcW w:w="753" w:type="dxa"/>
            <w:vAlign w:val="center"/>
          </w:tcPr>
          <w:p w14:paraId="3FCB18A9">
            <w:pPr>
              <w:autoSpaceDE w:val="0"/>
              <w:autoSpaceDN w:val="0"/>
              <w:adjustRightInd w:val="0"/>
              <w:jc w:val="center"/>
              <w:rPr>
                <w:rFonts w:hint="eastAsia" w:ascii="宋体" w:hAnsi="宋体" w:cs="宋体"/>
                <w:color w:val="auto"/>
                <w:szCs w:val="21"/>
                <w:highlight w:val="none"/>
              </w:rPr>
            </w:pPr>
            <w:r>
              <w:rPr>
                <w:rFonts w:hint="eastAsia" w:ascii="宋体" w:hAnsi="宋体" w:cs="宋体"/>
                <w:color w:val="auto"/>
                <w:szCs w:val="21"/>
                <w:highlight w:val="none"/>
              </w:rPr>
              <w:t>2.2.1</w:t>
            </w:r>
          </w:p>
        </w:tc>
        <w:tc>
          <w:tcPr>
            <w:tcW w:w="1408" w:type="dxa"/>
            <w:vAlign w:val="center"/>
          </w:tcPr>
          <w:p w14:paraId="345F1040">
            <w:pPr>
              <w:autoSpaceDE w:val="0"/>
              <w:autoSpaceDN w:val="0"/>
              <w:adjustRightInd w:val="0"/>
              <w:jc w:val="center"/>
              <w:rPr>
                <w:rFonts w:hint="eastAsia" w:ascii="宋体" w:hAnsi="宋体" w:cs="宋体"/>
                <w:color w:val="auto"/>
                <w:szCs w:val="21"/>
                <w:highlight w:val="none"/>
              </w:rPr>
            </w:pPr>
            <w:r>
              <w:rPr>
                <w:rFonts w:hint="eastAsia" w:ascii="宋体" w:hAnsi="宋体" w:cs="宋体"/>
                <w:color w:val="auto"/>
                <w:szCs w:val="21"/>
                <w:highlight w:val="none"/>
              </w:rPr>
              <w:t>分值构成</w:t>
            </w:r>
          </w:p>
        </w:tc>
        <w:tc>
          <w:tcPr>
            <w:tcW w:w="7586" w:type="dxa"/>
            <w:gridSpan w:val="2"/>
            <w:vAlign w:val="center"/>
          </w:tcPr>
          <w:p w14:paraId="1A6876D3">
            <w:pPr>
              <w:pStyle w:val="51"/>
              <w:adjustRightInd w:val="0"/>
              <w:snapToGrid w:val="0"/>
              <w:spacing w:before="0" w:beforeAutospacing="0" w:after="0" w:afterAutospacing="0" w:line="360" w:lineRule="auto"/>
              <w:rPr>
                <w:rFonts w:hint="eastAsia" w:cs="宋体"/>
                <w:color w:val="auto"/>
                <w:kern w:val="2"/>
                <w:sz w:val="21"/>
                <w:szCs w:val="21"/>
                <w:highlight w:val="none"/>
              </w:rPr>
            </w:pPr>
            <w:r>
              <w:rPr>
                <w:rFonts w:hint="eastAsia" w:cs="宋体"/>
                <w:color w:val="auto"/>
                <w:kern w:val="2"/>
                <w:sz w:val="21"/>
                <w:szCs w:val="21"/>
                <w:highlight w:val="none"/>
              </w:rPr>
              <w:t>技术部分分值：</w:t>
            </w:r>
            <w:r>
              <w:rPr>
                <w:rFonts w:hint="eastAsia" w:cs="宋体"/>
                <w:color w:val="auto"/>
                <w:kern w:val="2"/>
                <w:sz w:val="21"/>
                <w:szCs w:val="21"/>
                <w:highlight w:val="none"/>
                <w:lang w:val="en-US" w:eastAsia="zh-CN"/>
              </w:rPr>
              <w:t>70</w:t>
            </w:r>
            <w:r>
              <w:rPr>
                <w:rFonts w:hint="eastAsia" w:cs="宋体"/>
                <w:color w:val="auto"/>
                <w:kern w:val="2"/>
                <w:sz w:val="21"/>
                <w:szCs w:val="21"/>
                <w:highlight w:val="none"/>
              </w:rPr>
              <w:t>分</w:t>
            </w:r>
          </w:p>
          <w:p w14:paraId="61A95B06">
            <w:pPr>
              <w:pStyle w:val="51"/>
              <w:adjustRightInd w:val="0"/>
              <w:snapToGrid w:val="0"/>
              <w:spacing w:before="0" w:beforeAutospacing="0" w:after="0" w:afterAutospacing="0" w:line="360" w:lineRule="auto"/>
              <w:rPr>
                <w:rFonts w:hint="eastAsia" w:cs="宋体"/>
                <w:color w:val="auto"/>
                <w:kern w:val="2"/>
                <w:sz w:val="21"/>
                <w:szCs w:val="21"/>
                <w:highlight w:val="none"/>
              </w:rPr>
            </w:pPr>
            <w:r>
              <w:rPr>
                <w:rFonts w:hint="eastAsia" w:cs="宋体"/>
                <w:color w:val="auto"/>
                <w:kern w:val="2"/>
                <w:sz w:val="21"/>
                <w:szCs w:val="21"/>
                <w:highlight w:val="none"/>
              </w:rPr>
              <w:t>商务部分分值：</w:t>
            </w:r>
            <w:r>
              <w:rPr>
                <w:rFonts w:hint="eastAsia" w:cs="宋体"/>
                <w:color w:val="auto"/>
                <w:kern w:val="2"/>
                <w:sz w:val="21"/>
                <w:szCs w:val="21"/>
                <w:highlight w:val="none"/>
                <w:lang w:val="en-US" w:eastAsia="zh-CN"/>
              </w:rPr>
              <w:t>30</w:t>
            </w:r>
            <w:r>
              <w:rPr>
                <w:rFonts w:hint="eastAsia" w:cs="宋体"/>
                <w:color w:val="auto"/>
                <w:kern w:val="2"/>
                <w:sz w:val="21"/>
                <w:szCs w:val="21"/>
                <w:highlight w:val="none"/>
              </w:rPr>
              <w:t>分</w:t>
            </w:r>
          </w:p>
        </w:tc>
      </w:tr>
      <w:tr w14:paraId="17820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39" w:type="dxa"/>
          <w:trHeight w:val="513" w:hRule="atLeast"/>
          <w:jc w:val="center"/>
        </w:trPr>
        <w:tc>
          <w:tcPr>
            <w:tcW w:w="753" w:type="dxa"/>
            <w:vAlign w:val="center"/>
          </w:tcPr>
          <w:p w14:paraId="58B874FB">
            <w:pPr>
              <w:autoSpaceDE w:val="0"/>
              <w:autoSpaceDN w:val="0"/>
              <w:adjustRightInd w:val="0"/>
              <w:jc w:val="center"/>
              <w:rPr>
                <w:rFonts w:hint="eastAsia" w:ascii="宋体" w:hAnsi="宋体" w:cs="宋体"/>
                <w:color w:val="auto"/>
                <w:szCs w:val="21"/>
                <w:highlight w:val="none"/>
              </w:rPr>
            </w:pPr>
            <w:r>
              <w:rPr>
                <w:rFonts w:hint="eastAsia" w:ascii="宋体" w:hAnsi="宋体" w:cs="宋体"/>
                <w:color w:val="auto"/>
                <w:szCs w:val="21"/>
                <w:highlight w:val="none"/>
              </w:rPr>
              <w:t>条款号</w:t>
            </w:r>
          </w:p>
        </w:tc>
        <w:tc>
          <w:tcPr>
            <w:tcW w:w="1408" w:type="dxa"/>
            <w:vAlign w:val="center"/>
          </w:tcPr>
          <w:p w14:paraId="191F74C3">
            <w:pPr>
              <w:pStyle w:val="51"/>
              <w:spacing w:line="360" w:lineRule="auto"/>
              <w:jc w:val="center"/>
              <w:rPr>
                <w:rFonts w:hint="eastAsia" w:cs="宋体"/>
                <w:color w:val="auto"/>
                <w:kern w:val="2"/>
                <w:sz w:val="21"/>
                <w:szCs w:val="21"/>
                <w:highlight w:val="none"/>
              </w:rPr>
            </w:pPr>
            <w:r>
              <w:rPr>
                <w:rFonts w:hint="eastAsia" w:cs="宋体"/>
                <w:color w:val="auto"/>
                <w:kern w:val="2"/>
                <w:sz w:val="21"/>
                <w:szCs w:val="21"/>
                <w:highlight w:val="none"/>
              </w:rPr>
              <w:t>条款内容</w:t>
            </w:r>
          </w:p>
        </w:tc>
        <w:tc>
          <w:tcPr>
            <w:tcW w:w="7586" w:type="dxa"/>
            <w:gridSpan w:val="2"/>
            <w:vAlign w:val="center"/>
          </w:tcPr>
          <w:p w14:paraId="12073D74">
            <w:pPr>
              <w:pStyle w:val="51"/>
              <w:spacing w:line="360" w:lineRule="auto"/>
              <w:jc w:val="center"/>
              <w:rPr>
                <w:rFonts w:hint="eastAsia" w:cs="宋体"/>
                <w:color w:val="auto"/>
                <w:kern w:val="2"/>
                <w:sz w:val="21"/>
                <w:szCs w:val="21"/>
                <w:highlight w:val="none"/>
              </w:rPr>
            </w:pPr>
            <w:r>
              <w:rPr>
                <w:rFonts w:hint="eastAsia" w:cs="宋体"/>
                <w:color w:val="auto"/>
                <w:kern w:val="2"/>
                <w:sz w:val="21"/>
                <w:szCs w:val="21"/>
                <w:highlight w:val="none"/>
              </w:rPr>
              <w:t>评分标准</w:t>
            </w:r>
          </w:p>
        </w:tc>
      </w:tr>
      <w:tr w14:paraId="62C8F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39" w:type="dxa"/>
          <w:trHeight w:val="382" w:hRule="atLeast"/>
          <w:jc w:val="center"/>
        </w:trPr>
        <w:tc>
          <w:tcPr>
            <w:tcW w:w="753" w:type="dxa"/>
            <w:vAlign w:val="center"/>
          </w:tcPr>
          <w:p w14:paraId="73579623">
            <w:pPr>
              <w:autoSpaceDE w:val="0"/>
              <w:autoSpaceDN w:val="0"/>
              <w:adjustRightInd w:val="0"/>
              <w:jc w:val="center"/>
              <w:rPr>
                <w:rFonts w:hint="eastAsia" w:ascii="宋体" w:hAnsi="宋体" w:cs="宋体"/>
                <w:color w:val="auto"/>
                <w:szCs w:val="21"/>
                <w:highlight w:val="none"/>
              </w:rPr>
            </w:pPr>
            <w:r>
              <w:rPr>
                <w:rFonts w:hint="eastAsia" w:ascii="宋体" w:hAnsi="宋体" w:cs="宋体"/>
                <w:color w:val="auto"/>
                <w:szCs w:val="21"/>
                <w:highlight w:val="none"/>
              </w:rPr>
              <w:t>2.2.2</w:t>
            </w:r>
          </w:p>
        </w:tc>
        <w:tc>
          <w:tcPr>
            <w:tcW w:w="1408" w:type="dxa"/>
            <w:vAlign w:val="center"/>
          </w:tcPr>
          <w:p w14:paraId="787FFA70">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商务部分</w:t>
            </w:r>
          </w:p>
          <w:p w14:paraId="3C11C7FE">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评审标准</w:t>
            </w:r>
          </w:p>
          <w:p w14:paraId="07B323B4">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（满分</w:t>
            </w:r>
            <w:r>
              <w:rPr>
                <w:rFonts w:hint="eastAsia" w:ascii="宋体" w:hAnsi="宋体" w:cs="宋体"/>
                <w:color w:val="auto"/>
                <w:szCs w:val="21"/>
                <w:highlight w:val="none"/>
                <w:lang w:val="en-US" w:eastAsia="zh-CN"/>
              </w:rPr>
              <w:t>30</w:t>
            </w:r>
            <w:r>
              <w:rPr>
                <w:rFonts w:hint="eastAsia" w:ascii="宋体" w:hAnsi="宋体" w:cs="宋体"/>
                <w:color w:val="auto"/>
                <w:szCs w:val="21"/>
                <w:highlight w:val="none"/>
              </w:rPr>
              <w:t>分）</w:t>
            </w:r>
          </w:p>
        </w:tc>
        <w:tc>
          <w:tcPr>
            <w:tcW w:w="7586" w:type="dxa"/>
            <w:gridSpan w:val="2"/>
            <w:vAlign w:val="center"/>
          </w:tcPr>
          <w:p w14:paraId="70337076">
            <w:pPr>
              <w:numPr>
                <w:ilvl w:val="255"/>
                <w:numId w:val="0"/>
              </w:numPr>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一、评标价及评标基准价计算方法：</w:t>
            </w:r>
          </w:p>
          <w:p w14:paraId="28B0007B">
            <w:pPr>
              <w:numPr>
                <w:ilvl w:val="0"/>
                <w:numId w:val="11"/>
              </w:numPr>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各投标人的监理服务费率报价若未经修正，监理服务费率报价则为评标价。若经过修正，则修正后的</w:t>
            </w:r>
            <w:r>
              <w:rPr>
                <w:rFonts w:hint="eastAsia" w:ascii="宋体" w:hAnsi="宋体" w:cs="宋体"/>
                <w:color w:val="auto"/>
                <w:szCs w:val="21"/>
                <w:highlight w:val="none"/>
                <w:lang w:eastAsia="zh-CN"/>
              </w:rPr>
              <w:t>监理服务费率报价</w:t>
            </w:r>
            <w:r>
              <w:rPr>
                <w:rFonts w:hint="eastAsia" w:ascii="宋体" w:hAnsi="宋体" w:cs="宋体"/>
                <w:color w:val="auto"/>
                <w:szCs w:val="21"/>
                <w:highlight w:val="none"/>
              </w:rPr>
              <w:t>为评标价。</w:t>
            </w:r>
          </w:p>
          <w:p w14:paraId="7CC3A325">
            <w:pPr>
              <w:numPr>
                <w:ilvl w:val="0"/>
                <w:numId w:val="11"/>
              </w:numPr>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评标基准价为所有效投标报价的平均价。</w:t>
            </w:r>
          </w:p>
          <w:p w14:paraId="6FA022BB">
            <w:pPr>
              <w:numPr>
                <w:ilvl w:val="-1"/>
                <w:numId w:val="0"/>
              </w:numPr>
              <w:spacing w:line="360" w:lineRule="auto"/>
              <w:jc w:val="left"/>
              <w:rPr>
                <w:rFonts w:hint="default" w:ascii="宋体" w:hAnsi="宋体" w:cs="宋体"/>
                <w:color w:val="auto"/>
                <w:szCs w:val="21"/>
                <w:highlight w:val="none"/>
                <w:lang w:val="en-US"/>
              </w:rPr>
            </w:pP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lang w:eastAsia="zh-CN"/>
              </w:rPr>
              <w:t>）</w:t>
            </w:r>
            <w:r>
              <w:rPr>
                <w:rFonts w:hint="eastAsia" w:asciiTheme="minorEastAsia" w:hAnsiTheme="minorEastAsia" w:eastAsiaTheme="minorEastAsia"/>
                <w:sz w:val="21"/>
                <w:szCs w:val="21"/>
              </w:rPr>
              <w:t>报价的偏差率计算公式：</w:t>
            </w:r>
            <w:r>
              <w:rPr>
                <w:rFonts w:hint="eastAsia" w:ascii="宋体" w:hAnsi="宋体" w:cs="宋体"/>
                <w:sz w:val="21"/>
                <w:szCs w:val="21"/>
              </w:rPr>
              <w:t>评标价-评标基准价</w:t>
            </w:r>
          </w:p>
          <w:p w14:paraId="315678BE">
            <w:pPr>
              <w:numPr>
                <w:ilvl w:val="0"/>
                <w:numId w:val="12"/>
              </w:numPr>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商务部分</w:t>
            </w:r>
            <w:r>
              <w:rPr>
                <w:rFonts w:hint="eastAsia" w:ascii="宋体" w:hAnsi="宋体" w:cs="宋体"/>
                <w:color w:val="auto"/>
                <w:szCs w:val="21"/>
                <w:highlight w:val="none"/>
                <w:lang w:val="en-US" w:eastAsia="zh-CN"/>
              </w:rPr>
              <w:t>得分</w:t>
            </w:r>
            <w:r>
              <w:rPr>
                <w:rFonts w:hint="eastAsia" w:ascii="宋体" w:hAnsi="宋体" w:cs="宋体"/>
                <w:color w:val="auto"/>
                <w:szCs w:val="21"/>
                <w:highlight w:val="none"/>
              </w:rPr>
              <w:t>计算方法：</w:t>
            </w:r>
          </w:p>
          <w:p w14:paraId="2D9FDDE4">
            <w:pPr>
              <w:numPr>
                <w:ilvl w:val="-1"/>
                <w:numId w:val="0"/>
              </w:numPr>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投标人的评标价等于评标基准价时得</w:t>
            </w:r>
            <w:r>
              <w:rPr>
                <w:rFonts w:hint="eastAsia" w:ascii="宋体" w:hAnsi="宋体" w:cs="宋体"/>
                <w:color w:val="auto"/>
                <w:szCs w:val="21"/>
                <w:highlight w:val="none"/>
                <w:lang w:val="en-US" w:eastAsia="zh-CN"/>
              </w:rPr>
              <w:t>30</w:t>
            </w:r>
            <w:r>
              <w:rPr>
                <w:rFonts w:hint="eastAsia" w:ascii="宋体" w:hAnsi="宋体" w:cs="宋体"/>
                <w:color w:val="auto"/>
                <w:szCs w:val="21"/>
                <w:highlight w:val="none"/>
              </w:rPr>
              <w:t>分；</w:t>
            </w:r>
            <w:r>
              <w:rPr>
                <w:rFonts w:hint="eastAsia" w:ascii="宋体" w:hAnsi="宋体" w:cs="宋体"/>
                <w:sz w:val="21"/>
                <w:szCs w:val="21"/>
              </w:rPr>
              <w:t>评标价</w:t>
            </w:r>
            <w:r>
              <w:rPr>
                <w:rFonts w:hint="eastAsia" w:ascii="宋体" w:hAnsi="宋体" w:cs="宋体"/>
                <w:sz w:val="21"/>
                <w:szCs w:val="21"/>
                <w:lang w:val="en-US" w:eastAsia="zh-CN"/>
              </w:rPr>
              <w:t>与</w:t>
            </w:r>
            <w:r>
              <w:rPr>
                <w:rFonts w:hint="eastAsia" w:ascii="宋体" w:hAnsi="宋体" w:cs="宋体"/>
                <w:sz w:val="21"/>
                <w:szCs w:val="21"/>
              </w:rPr>
              <w:t>评标基准价</w:t>
            </w:r>
            <w:r>
              <w:rPr>
                <w:rFonts w:hint="eastAsia" w:ascii="宋体" w:hAnsi="宋体" w:cs="宋体"/>
                <w:sz w:val="21"/>
                <w:szCs w:val="21"/>
                <w:lang w:val="en-US" w:eastAsia="zh-CN"/>
              </w:rPr>
              <w:t>相比，</w:t>
            </w:r>
            <w:r>
              <w:rPr>
                <w:rFonts w:hint="eastAsia" w:ascii="宋体" w:hAnsi="宋体" w:cs="宋体"/>
                <w:sz w:val="21"/>
                <w:szCs w:val="21"/>
              </w:rPr>
              <w:t>每向上浮动</w:t>
            </w:r>
            <w:r>
              <w:rPr>
                <w:rFonts w:hint="eastAsia" w:ascii="宋体" w:hAnsi="宋体" w:cs="宋体"/>
                <w:sz w:val="21"/>
                <w:szCs w:val="21"/>
                <w:lang w:val="en-US" w:eastAsia="zh-CN"/>
              </w:rPr>
              <w:t>0.1%（差值）</w:t>
            </w:r>
            <w:r>
              <w:rPr>
                <w:rFonts w:hint="eastAsia" w:ascii="宋体" w:hAnsi="宋体" w:cs="宋体"/>
                <w:sz w:val="21"/>
                <w:szCs w:val="21"/>
              </w:rPr>
              <w:t>时扣</w:t>
            </w:r>
            <w:r>
              <w:rPr>
                <w:rFonts w:hint="eastAsia" w:ascii="宋体" w:hAnsi="宋体" w:cs="宋体"/>
                <w:sz w:val="21"/>
                <w:szCs w:val="21"/>
                <w:lang w:val="en-US" w:eastAsia="zh-CN"/>
              </w:rPr>
              <w:t>1</w:t>
            </w:r>
            <w:r>
              <w:rPr>
                <w:rFonts w:hint="eastAsia" w:ascii="宋体" w:hAnsi="宋体" w:cs="宋体"/>
                <w:sz w:val="21"/>
                <w:szCs w:val="21"/>
              </w:rPr>
              <w:t>分，分值扣完为止；每向下0.1%</w:t>
            </w:r>
            <w:r>
              <w:rPr>
                <w:rFonts w:hint="eastAsia" w:ascii="宋体" w:hAnsi="宋体" w:cs="宋体"/>
                <w:sz w:val="21"/>
                <w:szCs w:val="21"/>
                <w:lang w:val="en-US" w:eastAsia="zh-CN"/>
              </w:rPr>
              <w:t>（差值）</w:t>
            </w:r>
            <w:r>
              <w:rPr>
                <w:rFonts w:hint="eastAsia" w:ascii="宋体" w:hAnsi="宋体" w:cs="宋体"/>
                <w:sz w:val="21"/>
                <w:szCs w:val="21"/>
              </w:rPr>
              <w:t>时扣</w:t>
            </w:r>
            <w:r>
              <w:rPr>
                <w:rFonts w:hint="eastAsia" w:ascii="宋体" w:hAnsi="宋体" w:cs="宋体"/>
                <w:sz w:val="21"/>
                <w:szCs w:val="21"/>
                <w:lang w:val="en-US" w:eastAsia="zh-CN"/>
              </w:rPr>
              <w:t>0.5</w:t>
            </w:r>
            <w:r>
              <w:rPr>
                <w:rFonts w:hint="eastAsia" w:ascii="宋体" w:hAnsi="宋体" w:cs="宋体"/>
                <w:sz w:val="21"/>
                <w:szCs w:val="21"/>
              </w:rPr>
              <w:t>分，分值扣完为止（扣分值的中间值用插入法，小数点后保留两位）</w:t>
            </w:r>
            <w:r>
              <w:rPr>
                <w:rFonts w:hint="eastAsia" w:ascii="宋体" w:hAnsi="宋体" w:cs="宋体"/>
                <w:sz w:val="21"/>
                <w:szCs w:val="21"/>
                <w:lang w:eastAsia="zh-CN"/>
              </w:rPr>
              <w:t>。</w:t>
            </w:r>
          </w:p>
        </w:tc>
      </w:tr>
      <w:tr w14:paraId="6F03B8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39" w:type="dxa"/>
          <w:trHeight w:val="1646" w:hRule="atLeast"/>
          <w:jc w:val="center"/>
        </w:trPr>
        <w:tc>
          <w:tcPr>
            <w:tcW w:w="753" w:type="dxa"/>
            <w:vMerge w:val="restart"/>
            <w:vAlign w:val="center"/>
          </w:tcPr>
          <w:p w14:paraId="7C9A6336">
            <w:pPr>
              <w:autoSpaceDE w:val="0"/>
              <w:autoSpaceDN w:val="0"/>
              <w:adjustRightInd w:val="0"/>
              <w:jc w:val="center"/>
              <w:rPr>
                <w:rFonts w:hint="eastAsia" w:ascii="宋体" w:hAnsi="宋体" w:cs="宋体"/>
                <w:color w:val="auto"/>
                <w:szCs w:val="21"/>
                <w:highlight w:val="none"/>
              </w:rPr>
            </w:pPr>
            <w:r>
              <w:rPr>
                <w:rFonts w:hint="eastAsia" w:ascii="宋体" w:hAnsi="宋体" w:cs="宋体"/>
                <w:color w:val="auto"/>
                <w:szCs w:val="21"/>
                <w:highlight w:val="none"/>
              </w:rPr>
              <w:t>2.2.3</w:t>
            </w:r>
          </w:p>
        </w:tc>
        <w:tc>
          <w:tcPr>
            <w:tcW w:w="1408" w:type="dxa"/>
            <w:vMerge w:val="restart"/>
            <w:vAlign w:val="center"/>
          </w:tcPr>
          <w:p w14:paraId="276F036A">
            <w:pPr>
              <w:pStyle w:val="51"/>
              <w:spacing w:line="360" w:lineRule="auto"/>
              <w:jc w:val="center"/>
              <w:rPr>
                <w:rFonts w:hint="eastAsia" w:cs="宋体"/>
                <w:color w:val="auto"/>
                <w:kern w:val="2"/>
                <w:sz w:val="21"/>
                <w:szCs w:val="21"/>
                <w:highlight w:val="none"/>
              </w:rPr>
            </w:pPr>
            <w:r>
              <w:rPr>
                <w:rFonts w:hint="eastAsia" w:cs="宋体"/>
                <w:color w:val="auto"/>
                <w:kern w:val="2"/>
                <w:sz w:val="21"/>
                <w:szCs w:val="21"/>
                <w:highlight w:val="none"/>
              </w:rPr>
              <w:t>技术部分</w:t>
            </w:r>
          </w:p>
          <w:p w14:paraId="65B208A8">
            <w:pPr>
              <w:pStyle w:val="51"/>
              <w:spacing w:line="360" w:lineRule="auto"/>
              <w:jc w:val="center"/>
              <w:rPr>
                <w:rFonts w:hint="eastAsia" w:cs="宋体"/>
                <w:color w:val="auto"/>
                <w:kern w:val="2"/>
                <w:sz w:val="21"/>
                <w:szCs w:val="21"/>
                <w:highlight w:val="none"/>
              </w:rPr>
            </w:pPr>
            <w:r>
              <w:rPr>
                <w:rFonts w:hint="eastAsia" w:cs="宋体"/>
                <w:color w:val="auto"/>
                <w:kern w:val="2"/>
                <w:sz w:val="21"/>
                <w:szCs w:val="21"/>
                <w:highlight w:val="none"/>
              </w:rPr>
              <w:t>评审标准</w:t>
            </w:r>
          </w:p>
          <w:p w14:paraId="082B4DC6">
            <w:pPr>
              <w:pStyle w:val="51"/>
              <w:spacing w:line="360" w:lineRule="auto"/>
              <w:jc w:val="center"/>
              <w:rPr>
                <w:rFonts w:hint="eastAsia" w:cs="宋体"/>
                <w:b/>
                <w:color w:val="auto"/>
                <w:szCs w:val="21"/>
                <w:highlight w:val="none"/>
              </w:rPr>
            </w:pPr>
            <w:r>
              <w:rPr>
                <w:rFonts w:hint="eastAsia" w:cs="宋体"/>
                <w:color w:val="auto"/>
                <w:kern w:val="2"/>
                <w:sz w:val="21"/>
                <w:szCs w:val="21"/>
                <w:highlight w:val="none"/>
              </w:rPr>
              <w:t>（满分</w:t>
            </w:r>
            <w:r>
              <w:rPr>
                <w:rFonts w:hint="eastAsia" w:cs="宋体"/>
                <w:color w:val="auto"/>
                <w:kern w:val="2"/>
                <w:sz w:val="21"/>
                <w:szCs w:val="21"/>
                <w:highlight w:val="none"/>
                <w:lang w:val="en-US" w:eastAsia="zh-CN"/>
              </w:rPr>
              <w:t>7</w:t>
            </w:r>
            <w:r>
              <w:rPr>
                <w:rFonts w:hint="eastAsia" w:cs="宋体"/>
                <w:color w:val="auto"/>
                <w:kern w:val="2"/>
                <w:sz w:val="21"/>
                <w:szCs w:val="21"/>
                <w:highlight w:val="none"/>
              </w:rPr>
              <w:t>0分）</w:t>
            </w:r>
          </w:p>
        </w:tc>
        <w:tc>
          <w:tcPr>
            <w:tcW w:w="1741" w:type="dxa"/>
            <w:vAlign w:val="center"/>
          </w:tcPr>
          <w:p w14:paraId="06BF0CEC">
            <w:pPr>
              <w:widowControl/>
              <w:spacing w:line="360" w:lineRule="auto"/>
              <w:ind w:firstLine="0" w:firstLineChars="0"/>
              <w:jc w:val="center"/>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监理大纲</w:t>
            </w:r>
          </w:p>
          <w:p w14:paraId="2B984AD7">
            <w:pPr>
              <w:widowControl/>
              <w:spacing w:line="360" w:lineRule="auto"/>
              <w:ind w:firstLine="0" w:firstLineChars="0"/>
              <w:jc w:val="center"/>
              <w:textAlignment w:val="center"/>
              <w:rPr>
                <w:rFonts w:hint="eastAsia" w:ascii="宋体" w:hAnsi="宋体" w:cs="宋体"/>
                <w:color w:val="auto"/>
                <w:highlight w:val="none"/>
              </w:rPr>
            </w:pPr>
            <w:r>
              <w:rPr>
                <w:rFonts w:hint="eastAsia" w:ascii="宋体" w:hAnsi="宋体" w:eastAsia="宋体" w:cs="宋体"/>
                <w:color w:val="000000"/>
                <w:sz w:val="21"/>
                <w:szCs w:val="21"/>
                <w:highlight w:val="none"/>
                <w:lang w:eastAsia="zh-CN" w:bidi="ar"/>
              </w:rPr>
              <w:t>（</w:t>
            </w:r>
            <w:r>
              <w:rPr>
                <w:rFonts w:hint="eastAsia" w:ascii="宋体" w:hAnsi="宋体" w:eastAsia="宋体" w:cs="宋体"/>
                <w:color w:val="000000"/>
                <w:sz w:val="21"/>
                <w:szCs w:val="21"/>
                <w:highlight w:val="none"/>
                <w:lang w:val="en-US" w:eastAsia="zh-CN" w:bidi="ar"/>
              </w:rPr>
              <w:t>35</w:t>
            </w:r>
            <w:r>
              <w:rPr>
                <w:rFonts w:hint="eastAsia" w:ascii="宋体" w:hAnsi="宋体" w:eastAsia="宋体" w:cs="宋体"/>
                <w:color w:val="000000"/>
                <w:sz w:val="21"/>
                <w:szCs w:val="21"/>
                <w:highlight w:val="none"/>
                <w:lang w:bidi="ar"/>
              </w:rPr>
              <w:t>分）</w:t>
            </w:r>
          </w:p>
        </w:tc>
        <w:tc>
          <w:tcPr>
            <w:tcW w:w="5845" w:type="dxa"/>
            <w:vAlign w:val="center"/>
          </w:tcPr>
          <w:p w14:paraId="78C93676">
            <w:pPr>
              <w:snapToGrid w:val="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根据实施目标、实施计划、项目组织措施、技术保障措施等进行评审</w:t>
            </w:r>
            <w:r>
              <w:rPr>
                <w:rFonts w:hint="eastAsia" w:ascii="宋体" w:hAnsi="宋体" w:cs="宋体"/>
                <w:sz w:val="21"/>
                <w:szCs w:val="21"/>
                <w:highlight w:val="none"/>
                <w:lang w:eastAsia="zh-CN"/>
              </w:rPr>
              <w:t>。</w:t>
            </w:r>
          </w:p>
          <w:p w14:paraId="6B10F7A4">
            <w:pPr>
              <w:snapToGrid w:val="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第一档（</w:t>
            </w:r>
            <w:r>
              <w:rPr>
                <w:rFonts w:hint="eastAsia" w:ascii="宋体" w:hAnsi="宋体" w:eastAsia="宋体" w:cs="宋体"/>
                <w:sz w:val="21"/>
                <w:szCs w:val="21"/>
                <w:highlight w:val="none"/>
                <w:lang w:val="en-US" w:eastAsia="zh-CN"/>
              </w:rPr>
              <w:t>25</w:t>
            </w: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35</w:t>
            </w:r>
            <w:r>
              <w:rPr>
                <w:rFonts w:hint="eastAsia" w:ascii="宋体" w:hAnsi="宋体" w:eastAsia="宋体" w:cs="宋体"/>
                <w:sz w:val="21"/>
                <w:szCs w:val="21"/>
                <w:highlight w:val="none"/>
              </w:rPr>
              <w:t>分）：监理大纲编制详细，对实施目标描述准确，实施计划详细，项目组织措施、技术保障措施有针对性。</w:t>
            </w:r>
          </w:p>
          <w:p w14:paraId="2C64111C">
            <w:pPr>
              <w:snapToGrid w:val="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第二档（</w:t>
            </w:r>
            <w:r>
              <w:rPr>
                <w:rFonts w:hint="eastAsia" w:ascii="宋体" w:hAnsi="宋体" w:eastAsia="宋体" w:cs="宋体"/>
                <w:sz w:val="21"/>
                <w:szCs w:val="21"/>
                <w:highlight w:val="none"/>
                <w:lang w:val="en-US" w:eastAsia="zh-CN"/>
              </w:rPr>
              <w:t>15</w:t>
            </w: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24</w:t>
            </w:r>
            <w:r>
              <w:rPr>
                <w:rFonts w:hint="eastAsia" w:ascii="宋体" w:hAnsi="宋体" w:eastAsia="宋体" w:cs="宋体"/>
                <w:sz w:val="21"/>
                <w:szCs w:val="21"/>
                <w:highlight w:val="none"/>
              </w:rPr>
              <w:t>分）：监理大纲编制一般，对实施目标描述准确，实施计划简单，项目组织措施、技术保障措施针对性</w:t>
            </w:r>
            <w:r>
              <w:rPr>
                <w:rFonts w:hint="eastAsia" w:ascii="宋体" w:hAnsi="宋体" w:cs="宋体"/>
                <w:sz w:val="21"/>
                <w:szCs w:val="21"/>
                <w:highlight w:val="none"/>
                <w:lang w:val="en-US" w:eastAsia="zh-CN"/>
              </w:rPr>
              <w:t>一般</w:t>
            </w:r>
            <w:r>
              <w:rPr>
                <w:rFonts w:hint="eastAsia" w:ascii="宋体" w:hAnsi="宋体" w:eastAsia="宋体" w:cs="宋体"/>
                <w:sz w:val="21"/>
                <w:szCs w:val="21"/>
                <w:highlight w:val="none"/>
                <w:lang w:eastAsia="zh-CN"/>
              </w:rPr>
              <w:t>。</w:t>
            </w:r>
          </w:p>
          <w:p w14:paraId="3F8E173C">
            <w:pPr>
              <w:snapToGrid w:val="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第三档（</w:t>
            </w:r>
            <w:r>
              <w:rPr>
                <w:rFonts w:hint="eastAsia" w:ascii="宋体" w:hAnsi="宋体" w:eastAsia="宋体" w:cs="宋体"/>
                <w:sz w:val="21"/>
                <w:szCs w:val="21"/>
                <w:highlight w:val="none"/>
                <w:lang w:val="en-US" w:eastAsia="zh-CN"/>
              </w:rPr>
              <w:t>1</w:t>
            </w: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14</w:t>
            </w:r>
            <w:r>
              <w:rPr>
                <w:rFonts w:hint="eastAsia" w:ascii="宋体" w:hAnsi="宋体" w:eastAsia="宋体" w:cs="宋体"/>
                <w:sz w:val="21"/>
                <w:szCs w:val="21"/>
                <w:highlight w:val="none"/>
              </w:rPr>
              <w:t>分）：监理大纲编制较差，内容简单，基本满足项目要求。</w:t>
            </w:r>
          </w:p>
          <w:p w14:paraId="3CC32C7E">
            <w:pPr>
              <w:widowControl/>
              <w:spacing w:line="360" w:lineRule="auto"/>
              <w:textAlignment w:val="center"/>
              <w:rPr>
                <w:rFonts w:hint="eastAsia" w:ascii="宋体" w:hAnsi="宋体" w:cs="宋体"/>
                <w:color w:val="auto"/>
                <w:highlight w:val="none"/>
              </w:rPr>
            </w:pPr>
            <w:r>
              <w:rPr>
                <w:rFonts w:hint="eastAsia" w:ascii="宋体" w:hAnsi="宋体" w:eastAsia="宋体" w:cs="宋体"/>
                <w:sz w:val="21"/>
                <w:szCs w:val="21"/>
                <w:highlight w:val="none"/>
              </w:rPr>
              <w:t>无</w:t>
            </w:r>
            <w:r>
              <w:rPr>
                <w:rFonts w:hint="eastAsia" w:ascii="宋体" w:hAnsi="宋体" w:eastAsia="宋体" w:cs="宋体"/>
                <w:color w:val="000000"/>
                <w:sz w:val="21"/>
                <w:szCs w:val="21"/>
                <w:highlight w:val="none"/>
                <w:lang w:bidi="ar"/>
              </w:rPr>
              <w:t>监理大纲</w:t>
            </w:r>
            <w:r>
              <w:rPr>
                <w:rFonts w:hint="eastAsia" w:ascii="宋体" w:hAnsi="宋体" w:eastAsia="宋体" w:cs="宋体"/>
                <w:sz w:val="21"/>
                <w:szCs w:val="21"/>
                <w:highlight w:val="none"/>
              </w:rPr>
              <w:t>的得0分。</w:t>
            </w:r>
          </w:p>
        </w:tc>
      </w:tr>
      <w:tr w14:paraId="78B53A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39" w:type="dxa"/>
          <w:trHeight w:val="868" w:hRule="atLeast"/>
          <w:jc w:val="center"/>
        </w:trPr>
        <w:tc>
          <w:tcPr>
            <w:tcW w:w="753" w:type="dxa"/>
            <w:vMerge w:val="continue"/>
            <w:vAlign w:val="center"/>
          </w:tcPr>
          <w:p w14:paraId="3BB886DA">
            <w:pPr>
              <w:autoSpaceDE w:val="0"/>
              <w:autoSpaceDN w:val="0"/>
              <w:adjustRightInd w:val="0"/>
              <w:jc w:val="center"/>
              <w:rPr>
                <w:rFonts w:hint="eastAsia" w:ascii="宋体" w:hAnsi="宋体" w:cs="宋体"/>
                <w:color w:val="auto"/>
                <w:szCs w:val="21"/>
                <w:highlight w:val="none"/>
              </w:rPr>
            </w:pPr>
          </w:p>
        </w:tc>
        <w:tc>
          <w:tcPr>
            <w:tcW w:w="1408" w:type="dxa"/>
            <w:vMerge w:val="continue"/>
            <w:vAlign w:val="center"/>
          </w:tcPr>
          <w:p w14:paraId="142AC118">
            <w:pPr>
              <w:pStyle w:val="51"/>
              <w:spacing w:line="360" w:lineRule="auto"/>
              <w:jc w:val="center"/>
              <w:rPr>
                <w:rFonts w:hint="eastAsia" w:cs="宋体"/>
                <w:color w:val="auto"/>
                <w:kern w:val="2"/>
                <w:sz w:val="21"/>
                <w:szCs w:val="21"/>
                <w:highlight w:val="none"/>
              </w:rPr>
            </w:pPr>
          </w:p>
        </w:tc>
        <w:tc>
          <w:tcPr>
            <w:tcW w:w="1741" w:type="dxa"/>
            <w:vAlign w:val="center"/>
          </w:tcPr>
          <w:p w14:paraId="7C04E2DC">
            <w:pPr>
              <w:widowControl/>
              <w:spacing w:line="360" w:lineRule="auto"/>
              <w:ind w:firstLine="0" w:firstLineChars="0"/>
              <w:jc w:val="center"/>
              <w:textAlignment w:val="center"/>
              <w:rPr>
                <w:rFonts w:hint="eastAsia" w:ascii="宋体" w:hAnsi="宋体" w:eastAsia="宋体" w:cs="宋体"/>
                <w:b w:val="0"/>
                <w:bCs/>
                <w:color w:val="auto"/>
                <w:sz w:val="21"/>
                <w:szCs w:val="21"/>
                <w:highlight w:val="none"/>
                <w:lang w:eastAsia="zh-CN"/>
              </w:rPr>
            </w:pPr>
            <w:r>
              <w:rPr>
                <w:rFonts w:hint="eastAsia" w:ascii="宋体" w:hAnsi="宋体" w:eastAsia="宋体" w:cs="宋体"/>
                <w:color w:val="auto"/>
                <w:sz w:val="21"/>
                <w:szCs w:val="21"/>
                <w:highlight w:val="none"/>
                <w:lang w:val="en-US" w:eastAsia="zh-CN"/>
              </w:rPr>
              <w:t>监理</w:t>
            </w:r>
            <w:r>
              <w:rPr>
                <w:rFonts w:hint="eastAsia" w:ascii="宋体" w:hAnsi="宋体" w:eastAsia="宋体"/>
                <w:color w:val="auto"/>
                <w:sz w:val="21"/>
                <w:szCs w:val="21"/>
                <w:highlight w:val="none"/>
              </w:rPr>
              <w:t>工作重点、难点分析</w:t>
            </w:r>
          </w:p>
          <w:p w14:paraId="59433894">
            <w:pPr>
              <w:widowControl/>
              <w:spacing w:line="360" w:lineRule="auto"/>
              <w:ind w:firstLine="0" w:firstLineChars="0"/>
              <w:jc w:val="both"/>
              <w:textAlignment w:val="center"/>
              <w:rPr>
                <w:rFonts w:hint="eastAsia" w:ascii="宋体" w:hAnsi="宋体" w:cs="宋体"/>
                <w:color w:val="auto"/>
                <w:szCs w:val="21"/>
                <w:highlight w:val="none"/>
              </w:rPr>
            </w:pPr>
            <w:r>
              <w:rPr>
                <w:rFonts w:hint="eastAsia" w:ascii="宋体" w:hAnsi="宋体" w:eastAsia="宋体" w:cs="宋体"/>
                <w:b w:val="0"/>
                <w:bCs/>
                <w:color w:val="auto"/>
                <w:sz w:val="21"/>
                <w:szCs w:val="21"/>
                <w:highlight w:val="none"/>
                <w:lang w:eastAsia="zh-CN"/>
              </w:rPr>
              <w:t>（</w:t>
            </w:r>
            <w:r>
              <w:rPr>
                <w:rFonts w:hint="eastAsia" w:ascii="宋体" w:hAnsi="宋体" w:eastAsia="宋体" w:cs="宋体"/>
                <w:b w:val="0"/>
                <w:bCs/>
                <w:color w:val="auto"/>
                <w:sz w:val="21"/>
                <w:szCs w:val="21"/>
                <w:highlight w:val="none"/>
                <w:lang w:val="en-US" w:eastAsia="zh-CN"/>
              </w:rPr>
              <w:t>10</w:t>
            </w:r>
            <w:r>
              <w:rPr>
                <w:rFonts w:hint="eastAsia" w:ascii="宋体" w:hAnsi="宋体" w:eastAsia="宋体" w:cs="宋体"/>
                <w:b w:val="0"/>
                <w:bCs/>
                <w:color w:val="auto"/>
                <w:sz w:val="21"/>
                <w:szCs w:val="21"/>
                <w:highlight w:val="none"/>
                <w:lang w:eastAsia="zh-CN"/>
              </w:rPr>
              <w:t>分）</w:t>
            </w:r>
          </w:p>
        </w:tc>
        <w:tc>
          <w:tcPr>
            <w:tcW w:w="5845" w:type="dxa"/>
            <w:vAlign w:val="center"/>
          </w:tcPr>
          <w:p w14:paraId="37AF1440">
            <w:pPr>
              <w:widowControl/>
              <w:spacing w:line="360" w:lineRule="auto"/>
              <w:textAlignment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投标人根据自身的经验</w:t>
            </w:r>
            <w:r>
              <w:rPr>
                <w:rFonts w:hint="eastAsia" w:ascii="宋体" w:hAnsi="宋体" w:eastAsia="宋体" w:cs="宋体"/>
                <w:color w:val="auto"/>
                <w:sz w:val="21"/>
                <w:szCs w:val="21"/>
                <w:highlight w:val="none"/>
                <w:lang w:val="en-US" w:eastAsia="zh-CN"/>
              </w:rPr>
              <w:t>及项目情况</w:t>
            </w:r>
            <w:r>
              <w:rPr>
                <w:rFonts w:hint="eastAsia" w:ascii="宋体" w:hAnsi="宋体" w:eastAsia="宋体" w:cs="宋体"/>
                <w:color w:val="auto"/>
                <w:sz w:val="21"/>
                <w:szCs w:val="21"/>
                <w:highlight w:val="none"/>
                <w:lang w:eastAsia="zh-CN"/>
              </w:rPr>
              <w:t>，阐述对本项目的理解，</w:t>
            </w:r>
            <w:r>
              <w:rPr>
                <w:rFonts w:hint="eastAsia" w:ascii="宋体" w:hAnsi="宋体" w:cs="宋体"/>
                <w:color w:val="auto"/>
                <w:sz w:val="21"/>
                <w:szCs w:val="21"/>
                <w:highlight w:val="none"/>
                <w:lang w:val="en-US" w:eastAsia="zh-CN"/>
              </w:rPr>
              <w:t>及</w:t>
            </w:r>
            <w:r>
              <w:rPr>
                <w:rFonts w:hint="eastAsia" w:ascii="宋体" w:hAnsi="宋体" w:eastAsia="宋体" w:cs="宋体"/>
                <w:color w:val="auto"/>
                <w:sz w:val="21"/>
                <w:szCs w:val="21"/>
                <w:highlight w:val="none"/>
                <w:lang w:eastAsia="zh-CN"/>
              </w:rPr>
              <w:t>项目的重点、难点。通过横向比较进行评审。</w:t>
            </w:r>
          </w:p>
          <w:p w14:paraId="6B3C4E8B">
            <w:pPr>
              <w:widowControl/>
              <w:spacing w:line="360" w:lineRule="auto"/>
              <w:textAlignment w:val="center"/>
              <w:rPr>
                <w:rFonts w:hint="eastAsia" w:ascii="宋体" w:hAnsi="宋体" w:eastAsia="宋体" w:cs="宋体"/>
                <w:color w:val="auto"/>
                <w:sz w:val="21"/>
                <w:szCs w:val="21"/>
                <w:highlight w:val="none"/>
                <w:lang w:eastAsia="zh-CN"/>
              </w:rPr>
            </w:pPr>
            <w:r>
              <w:rPr>
                <w:rFonts w:hint="eastAsia" w:ascii="宋体" w:hAnsi="宋体" w:eastAsia="宋体" w:cs="宋体"/>
                <w:sz w:val="21"/>
                <w:szCs w:val="21"/>
                <w:highlight w:val="none"/>
              </w:rPr>
              <w:t>第一档（</w:t>
            </w:r>
            <w:r>
              <w:rPr>
                <w:rFonts w:hint="eastAsia" w:ascii="宋体" w:hAnsi="宋体" w:eastAsia="宋体" w:cs="宋体"/>
                <w:sz w:val="21"/>
                <w:szCs w:val="21"/>
                <w:highlight w:val="none"/>
                <w:lang w:val="en-US" w:eastAsia="zh-CN"/>
              </w:rPr>
              <w:t>8</w:t>
            </w: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10</w:t>
            </w:r>
            <w:r>
              <w:rPr>
                <w:rFonts w:hint="eastAsia" w:ascii="宋体" w:hAnsi="宋体" w:eastAsia="宋体" w:cs="宋体"/>
                <w:sz w:val="21"/>
                <w:szCs w:val="21"/>
                <w:highlight w:val="none"/>
              </w:rPr>
              <w:t>分）</w:t>
            </w:r>
            <w:r>
              <w:rPr>
                <w:rFonts w:hint="eastAsia" w:ascii="宋体" w:hAnsi="宋体" w:eastAsia="宋体" w:cs="宋体"/>
                <w:sz w:val="21"/>
                <w:szCs w:val="21"/>
                <w:highlight w:val="none"/>
                <w:lang w:eastAsia="zh-CN"/>
              </w:rPr>
              <w:t>：</w:t>
            </w:r>
            <w:r>
              <w:rPr>
                <w:rFonts w:hint="eastAsia" w:ascii="宋体" w:hAnsi="宋体" w:eastAsia="宋体" w:cs="宋体"/>
                <w:color w:val="auto"/>
                <w:sz w:val="21"/>
                <w:szCs w:val="21"/>
                <w:highlight w:val="none"/>
                <w:lang w:eastAsia="zh-CN"/>
              </w:rPr>
              <w:t>投标人对本项目理解深刻，重点、难点分析到位，符合本项目实际情况，针对性强。</w:t>
            </w:r>
          </w:p>
          <w:p w14:paraId="79A9E5BD">
            <w:pPr>
              <w:widowControl/>
              <w:spacing w:line="360" w:lineRule="auto"/>
              <w:textAlignment w:val="center"/>
              <w:rPr>
                <w:rFonts w:hint="eastAsia" w:ascii="宋体" w:hAnsi="宋体" w:eastAsia="宋体" w:cs="宋体"/>
                <w:color w:val="auto"/>
                <w:sz w:val="21"/>
                <w:szCs w:val="21"/>
                <w:highlight w:val="none"/>
                <w:lang w:eastAsia="zh-CN"/>
              </w:rPr>
            </w:pPr>
            <w:r>
              <w:rPr>
                <w:rFonts w:hint="eastAsia" w:ascii="宋体" w:hAnsi="宋体" w:eastAsia="宋体" w:cs="宋体"/>
                <w:sz w:val="21"/>
                <w:szCs w:val="21"/>
                <w:highlight w:val="none"/>
              </w:rPr>
              <w:t>第</w:t>
            </w:r>
            <w:r>
              <w:rPr>
                <w:rFonts w:hint="eastAsia" w:ascii="宋体" w:hAnsi="宋体" w:eastAsia="宋体" w:cs="宋体"/>
                <w:sz w:val="21"/>
                <w:szCs w:val="21"/>
                <w:highlight w:val="none"/>
                <w:lang w:eastAsia="zh-CN"/>
              </w:rPr>
              <w:t>二</w:t>
            </w:r>
            <w:r>
              <w:rPr>
                <w:rFonts w:hint="eastAsia" w:ascii="宋体" w:hAnsi="宋体" w:eastAsia="宋体" w:cs="宋体"/>
                <w:sz w:val="21"/>
                <w:szCs w:val="21"/>
                <w:highlight w:val="none"/>
              </w:rPr>
              <w:t>档（</w:t>
            </w:r>
            <w:r>
              <w:rPr>
                <w:rFonts w:hint="eastAsia" w:ascii="宋体" w:hAnsi="宋体" w:eastAsia="宋体" w:cs="宋体"/>
                <w:sz w:val="21"/>
                <w:szCs w:val="21"/>
                <w:highlight w:val="none"/>
                <w:lang w:val="en-US" w:eastAsia="zh-CN"/>
              </w:rPr>
              <w:t>4</w:t>
            </w: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7</w:t>
            </w:r>
            <w:r>
              <w:rPr>
                <w:rFonts w:hint="eastAsia" w:ascii="宋体" w:hAnsi="宋体" w:eastAsia="宋体" w:cs="宋体"/>
                <w:sz w:val="21"/>
                <w:szCs w:val="21"/>
                <w:highlight w:val="none"/>
              </w:rPr>
              <w:t>分）</w:t>
            </w:r>
            <w:r>
              <w:rPr>
                <w:rFonts w:hint="eastAsia" w:ascii="宋体" w:hAnsi="宋体" w:eastAsia="宋体" w:cs="宋体"/>
                <w:sz w:val="21"/>
                <w:szCs w:val="21"/>
                <w:highlight w:val="none"/>
                <w:lang w:eastAsia="zh-CN"/>
              </w:rPr>
              <w:t>：</w:t>
            </w:r>
            <w:r>
              <w:rPr>
                <w:rFonts w:hint="eastAsia" w:ascii="宋体" w:hAnsi="宋体" w:eastAsia="宋体" w:cs="宋体"/>
                <w:color w:val="auto"/>
                <w:sz w:val="21"/>
                <w:szCs w:val="21"/>
                <w:highlight w:val="none"/>
                <w:lang w:eastAsia="zh-CN"/>
              </w:rPr>
              <w:t>投标人对本项目有一定的理解，重点、难点分析基本到位，针对性一般。</w:t>
            </w:r>
          </w:p>
          <w:p w14:paraId="27AD5CA0">
            <w:pPr>
              <w:widowControl/>
              <w:spacing w:line="360" w:lineRule="auto"/>
              <w:textAlignment w:val="center"/>
              <w:rPr>
                <w:rFonts w:hint="eastAsia" w:ascii="宋体" w:hAnsi="宋体" w:eastAsia="宋体" w:cs="宋体"/>
                <w:color w:val="auto"/>
                <w:sz w:val="21"/>
                <w:szCs w:val="21"/>
                <w:highlight w:val="none"/>
                <w:lang w:eastAsia="zh-CN"/>
              </w:rPr>
            </w:pPr>
            <w:r>
              <w:rPr>
                <w:rFonts w:hint="eastAsia" w:ascii="宋体" w:hAnsi="宋体" w:eastAsia="宋体" w:cs="宋体"/>
                <w:sz w:val="21"/>
                <w:szCs w:val="21"/>
                <w:highlight w:val="none"/>
              </w:rPr>
              <w:t>第</w:t>
            </w:r>
            <w:r>
              <w:rPr>
                <w:rFonts w:hint="eastAsia" w:ascii="宋体" w:hAnsi="宋体" w:eastAsia="宋体" w:cs="宋体"/>
                <w:sz w:val="21"/>
                <w:szCs w:val="21"/>
                <w:highlight w:val="none"/>
                <w:lang w:eastAsia="zh-CN"/>
              </w:rPr>
              <w:t>三</w:t>
            </w:r>
            <w:r>
              <w:rPr>
                <w:rFonts w:hint="eastAsia" w:ascii="宋体" w:hAnsi="宋体" w:eastAsia="宋体" w:cs="宋体"/>
                <w:sz w:val="21"/>
                <w:szCs w:val="21"/>
                <w:highlight w:val="none"/>
              </w:rPr>
              <w:t>档（</w:t>
            </w:r>
            <w:r>
              <w:rPr>
                <w:rFonts w:hint="eastAsia" w:ascii="宋体" w:hAnsi="宋体" w:eastAsia="宋体" w:cs="宋体"/>
                <w:sz w:val="21"/>
                <w:szCs w:val="21"/>
                <w:highlight w:val="none"/>
                <w:lang w:val="en-US" w:eastAsia="zh-CN"/>
              </w:rPr>
              <w:t>1</w:t>
            </w: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分）</w:t>
            </w:r>
            <w:r>
              <w:rPr>
                <w:rFonts w:hint="eastAsia" w:ascii="宋体" w:hAnsi="宋体" w:eastAsia="宋体" w:cs="宋体"/>
                <w:color w:val="auto"/>
                <w:sz w:val="21"/>
                <w:szCs w:val="21"/>
                <w:highlight w:val="none"/>
                <w:lang w:eastAsia="zh-CN"/>
              </w:rPr>
              <w:t>：投标人对本项目理解较差，重点、难点分析差，针对性差。</w:t>
            </w:r>
          </w:p>
          <w:p w14:paraId="4F2CFCBD">
            <w:pPr>
              <w:widowControl/>
              <w:spacing w:line="360" w:lineRule="auto"/>
              <w:textAlignment w:val="center"/>
              <w:rPr>
                <w:rFonts w:hint="eastAsia" w:ascii="宋体" w:hAnsi="宋体" w:cs="宋体"/>
                <w:color w:val="auto"/>
                <w:szCs w:val="21"/>
                <w:highlight w:val="none"/>
                <w:lang w:val="en-US"/>
              </w:rPr>
            </w:pPr>
            <w:r>
              <w:rPr>
                <w:rFonts w:hint="eastAsia" w:ascii="宋体" w:hAnsi="宋体" w:eastAsia="宋体" w:cs="宋体"/>
                <w:color w:val="auto"/>
                <w:sz w:val="21"/>
                <w:szCs w:val="21"/>
                <w:highlight w:val="none"/>
                <w:lang w:eastAsia="zh-CN"/>
              </w:rPr>
              <w:t>无监理工作重点、难点分析的得0分。</w:t>
            </w:r>
          </w:p>
        </w:tc>
      </w:tr>
      <w:tr w14:paraId="137DB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39" w:type="dxa"/>
          <w:trHeight w:val="969" w:hRule="atLeast"/>
          <w:jc w:val="center"/>
        </w:trPr>
        <w:tc>
          <w:tcPr>
            <w:tcW w:w="753" w:type="dxa"/>
            <w:vMerge w:val="continue"/>
            <w:vAlign w:val="center"/>
          </w:tcPr>
          <w:p w14:paraId="63B13BC9">
            <w:pPr>
              <w:autoSpaceDE w:val="0"/>
              <w:autoSpaceDN w:val="0"/>
              <w:adjustRightInd w:val="0"/>
              <w:jc w:val="center"/>
              <w:rPr>
                <w:rFonts w:hint="eastAsia" w:ascii="宋体" w:hAnsi="宋体" w:cs="宋体"/>
                <w:color w:val="auto"/>
                <w:szCs w:val="21"/>
                <w:highlight w:val="none"/>
              </w:rPr>
            </w:pPr>
          </w:p>
        </w:tc>
        <w:tc>
          <w:tcPr>
            <w:tcW w:w="1408" w:type="dxa"/>
            <w:vMerge w:val="continue"/>
            <w:vAlign w:val="center"/>
          </w:tcPr>
          <w:p w14:paraId="6917EAF4">
            <w:pPr>
              <w:pStyle w:val="51"/>
              <w:spacing w:line="360" w:lineRule="auto"/>
              <w:jc w:val="center"/>
              <w:rPr>
                <w:rFonts w:hint="eastAsia" w:cs="宋体"/>
                <w:color w:val="auto"/>
                <w:kern w:val="2"/>
                <w:sz w:val="21"/>
                <w:szCs w:val="21"/>
                <w:highlight w:val="none"/>
              </w:rPr>
            </w:pPr>
          </w:p>
        </w:tc>
        <w:tc>
          <w:tcPr>
            <w:tcW w:w="1741" w:type="dxa"/>
            <w:vAlign w:val="center"/>
          </w:tcPr>
          <w:p w14:paraId="4C84DD27">
            <w:pPr>
              <w:widowControl/>
              <w:spacing w:line="360" w:lineRule="auto"/>
              <w:ind w:firstLine="0" w:firstLineChars="0"/>
              <w:jc w:val="center"/>
              <w:textAlignment w:val="center"/>
              <w:rPr>
                <w:rFonts w:hint="eastAsia" w:ascii="宋体" w:hAnsi="宋体" w:eastAsia="宋体"/>
                <w:sz w:val="21"/>
                <w:szCs w:val="21"/>
                <w:highlight w:val="none"/>
              </w:rPr>
            </w:pPr>
            <w:r>
              <w:rPr>
                <w:rFonts w:hint="eastAsia" w:ascii="宋体" w:hAnsi="宋体" w:eastAsia="宋体"/>
                <w:sz w:val="21"/>
                <w:szCs w:val="21"/>
                <w:highlight w:val="none"/>
              </w:rPr>
              <w:t>拟投入项目团队组成</w:t>
            </w:r>
          </w:p>
          <w:p w14:paraId="1C532447">
            <w:pPr>
              <w:widowControl/>
              <w:spacing w:line="360" w:lineRule="auto"/>
              <w:ind w:firstLine="0" w:firstLineChars="0"/>
              <w:jc w:val="center"/>
              <w:textAlignment w:val="center"/>
              <w:rPr>
                <w:rFonts w:hint="eastAsia" w:ascii="宋体" w:hAnsi="宋体" w:cs="宋体"/>
                <w:color w:val="auto"/>
                <w:highlight w:val="none"/>
              </w:rPr>
            </w:pPr>
            <w:r>
              <w:rPr>
                <w:rFonts w:hint="eastAsia" w:ascii="宋体" w:hAnsi="宋体" w:eastAsia="宋体"/>
                <w:sz w:val="21"/>
                <w:szCs w:val="21"/>
                <w:highlight w:val="none"/>
              </w:rPr>
              <w:t>（</w:t>
            </w:r>
            <w:r>
              <w:rPr>
                <w:rFonts w:hint="eastAsia" w:ascii="宋体" w:hAnsi="宋体" w:eastAsia="宋体"/>
                <w:sz w:val="21"/>
                <w:szCs w:val="21"/>
                <w:highlight w:val="none"/>
                <w:lang w:val="en-US" w:eastAsia="zh-CN"/>
              </w:rPr>
              <w:t>10</w:t>
            </w:r>
            <w:r>
              <w:rPr>
                <w:rFonts w:hint="eastAsia" w:ascii="宋体" w:hAnsi="宋体" w:eastAsia="宋体"/>
                <w:sz w:val="21"/>
                <w:szCs w:val="21"/>
                <w:highlight w:val="none"/>
              </w:rPr>
              <w:t>分）</w:t>
            </w:r>
          </w:p>
        </w:tc>
        <w:tc>
          <w:tcPr>
            <w:tcW w:w="5845" w:type="dxa"/>
            <w:vAlign w:val="center"/>
          </w:tcPr>
          <w:p w14:paraId="60B158C5">
            <w:pPr>
              <w:snapToGrid w:val="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第一档（</w:t>
            </w:r>
            <w:r>
              <w:rPr>
                <w:rFonts w:hint="eastAsia" w:ascii="宋体" w:hAnsi="宋体" w:eastAsia="宋体" w:cs="宋体"/>
                <w:sz w:val="21"/>
                <w:szCs w:val="21"/>
                <w:highlight w:val="none"/>
                <w:lang w:val="en-US" w:eastAsia="zh-CN"/>
              </w:rPr>
              <w:t>8</w:t>
            </w: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10</w:t>
            </w:r>
            <w:r>
              <w:rPr>
                <w:rFonts w:hint="eastAsia" w:ascii="宋体" w:hAnsi="宋体" w:eastAsia="宋体" w:cs="宋体"/>
                <w:sz w:val="21"/>
                <w:szCs w:val="21"/>
                <w:highlight w:val="none"/>
              </w:rPr>
              <w:t>分）：项目实施人员针对本项目实际情况配置合理，满足项目需要且有针对性，配置人员数量、专业构成、人员素质优。</w:t>
            </w:r>
          </w:p>
          <w:p w14:paraId="51548FEA">
            <w:pPr>
              <w:snapToGrid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第二档（</w:t>
            </w:r>
            <w:r>
              <w:rPr>
                <w:rFonts w:hint="eastAsia" w:ascii="宋体" w:hAnsi="宋体" w:eastAsia="宋体" w:cs="宋体"/>
                <w:sz w:val="21"/>
                <w:szCs w:val="21"/>
                <w:highlight w:val="none"/>
                <w:lang w:val="en-US" w:eastAsia="zh-CN"/>
              </w:rPr>
              <w:t>4</w:t>
            </w: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7</w:t>
            </w:r>
            <w:r>
              <w:rPr>
                <w:rFonts w:hint="eastAsia" w:ascii="宋体" w:hAnsi="宋体" w:eastAsia="宋体" w:cs="宋体"/>
                <w:sz w:val="21"/>
                <w:szCs w:val="21"/>
                <w:highlight w:val="none"/>
              </w:rPr>
              <w:t>分）：项目实施人员配置</w:t>
            </w:r>
            <w:r>
              <w:rPr>
                <w:rFonts w:hint="eastAsia" w:ascii="宋体" w:hAnsi="宋体" w:eastAsia="宋体" w:cs="宋体"/>
                <w:sz w:val="21"/>
                <w:szCs w:val="21"/>
                <w:highlight w:val="none"/>
                <w:lang w:val="en-US" w:eastAsia="zh-CN"/>
              </w:rPr>
              <w:t>基本</w:t>
            </w:r>
            <w:r>
              <w:rPr>
                <w:rFonts w:hint="eastAsia" w:ascii="宋体" w:hAnsi="宋体" w:eastAsia="宋体" w:cs="宋体"/>
                <w:sz w:val="21"/>
                <w:szCs w:val="21"/>
                <w:highlight w:val="none"/>
              </w:rPr>
              <w:t>合理，</w:t>
            </w:r>
            <w:r>
              <w:rPr>
                <w:rFonts w:hint="eastAsia" w:ascii="宋体" w:hAnsi="宋体" w:eastAsia="宋体" w:cs="宋体"/>
                <w:sz w:val="21"/>
                <w:szCs w:val="21"/>
                <w:highlight w:val="none"/>
                <w:lang w:val="en-US" w:eastAsia="zh-CN"/>
              </w:rPr>
              <w:t>基本</w:t>
            </w:r>
            <w:r>
              <w:rPr>
                <w:rFonts w:hint="eastAsia" w:ascii="宋体" w:hAnsi="宋体" w:eastAsia="宋体" w:cs="宋体"/>
                <w:sz w:val="21"/>
                <w:szCs w:val="21"/>
                <w:highlight w:val="none"/>
              </w:rPr>
              <w:t>满足项目需要</w:t>
            </w:r>
            <w:r>
              <w:rPr>
                <w:rFonts w:hint="eastAsia" w:ascii="宋体" w:hAnsi="宋体" w:eastAsia="宋体" w:cs="宋体"/>
                <w:sz w:val="21"/>
                <w:szCs w:val="21"/>
                <w:highlight w:val="none"/>
                <w:lang w:val="en-US" w:eastAsia="zh-CN"/>
              </w:rPr>
              <w:t>但</w:t>
            </w:r>
            <w:r>
              <w:rPr>
                <w:rFonts w:hint="eastAsia" w:ascii="宋体" w:hAnsi="宋体" w:eastAsia="宋体" w:cs="宋体"/>
                <w:sz w:val="21"/>
                <w:szCs w:val="21"/>
                <w:highlight w:val="none"/>
              </w:rPr>
              <w:t>针对性</w:t>
            </w:r>
            <w:r>
              <w:rPr>
                <w:rFonts w:hint="eastAsia" w:ascii="宋体" w:hAnsi="宋体" w:eastAsia="宋体" w:cs="宋体"/>
                <w:sz w:val="21"/>
                <w:szCs w:val="21"/>
                <w:highlight w:val="none"/>
                <w:lang w:val="en-US" w:eastAsia="zh-CN"/>
              </w:rPr>
              <w:t>一般</w:t>
            </w:r>
            <w:r>
              <w:rPr>
                <w:rFonts w:hint="eastAsia" w:ascii="宋体" w:hAnsi="宋体" w:eastAsia="宋体" w:cs="宋体"/>
                <w:sz w:val="21"/>
                <w:szCs w:val="21"/>
                <w:highlight w:val="none"/>
              </w:rPr>
              <w:t>，配置人员数量、专业构成、人员素质</w:t>
            </w:r>
            <w:r>
              <w:rPr>
                <w:rFonts w:hint="eastAsia" w:ascii="宋体" w:hAnsi="宋体" w:eastAsia="宋体" w:cs="宋体"/>
                <w:sz w:val="21"/>
                <w:szCs w:val="21"/>
                <w:highlight w:val="none"/>
                <w:lang w:val="en-US" w:eastAsia="zh-CN"/>
              </w:rPr>
              <w:t>一般</w:t>
            </w:r>
            <w:r>
              <w:rPr>
                <w:rFonts w:hint="eastAsia" w:ascii="宋体" w:hAnsi="宋体" w:eastAsia="宋体" w:cs="宋体"/>
                <w:sz w:val="21"/>
                <w:szCs w:val="21"/>
                <w:highlight w:val="none"/>
              </w:rPr>
              <w:t>。</w:t>
            </w:r>
          </w:p>
          <w:p w14:paraId="29378B9E">
            <w:pPr>
              <w:snapToGrid w:val="0"/>
              <w:spacing w:line="360" w:lineRule="auto"/>
              <w:rPr>
                <w:rFonts w:hint="eastAsia" w:ascii="宋体" w:hAnsi="宋体" w:cs="宋体"/>
                <w:color w:val="auto"/>
                <w:highlight w:val="none"/>
              </w:rPr>
            </w:pPr>
            <w:r>
              <w:rPr>
                <w:rFonts w:hint="eastAsia" w:ascii="宋体" w:hAnsi="宋体" w:eastAsia="宋体" w:cs="宋体"/>
                <w:sz w:val="21"/>
                <w:szCs w:val="21"/>
                <w:highlight w:val="none"/>
              </w:rPr>
              <w:t>第三档（1～</w:t>
            </w: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分）：项目实施人员配置基本合理，基本满足项目需要</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配置人员数量、专业构成、人员素质</w:t>
            </w:r>
            <w:r>
              <w:rPr>
                <w:rFonts w:hint="eastAsia" w:ascii="宋体" w:hAnsi="宋体" w:eastAsia="宋体" w:cs="宋体"/>
                <w:sz w:val="21"/>
                <w:szCs w:val="21"/>
                <w:highlight w:val="none"/>
                <w:lang w:val="en-US" w:eastAsia="zh-CN"/>
              </w:rPr>
              <w:t>较差。</w:t>
            </w:r>
          </w:p>
        </w:tc>
      </w:tr>
      <w:tr w14:paraId="398403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39" w:type="dxa"/>
          <w:trHeight w:val="367" w:hRule="atLeast"/>
          <w:jc w:val="center"/>
        </w:trPr>
        <w:tc>
          <w:tcPr>
            <w:tcW w:w="753" w:type="dxa"/>
            <w:vMerge w:val="continue"/>
            <w:vAlign w:val="center"/>
          </w:tcPr>
          <w:p w14:paraId="001B7AA5">
            <w:pPr>
              <w:autoSpaceDE w:val="0"/>
              <w:autoSpaceDN w:val="0"/>
              <w:adjustRightInd w:val="0"/>
              <w:jc w:val="center"/>
              <w:rPr>
                <w:rFonts w:hint="eastAsia" w:ascii="宋体" w:hAnsi="宋体" w:cs="宋体"/>
                <w:color w:val="auto"/>
                <w:szCs w:val="21"/>
                <w:highlight w:val="none"/>
              </w:rPr>
            </w:pPr>
          </w:p>
        </w:tc>
        <w:tc>
          <w:tcPr>
            <w:tcW w:w="1408" w:type="dxa"/>
            <w:vMerge w:val="continue"/>
            <w:vAlign w:val="center"/>
          </w:tcPr>
          <w:p w14:paraId="0DF197BD">
            <w:pPr>
              <w:pStyle w:val="51"/>
              <w:spacing w:line="360" w:lineRule="auto"/>
              <w:jc w:val="center"/>
              <w:rPr>
                <w:rFonts w:hint="eastAsia" w:cs="宋体"/>
                <w:color w:val="auto"/>
                <w:kern w:val="2"/>
                <w:sz w:val="21"/>
                <w:szCs w:val="21"/>
                <w:highlight w:val="none"/>
              </w:rPr>
            </w:pPr>
          </w:p>
        </w:tc>
        <w:tc>
          <w:tcPr>
            <w:tcW w:w="1741" w:type="dxa"/>
            <w:vAlign w:val="center"/>
          </w:tcPr>
          <w:p w14:paraId="7EA027A4">
            <w:pPr>
              <w:pStyle w:val="56"/>
              <w:widowControl/>
              <w:spacing w:after="0" w:line="360" w:lineRule="auto"/>
              <w:ind w:left="0" w:leftChars="0" w:firstLine="0"/>
              <w:jc w:val="center"/>
              <w:rPr>
                <w:rFonts w:hint="default" w:ascii="宋体" w:hAnsi="宋体" w:eastAsia="宋体" w:cs="宋体"/>
                <w:szCs w:val="21"/>
                <w:highlight w:val="none"/>
                <w:lang w:val="en-US" w:eastAsia="zh-CN"/>
              </w:rPr>
            </w:pPr>
            <w:r>
              <w:rPr>
                <w:rFonts w:hint="eastAsia" w:ascii="宋体" w:hAnsi="宋体" w:eastAsia="宋体" w:cs="宋体"/>
                <w:sz w:val="21"/>
                <w:szCs w:val="21"/>
                <w:highlight w:val="none"/>
              </w:rPr>
              <w:t>违约承诺</w:t>
            </w:r>
            <w:r>
              <w:rPr>
                <w:rFonts w:hint="eastAsia" w:ascii="宋体" w:hAnsi="宋体" w:eastAsia="宋体" w:cs="宋体"/>
                <w:sz w:val="21"/>
                <w:szCs w:val="21"/>
                <w:highlight w:val="none"/>
                <w:lang w:val="en-US" w:eastAsia="zh-CN"/>
              </w:rPr>
              <w:t>及处罚措施</w:t>
            </w:r>
          </w:p>
          <w:p w14:paraId="38253230">
            <w:pPr>
              <w:pStyle w:val="56"/>
              <w:widowControl/>
              <w:spacing w:after="0" w:line="360" w:lineRule="auto"/>
              <w:ind w:left="0" w:leftChars="0" w:firstLine="0" w:firstLineChars="0"/>
              <w:jc w:val="center"/>
              <w:rPr>
                <w:rFonts w:hint="eastAsia" w:ascii="宋体" w:hAnsi="宋体" w:cs="宋体"/>
                <w:color w:val="auto"/>
                <w:highlight w:val="none"/>
              </w:rPr>
            </w:pPr>
            <w:r>
              <w:rPr>
                <w:rFonts w:hint="eastAsia" w:ascii="宋体" w:hAnsi="宋体" w:eastAsia="宋体" w:cs="宋体"/>
                <w:szCs w:val="21"/>
                <w:highlight w:val="none"/>
              </w:rPr>
              <w:t>（</w:t>
            </w:r>
            <w:r>
              <w:rPr>
                <w:rFonts w:hint="eastAsia" w:ascii="宋体" w:hAnsi="宋体" w:eastAsia="宋体" w:cs="宋体"/>
                <w:szCs w:val="21"/>
                <w:highlight w:val="none"/>
                <w:lang w:val="en-US" w:eastAsia="zh-CN"/>
              </w:rPr>
              <w:t>5</w:t>
            </w:r>
            <w:r>
              <w:rPr>
                <w:rFonts w:hint="eastAsia" w:ascii="宋体" w:hAnsi="宋体" w:eastAsia="宋体" w:cs="宋体"/>
                <w:szCs w:val="21"/>
                <w:highlight w:val="none"/>
              </w:rPr>
              <w:t>分）</w:t>
            </w:r>
          </w:p>
        </w:tc>
        <w:tc>
          <w:tcPr>
            <w:tcW w:w="5845" w:type="dxa"/>
            <w:vAlign w:val="top"/>
          </w:tcPr>
          <w:p w14:paraId="559ABE2F">
            <w:pPr>
              <w:snapToGrid w:val="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第一档次（</w:t>
            </w:r>
            <w:r>
              <w:rPr>
                <w:rFonts w:hint="eastAsia" w:ascii="宋体" w:hAnsi="宋体" w:eastAsia="宋体" w:cs="宋体"/>
                <w:sz w:val="21"/>
                <w:szCs w:val="21"/>
                <w:highlight w:val="none"/>
                <w:lang w:val="en-US" w:eastAsia="zh-CN"/>
              </w:rPr>
              <w:t>4</w:t>
            </w: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rPr>
              <w:t>分）：违约承诺合理、可行，处罚措施具体的。</w:t>
            </w:r>
          </w:p>
          <w:p w14:paraId="153A85C9">
            <w:pPr>
              <w:snapToGrid w:val="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第二档次（</w:t>
            </w: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分）：违约承诺</w:t>
            </w:r>
            <w:r>
              <w:rPr>
                <w:rFonts w:hint="eastAsia" w:ascii="宋体" w:hAnsi="宋体" w:eastAsia="宋体" w:cs="宋体"/>
                <w:sz w:val="21"/>
                <w:szCs w:val="21"/>
                <w:highlight w:val="none"/>
                <w:lang w:val="en-US" w:eastAsia="zh-CN"/>
              </w:rPr>
              <w:t>基本</w:t>
            </w:r>
            <w:r>
              <w:rPr>
                <w:rFonts w:hint="eastAsia" w:ascii="宋体" w:hAnsi="宋体" w:eastAsia="宋体" w:cs="宋体"/>
                <w:sz w:val="21"/>
                <w:szCs w:val="21"/>
                <w:highlight w:val="none"/>
              </w:rPr>
              <w:t>合理、可行，处罚措施不够具体的。</w:t>
            </w:r>
          </w:p>
          <w:p w14:paraId="020C0AC5">
            <w:pPr>
              <w:snapToGrid w:val="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第三档次（1分）：违约承诺</w:t>
            </w:r>
            <w:r>
              <w:rPr>
                <w:rFonts w:hint="eastAsia" w:ascii="宋体" w:hAnsi="宋体" w:eastAsia="宋体" w:cs="宋体"/>
                <w:sz w:val="21"/>
                <w:szCs w:val="21"/>
                <w:highlight w:val="none"/>
                <w:lang w:val="en-US" w:eastAsia="zh-CN"/>
              </w:rPr>
              <w:t>基本</w:t>
            </w:r>
            <w:r>
              <w:rPr>
                <w:rFonts w:hint="eastAsia" w:ascii="宋体" w:hAnsi="宋体" w:eastAsia="宋体" w:cs="宋体"/>
                <w:sz w:val="21"/>
                <w:szCs w:val="21"/>
                <w:highlight w:val="none"/>
              </w:rPr>
              <w:t>合理</w:t>
            </w:r>
            <w:r>
              <w:rPr>
                <w:rFonts w:hint="eastAsia" w:ascii="宋体" w:hAnsi="宋体" w:cs="宋体"/>
                <w:sz w:val="21"/>
                <w:szCs w:val="21"/>
                <w:highlight w:val="none"/>
                <w:lang w:val="en-US" w:eastAsia="zh-CN"/>
              </w:rPr>
              <w:t>但</w:t>
            </w:r>
            <w:r>
              <w:rPr>
                <w:rFonts w:hint="eastAsia" w:ascii="宋体" w:hAnsi="宋体" w:eastAsia="宋体" w:cs="宋体"/>
                <w:sz w:val="21"/>
                <w:szCs w:val="21"/>
                <w:highlight w:val="none"/>
              </w:rPr>
              <w:t>可行性差，处罚措施不够具体的。</w:t>
            </w:r>
          </w:p>
          <w:p w14:paraId="6819A17B">
            <w:pPr>
              <w:pStyle w:val="56"/>
              <w:widowControl/>
              <w:spacing w:after="0" w:line="360" w:lineRule="auto"/>
              <w:ind w:left="0" w:leftChars="0" w:firstLine="0" w:firstLineChars="0"/>
              <w:rPr>
                <w:rFonts w:hint="eastAsia" w:ascii="宋体" w:hAnsi="宋体" w:cs="宋体"/>
                <w:color w:val="auto"/>
                <w:highlight w:val="none"/>
              </w:rPr>
            </w:pPr>
            <w:r>
              <w:rPr>
                <w:rFonts w:hint="eastAsia" w:ascii="宋体" w:hAnsi="宋体" w:eastAsia="宋体" w:cs="宋体"/>
                <w:szCs w:val="21"/>
                <w:highlight w:val="none"/>
              </w:rPr>
              <w:t>无违约承诺及处罚措施的得0分。</w:t>
            </w:r>
          </w:p>
        </w:tc>
      </w:tr>
      <w:tr w14:paraId="47DC3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39" w:type="dxa"/>
          <w:trHeight w:val="367" w:hRule="atLeast"/>
          <w:jc w:val="center"/>
        </w:trPr>
        <w:tc>
          <w:tcPr>
            <w:tcW w:w="753" w:type="dxa"/>
            <w:vMerge w:val="continue"/>
            <w:vAlign w:val="center"/>
          </w:tcPr>
          <w:p w14:paraId="61330FB1">
            <w:pPr>
              <w:autoSpaceDE w:val="0"/>
              <w:autoSpaceDN w:val="0"/>
              <w:adjustRightInd w:val="0"/>
              <w:jc w:val="center"/>
              <w:rPr>
                <w:rFonts w:hint="eastAsia" w:ascii="宋体" w:hAnsi="宋体" w:cs="宋体"/>
                <w:color w:val="auto"/>
                <w:szCs w:val="21"/>
                <w:highlight w:val="none"/>
              </w:rPr>
            </w:pPr>
          </w:p>
        </w:tc>
        <w:tc>
          <w:tcPr>
            <w:tcW w:w="1408" w:type="dxa"/>
            <w:vMerge w:val="continue"/>
            <w:vAlign w:val="center"/>
          </w:tcPr>
          <w:p w14:paraId="2812D0BC">
            <w:pPr>
              <w:pStyle w:val="51"/>
              <w:spacing w:line="360" w:lineRule="auto"/>
              <w:jc w:val="center"/>
              <w:rPr>
                <w:rFonts w:hint="eastAsia" w:cs="宋体"/>
                <w:color w:val="auto"/>
                <w:kern w:val="2"/>
                <w:sz w:val="21"/>
                <w:szCs w:val="21"/>
                <w:highlight w:val="none"/>
              </w:rPr>
            </w:pPr>
          </w:p>
        </w:tc>
        <w:tc>
          <w:tcPr>
            <w:tcW w:w="1741" w:type="dxa"/>
            <w:vAlign w:val="center"/>
          </w:tcPr>
          <w:p w14:paraId="5D66829C">
            <w:pPr>
              <w:snapToGrid w:val="0"/>
              <w:spacing w:line="360" w:lineRule="auto"/>
              <w:jc w:val="center"/>
              <w:rPr>
                <w:rFonts w:ascii="宋体" w:hAnsi="宋体" w:eastAsia="宋体" w:cs="宋体"/>
                <w:sz w:val="21"/>
                <w:szCs w:val="21"/>
                <w:highlight w:val="none"/>
              </w:rPr>
            </w:pPr>
            <w:r>
              <w:rPr>
                <w:rFonts w:hint="eastAsia" w:ascii="宋体" w:hAnsi="宋体" w:eastAsia="宋体" w:cs="宋体"/>
                <w:sz w:val="21"/>
                <w:szCs w:val="21"/>
                <w:highlight w:val="none"/>
              </w:rPr>
              <w:t>服务保障措施及承诺</w:t>
            </w:r>
          </w:p>
          <w:p w14:paraId="3DF7895A">
            <w:pPr>
              <w:widowControl/>
              <w:spacing w:line="360" w:lineRule="auto"/>
              <w:ind w:firstLine="210" w:firstLineChars="100"/>
              <w:textAlignment w:val="center"/>
              <w:rPr>
                <w:rFonts w:hint="eastAsia" w:ascii="宋体" w:hAnsi="宋体" w:cs="宋体"/>
                <w:color w:val="auto"/>
                <w:highlight w:val="none"/>
              </w:rPr>
            </w:pP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rPr>
              <w:t>分）</w:t>
            </w:r>
          </w:p>
        </w:tc>
        <w:tc>
          <w:tcPr>
            <w:tcW w:w="5845" w:type="dxa"/>
            <w:vAlign w:val="center"/>
          </w:tcPr>
          <w:p w14:paraId="52D406BA">
            <w:pPr>
              <w:snapToGrid w:val="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第一档次（</w:t>
            </w:r>
            <w:r>
              <w:rPr>
                <w:rFonts w:hint="eastAsia" w:ascii="宋体" w:hAnsi="宋体" w:eastAsia="宋体" w:cs="宋体"/>
                <w:sz w:val="21"/>
                <w:szCs w:val="21"/>
                <w:highlight w:val="none"/>
                <w:lang w:val="en-US" w:eastAsia="zh-CN"/>
              </w:rPr>
              <w:t>4</w:t>
            </w: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rPr>
              <w:t>分）：服务保障措施及承诺特别全面，合理、可行，服务响应时间、</w:t>
            </w:r>
            <w:r>
              <w:rPr>
                <w:rFonts w:hint="eastAsia" w:ascii="宋体" w:hAnsi="宋体" w:cs="宋体"/>
                <w:sz w:val="21"/>
                <w:szCs w:val="21"/>
                <w:highlight w:val="none"/>
                <w:lang w:val="en-US" w:eastAsia="zh-CN"/>
              </w:rPr>
              <w:t>项目质量保证及</w:t>
            </w:r>
            <w:r>
              <w:rPr>
                <w:rFonts w:hint="eastAsia" w:ascii="宋体" w:hAnsi="宋体" w:eastAsia="宋体" w:cs="宋体"/>
                <w:sz w:val="21"/>
                <w:szCs w:val="21"/>
                <w:highlight w:val="none"/>
                <w:lang w:eastAsia="zh-CN"/>
              </w:rPr>
              <w:t>交付计划</w:t>
            </w:r>
            <w:r>
              <w:rPr>
                <w:rFonts w:hint="eastAsia" w:ascii="宋体" w:hAnsi="宋体" w:eastAsia="宋体" w:cs="宋体"/>
                <w:sz w:val="21"/>
                <w:szCs w:val="21"/>
                <w:highlight w:val="none"/>
              </w:rPr>
              <w:t>等措施优异。</w:t>
            </w:r>
          </w:p>
          <w:p w14:paraId="54BA1783">
            <w:pPr>
              <w:snapToGrid w:val="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第二档次（</w:t>
            </w: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分）：服务保障措施及承诺全面，合理、可行，服务响应时间、</w:t>
            </w:r>
            <w:r>
              <w:rPr>
                <w:rFonts w:hint="eastAsia" w:ascii="宋体" w:hAnsi="宋体" w:cs="宋体"/>
                <w:sz w:val="21"/>
                <w:szCs w:val="21"/>
                <w:highlight w:val="none"/>
                <w:lang w:val="en-US" w:eastAsia="zh-CN"/>
              </w:rPr>
              <w:t>项目质量保证及</w:t>
            </w:r>
            <w:r>
              <w:rPr>
                <w:rFonts w:hint="eastAsia" w:ascii="宋体" w:hAnsi="宋体" w:eastAsia="宋体" w:cs="宋体"/>
                <w:sz w:val="21"/>
                <w:szCs w:val="21"/>
                <w:highlight w:val="none"/>
                <w:lang w:eastAsia="zh-CN"/>
              </w:rPr>
              <w:t>交付计划</w:t>
            </w:r>
            <w:r>
              <w:rPr>
                <w:rFonts w:hint="eastAsia" w:ascii="宋体" w:hAnsi="宋体" w:eastAsia="宋体" w:cs="宋体"/>
                <w:sz w:val="21"/>
                <w:szCs w:val="21"/>
                <w:highlight w:val="none"/>
              </w:rPr>
              <w:t>等措施良好。</w:t>
            </w:r>
          </w:p>
          <w:p w14:paraId="5673A1E0">
            <w:pPr>
              <w:snapToGrid w:val="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第三档次（1分）：服务保障措施及承诺全面，合理、可行，服务响应时间、</w:t>
            </w:r>
            <w:r>
              <w:rPr>
                <w:rFonts w:hint="eastAsia" w:ascii="宋体" w:hAnsi="宋体" w:cs="宋体"/>
                <w:sz w:val="21"/>
                <w:szCs w:val="21"/>
                <w:highlight w:val="none"/>
                <w:lang w:val="en-US" w:eastAsia="zh-CN"/>
              </w:rPr>
              <w:t>项目质量保证及</w:t>
            </w:r>
            <w:r>
              <w:rPr>
                <w:rFonts w:hint="eastAsia" w:ascii="宋体" w:hAnsi="宋体" w:eastAsia="宋体" w:cs="宋体"/>
                <w:sz w:val="21"/>
                <w:szCs w:val="21"/>
                <w:highlight w:val="none"/>
                <w:lang w:eastAsia="zh-CN"/>
              </w:rPr>
              <w:t>交付计划</w:t>
            </w:r>
            <w:r>
              <w:rPr>
                <w:rFonts w:hint="eastAsia" w:ascii="宋体" w:hAnsi="宋体" w:eastAsia="宋体" w:cs="宋体"/>
                <w:sz w:val="21"/>
                <w:szCs w:val="21"/>
                <w:highlight w:val="none"/>
              </w:rPr>
              <w:t>等措施一般。</w:t>
            </w:r>
          </w:p>
          <w:p w14:paraId="283B45FF">
            <w:pPr>
              <w:widowControl/>
              <w:spacing w:line="360" w:lineRule="auto"/>
              <w:textAlignment w:val="center"/>
              <w:rPr>
                <w:rFonts w:hint="eastAsia" w:ascii="宋体" w:hAnsi="宋体" w:cs="宋体"/>
                <w:color w:val="auto"/>
                <w:szCs w:val="21"/>
                <w:highlight w:val="none"/>
              </w:rPr>
            </w:pPr>
            <w:r>
              <w:rPr>
                <w:rFonts w:hint="eastAsia" w:ascii="宋体" w:hAnsi="宋体" w:eastAsia="宋体" w:cs="宋体"/>
                <w:sz w:val="21"/>
                <w:szCs w:val="21"/>
                <w:highlight w:val="none"/>
              </w:rPr>
              <w:t>无服务保障措施及承诺的得0分。</w:t>
            </w:r>
          </w:p>
        </w:tc>
      </w:tr>
      <w:tr w14:paraId="3A2C5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39" w:type="dxa"/>
          <w:trHeight w:val="786" w:hRule="atLeast"/>
          <w:jc w:val="center"/>
        </w:trPr>
        <w:tc>
          <w:tcPr>
            <w:tcW w:w="753" w:type="dxa"/>
            <w:vMerge w:val="continue"/>
            <w:vAlign w:val="center"/>
          </w:tcPr>
          <w:p w14:paraId="28F74BA0">
            <w:pPr>
              <w:autoSpaceDE w:val="0"/>
              <w:autoSpaceDN w:val="0"/>
              <w:adjustRightInd w:val="0"/>
              <w:jc w:val="center"/>
              <w:rPr>
                <w:rFonts w:hint="eastAsia" w:ascii="宋体" w:hAnsi="宋体" w:cs="宋体"/>
                <w:color w:val="auto"/>
                <w:szCs w:val="21"/>
                <w:highlight w:val="none"/>
              </w:rPr>
            </w:pPr>
          </w:p>
        </w:tc>
        <w:tc>
          <w:tcPr>
            <w:tcW w:w="1408" w:type="dxa"/>
            <w:vMerge w:val="continue"/>
            <w:vAlign w:val="center"/>
          </w:tcPr>
          <w:p w14:paraId="769F276E">
            <w:pPr>
              <w:pStyle w:val="51"/>
              <w:spacing w:line="360" w:lineRule="auto"/>
              <w:jc w:val="center"/>
              <w:rPr>
                <w:rFonts w:hint="eastAsia" w:cs="宋体"/>
                <w:color w:val="auto"/>
                <w:kern w:val="2"/>
                <w:sz w:val="21"/>
                <w:szCs w:val="21"/>
                <w:highlight w:val="none"/>
              </w:rPr>
            </w:pPr>
          </w:p>
        </w:tc>
        <w:tc>
          <w:tcPr>
            <w:tcW w:w="1741" w:type="dxa"/>
            <w:vAlign w:val="center"/>
          </w:tcPr>
          <w:p w14:paraId="7DC3A7F8">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廉洁管理措施及承诺</w:t>
            </w:r>
          </w:p>
          <w:p w14:paraId="36C055EE">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cs="宋体"/>
                <w:color w:val="auto"/>
                <w:highlight w:val="none"/>
              </w:rPr>
            </w:pPr>
            <w:r>
              <w:rPr>
                <w:rFonts w:hint="eastAsia" w:ascii="宋体" w:hAnsi="宋体" w:eastAsia="宋体" w:cs="宋体"/>
                <w:sz w:val="21"/>
                <w:szCs w:val="21"/>
                <w:highlight w:val="none"/>
              </w:rPr>
              <w:t>（5分）</w:t>
            </w:r>
          </w:p>
        </w:tc>
        <w:tc>
          <w:tcPr>
            <w:tcW w:w="5845" w:type="dxa"/>
            <w:vAlign w:val="center"/>
          </w:tcPr>
          <w:p w14:paraId="65492A17">
            <w:pPr>
              <w:pStyle w:val="367"/>
              <w:keepNext w:val="0"/>
              <w:keepLines w:val="0"/>
              <w:pageBreakBefore w:val="0"/>
              <w:widowControl/>
              <w:kinsoku/>
              <w:wordWrap/>
              <w:overflowPunct/>
              <w:topLinePunct w:val="0"/>
              <w:autoSpaceDE/>
              <w:autoSpaceDN/>
              <w:bidi w:val="0"/>
              <w:adjustRightInd w:val="0"/>
              <w:snapToGrid w:val="0"/>
              <w:spacing w:after="0" w:line="360" w:lineRule="auto"/>
              <w:textAlignment w:val="auto"/>
              <w:rPr>
                <w:rFonts w:hint="eastAsia" w:ascii="宋体" w:hAnsi="宋体" w:eastAsia="宋体" w:cs="宋体"/>
                <w:sz w:val="21"/>
                <w:szCs w:val="21"/>
                <w:highlight w:val="none"/>
              </w:rPr>
            </w:pPr>
            <w:bookmarkStart w:id="659" w:name="OLE_LINK4"/>
            <w:r>
              <w:rPr>
                <w:rFonts w:hint="eastAsia" w:ascii="宋体" w:hAnsi="宋体" w:eastAsia="宋体" w:cs="宋体"/>
                <w:sz w:val="21"/>
                <w:szCs w:val="21"/>
                <w:highlight w:val="none"/>
              </w:rPr>
              <w:t>第一档次（4～5分）：廉洁管理措施及承诺表述具体详细、合理、有较强针对性；</w:t>
            </w:r>
          </w:p>
          <w:p w14:paraId="40976310">
            <w:pPr>
              <w:pStyle w:val="367"/>
              <w:keepNext w:val="0"/>
              <w:keepLines w:val="0"/>
              <w:pageBreakBefore w:val="0"/>
              <w:widowControl/>
              <w:kinsoku/>
              <w:wordWrap/>
              <w:overflowPunct/>
              <w:topLinePunct w:val="0"/>
              <w:autoSpaceDE/>
              <w:autoSpaceDN/>
              <w:bidi w:val="0"/>
              <w:adjustRightInd w:val="0"/>
              <w:snapToGrid w:val="0"/>
              <w:spacing w:after="0"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第二档次（2～3分）：廉洁管理措施及承诺表述一般，有一定针对性的；</w:t>
            </w:r>
          </w:p>
          <w:p w14:paraId="17A6917D">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第三档次（1分）：廉洁管理措施及承诺不具体，缺乏针对性的。</w:t>
            </w:r>
          </w:p>
          <w:p w14:paraId="6CC1EF7E">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cs="宋体"/>
                <w:color w:val="auto"/>
                <w:highlight w:val="none"/>
              </w:rPr>
            </w:pPr>
            <w:r>
              <w:rPr>
                <w:rFonts w:hint="eastAsia" w:ascii="宋体" w:hAnsi="宋体" w:eastAsia="宋体" w:cs="宋体"/>
                <w:sz w:val="21"/>
                <w:szCs w:val="21"/>
                <w:highlight w:val="none"/>
                <w:lang w:val="en-US" w:eastAsia="zh-CN"/>
              </w:rPr>
              <w:t>无</w:t>
            </w:r>
            <w:r>
              <w:rPr>
                <w:rFonts w:hint="eastAsia" w:ascii="宋体" w:hAnsi="宋体" w:eastAsia="宋体" w:cs="宋体"/>
                <w:sz w:val="21"/>
                <w:szCs w:val="21"/>
                <w:highlight w:val="none"/>
              </w:rPr>
              <w:t>廉洁管理措施及承诺的得0分。</w:t>
            </w:r>
            <w:bookmarkEnd w:id="659"/>
          </w:p>
        </w:tc>
      </w:tr>
      <w:tr w14:paraId="25023E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39" w:type="dxa"/>
          <w:trHeight w:val="528" w:hRule="atLeast"/>
          <w:jc w:val="center"/>
        </w:trPr>
        <w:tc>
          <w:tcPr>
            <w:tcW w:w="2161" w:type="dxa"/>
            <w:gridSpan w:val="2"/>
            <w:vAlign w:val="center"/>
          </w:tcPr>
          <w:p w14:paraId="340795D7">
            <w:pPr>
              <w:autoSpaceDE w:val="0"/>
              <w:autoSpaceDN w:val="0"/>
              <w:adjustRightInd w:val="0"/>
              <w:jc w:val="center"/>
              <w:rPr>
                <w:rFonts w:hint="eastAsia" w:ascii="宋体" w:hAnsi="宋体" w:cs="宋体"/>
                <w:color w:val="auto"/>
                <w:szCs w:val="21"/>
                <w:highlight w:val="none"/>
              </w:rPr>
            </w:pPr>
            <w:r>
              <w:rPr>
                <w:rFonts w:hint="eastAsia" w:ascii="宋体" w:hAnsi="宋体" w:cs="宋体"/>
                <w:color w:val="auto"/>
                <w:szCs w:val="21"/>
                <w:highlight w:val="none"/>
              </w:rPr>
              <w:t>条款号</w:t>
            </w:r>
          </w:p>
        </w:tc>
        <w:tc>
          <w:tcPr>
            <w:tcW w:w="7586" w:type="dxa"/>
            <w:gridSpan w:val="2"/>
            <w:vAlign w:val="center"/>
          </w:tcPr>
          <w:p w14:paraId="0340C3F7">
            <w:pPr>
              <w:pStyle w:val="51"/>
              <w:spacing w:line="360" w:lineRule="auto"/>
              <w:jc w:val="center"/>
              <w:rPr>
                <w:rFonts w:hint="eastAsia" w:cs="宋体"/>
                <w:color w:val="auto"/>
                <w:kern w:val="2"/>
                <w:sz w:val="21"/>
                <w:szCs w:val="21"/>
                <w:highlight w:val="none"/>
              </w:rPr>
            </w:pPr>
            <w:r>
              <w:rPr>
                <w:rFonts w:hint="eastAsia" w:cs="宋体"/>
                <w:color w:val="auto"/>
                <w:kern w:val="2"/>
                <w:sz w:val="21"/>
                <w:szCs w:val="21"/>
                <w:highlight w:val="none"/>
              </w:rPr>
              <w:t>编列内容</w:t>
            </w:r>
          </w:p>
        </w:tc>
      </w:tr>
      <w:tr w14:paraId="0C87E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39" w:type="dxa"/>
          <w:trHeight w:val="494" w:hRule="atLeast"/>
          <w:jc w:val="center"/>
        </w:trPr>
        <w:tc>
          <w:tcPr>
            <w:tcW w:w="753" w:type="dxa"/>
            <w:vAlign w:val="center"/>
          </w:tcPr>
          <w:p w14:paraId="24C13003">
            <w:pPr>
              <w:autoSpaceDE w:val="0"/>
              <w:autoSpaceDN w:val="0"/>
              <w:adjustRightInd w:val="0"/>
              <w:jc w:val="center"/>
              <w:rPr>
                <w:rFonts w:hint="eastAsia" w:ascii="宋体" w:hAnsi="宋体" w:cs="宋体"/>
                <w:color w:val="auto"/>
                <w:szCs w:val="21"/>
                <w:highlight w:val="none"/>
              </w:rPr>
            </w:pPr>
            <w:r>
              <w:rPr>
                <w:rFonts w:hint="eastAsia" w:ascii="宋体" w:hAnsi="宋体" w:cs="宋体"/>
                <w:color w:val="auto"/>
                <w:szCs w:val="21"/>
                <w:highlight w:val="none"/>
              </w:rPr>
              <w:t>附件A</w:t>
            </w:r>
          </w:p>
        </w:tc>
        <w:tc>
          <w:tcPr>
            <w:tcW w:w="1408" w:type="dxa"/>
            <w:vAlign w:val="center"/>
          </w:tcPr>
          <w:p w14:paraId="76ADE001">
            <w:pPr>
              <w:autoSpaceDE w:val="0"/>
              <w:autoSpaceDN w:val="0"/>
              <w:adjustRightInd w:val="0"/>
              <w:jc w:val="center"/>
              <w:rPr>
                <w:rFonts w:hint="eastAsia" w:ascii="宋体" w:hAnsi="宋体" w:cs="宋体"/>
                <w:color w:val="auto"/>
                <w:szCs w:val="21"/>
                <w:highlight w:val="none"/>
              </w:rPr>
            </w:pPr>
            <w:r>
              <w:rPr>
                <w:rFonts w:hint="eastAsia" w:ascii="宋体" w:hAnsi="宋体" w:cs="宋体"/>
                <w:color w:val="auto"/>
                <w:szCs w:val="21"/>
                <w:highlight w:val="none"/>
              </w:rPr>
              <w:t>评标程序</w:t>
            </w:r>
          </w:p>
        </w:tc>
        <w:tc>
          <w:tcPr>
            <w:tcW w:w="7586" w:type="dxa"/>
            <w:gridSpan w:val="2"/>
            <w:vAlign w:val="center"/>
          </w:tcPr>
          <w:p w14:paraId="7A04E0F3">
            <w:pPr>
              <w:pStyle w:val="51"/>
              <w:spacing w:line="360" w:lineRule="auto"/>
              <w:jc w:val="both"/>
              <w:rPr>
                <w:rFonts w:hint="eastAsia" w:cs="宋体"/>
                <w:color w:val="auto"/>
                <w:kern w:val="2"/>
                <w:sz w:val="21"/>
                <w:szCs w:val="21"/>
                <w:highlight w:val="none"/>
              </w:rPr>
            </w:pPr>
            <w:r>
              <w:rPr>
                <w:rFonts w:hint="eastAsia" w:cs="宋体"/>
                <w:color w:val="auto"/>
                <w:kern w:val="2"/>
                <w:sz w:val="21"/>
                <w:szCs w:val="21"/>
                <w:highlight w:val="none"/>
              </w:rPr>
              <w:t>详见本章附件A：评标详细程序</w:t>
            </w:r>
          </w:p>
        </w:tc>
      </w:tr>
      <w:tr w14:paraId="3E3E4C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39" w:type="dxa"/>
          <w:trHeight w:val="494" w:hRule="atLeast"/>
          <w:jc w:val="center"/>
        </w:trPr>
        <w:tc>
          <w:tcPr>
            <w:tcW w:w="753" w:type="dxa"/>
            <w:vAlign w:val="center"/>
          </w:tcPr>
          <w:p w14:paraId="7869A49B">
            <w:pPr>
              <w:autoSpaceDE w:val="0"/>
              <w:autoSpaceDN w:val="0"/>
              <w:adjustRightInd w:val="0"/>
              <w:jc w:val="center"/>
              <w:rPr>
                <w:rFonts w:hint="eastAsia" w:ascii="宋体" w:hAnsi="宋体" w:cs="宋体"/>
                <w:color w:val="auto"/>
                <w:szCs w:val="21"/>
                <w:highlight w:val="none"/>
              </w:rPr>
            </w:pPr>
            <w:r>
              <w:rPr>
                <w:rFonts w:hint="eastAsia" w:ascii="宋体" w:hAnsi="宋体" w:cs="宋体"/>
                <w:color w:val="auto"/>
                <w:szCs w:val="21"/>
                <w:highlight w:val="none"/>
              </w:rPr>
              <w:t>附件B</w:t>
            </w:r>
          </w:p>
        </w:tc>
        <w:tc>
          <w:tcPr>
            <w:tcW w:w="1408" w:type="dxa"/>
            <w:vAlign w:val="center"/>
          </w:tcPr>
          <w:p w14:paraId="705FF6FD">
            <w:pPr>
              <w:autoSpaceDE w:val="0"/>
              <w:autoSpaceDN w:val="0"/>
              <w:adjustRightInd w:val="0"/>
              <w:jc w:val="center"/>
              <w:rPr>
                <w:rFonts w:hint="eastAsia" w:ascii="宋体" w:hAnsi="宋体" w:cs="宋体"/>
                <w:color w:val="auto"/>
                <w:szCs w:val="21"/>
                <w:highlight w:val="none"/>
              </w:rPr>
            </w:pPr>
            <w:r>
              <w:rPr>
                <w:rFonts w:hint="eastAsia" w:ascii="宋体" w:hAnsi="宋体" w:cs="宋体"/>
                <w:color w:val="auto"/>
                <w:szCs w:val="21"/>
                <w:highlight w:val="none"/>
              </w:rPr>
              <w:t>否决投标条款</w:t>
            </w:r>
          </w:p>
        </w:tc>
        <w:tc>
          <w:tcPr>
            <w:tcW w:w="7586" w:type="dxa"/>
            <w:gridSpan w:val="2"/>
            <w:vAlign w:val="center"/>
          </w:tcPr>
          <w:p w14:paraId="20FC6954">
            <w:pPr>
              <w:pStyle w:val="51"/>
              <w:spacing w:line="360" w:lineRule="auto"/>
              <w:jc w:val="both"/>
              <w:rPr>
                <w:rFonts w:hint="eastAsia" w:cs="宋体"/>
                <w:color w:val="auto"/>
                <w:kern w:val="2"/>
                <w:sz w:val="21"/>
                <w:szCs w:val="21"/>
                <w:highlight w:val="none"/>
              </w:rPr>
            </w:pPr>
            <w:r>
              <w:rPr>
                <w:rFonts w:hint="eastAsia" w:cs="宋体"/>
                <w:color w:val="auto"/>
                <w:kern w:val="2"/>
                <w:sz w:val="21"/>
                <w:szCs w:val="21"/>
                <w:highlight w:val="none"/>
              </w:rPr>
              <w:t>详见本章附件B：</w:t>
            </w:r>
            <w:r>
              <w:rPr>
                <w:rFonts w:hint="eastAsia" w:cs="宋体"/>
                <w:color w:val="auto"/>
                <w:sz w:val="21"/>
                <w:szCs w:val="21"/>
                <w:highlight w:val="none"/>
              </w:rPr>
              <w:t>投标被否决条件</w:t>
            </w:r>
          </w:p>
        </w:tc>
      </w:tr>
    </w:tbl>
    <w:p w14:paraId="544D4492">
      <w:pPr>
        <w:rPr>
          <w:rFonts w:hint="eastAsia" w:ascii="宋体" w:hAnsi="宋体" w:cs="宋体"/>
          <w:color w:val="auto"/>
          <w:highlight w:val="none"/>
        </w:rPr>
      </w:pPr>
      <w:bookmarkStart w:id="660" w:name="_Toc306524554"/>
      <w:bookmarkStart w:id="661" w:name="_Toc184635096"/>
      <w:r>
        <w:rPr>
          <w:rFonts w:hint="eastAsia" w:ascii="宋体" w:hAnsi="宋体" w:cs="宋体"/>
          <w:color w:val="auto"/>
          <w:highlight w:val="none"/>
        </w:rPr>
        <w:br w:type="page"/>
      </w:r>
    </w:p>
    <w:p w14:paraId="3F9A5050">
      <w:pPr>
        <w:pStyle w:val="5"/>
        <w:ind w:firstLine="422" w:firstLineChars="200"/>
        <w:rPr>
          <w:rFonts w:hint="eastAsia" w:ascii="宋体" w:hAnsi="宋体" w:cs="宋体"/>
          <w:color w:val="auto"/>
          <w:sz w:val="21"/>
          <w:highlight w:val="none"/>
        </w:rPr>
      </w:pPr>
      <w:bookmarkStart w:id="662" w:name="_Toc25677"/>
      <w:bookmarkStart w:id="663" w:name="_Toc2969"/>
      <w:bookmarkStart w:id="664" w:name="_Toc24223"/>
      <w:bookmarkStart w:id="665" w:name="_Toc15257"/>
      <w:bookmarkStart w:id="666" w:name="_Toc302769233"/>
      <w:bookmarkStart w:id="667" w:name="_Toc13493"/>
      <w:bookmarkStart w:id="668" w:name="_Toc11480"/>
      <w:bookmarkStart w:id="669" w:name="_Toc186513209"/>
      <w:bookmarkStart w:id="670" w:name="_Toc7679"/>
      <w:bookmarkStart w:id="671" w:name="_Toc12519"/>
      <w:r>
        <w:rPr>
          <w:rFonts w:hint="eastAsia" w:ascii="宋体" w:hAnsi="宋体" w:cs="宋体"/>
          <w:color w:val="auto"/>
          <w:sz w:val="21"/>
          <w:highlight w:val="none"/>
        </w:rPr>
        <w:t>1.评标方法</w:t>
      </w:r>
      <w:bookmarkEnd w:id="662"/>
      <w:bookmarkEnd w:id="663"/>
      <w:bookmarkEnd w:id="664"/>
      <w:bookmarkEnd w:id="665"/>
      <w:bookmarkEnd w:id="666"/>
      <w:bookmarkEnd w:id="667"/>
      <w:bookmarkEnd w:id="668"/>
      <w:bookmarkEnd w:id="669"/>
      <w:bookmarkEnd w:id="670"/>
      <w:bookmarkEnd w:id="671"/>
    </w:p>
    <w:p w14:paraId="689D30AE">
      <w:pPr>
        <w:spacing w:line="360" w:lineRule="auto"/>
        <w:ind w:firstLine="420" w:firstLineChars="200"/>
        <w:rPr>
          <w:rFonts w:hint="eastAsia" w:ascii="宋体" w:hAnsi="宋体" w:cs="宋体"/>
          <w:color w:val="auto"/>
          <w:szCs w:val="21"/>
          <w:highlight w:val="none"/>
        </w:rPr>
      </w:pPr>
      <w:bookmarkStart w:id="672" w:name="_Toc302769234"/>
      <w:r>
        <w:rPr>
          <w:rFonts w:hint="eastAsia" w:ascii="宋体" w:hAnsi="宋体" w:cs="宋体"/>
          <w:color w:val="auto"/>
          <w:highlight w:val="none"/>
        </w:rPr>
        <w:t>本次评标采用综合评估法。评标委员会对满足招标文件实质性要求的投标文件，按照本章第2.2款规定的评分标准进行打分，并按得分由高到低顺序推荐中标候选人，但投标报价低于其成本的除外</w:t>
      </w:r>
      <w:r>
        <w:rPr>
          <w:rFonts w:hint="eastAsia" w:ascii="宋体" w:hAnsi="宋体" w:cs="宋体"/>
          <w:color w:val="auto"/>
          <w:szCs w:val="21"/>
          <w:highlight w:val="none"/>
        </w:rPr>
        <w:t>。若投标人最后得分相同时，推荐中标候选人的顺序按商务部分得分由高到低的顺序推荐中标候选人，若商务部分得分也相同时，评标委员会成员以记名投票的方式，按少数服从多数的原则确定其得分相同投标人的排名顺序。</w:t>
      </w:r>
      <w:bookmarkEnd w:id="672"/>
      <w:bookmarkStart w:id="673" w:name="_Toc302769235"/>
    </w:p>
    <w:bookmarkEnd w:id="673"/>
    <w:p w14:paraId="598FA30D">
      <w:pPr>
        <w:pStyle w:val="5"/>
        <w:ind w:firstLine="422" w:firstLineChars="200"/>
        <w:rPr>
          <w:rFonts w:hint="eastAsia" w:ascii="宋体" w:hAnsi="宋体" w:cs="宋体"/>
          <w:color w:val="auto"/>
          <w:sz w:val="21"/>
          <w:highlight w:val="none"/>
        </w:rPr>
      </w:pPr>
      <w:bookmarkStart w:id="674" w:name="_Toc186513210"/>
      <w:bookmarkStart w:id="675" w:name="_Toc24334"/>
      <w:bookmarkStart w:id="676" w:name="_Toc2980"/>
      <w:bookmarkStart w:id="677" w:name="_Toc21474"/>
      <w:bookmarkStart w:id="678" w:name="_Toc302769236"/>
      <w:bookmarkStart w:id="679" w:name="_Toc21535"/>
      <w:bookmarkStart w:id="680" w:name="_Toc20485"/>
      <w:bookmarkStart w:id="681" w:name="_Toc32323"/>
      <w:bookmarkStart w:id="682" w:name="_Toc23732"/>
      <w:bookmarkStart w:id="683" w:name="_Toc18404"/>
      <w:r>
        <w:rPr>
          <w:rFonts w:hint="eastAsia" w:ascii="宋体" w:hAnsi="宋体" w:cs="宋体"/>
          <w:color w:val="auto"/>
          <w:sz w:val="21"/>
          <w:highlight w:val="none"/>
        </w:rPr>
        <w:t>2.评审标准</w:t>
      </w:r>
      <w:bookmarkEnd w:id="674"/>
      <w:bookmarkEnd w:id="675"/>
      <w:bookmarkEnd w:id="676"/>
      <w:bookmarkEnd w:id="677"/>
      <w:bookmarkEnd w:id="678"/>
      <w:bookmarkEnd w:id="679"/>
      <w:bookmarkEnd w:id="680"/>
      <w:bookmarkEnd w:id="681"/>
      <w:bookmarkEnd w:id="682"/>
      <w:bookmarkEnd w:id="683"/>
      <w:bookmarkStart w:id="684" w:name="_Toc186513211"/>
    </w:p>
    <w:p w14:paraId="550B1F64">
      <w:pPr>
        <w:pStyle w:val="6"/>
        <w:adjustRightInd/>
        <w:ind w:firstLine="422" w:firstLineChars="200"/>
        <w:textAlignment w:val="baseline"/>
        <w:rPr>
          <w:rFonts w:hint="eastAsia" w:ascii="宋体" w:hAnsi="宋体" w:cs="宋体"/>
          <w:color w:val="auto"/>
          <w:sz w:val="21"/>
          <w:szCs w:val="21"/>
          <w:highlight w:val="none"/>
        </w:rPr>
      </w:pPr>
      <w:bookmarkStart w:id="685" w:name="_Toc27134"/>
      <w:bookmarkStart w:id="686" w:name="_Toc4382"/>
      <w:bookmarkStart w:id="687" w:name="_Toc12753"/>
      <w:bookmarkStart w:id="688" w:name="_Toc11853"/>
      <w:bookmarkStart w:id="689" w:name="_Toc302769237"/>
      <w:bookmarkStart w:id="690" w:name="_Toc16186"/>
      <w:r>
        <w:rPr>
          <w:rFonts w:hint="eastAsia" w:ascii="宋体" w:hAnsi="宋体" w:cs="宋体"/>
          <w:color w:val="auto"/>
          <w:sz w:val="21"/>
          <w:szCs w:val="21"/>
          <w:highlight w:val="none"/>
        </w:rPr>
        <w:t>2.1 初步评审标准</w:t>
      </w:r>
      <w:bookmarkEnd w:id="684"/>
      <w:bookmarkEnd w:id="685"/>
      <w:bookmarkEnd w:id="686"/>
      <w:bookmarkEnd w:id="687"/>
      <w:bookmarkEnd w:id="688"/>
      <w:bookmarkEnd w:id="689"/>
      <w:bookmarkEnd w:id="690"/>
    </w:p>
    <w:p w14:paraId="7EA4EF31">
      <w:pPr>
        <w:spacing w:line="360" w:lineRule="auto"/>
        <w:ind w:firstLine="420" w:firstLineChars="200"/>
        <w:rPr>
          <w:rFonts w:hint="eastAsia" w:ascii="宋体" w:hAnsi="宋体" w:cs="宋体"/>
          <w:color w:val="auto"/>
          <w:szCs w:val="21"/>
          <w:highlight w:val="none"/>
        </w:rPr>
      </w:pPr>
      <w:bookmarkStart w:id="691" w:name="_Toc302769238"/>
      <w:r>
        <w:rPr>
          <w:rFonts w:hint="eastAsia" w:ascii="宋体" w:hAnsi="宋体" w:cs="宋体"/>
          <w:color w:val="auto"/>
          <w:szCs w:val="21"/>
          <w:highlight w:val="none"/>
        </w:rPr>
        <w:t>2.1.1 形式评审标准：见评标办法前附表。</w:t>
      </w:r>
      <w:bookmarkEnd w:id="691"/>
    </w:p>
    <w:p w14:paraId="2BA4CFCF">
      <w:pPr>
        <w:spacing w:line="360" w:lineRule="auto"/>
        <w:ind w:firstLine="420" w:firstLineChars="200"/>
        <w:rPr>
          <w:rFonts w:hint="eastAsia" w:ascii="宋体" w:hAnsi="宋体" w:cs="宋体"/>
          <w:color w:val="auto"/>
          <w:szCs w:val="21"/>
          <w:highlight w:val="none"/>
        </w:rPr>
      </w:pPr>
      <w:bookmarkStart w:id="692" w:name="_Toc302769239"/>
      <w:r>
        <w:rPr>
          <w:rFonts w:hint="eastAsia" w:ascii="宋体" w:hAnsi="宋体" w:cs="宋体"/>
          <w:color w:val="auto"/>
          <w:szCs w:val="21"/>
          <w:highlight w:val="none"/>
        </w:rPr>
        <w:t>2.1.2 资格评审标准：见评标办法前附表。</w:t>
      </w:r>
      <w:bookmarkEnd w:id="692"/>
    </w:p>
    <w:p w14:paraId="30E5DF42">
      <w:pPr>
        <w:spacing w:line="360" w:lineRule="auto"/>
        <w:ind w:firstLine="420" w:firstLineChars="200"/>
        <w:rPr>
          <w:rFonts w:hint="eastAsia" w:ascii="宋体" w:hAnsi="宋体" w:cs="宋体"/>
          <w:color w:val="auto"/>
          <w:szCs w:val="21"/>
          <w:highlight w:val="none"/>
        </w:rPr>
      </w:pPr>
      <w:bookmarkStart w:id="693" w:name="_Toc302769240"/>
      <w:r>
        <w:rPr>
          <w:rFonts w:hint="eastAsia" w:ascii="宋体" w:hAnsi="宋体" w:cs="宋体"/>
          <w:color w:val="auto"/>
          <w:szCs w:val="21"/>
          <w:highlight w:val="none"/>
        </w:rPr>
        <w:t>2.1.3 响应性评审标准：见评标办法前附表。</w:t>
      </w:r>
      <w:bookmarkEnd w:id="693"/>
      <w:bookmarkStart w:id="694" w:name="_Toc186513212"/>
    </w:p>
    <w:p w14:paraId="6152CB2C">
      <w:pPr>
        <w:pStyle w:val="6"/>
        <w:adjustRightInd/>
        <w:ind w:firstLine="422" w:firstLineChars="200"/>
        <w:textAlignment w:val="baseline"/>
        <w:rPr>
          <w:rFonts w:hint="eastAsia" w:ascii="宋体" w:hAnsi="宋体" w:cs="宋体"/>
          <w:color w:val="auto"/>
          <w:sz w:val="21"/>
          <w:szCs w:val="21"/>
          <w:highlight w:val="none"/>
        </w:rPr>
      </w:pPr>
      <w:bookmarkStart w:id="695" w:name="_Toc22936"/>
      <w:bookmarkStart w:id="696" w:name="_Toc302769241"/>
      <w:bookmarkStart w:id="697" w:name="_Toc4690"/>
      <w:bookmarkStart w:id="698" w:name="_Toc6084"/>
      <w:bookmarkStart w:id="699" w:name="_Toc10238"/>
      <w:bookmarkStart w:id="700" w:name="_Toc8332"/>
      <w:bookmarkStart w:id="701" w:name="_Toc23717"/>
      <w:bookmarkStart w:id="702" w:name="_Toc29350"/>
      <w:r>
        <w:rPr>
          <w:rFonts w:hint="eastAsia" w:ascii="宋体" w:hAnsi="宋体" w:cs="宋体"/>
          <w:color w:val="auto"/>
          <w:sz w:val="21"/>
          <w:szCs w:val="21"/>
          <w:highlight w:val="none"/>
        </w:rPr>
        <w:t>2.2分值构成与评分标准</w:t>
      </w:r>
      <w:bookmarkEnd w:id="694"/>
      <w:bookmarkEnd w:id="695"/>
      <w:bookmarkEnd w:id="696"/>
      <w:bookmarkEnd w:id="697"/>
      <w:bookmarkEnd w:id="698"/>
      <w:bookmarkEnd w:id="699"/>
      <w:bookmarkEnd w:id="700"/>
      <w:bookmarkEnd w:id="701"/>
      <w:bookmarkEnd w:id="702"/>
    </w:p>
    <w:p w14:paraId="263167F6">
      <w:pPr>
        <w:spacing w:line="360" w:lineRule="auto"/>
        <w:ind w:firstLine="420" w:firstLineChars="200"/>
        <w:rPr>
          <w:rFonts w:hint="eastAsia" w:ascii="宋体" w:hAnsi="宋体" w:cs="宋体"/>
          <w:color w:val="auto"/>
          <w:szCs w:val="21"/>
          <w:highlight w:val="none"/>
        </w:rPr>
      </w:pPr>
      <w:bookmarkStart w:id="703" w:name="_Toc302769242"/>
      <w:r>
        <w:rPr>
          <w:rFonts w:hint="eastAsia" w:ascii="宋体" w:hAnsi="宋体" w:cs="宋体"/>
          <w:color w:val="auto"/>
          <w:szCs w:val="21"/>
          <w:highlight w:val="none"/>
        </w:rPr>
        <w:t>2.2.1 分值构成</w:t>
      </w:r>
      <w:bookmarkEnd w:id="703"/>
    </w:p>
    <w:p w14:paraId="4A5F72FE">
      <w:pPr>
        <w:spacing w:line="360" w:lineRule="auto"/>
        <w:ind w:firstLine="420" w:firstLineChars="200"/>
        <w:rPr>
          <w:rFonts w:hint="eastAsia" w:ascii="宋体" w:hAnsi="宋体" w:cs="宋体"/>
          <w:color w:val="auto"/>
          <w:szCs w:val="21"/>
          <w:highlight w:val="none"/>
        </w:rPr>
      </w:pPr>
      <w:bookmarkStart w:id="704" w:name="_Toc302769243"/>
      <w:r>
        <w:rPr>
          <w:rFonts w:hint="eastAsia" w:ascii="宋体" w:hAnsi="宋体" w:cs="宋体"/>
          <w:color w:val="auto"/>
          <w:szCs w:val="21"/>
          <w:highlight w:val="none"/>
        </w:rPr>
        <w:t>(1)技术部分分值：见评标办法前附表；</w:t>
      </w:r>
      <w:bookmarkEnd w:id="704"/>
    </w:p>
    <w:p w14:paraId="5727ECE2">
      <w:pPr>
        <w:spacing w:line="360" w:lineRule="auto"/>
        <w:ind w:firstLine="420" w:firstLineChars="200"/>
        <w:rPr>
          <w:rFonts w:hint="eastAsia" w:ascii="宋体" w:hAnsi="宋体" w:cs="宋体"/>
          <w:color w:val="auto"/>
          <w:szCs w:val="21"/>
          <w:highlight w:val="none"/>
        </w:rPr>
      </w:pPr>
      <w:bookmarkStart w:id="705" w:name="_Toc302769244"/>
      <w:r>
        <w:rPr>
          <w:rFonts w:hint="eastAsia" w:ascii="宋体" w:hAnsi="宋体" w:cs="宋体"/>
          <w:color w:val="auto"/>
          <w:szCs w:val="21"/>
          <w:highlight w:val="none"/>
        </w:rPr>
        <w:t>(2)商务部分分值：见评标办法前附表；</w:t>
      </w:r>
      <w:bookmarkEnd w:id="705"/>
    </w:p>
    <w:p w14:paraId="68EE97C1">
      <w:pPr>
        <w:spacing w:line="360" w:lineRule="auto"/>
        <w:ind w:firstLine="420" w:firstLineChars="200"/>
        <w:rPr>
          <w:rFonts w:hint="eastAsia" w:ascii="宋体" w:hAnsi="宋体" w:cs="宋体"/>
          <w:color w:val="auto"/>
          <w:szCs w:val="21"/>
          <w:highlight w:val="none"/>
        </w:rPr>
      </w:pPr>
      <w:bookmarkStart w:id="706" w:name="_Toc302769245"/>
      <w:r>
        <w:rPr>
          <w:rFonts w:hint="eastAsia" w:ascii="宋体" w:hAnsi="宋体" w:cs="宋体"/>
          <w:color w:val="auto"/>
          <w:szCs w:val="21"/>
          <w:highlight w:val="none"/>
        </w:rPr>
        <w:t>2.2.2 商务部分评分标准</w:t>
      </w:r>
      <w:bookmarkEnd w:id="706"/>
      <w:r>
        <w:rPr>
          <w:rFonts w:hint="eastAsia" w:ascii="宋体" w:hAnsi="宋体" w:cs="宋体"/>
          <w:color w:val="auto"/>
          <w:szCs w:val="21"/>
          <w:highlight w:val="none"/>
        </w:rPr>
        <w:t>：见评标办法前附表；</w:t>
      </w:r>
    </w:p>
    <w:p w14:paraId="4922FF1B">
      <w:pPr>
        <w:spacing w:line="360" w:lineRule="auto"/>
        <w:ind w:firstLine="420" w:firstLineChars="200"/>
        <w:rPr>
          <w:rFonts w:hint="eastAsia" w:ascii="宋体" w:hAnsi="宋体" w:cs="宋体"/>
          <w:color w:val="auto"/>
          <w:szCs w:val="21"/>
          <w:highlight w:val="none"/>
        </w:rPr>
      </w:pPr>
      <w:bookmarkStart w:id="707" w:name="_Toc302769247"/>
      <w:r>
        <w:rPr>
          <w:rFonts w:hint="eastAsia" w:ascii="宋体" w:hAnsi="宋体" w:cs="宋体"/>
          <w:color w:val="auto"/>
          <w:szCs w:val="21"/>
          <w:highlight w:val="none"/>
        </w:rPr>
        <w:t>2.2.3 技术部分评分标准</w:t>
      </w:r>
      <w:bookmarkEnd w:id="707"/>
      <w:r>
        <w:rPr>
          <w:rFonts w:hint="eastAsia" w:ascii="宋体" w:hAnsi="宋体" w:cs="宋体"/>
          <w:color w:val="auto"/>
          <w:szCs w:val="21"/>
          <w:highlight w:val="none"/>
        </w:rPr>
        <w:t>：见评标办法前附表。</w:t>
      </w:r>
    </w:p>
    <w:p w14:paraId="7A2D62FE">
      <w:pPr>
        <w:pStyle w:val="5"/>
        <w:ind w:firstLine="422" w:firstLineChars="200"/>
        <w:rPr>
          <w:rFonts w:hint="eastAsia" w:ascii="宋体" w:hAnsi="宋体" w:cs="宋体"/>
          <w:color w:val="auto"/>
          <w:sz w:val="21"/>
          <w:highlight w:val="none"/>
        </w:rPr>
      </w:pPr>
      <w:bookmarkStart w:id="708" w:name="_Toc656"/>
      <w:bookmarkStart w:id="709" w:name="_Toc302769249"/>
      <w:bookmarkStart w:id="710" w:name="_Toc7915"/>
      <w:bookmarkStart w:id="711" w:name="_Toc10134"/>
      <w:bookmarkStart w:id="712" w:name="_Toc23469"/>
      <w:bookmarkStart w:id="713" w:name="_Toc186513213"/>
      <w:bookmarkStart w:id="714" w:name="_Toc6089"/>
      <w:bookmarkStart w:id="715" w:name="_Toc23338"/>
      <w:bookmarkStart w:id="716" w:name="_Toc26797"/>
      <w:bookmarkStart w:id="717" w:name="_Toc258"/>
      <w:r>
        <w:rPr>
          <w:rFonts w:hint="eastAsia" w:ascii="宋体" w:hAnsi="宋体" w:cs="宋体"/>
          <w:color w:val="auto"/>
          <w:sz w:val="21"/>
          <w:highlight w:val="none"/>
        </w:rPr>
        <w:t>3.评标程序</w:t>
      </w:r>
      <w:bookmarkEnd w:id="708"/>
      <w:bookmarkEnd w:id="709"/>
      <w:bookmarkEnd w:id="710"/>
      <w:bookmarkEnd w:id="711"/>
      <w:bookmarkEnd w:id="712"/>
      <w:bookmarkEnd w:id="713"/>
      <w:bookmarkEnd w:id="714"/>
      <w:bookmarkEnd w:id="715"/>
      <w:bookmarkEnd w:id="716"/>
      <w:bookmarkEnd w:id="717"/>
      <w:bookmarkStart w:id="718" w:name="_Toc186513214"/>
    </w:p>
    <w:p w14:paraId="2ADB3BAC">
      <w:pPr>
        <w:pStyle w:val="6"/>
        <w:ind w:firstLine="422" w:firstLineChars="200"/>
        <w:rPr>
          <w:rFonts w:hint="eastAsia" w:ascii="宋体" w:hAnsi="宋体" w:cs="宋体"/>
          <w:color w:val="auto"/>
          <w:sz w:val="21"/>
          <w:highlight w:val="none"/>
        </w:rPr>
      </w:pPr>
      <w:bookmarkStart w:id="719" w:name="_Toc15129"/>
      <w:bookmarkStart w:id="720" w:name="_Toc5408"/>
      <w:bookmarkStart w:id="721" w:name="_Toc11751"/>
      <w:bookmarkStart w:id="722" w:name="_Toc4707"/>
      <w:bookmarkStart w:id="723" w:name="_Toc302769250"/>
      <w:bookmarkStart w:id="724" w:name="_Toc12964"/>
      <w:bookmarkStart w:id="725" w:name="_Toc4637"/>
      <w:bookmarkStart w:id="726" w:name="_Toc9045"/>
      <w:r>
        <w:rPr>
          <w:rFonts w:hint="eastAsia" w:ascii="宋体" w:hAnsi="宋体" w:cs="宋体"/>
          <w:color w:val="auto"/>
          <w:sz w:val="21"/>
          <w:highlight w:val="none"/>
        </w:rPr>
        <w:t>3.1 初步评审</w:t>
      </w:r>
      <w:bookmarkEnd w:id="718"/>
      <w:bookmarkEnd w:id="719"/>
      <w:bookmarkEnd w:id="720"/>
      <w:bookmarkEnd w:id="721"/>
      <w:bookmarkEnd w:id="722"/>
      <w:bookmarkEnd w:id="723"/>
      <w:bookmarkEnd w:id="724"/>
      <w:bookmarkEnd w:id="725"/>
      <w:bookmarkEnd w:id="726"/>
    </w:p>
    <w:p w14:paraId="1131B302">
      <w:pPr>
        <w:spacing w:line="360" w:lineRule="auto"/>
        <w:ind w:firstLine="420" w:firstLineChars="200"/>
        <w:rPr>
          <w:rFonts w:hint="eastAsia" w:ascii="宋体" w:hAnsi="宋体" w:cs="宋体"/>
          <w:color w:val="auto"/>
          <w:szCs w:val="21"/>
          <w:highlight w:val="none"/>
        </w:rPr>
      </w:pPr>
      <w:bookmarkStart w:id="727" w:name="_Toc302769251"/>
      <w:r>
        <w:rPr>
          <w:rFonts w:hint="eastAsia" w:ascii="宋体" w:hAnsi="宋体" w:cs="宋体"/>
          <w:color w:val="auto"/>
          <w:szCs w:val="21"/>
          <w:highlight w:val="none"/>
        </w:rPr>
        <w:t>3.1.1 评标委员会依据本章第2.1.1 项、第2.1.2 项、第2.1.3 项规定的评审标准对投标文件进行初步评审。有一项不符合评审标准的，否决其投标。</w:t>
      </w:r>
      <w:bookmarkEnd w:id="727"/>
    </w:p>
    <w:p w14:paraId="405C534A">
      <w:pPr>
        <w:spacing w:line="360" w:lineRule="auto"/>
        <w:ind w:firstLine="420" w:firstLineChars="200"/>
        <w:rPr>
          <w:rFonts w:hint="eastAsia" w:ascii="宋体" w:hAnsi="宋体" w:cs="宋体"/>
          <w:color w:val="auto"/>
          <w:szCs w:val="21"/>
          <w:highlight w:val="none"/>
        </w:rPr>
      </w:pPr>
      <w:bookmarkStart w:id="728" w:name="_Toc302769252"/>
      <w:r>
        <w:rPr>
          <w:rFonts w:hint="eastAsia" w:ascii="宋体" w:hAnsi="宋体" w:cs="宋体"/>
          <w:color w:val="auto"/>
          <w:szCs w:val="21"/>
          <w:highlight w:val="none"/>
        </w:rPr>
        <w:t>3.1.2 投标人有附件B“投标被否决条件”中规定的任何一种情形的，其投标</w:t>
      </w:r>
      <w:bookmarkEnd w:id="728"/>
      <w:r>
        <w:rPr>
          <w:rFonts w:hint="eastAsia" w:ascii="宋体" w:hAnsi="宋体" w:cs="宋体"/>
          <w:color w:val="auto"/>
          <w:highlight w:val="none"/>
        </w:rPr>
        <w:t>将被否决</w:t>
      </w:r>
      <w:r>
        <w:rPr>
          <w:rFonts w:hint="eastAsia" w:ascii="宋体" w:hAnsi="宋体" w:cs="宋体"/>
          <w:color w:val="auto"/>
          <w:szCs w:val="21"/>
          <w:highlight w:val="none"/>
        </w:rPr>
        <w:t>。</w:t>
      </w:r>
    </w:p>
    <w:p w14:paraId="59BBE2ED">
      <w:pPr>
        <w:spacing w:line="360" w:lineRule="auto"/>
        <w:ind w:firstLine="420" w:firstLineChars="200"/>
        <w:rPr>
          <w:rFonts w:hint="eastAsia" w:ascii="宋体" w:hAnsi="宋体" w:cs="宋体"/>
          <w:color w:val="auto"/>
          <w:szCs w:val="21"/>
          <w:highlight w:val="none"/>
        </w:rPr>
      </w:pPr>
      <w:bookmarkStart w:id="729" w:name="_Toc302769257"/>
      <w:r>
        <w:rPr>
          <w:rFonts w:hint="eastAsia" w:ascii="宋体" w:hAnsi="宋体" w:cs="宋体"/>
          <w:color w:val="auto"/>
          <w:szCs w:val="21"/>
          <w:highlight w:val="none"/>
        </w:rPr>
        <w:t>3.1.3 投标报价有算术错误的，评标委员会按以下原则对投标报价进行修正，修正的价格经投标人书面确认后具有约束力。投标人不接受修正价格的，其投标将被否决。</w:t>
      </w:r>
      <w:bookmarkEnd w:id="729"/>
    </w:p>
    <w:p w14:paraId="0C6B1D1D">
      <w:pPr>
        <w:spacing w:line="360" w:lineRule="auto"/>
        <w:ind w:firstLine="420" w:firstLineChars="200"/>
        <w:rPr>
          <w:rFonts w:hint="eastAsia" w:ascii="宋体" w:hAnsi="宋体" w:cs="宋体"/>
          <w:color w:val="auto"/>
          <w:szCs w:val="21"/>
          <w:highlight w:val="none"/>
        </w:rPr>
      </w:pPr>
      <w:bookmarkStart w:id="730" w:name="_Toc302769258"/>
      <w:r>
        <w:rPr>
          <w:rFonts w:hint="eastAsia" w:ascii="宋体" w:hAnsi="宋体" w:cs="宋体"/>
          <w:color w:val="auto"/>
          <w:szCs w:val="21"/>
          <w:highlight w:val="none"/>
        </w:rPr>
        <w:t>(1)投标文件中的大写金额与小写金额不一致的，以大写金额为准；</w:t>
      </w:r>
      <w:bookmarkEnd w:id="730"/>
    </w:p>
    <w:p w14:paraId="690B4417">
      <w:pPr>
        <w:spacing w:line="360" w:lineRule="auto"/>
        <w:ind w:firstLine="420" w:firstLineChars="200"/>
        <w:rPr>
          <w:rFonts w:hint="eastAsia" w:ascii="宋体" w:hAnsi="宋体" w:cs="宋体"/>
          <w:color w:val="auto"/>
          <w:szCs w:val="21"/>
          <w:highlight w:val="none"/>
        </w:rPr>
      </w:pPr>
      <w:bookmarkStart w:id="731" w:name="_Toc302769259"/>
      <w:r>
        <w:rPr>
          <w:rFonts w:hint="eastAsia" w:ascii="宋体" w:hAnsi="宋体" w:cs="宋体"/>
          <w:color w:val="auto"/>
          <w:szCs w:val="21"/>
          <w:highlight w:val="none"/>
        </w:rPr>
        <w:t>(2)总价金额与依据单价计算出的结果不一致的，以单价金额为准修正总价，但单价金额小数点有明显错误的除外。</w:t>
      </w:r>
      <w:bookmarkEnd w:id="731"/>
      <w:bookmarkStart w:id="732" w:name="_Toc186513215"/>
    </w:p>
    <w:p w14:paraId="0083EBD2">
      <w:pPr>
        <w:pStyle w:val="6"/>
        <w:ind w:firstLine="422" w:firstLineChars="200"/>
        <w:rPr>
          <w:rFonts w:hint="eastAsia" w:ascii="宋体" w:hAnsi="宋体" w:cs="宋体"/>
          <w:color w:val="auto"/>
          <w:sz w:val="21"/>
          <w:highlight w:val="none"/>
        </w:rPr>
      </w:pPr>
      <w:bookmarkStart w:id="733" w:name="_Toc12124"/>
      <w:bookmarkStart w:id="734" w:name="_Toc23528"/>
      <w:bookmarkStart w:id="735" w:name="_Toc6630"/>
      <w:bookmarkStart w:id="736" w:name="_Toc302769260"/>
      <w:bookmarkStart w:id="737" w:name="_Toc9191"/>
      <w:bookmarkStart w:id="738" w:name="_Toc21863"/>
      <w:bookmarkStart w:id="739" w:name="_Toc9565"/>
      <w:bookmarkStart w:id="740" w:name="_Toc10873"/>
      <w:r>
        <w:rPr>
          <w:rFonts w:hint="eastAsia" w:ascii="宋体" w:hAnsi="宋体" w:cs="宋体"/>
          <w:color w:val="auto"/>
          <w:sz w:val="21"/>
          <w:highlight w:val="none"/>
        </w:rPr>
        <w:t>3.2 详细评审</w:t>
      </w:r>
      <w:bookmarkEnd w:id="732"/>
      <w:bookmarkEnd w:id="733"/>
      <w:bookmarkEnd w:id="734"/>
      <w:bookmarkEnd w:id="735"/>
      <w:bookmarkEnd w:id="736"/>
      <w:bookmarkEnd w:id="737"/>
      <w:bookmarkEnd w:id="738"/>
      <w:bookmarkEnd w:id="739"/>
      <w:bookmarkEnd w:id="740"/>
    </w:p>
    <w:p w14:paraId="5E2995E1">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3.2.1 所有未被否决的投标人均进入详细评审。评标委员会按本章第 2.2 款规定的量化因素和分值进行打分，并计算出综合评估得分。商务、技术部分评分中，各评委应自主评分并签字确认。</w:t>
      </w:r>
    </w:p>
    <w:p w14:paraId="000D59CC">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（1）按本章第 2.2.2目规定的评审因素和分值对商务部分计算出得分A；</w:t>
      </w:r>
    </w:p>
    <w:p w14:paraId="29D7C8F3">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（2）按本章第 2.2.3目规定的评审因素和分值对技术部分计算出得分B；</w:t>
      </w:r>
    </w:p>
    <w:p w14:paraId="0BD30DD5">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3.2.2评分分值计算保留小数点后两位，小数点后第三位“四舍五入”。</w:t>
      </w:r>
    </w:p>
    <w:p w14:paraId="7A78C91F">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3.2.3 投标人得分=A+B。</w:t>
      </w:r>
    </w:p>
    <w:p w14:paraId="0BFFAF8D">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统计分数原则：计算各个评委技术部分得分汇总之和的算术平均分值为投标人技术部分的最终得分（保留小数点后两位）。</w:t>
      </w:r>
    </w:p>
    <w:p w14:paraId="46D3794E">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3.2.4 评标委员会发现投标人的报价明显低于其他投标报价，使得其投标报价可能低于其个别成本的，应当要求该投标人作出书面说明并提供相应的证明材料。投标人不能合理说明或者不能提供相应证明材料的，评标委员会应当认定该投标人以低于成本报价竞标，并否决其投标。</w:t>
      </w:r>
    </w:p>
    <w:p w14:paraId="2A79FA57">
      <w:pPr>
        <w:pStyle w:val="6"/>
        <w:ind w:firstLine="422" w:firstLineChars="200"/>
        <w:rPr>
          <w:rFonts w:hint="eastAsia" w:ascii="宋体" w:hAnsi="宋体" w:cs="宋体"/>
          <w:color w:val="auto"/>
          <w:sz w:val="21"/>
          <w:highlight w:val="none"/>
        </w:rPr>
      </w:pPr>
      <w:bookmarkStart w:id="741" w:name="_Toc18684"/>
      <w:bookmarkStart w:id="742" w:name="_Toc302769264"/>
      <w:bookmarkStart w:id="743" w:name="_Toc8196"/>
      <w:bookmarkStart w:id="744" w:name="_Toc21801"/>
      <w:bookmarkStart w:id="745" w:name="_Toc186513216"/>
      <w:bookmarkStart w:id="746" w:name="_Toc26528"/>
      <w:bookmarkStart w:id="747" w:name="_Toc12849"/>
      <w:bookmarkStart w:id="748" w:name="_Toc19323"/>
      <w:bookmarkStart w:id="749" w:name="_Toc14530"/>
      <w:r>
        <w:rPr>
          <w:rFonts w:hint="eastAsia" w:ascii="宋体" w:hAnsi="宋体" w:cs="宋体"/>
          <w:color w:val="auto"/>
          <w:sz w:val="21"/>
          <w:highlight w:val="none"/>
        </w:rPr>
        <w:t>3.3 投标文件的澄清和补正</w:t>
      </w:r>
      <w:bookmarkEnd w:id="741"/>
      <w:bookmarkEnd w:id="742"/>
      <w:bookmarkEnd w:id="743"/>
      <w:bookmarkEnd w:id="744"/>
      <w:bookmarkEnd w:id="745"/>
      <w:bookmarkEnd w:id="746"/>
      <w:bookmarkEnd w:id="747"/>
      <w:bookmarkEnd w:id="748"/>
      <w:bookmarkEnd w:id="749"/>
    </w:p>
    <w:p w14:paraId="26F6971C">
      <w:pPr>
        <w:spacing w:line="360" w:lineRule="auto"/>
        <w:ind w:firstLine="420" w:firstLineChars="200"/>
        <w:rPr>
          <w:rFonts w:hint="eastAsia" w:ascii="宋体" w:hAnsi="宋体" w:cs="宋体"/>
          <w:color w:val="auto"/>
          <w:szCs w:val="21"/>
          <w:highlight w:val="none"/>
        </w:rPr>
      </w:pPr>
      <w:bookmarkStart w:id="750" w:name="_Toc302769265"/>
      <w:r>
        <w:rPr>
          <w:rFonts w:hint="eastAsia" w:ascii="宋体" w:hAnsi="宋体" w:cs="宋体"/>
          <w:color w:val="auto"/>
          <w:szCs w:val="21"/>
          <w:highlight w:val="none"/>
        </w:rPr>
        <w:t>3.3.1 在评标过程中，评标委员会可以书面形式要求投标人对所提交投标文件中不明确的内容进行书面澄清或说明，或者对细微偏差进行补正。评标委员会不接受投标人主动提出的澄清、说明或补正。</w:t>
      </w:r>
      <w:bookmarkEnd w:id="750"/>
    </w:p>
    <w:p w14:paraId="33831799">
      <w:pPr>
        <w:spacing w:line="360" w:lineRule="auto"/>
        <w:ind w:firstLine="420" w:firstLineChars="200"/>
        <w:rPr>
          <w:rFonts w:hint="eastAsia" w:ascii="宋体" w:hAnsi="宋体" w:cs="宋体"/>
          <w:color w:val="auto"/>
          <w:szCs w:val="21"/>
          <w:highlight w:val="none"/>
        </w:rPr>
      </w:pPr>
      <w:bookmarkStart w:id="751" w:name="_Toc302769266"/>
      <w:r>
        <w:rPr>
          <w:rFonts w:hint="eastAsia" w:ascii="宋体" w:hAnsi="宋体" w:cs="宋体"/>
          <w:color w:val="auto"/>
          <w:szCs w:val="21"/>
          <w:highlight w:val="none"/>
        </w:rPr>
        <w:t>3.3.2 澄清、说明和补正不得改变投标文件的实质性内容（算术性错误修正的除外）。投标人的书面澄清、说明和补正属于投标文件的组成部分。</w:t>
      </w:r>
      <w:bookmarkEnd w:id="751"/>
    </w:p>
    <w:p w14:paraId="2F468537">
      <w:pPr>
        <w:spacing w:line="360" w:lineRule="auto"/>
        <w:ind w:firstLine="420" w:firstLineChars="200"/>
        <w:rPr>
          <w:rFonts w:hint="eastAsia" w:ascii="宋体" w:hAnsi="宋体" w:cs="宋体"/>
          <w:color w:val="auto"/>
          <w:szCs w:val="21"/>
          <w:highlight w:val="none"/>
        </w:rPr>
      </w:pPr>
      <w:bookmarkStart w:id="752" w:name="_Toc302769267"/>
      <w:r>
        <w:rPr>
          <w:rFonts w:hint="eastAsia" w:ascii="宋体" w:hAnsi="宋体" w:cs="宋体"/>
          <w:color w:val="auto"/>
          <w:szCs w:val="21"/>
          <w:highlight w:val="none"/>
        </w:rPr>
        <w:t>3.3.3 评标委员会对投标人提交的澄清、说明或补正有疑问的，可以要求投标人进一步澄清、说明或补正，直至满足评标委员会的要求。</w:t>
      </w:r>
      <w:bookmarkEnd w:id="752"/>
      <w:bookmarkStart w:id="753" w:name="_Toc186513217"/>
    </w:p>
    <w:p w14:paraId="45B89DC9">
      <w:pPr>
        <w:pStyle w:val="6"/>
        <w:ind w:firstLine="422" w:firstLineChars="200"/>
        <w:rPr>
          <w:rFonts w:hint="eastAsia" w:ascii="宋体" w:hAnsi="宋体" w:cs="宋体"/>
          <w:color w:val="auto"/>
          <w:sz w:val="21"/>
          <w:highlight w:val="none"/>
        </w:rPr>
      </w:pPr>
      <w:bookmarkStart w:id="754" w:name="_Toc27905"/>
      <w:bookmarkStart w:id="755" w:name="_Toc19453"/>
      <w:bookmarkStart w:id="756" w:name="_Toc28019"/>
      <w:bookmarkStart w:id="757" w:name="_Toc2058"/>
      <w:bookmarkStart w:id="758" w:name="_Toc302769268"/>
      <w:bookmarkStart w:id="759" w:name="_Toc32263"/>
      <w:bookmarkStart w:id="760" w:name="_Toc1609"/>
      <w:bookmarkStart w:id="761" w:name="_Toc11496"/>
      <w:r>
        <w:rPr>
          <w:rFonts w:hint="eastAsia" w:ascii="宋体" w:hAnsi="宋体" w:cs="宋体"/>
          <w:color w:val="auto"/>
          <w:sz w:val="21"/>
          <w:highlight w:val="none"/>
        </w:rPr>
        <w:t>3.4 评标结果</w:t>
      </w:r>
      <w:bookmarkEnd w:id="753"/>
      <w:bookmarkEnd w:id="754"/>
      <w:bookmarkEnd w:id="755"/>
      <w:bookmarkEnd w:id="756"/>
      <w:bookmarkEnd w:id="757"/>
      <w:bookmarkEnd w:id="758"/>
      <w:bookmarkEnd w:id="759"/>
      <w:bookmarkEnd w:id="760"/>
      <w:bookmarkEnd w:id="761"/>
    </w:p>
    <w:p w14:paraId="2DDC2EAE">
      <w:pPr>
        <w:spacing w:line="360" w:lineRule="auto"/>
        <w:ind w:firstLine="420" w:firstLineChars="200"/>
        <w:rPr>
          <w:rFonts w:hint="eastAsia" w:ascii="宋体" w:hAnsi="宋体" w:cs="宋体"/>
          <w:color w:val="auto"/>
          <w:szCs w:val="21"/>
          <w:highlight w:val="none"/>
        </w:rPr>
      </w:pPr>
      <w:bookmarkStart w:id="762" w:name="_Toc302769269"/>
      <w:r>
        <w:rPr>
          <w:rFonts w:hint="eastAsia" w:ascii="宋体" w:hAnsi="宋体" w:cs="宋体"/>
          <w:color w:val="auto"/>
          <w:szCs w:val="21"/>
          <w:highlight w:val="none"/>
        </w:rPr>
        <w:t>3.4.1 除第二章“投标人须知”前附表授权直接确定中标人外，评标委员会按照最后得分由高到低的顺序推荐中标候选人。</w:t>
      </w:r>
      <w:bookmarkEnd w:id="762"/>
      <w:r>
        <w:rPr>
          <w:rFonts w:hint="eastAsia" w:ascii="宋体" w:hAnsi="宋体" w:cs="宋体"/>
          <w:color w:val="auto"/>
          <w:szCs w:val="21"/>
          <w:highlight w:val="none"/>
        </w:rPr>
        <w:t>若投标人最后得分相同时，推荐中标候选人的顺序按商务部分得分由高到低的顺序推荐中标候选人，若商务部分得分也相同时，评标委员会成员以记名投票的方式，按少数服从多数的原则确定其得分相同投标人的排名顺序。</w:t>
      </w:r>
    </w:p>
    <w:p w14:paraId="37E7CF85">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评标报告由评标委员会全体成员签字。对评标结论持有异议的评标委员会成员可以以书面方式阐述其不同意见和理由。评标委员会成员拒绝在评标报告上签字且不陈述其不同意见和理由的，视为同意评标结论。评标委员会应当对此做出书面说明并记录在案。</w:t>
      </w:r>
    </w:p>
    <w:p w14:paraId="38A99CE3">
      <w:pPr>
        <w:spacing w:line="360" w:lineRule="auto"/>
        <w:ind w:firstLine="420" w:firstLineChars="200"/>
        <w:rPr>
          <w:rFonts w:hint="eastAsia" w:ascii="宋体" w:hAnsi="宋体" w:cs="宋体"/>
          <w:color w:val="auto"/>
          <w:szCs w:val="21"/>
          <w:highlight w:val="none"/>
        </w:rPr>
      </w:pPr>
      <w:bookmarkStart w:id="763" w:name="_Toc302769270"/>
      <w:r>
        <w:rPr>
          <w:rFonts w:hint="eastAsia" w:ascii="宋体" w:hAnsi="宋体" w:cs="宋体"/>
          <w:color w:val="auto"/>
          <w:szCs w:val="21"/>
          <w:highlight w:val="none"/>
        </w:rPr>
        <w:t>3.4.2 评标委员会完成评标后，应当向招标人提交书面评标报告。</w:t>
      </w:r>
      <w:bookmarkEnd w:id="763"/>
    </w:p>
    <w:p w14:paraId="7A5ACC0C">
      <w:pPr>
        <w:spacing w:line="360" w:lineRule="auto"/>
        <w:ind w:firstLine="420" w:firstLineChars="200"/>
        <w:rPr>
          <w:rFonts w:hint="eastAsia" w:ascii="宋体" w:hAnsi="宋体" w:cs="宋体"/>
          <w:color w:val="auto"/>
          <w:szCs w:val="21"/>
          <w:highlight w:val="none"/>
        </w:rPr>
      </w:pPr>
      <w:r>
        <w:rPr>
          <w:rFonts w:ascii="宋体" w:hAnsi="宋体" w:eastAsia="宋体" w:cs="宋体"/>
          <w:color w:val="auto"/>
          <w:highlight w:val="none"/>
          <w:lang w:eastAsia="zh-CN"/>
        </w:rPr>
        <w:t>3.4.3</w:t>
      </w:r>
      <w:r>
        <w:rPr>
          <w:rFonts w:hint="eastAsia" w:ascii="宋体" w:hAnsi="宋体" w:eastAsia="宋体" w:cs="宋体"/>
          <w:color w:val="auto"/>
          <w:highlight w:val="none"/>
          <w:lang w:eastAsia="zh-CN"/>
        </w:rPr>
        <w:t>经评审委员会评审，当实质性响应招标文件的投标人不足三家时，若评标委员会认为剩下的投标人</w:t>
      </w:r>
      <w:r>
        <w:rPr>
          <w:rFonts w:hint="eastAsia" w:ascii="宋体" w:hAnsi="宋体" w:eastAsia="宋体" w:cs="宋体"/>
          <w:color w:val="auto"/>
          <w:highlight w:val="none"/>
          <w:lang w:val="en-US" w:eastAsia="zh-CN"/>
        </w:rPr>
        <w:t>报价合理、</w:t>
      </w:r>
      <w:r>
        <w:rPr>
          <w:rFonts w:hint="eastAsia" w:ascii="宋体" w:hAnsi="宋体" w:eastAsia="宋体" w:cs="宋体"/>
          <w:color w:val="auto"/>
          <w:highlight w:val="none"/>
          <w:lang w:eastAsia="zh-CN"/>
        </w:rPr>
        <w:t>技术方案符合项目情况，具备推荐中标的条件，评标委员会可继续进行评审并推荐合格的中标候选人。若实质响应招标文件的投标人仅剩一家时，评标委员会将否决全部投标，建议招标人重新组织招标。</w:t>
      </w:r>
    </w:p>
    <w:p w14:paraId="51C3F5F3">
      <w:pPr>
        <w:pStyle w:val="4"/>
        <w:rPr>
          <w:rFonts w:hint="eastAsia" w:ascii="宋体" w:hAnsi="宋体" w:eastAsia="宋体" w:cs="宋体"/>
          <w:color w:val="auto"/>
          <w:sz w:val="24"/>
          <w:szCs w:val="24"/>
          <w:highlight w:val="none"/>
        </w:rPr>
      </w:pPr>
      <w:bookmarkStart w:id="764" w:name="_Toc4919"/>
      <w:bookmarkStart w:id="765" w:name="_Toc128"/>
      <w:bookmarkStart w:id="766" w:name="_Toc7465"/>
      <w:bookmarkStart w:id="767" w:name="_Toc22165"/>
      <w:bookmarkStart w:id="768" w:name="_Toc30556"/>
      <w:bookmarkStart w:id="769" w:name="_Toc6502"/>
      <w:bookmarkStart w:id="770" w:name="_Toc302769271"/>
      <w:bookmarkStart w:id="771" w:name="_Toc20791"/>
      <w:bookmarkStart w:id="772" w:name="_Toc84758515"/>
      <w:bookmarkStart w:id="773" w:name="_Toc24948"/>
      <w:bookmarkStart w:id="774" w:name="_Toc84762893"/>
      <w:r>
        <w:rPr>
          <w:rFonts w:hint="eastAsia" w:ascii="宋体" w:hAnsi="宋体" w:eastAsia="宋体" w:cs="宋体"/>
          <w:color w:val="auto"/>
          <w:sz w:val="24"/>
          <w:szCs w:val="24"/>
          <w:highlight w:val="none"/>
        </w:rPr>
        <w:t>附件A：评标详细程序</w:t>
      </w:r>
      <w:bookmarkEnd w:id="764"/>
      <w:bookmarkEnd w:id="765"/>
      <w:bookmarkEnd w:id="766"/>
      <w:bookmarkEnd w:id="767"/>
      <w:bookmarkEnd w:id="768"/>
      <w:bookmarkEnd w:id="769"/>
      <w:bookmarkEnd w:id="770"/>
      <w:bookmarkEnd w:id="771"/>
      <w:bookmarkEnd w:id="772"/>
      <w:bookmarkEnd w:id="773"/>
      <w:bookmarkEnd w:id="774"/>
    </w:p>
    <w:p w14:paraId="6F5DF9B7">
      <w:pPr>
        <w:spacing w:line="360" w:lineRule="auto"/>
        <w:ind w:firstLine="420" w:firstLineChars="200"/>
        <w:rPr>
          <w:rFonts w:hint="eastAsia" w:ascii="宋体" w:hAnsi="宋体" w:cs="宋体"/>
          <w:color w:val="auto"/>
          <w:szCs w:val="21"/>
          <w:highlight w:val="none"/>
        </w:rPr>
      </w:pPr>
      <w:bookmarkStart w:id="775" w:name="_Toc302769272"/>
      <w:r>
        <w:rPr>
          <w:rFonts w:hint="eastAsia" w:ascii="宋体" w:hAnsi="宋体" w:cs="宋体"/>
          <w:color w:val="auto"/>
          <w:szCs w:val="21"/>
          <w:highlight w:val="none"/>
        </w:rPr>
        <w:t>评标详细程序</w:t>
      </w:r>
      <w:bookmarkEnd w:id="775"/>
    </w:p>
    <w:p w14:paraId="14D58E75">
      <w:pPr>
        <w:pStyle w:val="6"/>
        <w:rPr>
          <w:rFonts w:hint="eastAsia" w:ascii="宋体" w:hAnsi="宋体" w:cs="宋体"/>
          <w:color w:val="auto"/>
          <w:sz w:val="21"/>
          <w:highlight w:val="none"/>
        </w:rPr>
      </w:pPr>
      <w:bookmarkStart w:id="776" w:name="_Toc22065"/>
      <w:bookmarkStart w:id="777" w:name="_Toc6596"/>
      <w:bookmarkStart w:id="778" w:name="_Toc8167"/>
      <w:bookmarkStart w:id="779" w:name="_Toc15263"/>
      <w:bookmarkStart w:id="780" w:name="_Toc29426"/>
      <w:bookmarkStart w:id="781" w:name="_Toc13998"/>
      <w:bookmarkStart w:id="782" w:name="_Toc1731"/>
      <w:r>
        <w:rPr>
          <w:rFonts w:hint="eastAsia" w:ascii="宋体" w:hAnsi="宋体" w:cs="宋体"/>
          <w:color w:val="auto"/>
          <w:sz w:val="21"/>
          <w:highlight w:val="none"/>
        </w:rPr>
        <w:t>A0.总则</w:t>
      </w:r>
      <w:bookmarkEnd w:id="776"/>
      <w:bookmarkEnd w:id="777"/>
      <w:bookmarkEnd w:id="778"/>
      <w:bookmarkEnd w:id="779"/>
      <w:bookmarkEnd w:id="780"/>
      <w:bookmarkEnd w:id="781"/>
      <w:bookmarkEnd w:id="782"/>
    </w:p>
    <w:p w14:paraId="6B12AEDA">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本附件是本章“评标办法”的组成部分，是对本章第3条所规定的评标程序的进一些细化，评标委员会应当按照本附件所规定的详细程序开展并完成评标工作。</w:t>
      </w:r>
    </w:p>
    <w:p w14:paraId="757B764D">
      <w:pPr>
        <w:pStyle w:val="6"/>
        <w:rPr>
          <w:rFonts w:hint="eastAsia" w:ascii="宋体" w:hAnsi="宋体" w:cs="宋体"/>
          <w:color w:val="auto"/>
          <w:sz w:val="21"/>
          <w:highlight w:val="none"/>
        </w:rPr>
      </w:pPr>
      <w:bookmarkStart w:id="783" w:name="_Toc21373"/>
      <w:bookmarkStart w:id="784" w:name="_Toc10720"/>
      <w:bookmarkStart w:id="785" w:name="_Toc22121"/>
      <w:bookmarkStart w:id="786" w:name="_Toc477"/>
      <w:bookmarkStart w:id="787" w:name="_Toc22714"/>
      <w:bookmarkStart w:id="788" w:name="_Toc9649"/>
      <w:bookmarkStart w:id="789" w:name="_Toc18905"/>
      <w:r>
        <w:rPr>
          <w:rFonts w:hint="eastAsia" w:ascii="宋体" w:hAnsi="宋体" w:cs="宋体"/>
          <w:color w:val="auto"/>
          <w:sz w:val="21"/>
          <w:highlight w:val="none"/>
        </w:rPr>
        <w:t>A1.基本程序</w:t>
      </w:r>
      <w:bookmarkEnd w:id="783"/>
      <w:bookmarkEnd w:id="784"/>
      <w:bookmarkEnd w:id="785"/>
      <w:bookmarkEnd w:id="786"/>
      <w:bookmarkEnd w:id="787"/>
      <w:bookmarkEnd w:id="788"/>
      <w:bookmarkEnd w:id="789"/>
    </w:p>
    <w:p w14:paraId="3BA6B919">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评标活动将按以下五个步骤进行：</w:t>
      </w:r>
    </w:p>
    <w:p w14:paraId="6ACEC887">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（1）评标准备；</w:t>
      </w:r>
    </w:p>
    <w:p w14:paraId="2FA65091">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（2）初步评审；</w:t>
      </w:r>
    </w:p>
    <w:p w14:paraId="035BEE7E">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（3）详细评审；</w:t>
      </w:r>
    </w:p>
    <w:p w14:paraId="20A5FBDB">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（4）澄清、说明或补正；</w:t>
      </w:r>
    </w:p>
    <w:p w14:paraId="6FD970B2">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（5）推荐中标候选人或者直接确定中标人及提交评标报告。</w:t>
      </w:r>
    </w:p>
    <w:p w14:paraId="388478FE">
      <w:pPr>
        <w:pStyle w:val="6"/>
        <w:rPr>
          <w:rFonts w:hint="eastAsia" w:ascii="宋体" w:hAnsi="宋体" w:cs="宋体"/>
          <w:color w:val="auto"/>
          <w:sz w:val="21"/>
          <w:highlight w:val="none"/>
        </w:rPr>
      </w:pPr>
      <w:bookmarkStart w:id="790" w:name="_Toc25833"/>
      <w:bookmarkStart w:id="791" w:name="_Toc27843"/>
      <w:bookmarkStart w:id="792" w:name="_Toc9461"/>
      <w:bookmarkStart w:id="793" w:name="_Toc31411"/>
      <w:bookmarkStart w:id="794" w:name="_Toc1357"/>
      <w:bookmarkStart w:id="795" w:name="_Toc26449"/>
      <w:bookmarkStart w:id="796" w:name="_Toc21835"/>
      <w:r>
        <w:rPr>
          <w:rFonts w:hint="eastAsia" w:ascii="宋体" w:hAnsi="宋体" w:cs="宋体"/>
          <w:color w:val="auto"/>
          <w:sz w:val="21"/>
          <w:highlight w:val="none"/>
        </w:rPr>
        <w:t>A2.评标准备</w:t>
      </w:r>
      <w:bookmarkEnd w:id="790"/>
      <w:bookmarkEnd w:id="791"/>
      <w:bookmarkEnd w:id="792"/>
      <w:bookmarkEnd w:id="793"/>
      <w:bookmarkEnd w:id="794"/>
      <w:bookmarkEnd w:id="795"/>
      <w:bookmarkEnd w:id="796"/>
    </w:p>
    <w:p w14:paraId="427E8E2C">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A2.1评标委员会成员签到</w:t>
      </w:r>
    </w:p>
    <w:p w14:paraId="2F88173C">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评标委员会成员到达评标现场时应在签到表上签到以证明其出席。</w:t>
      </w:r>
    </w:p>
    <w:p w14:paraId="7C8D7F47">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A2.2评标委员会的分工</w:t>
      </w:r>
    </w:p>
    <w:p w14:paraId="32690698">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评标委员会首先推选一名评标委员会主任。招标人也可以直接指定评标委员会主任。评标委员会主任负责评标活动的组织领导工作。评标委员会主任在与其他评标委员会成员商议的基础上可以将评标委员会划分为技术组和商务组。</w:t>
      </w:r>
    </w:p>
    <w:p w14:paraId="67D84186">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A2.3熟悉文件资料</w:t>
      </w:r>
    </w:p>
    <w:p w14:paraId="7FAFDDAF">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A2.3.1评标委员会主任应组织评标委员会成员认真研究招标文件，了解和熟悉招标目的、招标范围、主要合同条件、技术标准和要求、质量标准和</w:t>
      </w:r>
      <w:r>
        <w:rPr>
          <w:rFonts w:hint="eastAsia" w:ascii="宋体" w:hAnsi="宋体" w:cs="宋体"/>
          <w:color w:val="auto"/>
          <w:szCs w:val="21"/>
          <w:highlight w:val="none"/>
          <w:lang w:eastAsia="zh-CN"/>
        </w:rPr>
        <w:t>服务期限</w:t>
      </w:r>
      <w:r>
        <w:rPr>
          <w:rFonts w:hint="eastAsia" w:ascii="宋体" w:hAnsi="宋体" w:cs="宋体"/>
          <w:color w:val="auto"/>
          <w:szCs w:val="21"/>
          <w:highlight w:val="none"/>
        </w:rPr>
        <w:t>要求，掌握评标标准和方法，熟悉本章及评标表格的使用，如果本章及评标表格不能满足评标所需时，评标委员会应补充编制评标所需的表格，尤其是用于详细分析计算的表格。未在招标文件中规定的标准和方法不得作为评标的依据。</w:t>
      </w:r>
    </w:p>
    <w:p w14:paraId="688C01E9">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A2.3.2招标人或招标代理机构应向评标委员会提供评标所需的信息和数据，包括招标文件、未在开标会上当场拒绝的各投标文件、开标会记录、有关的法律、法规、规章、国家标准以及招标人或评标委员会认为必要的其他信息和数据。</w:t>
      </w:r>
    </w:p>
    <w:p w14:paraId="1E5CAC47">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A2.4对投标文件进行基础性数据分析和整理工作(清标)</w:t>
      </w:r>
    </w:p>
    <w:p w14:paraId="7209913C">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A2.4.1在不改变投标人投标文件实质性内容的前提下，评标委员会应当对投标文件进行基础性数据分析和整理(本章中简称为“清标”)，从而发现并提取其中可能存在的对招标范围理解的偏差、投标报价的算术性错误、错漏项、投标报价构成不合理、不平衡报价等存在明显异常的问题，并就这些问题整理形成清标成果。评标委员会对清标成果审议后，决定需要投标人进行书面澄清、说明或补正的问题，形成质疑问卷，向投标人发出问题澄清通知(包括质疑问卷)。</w:t>
      </w:r>
    </w:p>
    <w:p w14:paraId="3EF7B78B">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A2.4.2在不影响评标委员会成员的法定权利的前提下，评标委员会可委托由招标人专门成立的清标工作小组完成清标工作。在这种情况下，清标工作可以在评标工作开始之前完成，也可以与评标工作平行进行。清标工作小组成员应为具备相应执业资格的专业人员，且应当符合有关法律法规对评标专家的回避规定和要求，不得与任何投标人有利益、上下级等关系，不得代行依法应当由评标委员会及其成员行使的权利。清标成果应当经过评标委员会的审核确认，经过评标委员会审核确认的清标成果视同是评标委员会的工作成果，并由评标委员会以书面方式追加对清标工作小组的授权，书面授权委托书必须由评标委员会全体成员签名。</w:t>
      </w:r>
    </w:p>
    <w:p w14:paraId="183754B4">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A2.4.3投标人接到评标委员会发出的问题澄清通知后，应按评标委员会的要求提供书面澄清资料并按要求进行密封，在规定的时间递交到指定地点。投标人递交的书面澄清资料由评标委员会开启。</w:t>
      </w:r>
    </w:p>
    <w:p w14:paraId="1C5793FB">
      <w:pPr>
        <w:pStyle w:val="6"/>
        <w:rPr>
          <w:rFonts w:hint="eastAsia" w:ascii="宋体" w:hAnsi="宋体" w:cs="宋体"/>
          <w:color w:val="auto"/>
          <w:sz w:val="21"/>
          <w:highlight w:val="none"/>
        </w:rPr>
      </w:pPr>
      <w:bookmarkStart w:id="797" w:name="_Toc13198"/>
      <w:bookmarkStart w:id="798" w:name="_Toc13954"/>
      <w:bookmarkStart w:id="799" w:name="_Toc4047"/>
      <w:bookmarkStart w:id="800" w:name="_Toc14188"/>
      <w:bookmarkStart w:id="801" w:name="_Toc28300"/>
      <w:bookmarkStart w:id="802" w:name="_Toc3215"/>
      <w:bookmarkStart w:id="803" w:name="_Toc23314"/>
      <w:r>
        <w:rPr>
          <w:rFonts w:hint="eastAsia" w:ascii="宋体" w:hAnsi="宋体" w:cs="宋体"/>
          <w:color w:val="auto"/>
          <w:sz w:val="21"/>
          <w:highlight w:val="none"/>
        </w:rPr>
        <w:t>A3.初步评审</w:t>
      </w:r>
      <w:bookmarkEnd w:id="797"/>
      <w:bookmarkEnd w:id="798"/>
      <w:bookmarkEnd w:id="799"/>
      <w:bookmarkEnd w:id="800"/>
      <w:bookmarkEnd w:id="801"/>
      <w:bookmarkEnd w:id="802"/>
      <w:bookmarkEnd w:id="803"/>
    </w:p>
    <w:p w14:paraId="1DDD925B">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A3.1形式评审</w:t>
      </w:r>
    </w:p>
    <w:p w14:paraId="6D4125B6">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评标委员会根据评标办法前附表中规定的评审因素和评审标准，对投标人的投标文件进行形式评审，并记录评审结果。</w:t>
      </w:r>
    </w:p>
    <w:p w14:paraId="60D7728D">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A3.2资格评审</w:t>
      </w:r>
    </w:p>
    <w:p w14:paraId="29D7F088">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评标委员会根据评标办法前附表中规定的评审因素和评审标准，对投标人的投标文件进行资格评审，并记录评审结果。</w:t>
      </w:r>
    </w:p>
    <w:p w14:paraId="3713070B">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A3.3 响应性评审</w:t>
      </w:r>
    </w:p>
    <w:p w14:paraId="178DE103">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评标委员会根据评标办法前附表中规定的评审因素和评审标准，对投标人的投标文件进行响应性评审，并记录评审结果。</w:t>
      </w:r>
    </w:p>
    <w:p w14:paraId="0966BE40">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A3.4 判断投标是否为被否决投标</w:t>
      </w:r>
    </w:p>
    <w:p w14:paraId="4402CB9A">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A3.4.1 判断投标人的投标是否为被否决投标的全部条件(包括本章前附表中规定的条件)，在本章附件B中集中列示。</w:t>
      </w:r>
    </w:p>
    <w:p w14:paraId="625ECA4A">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A3.4.2本章附件B集中列示的投标被否决条件不应与第二章“投标人须知”和本章正文部分包括的投标被否决条件抵触，如果出现相互矛盾的情况，以第二章“投标人须知”和本章正文部分的规定为准。</w:t>
      </w:r>
    </w:p>
    <w:p w14:paraId="72E57F31">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A3.4.3评标委员会在评标(包括初步评审和详细评审)过程中，依据本章附件B中规定的投标被否决条件判断投标人的投标是否被否决。</w:t>
      </w:r>
    </w:p>
    <w:p w14:paraId="315096BC">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A3.5算术错误修正</w:t>
      </w:r>
    </w:p>
    <w:p w14:paraId="3077BEBE">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评标委员会依据本章中规定的相关原则对投标报价中存在的算术错误进行修正，并根据算术错误修正结果计算评标价。</w:t>
      </w:r>
    </w:p>
    <w:p w14:paraId="270FF14C">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A3.6澄清、说明或补正</w:t>
      </w:r>
    </w:p>
    <w:p w14:paraId="1F079145">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在初步评审过程中，评标委员会应当就投标文件中不明确的内容要求投标人进行澄清、说明或者补正。投标人对此以书面形式予以澄清、说明或者补正。澄清、说明或补正根据本章第3.3款的规定执行。</w:t>
      </w:r>
    </w:p>
    <w:p w14:paraId="234A5045">
      <w:pPr>
        <w:pStyle w:val="6"/>
        <w:rPr>
          <w:rFonts w:hint="eastAsia" w:ascii="宋体" w:hAnsi="宋体" w:cs="宋体"/>
          <w:color w:val="auto"/>
          <w:sz w:val="21"/>
          <w:highlight w:val="none"/>
        </w:rPr>
      </w:pPr>
      <w:bookmarkStart w:id="804" w:name="_Toc11244"/>
      <w:bookmarkStart w:id="805" w:name="_Toc4254"/>
      <w:bookmarkStart w:id="806" w:name="_Toc16935"/>
      <w:bookmarkStart w:id="807" w:name="_Toc17220"/>
      <w:bookmarkStart w:id="808" w:name="_Toc21008"/>
      <w:bookmarkStart w:id="809" w:name="_Toc17213"/>
      <w:bookmarkStart w:id="810" w:name="_Toc8982"/>
      <w:r>
        <w:rPr>
          <w:rFonts w:hint="eastAsia" w:ascii="宋体" w:hAnsi="宋体" w:cs="宋体"/>
          <w:color w:val="auto"/>
          <w:sz w:val="21"/>
          <w:highlight w:val="none"/>
        </w:rPr>
        <w:t>A4.详细评审</w:t>
      </w:r>
      <w:bookmarkEnd w:id="804"/>
      <w:bookmarkEnd w:id="805"/>
      <w:bookmarkEnd w:id="806"/>
      <w:bookmarkEnd w:id="807"/>
      <w:bookmarkEnd w:id="808"/>
      <w:bookmarkEnd w:id="809"/>
      <w:bookmarkEnd w:id="810"/>
    </w:p>
    <w:p w14:paraId="09175387">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只有通过了初步评审、被判定为合格的投标人可进入详细评审。</w:t>
      </w:r>
    </w:p>
    <w:p w14:paraId="4B1FE58D">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A4.1详细评审的程序</w:t>
      </w:r>
    </w:p>
    <w:p w14:paraId="004D5506">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评标委员会按照本章评标办前附表规定的程序进行详细评审，并按照评标办法前附表中规定的分值设定、评分标准进行评审和评分。</w:t>
      </w:r>
    </w:p>
    <w:p w14:paraId="6DCD2950">
      <w:pPr>
        <w:pStyle w:val="6"/>
        <w:rPr>
          <w:rFonts w:hint="eastAsia" w:ascii="宋体" w:hAnsi="宋体" w:cs="宋体"/>
          <w:color w:val="auto"/>
          <w:sz w:val="21"/>
          <w:highlight w:val="none"/>
        </w:rPr>
      </w:pPr>
      <w:bookmarkStart w:id="811" w:name="_Toc19099"/>
      <w:bookmarkStart w:id="812" w:name="_Toc24856"/>
      <w:bookmarkStart w:id="813" w:name="_Toc27229"/>
      <w:bookmarkStart w:id="814" w:name="_Toc17251"/>
      <w:bookmarkStart w:id="815" w:name="_Toc32703"/>
      <w:bookmarkStart w:id="816" w:name="_Toc11356"/>
      <w:bookmarkStart w:id="817" w:name="_Toc2177"/>
      <w:r>
        <w:rPr>
          <w:rFonts w:hint="eastAsia" w:ascii="宋体" w:hAnsi="宋体" w:cs="宋体"/>
          <w:color w:val="auto"/>
          <w:sz w:val="21"/>
          <w:highlight w:val="none"/>
        </w:rPr>
        <w:t>A5.推荐中标候选人</w:t>
      </w:r>
      <w:bookmarkEnd w:id="811"/>
      <w:bookmarkEnd w:id="812"/>
      <w:bookmarkEnd w:id="813"/>
      <w:bookmarkEnd w:id="814"/>
      <w:bookmarkEnd w:id="815"/>
      <w:bookmarkEnd w:id="816"/>
      <w:bookmarkEnd w:id="817"/>
    </w:p>
    <w:p w14:paraId="66A722E3">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A5.1汇总评标结果</w:t>
      </w:r>
    </w:p>
    <w:p w14:paraId="42B5FF09">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投标报价评审工作全部结束后，评标委员会应填写评标结果汇总表。</w:t>
      </w:r>
    </w:p>
    <w:p w14:paraId="4FE28AF5">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A5.2 推荐中标候选人</w:t>
      </w:r>
    </w:p>
    <w:p w14:paraId="02856B6C">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A5.2.1评标委员会在推荐中标候选人时，应遵照以下原则：</w:t>
      </w:r>
    </w:p>
    <w:p w14:paraId="5FAEE339">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（1）评标委员会按照最终得分由高至低的次序排列，并根据第二章“投标人须知”前附表第7.1款规定的中标候选人数量，将排序在前的投标人推荐为中标候选人。</w:t>
      </w:r>
    </w:p>
    <w:p w14:paraId="436B1B84">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w:t>
      </w:r>
      <w:r>
        <w:rPr>
          <w:rFonts w:hint="eastAsia" w:ascii="宋体" w:hAnsi="宋体" w:eastAsia="宋体" w:cs="宋体"/>
          <w:color w:val="auto"/>
          <w:highlight w:val="none"/>
          <w:lang w:eastAsia="zh-CN"/>
        </w:rPr>
        <w:t>经评审委员会评审，当实质性响应招标文件的投标人不足三家时，若评标委员会认为剩下的投标人</w:t>
      </w:r>
      <w:r>
        <w:rPr>
          <w:rFonts w:hint="eastAsia" w:ascii="宋体" w:hAnsi="宋体" w:eastAsia="宋体" w:cs="宋体"/>
          <w:color w:val="auto"/>
          <w:highlight w:val="none"/>
          <w:lang w:val="en-US" w:eastAsia="zh-CN"/>
        </w:rPr>
        <w:t>报价合理、</w:t>
      </w:r>
      <w:r>
        <w:rPr>
          <w:rFonts w:hint="eastAsia" w:ascii="宋体" w:hAnsi="宋体" w:eastAsia="宋体" w:cs="宋体"/>
          <w:color w:val="auto"/>
          <w:highlight w:val="none"/>
          <w:lang w:eastAsia="zh-CN"/>
        </w:rPr>
        <w:t>技术方案符合项目情况，具备推荐中标的条件，评标委员会可继续进行评审并推荐合格的中标候选人。若实质响应招标文件的投标人仅剩一家时，评标委员会将否决全部投标，建议招标人重新组织招标</w:t>
      </w:r>
      <w:r>
        <w:rPr>
          <w:rFonts w:hint="eastAsia" w:ascii="宋体" w:hAnsi="宋体" w:cs="宋体"/>
          <w:color w:val="auto"/>
          <w:szCs w:val="21"/>
          <w:highlight w:val="none"/>
        </w:rPr>
        <w:t>。</w:t>
      </w:r>
    </w:p>
    <w:p w14:paraId="615D85A4">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A5.2.2所有投标被否决的，招标人应当依法重新招标。</w:t>
      </w:r>
    </w:p>
    <w:p w14:paraId="2A8642BE">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A5.3编制及提交评标报告</w:t>
      </w:r>
    </w:p>
    <w:p w14:paraId="23D11D1D">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评标委员会招标人提交评标报告。评标报告应当由全体评标委员会成员签字，并于评标结束时抄送有关行政监督部门。评标报告应当包括以下内容：</w:t>
      </w:r>
    </w:p>
    <w:p w14:paraId="05DE5FA7">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（1）基本情况和数据表；</w:t>
      </w:r>
    </w:p>
    <w:p w14:paraId="4BAA35D5">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（2）评标委员会成员名单；</w:t>
      </w:r>
    </w:p>
    <w:p w14:paraId="439F2115">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（3）开标记录；</w:t>
      </w:r>
    </w:p>
    <w:p w14:paraId="401C11B8">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（4）符合要求的投标一览表；</w:t>
      </w:r>
    </w:p>
    <w:p w14:paraId="3AC7A053">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（5）否决投标情况说明；</w:t>
      </w:r>
    </w:p>
    <w:p w14:paraId="38100022">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（6）评标标准、评标方法；</w:t>
      </w:r>
    </w:p>
    <w:p w14:paraId="7B1824A1">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（7）经评审的价格一览表(包括评标委员会在评标过程中所形成的所有记载评标结果、结论的表格、说明、记录等文件)；</w:t>
      </w:r>
    </w:p>
    <w:p w14:paraId="13C70A70">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（8）经评审的投标人排序；</w:t>
      </w:r>
    </w:p>
    <w:p w14:paraId="2BE54585">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（9）推荐的中标候选人名单与签订合同前要处理的事宜；</w:t>
      </w:r>
    </w:p>
    <w:p w14:paraId="33BF7F9E">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（10）澄清、说明、补正事项纪要。</w:t>
      </w:r>
    </w:p>
    <w:p w14:paraId="198E1B81">
      <w:pPr>
        <w:pStyle w:val="6"/>
        <w:rPr>
          <w:rFonts w:hint="eastAsia" w:ascii="宋体" w:hAnsi="宋体" w:cs="宋体"/>
          <w:color w:val="auto"/>
          <w:sz w:val="21"/>
          <w:highlight w:val="none"/>
        </w:rPr>
      </w:pPr>
      <w:bookmarkStart w:id="818" w:name="_Toc19309"/>
      <w:bookmarkStart w:id="819" w:name="_Toc28112"/>
      <w:bookmarkStart w:id="820" w:name="_Toc16107"/>
      <w:bookmarkStart w:id="821" w:name="_Toc12218"/>
      <w:bookmarkStart w:id="822" w:name="_Toc12224"/>
      <w:bookmarkStart w:id="823" w:name="_Toc9919"/>
      <w:bookmarkStart w:id="824" w:name="_Toc7766"/>
      <w:r>
        <w:rPr>
          <w:rFonts w:hint="eastAsia" w:ascii="宋体" w:hAnsi="宋体" w:cs="宋体"/>
          <w:color w:val="auto"/>
          <w:sz w:val="21"/>
          <w:highlight w:val="none"/>
        </w:rPr>
        <w:t>A6.特殊情况的处置程序</w:t>
      </w:r>
      <w:bookmarkEnd w:id="818"/>
      <w:bookmarkEnd w:id="819"/>
      <w:bookmarkEnd w:id="820"/>
      <w:bookmarkEnd w:id="821"/>
      <w:bookmarkEnd w:id="822"/>
      <w:bookmarkEnd w:id="823"/>
      <w:bookmarkEnd w:id="824"/>
    </w:p>
    <w:p w14:paraId="3D89D11F">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A6.1关于评标活动暂停</w:t>
      </w:r>
    </w:p>
    <w:p w14:paraId="47C05297">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A6.1.1评标委员会应当执行连续评标的原则，按评标办法中规定的程序、内容、方法、标准完成全部评标工作。只有发生不可抗力导致评标工作无法继续时，评标活动方可暂停。</w:t>
      </w:r>
    </w:p>
    <w:p w14:paraId="4D951D12">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A6.1.2发生评标暂停情况时，评标委员会应当封存全部投标文件和评标记录，待不可抗力的影响结束且具备继续评标的条件时，由原评标委员会继续评标。</w:t>
      </w:r>
    </w:p>
    <w:p w14:paraId="08DF1E1F">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A6.2关于评标中途更换评委</w:t>
      </w:r>
    </w:p>
    <w:p w14:paraId="1477E596">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A6.2.1 除非发生下列情况之一，评标委员会成员不得在评标中途更换：</w:t>
      </w:r>
    </w:p>
    <w:p w14:paraId="636BBA1A">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 因不可抗拒的客观原因，不能到场或需在评标中途退出评标活动。</w:t>
      </w:r>
    </w:p>
    <w:p w14:paraId="637F1B13">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 根据法律法规规定，某个或某几个评标委员会成员需要回避。</w:t>
      </w:r>
    </w:p>
    <w:p w14:paraId="44A765C5">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A6.2.2退出评标的评标委员会成员，其已完成的评标行为无效。由招标人根据本招标文件规定的评标委员会成员生产方式另行确定替代者进行评标。</w:t>
      </w:r>
    </w:p>
    <w:p w14:paraId="020D5E18">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A6.3记名投票</w:t>
      </w:r>
    </w:p>
    <w:p w14:paraId="1C87DC4C">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在任何评标环节中，需评标委员会就某项定性的评审结论做出表决的，由评标委员会全体成员按照少数服从多数的原则，以记名投票方式表决。</w:t>
      </w:r>
    </w:p>
    <w:p w14:paraId="5225E21B">
      <w:pPr>
        <w:pStyle w:val="6"/>
        <w:rPr>
          <w:rFonts w:hint="eastAsia" w:ascii="宋体" w:hAnsi="宋体" w:cs="宋体"/>
          <w:color w:val="auto"/>
          <w:sz w:val="21"/>
          <w:highlight w:val="none"/>
        </w:rPr>
      </w:pPr>
      <w:bookmarkStart w:id="825" w:name="_Toc15909"/>
      <w:bookmarkStart w:id="826" w:name="_Toc6479"/>
      <w:bookmarkStart w:id="827" w:name="_Toc17093"/>
      <w:bookmarkStart w:id="828" w:name="_Toc84758516"/>
      <w:bookmarkStart w:id="829" w:name="_Toc84762894"/>
      <w:bookmarkStart w:id="830" w:name="_Toc10326"/>
      <w:bookmarkStart w:id="831" w:name="_Toc12714"/>
      <w:bookmarkStart w:id="832" w:name="_Toc16418"/>
      <w:bookmarkStart w:id="833" w:name="_Toc17674"/>
      <w:bookmarkStart w:id="834" w:name="_Toc3757"/>
      <w:r>
        <w:rPr>
          <w:rFonts w:hint="eastAsia" w:ascii="宋体" w:hAnsi="宋体" w:cs="宋体"/>
          <w:color w:val="auto"/>
          <w:sz w:val="21"/>
          <w:highlight w:val="none"/>
        </w:rPr>
        <w:t>A7.补充条款</w:t>
      </w:r>
      <w:bookmarkEnd w:id="825"/>
      <w:bookmarkEnd w:id="826"/>
      <w:bookmarkEnd w:id="827"/>
    </w:p>
    <w:p w14:paraId="156C05C3">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评标中若遇特殊问题，由评标委员会根据有关法律、法规、规定研究决定。</w:t>
      </w:r>
    </w:p>
    <w:p w14:paraId="3FA80A20">
      <w:pPr>
        <w:keepNext/>
        <w:keepLines/>
        <w:rPr>
          <w:rFonts w:hint="eastAsia" w:ascii="宋体" w:hAnsi="宋体" w:cs="宋体"/>
          <w:color w:val="auto"/>
          <w:sz w:val="24"/>
          <w:szCs w:val="24"/>
          <w:highlight w:val="none"/>
        </w:rPr>
      </w:pPr>
      <w:r>
        <w:rPr>
          <w:rFonts w:hint="eastAsia" w:ascii="宋体" w:hAnsi="宋体" w:cs="宋体"/>
          <w:color w:val="auto"/>
          <w:szCs w:val="21"/>
          <w:highlight w:val="none"/>
        </w:rPr>
        <w:t xml:space="preserve"> </w:t>
      </w:r>
      <w:r>
        <w:rPr>
          <w:rFonts w:hint="eastAsia" w:ascii="宋体" w:hAnsi="宋体" w:cs="宋体"/>
          <w:color w:val="auto"/>
          <w:sz w:val="24"/>
          <w:szCs w:val="24"/>
          <w:highlight w:val="none"/>
        </w:rPr>
        <w:br w:type="page"/>
      </w:r>
    </w:p>
    <w:p w14:paraId="0C5F7B00">
      <w:pPr>
        <w:pStyle w:val="4"/>
        <w:rPr>
          <w:rFonts w:hint="eastAsia" w:ascii="宋体" w:hAnsi="宋体" w:eastAsia="宋体" w:cs="宋体"/>
          <w:color w:val="auto"/>
          <w:sz w:val="24"/>
          <w:szCs w:val="24"/>
          <w:highlight w:val="none"/>
        </w:rPr>
      </w:pPr>
      <w:bookmarkStart w:id="835" w:name="_Toc26063"/>
      <w:bookmarkStart w:id="836" w:name="_Toc15440"/>
      <w:bookmarkStart w:id="837" w:name="_Toc23672"/>
      <w:r>
        <w:rPr>
          <w:rFonts w:hint="eastAsia" w:ascii="宋体" w:hAnsi="宋体" w:eastAsia="宋体" w:cs="宋体"/>
          <w:color w:val="auto"/>
          <w:sz w:val="24"/>
          <w:szCs w:val="24"/>
          <w:highlight w:val="none"/>
        </w:rPr>
        <w:t>附件B：投标被否决条件</w:t>
      </w:r>
      <w:bookmarkEnd w:id="828"/>
      <w:bookmarkEnd w:id="829"/>
      <w:bookmarkEnd w:id="830"/>
      <w:bookmarkEnd w:id="831"/>
      <w:bookmarkEnd w:id="832"/>
      <w:bookmarkEnd w:id="833"/>
      <w:bookmarkEnd w:id="834"/>
      <w:bookmarkEnd w:id="835"/>
      <w:bookmarkEnd w:id="836"/>
      <w:bookmarkEnd w:id="837"/>
    </w:p>
    <w:p w14:paraId="73D9E68E">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B0.总则</w:t>
      </w:r>
    </w:p>
    <w:p w14:paraId="1FF4DBD6">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否决投标的全部条件应为本章前附表中2.1.1、2.1.2、2.1.3所包含全部内容，本附件所集中列示的投标被否决条件，是前附表对2.1.3“响应性评审”的补充。</w:t>
      </w:r>
    </w:p>
    <w:p w14:paraId="5A59422D">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B1．投标被否决条件</w:t>
      </w:r>
    </w:p>
    <w:p w14:paraId="33118F03">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投标人或投标文件有下列情形之一的,其投标作否决投标处理：</w:t>
      </w:r>
    </w:p>
    <w:p w14:paraId="443B2086">
      <w:pPr>
        <w:autoSpaceDE w:val="0"/>
        <w:autoSpaceDN w:val="0"/>
        <w:adjustRightInd w:val="0"/>
        <w:spacing w:line="360" w:lineRule="auto"/>
        <w:ind w:firstLine="420" w:firstLineChars="200"/>
        <w:jc w:val="left"/>
        <w:rPr>
          <w:rFonts w:hint="eastAsia" w:ascii="宋体" w:hAnsi="宋体" w:cs="宋体"/>
          <w:color w:val="auto"/>
          <w:kern w:val="0"/>
          <w:szCs w:val="21"/>
          <w:highlight w:val="none"/>
        </w:rPr>
      </w:pPr>
      <w:bookmarkStart w:id="838" w:name="_Toc366144099"/>
      <w:r>
        <w:rPr>
          <w:rFonts w:hint="eastAsia" w:ascii="宋体" w:hAnsi="宋体" w:cs="宋体"/>
          <w:color w:val="auto"/>
          <w:kern w:val="0"/>
          <w:szCs w:val="21"/>
          <w:highlight w:val="none"/>
        </w:rPr>
        <w:t>B1.1 有第二章“投标人须知”第1.4.3 项规定的任何一种情形的。</w:t>
      </w:r>
    </w:p>
    <w:p w14:paraId="4ADD1011">
      <w:pPr>
        <w:autoSpaceDE w:val="0"/>
        <w:autoSpaceDN w:val="0"/>
        <w:adjustRightInd w:val="0"/>
        <w:spacing w:line="360"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B1.2 有弄虚作假或有其他违法行为的。</w:t>
      </w:r>
    </w:p>
    <w:p w14:paraId="3BD3CD8A">
      <w:pPr>
        <w:autoSpaceDE w:val="0"/>
        <w:autoSpaceDN w:val="0"/>
        <w:adjustRightInd w:val="0"/>
        <w:spacing w:line="360"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B1.3 不按评标委员会要求澄清、说明或补正的。</w:t>
      </w:r>
    </w:p>
    <w:p w14:paraId="1862D702">
      <w:pPr>
        <w:autoSpaceDE w:val="0"/>
        <w:autoSpaceDN w:val="0"/>
        <w:adjustRightInd w:val="0"/>
        <w:spacing w:line="360"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B1.4 在清标、形式响应性评审、资格评审，评标委员会认定投标人的投标不符合评标办法前附表中规定的任何一项评审标准的。</w:t>
      </w:r>
    </w:p>
    <w:p w14:paraId="57BB23C1">
      <w:pPr>
        <w:autoSpaceDE w:val="0"/>
        <w:autoSpaceDN w:val="0"/>
        <w:adjustRightInd w:val="0"/>
        <w:spacing w:line="360"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B1.5 投标文件中不符合投标人须知前附表3.7.3投标文件的签署的。</w:t>
      </w:r>
    </w:p>
    <w:p w14:paraId="15892D65">
      <w:pPr>
        <w:autoSpaceDE w:val="0"/>
        <w:autoSpaceDN w:val="0"/>
        <w:adjustRightInd w:val="0"/>
        <w:spacing w:line="360"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 xml:space="preserve">B1.6 </w:t>
      </w:r>
      <w:r>
        <w:rPr>
          <w:rFonts w:hint="eastAsia" w:ascii="宋体" w:hAnsi="宋体" w:cs="宋体"/>
          <w:color w:val="auto"/>
          <w:kern w:val="0"/>
          <w:szCs w:val="21"/>
          <w:highlight w:val="none"/>
          <w:lang w:val="en-US" w:eastAsia="zh-CN"/>
        </w:rPr>
        <w:t>投标报价</w:t>
      </w:r>
      <w:r>
        <w:rPr>
          <w:rFonts w:hint="eastAsia" w:ascii="宋体" w:hAnsi="宋体" w:cs="宋体"/>
          <w:color w:val="auto"/>
          <w:kern w:val="0"/>
          <w:szCs w:val="21"/>
          <w:highlight w:val="none"/>
        </w:rPr>
        <w:t>高于招标控制价（</w:t>
      </w:r>
      <w:r>
        <w:rPr>
          <w:rFonts w:hint="eastAsia" w:ascii="宋体" w:hAnsi="宋体" w:cs="宋体"/>
          <w:color w:val="auto"/>
          <w:kern w:val="0"/>
          <w:szCs w:val="21"/>
          <w:highlight w:val="none"/>
          <w:lang w:val="en-US" w:eastAsia="zh-CN"/>
        </w:rPr>
        <w:t>费率</w:t>
      </w:r>
      <w:r>
        <w:rPr>
          <w:rFonts w:hint="eastAsia" w:ascii="宋体" w:hAnsi="宋体" w:cs="宋体"/>
          <w:color w:val="auto"/>
          <w:kern w:val="0"/>
          <w:szCs w:val="21"/>
          <w:highlight w:val="none"/>
        </w:rPr>
        <w:t>）</w:t>
      </w:r>
      <w:r>
        <w:rPr>
          <w:rFonts w:hint="eastAsia" w:ascii="宋体" w:hAnsi="宋体" w:cs="宋体"/>
          <w:color w:val="auto"/>
          <w:kern w:val="0"/>
          <w:szCs w:val="21"/>
          <w:highlight w:val="none"/>
          <w:lang w:val="en-US" w:eastAsia="zh-CN"/>
        </w:rPr>
        <w:t>的</w:t>
      </w:r>
      <w:r>
        <w:rPr>
          <w:rFonts w:hint="eastAsia" w:ascii="宋体" w:hAnsi="宋体" w:cs="宋体"/>
          <w:color w:val="auto"/>
          <w:kern w:val="0"/>
          <w:szCs w:val="21"/>
          <w:highlight w:val="none"/>
        </w:rPr>
        <w:t>。</w:t>
      </w:r>
    </w:p>
    <w:p w14:paraId="69CBE623">
      <w:pPr>
        <w:autoSpaceDE w:val="0"/>
        <w:autoSpaceDN w:val="0"/>
        <w:adjustRightInd w:val="0"/>
        <w:spacing w:line="360"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B1.7 投标人报价不符合投标人须知前附表</w:t>
      </w:r>
      <w:r>
        <w:rPr>
          <w:rFonts w:hint="eastAsia" w:ascii="宋体" w:hAnsi="宋体" w:cs="宋体"/>
          <w:color w:val="auto"/>
          <w:kern w:val="0"/>
          <w:szCs w:val="21"/>
          <w:highlight w:val="none"/>
          <w:lang w:val="en-US" w:eastAsia="zh-CN"/>
        </w:rPr>
        <w:t>3.2.1</w:t>
      </w:r>
      <w:r>
        <w:rPr>
          <w:rFonts w:hint="eastAsia" w:ascii="宋体" w:hAnsi="宋体" w:cs="宋体"/>
          <w:color w:val="auto"/>
          <w:kern w:val="0"/>
          <w:szCs w:val="21"/>
          <w:highlight w:val="none"/>
        </w:rPr>
        <w:t>报价方式的。</w:t>
      </w:r>
    </w:p>
    <w:p w14:paraId="7AC39D3B">
      <w:pPr>
        <w:autoSpaceDE w:val="0"/>
        <w:autoSpaceDN w:val="0"/>
        <w:adjustRightInd w:val="0"/>
        <w:spacing w:line="360"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 xml:space="preserve">B1.8 </w:t>
      </w:r>
      <w:r>
        <w:rPr>
          <w:rFonts w:hint="eastAsia" w:ascii="宋体" w:hAnsi="宋体" w:cs="宋体"/>
          <w:color w:val="auto"/>
          <w:szCs w:val="21"/>
          <w:highlight w:val="none"/>
        </w:rPr>
        <w:t>投标文件载明的招标项目完成期限超过招标文件规定的期限的。</w:t>
      </w:r>
    </w:p>
    <w:p w14:paraId="068C6243">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kern w:val="0"/>
          <w:szCs w:val="21"/>
          <w:highlight w:val="none"/>
        </w:rPr>
        <w:t xml:space="preserve">B1.9 </w:t>
      </w:r>
      <w:r>
        <w:rPr>
          <w:rFonts w:hint="eastAsia" w:ascii="宋体" w:hAnsi="宋体" w:cs="宋体"/>
          <w:color w:val="auto"/>
          <w:szCs w:val="21"/>
          <w:highlight w:val="none"/>
        </w:rPr>
        <w:t>无投标人电子签章或无法定代表人电子签章。</w:t>
      </w:r>
    </w:p>
    <w:p w14:paraId="62E39FDD">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kern w:val="0"/>
          <w:szCs w:val="21"/>
          <w:highlight w:val="none"/>
        </w:rPr>
        <w:t xml:space="preserve">B1.10 </w:t>
      </w:r>
      <w:r>
        <w:rPr>
          <w:rFonts w:hint="eastAsia" w:ascii="宋体" w:hAnsi="宋体" w:cs="宋体"/>
          <w:color w:val="auto"/>
          <w:szCs w:val="21"/>
          <w:highlight w:val="none"/>
        </w:rPr>
        <w:t>投标文件内容不全或者关键内容字迹模糊，无法辨认的。</w:t>
      </w:r>
    </w:p>
    <w:p w14:paraId="4AFFB005">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kern w:val="0"/>
          <w:szCs w:val="21"/>
          <w:highlight w:val="none"/>
        </w:rPr>
        <w:t xml:space="preserve">B1.11 </w:t>
      </w:r>
      <w:r>
        <w:rPr>
          <w:rFonts w:hint="eastAsia" w:ascii="宋体" w:hAnsi="宋体" w:cs="宋体"/>
          <w:color w:val="auto"/>
          <w:szCs w:val="21"/>
          <w:highlight w:val="none"/>
        </w:rPr>
        <w:t>投标人递交两份或多份内容不同的投标文件，或者在一份投标文件中对同一招标项目报有两个或多个报价，且未声明哪一个有效，按招标文件规定提交备选投标方案的除外。</w:t>
      </w:r>
    </w:p>
    <w:p w14:paraId="480C9C36">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kern w:val="0"/>
          <w:szCs w:val="21"/>
          <w:highlight w:val="none"/>
        </w:rPr>
        <w:t>B1.12</w:t>
      </w:r>
      <w:r>
        <w:rPr>
          <w:rFonts w:hint="eastAsia" w:ascii="宋体" w:hAnsi="宋体" w:cs="宋体"/>
          <w:color w:val="auto"/>
          <w:szCs w:val="21"/>
          <w:highlight w:val="none"/>
        </w:rPr>
        <w:t>投标人名称或组织结构与资格审查不一致的。</w:t>
      </w:r>
    </w:p>
    <w:p w14:paraId="38FDD32E">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B1.13投标人提交的投标文件电子版格式不符合第二章“投标人须知前附表”3.7.1项规定的或开标现场无法读取导入的。</w:t>
      </w:r>
    </w:p>
    <w:p w14:paraId="537B17AD">
      <w:pPr>
        <w:autoSpaceDE w:val="0"/>
        <w:autoSpaceDN w:val="0"/>
        <w:adjustRightIn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kern w:val="0"/>
          <w:szCs w:val="21"/>
          <w:highlight w:val="none"/>
        </w:rPr>
        <w:t>B1.14投标报价低于成本价的。</w:t>
      </w:r>
    </w:p>
    <w:p w14:paraId="54A96263">
      <w:pPr>
        <w:autoSpaceDE w:val="0"/>
        <w:autoSpaceDN w:val="0"/>
        <w:adjustRightInd w:val="0"/>
        <w:spacing w:line="360"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B1.15 投标人在投标文件上电子签名的人员与其他投标人在投标文件上的电子签名人员为同一人的。</w:t>
      </w:r>
    </w:p>
    <w:p w14:paraId="71295D41">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B1.1</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有下列情形之一的，经评标委员会集体表决后认定，视作串通投标处理，并提请有关监管部门依法予以处罚：</w:t>
      </w:r>
    </w:p>
    <w:p w14:paraId="7BE75D0E">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（1）不同投标人的投标文件内容存在非正常一致的；</w:t>
      </w:r>
    </w:p>
    <w:p w14:paraId="2FC07BF2">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（2）不同投标人的投标文件两处以上错漏一致的；</w:t>
      </w:r>
    </w:p>
    <w:p w14:paraId="3DEF4025">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（3）不同投标人的投标报价或者报价组成异常接近或者呈规律性变化的；</w:t>
      </w:r>
    </w:p>
    <w:p w14:paraId="14053FD1">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（4）不同投标人的投标文件由同一企业或者同一个人编制的；</w:t>
      </w:r>
    </w:p>
    <w:p w14:paraId="5C6E13B7">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（5）不同投标人的投标文件载明的项目管理班子成员出现同一人的；</w:t>
      </w:r>
    </w:p>
    <w:p w14:paraId="11F1B274">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（6）不同投标人的投标文件相互混装的；</w:t>
      </w:r>
    </w:p>
    <w:p w14:paraId="6E739D9E">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（7）不同投标人的投标文件由同一台电脑编制的；</w:t>
      </w:r>
    </w:p>
    <w:p w14:paraId="68B22DDB">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（8）不同投标人委托同一人投标的；</w:t>
      </w:r>
    </w:p>
    <w:p w14:paraId="541BD7A5">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（9）不同投标人使用同一个人或者同一个企业资金交纳投标保证金。</w:t>
      </w:r>
    </w:p>
    <w:p w14:paraId="293C9A6F">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（10）不同投标人委托同一人或者注册在同一家企业的人员为其提供投标咨询、商务报价、技术咨询（招标工程本身要求采用专有技术的除外）等服务；</w:t>
      </w:r>
    </w:p>
    <w:p w14:paraId="3DF898A7">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（11）评标委员会认定的其他串通投标情形。</w:t>
      </w:r>
    </w:p>
    <w:p w14:paraId="7148B72F">
      <w:pPr>
        <w:pStyle w:val="24"/>
        <w:rPr>
          <w:rFonts w:hint="eastAsia" w:ascii="宋体" w:hAnsi="宋体" w:cs="宋体"/>
          <w:color w:val="auto"/>
          <w:szCs w:val="21"/>
          <w:highlight w:val="none"/>
        </w:rPr>
      </w:pPr>
      <w:r>
        <w:rPr>
          <w:rFonts w:hint="eastAsia" w:ascii="宋体" w:hAnsi="宋体" w:cs="宋体"/>
          <w:color w:val="auto"/>
          <w:szCs w:val="21"/>
          <w:highlight w:val="none"/>
        </w:rPr>
        <w:t xml:space="preserve"> </w:t>
      </w:r>
    </w:p>
    <w:p w14:paraId="151DFAE7">
      <w:pPr>
        <w:rPr>
          <w:rFonts w:hint="eastAsia" w:ascii="宋体" w:hAnsi="宋体" w:cs="宋体"/>
          <w:color w:val="auto"/>
          <w:szCs w:val="21"/>
          <w:highlight w:val="none"/>
        </w:rPr>
      </w:pPr>
      <w:r>
        <w:rPr>
          <w:rFonts w:hint="eastAsia" w:ascii="宋体" w:hAnsi="宋体" w:cs="宋体"/>
          <w:color w:val="auto"/>
          <w:szCs w:val="21"/>
          <w:highlight w:val="none"/>
        </w:rPr>
        <w:br w:type="page"/>
      </w:r>
    </w:p>
    <w:p w14:paraId="7F8EB9EC">
      <w:pPr>
        <w:rPr>
          <w:rFonts w:hint="eastAsia" w:ascii="宋体" w:hAnsi="宋体" w:cs="宋体"/>
          <w:color w:val="auto"/>
          <w:highlight w:val="none"/>
        </w:rPr>
      </w:pPr>
    </w:p>
    <w:p w14:paraId="4730BB32">
      <w:pPr>
        <w:pStyle w:val="3"/>
        <w:jc w:val="center"/>
        <w:rPr>
          <w:rFonts w:hint="eastAsia" w:ascii="宋体" w:hAnsi="宋体" w:cs="宋体"/>
          <w:color w:val="auto"/>
          <w:highlight w:val="none"/>
        </w:rPr>
      </w:pPr>
      <w:bookmarkStart w:id="839" w:name="_Toc15890"/>
      <w:bookmarkStart w:id="840" w:name="_Toc28455"/>
      <w:bookmarkStart w:id="841" w:name="_Toc13676"/>
      <w:r>
        <w:rPr>
          <w:rFonts w:hint="eastAsia" w:ascii="宋体" w:hAnsi="宋体" w:cs="宋体"/>
          <w:color w:val="auto"/>
          <w:highlight w:val="none"/>
        </w:rPr>
        <w:t>第四章 合同条款及格式</w:t>
      </w:r>
      <w:bookmarkEnd w:id="660"/>
      <w:bookmarkEnd w:id="661"/>
      <w:bookmarkEnd w:id="838"/>
      <w:bookmarkEnd w:id="839"/>
      <w:bookmarkEnd w:id="840"/>
      <w:bookmarkEnd w:id="841"/>
    </w:p>
    <w:p w14:paraId="53A8772E">
      <w:pPr>
        <w:adjustRightInd w:val="0"/>
        <w:snapToGrid w:val="0"/>
        <w:spacing w:line="360" w:lineRule="auto"/>
        <w:jc w:val="center"/>
        <w:rPr>
          <w:rFonts w:hint="eastAsia" w:ascii="宋体" w:hAnsi="宋体" w:cs="宋体"/>
          <w:b/>
          <w:color w:val="auto"/>
          <w:sz w:val="20"/>
          <w:highlight w:val="none"/>
        </w:rPr>
      </w:pPr>
      <w:r>
        <w:rPr>
          <w:rFonts w:hint="eastAsia" w:ascii="宋体" w:hAnsi="宋体" w:cs="宋体"/>
          <w:b/>
          <w:color w:val="auto"/>
          <w:sz w:val="20"/>
          <w:highlight w:val="none"/>
        </w:rPr>
        <w:t>（招标文件内本章合同条款及格式仅作为参考，招标人保留最终修订合同的权利，最终本合同以实际签订为准）</w:t>
      </w:r>
    </w:p>
    <w:p w14:paraId="6743DF39">
      <w:pPr>
        <w:spacing w:line="360" w:lineRule="auto"/>
        <w:jc w:val="center"/>
        <w:outlineLvl w:val="1"/>
        <w:rPr>
          <w:rFonts w:ascii="宋体" w:hAnsi="宋体" w:eastAsia="宋体" w:cs="宋体"/>
          <w:sz w:val="21"/>
          <w:szCs w:val="21"/>
          <w:highlight w:val="none"/>
        </w:rPr>
      </w:pPr>
      <w:bookmarkStart w:id="842" w:name="_Toc12304"/>
      <w:r>
        <w:rPr>
          <w:rFonts w:hint="eastAsia" w:ascii="等线" w:hAnsi="等线" w:eastAsia="等线" w:cs="Times New Roman"/>
          <w:b/>
          <w:sz w:val="24"/>
          <w:szCs w:val="24"/>
          <w:highlight w:val="none"/>
        </w:rPr>
        <w:t>第一部分  合同协议书</w:t>
      </w:r>
      <w:bookmarkEnd w:id="842"/>
    </w:p>
    <w:p w14:paraId="1E27C589">
      <w:pPr>
        <w:jc w:val="center"/>
        <w:rPr>
          <w:rFonts w:ascii="宋体" w:hAnsi="宋体" w:eastAsia="宋体" w:cs="宋体"/>
          <w:b/>
          <w:bCs/>
          <w:sz w:val="52"/>
          <w:szCs w:val="52"/>
          <w:highlight w:val="none"/>
        </w:rPr>
      </w:pPr>
      <w:r>
        <w:rPr>
          <w:rFonts w:ascii="宋体" w:hAnsi="宋体" w:eastAsia="宋体" w:cs="宋体"/>
          <w:b/>
          <w:bCs/>
          <w:sz w:val="52"/>
          <w:szCs w:val="52"/>
          <w:highlight w:val="none"/>
        </w:rPr>
        <w:t>建设工程监理合同</w:t>
      </w:r>
    </w:p>
    <w:p w14:paraId="12A51AA6">
      <w:pPr>
        <w:widowControl w:val="0"/>
        <w:spacing w:line="360" w:lineRule="auto"/>
        <w:jc w:val="both"/>
        <w:rPr>
          <w:rFonts w:ascii="宋体" w:hAnsi="宋体" w:eastAsia="宋体" w:cs="宋体"/>
          <w:kern w:val="2"/>
          <w:sz w:val="22"/>
          <w:szCs w:val="24"/>
          <w:highlight w:val="none"/>
          <w:u w:val="single"/>
          <w:lang w:val="en-US" w:eastAsia="zh-CN" w:bidi="ar-SA"/>
        </w:rPr>
      </w:pPr>
      <w:r>
        <w:rPr>
          <w:rFonts w:ascii="宋体" w:hAnsi="宋体" w:eastAsia="宋体" w:cs="宋体"/>
          <w:kern w:val="2"/>
          <w:sz w:val="22"/>
          <w:szCs w:val="24"/>
          <w:highlight w:val="none"/>
          <w:lang w:val="en-US" w:eastAsia="zh-CN" w:bidi="ar-SA"/>
        </w:rPr>
        <w:t>委 托 人：</w:t>
      </w:r>
      <w:r>
        <w:rPr>
          <w:rFonts w:ascii="宋体" w:hAnsi="宋体" w:eastAsia="宋体" w:cs="宋体"/>
          <w:kern w:val="2"/>
          <w:sz w:val="22"/>
          <w:szCs w:val="24"/>
          <w:highlight w:val="none"/>
          <w:u w:val="single"/>
          <w:lang w:val="en-US" w:eastAsia="zh-CN" w:bidi="ar-SA"/>
        </w:rPr>
        <w:t xml:space="preserve">                                            </w:t>
      </w:r>
    </w:p>
    <w:p w14:paraId="29C90D87">
      <w:pPr>
        <w:widowControl w:val="0"/>
        <w:spacing w:line="360" w:lineRule="auto"/>
        <w:jc w:val="both"/>
        <w:rPr>
          <w:rFonts w:ascii="宋体" w:hAnsi="宋体" w:eastAsia="宋体" w:cs="宋体"/>
          <w:kern w:val="2"/>
          <w:sz w:val="22"/>
          <w:szCs w:val="24"/>
          <w:highlight w:val="none"/>
          <w:u w:val="single"/>
          <w:lang w:val="en-US" w:eastAsia="zh-CN" w:bidi="ar-SA"/>
        </w:rPr>
      </w:pPr>
      <w:r>
        <w:rPr>
          <w:rFonts w:ascii="宋体" w:hAnsi="宋体" w:eastAsia="宋体" w:cs="宋体"/>
          <w:kern w:val="2"/>
          <w:sz w:val="22"/>
          <w:szCs w:val="24"/>
          <w:highlight w:val="none"/>
          <w:lang w:val="en-US" w:eastAsia="zh-CN" w:bidi="ar-SA"/>
        </w:rPr>
        <w:t>监 理 人：</w:t>
      </w:r>
      <w:r>
        <w:rPr>
          <w:rFonts w:ascii="宋体" w:hAnsi="宋体" w:eastAsia="宋体" w:cs="宋体"/>
          <w:kern w:val="2"/>
          <w:sz w:val="22"/>
          <w:szCs w:val="24"/>
          <w:highlight w:val="none"/>
          <w:u w:val="single"/>
          <w:lang w:val="en-US" w:eastAsia="zh-CN" w:bidi="ar-SA"/>
        </w:rPr>
        <w:t xml:space="preserve">                                            </w:t>
      </w:r>
    </w:p>
    <w:p w14:paraId="1E470F48">
      <w:pPr>
        <w:widowControl w:val="0"/>
        <w:spacing w:line="360" w:lineRule="auto"/>
        <w:jc w:val="both"/>
        <w:rPr>
          <w:rFonts w:ascii="宋体" w:hAnsi="宋体" w:eastAsia="宋体" w:cs="宋体"/>
          <w:kern w:val="2"/>
          <w:sz w:val="22"/>
          <w:szCs w:val="24"/>
          <w:highlight w:val="none"/>
          <w:lang w:val="en-US" w:eastAsia="zh-CN" w:bidi="ar-SA"/>
        </w:rPr>
      </w:pPr>
      <w:r>
        <w:rPr>
          <w:rFonts w:ascii="宋体" w:hAnsi="宋体" w:eastAsia="宋体" w:cs="宋体"/>
          <w:kern w:val="2"/>
          <w:sz w:val="22"/>
          <w:szCs w:val="24"/>
          <w:highlight w:val="none"/>
          <w:lang w:val="en-US" w:eastAsia="zh-CN" w:bidi="ar-SA"/>
        </w:rPr>
        <w:t>合同编号：</w:t>
      </w:r>
      <w:r>
        <w:rPr>
          <w:rFonts w:ascii="宋体" w:hAnsi="宋体" w:eastAsia="宋体" w:cs="宋体"/>
          <w:kern w:val="2"/>
          <w:sz w:val="22"/>
          <w:szCs w:val="24"/>
          <w:highlight w:val="none"/>
          <w:u w:val="single"/>
          <w:lang w:val="en-US" w:eastAsia="zh-CN" w:bidi="ar-SA"/>
        </w:rPr>
        <w:t xml:space="preserve">                                            </w:t>
      </w:r>
    </w:p>
    <w:p w14:paraId="7869D17C">
      <w:pPr>
        <w:widowControl w:val="0"/>
        <w:spacing w:line="360" w:lineRule="auto"/>
        <w:jc w:val="both"/>
        <w:rPr>
          <w:rFonts w:ascii="宋体" w:hAnsi="宋体" w:eastAsia="宋体" w:cs="宋体"/>
          <w:kern w:val="2"/>
          <w:sz w:val="22"/>
          <w:szCs w:val="24"/>
          <w:highlight w:val="none"/>
          <w:u w:val="single"/>
          <w:lang w:val="en-US" w:eastAsia="zh-CN" w:bidi="ar-SA"/>
        </w:rPr>
      </w:pPr>
      <w:r>
        <w:rPr>
          <w:rFonts w:ascii="宋体" w:hAnsi="宋体" w:eastAsia="宋体" w:cs="宋体"/>
          <w:kern w:val="2"/>
          <w:sz w:val="22"/>
          <w:szCs w:val="24"/>
          <w:highlight w:val="none"/>
          <w:lang w:val="en-US" w:eastAsia="zh-CN" w:bidi="ar-SA"/>
        </w:rPr>
        <w:t>合同名称：</w:t>
      </w:r>
      <w:r>
        <w:rPr>
          <w:rFonts w:ascii="宋体" w:hAnsi="宋体" w:eastAsia="宋体" w:cs="宋体"/>
          <w:kern w:val="2"/>
          <w:sz w:val="22"/>
          <w:szCs w:val="24"/>
          <w:highlight w:val="none"/>
          <w:u w:val="single"/>
          <w:lang w:val="en-US" w:eastAsia="zh-CN" w:bidi="ar-SA"/>
        </w:rPr>
        <w:t xml:space="preserve">                                            </w:t>
      </w:r>
    </w:p>
    <w:p w14:paraId="2E9FB0FF">
      <w:pPr>
        <w:widowControl w:val="0"/>
        <w:spacing w:line="360" w:lineRule="auto"/>
        <w:ind w:firstLine="440" w:firstLineChars="200"/>
        <w:jc w:val="both"/>
        <w:rPr>
          <w:rFonts w:ascii="宋体" w:hAnsi="宋体" w:eastAsia="宋体" w:cs="宋体"/>
          <w:kern w:val="2"/>
          <w:sz w:val="22"/>
          <w:szCs w:val="24"/>
          <w:highlight w:val="none"/>
          <w:u w:val="single"/>
          <w:lang w:val="en-US" w:eastAsia="zh-CN" w:bidi="ar-SA"/>
        </w:rPr>
      </w:pPr>
    </w:p>
    <w:p w14:paraId="1E08E084">
      <w:pPr>
        <w:widowControl w:val="0"/>
        <w:spacing w:line="360" w:lineRule="auto"/>
        <w:ind w:firstLine="440" w:firstLineChars="200"/>
        <w:jc w:val="both"/>
        <w:rPr>
          <w:rFonts w:ascii="宋体" w:hAnsi="宋体" w:eastAsia="宋体" w:cs="宋体"/>
          <w:kern w:val="2"/>
          <w:sz w:val="22"/>
          <w:szCs w:val="24"/>
          <w:highlight w:val="none"/>
          <w:lang w:val="en-US" w:eastAsia="zh-CN" w:bidi="ar-SA"/>
        </w:rPr>
      </w:pPr>
      <w:r>
        <w:rPr>
          <w:rFonts w:ascii="宋体" w:hAnsi="宋体" w:eastAsia="宋体" w:cs="宋体"/>
          <w:kern w:val="2"/>
          <w:sz w:val="22"/>
          <w:szCs w:val="24"/>
          <w:highlight w:val="none"/>
          <w:lang w:val="en-US" w:eastAsia="zh-CN" w:bidi="ar-SA"/>
        </w:rPr>
        <w:t>依据国家有关法律、法规，</w:t>
      </w:r>
      <w:r>
        <w:rPr>
          <w:rFonts w:ascii="宋体" w:hAnsi="宋体" w:eastAsia="宋体" w:cs="宋体"/>
          <w:kern w:val="2"/>
          <w:sz w:val="22"/>
          <w:szCs w:val="24"/>
          <w:highlight w:val="none"/>
          <w:u w:val="single"/>
          <w:lang w:val="en-US" w:eastAsia="zh-CN" w:bidi="ar-SA"/>
        </w:rPr>
        <w:t xml:space="preserve">   （委托人名称） </w:t>
      </w:r>
      <w:r>
        <w:rPr>
          <w:rFonts w:ascii="宋体" w:hAnsi="宋体" w:eastAsia="宋体" w:cs="宋体"/>
          <w:kern w:val="2"/>
          <w:sz w:val="22"/>
          <w:szCs w:val="24"/>
          <w:highlight w:val="none"/>
          <w:lang w:val="en-US" w:eastAsia="zh-CN" w:bidi="ar-SA"/>
        </w:rPr>
        <w:t>（以下简称委托人），委托</w:t>
      </w:r>
      <w:r>
        <w:rPr>
          <w:rFonts w:ascii="宋体" w:hAnsi="宋体" w:eastAsia="宋体" w:cs="宋体"/>
          <w:kern w:val="2"/>
          <w:sz w:val="22"/>
          <w:szCs w:val="24"/>
          <w:highlight w:val="none"/>
          <w:u w:val="single"/>
          <w:lang w:val="en-US" w:eastAsia="zh-CN" w:bidi="ar-SA"/>
        </w:rPr>
        <w:t xml:space="preserve">      （监理人名称）    </w:t>
      </w:r>
      <w:r>
        <w:rPr>
          <w:rFonts w:ascii="宋体" w:hAnsi="宋体" w:eastAsia="宋体" w:cs="宋体"/>
          <w:kern w:val="2"/>
          <w:sz w:val="22"/>
          <w:szCs w:val="24"/>
          <w:highlight w:val="none"/>
          <w:lang w:val="en-US" w:eastAsia="zh-CN" w:bidi="ar-SA"/>
        </w:rPr>
        <w:t>（以下简称监理人）提供</w:t>
      </w:r>
      <w:r>
        <w:rPr>
          <w:rFonts w:ascii="宋体" w:hAnsi="宋体" w:eastAsia="宋体" w:cs="宋体"/>
          <w:kern w:val="2"/>
          <w:sz w:val="22"/>
          <w:szCs w:val="24"/>
          <w:highlight w:val="none"/>
          <w:u w:val="single"/>
          <w:lang w:val="en-US" w:eastAsia="zh-CN" w:bidi="ar-SA"/>
        </w:rPr>
        <w:t xml:space="preserve">          （工程名称）        </w:t>
      </w:r>
      <w:r>
        <w:rPr>
          <w:rFonts w:ascii="宋体" w:hAnsi="宋体" w:eastAsia="宋体" w:cs="宋体"/>
          <w:kern w:val="2"/>
          <w:sz w:val="22"/>
          <w:szCs w:val="24"/>
          <w:highlight w:val="none"/>
          <w:lang w:val="en-US" w:eastAsia="zh-CN" w:bidi="ar-SA"/>
        </w:rPr>
        <w:t>工程监理服务，经双方协商一致，订立本合同。</w:t>
      </w:r>
    </w:p>
    <w:p w14:paraId="68D1A6F5">
      <w:pPr>
        <w:widowControl w:val="0"/>
        <w:spacing w:line="360" w:lineRule="auto"/>
        <w:ind w:firstLine="440" w:firstLineChars="200"/>
        <w:jc w:val="both"/>
        <w:rPr>
          <w:rFonts w:ascii="宋体" w:hAnsi="宋体" w:eastAsia="宋体" w:cs="宋体"/>
          <w:kern w:val="2"/>
          <w:sz w:val="22"/>
          <w:szCs w:val="24"/>
          <w:highlight w:val="none"/>
          <w:lang w:val="en-US" w:eastAsia="zh-CN" w:bidi="ar-SA"/>
        </w:rPr>
      </w:pPr>
      <w:r>
        <w:rPr>
          <w:rFonts w:ascii="宋体" w:hAnsi="宋体" w:eastAsia="宋体" w:cs="宋体"/>
          <w:kern w:val="2"/>
          <w:sz w:val="22"/>
          <w:szCs w:val="24"/>
          <w:highlight w:val="none"/>
          <w:lang w:val="en-US" w:eastAsia="zh-CN" w:bidi="ar-SA"/>
        </w:rPr>
        <w:t>一、工程概况</w:t>
      </w:r>
    </w:p>
    <w:p w14:paraId="5CE20109">
      <w:pPr>
        <w:widowControl w:val="0"/>
        <w:spacing w:line="360" w:lineRule="auto"/>
        <w:ind w:firstLine="440" w:firstLineChars="200"/>
        <w:jc w:val="both"/>
        <w:rPr>
          <w:rFonts w:ascii="宋体" w:hAnsi="宋体" w:eastAsia="宋体" w:cs="宋体"/>
          <w:kern w:val="2"/>
          <w:sz w:val="22"/>
          <w:szCs w:val="24"/>
          <w:highlight w:val="none"/>
          <w:lang w:val="en-US" w:eastAsia="zh-CN" w:bidi="ar-SA"/>
        </w:rPr>
      </w:pPr>
      <w:r>
        <w:rPr>
          <w:rFonts w:ascii="宋体" w:hAnsi="宋体" w:eastAsia="宋体" w:cs="宋体"/>
          <w:kern w:val="2"/>
          <w:sz w:val="22"/>
          <w:szCs w:val="24"/>
          <w:highlight w:val="none"/>
          <w:lang w:val="en-US" w:eastAsia="zh-CN" w:bidi="ar-SA"/>
        </w:rPr>
        <w:t>1.工程名称：</w:t>
      </w:r>
      <w:r>
        <w:rPr>
          <w:rFonts w:ascii="宋体" w:hAnsi="宋体" w:eastAsia="宋体" w:cs="宋体"/>
          <w:kern w:val="2"/>
          <w:sz w:val="22"/>
          <w:szCs w:val="24"/>
          <w:highlight w:val="none"/>
          <w:u w:val="single"/>
          <w:lang w:val="en-US" w:eastAsia="zh-CN" w:bidi="ar-SA"/>
        </w:rPr>
        <w:t xml:space="preserve">                         </w:t>
      </w:r>
    </w:p>
    <w:p w14:paraId="01DFCA08">
      <w:pPr>
        <w:widowControl w:val="0"/>
        <w:spacing w:line="360" w:lineRule="auto"/>
        <w:ind w:firstLine="440" w:firstLineChars="200"/>
        <w:jc w:val="both"/>
        <w:rPr>
          <w:rFonts w:ascii="宋体" w:hAnsi="宋体" w:eastAsia="宋体" w:cs="宋体"/>
          <w:kern w:val="2"/>
          <w:sz w:val="22"/>
          <w:szCs w:val="24"/>
          <w:highlight w:val="none"/>
          <w:lang w:val="en-US" w:eastAsia="zh-CN" w:bidi="ar-SA"/>
        </w:rPr>
      </w:pPr>
      <w:r>
        <w:rPr>
          <w:rFonts w:ascii="宋体" w:hAnsi="宋体" w:eastAsia="宋体" w:cs="宋体"/>
          <w:kern w:val="2"/>
          <w:sz w:val="22"/>
          <w:szCs w:val="24"/>
          <w:highlight w:val="none"/>
          <w:lang w:val="en-US" w:eastAsia="zh-CN" w:bidi="ar-SA"/>
        </w:rPr>
        <w:t>2.建设地点：</w:t>
      </w:r>
      <w:r>
        <w:rPr>
          <w:rFonts w:ascii="宋体" w:hAnsi="宋体" w:eastAsia="宋体" w:cs="宋体"/>
          <w:kern w:val="2"/>
          <w:sz w:val="22"/>
          <w:szCs w:val="24"/>
          <w:highlight w:val="none"/>
          <w:u w:val="single"/>
          <w:lang w:val="en-US" w:eastAsia="zh-CN" w:bidi="ar-SA"/>
        </w:rPr>
        <w:t xml:space="preserve">                         </w:t>
      </w:r>
    </w:p>
    <w:p w14:paraId="406944A7">
      <w:pPr>
        <w:widowControl w:val="0"/>
        <w:spacing w:line="360" w:lineRule="auto"/>
        <w:ind w:firstLine="440" w:firstLineChars="200"/>
        <w:jc w:val="both"/>
        <w:rPr>
          <w:rFonts w:ascii="宋体" w:hAnsi="宋体" w:eastAsia="宋体" w:cs="宋体"/>
          <w:kern w:val="2"/>
          <w:sz w:val="22"/>
          <w:szCs w:val="24"/>
          <w:highlight w:val="none"/>
          <w:lang w:val="en-US" w:eastAsia="zh-CN" w:bidi="ar-SA"/>
        </w:rPr>
      </w:pPr>
      <w:r>
        <w:rPr>
          <w:rFonts w:ascii="宋体" w:hAnsi="宋体" w:eastAsia="宋体" w:cs="宋体"/>
          <w:kern w:val="2"/>
          <w:sz w:val="22"/>
          <w:szCs w:val="24"/>
          <w:highlight w:val="none"/>
          <w:lang w:val="en-US" w:eastAsia="zh-CN" w:bidi="ar-SA"/>
        </w:rPr>
        <w:t>3.工程等别（级）：</w:t>
      </w:r>
      <w:r>
        <w:rPr>
          <w:rFonts w:ascii="宋体" w:hAnsi="宋体" w:eastAsia="宋体" w:cs="宋体"/>
          <w:kern w:val="2"/>
          <w:sz w:val="22"/>
          <w:szCs w:val="24"/>
          <w:highlight w:val="none"/>
          <w:u w:val="single"/>
          <w:lang w:val="en-US" w:eastAsia="zh-CN" w:bidi="ar-SA"/>
        </w:rPr>
        <w:t xml:space="preserve">                         </w:t>
      </w:r>
    </w:p>
    <w:p w14:paraId="1D8B41B7">
      <w:pPr>
        <w:widowControl w:val="0"/>
        <w:spacing w:line="360" w:lineRule="auto"/>
        <w:ind w:firstLine="440" w:firstLineChars="200"/>
        <w:jc w:val="both"/>
        <w:rPr>
          <w:rFonts w:ascii="宋体" w:hAnsi="宋体" w:eastAsia="宋体" w:cs="宋体"/>
          <w:kern w:val="2"/>
          <w:sz w:val="22"/>
          <w:szCs w:val="24"/>
          <w:highlight w:val="none"/>
          <w:u w:val="single"/>
          <w:lang w:val="en-US" w:eastAsia="zh-CN" w:bidi="ar-SA"/>
        </w:rPr>
      </w:pPr>
      <w:r>
        <w:rPr>
          <w:rFonts w:ascii="宋体" w:hAnsi="宋体" w:eastAsia="宋体" w:cs="宋体"/>
          <w:kern w:val="2"/>
          <w:sz w:val="22"/>
          <w:szCs w:val="24"/>
          <w:highlight w:val="none"/>
          <w:lang w:val="en-US" w:eastAsia="zh-CN" w:bidi="ar-SA"/>
        </w:rPr>
        <w:t>4.工程总投资（人民币，下同）：</w:t>
      </w:r>
      <w:r>
        <w:rPr>
          <w:rFonts w:ascii="宋体" w:hAnsi="宋体" w:eastAsia="宋体" w:cs="宋体"/>
          <w:kern w:val="2"/>
          <w:sz w:val="22"/>
          <w:szCs w:val="24"/>
          <w:highlight w:val="none"/>
          <w:u w:val="single"/>
          <w:lang w:val="en-US" w:eastAsia="zh-CN" w:bidi="ar-SA"/>
        </w:rPr>
        <w:t xml:space="preserve">                </w:t>
      </w:r>
      <w:r>
        <w:rPr>
          <w:rFonts w:ascii="宋体" w:hAnsi="宋体" w:eastAsia="宋体" w:cs="宋体"/>
          <w:kern w:val="2"/>
          <w:sz w:val="22"/>
          <w:szCs w:val="24"/>
          <w:highlight w:val="none"/>
          <w:lang w:val="en-US" w:eastAsia="zh-CN" w:bidi="ar-SA"/>
        </w:rPr>
        <w:t>万元</w:t>
      </w:r>
    </w:p>
    <w:p w14:paraId="16CD4CDA">
      <w:pPr>
        <w:widowControl w:val="0"/>
        <w:spacing w:line="360" w:lineRule="auto"/>
        <w:ind w:firstLine="440" w:firstLineChars="200"/>
        <w:jc w:val="both"/>
        <w:rPr>
          <w:rFonts w:ascii="宋体" w:hAnsi="宋体" w:eastAsia="宋体" w:cs="宋体"/>
          <w:kern w:val="2"/>
          <w:sz w:val="22"/>
          <w:szCs w:val="24"/>
          <w:highlight w:val="none"/>
          <w:lang w:val="en-US" w:eastAsia="zh-CN" w:bidi="ar-SA"/>
        </w:rPr>
      </w:pPr>
      <w:r>
        <w:rPr>
          <w:rFonts w:ascii="宋体" w:hAnsi="宋体" w:eastAsia="宋体" w:cs="宋体"/>
          <w:kern w:val="2"/>
          <w:sz w:val="22"/>
          <w:szCs w:val="24"/>
          <w:highlight w:val="none"/>
          <w:lang w:val="en-US" w:eastAsia="zh-CN" w:bidi="ar-SA"/>
        </w:rPr>
        <w:t>5.工期：</w:t>
      </w:r>
      <w:r>
        <w:rPr>
          <w:rFonts w:ascii="宋体" w:hAnsi="宋体" w:eastAsia="宋体" w:cs="宋体"/>
          <w:kern w:val="2"/>
          <w:sz w:val="22"/>
          <w:szCs w:val="24"/>
          <w:highlight w:val="none"/>
          <w:u w:val="single"/>
          <w:lang w:val="en-US" w:eastAsia="zh-CN" w:bidi="ar-SA"/>
        </w:rPr>
        <w:t xml:space="preserve">                         </w:t>
      </w:r>
    </w:p>
    <w:p w14:paraId="68C772D2">
      <w:pPr>
        <w:widowControl w:val="0"/>
        <w:spacing w:line="360" w:lineRule="auto"/>
        <w:ind w:firstLine="440" w:firstLineChars="200"/>
        <w:jc w:val="both"/>
        <w:rPr>
          <w:rFonts w:ascii="宋体" w:hAnsi="宋体" w:eastAsia="宋体" w:cs="宋体"/>
          <w:kern w:val="2"/>
          <w:sz w:val="22"/>
          <w:szCs w:val="24"/>
          <w:highlight w:val="none"/>
          <w:lang w:val="en-US" w:eastAsia="zh-CN" w:bidi="ar-SA"/>
        </w:rPr>
      </w:pPr>
      <w:r>
        <w:rPr>
          <w:rFonts w:ascii="宋体" w:hAnsi="宋体" w:eastAsia="宋体" w:cs="宋体"/>
          <w:kern w:val="2"/>
          <w:sz w:val="22"/>
          <w:szCs w:val="24"/>
          <w:highlight w:val="none"/>
          <w:lang w:val="en-US" w:eastAsia="zh-CN" w:bidi="ar-SA"/>
        </w:rPr>
        <w:t>二、监理范围</w:t>
      </w:r>
    </w:p>
    <w:p w14:paraId="61F6D79B">
      <w:pPr>
        <w:widowControl w:val="0"/>
        <w:spacing w:line="360" w:lineRule="auto"/>
        <w:ind w:firstLine="440" w:firstLineChars="200"/>
        <w:jc w:val="both"/>
        <w:rPr>
          <w:rFonts w:ascii="宋体" w:hAnsi="宋体" w:eastAsia="宋体" w:cs="宋体"/>
          <w:kern w:val="2"/>
          <w:sz w:val="22"/>
          <w:szCs w:val="24"/>
          <w:highlight w:val="none"/>
          <w:lang w:val="en-US" w:eastAsia="zh-CN" w:bidi="ar-SA"/>
        </w:rPr>
      </w:pPr>
      <w:r>
        <w:rPr>
          <w:rFonts w:ascii="宋体" w:hAnsi="宋体" w:eastAsia="宋体" w:cs="宋体"/>
          <w:kern w:val="2"/>
          <w:sz w:val="22"/>
          <w:szCs w:val="24"/>
          <w:highlight w:val="none"/>
          <w:lang w:val="en-US" w:eastAsia="zh-CN" w:bidi="ar-SA"/>
        </w:rPr>
        <w:t>1.监理项目名称：</w:t>
      </w:r>
      <w:r>
        <w:rPr>
          <w:rFonts w:ascii="宋体" w:hAnsi="宋体" w:eastAsia="宋体" w:cs="宋体"/>
          <w:kern w:val="2"/>
          <w:sz w:val="22"/>
          <w:szCs w:val="24"/>
          <w:highlight w:val="none"/>
          <w:u w:val="single"/>
          <w:lang w:val="en-US" w:eastAsia="zh-CN" w:bidi="ar-SA"/>
        </w:rPr>
        <w:t xml:space="preserve">                         </w:t>
      </w:r>
    </w:p>
    <w:p w14:paraId="17EC783A">
      <w:pPr>
        <w:widowControl w:val="0"/>
        <w:spacing w:line="360" w:lineRule="auto"/>
        <w:ind w:firstLine="440" w:firstLineChars="200"/>
        <w:jc w:val="both"/>
        <w:rPr>
          <w:rFonts w:ascii="宋体" w:hAnsi="宋体" w:eastAsia="宋体" w:cs="宋体"/>
          <w:kern w:val="2"/>
          <w:sz w:val="22"/>
          <w:szCs w:val="24"/>
          <w:highlight w:val="none"/>
          <w:lang w:val="en-US" w:eastAsia="zh-CN" w:bidi="ar-SA"/>
        </w:rPr>
      </w:pPr>
      <w:r>
        <w:rPr>
          <w:rFonts w:ascii="宋体" w:hAnsi="宋体" w:eastAsia="宋体" w:cs="宋体"/>
          <w:kern w:val="2"/>
          <w:sz w:val="22"/>
          <w:szCs w:val="24"/>
          <w:highlight w:val="none"/>
          <w:lang w:val="en-US" w:eastAsia="zh-CN" w:bidi="ar-SA"/>
        </w:rPr>
        <w:t>2.监理项目内容及主要特性参数：</w:t>
      </w:r>
      <w:r>
        <w:rPr>
          <w:rFonts w:ascii="宋体" w:hAnsi="宋体" w:eastAsia="宋体" w:cs="宋体"/>
          <w:kern w:val="2"/>
          <w:sz w:val="22"/>
          <w:szCs w:val="24"/>
          <w:highlight w:val="none"/>
          <w:u w:val="single"/>
          <w:lang w:val="en-US" w:eastAsia="zh-CN" w:bidi="ar-SA"/>
        </w:rPr>
        <w:t xml:space="preserve">                         </w:t>
      </w:r>
    </w:p>
    <w:p w14:paraId="4E0BC347">
      <w:pPr>
        <w:widowControl w:val="0"/>
        <w:spacing w:line="360" w:lineRule="auto"/>
        <w:ind w:firstLine="440" w:firstLineChars="200"/>
        <w:jc w:val="both"/>
        <w:rPr>
          <w:rFonts w:ascii="宋体" w:hAnsi="宋体" w:eastAsia="宋体" w:cs="宋体"/>
          <w:kern w:val="2"/>
          <w:sz w:val="22"/>
          <w:szCs w:val="24"/>
          <w:highlight w:val="none"/>
          <w:u w:val="single"/>
          <w:lang w:val="en-US" w:eastAsia="zh-CN" w:bidi="ar-SA"/>
        </w:rPr>
      </w:pPr>
      <w:r>
        <w:rPr>
          <w:rFonts w:ascii="宋体" w:hAnsi="宋体" w:eastAsia="宋体" w:cs="宋体"/>
          <w:kern w:val="2"/>
          <w:sz w:val="22"/>
          <w:szCs w:val="24"/>
          <w:highlight w:val="none"/>
          <w:lang w:val="en-US" w:eastAsia="zh-CN" w:bidi="ar-SA"/>
        </w:rPr>
        <w:t>3.监理项目投资：</w:t>
      </w:r>
      <w:r>
        <w:rPr>
          <w:rFonts w:ascii="宋体" w:hAnsi="宋体" w:eastAsia="宋体" w:cs="宋体"/>
          <w:kern w:val="2"/>
          <w:sz w:val="22"/>
          <w:szCs w:val="24"/>
          <w:highlight w:val="none"/>
          <w:u w:val="single"/>
          <w:lang w:val="en-US" w:eastAsia="zh-CN" w:bidi="ar-SA"/>
        </w:rPr>
        <w:t xml:space="preserve">                        </w:t>
      </w:r>
    </w:p>
    <w:p w14:paraId="4ABC1A94">
      <w:pPr>
        <w:widowControl w:val="0"/>
        <w:spacing w:line="360" w:lineRule="auto"/>
        <w:ind w:firstLine="440" w:firstLineChars="200"/>
        <w:jc w:val="both"/>
        <w:rPr>
          <w:rFonts w:ascii="宋体" w:hAnsi="宋体" w:eastAsia="宋体" w:cs="宋体"/>
          <w:kern w:val="2"/>
          <w:sz w:val="22"/>
          <w:szCs w:val="24"/>
          <w:highlight w:val="none"/>
          <w:u w:val="single"/>
          <w:lang w:val="en-US" w:eastAsia="zh-CN" w:bidi="ar-SA"/>
        </w:rPr>
      </w:pPr>
      <w:r>
        <w:rPr>
          <w:rFonts w:ascii="宋体" w:hAnsi="宋体" w:eastAsia="宋体" w:cs="宋体"/>
          <w:kern w:val="2"/>
          <w:sz w:val="22"/>
          <w:szCs w:val="24"/>
          <w:highlight w:val="none"/>
          <w:lang w:val="en-US" w:eastAsia="zh-CN" w:bidi="ar-SA"/>
        </w:rPr>
        <w:t>4.监理阶段：</w:t>
      </w:r>
      <w:r>
        <w:rPr>
          <w:rFonts w:ascii="宋体" w:hAnsi="宋体" w:eastAsia="宋体" w:cs="宋体"/>
          <w:kern w:val="2"/>
          <w:sz w:val="22"/>
          <w:szCs w:val="24"/>
          <w:highlight w:val="none"/>
          <w:u w:val="single"/>
          <w:lang w:val="en-US" w:eastAsia="zh-CN" w:bidi="ar-SA"/>
        </w:rPr>
        <w:t xml:space="preserve">   （施工期、保修期）   </w:t>
      </w:r>
    </w:p>
    <w:p w14:paraId="06540BCD">
      <w:pPr>
        <w:widowControl w:val="0"/>
        <w:spacing w:line="360" w:lineRule="auto"/>
        <w:ind w:firstLine="440" w:firstLineChars="200"/>
        <w:jc w:val="both"/>
        <w:rPr>
          <w:rFonts w:ascii="宋体" w:hAnsi="宋体" w:eastAsia="宋体" w:cs="宋体"/>
          <w:kern w:val="2"/>
          <w:sz w:val="22"/>
          <w:szCs w:val="24"/>
          <w:highlight w:val="none"/>
          <w:lang w:val="en-US" w:eastAsia="zh-CN" w:bidi="ar-SA"/>
        </w:rPr>
      </w:pPr>
      <w:r>
        <w:rPr>
          <w:rFonts w:ascii="宋体" w:hAnsi="宋体" w:eastAsia="宋体" w:cs="宋体"/>
          <w:kern w:val="2"/>
          <w:sz w:val="22"/>
          <w:szCs w:val="24"/>
          <w:highlight w:val="none"/>
          <w:lang w:val="en-US" w:eastAsia="zh-CN" w:bidi="ar-SA"/>
        </w:rPr>
        <w:t>三、监理服务内容、期限</w:t>
      </w:r>
    </w:p>
    <w:p w14:paraId="28E43C65">
      <w:pPr>
        <w:widowControl w:val="0"/>
        <w:spacing w:line="360" w:lineRule="auto"/>
        <w:ind w:firstLine="440" w:firstLineChars="200"/>
        <w:jc w:val="both"/>
        <w:rPr>
          <w:rFonts w:ascii="宋体" w:hAnsi="宋体" w:eastAsia="宋体" w:cs="宋体"/>
          <w:kern w:val="2"/>
          <w:sz w:val="22"/>
          <w:szCs w:val="24"/>
          <w:highlight w:val="none"/>
          <w:lang w:val="en-US" w:eastAsia="zh-CN" w:bidi="ar-SA"/>
        </w:rPr>
      </w:pPr>
      <w:r>
        <w:rPr>
          <w:rFonts w:ascii="宋体" w:hAnsi="宋体" w:eastAsia="宋体" w:cs="宋体"/>
          <w:kern w:val="2"/>
          <w:sz w:val="22"/>
          <w:szCs w:val="24"/>
          <w:highlight w:val="none"/>
          <w:lang w:val="en-US" w:eastAsia="zh-CN" w:bidi="ar-SA"/>
        </w:rPr>
        <w:t>1.监理服务内容：按专用合同条款约定。</w:t>
      </w:r>
    </w:p>
    <w:p w14:paraId="089A0BA1">
      <w:pPr>
        <w:widowControl w:val="0"/>
        <w:spacing w:line="360" w:lineRule="auto"/>
        <w:ind w:firstLine="440" w:firstLineChars="200"/>
        <w:jc w:val="both"/>
        <w:rPr>
          <w:rFonts w:ascii="宋体" w:hAnsi="宋体" w:eastAsia="宋体" w:cs="宋体"/>
          <w:kern w:val="2"/>
          <w:sz w:val="22"/>
          <w:szCs w:val="24"/>
          <w:highlight w:val="none"/>
          <w:lang w:val="en-US" w:eastAsia="zh-CN" w:bidi="ar-SA"/>
        </w:rPr>
      </w:pPr>
      <w:r>
        <w:rPr>
          <w:rFonts w:ascii="宋体" w:hAnsi="宋体" w:eastAsia="宋体" w:cs="宋体"/>
          <w:kern w:val="2"/>
          <w:sz w:val="22"/>
          <w:szCs w:val="24"/>
          <w:highlight w:val="none"/>
          <w:lang w:val="en-US" w:eastAsia="zh-CN" w:bidi="ar-SA"/>
        </w:rPr>
        <w:t>2.监理服务期限：</w:t>
      </w:r>
    </w:p>
    <w:p w14:paraId="1D80795C">
      <w:pPr>
        <w:widowControl w:val="0"/>
        <w:spacing w:line="360" w:lineRule="auto"/>
        <w:ind w:firstLine="440" w:firstLineChars="200"/>
        <w:jc w:val="both"/>
        <w:rPr>
          <w:rFonts w:ascii="宋体" w:hAnsi="宋体" w:eastAsia="宋体" w:cs="宋体"/>
          <w:kern w:val="2"/>
          <w:sz w:val="22"/>
          <w:szCs w:val="24"/>
          <w:highlight w:val="none"/>
          <w:lang w:val="en-US" w:eastAsia="zh-CN" w:bidi="ar-SA"/>
        </w:rPr>
      </w:pPr>
      <w:r>
        <w:rPr>
          <w:rFonts w:hint="eastAsia" w:ascii="宋体" w:hAnsi="宋体" w:eastAsia="宋体" w:cs="宋体"/>
          <w:kern w:val="2"/>
          <w:sz w:val="22"/>
          <w:szCs w:val="24"/>
          <w:highlight w:val="none"/>
          <w:lang w:val="en-US" w:eastAsia="zh-CN" w:bidi="ar-SA"/>
        </w:rPr>
        <w:t>合同签订生效之日起，至质量保修期满完成全部监理及服务工作止（质量保修期自工程交工验收合格之日起算）</w:t>
      </w:r>
      <w:r>
        <w:rPr>
          <w:rFonts w:ascii="宋体" w:hAnsi="宋体" w:eastAsia="宋体" w:cs="宋体"/>
          <w:kern w:val="2"/>
          <w:sz w:val="22"/>
          <w:szCs w:val="24"/>
          <w:highlight w:val="none"/>
          <w:lang w:val="en-US" w:eastAsia="zh-CN" w:bidi="ar-SA"/>
        </w:rPr>
        <w:t>。</w:t>
      </w:r>
    </w:p>
    <w:p w14:paraId="12343DEB">
      <w:pPr>
        <w:widowControl w:val="0"/>
        <w:spacing w:line="360" w:lineRule="auto"/>
        <w:ind w:firstLine="440" w:firstLineChars="200"/>
        <w:jc w:val="both"/>
        <w:rPr>
          <w:rFonts w:ascii="宋体" w:hAnsi="宋体" w:eastAsia="宋体" w:cs="宋体"/>
          <w:kern w:val="2"/>
          <w:sz w:val="22"/>
          <w:szCs w:val="24"/>
          <w:highlight w:val="none"/>
          <w:lang w:val="en-US" w:eastAsia="zh-CN" w:bidi="ar-SA"/>
        </w:rPr>
      </w:pPr>
      <w:r>
        <w:rPr>
          <w:rFonts w:ascii="宋体" w:hAnsi="宋体" w:eastAsia="宋体" w:cs="宋体"/>
          <w:kern w:val="2"/>
          <w:sz w:val="22"/>
          <w:szCs w:val="24"/>
          <w:highlight w:val="none"/>
          <w:lang w:val="en-US" w:eastAsia="zh-CN" w:bidi="ar-SA"/>
        </w:rPr>
        <w:t>四、监理服务酬金</w:t>
      </w:r>
    </w:p>
    <w:p w14:paraId="1773A22F">
      <w:pPr>
        <w:widowControl w:val="0"/>
        <w:spacing w:line="360" w:lineRule="auto"/>
        <w:ind w:firstLine="440" w:firstLineChars="200"/>
        <w:jc w:val="both"/>
        <w:rPr>
          <w:rFonts w:ascii="宋体" w:hAnsi="宋体" w:eastAsia="宋体" w:cs="宋体"/>
          <w:kern w:val="2"/>
          <w:sz w:val="22"/>
          <w:szCs w:val="24"/>
          <w:highlight w:val="none"/>
          <w:lang w:val="en-US" w:eastAsia="zh-CN" w:bidi="ar-SA"/>
        </w:rPr>
      </w:pPr>
      <w:r>
        <w:rPr>
          <w:rFonts w:ascii="宋体" w:hAnsi="宋体" w:eastAsia="宋体" w:cs="宋体"/>
          <w:kern w:val="2"/>
          <w:sz w:val="22"/>
          <w:szCs w:val="24"/>
          <w:highlight w:val="none"/>
          <w:lang w:val="en-US" w:eastAsia="zh-CN" w:bidi="ar-SA"/>
        </w:rPr>
        <w:t>监理正常服务酬金</w:t>
      </w:r>
      <w:r>
        <w:rPr>
          <w:rFonts w:hint="eastAsia" w:ascii="宋体" w:hAnsi="宋体" w:cs="宋体"/>
          <w:kern w:val="2"/>
          <w:sz w:val="22"/>
          <w:szCs w:val="24"/>
          <w:highlight w:val="none"/>
          <w:lang w:val="en-US" w:eastAsia="zh-CN" w:bidi="ar-SA"/>
        </w:rPr>
        <w:t>费率为:</w:t>
      </w:r>
      <w:r>
        <w:rPr>
          <w:rFonts w:ascii="宋体" w:hAnsi="宋体" w:eastAsia="宋体" w:cs="宋体"/>
          <w:kern w:val="2"/>
          <w:sz w:val="22"/>
          <w:szCs w:val="24"/>
          <w:highlight w:val="none"/>
          <w:u w:val="single"/>
          <w:lang w:val="en-US" w:eastAsia="zh-CN" w:bidi="ar-SA"/>
        </w:rPr>
        <w:t xml:space="preserve">                  </w:t>
      </w:r>
      <w:r>
        <w:rPr>
          <w:rFonts w:ascii="宋体" w:hAnsi="宋体" w:eastAsia="宋体" w:cs="宋体"/>
          <w:kern w:val="2"/>
          <w:sz w:val="22"/>
          <w:szCs w:val="24"/>
          <w:highlight w:val="none"/>
          <w:lang w:val="en-US" w:eastAsia="zh-CN" w:bidi="ar-SA"/>
        </w:rPr>
        <w:t>，由委托人按专用合同条款约</w:t>
      </w:r>
      <w:bookmarkStart w:id="995" w:name="_GoBack"/>
      <w:bookmarkEnd w:id="995"/>
      <w:r>
        <w:rPr>
          <w:rFonts w:ascii="宋体" w:hAnsi="宋体" w:eastAsia="宋体" w:cs="宋体"/>
          <w:kern w:val="2"/>
          <w:sz w:val="22"/>
          <w:szCs w:val="24"/>
          <w:highlight w:val="none"/>
          <w:lang w:val="en-US" w:eastAsia="zh-CN" w:bidi="ar-SA"/>
        </w:rPr>
        <w:t>定的方式、时间向监理人支付。</w:t>
      </w:r>
    </w:p>
    <w:p w14:paraId="697630C2">
      <w:pPr>
        <w:widowControl w:val="0"/>
        <w:spacing w:line="360" w:lineRule="auto"/>
        <w:ind w:firstLine="440" w:firstLineChars="200"/>
        <w:jc w:val="both"/>
        <w:rPr>
          <w:rFonts w:ascii="宋体" w:hAnsi="宋体" w:eastAsia="宋体" w:cs="宋体"/>
          <w:kern w:val="2"/>
          <w:sz w:val="22"/>
          <w:szCs w:val="24"/>
          <w:highlight w:val="none"/>
          <w:lang w:val="en-US" w:eastAsia="zh-CN" w:bidi="ar-SA"/>
        </w:rPr>
      </w:pPr>
      <w:r>
        <w:rPr>
          <w:rFonts w:ascii="宋体" w:hAnsi="宋体" w:eastAsia="宋体" w:cs="宋体"/>
          <w:kern w:val="2"/>
          <w:sz w:val="22"/>
          <w:szCs w:val="24"/>
          <w:highlight w:val="none"/>
          <w:lang w:val="en-US" w:eastAsia="zh-CN" w:bidi="ar-SA"/>
        </w:rPr>
        <w:t>五、监理合同的组成文件及解释顺序</w:t>
      </w:r>
    </w:p>
    <w:p w14:paraId="4AF57EA9">
      <w:pPr>
        <w:widowControl w:val="0"/>
        <w:spacing w:line="360" w:lineRule="auto"/>
        <w:ind w:firstLine="440" w:firstLineChars="200"/>
        <w:jc w:val="both"/>
        <w:rPr>
          <w:rFonts w:ascii="宋体" w:hAnsi="宋体" w:eastAsia="宋体" w:cs="宋体"/>
          <w:kern w:val="2"/>
          <w:sz w:val="22"/>
          <w:szCs w:val="24"/>
          <w:highlight w:val="none"/>
          <w:lang w:val="en-US" w:eastAsia="zh-CN" w:bidi="ar-SA"/>
        </w:rPr>
      </w:pPr>
      <w:r>
        <w:rPr>
          <w:rFonts w:ascii="宋体" w:hAnsi="宋体" w:eastAsia="宋体" w:cs="宋体"/>
          <w:kern w:val="2"/>
          <w:sz w:val="22"/>
          <w:szCs w:val="24"/>
          <w:highlight w:val="none"/>
          <w:lang w:val="en-US" w:eastAsia="zh-CN" w:bidi="ar-SA"/>
        </w:rPr>
        <w:t>1.监理合同书（含补充协议）；</w:t>
      </w:r>
    </w:p>
    <w:p w14:paraId="5F994EED">
      <w:pPr>
        <w:widowControl w:val="0"/>
        <w:spacing w:line="360" w:lineRule="auto"/>
        <w:ind w:firstLine="440" w:firstLineChars="200"/>
        <w:jc w:val="both"/>
        <w:rPr>
          <w:rFonts w:ascii="宋体" w:hAnsi="宋体" w:eastAsia="宋体" w:cs="宋体"/>
          <w:kern w:val="2"/>
          <w:sz w:val="22"/>
          <w:szCs w:val="24"/>
          <w:highlight w:val="none"/>
          <w:lang w:val="en-US" w:eastAsia="zh-CN" w:bidi="ar-SA"/>
        </w:rPr>
      </w:pPr>
      <w:r>
        <w:rPr>
          <w:rFonts w:ascii="宋体" w:hAnsi="宋体" w:eastAsia="宋体" w:cs="宋体"/>
          <w:kern w:val="2"/>
          <w:sz w:val="22"/>
          <w:szCs w:val="24"/>
          <w:highlight w:val="none"/>
          <w:lang w:val="en-US" w:eastAsia="zh-CN" w:bidi="ar-SA"/>
        </w:rPr>
        <w:t>2.</w:t>
      </w:r>
      <w:r>
        <w:rPr>
          <w:rFonts w:hint="eastAsia" w:ascii="宋体" w:hAnsi="宋体" w:eastAsia="宋体" w:cs="宋体"/>
          <w:kern w:val="2"/>
          <w:sz w:val="22"/>
          <w:szCs w:val="24"/>
          <w:highlight w:val="none"/>
          <w:lang w:val="en-US" w:eastAsia="zh-CN" w:bidi="ar-SA"/>
        </w:rPr>
        <w:t>中标通知书</w:t>
      </w:r>
      <w:r>
        <w:rPr>
          <w:rFonts w:ascii="宋体" w:hAnsi="宋体" w:eastAsia="宋体" w:cs="宋体"/>
          <w:kern w:val="2"/>
          <w:sz w:val="22"/>
          <w:szCs w:val="24"/>
          <w:highlight w:val="none"/>
          <w:lang w:val="en-US" w:eastAsia="zh-CN" w:bidi="ar-SA"/>
        </w:rPr>
        <w:t>；</w:t>
      </w:r>
    </w:p>
    <w:p w14:paraId="27520E33">
      <w:pPr>
        <w:widowControl w:val="0"/>
        <w:spacing w:line="360" w:lineRule="auto"/>
        <w:ind w:firstLine="440" w:firstLineChars="200"/>
        <w:jc w:val="both"/>
        <w:rPr>
          <w:rFonts w:ascii="宋体" w:hAnsi="宋体" w:eastAsia="宋体" w:cs="宋体"/>
          <w:kern w:val="2"/>
          <w:sz w:val="22"/>
          <w:szCs w:val="24"/>
          <w:highlight w:val="none"/>
          <w:lang w:val="en-US" w:eastAsia="zh-CN" w:bidi="ar-SA"/>
        </w:rPr>
      </w:pPr>
      <w:r>
        <w:rPr>
          <w:rFonts w:ascii="宋体" w:hAnsi="宋体" w:eastAsia="宋体" w:cs="宋体"/>
          <w:kern w:val="2"/>
          <w:sz w:val="22"/>
          <w:szCs w:val="24"/>
          <w:highlight w:val="none"/>
          <w:lang w:val="en-US" w:eastAsia="zh-CN" w:bidi="ar-SA"/>
        </w:rPr>
        <w:t>3.专用合同条款；</w:t>
      </w:r>
    </w:p>
    <w:p w14:paraId="4937FB9F">
      <w:pPr>
        <w:widowControl w:val="0"/>
        <w:spacing w:line="360" w:lineRule="auto"/>
        <w:ind w:firstLine="440" w:firstLineChars="200"/>
        <w:jc w:val="both"/>
        <w:rPr>
          <w:rFonts w:ascii="宋体" w:hAnsi="宋体" w:eastAsia="宋体" w:cs="宋体"/>
          <w:kern w:val="2"/>
          <w:sz w:val="22"/>
          <w:szCs w:val="24"/>
          <w:highlight w:val="none"/>
          <w:lang w:val="en-US" w:eastAsia="zh-CN" w:bidi="ar-SA"/>
        </w:rPr>
      </w:pPr>
      <w:r>
        <w:rPr>
          <w:rFonts w:ascii="宋体" w:hAnsi="宋体" w:eastAsia="宋体" w:cs="宋体"/>
          <w:kern w:val="2"/>
          <w:sz w:val="22"/>
          <w:szCs w:val="24"/>
          <w:highlight w:val="none"/>
          <w:lang w:val="en-US" w:eastAsia="zh-CN" w:bidi="ar-SA"/>
        </w:rPr>
        <w:t>4.通用合同条款；</w:t>
      </w:r>
    </w:p>
    <w:p w14:paraId="22B5D548">
      <w:pPr>
        <w:widowControl w:val="0"/>
        <w:spacing w:line="360" w:lineRule="auto"/>
        <w:ind w:firstLine="440" w:firstLineChars="200"/>
        <w:jc w:val="both"/>
        <w:rPr>
          <w:rFonts w:ascii="宋体" w:hAnsi="宋体" w:eastAsia="宋体" w:cs="宋体"/>
          <w:kern w:val="2"/>
          <w:sz w:val="22"/>
          <w:szCs w:val="24"/>
          <w:highlight w:val="none"/>
          <w:lang w:val="en-US" w:eastAsia="zh-CN" w:bidi="ar-SA"/>
        </w:rPr>
      </w:pPr>
      <w:r>
        <w:rPr>
          <w:rFonts w:ascii="宋体" w:hAnsi="宋体" w:eastAsia="宋体" w:cs="宋体"/>
          <w:kern w:val="2"/>
          <w:sz w:val="22"/>
          <w:szCs w:val="24"/>
          <w:highlight w:val="none"/>
          <w:lang w:val="en-US" w:eastAsia="zh-CN" w:bidi="ar-SA"/>
        </w:rPr>
        <w:t>5.</w:t>
      </w:r>
      <w:r>
        <w:rPr>
          <w:rFonts w:hint="eastAsia" w:ascii="宋体" w:hAnsi="宋体" w:eastAsia="宋体" w:cs="宋体"/>
          <w:kern w:val="2"/>
          <w:sz w:val="22"/>
          <w:szCs w:val="24"/>
          <w:highlight w:val="none"/>
          <w:lang w:val="en-US" w:eastAsia="zh-CN" w:bidi="ar-SA"/>
        </w:rPr>
        <w:t>投标文件</w:t>
      </w:r>
      <w:r>
        <w:rPr>
          <w:rFonts w:ascii="宋体" w:hAnsi="宋体" w:eastAsia="宋体" w:cs="宋体"/>
          <w:kern w:val="2"/>
          <w:sz w:val="22"/>
          <w:szCs w:val="24"/>
          <w:highlight w:val="none"/>
          <w:lang w:val="en-US" w:eastAsia="zh-CN" w:bidi="ar-SA"/>
        </w:rPr>
        <w:t>；</w:t>
      </w:r>
    </w:p>
    <w:p w14:paraId="21FF0FA5">
      <w:pPr>
        <w:widowControl w:val="0"/>
        <w:spacing w:line="360" w:lineRule="auto"/>
        <w:ind w:firstLine="440" w:firstLineChars="200"/>
        <w:jc w:val="both"/>
        <w:rPr>
          <w:rFonts w:ascii="宋体" w:hAnsi="宋体" w:eastAsia="宋体" w:cs="宋体"/>
          <w:kern w:val="2"/>
          <w:sz w:val="22"/>
          <w:szCs w:val="24"/>
          <w:highlight w:val="none"/>
          <w:lang w:val="en-US" w:eastAsia="zh-CN" w:bidi="ar-SA"/>
        </w:rPr>
      </w:pPr>
      <w:r>
        <w:rPr>
          <w:rFonts w:ascii="宋体" w:hAnsi="宋体" w:eastAsia="宋体" w:cs="宋体"/>
          <w:kern w:val="2"/>
          <w:sz w:val="22"/>
          <w:szCs w:val="24"/>
          <w:highlight w:val="none"/>
          <w:lang w:val="en-US" w:eastAsia="zh-CN" w:bidi="ar-SA"/>
        </w:rPr>
        <w:t>6.</w:t>
      </w:r>
      <w:r>
        <w:rPr>
          <w:rFonts w:hint="eastAsia" w:ascii="宋体" w:hAnsi="宋体" w:eastAsia="宋体" w:cs="宋体"/>
          <w:kern w:val="2"/>
          <w:sz w:val="22"/>
          <w:szCs w:val="24"/>
          <w:highlight w:val="none"/>
          <w:lang w:val="en-US" w:eastAsia="zh-CN" w:bidi="ar-SA"/>
        </w:rPr>
        <w:t>招标文件</w:t>
      </w:r>
      <w:r>
        <w:rPr>
          <w:rFonts w:ascii="宋体" w:hAnsi="宋体" w:eastAsia="宋体" w:cs="宋体"/>
          <w:kern w:val="2"/>
          <w:sz w:val="22"/>
          <w:szCs w:val="24"/>
          <w:highlight w:val="none"/>
          <w:lang w:val="en-US" w:eastAsia="zh-CN" w:bidi="ar-SA"/>
        </w:rPr>
        <w:t>；</w:t>
      </w:r>
    </w:p>
    <w:p w14:paraId="1C786EE5">
      <w:pPr>
        <w:widowControl w:val="0"/>
        <w:spacing w:line="360" w:lineRule="auto"/>
        <w:ind w:firstLine="440" w:firstLineChars="200"/>
        <w:jc w:val="both"/>
        <w:rPr>
          <w:rFonts w:ascii="宋体" w:hAnsi="宋体" w:eastAsia="宋体" w:cs="宋体"/>
          <w:kern w:val="2"/>
          <w:sz w:val="22"/>
          <w:szCs w:val="24"/>
          <w:highlight w:val="none"/>
          <w:lang w:val="en-US" w:eastAsia="zh-CN" w:bidi="ar-SA"/>
        </w:rPr>
      </w:pPr>
      <w:r>
        <w:rPr>
          <w:rFonts w:ascii="宋体" w:hAnsi="宋体" w:eastAsia="宋体" w:cs="宋体"/>
          <w:kern w:val="2"/>
          <w:sz w:val="22"/>
          <w:szCs w:val="24"/>
          <w:highlight w:val="none"/>
          <w:lang w:val="en-US" w:eastAsia="zh-CN" w:bidi="ar-SA"/>
        </w:rPr>
        <w:t>7.双方确认需进入合同的其他文件。</w:t>
      </w:r>
    </w:p>
    <w:p w14:paraId="7FCF9D1A">
      <w:pPr>
        <w:widowControl w:val="0"/>
        <w:spacing w:line="360" w:lineRule="auto"/>
        <w:ind w:firstLine="440" w:firstLineChars="200"/>
        <w:jc w:val="both"/>
        <w:rPr>
          <w:rFonts w:ascii="宋体" w:hAnsi="宋体" w:eastAsia="宋体" w:cs="宋体"/>
          <w:kern w:val="2"/>
          <w:sz w:val="22"/>
          <w:szCs w:val="24"/>
          <w:highlight w:val="none"/>
          <w:lang w:val="en-US" w:eastAsia="zh-CN" w:bidi="ar-SA"/>
        </w:rPr>
      </w:pPr>
      <w:r>
        <w:rPr>
          <w:rFonts w:ascii="宋体" w:hAnsi="宋体" w:eastAsia="宋体" w:cs="宋体"/>
          <w:kern w:val="2"/>
          <w:sz w:val="22"/>
          <w:szCs w:val="24"/>
          <w:highlight w:val="none"/>
          <w:lang w:val="en-US" w:eastAsia="zh-CN" w:bidi="ar-SA"/>
        </w:rPr>
        <w:t>六、本合同书经双方法定代表人或其授权代表人签名并加盖本单位公章后生效。</w:t>
      </w:r>
    </w:p>
    <w:p w14:paraId="79561DE8">
      <w:pPr>
        <w:widowControl w:val="0"/>
        <w:spacing w:line="360" w:lineRule="auto"/>
        <w:ind w:firstLine="440" w:firstLineChars="200"/>
        <w:jc w:val="both"/>
        <w:rPr>
          <w:rFonts w:ascii="宋体" w:hAnsi="宋体" w:eastAsia="宋体" w:cs="宋体"/>
          <w:kern w:val="2"/>
          <w:sz w:val="22"/>
          <w:szCs w:val="24"/>
          <w:highlight w:val="none"/>
          <w:lang w:val="en-US" w:eastAsia="zh-CN" w:bidi="ar-SA"/>
        </w:rPr>
      </w:pPr>
      <w:r>
        <w:rPr>
          <w:rFonts w:ascii="宋体" w:hAnsi="宋体" w:eastAsia="宋体" w:cs="宋体"/>
          <w:kern w:val="2"/>
          <w:sz w:val="22"/>
          <w:szCs w:val="24"/>
          <w:highlight w:val="none"/>
          <w:lang w:val="en-US" w:eastAsia="zh-CN" w:bidi="ar-SA"/>
        </w:rPr>
        <w:t>七、本合同书正本一式贰份，具有同等法律效力，由双方各执一份；副本</w:t>
      </w:r>
      <w:r>
        <w:rPr>
          <w:rFonts w:ascii="宋体" w:hAnsi="宋体" w:eastAsia="宋体" w:cs="宋体"/>
          <w:kern w:val="2"/>
          <w:sz w:val="22"/>
          <w:szCs w:val="24"/>
          <w:highlight w:val="none"/>
          <w:u w:val="single"/>
          <w:lang w:val="en-US" w:eastAsia="zh-CN" w:bidi="ar-SA"/>
        </w:rPr>
        <w:t xml:space="preserve">     </w:t>
      </w:r>
      <w:r>
        <w:rPr>
          <w:rFonts w:ascii="宋体" w:hAnsi="宋体" w:eastAsia="宋体" w:cs="宋体"/>
          <w:kern w:val="2"/>
          <w:sz w:val="22"/>
          <w:szCs w:val="24"/>
          <w:highlight w:val="none"/>
          <w:lang w:val="en-US" w:eastAsia="zh-CN" w:bidi="ar-SA"/>
        </w:rPr>
        <w:t>份，委托人执</w:t>
      </w:r>
      <w:r>
        <w:rPr>
          <w:rFonts w:ascii="宋体" w:hAnsi="宋体" w:eastAsia="宋体" w:cs="宋体"/>
          <w:kern w:val="2"/>
          <w:sz w:val="22"/>
          <w:szCs w:val="24"/>
          <w:highlight w:val="none"/>
          <w:u w:val="single"/>
          <w:lang w:val="en-US" w:eastAsia="zh-CN" w:bidi="ar-SA"/>
        </w:rPr>
        <w:t xml:space="preserve">     </w:t>
      </w:r>
      <w:r>
        <w:rPr>
          <w:rFonts w:ascii="宋体" w:hAnsi="宋体" w:eastAsia="宋体" w:cs="宋体"/>
          <w:kern w:val="2"/>
          <w:sz w:val="22"/>
          <w:szCs w:val="24"/>
          <w:highlight w:val="none"/>
          <w:lang w:val="en-US" w:eastAsia="zh-CN" w:bidi="ar-SA"/>
        </w:rPr>
        <w:t>份，监理人执</w:t>
      </w:r>
      <w:r>
        <w:rPr>
          <w:rFonts w:ascii="宋体" w:hAnsi="宋体" w:eastAsia="宋体" w:cs="宋体"/>
          <w:kern w:val="2"/>
          <w:sz w:val="22"/>
          <w:szCs w:val="24"/>
          <w:highlight w:val="none"/>
          <w:u w:val="single"/>
          <w:lang w:val="en-US" w:eastAsia="zh-CN" w:bidi="ar-SA"/>
        </w:rPr>
        <w:t xml:space="preserve">     </w:t>
      </w:r>
      <w:r>
        <w:rPr>
          <w:rFonts w:ascii="宋体" w:hAnsi="宋体" w:eastAsia="宋体" w:cs="宋体"/>
          <w:kern w:val="2"/>
          <w:sz w:val="22"/>
          <w:szCs w:val="24"/>
          <w:highlight w:val="none"/>
          <w:lang w:val="en-US" w:eastAsia="zh-CN" w:bidi="ar-SA"/>
        </w:rPr>
        <w:t>份。</w:t>
      </w:r>
    </w:p>
    <w:p w14:paraId="2112EF70">
      <w:pPr>
        <w:widowControl w:val="0"/>
        <w:spacing w:line="360" w:lineRule="auto"/>
        <w:ind w:firstLine="440" w:firstLineChars="200"/>
        <w:jc w:val="both"/>
        <w:rPr>
          <w:rFonts w:ascii="宋体" w:hAnsi="宋体" w:eastAsia="宋体" w:cs="宋体"/>
          <w:kern w:val="2"/>
          <w:sz w:val="22"/>
          <w:szCs w:val="24"/>
          <w:highlight w:val="none"/>
          <w:u w:val="single"/>
          <w:lang w:val="en-US" w:eastAsia="zh-CN" w:bidi="ar-SA"/>
        </w:rPr>
      </w:pPr>
      <w:r>
        <w:rPr>
          <w:rFonts w:ascii="宋体" w:hAnsi="宋体" w:eastAsia="宋体" w:cs="宋体"/>
          <w:kern w:val="2"/>
          <w:sz w:val="22"/>
          <w:szCs w:val="24"/>
          <w:highlight w:val="none"/>
          <w:lang w:val="en-US" w:eastAsia="zh-CN" w:bidi="ar-SA"/>
        </w:rPr>
        <w:t>委托人：</w:t>
      </w:r>
      <w:r>
        <w:rPr>
          <w:rFonts w:ascii="宋体" w:hAnsi="宋体" w:eastAsia="宋体" w:cs="宋体"/>
          <w:kern w:val="2"/>
          <w:sz w:val="22"/>
          <w:szCs w:val="24"/>
          <w:highlight w:val="none"/>
          <w:u w:val="single"/>
          <w:lang w:val="en-US" w:eastAsia="zh-CN" w:bidi="ar-SA"/>
        </w:rPr>
        <w:t xml:space="preserve">         （盖章）        </w:t>
      </w:r>
      <w:r>
        <w:rPr>
          <w:rFonts w:ascii="宋体" w:hAnsi="宋体" w:eastAsia="宋体" w:cs="宋体"/>
          <w:kern w:val="2"/>
          <w:sz w:val="22"/>
          <w:szCs w:val="24"/>
          <w:highlight w:val="none"/>
          <w:lang w:val="en-US" w:eastAsia="zh-CN" w:bidi="ar-SA"/>
        </w:rPr>
        <w:t xml:space="preserve">        监理人：</w:t>
      </w:r>
      <w:r>
        <w:rPr>
          <w:rFonts w:ascii="宋体" w:hAnsi="宋体" w:eastAsia="宋体" w:cs="宋体"/>
          <w:kern w:val="2"/>
          <w:sz w:val="22"/>
          <w:szCs w:val="24"/>
          <w:highlight w:val="none"/>
          <w:u w:val="single"/>
          <w:lang w:val="en-US" w:eastAsia="zh-CN" w:bidi="ar-SA"/>
        </w:rPr>
        <w:t xml:space="preserve">   （盖章）             </w:t>
      </w:r>
    </w:p>
    <w:p w14:paraId="3A70439D">
      <w:pPr>
        <w:widowControl w:val="0"/>
        <w:spacing w:line="360" w:lineRule="auto"/>
        <w:ind w:firstLine="440" w:firstLineChars="200"/>
        <w:jc w:val="both"/>
        <w:rPr>
          <w:rFonts w:ascii="宋体" w:hAnsi="宋体" w:eastAsia="宋体" w:cs="宋体"/>
          <w:kern w:val="2"/>
          <w:sz w:val="22"/>
          <w:szCs w:val="24"/>
          <w:highlight w:val="none"/>
          <w:u w:val="single"/>
          <w:lang w:val="en-US" w:eastAsia="zh-CN" w:bidi="ar-SA"/>
        </w:rPr>
      </w:pPr>
      <w:r>
        <w:rPr>
          <w:rFonts w:ascii="宋体" w:hAnsi="宋体" w:eastAsia="宋体" w:cs="宋体"/>
          <w:kern w:val="2"/>
          <w:sz w:val="22"/>
          <w:szCs w:val="24"/>
          <w:highlight w:val="none"/>
          <w:lang w:val="en-US" w:eastAsia="zh-CN" w:bidi="ar-SA"/>
        </w:rPr>
        <w:t>法定代表人：</w:t>
      </w:r>
      <w:r>
        <w:rPr>
          <w:rFonts w:ascii="宋体" w:hAnsi="宋体" w:eastAsia="宋体" w:cs="宋体"/>
          <w:kern w:val="2"/>
          <w:sz w:val="22"/>
          <w:szCs w:val="24"/>
          <w:highlight w:val="none"/>
          <w:u w:val="single"/>
          <w:lang w:val="en-US" w:eastAsia="zh-CN" w:bidi="ar-SA"/>
        </w:rPr>
        <w:t xml:space="preserve">     （签名）        </w:t>
      </w:r>
      <w:r>
        <w:rPr>
          <w:rFonts w:ascii="宋体" w:hAnsi="宋体" w:eastAsia="宋体" w:cs="宋体"/>
          <w:kern w:val="2"/>
          <w:sz w:val="22"/>
          <w:szCs w:val="24"/>
          <w:highlight w:val="none"/>
          <w:lang w:val="en-US" w:eastAsia="zh-CN" w:bidi="ar-SA"/>
        </w:rPr>
        <w:t xml:space="preserve">       法定代表人：</w:t>
      </w:r>
      <w:r>
        <w:rPr>
          <w:rFonts w:ascii="宋体" w:hAnsi="宋体" w:eastAsia="宋体" w:cs="宋体"/>
          <w:kern w:val="2"/>
          <w:sz w:val="22"/>
          <w:szCs w:val="24"/>
          <w:highlight w:val="none"/>
          <w:u w:val="single"/>
          <w:lang w:val="en-US" w:eastAsia="zh-CN" w:bidi="ar-SA"/>
        </w:rPr>
        <w:t xml:space="preserve">     （签名）        </w:t>
      </w:r>
    </w:p>
    <w:p w14:paraId="5FF06E26">
      <w:pPr>
        <w:widowControl w:val="0"/>
        <w:spacing w:line="360" w:lineRule="auto"/>
        <w:ind w:firstLine="440" w:firstLineChars="200"/>
        <w:jc w:val="both"/>
        <w:rPr>
          <w:rFonts w:ascii="宋体" w:hAnsi="宋体" w:eastAsia="宋体" w:cs="宋体"/>
          <w:kern w:val="2"/>
          <w:sz w:val="22"/>
          <w:szCs w:val="24"/>
          <w:highlight w:val="none"/>
          <w:u w:val="single"/>
          <w:lang w:val="en-US" w:eastAsia="zh-CN" w:bidi="ar-SA"/>
        </w:rPr>
      </w:pPr>
      <w:r>
        <w:rPr>
          <w:rFonts w:ascii="宋体" w:hAnsi="宋体" w:eastAsia="宋体" w:cs="宋体"/>
          <w:kern w:val="2"/>
          <w:sz w:val="22"/>
          <w:szCs w:val="24"/>
          <w:highlight w:val="none"/>
          <w:lang w:val="en-US" w:eastAsia="zh-CN" w:bidi="ar-SA"/>
        </w:rPr>
        <w:t>或授权代表人：</w:t>
      </w:r>
      <w:r>
        <w:rPr>
          <w:rFonts w:ascii="宋体" w:hAnsi="宋体" w:eastAsia="宋体" w:cs="宋体"/>
          <w:kern w:val="2"/>
          <w:sz w:val="22"/>
          <w:szCs w:val="24"/>
          <w:highlight w:val="none"/>
          <w:u w:val="single"/>
          <w:lang w:val="en-US" w:eastAsia="zh-CN" w:bidi="ar-SA"/>
        </w:rPr>
        <w:t xml:space="preserve">   （签名）        </w:t>
      </w:r>
      <w:r>
        <w:rPr>
          <w:rFonts w:ascii="宋体" w:hAnsi="宋体" w:eastAsia="宋体" w:cs="宋体"/>
          <w:kern w:val="2"/>
          <w:sz w:val="22"/>
          <w:szCs w:val="24"/>
          <w:highlight w:val="none"/>
          <w:lang w:val="en-US" w:eastAsia="zh-CN" w:bidi="ar-SA"/>
        </w:rPr>
        <w:t xml:space="preserve">       或授权代表人：</w:t>
      </w:r>
      <w:r>
        <w:rPr>
          <w:rFonts w:ascii="宋体" w:hAnsi="宋体" w:eastAsia="宋体" w:cs="宋体"/>
          <w:kern w:val="2"/>
          <w:sz w:val="22"/>
          <w:szCs w:val="24"/>
          <w:highlight w:val="none"/>
          <w:u w:val="single"/>
          <w:lang w:val="en-US" w:eastAsia="zh-CN" w:bidi="ar-SA"/>
        </w:rPr>
        <w:t xml:space="preserve">   （签名）        </w:t>
      </w:r>
    </w:p>
    <w:p w14:paraId="12FFF93B">
      <w:pPr>
        <w:widowControl w:val="0"/>
        <w:spacing w:line="360" w:lineRule="auto"/>
        <w:ind w:firstLine="440" w:firstLineChars="200"/>
        <w:jc w:val="both"/>
        <w:rPr>
          <w:rFonts w:ascii="宋体" w:hAnsi="宋体" w:eastAsia="宋体" w:cs="宋体"/>
          <w:kern w:val="2"/>
          <w:sz w:val="22"/>
          <w:szCs w:val="24"/>
          <w:highlight w:val="none"/>
          <w:u w:val="single"/>
          <w:lang w:val="en-US" w:eastAsia="zh-CN" w:bidi="ar-SA"/>
        </w:rPr>
      </w:pPr>
      <w:r>
        <w:rPr>
          <w:rFonts w:ascii="宋体" w:hAnsi="宋体" w:eastAsia="宋体" w:cs="宋体"/>
          <w:kern w:val="2"/>
          <w:sz w:val="22"/>
          <w:szCs w:val="24"/>
          <w:highlight w:val="none"/>
          <w:lang w:val="en-US" w:eastAsia="zh-CN" w:bidi="ar-SA"/>
        </w:rPr>
        <w:t>单位地址：</w:t>
      </w:r>
      <w:r>
        <w:rPr>
          <w:rFonts w:ascii="宋体" w:hAnsi="宋体" w:eastAsia="宋体" w:cs="宋体"/>
          <w:kern w:val="2"/>
          <w:sz w:val="22"/>
          <w:szCs w:val="24"/>
          <w:highlight w:val="none"/>
          <w:u w:val="single"/>
          <w:lang w:val="en-US" w:eastAsia="zh-CN" w:bidi="ar-SA"/>
        </w:rPr>
        <w:t xml:space="preserve">                       </w:t>
      </w:r>
      <w:r>
        <w:rPr>
          <w:rFonts w:ascii="宋体" w:hAnsi="宋体" w:eastAsia="宋体" w:cs="宋体"/>
          <w:kern w:val="2"/>
          <w:sz w:val="22"/>
          <w:szCs w:val="24"/>
          <w:highlight w:val="none"/>
          <w:lang w:val="en-US" w:eastAsia="zh-CN" w:bidi="ar-SA"/>
        </w:rPr>
        <w:t xml:space="preserve">       单位地址：</w:t>
      </w:r>
      <w:r>
        <w:rPr>
          <w:rFonts w:ascii="宋体" w:hAnsi="宋体" w:eastAsia="宋体" w:cs="宋体"/>
          <w:kern w:val="2"/>
          <w:sz w:val="22"/>
          <w:szCs w:val="24"/>
          <w:highlight w:val="none"/>
          <w:u w:val="single"/>
          <w:lang w:val="en-US" w:eastAsia="zh-CN" w:bidi="ar-SA"/>
        </w:rPr>
        <w:t xml:space="preserve">                       </w:t>
      </w:r>
    </w:p>
    <w:p w14:paraId="7995E4F2">
      <w:pPr>
        <w:widowControl w:val="0"/>
        <w:spacing w:line="360" w:lineRule="auto"/>
        <w:ind w:firstLine="440" w:firstLineChars="200"/>
        <w:jc w:val="both"/>
        <w:rPr>
          <w:rFonts w:ascii="宋体" w:hAnsi="宋体" w:eastAsia="宋体" w:cs="宋体"/>
          <w:kern w:val="2"/>
          <w:sz w:val="22"/>
          <w:szCs w:val="24"/>
          <w:highlight w:val="none"/>
          <w:u w:val="single"/>
          <w:lang w:val="en-US" w:eastAsia="zh-CN" w:bidi="ar-SA"/>
        </w:rPr>
      </w:pPr>
      <w:r>
        <w:rPr>
          <w:rFonts w:ascii="宋体" w:hAnsi="宋体" w:eastAsia="宋体" w:cs="宋体"/>
          <w:kern w:val="2"/>
          <w:sz w:val="22"/>
          <w:szCs w:val="24"/>
          <w:highlight w:val="none"/>
          <w:lang w:val="en-US" w:eastAsia="zh-CN" w:bidi="ar-SA"/>
        </w:rPr>
        <w:t>邮政编码：</w:t>
      </w:r>
      <w:r>
        <w:rPr>
          <w:rFonts w:ascii="宋体" w:hAnsi="宋体" w:eastAsia="宋体" w:cs="宋体"/>
          <w:kern w:val="2"/>
          <w:sz w:val="22"/>
          <w:szCs w:val="24"/>
          <w:highlight w:val="none"/>
          <w:u w:val="single"/>
          <w:lang w:val="en-US" w:eastAsia="zh-CN" w:bidi="ar-SA"/>
        </w:rPr>
        <w:t xml:space="preserve">                       </w:t>
      </w:r>
      <w:r>
        <w:rPr>
          <w:rFonts w:ascii="宋体" w:hAnsi="宋体" w:eastAsia="宋体" w:cs="宋体"/>
          <w:kern w:val="2"/>
          <w:sz w:val="22"/>
          <w:szCs w:val="24"/>
          <w:highlight w:val="none"/>
          <w:lang w:val="en-US" w:eastAsia="zh-CN" w:bidi="ar-SA"/>
        </w:rPr>
        <w:t xml:space="preserve">       邮政编码：</w:t>
      </w:r>
      <w:r>
        <w:rPr>
          <w:rFonts w:ascii="宋体" w:hAnsi="宋体" w:eastAsia="宋体" w:cs="宋体"/>
          <w:kern w:val="2"/>
          <w:sz w:val="22"/>
          <w:szCs w:val="24"/>
          <w:highlight w:val="none"/>
          <w:u w:val="single"/>
          <w:lang w:val="en-US" w:eastAsia="zh-CN" w:bidi="ar-SA"/>
        </w:rPr>
        <w:t xml:space="preserve">                       </w:t>
      </w:r>
    </w:p>
    <w:p w14:paraId="02DB60EA">
      <w:pPr>
        <w:widowControl w:val="0"/>
        <w:spacing w:line="360" w:lineRule="auto"/>
        <w:ind w:firstLine="440" w:firstLineChars="200"/>
        <w:jc w:val="both"/>
        <w:rPr>
          <w:rFonts w:ascii="宋体" w:hAnsi="宋体" w:eastAsia="宋体" w:cs="宋体"/>
          <w:kern w:val="2"/>
          <w:sz w:val="22"/>
          <w:szCs w:val="24"/>
          <w:highlight w:val="none"/>
          <w:u w:val="single"/>
          <w:lang w:val="en-US" w:eastAsia="zh-CN" w:bidi="ar-SA"/>
        </w:rPr>
      </w:pPr>
      <w:r>
        <w:rPr>
          <w:rFonts w:ascii="宋体" w:hAnsi="宋体" w:eastAsia="宋体" w:cs="宋体"/>
          <w:kern w:val="2"/>
          <w:sz w:val="22"/>
          <w:szCs w:val="24"/>
          <w:highlight w:val="none"/>
          <w:lang w:val="en-US" w:eastAsia="zh-CN" w:bidi="ar-SA"/>
        </w:rPr>
        <w:t>电话：</w:t>
      </w:r>
      <w:r>
        <w:rPr>
          <w:rFonts w:ascii="宋体" w:hAnsi="宋体" w:eastAsia="宋体" w:cs="宋体"/>
          <w:kern w:val="2"/>
          <w:sz w:val="22"/>
          <w:szCs w:val="24"/>
          <w:highlight w:val="none"/>
          <w:u w:val="single"/>
          <w:lang w:val="en-US" w:eastAsia="zh-CN" w:bidi="ar-SA"/>
        </w:rPr>
        <w:t xml:space="preserve">                           </w:t>
      </w:r>
      <w:r>
        <w:rPr>
          <w:rFonts w:ascii="宋体" w:hAnsi="宋体" w:eastAsia="宋体" w:cs="宋体"/>
          <w:kern w:val="2"/>
          <w:sz w:val="22"/>
          <w:szCs w:val="24"/>
          <w:highlight w:val="none"/>
          <w:lang w:val="en-US" w:eastAsia="zh-CN" w:bidi="ar-SA"/>
        </w:rPr>
        <w:t xml:space="preserve">       电话：</w:t>
      </w:r>
      <w:r>
        <w:rPr>
          <w:rFonts w:ascii="宋体" w:hAnsi="宋体" w:eastAsia="宋体" w:cs="宋体"/>
          <w:kern w:val="2"/>
          <w:sz w:val="22"/>
          <w:szCs w:val="24"/>
          <w:highlight w:val="none"/>
          <w:u w:val="single"/>
          <w:lang w:val="en-US" w:eastAsia="zh-CN" w:bidi="ar-SA"/>
        </w:rPr>
        <w:t xml:space="preserve">                           </w:t>
      </w:r>
    </w:p>
    <w:p w14:paraId="4137A506">
      <w:pPr>
        <w:widowControl w:val="0"/>
        <w:spacing w:line="360" w:lineRule="auto"/>
        <w:ind w:firstLine="440" w:firstLineChars="200"/>
        <w:jc w:val="both"/>
        <w:rPr>
          <w:rFonts w:ascii="宋体" w:hAnsi="宋体" w:eastAsia="宋体" w:cs="宋体"/>
          <w:kern w:val="2"/>
          <w:sz w:val="22"/>
          <w:szCs w:val="24"/>
          <w:highlight w:val="none"/>
          <w:lang w:val="en-US" w:eastAsia="zh-CN" w:bidi="ar-SA"/>
        </w:rPr>
      </w:pPr>
      <w:r>
        <w:rPr>
          <w:rFonts w:ascii="宋体" w:hAnsi="宋体" w:eastAsia="宋体" w:cs="宋体"/>
          <w:kern w:val="2"/>
          <w:sz w:val="22"/>
          <w:szCs w:val="24"/>
          <w:highlight w:val="none"/>
          <w:lang w:val="en-US" w:eastAsia="zh-CN" w:bidi="ar-SA"/>
        </w:rPr>
        <w:t>电子信箱：</w:t>
      </w:r>
      <w:r>
        <w:rPr>
          <w:rFonts w:ascii="宋体" w:hAnsi="宋体" w:eastAsia="宋体" w:cs="宋体"/>
          <w:kern w:val="2"/>
          <w:sz w:val="22"/>
          <w:szCs w:val="24"/>
          <w:highlight w:val="none"/>
          <w:u w:val="single"/>
          <w:lang w:val="en-US" w:eastAsia="zh-CN" w:bidi="ar-SA"/>
        </w:rPr>
        <w:t xml:space="preserve">                       </w:t>
      </w:r>
      <w:r>
        <w:rPr>
          <w:rFonts w:ascii="宋体" w:hAnsi="宋体" w:eastAsia="宋体" w:cs="宋体"/>
          <w:kern w:val="2"/>
          <w:sz w:val="22"/>
          <w:szCs w:val="24"/>
          <w:highlight w:val="none"/>
          <w:lang w:val="en-US" w:eastAsia="zh-CN" w:bidi="ar-SA"/>
        </w:rPr>
        <w:t xml:space="preserve">       电子信箱：</w:t>
      </w:r>
      <w:r>
        <w:rPr>
          <w:rFonts w:ascii="宋体" w:hAnsi="宋体" w:eastAsia="宋体" w:cs="宋体"/>
          <w:kern w:val="2"/>
          <w:sz w:val="22"/>
          <w:szCs w:val="24"/>
          <w:highlight w:val="none"/>
          <w:u w:val="single"/>
          <w:lang w:val="en-US" w:eastAsia="zh-CN" w:bidi="ar-SA"/>
        </w:rPr>
        <w:t xml:space="preserve">                       </w:t>
      </w:r>
      <w:r>
        <w:rPr>
          <w:rFonts w:ascii="宋体" w:hAnsi="宋体" w:eastAsia="宋体" w:cs="宋体"/>
          <w:kern w:val="2"/>
          <w:sz w:val="22"/>
          <w:szCs w:val="24"/>
          <w:highlight w:val="none"/>
          <w:lang w:val="en-US" w:eastAsia="zh-CN" w:bidi="ar-SA"/>
        </w:rPr>
        <w:t xml:space="preserve"> </w:t>
      </w:r>
    </w:p>
    <w:p w14:paraId="2E9E1032">
      <w:pPr>
        <w:widowControl w:val="0"/>
        <w:spacing w:line="360" w:lineRule="auto"/>
        <w:ind w:firstLine="440" w:firstLineChars="200"/>
        <w:jc w:val="both"/>
        <w:rPr>
          <w:rFonts w:ascii="宋体" w:hAnsi="宋体" w:eastAsia="宋体" w:cs="宋体"/>
          <w:kern w:val="2"/>
          <w:sz w:val="22"/>
          <w:szCs w:val="24"/>
          <w:highlight w:val="none"/>
          <w:u w:val="single"/>
          <w:lang w:val="en-US" w:eastAsia="zh-CN" w:bidi="ar-SA"/>
        </w:rPr>
      </w:pPr>
      <w:r>
        <w:rPr>
          <w:rFonts w:ascii="宋体" w:hAnsi="宋体" w:eastAsia="宋体" w:cs="宋体"/>
          <w:kern w:val="2"/>
          <w:sz w:val="22"/>
          <w:szCs w:val="24"/>
          <w:highlight w:val="none"/>
          <w:lang w:val="en-US" w:eastAsia="zh-CN" w:bidi="ar-SA"/>
        </w:rPr>
        <w:t>传真：</w:t>
      </w:r>
      <w:r>
        <w:rPr>
          <w:rFonts w:ascii="宋体" w:hAnsi="宋体" w:eastAsia="宋体" w:cs="宋体"/>
          <w:kern w:val="2"/>
          <w:sz w:val="22"/>
          <w:szCs w:val="24"/>
          <w:highlight w:val="none"/>
          <w:u w:val="single"/>
          <w:lang w:val="en-US" w:eastAsia="zh-CN" w:bidi="ar-SA"/>
        </w:rPr>
        <w:t xml:space="preserve">                           </w:t>
      </w:r>
      <w:r>
        <w:rPr>
          <w:rFonts w:ascii="宋体" w:hAnsi="宋体" w:eastAsia="宋体" w:cs="宋体"/>
          <w:kern w:val="2"/>
          <w:sz w:val="22"/>
          <w:szCs w:val="24"/>
          <w:highlight w:val="none"/>
          <w:lang w:val="en-US" w:eastAsia="zh-CN" w:bidi="ar-SA"/>
        </w:rPr>
        <w:t xml:space="preserve">       传真：</w:t>
      </w:r>
      <w:r>
        <w:rPr>
          <w:rFonts w:ascii="宋体" w:hAnsi="宋体" w:eastAsia="宋体" w:cs="宋体"/>
          <w:kern w:val="2"/>
          <w:sz w:val="22"/>
          <w:szCs w:val="24"/>
          <w:highlight w:val="none"/>
          <w:u w:val="single"/>
          <w:lang w:val="en-US" w:eastAsia="zh-CN" w:bidi="ar-SA"/>
        </w:rPr>
        <w:t xml:space="preserve">                           </w:t>
      </w:r>
    </w:p>
    <w:p w14:paraId="3A1E4608">
      <w:pPr>
        <w:widowControl w:val="0"/>
        <w:spacing w:line="360" w:lineRule="auto"/>
        <w:ind w:firstLine="440" w:firstLineChars="200"/>
        <w:jc w:val="both"/>
        <w:rPr>
          <w:rFonts w:ascii="宋体" w:hAnsi="宋体" w:eastAsia="宋体" w:cs="宋体"/>
          <w:kern w:val="2"/>
          <w:sz w:val="22"/>
          <w:szCs w:val="24"/>
          <w:highlight w:val="none"/>
          <w:lang w:val="en-US" w:eastAsia="zh-CN" w:bidi="ar-SA"/>
        </w:rPr>
      </w:pPr>
      <w:r>
        <w:rPr>
          <w:rFonts w:ascii="宋体" w:hAnsi="宋体" w:eastAsia="宋体" w:cs="宋体"/>
          <w:kern w:val="2"/>
          <w:sz w:val="22"/>
          <w:szCs w:val="24"/>
          <w:highlight w:val="none"/>
          <w:lang w:val="en-US" w:eastAsia="zh-CN" w:bidi="ar-SA"/>
        </w:rPr>
        <w:t>开户银行：</w:t>
      </w:r>
      <w:r>
        <w:rPr>
          <w:rFonts w:ascii="宋体" w:hAnsi="宋体" w:eastAsia="宋体" w:cs="宋体"/>
          <w:kern w:val="2"/>
          <w:sz w:val="22"/>
          <w:szCs w:val="24"/>
          <w:highlight w:val="none"/>
          <w:u w:val="single"/>
          <w:lang w:val="en-US" w:eastAsia="zh-CN" w:bidi="ar-SA"/>
        </w:rPr>
        <w:t xml:space="preserve">                       </w:t>
      </w:r>
      <w:r>
        <w:rPr>
          <w:rFonts w:ascii="宋体" w:hAnsi="宋体" w:eastAsia="宋体" w:cs="宋体"/>
          <w:kern w:val="2"/>
          <w:sz w:val="22"/>
          <w:szCs w:val="24"/>
          <w:highlight w:val="none"/>
          <w:lang w:val="en-US" w:eastAsia="zh-CN" w:bidi="ar-SA"/>
        </w:rPr>
        <w:t xml:space="preserve">       开户银行：</w:t>
      </w:r>
      <w:r>
        <w:rPr>
          <w:rFonts w:ascii="宋体" w:hAnsi="宋体" w:eastAsia="宋体" w:cs="宋体"/>
          <w:kern w:val="2"/>
          <w:sz w:val="22"/>
          <w:szCs w:val="24"/>
          <w:highlight w:val="none"/>
          <w:u w:val="single"/>
          <w:lang w:val="en-US" w:eastAsia="zh-CN" w:bidi="ar-SA"/>
        </w:rPr>
        <w:t xml:space="preserve">                       </w:t>
      </w:r>
      <w:r>
        <w:rPr>
          <w:rFonts w:ascii="宋体" w:hAnsi="宋体" w:eastAsia="宋体" w:cs="宋体"/>
          <w:kern w:val="2"/>
          <w:sz w:val="22"/>
          <w:szCs w:val="24"/>
          <w:highlight w:val="none"/>
          <w:lang w:val="en-US" w:eastAsia="zh-CN" w:bidi="ar-SA"/>
        </w:rPr>
        <w:t xml:space="preserve"> </w:t>
      </w:r>
    </w:p>
    <w:p w14:paraId="0BB3EC09">
      <w:pPr>
        <w:widowControl w:val="0"/>
        <w:spacing w:line="360" w:lineRule="auto"/>
        <w:ind w:firstLine="440" w:firstLineChars="200"/>
        <w:jc w:val="both"/>
        <w:rPr>
          <w:rFonts w:ascii="宋体" w:hAnsi="宋体" w:eastAsia="宋体" w:cs="宋体"/>
          <w:kern w:val="2"/>
          <w:sz w:val="22"/>
          <w:szCs w:val="24"/>
          <w:highlight w:val="none"/>
          <w:u w:val="single"/>
          <w:lang w:val="en-US" w:eastAsia="zh-CN" w:bidi="ar-SA"/>
        </w:rPr>
      </w:pPr>
      <w:r>
        <w:rPr>
          <w:rFonts w:ascii="宋体" w:hAnsi="宋体" w:eastAsia="宋体" w:cs="宋体"/>
          <w:kern w:val="2"/>
          <w:sz w:val="22"/>
          <w:szCs w:val="24"/>
          <w:highlight w:val="none"/>
          <w:lang w:val="en-US" w:eastAsia="zh-CN" w:bidi="ar-SA"/>
        </w:rPr>
        <w:t>账号：</w:t>
      </w:r>
      <w:r>
        <w:rPr>
          <w:rFonts w:ascii="宋体" w:hAnsi="宋体" w:eastAsia="宋体" w:cs="宋体"/>
          <w:kern w:val="2"/>
          <w:sz w:val="22"/>
          <w:szCs w:val="24"/>
          <w:highlight w:val="none"/>
          <w:u w:val="single"/>
          <w:lang w:val="en-US" w:eastAsia="zh-CN" w:bidi="ar-SA"/>
        </w:rPr>
        <w:t xml:space="preserve">                           </w:t>
      </w:r>
      <w:r>
        <w:rPr>
          <w:rFonts w:ascii="宋体" w:hAnsi="宋体" w:eastAsia="宋体" w:cs="宋体"/>
          <w:kern w:val="2"/>
          <w:sz w:val="22"/>
          <w:szCs w:val="24"/>
          <w:highlight w:val="none"/>
          <w:lang w:val="en-US" w:eastAsia="zh-CN" w:bidi="ar-SA"/>
        </w:rPr>
        <w:t xml:space="preserve">       账号：</w:t>
      </w:r>
      <w:r>
        <w:rPr>
          <w:rFonts w:ascii="宋体" w:hAnsi="宋体" w:eastAsia="宋体" w:cs="宋体"/>
          <w:kern w:val="2"/>
          <w:sz w:val="22"/>
          <w:szCs w:val="24"/>
          <w:highlight w:val="none"/>
          <w:u w:val="single"/>
          <w:lang w:val="en-US" w:eastAsia="zh-CN" w:bidi="ar-SA"/>
        </w:rPr>
        <w:t xml:space="preserve">                           </w:t>
      </w:r>
    </w:p>
    <w:p w14:paraId="0F4359F3">
      <w:pPr>
        <w:widowControl w:val="0"/>
        <w:spacing w:line="360" w:lineRule="auto"/>
        <w:ind w:firstLine="440" w:firstLineChars="200"/>
        <w:jc w:val="both"/>
        <w:rPr>
          <w:rFonts w:ascii="宋体" w:hAnsi="宋体" w:eastAsia="宋体" w:cs="宋体"/>
          <w:kern w:val="2"/>
          <w:sz w:val="22"/>
          <w:szCs w:val="24"/>
          <w:highlight w:val="none"/>
          <w:lang w:val="en-US" w:eastAsia="zh-CN" w:bidi="ar-SA"/>
        </w:rPr>
      </w:pPr>
      <w:r>
        <w:rPr>
          <w:rFonts w:ascii="宋体" w:hAnsi="宋体" w:eastAsia="宋体" w:cs="宋体"/>
          <w:kern w:val="2"/>
          <w:sz w:val="22"/>
          <w:szCs w:val="24"/>
          <w:highlight w:val="none"/>
          <w:lang w:val="en-US" w:eastAsia="zh-CN" w:bidi="ar-SA"/>
        </w:rPr>
        <w:t>签订地点：</w:t>
      </w:r>
      <w:r>
        <w:rPr>
          <w:rFonts w:ascii="宋体" w:hAnsi="宋体" w:eastAsia="宋体" w:cs="宋体"/>
          <w:kern w:val="2"/>
          <w:sz w:val="22"/>
          <w:szCs w:val="24"/>
          <w:highlight w:val="none"/>
          <w:u w:val="single"/>
          <w:lang w:val="en-US" w:eastAsia="zh-CN" w:bidi="ar-SA"/>
        </w:rPr>
        <w:t xml:space="preserve">                       </w:t>
      </w:r>
      <w:r>
        <w:rPr>
          <w:rFonts w:ascii="宋体" w:hAnsi="宋体" w:eastAsia="宋体" w:cs="宋体"/>
          <w:kern w:val="2"/>
          <w:sz w:val="22"/>
          <w:szCs w:val="24"/>
          <w:highlight w:val="none"/>
          <w:lang w:val="en-US" w:eastAsia="zh-CN" w:bidi="ar-SA"/>
        </w:rPr>
        <w:t xml:space="preserve">      </w:t>
      </w:r>
    </w:p>
    <w:p w14:paraId="32C017A1">
      <w:pPr>
        <w:widowControl w:val="0"/>
        <w:spacing w:line="360" w:lineRule="auto"/>
        <w:ind w:firstLine="440" w:firstLineChars="200"/>
        <w:jc w:val="both"/>
        <w:rPr>
          <w:rFonts w:ascii="宋体" w:hAnsi="宋体" w:eastAsia="宋体" w:cs="宋体"/>
          <w:kern w:val="2"/>
          <w:sz w:val="22"/>
          <w:szCs w:val="24"/>
          <w:highlight w:val="none"/>
          <w:lang w:val="en-US" w:eastAsia="zh-CN" w:bidi="ar-SA"/>
        </w:rPr>
      </w:pPr>
      <w:r>
        <w:rPr>
          <w:rFonts w:ascii="宋体" w:hAnsi="宋体" w:eastAsia="宋体" w:cs="宋体"/>
          <w:kern w:val="2"/>
          <w:sz w:val="22"/>
          <w:szCs w:val="24"/>
          <w:highlight w:val="none"/>
          <w:lang w:val="en-US" w:eastAsia="zh-CN" w:bidi="ar-SA"/>
        </w:rPr>
        <w:t>签订时间：</w:t>
      </w:r>
      <w:r>
        <w:rPr>
          <w:rFonts w:ascii="宋体" w:hAnsi="宋体" w:eastAsia="宋体" w:cs="宋体"/>
          <w:kern w:val="2"/>
          <w:sz w:val="22"/>
          <w:szCs w:val="24"/>
          <w:highlight w:val="none"/>
          <w:u w:val="single"/>
          <w:lang w:val="en-US" w:eastAsia="zh-CN" w:bidi="ar-SA"/>
        </w:rPr>
        <w:t xml:space="preserve">         </w:t>
      </w:r>
      <w:r>
        <w:rPr>
          <w:rFonts w:ascii="宋体" w:hAnsi="宋体" w:eastAsia="宋体" w:cs="宋体"/>
          <w:kern w:val="2"/>
          <w:sz w:val="22"/>
          <w:szCs w:val="24"/>
          <w:highlight w:val="none"/>
          <w:lang w:val="en-US" w:eastAsia="zh-CN" w:bidi="ar-SA"/>
        </w:rPr>
        <w:t>年</w:t>
      </w:r>
      <w:r>
        <w:rPr>
          <w:rFonts w:ascii="宋体" w:hAnsi="宋体" w:eastAsia="宋体" w:cs="宋体"/>
          <w:kern w:val="2"/>
          <w:sz w:val="22"/>
          <w:szCs w:val="24"/>
          <w:highlight w:val="none"/>
          <w:u w:val="single"/>
          <w:lang w:val="en-US" w:eastAsia="zh-CN" w:bidi="ar-SA"/>
        </w:rPr>
        <w:t xml:space="preserve">         </w:t>
      </w:r>
      <w:r>
        <w:rPr>
          <w:rFonts w:ascii="宋体" w:hAnsi="宋体" w:eastAsia="宋体" w:cs="宋体"/>
          <w:kern w:val="2"/>
          <w:sz w:val="22"/>
          <w:szCs w:val="24"/>
          <w:highlight w:val="none"/>
          <w:lang w:val="en-US" w:eastAsia="zh-CN" w:bidi="ar-SA"/>
        </w:rPr>
        <w:t>月</w:t>
      </w:r>
      <w:r>
        <w:rPr>
          <w:rFonts w:ascii="宋体" w:hAnsi="宋体" w:eastAsia="宋体" w:cs="宋体"/>
          <w:kern w:val="2"/>
          <w:sz w:val="22"/>
          <w:szCs w:val="24"/>
          <w:highlight w:val="none"/>
          <w:u w:val="single"/>
          <w:lang w:val="en-US" w:eastAsia="zh-CN" w:bidi="ar-SA"/>
        </w:rPr>
        <w:t xml:space="preserve">         </w:t>
      </w:r>
      <w:r>
        <w:rPr>
          <w:rFonts w:ascii="宋体" w:hAnsi="宋体" w:eastAsia="宋体" w:cs="宋体"/>
          <w:kern w:val="2"/>
          <w:sz w:val="22"/>
          <w:szCs w:val="24"/>
          <w:highlight w:val="none"/>
          <w:lang w:val="en-US" w:eastAsia="zh-CN" w:bidi="ar-SA"/>
        </w:rPr>
        <w:t>日</w:t>
      </w:r>
    </w:p>
    <w:p w14:paraId="7CD2B25F">
      <w:pPr>
        <w:jc w:val="center"/>
        <w:rPr>
          <w:rFonts w:ascii="宋体" w:hAnsi="宋体" w:eastAsia="宋体" w:cs="宋体"/>
          <w:sz w:val="22"/>
          <w:szCs w:val="22"/>
          <w:highlight w:val="none"/>
        </w:rPr>
      </w:pPr>
    </w:p>
    <w:p w14:paraId="5D6BFE5B">
      <w:pPr>
        <w:widowControl w:val="0"/>
        <w:snapToGrid w:val="0"/>
        <w:spacing w:line="360" w:lineRule="auto"/>
        <w:ind w:firstLine="420" w:firstLineChars="200"/>
        <w:jc w:val="left"/>
        <w:rPr>
          <w:rFonts w:ascii="宋体" w:hAnsi="宋体" w:eastAsia="宋体" w:cs="Times New Roman"/>
          <w:kern w:val="0"/>
          <w:sz w:val="21"/>
          <w:szCs w:val="21"/>
          <w:highlight w:val="none"/>
          <w:lang w:val="en-US" w:eastAsia="zh-CN" w:bidi="ar-SA"/>
        </w:rPr>
      </w:pPr>
      <w:r>
        <w:rPr>
          <w:rFonts w:ascii="Times New Roman" w:hAnsi="Times New Roman" w:eastAsia="宋体" w:cs="Times New Roman"/>
          <w:kern w:val="2"/>
          <w:sz w:val="21"/>
          <w:highlight w:val="none"/>
          <w:lang w:val="en-US" w:eastAsia="zh-CN" w:bidi="ar-SA"/>
        </w:rPr>
        <w:fldChar w:fldCharType="begin"/>
      </w:r>
      <w:r>
        <w:rPr>
          <w:rFonts w:ascii="宋体" w:hAnsi="宋体" w:eastAsia="宋体" w:cs="Times New Roman"/>
          <w:kern w:val="2"/>
          <w:sz w:val="21"/>
          <w:highlight w:val="none"/>
          <w:lang w:val="en-US" w:eastAsia="zh-CN" w:bidi="ar-SA"/>
        </w:rPr>
        <w:instrText xml:space="preserve">AUTOTEXT  合同条款及格式 \* MERGEFORMAT</w:instrText>
      </w:r>
      <w:r>
        <w:rPr>
          <w:rFonts w:ascii="宋体" w:hAnsi="宋体" w:eastAsia="宋体" w:cs="Times New Roman"/>
          <w:kern w:val="2"/>
          <w:sz w:val="21"/>
          <w:highlight w:val="none"/>
          <w:lang w:val="en-US" w:eastAsia="zh-CN" w:bidi="ar-SA"/>
        </w:rPr>
        <w:fldChar w:fldCharType="end"/>
      </w:r>
    </w:p>
    <w:p w14:paraId="1649CB7B">
      <w:pPr>
        <w:snapToGrid w:val="0"/>
        <w:spacing w:line="360" w:lineRule="auto"/>
        <w:rPr>
          <w:highlight w:val="none"/>
        </w:rPr>
        <w:sectPr>
          <w:footerReference r:id="rId5" w:type="default"/>
          <w:pgSz w:w="11906" w:h="16838"/>
          <w:pgMar w:top="1417" w:right="1247" w:bottom="1417" w:left="1417" w:header="0" w:footer="992" w:gutter="0"/>
          <w:cols w:space="720" w:num="1"/>
          <w:formProt w:val="0"/>
          <w:docGrid w:type="lines" w:linePitch="312" w:charSpace="43007"/>
        </w:sectPr>
      </w:pPr>
    </w:p>
    <w:p w14:paraId="52894E6F">
      <w:pPr>
        <w:widowControl w:val="0"/>
        <w:jc w:val="center"/>
        <w:outlineLvl w:val="1"/>
        <w:rPr>
          <w:rFonts w:ascii="宋体" w:hAnsi="宋体" w:eastAsia="宋体" w:cs="宋体"/>
          <w:b/>
          <w:bCs/>
          <w:kern w:val="2"/>
          <w:sz w:val="32"/>
          <w:szCs w:val="32"/>
          <w:highlight w:val="none"/>
          <w:lang w:val="en-US" w:eastAsia="zh-CN" w:bidi="ar-SA"/>
        </w:rPr>
      </w:pPr>
      <w:bookmarkStart w:id="843" w:name="_Toc7270"/>
      <w:bookmarkStart w:id="844" w:name="_Toc26500"/>
      <w:bookmarkStart w:id="845" w:name="_Toc27889"/>
      <w:r>
        <w:rPr>
          <w:rFonts w:ascii="宋体" w:hAnsi="宋体" w:eastAsia="宋体" w:cs="宋体"/>
          <w:b/>
          <w:bCs/>
          <w:kern w:val="2"/>
          <w:sz w:val="32"/>
          <w:szCs w:val="32"/>
          <w:highlight w:val="none"/>
          <w:lang w:val="en-US" w:eastAsia="zh-CN" w:bidi="ar-SA"/>
        </w:rPr>
        <w:t>第二部分  通用条件</w:t>
      </w:r>
      <w:bookmarkEnd w:id="843"/>
      <w:bookmarkEnd w:id="844"/>
      <w:bookmarkEnd w:id="845"/>
    </w:p>
    <w:p w14:paraId="0B94A4A0">
      <w:pPr>
        <w:widowControl w:val="0"/>
        <w:spacing w:line="360" w:lineRule="auto"/>
        <w:ind w:firstLine="422" w:firstLineChars="200"/>
        <w:jc w:val="both"/>
        <w:rPr>
          <w:rFonts w:ascii="宋体" w:hAnsi="宋体" w:eastAsia="宋体" w:cs="宋体"/>
          <w:b/>
          <w:kern w:val="2"/>
          <w:sz w:val="21"/>
          <w:szCs w:val="21"/>
          <w:highlight w:val="none"/>
          <w:lang w:val="en-US" w:eastAsia="zh-CN" w:bidi="ar-SA"/>
        </w:rPr>
      </w:pPr>
      <w:r>
        <w:rPr>
          <w:rFonts w:ascii="宋体" w:hAnsi="宋体" w:eastAsia="宋体" w:cs="宋体"/>
          <w:b/>
          <w:kern w:val="2"/>
          <w:sz w:val="21"/>
          <w:szCs w:val="21"/>
          <w:highlight w:val="none"/>
          <w:lang w:val="en-US" w:eastAsia="zh-CN" w:bidi="ar-SA"/>
        </w:rPr>
        <w:t>1. 定义与解释</w:t>
      </w:r>
    </w:p>
    <w:p w14:paraId="18D9A654">
      <w:pPr>
        <w:widowControl w:val="0"/>
        <w:spacing w:line="360" w:lineRule="auto"/>
        <w:ind w:firstLine="420" w:firstLineChars="200"/>
        <w:jc w:val="both"/>
        <w:rPr>
          <w:rFonts w:ascii="宋体" w:hAnsi="宋体" w:eastAsia="宋体" w:cs="宋体"/>
          <w:bCs/>
          <w:kern w:val="2"/>
          <w:sz w:val="21"/>
          <w:szCs w:val="21"/>
          <w:highlight w:val="none"/>
          <w:lang w:val="en-US" w:eastAsia="zh-CN" w:bidi="ar-SA"/>
        </w:rPr>
      </w:pPr>
      <w:r>
        <w:rPr>
          <w:rFonts w:ascii="宋体" w:hAnsi="宋体" w:eastAsia="宋体" w:cs="宋体"/>
          <w:kern w:val="2"/>
          <w:sz w:val="21"/>
          <w:szCs w:val="21"/>
          <w:highlight w:val="none"/>
          <w:lang w:val="en-US" w:eastAsia="zh-CN" w:bidi="ar-SA"/>
        </w:rPr>
        <w:t xml:space="preserve">1.1 </w:t>
      </w:r>
      <w:r>
        <w:rPr>
          <w:rFonts w:ascii="宋体" w:hAnsi="宋体" w:eastAsia="宋体" w:cs="宋体"/>
          <w:bCs/>
          <w:kern w:val="2"/>
          <w:sz w:val="21"/>
          <w:szCs w:val="21"/>
          <w:highlight w:val="none"/>
          <w:lang w:val="en-US" w:eastAsia="zh-CN" w:bidi="ar-SA"/>
        </w:rPr>
        <w:t>定义</w:t>
      </w:r>
    </w:p>
    <w:p w14:paraId="369190A1">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除根据上下文另有其意义外，组成本合同的全部文件中的下列名词和用语应具有本款所赋予的含义：</w:t>
      </w:r>
    </w:p>
    <w:p w14:paraId="7767B9ED">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1.1.1 “工程”是指按照本合同约定实施监理与相关服务的建设工程。</w:t>
      </w:r>
    </w:p>
    <w:p w14:paraId="4A65D81C">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1.1.2 “委托人”是指本合同中委托监理与相关服务的一方，及其合法的继承人或受让人。</w:t>
      </w:r>
    </w:p>
    <w:p w14:paraId="7245C79B">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1.1.3 “监理人”是指本合同中提供监理与相关服务的一方，及其合法的继承人。</w:t>
      </w:r>
    </w:p>
    <w:p w14:paraId="001011D6">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1.1.4 “承包人”是指在工程范围内与委托人签订勘察、设计、施工等有关合同的当事人，及其合法的继承人。</w:t>
      </w:r>
    </w:p>
    <w:p w14:paraId="09BA1179">
      <w:pPr>
        <w:spacing w:line="360" w:lineRule="auto"/>
        <w:ind w:firstLine="420" w:firstLineChars="200"/>
        <w:rPr>
          <w:rFonts w:ascii="宋体" w:hAnsi="宋体" w:eastAsia="宋体" w:cs="宋体"/>
          <w:sz w:val="21"/>
          <w:szCs w:val="21"/>
          <w:highlight w:val="none"/>
        </w:rPr>
      </w:pPr>
      <w:r>
        <w:rPr>
          <w:rFonts w:ascii="宋体" w:hAnsi="宋体" w:eastAsia="宋体" w:cs="宋体"/>
          <w:sz w:val="21"/>
          <w:szCs w:val="21"/>
          <w:highlight w:val="none"/>
        </w:rPr>
        <w:t>1.1.5 “监理”是指监理人受委托人的委托 ，依照法律法规、工程建设标准、勘察设计文件及合同，在施工阶段对建设工程质量、进度、造价进行控制，对合同、信息进行管理，对工程建设相关方的关系进行协调，并履行建设工程安全生产管理法定职责的服务活动。</w:t>
      </w:r>
    </w:p>
    <w:p w14:paraId="76BEF181">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1.1.6 “相关服务”是指监理人受委托人的委托，按照本合同约定，在勘察、设计、保修等阶段提供的服务活动。</w:t>
      </w:r>
    </w:p>
    <w:p w14:paraId="6D05F67E">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1.1.7 “正常工作”指本合同订立时通用条件和专用条件中约定的监理人的工作。</w:t>
      </w:r>
    </w:p>
    <w:p w14:paraId="3724EAE8">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1.1.8 “附加工作”是指本合同约定的正常工作以外监理人的工作。</w:t>
      </w:r>
    </w:p>
    <w:p w14:paraId="0054787E">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1.1.9 “项目监理机构”是指监理人派驻工程负责履行本合同的组织机构。</w:t>
      </w:r>
    </w:p>
    <w:p w14:paraId="1D49B2AD">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1.1.10 “总监理工程师”是指由监理人的法定代表人书面授权，全面负责履行本合同、主持项目监理机构工作的注册监理工程师。</w:t>
      </w:r>
    </w:p>
    <w:p w14:paraId="684A29EB">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1.1.11 “酬金”是指监理人履行本合同义务，委托人按照本合同约定给付监理人的金额。</w:t>
      </w:r>
    </w:p>
    <w:p w14:paraId="3436B93E">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1.1.12 “正常工作酬金”是指监理人完成正常工作，委托人应给付监理人并在协议书中载明的签约酬金额。</w:t>
      </w:r>
    </w:p>
    <w:p w14:paraId="08D697FE">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1.1.13 “附加工作酬金”是指监理人完成附加工作，委托人应给付监理人的金额。</w:t>
      </w:r>
    </w:p>
    <w:p w14:paraId="670DD1B9">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1.1.14 “一方”是指委托人或监理人；“双方”是指委托人和监理人；“第三方”是指除委托人和监理人以外的有关方。</w:t>
      </w:r>
    </w:p>
    <w:p w14:paraId="336FE012">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1.1.15 “书面形式”是指合同书、信件和数据电文（包括电报、电传、传真、电子数据交换和电子邮件）等可以有形地表现所载内容的形式。</w:t>
      </w:r>
    </w:p>
    <w:p w14:paraId="7EF90425">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1.1.16 “天”是指第一天零时至第二天零时的时间。</w:t>
      </w:r>
    </w:p>
    <w:p w14:paraId="561E22FB">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1.1.17“月”是指按公历从一个月中任何一天开始的一个公历月时间。</w:t>
      </w:r>
    </w:p>
    <w:p w14:paraId="090A2703">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1.1.18 “不可抗力”是指委托人和监理人在订立本合同时不可预见，在工程施工过程中不可避免发生并不能克服的自然灾害和社会性突发事件，如地震、海啸、瘟疫、水灾、骚乱、暴动、战争和专用条件约定的其他情形。</w:t>
      </w:r>
    </w:p>
    <w:p w14:paraId="023EC7E1">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bCs/>
          <w:kern w:val="2"/>
          <w:sz w:val="21"/>
          <w:szCs w:val="21"/>
          <w:highlight w:val="none"/>
          <w:lang w:val="en-US" w:eastAsia="zh-CN" w:bidi="ar-SA"/>
        </w:rPr>
        <w:t xml:space="preserve">1.2 </w:t>
      </w:r>
      <w:r>
        <w:rPr>
          <w:rFonts w:ascii="宋体" w:hAnsi="宋体" w:eastAsia="宋体" w:cs="宋体"/>
          <w:kern w:val="2"/>
          <w:sz w:val="21"/>
          <w:szCs w:val="21"/>
          <w:highlight w:val="none"/>
          <w:lang w:val="en-US" w:eastAsia="zh-CN" w:bidi="ar-SA"/>
        </w:rPr>
        <w:t>解释</w:t>
      </w:r>
    </w:p>
    <w:p w14:paraId="12D23B51">
      <w:pPr>
        <w:widowControl w:val="0"/>
        <w:tabs>
          <w:tab w:val="left" w:pos="6140"/>
        </w:tabs>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1.2.1本合同使用中文书写、解释和说明。如专用条件约定使用两种及以上语言文字时，应以中文为准。</w:t>
      </w:r>
    </w:p>
    <w:p w14:paraId="607F5126">
      <w:pPr>
        <w:widowControl w:val="0"/>
        <w:tabs>
          <w:tab w:val="left" w:pos="6140"/>
        </w:tabs>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1.2.2 组成本合同的下列文件彼此应能相互解释、互为说明。除专用条件另有约定外，本合同文件的解释顺序如下：</w:t>
      </w:r>
    </w:p>
    <w:p w14:paraId="0549D512">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（1）协议书；</w:t>
      </w:r>
    </w:p>
    <w:p w14:paraId="2A4E81E4">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（2）</w:t>
      </w:r>
      <w:r>
        <w:rPr>
          <w:rFonts w:hint="eastAsia" w:ascii="宋体" w:hAnsi="宋体" w:cs="宋体"/>
          <w:kern w:val="2"/>
          <w:sz w:val="21"/>
          <w:szCs w:val="21"/>
          <w:highlight w:val="none"/>
          <w:lang w:val="en-US" w:eastAsia="zh-CN" w:bidi="ar-SA"/>
        </w:rPr>
        <w:t>中标</w:t>
      </w:r>
      <w:r>
        <w:rPr>
          <w:rFonts w:hint="eastAsia" w:ascii="宋体" w:hAnsi="宋体" w:eastAsia="宋体" w:cs="宋体"/>
          <w:kern w:val="2"/>
          <w:sz w:val="21"/>
          <w:szCs w:val="21"/>
          <w:highlight w:val="none"/>
          <w:lang w:val="en-US" w:eastAsia="zh-CN" w:bidi="ar-SA"/>
        </w:rPr>
        <w:t>通知书</w:t>
      </w:r>
      <w:r>
        <w:rPr>
          <w:rFonts w:ascii="宋体" w:hAnsi="宋体" w:eastAsia="宋体" w:cs="宋体"/>
          <w:kern w:val="2"/>
          <w:sz w:val="21"/>
          <w:szCs w:val="21"/>
          <w:highlight w:val="none"/>
          <w:lang w:val="en-US" w:eastAsia="zh-CN" w:bidi="ar-SA"/>
        </w:rPr>
        <w:t>（适用于招标工程）或委托书（适用于非招标工程）；</w:t>
      </w:r>
    </w:p>
    <w:p w14:paraId="36D61A6F">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（3）专用条件及附录A、附录B；</w:t>
      </w:r>
    </w:p>
    <w:p w14:paraId="6593943C">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（4）通用条件；</w:t>
      </w:r>
    </w:p>
    <w:p w14:paraId="7EB7752F">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（5）</w:t>
      </w:r>
      <w:r>
        <w:rPr>
          <w:rFonts w:hint="eastAsia" w:ascii="宋体" w:hAnsi="宋体" w:cs="宋体"/>
          <w:kern w:val="2"/>
          <w:sz w:val="21"/>
          <w:szCs w:val="21"/>
          <w:highlight w:val="none"/>
          <w:lang w:val="en-US" w:eastAsia="zh-CN" w:bidi="ar-SA"/>
        </w:rPr>
        <w:t>投标</w:t>
      </w:r>
      <w:r>
        <w:rPr>
          <w:rFonts w:hint="eastAsia" w:ascii="宋体" w:hAnsi="宋体" w:eastAsia="宋体" w:cs="宋体"/>
          <w:kern w:val="2"/>
          <w:sz w:val="21"/>
          <w:szCs w:val="21"/>
          <w:highlight w:val="none"/>
          <w:lang w:val="en-US" w:eastAsia="zh-CN" w:bidi="ar-SA"/>
        </w:rPr>
        <w:t>文件</w:t>
      </w:r>
      <w:r>
        <w:rPr>
          <w:rFonts w:ascii="宋体" w:hAnsi="宋体" w:eastAsia="宋体" w:cs="宋体"/>
          <w:kern w:val="2"/>
          <w:sz w:val="21"/>
          <w:szCs w:val="21"/>
          <w:highlight w:val="none"/>
          <w:lang w:val="en-US" w:eastAsia="zh-CN" w:bidi="ar-SA"/>
        </w:rPr>
        <w:t>或监理与相关服务建议书。</w:t>
      </w:r>
    </w:p>
    <w:p w14:paraId="5A4D84F4">
      <w:pPr>
        <w:widowControl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双方签订的补充协议与其他文件发生矛盾或歧义时，属于同一类内容的文件，应以最新签署的为准。</w:t>
      </w:r>
    </w:p>
    <w:p w14:paraId="6DB3F2B8">
      <w:pPr>
        <w:widowControl w:val="0"/>
        <w:spacing w:line="360" w:lineRule="auto"/>
        <w:ind w:firstLine="422" w:firstLineChars="200"/>
        <w:jc w:val="both"/>
        <w:rPr>
          <w:rFonts w:ascii="宋体" w:hAnsi="宋体" w:eastAsia="宋体" w:cs="宋体"/>
          <w:b/>
          <w:kern w:val="2"/>
          <w:sz w:val="21"/>
          <w:szCs w:val="21"/>
          <w:highlight w:val="none"/>
          <w:lang w:val="en-US" w:eastAsia="zh-CN" w:bidi="ar-SA"/>
        </w:rPr>
      </w:pPr>
      <w:r>
        <w:rPr>
          <w:rFonts w:ascii="宋体" w:hAnsi="宋体" w:eastAsia="宋体" w:cs="宋体"/>
          <w:b/>
          <w:kern w:val="2"/>
          <w:sz w:val="21"/>
          <w:szCs w:val="21"/>
          <w:highlight w:val="none"/>
          <w:lang w:val="en-US" w:eastAsia="zh-CN" w:bidi="ar-SA"/>
        </w:rPr>
        <w:t>2. 监理人的义务</w:t>
      </w:r>
    </w:p>
    <w:p w14:paraId="0C5EC748">
      <w:pPr>
        <w:widowControl w:val="0"/>
        <w:snapToGrid w:val="0"/>
        <w:spacing w:line="360" w:lineRule="auto"/>
        <w:ind w:firstLine="420" w:firstLineChars="200"/>
        <w:jc w:val="both"/>
        <w:rPr>
          <w:rFonts w:ascii="宋体" w:hAnsi="宋体" w:eastAsia="宋体" w:cs="宋体"/>
          <w:bCs/>
          <w:kern w:val="2"/>
          <w:sz w:val="21"/>
          <w:szCs w:val="21"/>
          <w:highlight w:val="none"/>
          <w:lang w:val="en-US" w:eastAsia="zh-CN" w:bidi="ar-SA"/>
        </w:rPr>
      </w:pPr>
      <w:r>
        <w:rPr>
          <w:rFonts w:ascii="宋体" w:hAnsi="宋体" w:eastAsia="宋体" w:cs="宋体"/>
          <w:kern w:val="2"/>
          <w:sz w:val="21"/>
          <w:szCs w:val="21"/>
          <w:highlight w:val="none"/>
          <w:lang w:val="en-US" w:eastAsia="zh-CN" w:bidi="ar-SA"/>
        </w:rPr>
        <w:t>2.1 监理的范围和工作内容</w:t>
      </w:r>
    </w:p>
    <w:p w14:paraId="6C833B72">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2.1.1 监理范围在专用条件中约定。</w:t>
      </w:r>
    </w:p>
    <w:p w14:paraId="7AD1A1B1">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2.1.2 除专用条件另有约定外，监理工作内容包括：</w:t>
      </w:r>
    </w:p>
    <w:p w14:paraId="1F3D9FAD">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（1）收到工程设计文件后编制监理规划，并在第一次工地会议7个工作日前报委托人。根据有关规定和监理工作需要，编制监理实施细则；</w:t>
      </w:r>
    </w:p>
    <w:p w14:paraId="19BBCCF5">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（2）熟悉工程设计文件，并参加由委托人主持的图纸会审和设计交底会议；</w:t>
      </w:r>
    </w:p>
    <w:p w14:paraId="2CC6370C">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（3）参加由委托人主持的第一次工地会议；主持监理例会并根据工程需要主持或参加专题会议；</w:t>
      </w:r>
    </w:p>
    <w:p w14:paraId="066C4AD1">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（4）审查施工承包人提交的施工组织设计，重点审查其中的质量安全技术措施、专项施工方案与工程建设强制性标准的符合性；</w:t>
      </w:r>
    </w:p>
    <w:p w14:paraId="1FF50CE8">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 xml:space="preserve">（5）检查施工承包人工程质量、安全生产管理制度及组织机构和人员资格； </w:t>
      </w:r>
    </w:p>
    <w:p w14:paraId="2A83F624">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（6）检查施工承包人专职安全生产管理人员的配备情况；</w:t>
      </w:r>
    </w:p>
    <w:p w14:paraId="0B640383">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（7）审查施工承包人提交的施工进度计划，核查承包人对施工进度计划的调整；</w:t>
      </w:r>
    </w:p>
    <w:p w14:paraId="78D0613C">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（8）检查施工承包人的试验室；</w:t>
      </w:r>
    </w:p>
    <w:p w14:paraId="0AC5BED6">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（9）审核施工分包人资质条件；</w:t>
      </w:r>
    </w:p>
    <w:p w14:paraId="444ABAC0">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（10）查验施工承包人的施工测量放线成果；</w:t>
      </w:r>
    </w:p>
    <w:p w14:paraId="1D0A6872">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（11）审查工程开工条件，对条件具备的签发开工令；</w:t>
      </w:r>
    </w:p>
    <w:p w14:paraId="41236C13">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（12）审查施工承包人报送的工程材料、构配件、设备质量证明文件的有效性和符合性，并按规定对用于工程的材料采取平行检验或见证取样方式进行抽检；</w:t>
      </w:r>
    </w:p>
    <w:p w14:paraId="763E4261">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（13）审核施工承包人提交的工程款支付申请，签发或出具工程款支付证书，并报委托人审核、批准；</w:t>
      </w:r>
    </w:p>
    <w:p w14:paraId="47A77B57">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（14）在巡视、旁站和检验过程中，发现工程质量、施工安全存在事故隐患的，要求施工承包人整改并报委托人；</w:t>
      </w:r>
    </w:p>
    <w:p w14:paraId="6B761C56">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（15）经委托人同意，签发工程暂停令和复工令；</w:t>
      </w:r>
    </w:p>
    <w:p w14:paraId="2EBD9915">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（16）审查施工承包人提交的采用新材料、新工艺、新技术、新设备的论证材料及相关验收标准；</w:t>
      </w:r>
    </w:p>
    <w:p w14:paraId="71BDC221">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（17）验收隐蔽工程、分部分项工程；</w:t>
      </w:r>
    </w:p>
    <w:p w14:paraId="4AF28FBC">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（18）审查施工承包人提交的工程变更申请，协调处理施工进度调整、费用索赔、合同争议等事项；</w:t>
      </w:r>
    </w:p>
    <w:p w14:paraId="54BE9887">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（19）审查施工承包人提交的竣工验收申请，编写工程质量评估报告；</w:t>
      </w:r>
    </w:p>
    <w:p w14:paraId="464A727C">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（20）参加工程竣工验收，签署竣工验收意见；</w:t>
      </w:r>
    </w:p>
    <w:p w14:paraId="3B8EB5A3">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（21）审查施工承包人提交的竣工结算申请并报委托人；</w:t>
      </w:r>
    </w:p>
    <w:p w14:paraId="45653DFE">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（22）编制、整理工程监理归档文件并报委托人。</w:t>
      </w:r>
    </w:p>
    <w:p w14:paraId="2D1BBD77">
      <w:pPr>
        <w:widowControl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2.1.3 相关服务的范围和内容在附录A中约定。</w:t>
      </w:r>
    </w:p>
    <w:p w14:paraId="6AC55874">
      <w:pPr>
        <w:widowControl w:val="0"/>
        <w:spacing w:line="360" w:lineRule="auto"/>
        <w:ind w:firstLine="420" w:firstLineChars="200"/>
        <w:jc w:val="both"/>
        <w:rPr>
          <w:rFonts w:ascii="宋体" w:hAnsi="宋体" w:eastAsia="宋体" w:cs="宋体"/>
          <w:bCs/>
          <w:kern w:val="2"/>
          <w:sz w:val="21"/>
          <w:szCs w:val="21"/>
          <w:highlight w:val="none"/>
          <w:lang w:val="en-US" w:eastAsia="zh-CN" w:bidi="ar-SA"/>
        </w:rPr>
      </w:pPr>
      <w:r>
        <w:rPr>
          <w:rFonts w:ascii="宋体" w:hAnsi="宋体" w:eastAsia="宋体" w:cs="宋体"/>
          <w:kern w:val="2"/>
          <w:sz w:val="21"/>
          <w:szCs w:val="21"/>
          <w:highlight w:val="none"/>
          <w:lang w:val="en-US" w:eastAsia="zh-CN" w:bidi="ar-SA"/>
        </w:rPr>
        <w:t xml:space="preserve">2.2 </w:t>
      </w:r>
      <w:r>
        <w:rPr>
          <w:rFonts w:ascii="宋体" w:hAnsi="宋体" w:eastAsia="宋体" w:cs="宋体"/>
          <w:bCs/>
          <w:kern w:val="2"/>
          <w:sz w:val="21"/>
          <w:szCs w:val="21"/>
          <w:highlight w:val="none"/>
          <w:lang w:val="en-US" w:eastAsia="zh-CN" w:bidi="ar-SA"/>
        </w:rPr>
        <w:t>监理与相关服务依据</w:t>
      </w:r>
    </w:p>
    <w:p w14:paraId="654B3E1D">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2.2.1 监理依据包括：</w:t>
      </w:r>
    </w:p>
    <w:p w14:paraId="73F39D7C">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（1）适用的法律、行政法规及部门规章；</w:t>
      </w:r>
    </w:p>
    <w:p w14:paraId="1336D902">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（2）与工程有关的标准；</w:t>
      </w:r>
    </w:p>
    <w:p w14:paraId="5D191F77">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（3）工程设计及有关文件；</w:t>
      </w:r>
    </w:p>
    <w:p w14:paraId="3CEA6B71">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（4）本合同及委托人与第三方签订的与实施工程有关的其他合同。</w:t>
      </w:r>
    </w:p>
    <w:p w14:paraId="52D0527E">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双方根据工程的行业和地域特点，在专用条件中具体约定监理依据。</w:t>
      </w:r>
    </w:p>
    <w:p w14:paraId="3E705ADD">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2.2.2 相关服务依据在专用条件中约定。</w:t>
      </w:r>
    </w:p>
    <w:p w14:paraId="1CB859A7">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2.3 项目监理机构和人员</w:t>
      </w:r>
    </w:p>
    <w:p w14:paraId="2FAFF517">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2.3.1 监理人应组建满足工作需要的项目监理机构，配备必要的检测设备。项目监理机构的主要人员应具有相应的资格条件。</w:t>
      </w:r>
    </w:p>
    <w:p w14:paraId="3998149E">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2.3.2本合同履行过程中，总监理工程师及重要岗位监理人员应保持相对稳定，以保证监理工作正常进行。</w:t>
      </w:r>
    </w:p>
    <w:p w14:paraId="4B9F6268">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2.3.3监理人可根据工程进展和工作需要调整项目监理机构人员。监理人更换总监理工程师时，应提前7个工作日向委托人书面报告，经委托人同意后方可更换；监理人更换项目监理机构其他监理人员，应以相当资格与能力的人员替换，并通知委托人。</w:t>
      </w:r>
    </w:p>
    <w:p w14:paraId="7C410029">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2.3.4 监理人应及时更换有下列情形之一的监理人员：</w:t>
      </w:r>
    </w:p>
    <w:p w14:paraId="38FFBC6E">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（1）严重过失行为的；</w:t>
      </w:r>
    </w:p>
    <w:p w14:paraId="5D0FD718">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（2）有违法行为不能履行职责的；</w:t>
      </w:r>
    </w:p>
    <w:p w14:paraId="6215DE83">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（3）涉嫌犯罪的；</w:t>
      </w:r>
    </w:p>
    <w:p w14:paraId="5242A30F">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（4）不能胜任岗位职责的；</w:t>
      </w:r>
    </w:p>
    <w:p w14:paraId="45D4C757">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（5）严重违反职业道德的；</w:t>
      </w:r>
    </w:p>
    <w:p w14:paraId="3F898A0D">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（6）专用条件约定的其他情形。</w:t>
      </w:r>
    </w:p>
    <w:p w14:paraId="2B5B56A5">
      <w:pPr>
        <w:widowControl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2.3.5 委托人可要求监理人更换不能胜任本职工作的项目监理机构人员。</w:t>
      </w:r>
    </w:p>
    <w:p w14:paraId="411575FB">
      <w:pPr>
        <w:widowControl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2.4 履行职责</w:t>
      </w:r>
    </w:p>
    <w:p w14:paraId="79C02BC1">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监理人应遵循职业道德准则和行为规范，严格按照法律法规、工程建设有关标准及本合同履行职责。</w:t>
      </w:r>
    </w:p>
    <w:p w14:paraId="4BBDE454">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2.4.1 在监理与相关服务范围内，委托人和承包人提出的意见和要求，监理人应及时提出处置意见。当委托人与承包人之间发生合同争议时，监理人应协助委托人、承包人协商解决。</w:t>
      </w:r>
    </w:p>
    <w:p w14:paraId="236A8E33">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2.4.2 当委托人与承包人之间的合同争议提交仲裁机构仲裁或人民法院审理时，监理人应提供必要的证明资料。</w:t>
      </w:r>
    </w:p>
    <w:p w14:paraId="7B78579A">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2.4.3 监理人应在专用条件约定的授权范围内，处理委托人与承包人所签订合同的变更事宜。如果变更超过授权范围，应以书面形式报委托人批准。</w:t>
      </w:r>
    </w:p>
    <w:p w14:paraId="0C1DC6C8">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在紧急情况下，为了保护财产和人身安全，监理人所发出的指令未能事先报委托人批准时，应在发出指令后的24小时内以书面形式报委托人。</w:t>
      </w:r>
    </w:p>
    <w:p w14:paraId="76FBD1FB">
      <w:pPr>
        <w:widowControl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2.4.4 除专用条件另有约定外，监理人发现承包人的人员不能胜任本职工作的，有权要求承包人予以调换。</w:t>
      </w:r>
    </w:p>
    <w:p w14:paraId="48AC2021">
      <w:pPr>
        <w:widowControl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2.5 提交报告</w:t>
      </w:r>
    </w:p>
    <w:p w14:paraId="567ABC64">
      <w:pPr>
        <w:widowControl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监理人应按专用条件约定的种类、时间和份数向委托人提交监理与相关服务的报告。</w:t>
      </w:r>
    </w:p>
    <w:p w14:paraId="05F44C1E">
      <w:pPr>
        <w:widowControl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2.6 文件资料</w:t>
      </w:r>
    </w:p>
    <w:p w14:paraId="596DBD4E">
      <w:pPr>
        <w:widowControl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在本合同履行期内，监理人应在现场保留工作所用的图纸、报告及记录监理工作的相关文件。工程竣工后，应当按照档案管理规定将监理有关文件归档。</w:t>
      </w:r>
    </w:p>
    <w:p w14:paraId="4B2D8467">
      <w:pPr>
        <w:widowControl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2.7 使用委托人的财产</w:t>
      </w:r>
    </w:p>
    <w:p w14:paraId="1A2C466D">
      <w:pPr>
        <w:widowControl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监理人无偿使用附录B中由委托人派遣的人员和提供的房屋、资料、设备。除专用条件另有约定外，委托人提供的房屋、设备属于委托人的财产，监理人应妥善使用和保管，在本合同终止时将这些房屋、设备的清单提交委托人，并按专用条件约定的时间和方式移交。</w:t>
      </w:r>
    </w:p>
    <w:p w14:paraId="43D87D75">
      <w:pPr>
        <w:widowControl w:val="0"/>
        <w:spacing w:line="360" w:lineRule="auto"/>
        <w:ind w:firstLine="422" w:firstLineChars="200"/>
        <w:jc w:val="both"/>
        <w:rPr>
          <w:rFonts w:ascii="宋体" w:hAnsi="宋体" w:eastAsia="宋体" w:cs="宋体"/>
          <w:b/>
          <w:kern w:val="2"/>
          <w:sz w:val="21"/>
          <w:szCs w:val="21"/>
          <w:highlight w:val="none"/>
          <w:lang w:val="en-US" w:eastAsia="zh-CN" w:bidi="ar-SA"/>
        </w:rPr>
      </w:pPr>
      <w:r>
        <w:rPr>
          <w:rFonts w:ascii="宋体" w:hAnsi="宋体" w:eastAsia="宋体" w:cs="宋体"/>
          <w:b/>
          <w:kern w:val="2"/>
          <w:sz w:val="21"/>
          <w:szCs w:val="21"/>
          <w:highlight w:val="none"/>
          <w:lang w:val="en-US" w:eastAsia="zh-CN" w:bidi="ar-SA"/>
        </w:rPr>
        <w:t>3．委托人的义务</w:t>
      </w:r>
    </w:p>
    <w:p w14:paraId="015C1B69">
      <w:pPr>
        <w:widowControl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3.1 告知</w:t>
      </w:r>
    </w:p>
    <w:p w14:paraId="03857B02">
      <w:pPr>
        <w:widowControl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委托人应在委托人与承包人签订的合同中明确监理人、总监理工程师和授予项目监理机构的权限。如有变更，应及时通知承包人。</w:t>
      </w:r>
    </w:p>
    <w:p w14:paraId="0C3F9D3E">
      <w:pPr>
        <w:widowControl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3.2 提供资料</w:t>
      </w:r>
    </w:p>
    <w:p w14:paraId="10C308BA">
      <w:pPr>
        <w:widowControl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委托人应按照附录B约定，无偿向监理人提供工程有关的资料。在本合同履行过程中，委托人应及时向监理人提供最新的与工程有关的资料。</w:t>
      </w:r>
    </w:p>
    <w:p w14:paraId="7EB2AE3A">
      <w:pPr>
        <w:widowControl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3.3 提供工作条件</w:t>
      </w:r>
    </w:p>
    <w:p w14:paraId="13908DA3">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委托人应为监理人完成监理与相关服务提供必要的条件。</w:t>
      </w:r>
    </w:p>
    <w:p w14:paraId="632E9168">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3.3.1 委托人应按照附录B约定，派遣相应的人员，提供房屋、设备，供监理人无偿使用。</w:t>
      </w:r>
    </w:p>
    <w:p w14:paraId="646ABDB2">
      <w:pPr>
        <w:widowControl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3.3.2 委托人应负责协调工程建设中所有外部关系，为监理人履行本合同提供必要的外部条件。</w:t>
      </w:r>
    </w:p>
    <w:p w14:paraId="7D0E55CB">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3.4 委托人代表</w:t>
      </w:r>
    </w:p>
    <w:p w14:paraId="2CD224BA">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委托人应授权一名熟悉工程情况的代表，负责与监理人联系。委托人应在双方签订本合同后7个工作日内，将委托人代表的姓名和职责书面告知监理人。当委托人更换委托人代表时，应提前7个工作日通知监理人。</w:t>
      </w:r>
    </w:p>
    <w:p w14:paraId="5E3A0560">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3.5 委托人意见或要求</w:t>
      </w:r>
    </w:p>
    <w:p w14:paraId="670B3B28">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在本合同约定的监理与相关服务工作范围内，委托人对承包人的任何意见或要求应通知监理人，由监理人向承包人发出相应指令。</w:t>
      </w:r>
    </w:p>
    <w:p w14:paraId="43E31565">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3.6 答复</w:t>
      </w:r>
    </w:p>
    <w:p w14:paraId="45398842">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委托人应在专用条件约定的时间内，对监理人以书面形式提交并要求作出决定的事宜，给予书面答复。逾期未答复的，视为委托人认可。</w:t>
      </w:r>
    </w:p>
    <w:p w14:paraId="434E228B">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3.7 支付</w:t>
      </w:r>
    </w:p>
    <w:p w14:paraId="442BD35D">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委托人应按本合同约定，向监理人支付酬金。</w:t>
      </w:r>
    </w:p>
    <w:p w14:paraId="2F99AC3E">
      <w:pPr>
        <w:widowControl w:val="0"/>
        <w:snapToGrid w:val="0"/>
        <w:spacing w:line="360" w:lineRule="auto"/>
        <w:ind w:firstLine="422" w:firstLineChars="200"/>
        <w:jc w:val="both"/>
        <w:rPr>
          <w:rFonts w:ascii="宋体" w:hAnsi="宋体" w:eastAsia="宋体" w:cs="宋体"/>
          <w:b/>
          <w:bCs/>
          <w:kern w:val="2"/>
          <w:sz w:val="21"/>
          <w:szCs w:val="21"/>
          <w:highlight w:val="none"/>
          <w:lang w:val="en-US" w:eastAsia="zh-CN" w:bidi="ar-SA"/>
        </w:rPr>
      </w:pPr>
      <w:r>
        <w:rPr>
          <w:rFonts w:ascii="宋体" w:hAnsi="宋体" w:eastAsia="宋体" w:cs="宋体"/>
          <w:b/>
          <w:bCs/>
          <w:kern w:val="2"/>
          <w:sz w:val="21"/>
          <w:szCs w:val="21"/>
          <w:highlight w:val="none"/>
          <w:lang w:val="en-US" w:eastAsia="zh-CN" w:bidi="ar-SA"/>
        </w:rPr>
        <w:t>4. 违约责任</w:t>
      </w:r>
    </w:p>
    <w:p w14:paraId="7A106763">
      <w:pPr>
        <w:widowControl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4.1 监理人的违约责任</w:t>
      </w:r>
    </w:p>
    <w:p w14:paraId="01D69414">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监理人未履行本合同义务的，应承担相应的责任。</w:t>
      </w:r>
    </w:p>
    <w:p w14:paraId="6E204697">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4.1.1 因监理人违反本合同约定给委托人造成损失的，监理人应当赔偿委托人损失。赔偿金额的确定方法在专用条件中约定。监理人承担部分赔偿责任的，其承担赔偿金额由双方协商确定。</w:t>
      </w:r>
    </w:p>
    <w:p w14:paraId="2B9914F4">
      <w:pPr>
        <w:widowControl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4.1.2 监理人向委托人的索赔不成立时，监理人应赔偿委托人由此发生的费用。</w:t>
      </w:r>
    </w:p>
    <w:p w14:paraId="76249929">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4.2 委托人的违约责任</w:t>
      </w:r>
    </w:p>
    <w:p w14:paraId="699AB48F">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委托人未履行本合同义务的，应承担相应的责任。</w:t>
      </w:r>
    </w:p>
    <w:p w14:paraId="0FA324A0">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4.2.1 委托人违反本合同约定造成监理人损失的，委托人应予以赔偿。</w:t>
      </w:r>
    </w:p>
    <w:p w14:paraId="04AB7091">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4.2.2 委托人向监理人的索赔不成立时，应赔偿监理人由此引起的费用。</w:t>
      </w:r>
    </w:p>
    <w:p w14:paraId="34677813">
      <w:pPr>
        <w:widowControl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4.2.3 委托人未能按期支付酬金超过28天，应按专用条件约定支付逾期付款利息。</w:t>
      </w:r>
    </w:p>
    <w:p w14:paraId="3299C370">
      <w:pPr>
        <w:widowControl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4.3 除外责任</w:t>
      </w:r>
    </w:p>
    <w:p w14:paraId="1C2AFE20">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因非监理人的原因，且监理人无过错，发生工程质量事故、安全事故、工期延误等造成的损失，监理人不承担赔偿责任。</w:t>
      </w:r>
    </w:p>
    <w:p w14:paraId="2086623B">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因不可抗力导致本合同全部或部分不能履行时，双方各自承担其因此而造成的损失、损害。</w:t>
      </w:r>
    </w:p>
    <w:p w14:paraId="7106C8FE">
      <w:pPr>
        <w:widowControl w:val="0"/>
        <w:snapToGrid w:val="0"/>
        <w:spacing w:line="360" w:lineRule="auto"/>
        <w:ind w:firstLine="422" w:firstLineChars="200"/>
        <w:jc w:val="both"/>
        <w:rPr>
          <w:rFonts w:ascii="宋体" w:hAnsi="宋体" w:eastAsia="宋体" w:cs="宋体"/>
          <w:b/>
          <w:bCs/>
          <w:kern w:val="2"/>
          <w:sz w:val="21"/>
          <w:szCs w:val="21"/>
          <w:highlight w:val="none"/>
          <w:lang w:val="en-US" w:eastAsia="zh-CN" w:bidi="ar-SA"/>
        </w:rPr>
      </w:pPr>
      <w:r>
        <w:rPr>
          <w:rFonts w:ascii="宋体" w:hAnsi="宋体" w:eastAsia="宋体" w:cs="宋体"/>
          <w:b/>
          <w:bCs/>
          <w:kern w:val="2"/>
          <w:sz w:val="21"/>
          <w:szCs w:val="21"/>
          <w:highlight w:val="none"/>
          <w:lang w:val="en-US" w:eastAsia="zh-CN" w:bidi="ar-SA"/>
        </w:rPr>
        <w:t>5. 支付</w:t>
      </w:r>
    </w:p>
    <w:p w14:paraId="25E7C588">
      <w:pPr>
        <w:widowControl w:val="0"/>
        <w:snapToGrid w:val="0"/>
        <w:spacing w:line="360" w:lineRule="auto"/>
        <w:ind w:firstLine="420" w:firstLineChars="200"/>
        <w:jc w:val="both"/>
        <w:rPr>
          <w:rFonts w:ascii="宋体" w:hAnsi="宋体" w:eastAsia="宋体" w:cs="宋体"/>
          <w:bCs/>
          <w:kern w:val="2"/>
          <w:sz w:val="21"/>
          <w:szCs w:val="21"/>
          <w:highlight w:val="none"/>
          <w:lang w:val="en-US" w:eastAsia="zh-CN" w:bidi="ar-SA"/>
        </w:rPr>
      </w:pPr>
      <w:r>
        <w:rPr>
          <w:rFonts w:ascii="宋体" w:hAnsi="宋体" w:eastAsia="宋体" w:cs="宋体"/>
          <w:kern w:val="2"/>
          <w:sz w:val="21"/>
          <w:szCs w:val="21"/>
          <w:highlight w:val="none"/>
          <w:lang w:val="en-US" w:eastAsia="zh-CN" w:bidi="ar-SA"/>
        </w:rPr>
        <w:t xml:space="preserve">5.1 </w:t>
      </w:r>
      <w:r>
        <w:rPr>
          <w:rFonts w:ascii="宋体" w:hAnsi="宋体" w:eastAsia="宋体" w:cs="宋体"/>
          <w:bCs/>
          <w:kern w:val="2"/>
          <w:sz w:val="21"/>
          <w:szCs w:val="21"/>
          <w:highlight w:val="none"/>
          <w:lang w:val="en-US" w:eastAsia="zh-CN" w:bidi="ar-SA"/>
        </w:rPr>
        <w:t>支付货币</w:t>
      </w:r>
    </w:p>
    <w:p w14:paraId="7550441D">
      <w:pPr>
        <w:widowControl w:val="0"/>
        <w:snapToGrid w:val="0"/>
        <w:spacing w:line="360" w:lineRule="auto"/>
        <w:ind w:firstLine="420" w:firstLineChars="200"/>
        <w:jc w:val="both"/>
        <w:rPr>
          <w:rFonts w:ascii="宋体" w:hAnsi="宋体" w:eastAsia="宋体" w:cs="宋体"/>
          <w:bCs/>
          <w:kern w:val="2"/>
          <w:sz w:val="21"/>
          <w:szCs w:val="21"/>
          <w:highlight w:val="none"/>
          <w:lang w:val="en-US" w:eastAsia="zh-CN" w:bidi="ar-SA"/>
        </w:rPr>
      </w:pPr>
      <w:r>
        <w:rPr>
          <w:rFonts w:ascii="宋体" w:hAnsi="宋体" w:eastAsia="宋体" w:cs="宋体"/>
          <w:kern w:val="2"/>
          <w:sz w:val="21"/>
          <w:szCs w:val="21"/>
          <w:highlight w:val="none"/>
          <w:lang w:val="en-US" w:eastAsia="zh-CN" w:bidi="ar-SA"/>
        </w:rPr>
        <w:t>除专用条件另有约定外，酬金均以人民币支付。</w:t>
      </w:r>
    </w:p>
    <w:p w14:paraId="0732291A">
      <w:pPr>
        <w:widowControl w:val="0"/>
        <w:snapToGrid w:val="0"/>
        <w:spacing w:line="360" w:lineRule="auto"/>
        <w:ind w:firstLine="420" w:firstLineChars="200"/>
        <w:jc w:val="both"/>
        <w:rPr>
          <w:rFonts w:ascii="宋体" w:hAnsi="宋体" w:eastAsia="宋体" w:cs="宋体"/>
          <w:bCs/>
          <w:kern w:val="2"/>
          <w:sz w:val="21"/>
          <w:szCs w:val="21"/>
          <w:highlight w:val="none"/>
          <w:lang w:val="en-US" w:eastAsia="zh-CN" w:bidi="ar-SA"/>
        </w:rPr>
      </w:pPr>
      <w:r>
        <w:rPr>
          <w:rFonts w:ascii="宋体" w:hAnsi="宋体" w:eastAsia="宋体" w:cs="宋体"/>
          <w:kern w:val="2"/>
          <w:sz w:val="21"/>
          <w:szCs w:val="21"/>
          <w:highlight w:val="none"/>
          <w:lang w:val="en-US" w:eastAsia="zh-CN" w:bidi="ar-SA"/>
        </w:rPr>
        <w:t>5.2 支付申请</w:t>
      </w:r>
    </w:p>
    <w:p w14:paraId="0C23E7CF">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监理人应在本合同约定的每次应付款时间的7个工作日前，向委托人提交支付申请书。支付申请书应当说明当期应付款总额，并列出当期应支付的款项及其金额。</w:t>
      </w:r>
    </w:p>
    <w:p w14:paraId="57631987">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5.3 支付酬金</w:t>
      </w:r>
    </w:p>
    <w:p w14:paraId="4F585FE4">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支付的酬金包括合同约定的工作酬金。</w:t>
      </w:r>
    </w:p>
    <w:p w14:paraId="5C3D6B30">
      <w:pPr>
        <w:widowControl w:val="0"/>
        <w:snapToGrid w:val="0"/>
        <w:spacing w:line="360" w:lineRule="auto"/>
        <w:ind w:firstLine="420" w:firstLineChars="200"/>
        <w:jc w:val="both"/>
        <w:rPr>
          <w:rFonts w:ascii="宋体" w:hAnsi="宋体" w:eastAsia="宋体" w:cs="宋体"/>
          <w:bCs/>
          <w:kern w:val="2"/>
          <w:sz w:val="21"/>
          <w:szCs w:val="21"/>
          <w:highlight w:val="none"/>
          <w:lang w:val="en-US" w:eastAsia="zh-CN" w:bidi="ar-SA"/>
        </w:rPr>
      </w:pPr>
      <w:r>
        <w:rPr>
          <w:rFonts w:ascii="宋体" w:hAnsi="宋体" w:eastAsia="宋体" w:cs="宋体"/>
          <w:kern w:val="2"/>
          <w:sz w:val="21"/>
          <w:szCs w:val="21"/>
          <w:highlight w:val="none"/>
          <w:lang w:val="en-US" w:eastAsia="zh-CN" w:bidi="ar-SA"/>
        </w:rPr>
        <w:t xml:space="preserve">5.4 </w:t>
      </w:r>
      <w:r>
        <w:rPr>
          <w:rFonts w:ascii="宋体" w:hAnsi="宋体" w:eastAsia="宋体" w:cs="宋体"/>
          <w:bCs/>
          <w:kern w:val="2"/>
          <w:sz w:val="21"/>
          <w:szCs w:val="21"/>
          <w:highlight w:val="none"/>
          <w:lang w:val="en-US" w:eastAsia="zh-CN" w:bidi="ar-SA"/>
        </w:rPr>
        <w:t>有争议部分的付款</w:t>
      </w:r>
    </w:p>
    <w:p w14:paraId="7944A239">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委托人对监理人提交的支付申请书有异议时，应当在收到监理人提交的支付申请书后7个工作日内，以书面形式向监理人发出异议通知。无异议部分的款项应按期支付，有异议部分的款项按第7条约定办理。</w:t>
      </w:r>
    </w:p>
    <w:p w14:paraId="37942684">
      <w:pPr>
        <w:widowControl w:val="0"/>
        <w:snapToGrid w:val="0"/>
        <w:spacing w:line="360" w:lineRule="auto"/>
        <w:ind w:firstLine="422" w:firstLineChars="200"/>
        <w:jc w:val="both"/>
        <w:rPr>
          <w:rFonts w:ascii="宋体" w:hAnsi="宋体" w:eastAsia="宋体" w:cs="宋体"/>
          <w:b/>
          <w:bCs/>
          <w:kern w:val="2"/>
          <w:sz w:val="21"/>
          <w:szCs w:val="21"/>
          <w:highlight w:val="none"/>
          <w:lang w:val="en-US" w:eastAsia="zh-CN" w:bidi="ar-SA"/>
        </w:rPr>
      </w:pPr>
      <w:r>
        <w:rPr>
          <w:rFonts w:ascii="宋体" w:hAnsi="宋体" w:eastAsia="宋体" w:cs="宋体"/>
          <w:b/>
          <w:bCs/>
          <w:kern w:val="2"/>
          <w:sz w:val="21"/>
          <w:szCs w:val="21"/>
          <w:highlight w:val="none"/>
          <w:lang w:val="en-US" w:eastAsia="zh-CN" w:bidi="ar-SA"/>
        </w:rPr>
        <w:t>6. 合同生效、变更、暂停、解除与终止</w:t>
      </w:r>
    </w:p>
    <w:p w14:paraId="07F09215">
      <w:pPr>
        <w:widowControl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6.1生效</w:t>
      </w:r>
    </w:p>
    <w:p w14:paraId="22643C8F">
      <w:pPr>
        <w:widowControl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除法律另有规定或者专用条件另有约定外，委托人和监理人的法定代表人或其授权代理人在协议书上签字并盖单位章后本合同生效。</w:t>
      </w:r>
    </w:p>
    <w:p w14:paraId="78FC5654">
      <w:pPr>
        <w:widowControl w:val="0"/>
        <w:snapToGrid w:val="0"/>
        <w:spacing w:line="360" w:lineRule="auto"/>
        <w:ind w:firstLine="420" w:firstLineChars="200"/>
        <w:jc w:val="both"/>
        <w:rPr>
          <w:rFonts w:ascii="宋体" w:hAnsi="宋体" w:eastAsia="宋体" w:cs="宋体"/>
          <w:bCs/>
          <w:kern w:val="2"/>
          <w:sz w:val="21"/>
          <w:szCs w:val="21"/>
          <w:highlight w:val="none"/>
          <w:lang w:val="en-US" w:eastAsia="zh-CN" w:bidi="ar-SA"/>
        </w:rPr>
      </w:pPr>
      <w:r>
        <w:rPr>
          <w:rFonts w:ascii="宋体" w:hAnsi="宋体" w:eastAsia="宋体" w:cs="宋体"/>
          <w:kern w:val="2"/>
          <w:sz w:val="21"/>
          <w:szCs w:val="21"/>
          <w:highlight w:val="none"/>
          <w:lang w:val="en-US" w:eastAsia="zh-CN" w:bidi="ar-SA"/>
        </w:rPr>
        <w:t>6.2</w:t>
      </w:r>
      <w:r>
        <w:rPr>
          <w:rFonts w:ascii="宋体" w:hAnsi="宋体" w:eastAsia="宋体" w:cs="宋体"/>
          <w:bCs/>
          <w:kern w:val="2"/>
          <w:sz w:val="21"/>
          <w:szCs w:val="21"/>
          <w:highlight w:val="none"/>
          <w:lang w:val="en-US" w:eastAsia="zh-CN" w:bidi="ar-SA"/>
        </w:rPr>
        <w:t>变更</w:t>
      </w:r>
    </w:p>
    <w:p w14:paraId="783CCD6D">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6.2.1 任何一方提出变更请求时，双方经协商一致后可进行变更。</w:t>
      </w:r>
    </w:p>
    <w:p w14:paraId="302F732C">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6.2.2除不可抗力外，因非监理人原因导致监理人履行合同期限延长、内容增加时，监理人应当将此情况与可能产生的影响及时通知委托人。增加的监理工作时间、工作内容应视为附加工作。附加工作酬金的确定方法在专用条件中约定。</w:t>
      </w:r>
    </w:p>
    <w:p w14:paraId="211FF6C1">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6.2.3合同生效后，如果实际情况发生变化使得监理人不能完成全部或部分工作时，监理人应立即通知委托人。除不可抗力外，其善后工作以及恢复服务的准备工作应为附加工作，附加工作酬金的确定方法在专用条件中约定。监理人用于恢复服务的准备时间不应超过28天。</w:t>
      </w:r>
    </w:p>
    <w:p w14:paraId="0651D1DE">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6.2.4合同签订后，遇有与工程相关的法律法规、标准颁布或修订的，双方应遵照执行。由此引起监理与相关服务的范围、时间、酬金变化的，双方应通过协商进行相应调整。</w:t>
      </w:r>
    </w:p>
    <w:p w14:paraId="62099C55">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6.2.5 因非监理人原因造成工程概算投资额或建筑安装工程费增加时，正常工作酬金应作相应调整。调整方法在专用条件中约定。</w:t>
      </w:r>
    </w:p>
    <w:p w14:paraId="2A79E7A4">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6.2.6 因工程规模、监理范围的变化导致监理人的正常工作量减少时，正常工作酬金应作相应调整。调整方法在专用条件中约定。</w:t>
      </w:r>
    </w:p>
    <w:p w14:paraId="04E53F70">
      <w:pPr>
        <w:widowControl w:val="0"/>
        <w:snapToGrid w:val="0"/>
        <w:spacing w:line="360" w:lineRule="auto"/>
        <w:ind w:firstLine="420" w:firstLineChars="200"/>
        <w:jc w:val="both"/>
        <w:rPr>
          <w:rFonts w:ascii="宋体" w:hAnsi="宋体" w:eastAsia="宋体" w:cs="宋体"/>
          <w:bCs/>
          <w:kern w:val="2"/>
          <w:sz w:val="21"/>
          <w:szCs w:val="21"/>
          <w:highlight w:val="none"/>
          <w:lang w:val="en-US" w:eastAsia="zh-CN" w:bidi="ar-SA"/>
        </w:rPr>
      </w:pPr>
      <w:r>
        <w:rPr>
          <w:rFonts w:ascii="宋体" w:hAnsi="宋体" w:eastAsia="宋体" w:cs="宋体"/>
          <w:kern w:val="2"/>
          <w:sz w:val="21"/>
          <w:szCs w:val="21"/>
          <w:highlight w:val="none"/>
          <w:lang w:val="en-US" w:eastAsia="zh-CN" w:bidi="ar-SA"/>
        </w:rPr>
        <w:t>6.3 暂停与</w:t>
      </w:r>
      <w:r>
        <w:rPr>
          <w:rFonts w:ascii="宋体" w:hAnsi="宋体" w:eastAsia="宋体" w:cs="宋体"/>
          <w:bCs/>
          <w:kern w:val="2"/>
          <w:sz w:val="21"/>
          <w:szCs w:val="21"/>
          <w:highlight w:val="none"/>
          <w:lang w:val="en-US" w:eastAsia="zh-CN" w:bidi="ar-SA"/>
        </w:rPr>
        <w:t>解除</w:t>
      </w:r>
    </w:p>
    <w:p w14:paraId="469CEB31">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除双方协商一致可以解除本合同外，当一方无正当理由未履行本合同约定的义务时，另一方可以根据本合同约定暂停履行本合同直至解除本合同。</w:t>
      </w:r>
    </w:p>
    <w:p w14:paraId="31CC8CBB">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6.3.1 在本合同有效期内，由于双方无法预见和控制的原因导致本合同全部或部分无法继续履行或继续履行已无意义，经双方协商一致，可以解除本合同或监理人的部分义务。在解除之前，监理人应作出合理安排，使开支减至最小。</w:t>
      </w:r>
    </w:p>
    <w:p w14:paraId="1E5F7D8E">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因解除本合同或解除监理人的部分义务导致监理人遭受的损失，除依法可以免除责任的情况外，应由委托人予以补偿，补偿金额由双方协商确定。</w:t>
      </w:r>
    </w:p>
    <w:p w14:paraId="542EF35E">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解除本合同的协议必须采取书面形式，协议未达成之前，本合同仍然有效。</w:t>
      </w:r>
    </w:p>
    <w:p w14:paraId="4FFFE9ED">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6.3.2 在本合同有效期内，因非监理人的原因导致工程施工全部或部分暂停，委托人可通知监理人要求暂停全部或部分工作。监理人应立即安排停止工作，并将开支减至最小。除不可抗力外，由此导致监理人遭受的损失应由委托人予以补偿。</w:t>
      </w:r>
    </w:p>
    <w:p w14:paraId="07CE81EA">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暂停部分监理与相关服务时间超过182天，监理人可发出解除本合同约定的该部分义务的通知；暂停全部工作时间超过182天，监理人可发出解除本合同的通知，本合同自通知到达委托人时解除。委托人应将监理与相关服务的酬金支付至本合同解除日，且应承担第4.2款约定的责任。</w:t>
      </w:r>
    </w:p>
    <w:p w14:paraId="173D7BD2">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6.3.3 当监理人无正当理由未履行本合同约定的义务时，委托人应通知监理人限期改正。若委托人在监理人接到通知后的7个工作日内未收到监理人书面形式的合理解释，则可在7个工作日内发出解除本合同的通知，自通知到达监理人时本合同解除。委托人应将监理与相关服务的酬金支付至限期改正通知到达监理人之日，但监理人应承担第4.1款约定的责任。</w:t>
      </w:r>
    </w:p>
    <w:p w14:paraId="5367CE1A">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6.3.4 监理人在专用条件5.3中约定的支付之日起28天后仍未收到委托人按本合同约定应付的款项，可向委托人发出催付通知。委托人接到通知14天后仍未支付或未提出监理人可以接受的延期支付安排，监理人可向委托人发出暂停工作的通知并可自行暂停全部或部分工作。暂停工作后14天内监理人仍未获得委托人应付酬金或委托人的合理答复，监理人可向委托人发出解除本合同的通知，自通知到达委托人时本合同解除。委托人应承担第4.2.3款约定的责任。</w:t>
      </w:r>
    </w:p>
    <w:p w14:paraId="43C59207">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6.3.5 因不可抗力致使本合同部分或全部不能履行时，一方应立即通知另一方，可暂停或解除本合同。</w:t>
      </w:r>
    </w:p>
    <w:p w14:paraId="7CE96E45">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6.3.6 本合同解除后，本合同约定的有关结算、清理、争议解决方式的条件仍然有效。</w:t>
      </w:r>
    </w:p>
    <w:p w14:paraId="4D7F88EB">
      <w:pPr>
        <w:widowControl w:val="0"/>
        <w:snapToGrid w:val="0"/>
        <w:spacing w:line="360" w:lineRule="auto"/>
        <w:ind w:firstLine="420" w:firstLineChars="200"/>
        <w:jc w:val="both"/>
        <w:rPr>
          <w:rFonts w:ascii="宋体" w:hAnsi="宋体" w:eastAsia="宋体" w:cs="宋体"/>
          <w:bCs/>
          <w:kern w:val="2"/>
          <w:sz w:val="21"/>
          <w:szCs w:val="21"/>
          <w:highlight w:val="none"/>
          <w:lang w:val="en-US" w:eastAsia="zh-CN" w:bidi="ar-SA"/>
        </w:rPr>
      </w:pPr>
      <w:r>
        <w:rPr>
          <w:rFonts w:ascii="宋体" w:hAnsi="宋体" w:eastAsia="宋体" w:cs="宋体"/>
          <w:kern w:val="2"/>
          <w:sz w:val="21"/>
          <w:szCs w:val="21"/>
          <w:highlight w:val="none"/>
          <w:lang w:val="en-US" w:eastAsia="zh-CN" w:bidi="ar-SA"/>
        </w:rPr>
        <w:t xml:space="preserve">6.4 </w:t>
      </w:r>
      <w:r>
        <w:rPr>
          <w:rFonts w:ascii="宋体" w:hAnsi="宋体" w:eastAsia="宋体" w:cs="宋体"/>
          <w:bCs/>
          <w:kern w:val="2"/>
          <w:sz w:val="21"/>
          <w:szCs w:val="21"/>
          <w:highlight w:val="none"/>
          <w:lang w:val="en-US" w:eastAsia="zh-CN" w:bidi="ar-SA"/>
        </w:rPr>
        <w:t>终止</w:t>
      </w:r>
    </w:p>
    <w:p w14:paraId="1EFD5E8A">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以下条件全部满足时，本合同即告终止：</w:t>
      </w:r>
    </w:p>
    <w:p w14:paraId="375DD395">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（1）监理人完成本合同约定的全部工作；</w:t>
      </w:r>
    </w:p>
    <w:p w14:paraId="2A3D37CB">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（2）委托人与监理人结清并支付全部酬金。</w:t>
      </w:r>
    </w:p>
    <w:p w14:paraId="7041EC73">
      <w:pPr>
        <w:widowControl w:val="0"/>
        <w:snapToGrid w:val="0"/>
        <w:spacing w:line="360" w:lineRule="auto"/>
        <w:ind w:firstLine="422" w:firstLineChars="200"/>
        <w:jc w:val="both"/>
        <w:rPr>
          <w:rFonts w:ascii="宋体" w:hAnsi="宋体" w:eastAsia="宋体" w:cs="宋体"/>
          <w:b/>
          <w:bCs/>
          <w:kern w:val="2"/>
          <w:sz w:val="21"/>
          <w:szCs w:val="21"/>
          <w:highlight w:val="none"/>
          <w:lang w:val="en-US" w:eastAsia="zh-CN" w:bidi="ar-SA"/>
        </w:rPr>
      </w:pPr>
      <w:r>
        <w:rPr>
          <w:rFonts w:ascii="宋体" w:hAnsi="宋体" w:eastAsia="宋体" w:cs="宋体"/>
          <w:b/>
          <w:bCs/>
          <w:kern w:val="2"/>
          <w:sz w:val="21"/>
          <w:szCs w:val="21"/>
          <w:highlight w:val="none"/>
          <w:lang w:val="en-US" w:eastAsia="zh-CN" w:bidi="ar-SA"/>
        </w:rPr>
        <w:t>7. 争议解决</w:t>
      </w:r>
    </w:p>
    <w:p w14:paraId="031D0ABB">
      <w:pPr>
        <w:widowControl w:val="0"/>
        <w:snapToGrid w:val="0"/>
        <w:spacing w:line="360" w:lineRule="auto"/>
        <w:ind w:firstLine="420" w:firstLineChars="200"/>
        <w:jc w:val="both"/>
        <w:rPr>
          <w:rFonts w:ascii="宋体" w:hAnsi="宋体" w:eastAsia="宋体" w:cs="宋体"/>
          <w:bCs/>
          <w:kern w:val="2"/>
          <w:sz w:val="21"/>
          <w:szCs w:val="21"/>
          <w:highlight w:val="none"/>
          <w:lang w:val="en-US" w:eastAsia="zh-CN" w:bidi="ar-SA"/>
        </w:rPr>
      </w:pPr>
      <w:r>
        <w:rPr>
          <w:rFonts w:ascii="宋体" w:hAnsi="宋体" w:eastAsia="宋体" w:cs="宋体"/>
          <w:kern w:val="2"/>
          <w:sz w:val="21"/>
          <w:szCs w:val="21"/>
          <w:highlight w:val="none"/>
          <w:lang w:val="en-US" w:eastAsia="zh-CN" w:bidi="ar-SA"/>
        </w:rPr>
        <w:t>7.1</w:t>
      </w:r>
      <w:r>
        <w:rPr>
          <w:rFonts w:ascii="宋体" w:hAnsi="宋体" w:eastAsia="宋体" w:cs="宋体"/>
          <w:bCs/>
          <w:kern w:val="2"/>
          <w:sz w:val="21"/>
          <w:szCs w:val="21"/>
          <w:highlight w:val="none"/>
          <w:lang w:val="en-US" w:eastAsia="zh-CN" w:bidi="ar-SA"/>
        </w:rPr>
        <w:t>协商</w:t>
      </w:r>
    </w:p>
    <w:p w14:paraId="32E13CBA">
      <w:pPr>
        <w:widowControl w:val="0"/>
        <w:snapToGrid w:val="0"/>
        <w:spacing w:line="360" w:lineRule="auto"/>
        <w:ind w:firstLine="420" w:firstLineChars="200"/>
        <w:jc w:val="both"/>
        <w:rPr>
          <w:rFonts w:ascii="宋体" w:hAnsi="宋体" w:eastAsia="宋体" w:cs="宋体"/>
          <w:bCs/>
          <w:kern w:val="2"/>
          <w:sz w:val="21"/>
          <w:szCs w:val="21"/>
          <w:highlight w:val="none"/>
          <w:lang w:val="en-US" w:eastAsia="zh-CN" w:bidi="ar-SA"/>
        </w:rPr>
      </w:pPr>
      <w:r>
        <w:rPr>
          <w:rFonts w:ascii="宋体" w:hAnsi="宋体" w:eastAsia="宋体" w:cs="宋体"/>
          <w:kern w:val="2"/>
          <w:sz w:val="21"/>
          <w:szCs w:val="21"/>
          <w:highlight w:val="none"/>
          <w:lang w:val="en-US" w:eastAsia="zh-CN" w:bidi="ar-SA"/>
        </w:rPr>
        <w:t>双方应本着诚信原则协商解决彼此间的争议。</w:t>
      </w:r>
    </w:p>
    <w:p w14:paraId="68E353D1">
      <w:pPr>
        <w:widowControl w:val="0"/>
        <w:snapToGrid w:val="0"/>
        <w:spacing w:line="360" w:lineRule="auto"/>
        <w:ind w:firstLine="420" w:firstLineChars="200"/>
        <w:jc w:val="both"/>
        <w:rPr>
          <w:rFonts w:ascii="宋体" w:hAnsi="宋体" w:eastAsia="宋体" w:cs="宋体"/>
          <w:bCs/>
          <w:kern w:val="2"/>
          <w:sz w:val="21"/>
          <w:szCs w:val="21"/>
          <w:highlight w:val="none"/>
          <w:lang w:val="en-US" w:eastAsia="zh-CN" w:bidi="ar-SA"/>
        </w:rPr>
      </w:pPr>
      <w:r>
        <w:rPr>
          <w:rFonts w:ascii="宋体" w:hAnsi="宋体" w:eastAsia="宋体" w:cs="宋体"/>
          <w:kern w:val="2"/>
          <w:sz w:val="21"/>
          <w:szCs w:val="21"/>
          <w:highlight w:val="none"/>
          <w:lang w:val="en-US" w:eastAsia="zh-CN" w:bidi="ar-SA"/>
        </w:rPr>
        <w:t>7.2</w:t>
      </w:r>
      <w:r>
        <w:rPr>
          <w:rFonts w:ascii="宋体" w:hAnsi="宋体" w:eastAsia="宋体" w:cs="宋体"/>
          <w:bCs/>
          <w:kern w:val="2"/>
          <w:sz w:val="21"/>
          <w:szCs w:val="21"/>
          <w:highlight w:val="none"/>
          <w:lang w:val="en-US" w:eastAsia="zh-CN" w:bidi="ar-SA"/>
        </w:rPr>
        <w:t>调解</w:t>
      </w:r>
    </w:p>
    <w:p w14:paraId="1C011079">
      <w:pPr>
        <w:widowControl w:val="0"/>
        <w:snapToGrid w:val="0"/>
        <w:spacing w:line="360" w:lineRule="auto"/>
        <w:ind w:firstLine="420" w:firstLineChars="200"/>
        <w:jc w:val="both"/>
        <w:rPr>
          <w:rFonts w:ascii="宋体" w:hAnsi="宋体" w:eastAsia="宋体" w:cs="宋体"/>
          <w:bCs/>
          <w:kern w:val="2"/>
          <w:sz w:val="21"/>
          <w:szCs w:val="21"/>
          <w:highlight w:val="none"/>
          <w:lang w:val="en-US" w:eastAsia="zh-CN" w:bidi="ar-SA"/>
        </w:rPr>
      </w:pPr>
      <w:r>
        <w:rPr>
          <w:rFonts w:ascii="宋体" w:hAnsi="宋体" w:eastAsia="宋体" w:cs="宋体"/>
          <w:kern w:val="2"/>
          <w:sz w:val="21"/>
          <w:szCs w:val="21"/>
          <w:highlight w:val="none"/>
          <w:lang w:val="en-US" w:eastAsia="zh-CN" w:bidi="ar-SA"/>
        </w:rPr>
        <w:t>如果双方不能在14天内或双方商定的其他时间内解决本合同争议，可以将其提交给专用条件约定的或事后达成协议的调解人进行调解。</w:t>
      </w:r>
    </w:p>
    <w:p w14:paraId="557E8FEA">
      <w:pPr>
        <w:widowControl w:val="0"/>
        <w:snapToGrid w:val="0"/>
        <w:spacing w:line="360" w:lineRule="auto"/>
        <w:ind w:firstLine="420" w:firstLineChars="200"/>
        <w:jc w:val="both"/>
        <w:rPr>
          <w:rFonts w:ascii="宋体" w:hAnsi="宋体" w:eastAsia="宋体" w:cs="宋体"/>
          <w:bCs/>
          <w:kern w:val="2"/>
          <w:sz w:val="21"/>
          <w:szCs w:val="21"/>
          <w:highlight w:val="none"/>
          <w:lang w:val="en-US" w:eastAsia="zh-CN" w:bidi="ar-SA"/>
        </w:rPr>
      </w:pPr>
      <w:r>
        <w:rPr>
          <w:rFonts w:ascii="宋体" w:hAnsi="宋体" w:eastAsia="宋体" w:cs="宋体"/>
          <w:kern w:val="2"/>
          <w:sz w:val="21"/>
          <w:szCs w:val="21"/>
          <w:highlight w:val="none"/>
          <w:lang w:val="en-US" w:eastAsia="zh-CN" w:bidi="ar-SA"/>
        </w:rPr>
        <w:t>7.3</w:t>
      </w:r>
      <w:r>
        <w:rPr>
          <w:rFonts w:ascii="宋体" w:hAnsi="宋体" w:eastAsia="宋体" w:cs="宋体"/>
          <w:bCs/>
          <w:kern w:val="2"/>
          <w:sz w:val="21"/>
          <w:szCs w:val="21"/>
          <w:highlight w:val="none"/>
          <w:lang w:val="en-US" w:eastAsia="zh-CN" w:bidi="ar-SA"/>
        </w:rPr>
        <w:t>仲裁或诉讼</w:t>
      </w:r>
    </w:p>
    <w:p w14:paraId="00A68276">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双方均有权不经调解直接向专用条件约定的仲裁机构申请仲裁或向有管辖权的人民法院提起诉讼。</w:t>
      </w:r>
    </w:p>
    <w:p w14:paraId="7DE6D29B">
      <w:pPr>
        <w:widowControl w:val="0"/>
        <w:snapToGrid w:val="0"/>
        <w:spacing w:line="360" w:lineRule="auto"/>
        <w:ind w:firstLine="422" w:firstLineChars="200"/>
        <w:jc w:val="both"/>
        <w:rPr>
          <w:rFonts w:ascii="宋体" w:hAnsi="宋体" w:eastAsia="宋体" w:cs="宋体"/>
          <w:b/>
          <w:bCs/>
          <w:kern w:val="2"/>
          <w:sz w:val="21"/>
          <w:szCs w:val="21"/>
          <w:highlight w:val="none"/>
          <w:lang w:val="en-US" w:eastAsia="zh-CN" w:bidi="ar-SA"/>
        </w:rPr>
      </w:pPr>
      <w:r>
        <w:rPr>
          <w:rFonts w:ascii="宋体" w:hAnsi="宋体" w:eastAsia="宋体" w:cs="宋体"/>
          <w:b/>
          <w:bCs/>
          <w:kern w:val="2"/>
          <w:sz w:val="21"/>
          <w:szCs w:val="21"/>
          <w:highlight w:val="none"/>
          <w:lang w:val="en-US" w:eastAsia="zh-CN" w:bidi="ar-SA"/>
        </w:rPr>
        <w:t>8. 其他</w:t>
      </w:r>
    </w:p>
    <w:p w14:paraId="05B141C0">
      <w:pPr>
        <w:widowControl w:val="0"/>
        <w:snapToGrid w:val="0"/>
        <w:spacing w:line="360" w:lineRule="auto"/>
        <w:ind w:firstLine="420" w:firstLineChars="200"/>
        <w:jc w:val="both"/>
        <w:rPr>
          <w:rFonts w:ascii="宋体" w:hAnsi="宋体" w:eastAsia="宋体" w:cs="宋体"/>
          <w:bCs/>
          <w:kern w:val="2"/>
          <w:sz w:val="21"/>
          <w:szCs w:val="21"/>
          <w:highlight w:val="none"/>
          <w:lang w:val="en-US" w:eastAsia="zh-CN" w:bidi="ar-SA"/>
        </w:rPr>
      </w:pPr>
      <w:r>
        <w:rPr>
          <w:rFonts w:ascii="宋体" w:hAnsi="宋体" w:eastAsia="宋体" w:cs="宋体"/>
          <w:kern w:val="2"/>
          <w:sz w:val="21"/>
          <w:szCs w:val="21"/>
          <w:highlight w:val="none"/>
          <w:lang w:val="en-US" w:eastAsia="zh-CN" w:bidi="ar-SA"/>
        </w:rPr>
        <w:t xml:space="preserve">8.1 </w:t>
      </w:r>
      <w:r>
        <w:rPr>
          <w:rFonts w:ascii="宋体" w:hAnsi="宋体" w:eastAsia="宋体" w:cs="宋体"/>
          <w:bCs/>
          <w:kern w:val="2"/>
          <w:sz w:val="21"/>
          <w:szCs w:val="21"/>
          <w:highlight w:val="none"/>
          <w:lang w:val="en-US" w:eastAsia="zh-CN" w:bidi="ar-SA"/>
        </w:rPr>
        <w:t>守法诚信</w:t>
      </w:r>
    </w:p>
    <w:p w14:paraId="1047DBDD">
      <w:pPr>
        <w:widowControl w:val="0"/>
        <w:snapToGrid w:val="0"/>
        <w:spacing w:line="360" w:lineRule="auto"/>
        <w:ind w:firstLine="420" w:firstLineChars="200"/>
        <w:jc w:val="both"/>
        <w:rPr>
          <w:rFonts w:ascii="宋体" w:hAnsi="宋体" w:eastAsia="宋体" w:cs="宋体"/>
          <w:bCs/>
          <w:kern w:val="2"/>
          <w:sz w:val="21"/>
          <w:szCs w:val="21"/>
          <w:highlight w:val="none"/>
          <w:lang w:val="en-US" w:eastAsia="zh-CN" w:bidi="ar-SA"/>
        </w:rPr>
      </w:pPr>
      <w:r>
        <w:rPr>
          <w:rFonts w:ascii="宋体" w:hAnsi="宋体" w:eastAsia="宋体" w:cs="宋体"/>
          <w:kern w:val="2"/>
          <w:sz w:val="21"/>
          <w:szCs w:val="21"/>
          <w:highlight w:val="none"/>
          <w:lang w:val="en-US" w:eastAsia="zh-CN" w:bidi="ar-SA"/>
        </w:rPr>
        <w:t>监理人及其工作人员不得从与实施工程有关的第三方处获得任何经济利益。</w:t>
      </w:r>
    </w:p>
    <w:p w14:paraId="5BF645DD">
      <w:pPr>
        <w:widowControl w:val="0"/>
        <w:snapToGrid w:val="0"/>
        <w:spacing w:line="360" w:lineRule="auto"/>
        <w:ind w:firstLine="420" w:firstLineChars="200"/>
        <w:jc w:val="both"/>
        <w:rPr>
          <w:rFonts w:ascii="宋体" w:hAnsi="宋体" w:eastAsia="宋体" w:cs="宋体"/>
          <w:bCs/>
          <w:kern w:val="2"/>
          <w:sz w:val="21"/>
          <w:szCs w:val="21"/>
          <w:highlight w:val="none"/>
          <w:lang w:val="en-US" w:eastAsia="zh-CN" w:bidi="ar-SA"/>
        </w:rPr>
      </w:pPr>
      <w:r>
        <w:rPr>
          <w:rFonts w:ascii="宋体" w:hAnsi="宋体" w:eastAsia="宋体" w:cs="宋体"/>
          <w:kern w:val="2"/>
          <w:sz w:val="21"/>
          <w:szCs w:val="21"/>
          <w:highlight w:val="none"/>
          <w:lang w:val="en-US" w:eastAsia="zh-CN" w:bidi="ar-SA"/>
        </w:rPr>
        <w:t xml:space="preserve">8.2 </w:t>
      </w:r>
      <w:r>
        <w:rPr>
          <w:rFonts w:ascii="宋体" w:hAnsi="宋体" w:eastAsia="宋体" w:cs="宋体"/>
          <w:bCs/>
          <w:kern w:val="2"/>
          <w:sz w:val="21"/>
          <w:szCs w:val="21"/>
          <w:highlight w:val="none"/>
          <w:lang w:val="en-US" w:eastAsia="zh-CN" w:bidi="ar-SA"/>
        </w:rPr>
        <w:t>保密</w:t>
      </w:r>
    </w:p>
    <w:p w14:paraId="5AF0041C">
      <w:pPr>
        <w:widowControl w:val="0"/>
        <w:snapToGrid w:val="0"/>
        <w:spacing w:line="360" w:lineRule="auto"/>
        <w:ind w:firstLine="420" w:firstLineChars="200"/>
        <w:jc w:val="both"/>
        <w:rPr>
          <w:rFonts w:ascii="宋体" w:hAnsi="宋体" w:eastAsia="宋体" w:cs="宋体"/>
          <w:bCs/>
          <w:kern w:val="2"/>
          <w:sz w:val="21"/>
          <w:szCs w:val="21"/>
          <w:highlight w:val="none"/>
          <w:lang w:val="en-US" w:eastAsia="zh-CN" w:bidi="ar-SA"/>
        </w:rPr>
      </w:pPr>
      <w:r>
        <w:rPr>
          <w:rFonts w:ascii="宋体" w:hAnsi="宋体" w:eastAsia="宋体" w:cs="宋体"/>
          <w:kern w:val="2"/>
          <w:sz w:val="21"/>
          <w:szCs w:val="21"/>
          <w:highlight w:val="none"/>
          <w:lang w:val="en-US" w:eastAsia="zh-CN" w:bidi="ar-SA"/>
        </w:rPr>
        <w:t>双方不得泄露对方申明的保密资料，亦不得泄露与实施工程有关的第三方所提供的保密资料，保密事项在专用条件中约定。</w:t>
      </w:r>
    </w:p>
    <w:p w14:paraId="4C645F64">
      <w:pPr>
        <w:widowControl w:val="0"/>
        <w:snapToGrid w:val="0"/>
        <w:spacing w:line="360" w:lineRule="auto"/>
        <w:ind w:firstLine="420" w:firstLineChars="200"/>
        <w:jc w:val="both"/>
        <w:rPr>
          <w:rFonts w:ascii="宋体" w:hAnsi="宋体" w:eastAsia="宋体" w:cs="宋体"/>
          <w:bCs/>
          <w:kern w:val="2"/>
          <w:sz w:val="21"/>
          <w:szCs w:val="21"/>
          <w:highlight w:val="none"/>
          <w:lang w:val="en-US" w:eastAsia="zh-CN" w:bidi="ar-SA"/>
        </w:rPr>
      </w:pPr>
      <w:r>
        <w:rPr>
          <w:rFonts w:ascii="宋体" w:hAnsi="宋体" w:eastAsia="宋体" w:cs="宋体"/>
          <w:kern w:val="2"/>
          <w:sz w:val="21"/>
          <w:szCs w:val="21"/>
          <w:highlight w:val="none"/>
          <w:lang w:val="en-US" w:eastAsia="zh-CN" w:bidi="ar-SA"/>
        </w:rPr>
        <w:t xml:space="preserve">8.3 </w:t>
      </w:r>
      <w:r>
        <w:rPr>
          <w:rFonts w:ascii="宋体" w:hAnsi="宋体" w:eastAsia="宋体" w:cs="宋体"/>
          <w:bCs/>
          <w:kern w:val="2"/>
          <w:sz w:val="21"/>
          <w:szCs w:val="21"/>
          <w:highlight w:val="none"/>
          <w:lang w:val="en-US" w:eastAsia="zh-CN" w:bidi="ar-SA"/>
        </w:rPr>
        <w:t>通知</w:t>
      </w:r>
    </w:p>
    <w:p w14:paraId="74B932EF">
      <w:pPr>
        <w:widowControl w:val="0"/>
        <w:snapToGrid w:val="0"/>
        <w:spacing w:line="360" w:lineRule="auto"/>
        <w:ind w:firstLine="420" w:firstLineChars="200"/>
        <w:jc w:val="both"/>
        <w:rPr>
          <w:rFonts w:ascii="宋体" w:hAnsi="宋体" w:eastAsia="宋体" w:cs="宋体"/>
          <w:bCs/>
          <w:kern w:val="2"/>
          <w:sz w:val="21"/>
          <w:szCs w:val="21"/>
          <w:highlight w:val="none"/>
          <w:lang w:val="en-US" w:eastAsia="zh-CN" w:bidi="ar-SA"/>
        </w:rPr>
      </w:pPr>
      <w:r>
        <w:rPr>
          <w:rFonts w:ascii="宋体" w:hAnsi="宋体" w:eastAsia="宋体" w:cs="宋体"/>
          <w:kern w:val="2"/>
          <w:sz w:val="21"/>
          <w:szCs w:val="21"/>
          <w:highlight w:val="none"/>
          <w:lang w:val="en-US" w:eastAsia="zh-CN" w:bidi="ar-SA"/>
        </w:rPr>
        <w:t>本合同涉及的通知均应当采用书面形式，并在送达对方时生效，收件人应书面签收。</w:t>
      </w:r>
    </w:p>
    <w:p w14:paraId="2FF8616D">
      <w:pPr>
        <w:widowControl w:val="0"/>
        <w:snapToGrid w:val="0"/>
        <w:spacing w:line="360" w:lineRule="auto"/>
        <w:ind w:firstLine="420" w:firstLineChars="200"/>
        <w:jc w:val="both"/>
        <w:rPr>
          <w:rFonts w:ascii="宋体" w:hAnsi="宋体" w:eastAsia="宋体" w:cs="宋体"/>
          <w:bCs/>
          <w:kern w:val="2"/>
          <w:sz w:val="21"/>
          <w:szCs w:val="21"/>
          <w:highlight w:val="none"/>
          <w:lang w:val="en-US" w:eastAsia="zh-CN" w:bidi="ar-SA"/>
        </w:rPr>
      </w:pPr>
      <w:r>
        <w:rPr>
          <w:rFonts w:ascii="宋体" w:hAnsi="宋体" w:eastAsia="宋体" w:cs="宋体"/>
          <w:kern w:val="2"/>
          <w:sz w:val="21"/>
          <w:szCs w:val="21"/>
          <w:highlight w:val="none"/>
          <w:lang w:val="en-US" w:eastAsia="zh-CN" w:bidi="ar-SA"/>
        </w:rPr>
        <w:t xml:space="preserve">8.4 </w:t>
      </w:r>
      <w:r>
        <w:rPr>
          <w:rFonts w:ascii="宋体" w:hAnsi="宋体" w:eastAsia="宋体" w:cs="宋体"/>
          <w:bCs/>
          <w:kern w:val="2"/>
          <w:sz w:val="21"/>
          <w:szCs w:val="21"/>
          <w:highlight w:val="none"/>
          <w:lang w:val="en-US" w:eastAsia="zh-CN" w:bidi="ar-SA"/>
        </w:rPr>
        <w:t>著作权</w:t>
      </w:r>
    </w:p>
    <w:p w14:paraId="795DAA3C">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监理人对其编制的文件拥有著作权。</w:t>
      </w:r>
    </w:p>
    <w:p w14:paraId="68B5382A">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监理人可单独或与他人联合出版有关监理与相关服务的资料。除专用条件另有约定外，如果监理人在本合同履行期间及本合同终止后两年内出版涉及本工程的有关监理与相关服务的资料，应当征得委托人的同意。</w:t>
      </w:r>
    </w:p>
    <w:p w14:paraId="2F65A22F">
      <w:pPr>
        <w:widowControl/>
        <w:jc w:val="both"/>
        <w:rPr>
          <w:rFonts w:ascii="宋体" w:hAnsi="宋体" w:eastAsia="宋体" w:cs="宋体"/>
          <w:kern w:val="2"/>
          <w:sz w:val="21"/>
          <w:highlight w:val="none"/>
          <w:lang w:val="en-US" w:eastAsia="zh-CN" w:bidi="ar-SA"/>
        </w:rPr>
      </w:pPr>
    </w:p>
    <w:p w14:paraId="70CA3CD9">
      <w:pPr>
        <w:widowControl/>
        <w:jc w:val="left"/>
        <w:outlineLvl w:val="9"/>
        <w:rPr>
          <w:rFonts w:ascii="宋体" w:hAnsi="宋体" w:eastAsia="宋体" w:cs="宋体"/>
          <w:b/>
          <w:bCs/>
          <w:kern w:val="2"/>
          <w:sz w:val="32"/>
          <w:szCs w:val="32"/>
          <w:highlight w:val="none"/>
          <w:lang w:val="en-US" w:eastAsia="zh-CN" w:bidi="ar-SA"/>
        </w:rPr>
      </w:pPr>
      <w:bookmarkStart w:id="846" w:name="_Toc32397"/>
      <w:bookmarkStart w:id="847" w:name="_Toc26814"/>
      <w:r>
        <w:rPr>
          <w:rFonts w:ascii="宋体" w:hAnsi="宋体" w:eastAsia="宋体" w:cs="宋体"/>
          <w:b/>
          <w:bCs/>
          <w:kern w:val="2"/>
          <w:sz w:val="32"/>
          <w:szCs w:val="32"/>
          <w:highlight w:val="none"/>
          <w:lang w:val="en-US" w:eastAsia="zh-CN" w:bidi="ar-SA"/>
        </w:rPr>
        <w:br w:type="page"/>
      </w:r>
    </w:p>
    <w:p w14:paraId="5B49AF6A">
      <w:pPr>
        <w:widowControl w:val="0"/>
        <w:jc w:val="center"/>
        <w:outlineLvl w:val="1"/>
        <w:rPr>
          <w:rFonts w:ascii="宋体" w:hAnsi="宋体" w:eastAsia="宋体" w:cs="宋体"/>
          <w:b/>
          <w:bCs/>
          <w:kern w:val="2"/>
          <w:sz w:val="32"/>
          <w:szCs w:val="32"/>
          <w:highlight w:val="none"/>
          <w:lang w:val="en-US" w:eastAsia="zh-CN" w:bidi="ar-SA"/>
        </w:rPr>
      </w:pPr>
      <w:bookmarkStart w:id="848" w:name="_Toc13357"/>
      <w:r>
        <w:rPr>
          <w:rFonts w:ascii="宋体" w:hAnsi="宋体" w:eastAsia="宋体" w:cs="宋体"/>
          <w:b/>
          <w:bCs/>
          <w:kern w:val="2"/>
          <w:sz w:val="32"/>
          <w:szCs w:val="32"/>
          <w:highlight w:val="none"/>
          <w:lang w:val="en-US" w:eastAsia="zh-CN" w:bidi="ar-SA"/>
        </w:rPr>
        <w:t>第三部分  专用条件</w:t>
      </w:r>
      <w:bookmarkEnd w:id="846"/>
      <w:bookmarkEnd w:id="847"/>
      <w:bookmarkEnd w:id="848"/>
    </w:p>
    <w:p w14:paraId="78CA3FB9">
      <w:pPr>
        <w:widowControl w:val="0"/>
        <w:snapToGrid w:val="0"/>
        <w:spacing w:line="360" w:lineRule="auto"/>
        <w:ind w:firstLine="422" w:firstLineChars="200"/>
        <w:jc w:val="both"/>
        <w:rPr>
          <w:rFonts w:ascii="宋体" w:hAnsi="宋体" w:eastAsia="宋体" w:cs="宋体"/>
          <w:b/>
          <w:kern w:val="2"/>
          <w:sz w:val="21"/>
          <w:szCs w:val="21"/>
          <w:highlight w:val="none"/>
          <w:lang w:val="en-US" w:eastAsia="zh-CN" w:bidi="ar-SA"/>
        </w:rPr>
      </w:pPr>
      <w:r>
        <w:rPr>
          <w:rFonts w:ascii="宋体" w:hAnsi="宋体" w:eastAsia="宋体" w:cs="宋体"/>
          <w:b/>
          <w:kern w:val="2"/>
          <w:sz w:val="21"/>
          <w:szCs w:val="21"/>
          <w:highlight w:val="none"/>
          <w:lang w:val="en-US" w:eastAsia="zh-CN" w:bidi="ar-SA"/>
        </w:rPr>
        <w:t>1. 定义与解释</w:t>
      </w:r>
    </w:p>
    <w:p w14:paraId="0FD0EFA5">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1.2  解释</w:t>
      </w:r>
    </w:p>
    <w:p w14:paraId="07FC92B6">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1.2.1 本合同文件除使用中文外，还可用</w:t>
      </w:r>
      <w:r>
        <w:rPr>
          <w:rFonts w:ascii="宋体" w:hAnsi="宋体" w:eastAsia="宋体" w:cs="宋体"/>
          <w:kern w:val="2"/>
          <w:sz w:val="21"/>
          <w:szCs w:val="21"/>
          <w:highlight w:val="none"/>
          <w:u w:val="single"/>
          <w:lang w:val="en-US" w:eastAsia="zh-CN" w:bidi="ar-SA"/>
        </w:rPr>
        <w:t>/</w:t>
      </w:r>
      <w:r>
        <w:rPr>
          <w:rFonts w:ascii="宋体" w:hAnsi="宋体" w:eastAsia="宋体" w:cs="宋体"/>
          <w:kern w:val="2"/>
          <w:sz w:val="21"/>
          <w:szCs w:val="21"/>
          <w:highlight w:val="none"/>
          <w:lang w:val="en-US" w:eastAsia="zh-CN" w:bidi="ar-SA"/>
        </w:rPr>
        <w:t>。</w:t>
      </w:r>
    </w:p>
    <w:p w14:paraId="7CDD6320">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1.2.2 约定本合同文件的解释顺序为：</w:t>
      </w:r>
      <w:r>
        <w:rPr>
          <w:rFonts w:ascii="宋体" w:hAnsi="宋体" w:eastAsia="宋体" w:cs="宋体"/>
          <w:kern w:val="2"/>
          <w:sz w:val="21"/>
          <w:szCs w:val="21"/>
          <w:highlight w:val="none"/>
          <w:u w:val="single"/>
          <w:lang w:val="en-US" w:eastAsia="zh-CN" w:bidi="ar-SA"/>
        </w:rPr>
        <w:t>按协议书第三条组成本合同的文件的先后顺序解释</w:t>
      </w:r>
      <w:r>
        <w:rPr>
          <w:rFonts w:ascii="宋体" w:hAnsi="宋体" w:eastAsia="宋体" w:cs="宋体"/>
          <w:kern w:val="2"/>
          <w:sz w:val="21"/>
          <w:szCs w:val="21"/>
          <w:highlight w:val="none"/>
          <w:lang w:val="en-US" w:eastAsia="zh-CN" w:bidi="ar-SA"/>
        </w:rPr>
        <w:t>。</w:t>
      </w:r>
    </w:p>
    <w:p w14:paraId="1EBB1101">
      <w:pPr>
        <w:widowControl w:val="0"/>
        <w:snapToGrid w:val="0"/>
        <w:spacing w:line="360" w:lineRule="auto"/>
        <w:ind w:firstLine="422" w:firstLineChars="200"/>
        <w:jc w:val="both"/>
        <w:rPr>
          <w:rFonts w:ascii="宋体" w:hAnsi="宋体" w:eastAsia="宋体" w:cs="宋体"/>
          <w:b/>
          <w:kern w:val="2"/>
          <w:sz w:val="21"/>
          <w:szCs w:val="21"/>
          <w:highlight w:val="none"/>
          <w:lang w:val="en-US" w:eastAsia="zh-CN" w:bidi="ar-SA"/>
        </w:rPr>
      </w:pPr>
      <w:r>
        <w:rPr>
          <w:rFonts w:ascii="宋体" w:hAnsi="宋体" w:eastAsia="宋体" w:cs="宋体"/>
          <w:b/>
          <w:kern w:val="2"/>
          <w:sz w:val="21"/>
          <w:szCs w:val="21"/>
          <w:highlight w:val="none"/>
          <w:lang w:val="en-US" w:eastAsia="zh-CN" w:bidi="ar-SA"/>
        </w:rPr>
        <w:t>2. 监理人义务</w:t>
      </w:r>
    </w:p>
    <w:p w14:paraId="04DC1C87">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2.1 监理的范围</w:t>
      </w:r>
    </w:p>
    <w:p w14:paraId="2DF6AC3C">
      <w:pPr>
        <w:widowControl w:val="0"/>
        <w:snapToGrid w:val="0"/>
        <w:spacing w:line="360" w:lineRule="auto"/>
        <w:ind w:firstLine="420" w:firstLineChars="200"/>
        <w:jc w:val="both"/>
        <w:rPr>
          <w:rFonts w:ascii="宋体" w:hAnsi="宋体" w:eastAsia="宋体" w:cs="宋体"/>
          <w:kern w:val="2"/>
          <w:sz w:val="21"/>
          <w:szCs w:val="21"/>
          <w:highlight w:val="none"/>
          <w:u w:val="single"/>
          <w:lang w:val="en-US" w:eastAsia="zh-CN" w:bidi="ar-SA"/>
        </w:rPr>
      </w:pPr>
      <w:r>
        <w:rPr>
          <w:rFonts w:ascii="宋体" w:hAnsi="宋体" w:eastAsia="宋体" w:cs="宋体"/>
          <w:kern w:val="2"/>
          <w:sz w:val="21"/>
          <w:szCs w:val="21"/>
          <w:highlight w:val="none"/>
          <w:lang w:val="en-US" w:eastAsia="zh-CN" w:bidi="ar-SA"/>
        </w:rPr>
        <w:t>2.1.1 监理范围包括：本项目所有施工图及工程量清单范围内（含设计变更）工程的施工及保修阶段监理服务。</w:t>
      </w:r>
    </w:p>
    <w:p w14:paraId="6BE0271B">
      <w:pPr>
        <w:widowControl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2.2 监理与相关服务依据</w:t>
      </w:r>
    </w:p>
    <w:p w14:paraId="5351FAFF">
      <w:pPr>
        <w:widowControl w:val="0"/>
        <w:spacing w:line="360" w:lineRule="auto"/>
        <w:ind w:firstLine="420" w:firstLineChars="200"/>
        <w:jc w:val="both"/>
        <w:rPr>
          <w:rFonts w:hint="default" w:ascii="宋体" w:hAnsi="宋体" w:eastAsia="宋体" w:cs="宋体"/>
          <w:kern w:val="2"/>
          <w:sz w:val="21"/>
          <w:szCs w:val="21"/>
          <w:highlight w:val="none"/>
          <w:u w:val="single"/>
          <w:lang w:val="en-US" w:eastAsia="zh-CN" w:bidi="ar-SA"/>
        </w:rPr>
      </w:pPr>
      <w:r>
        <w:rPr>
          <w:rFonts w:ascii="宋体" w:hAnsi="宋体" w:eastAsia="宋体" w:cs="宋体"/>
          <w:kern w:val="2"/>
          <w:sz w:val="21"/>
          <w:szCs w:val="21"/>
          <w:highlight w:val="none"/>
          <w:lang w:val="en-US" w:eastAsia="zh-CN" w:bidi="ar-SA"/>
        </w:rPr>
        <w:t>2.2.1 监理依据包括：</w:t>
      </w:r>
      <w:r>
        <w:rPr>
          <w:rFonts w:hint="eastAsia" w:ascii="宋体" w:hAnsi="宋体" w:eastAsia="宋体" w:cs="宋体"/>
          <w:kern w:val="2"/>
          <w:sz w:val="21"/>
          <w:szCs w:val="21"/>
          <w:highlight w:val="none"/>
          <w:u w:val="single"/>
          <w:lang w:val="en-US" w:eastAsia="zh-CN" w:bidi="ar-SA"/>
        </w:rPr>
        <w:t xml:space="preserve">                 </w:t>
      </w:r>
    </w:p>
    <w:p w14:paraId="68579C67">
      <w:pPr>
        <w:widowControl w:val="0"/>
        <w:spacing w:line="360" w:lineRule="auto"/>
        <w:ind w:firstLine="420" w:firstLineChars="200"/>
        <w:jc w:val="both"/>
        <w:rPr>
          <w:rFonts w:ascii="宋体" w:hAnsi="宋体" w:eastAsia="宋体" w:cs="宋体"/>
          <w:dstrike/>
          <w:kern w:val="2"/>
          <w:sz w:val="21"/>
          <w:szCs w:val="21"/>
          <w:highlight w:val="none"/>
          <w:lang w:val="en-US" w:eastAsia="zh-CN" w:bidi="ar-SA"/>
        </w:rPr>
      </w:pPr>
      <w:r>
        <w:rPr>
          <w:rFonts w:ascii="宋体" w:hAnsi="宋体" w:eastAsia="宋体" w:cs="宋体"/>
          <w:kern w:val="2"/>
          <w:sz w:val="21"/>
          <w:szCs w:val="21"/>
          <w:highlight w:val="none"/>
          <w:lang w:val="en-US" w:eastAsia="zh-CN" w:bidi="ar-SA"/>
        </w:rPr>
        <w:t>2.2.2 相关服务依据包括：</w:t>
      </w:r>
      <w:r>
        <w:rPr>
          <w:rFonts w:ascii="宋体" w:hAnsi="宋体" w:eastAsia="宋体" w:cs="宋体"/>
          <w:kern w:val="2"/>
          <w:sz w:val="21"/>
          <w:szCs w:val="21"/>
          <w:highlight w:val="none"/>
          <w:u w:val="single"/>
          <w:lang w:val="en-US" w:eastAsia="zh-CN" w:bidi="ar-SA"/>
        </w:rPr>
        <w:t>/</w:t>
      </w:r>
      <w:r>
        <w:rPr>
          <w:rFonts w:ascii="宋体" w:hAnsi="宋体" w:eastAsia="宋体" w:cs="宋体"/>
          <w:kern w:val="2"/>
          <w:sz w:val="21"/>
          <w:szCs w:val="21"/>
          <w:highlight w:val="none"/>
          <w:lang w:val="en-US" w:eastAsia="zh-CN" w:bidi="ar-SA"/>
        </w:rPr>
        <w:t>。</w:t>
      </w:r>
    </w:p>
    <w:p w14:paraId="3B37C2FF">
      <w:pPr>
        <w:widowControl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2.3项目监理机构和人员</w:t>
      </w:r>
    </w:p>
    <w:p w14:paraId="041C3883">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2.3.4 更换监理人员的其他情形：</w:t>
      </w:r>
      <w:r>
        <w:rPr>
          <w:rFonts w:ascii="宋体" w:hAnsi="宋体" w:eastAsia="宋体" w:cs="宋体"/>
          <w:kern w:val="2"/>
          <w:sz w:val="21"/>
          <w:szCs w:val="21"/>
          <w:highlight w:val="none"/>
          <w:u w:val="single"/>
          <w:lang w:val="en-US" w:eastAsia="zh-CN" w:bidi="ar-SA"/>
        </w:rPr>
        <w:t>监理人员违法违规、专业素质低劣、组织不健全或组织涣散、职业道德差，与施工承包人和材料供应商串通损害委托人利益的，委托人有权提出调整更换，直至终止监理合同。</w:t>
      </w:r>
    </w:p>
    <w:p w14:paraId="7AD8EDB9">
      <w:pPr>
        <w:widowControl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2.4 履行职责</w:t>
      </w:r>
    </w:p>
    <w:p w14:paraId="65EB1CC3">
      <w:pPr>
        <w:widowControl w:val="0"/>
        <w:snapToGrid w:val="0"/>
        <w:spacing w:line="360" w:lineRule="auto"/>
        <w:ind w:firstLine="420" w:firstLineChars="200"/>
        <w:jc w:val="both"/>
        <w:rPr>
          <w:rFonts w:ascii="宋体" w:hAnsi="宋体" w:eastAsia="宋体" w:cs="宋体"/>
          <w:kern w:val="2"/>
          <w:sz w:val="21"/>
          <w:szCs w:val="21"/>
          <w:highlight w:val="none"/>
          <w:u w:val="single"/>
          <w:lang w:val="en-US" w:eastAsia="zh-CN" w:bidi="ar-SA"/>
        </w:rPr>
      </w:pPr>
      <w:r>
        <w:rPr>
          <w:rFonts w:ascii="宋体" w:hAnsi="宋体" w:eastAsia="宋体" w:cs="宋体"/>
          <w:kern w:val="2"/>
          <w:sz w:val="21"/>
          <w:szCs w:val="21"/>
          <w:highlight w:val="none"/>
          <w:lang w:val="en-US" w:eastAsia="zh-CN" w:bidi="ar-SA"/>
        </w:rPr>
        <w:t>2.4.3 对监理人的授权范围：</w:t>
      </w:r>
      <w:r>
        <w:rPr>
          <w:rFonts w:ascii="宋体" w:hAnsi="宋体" w:eastAsia="宋体" w:cs="宋体"/>
          <w:kern w:val="2"/>
          <w:sz w:val="21"/>
          <w:szCs w:val="21"/>
          <w:highlight w:val="none"/>
          <w:u w:val="single"/>
          <w:lang w:val="en-US" w:eastAsia="zh-CN" w:bidi="ar-SA"/>
        </w:rPr>
        <w:t>按委托人委托的职权对工程施工质量、进度、造价、环境及安全等方面进行全方位、全过程监理。须取得委托人批准才能行使的职权：工程量的确认，开、停工令的签发，工期变更，付款申请的签发，工程重大问题的处理方案等。</w:t>
      </w:r>
    </w:p>
    <w:p w14:paraId="4D12D5BB">
      <w:pPr>
        <w:widowControl w:val="0"/>
        <w:snapToGrid w:val="0"/>
        <w:spacing w:line="360" w:lineRule="auto"/>
        <w:ind w:firstLine="420" w:firstLineChars="200"/>
        <w:jc w:val="both"/>
        <w:rPr>
          <w:rFonts w:ascii="宋体" w:hAnsi="宋体" w:eastAsia="宋体" w:cs="宋体"/>
          <w:kern w:val="2"/>
          <w:sz w:val="21"/>
          <w:szCs w:val="21"/>
          <w:highlight w:val="none"/>
          <w:u w:val="single"/>
          <w:lang w:val="en-US" w:eastAsia="zh-CN" w:bidi="ar-SA"/>
        </w:rPr>
      </w:pPr>
      <w:r>
        <w:rPr>
          <w:rFonts w:ascii="宋体" w:hAnsi="宋体" w:eastAsia="宋体" w:cs="宋体"/>
          <w:kern w:val="2"/>
          <w:sz w:val="21"/>
          <w:szCs w:val="21"/>
          <w:highlight w:val="none"/>
          <w:u w:val="single"/>
          <w:lang w:val="en-US" w:eastAsia="zh-CN" w:bidi="ar-SA"/>
        </w:rPr>
        <w:t>监理人进入委托人区域进行委托监理业务，须遵守委托人有关相关方管理的各项规定，做好安全防范管理工作。监理人履行本合同因监理人原因致使双方或第三方造成人身伤害或财产损失的，监理人承担相应的全部责任和费用。</w:t>
      </w:r>
    </w:p>
    <w:p w14:paraId="1B1543FB">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在涉及工程延期</w:t>
      </w:r>
      <w:r>
        <w:rPr>
          <w:rFonts w:ascii="宋体" w:hAnsi="宋体" w:eastAsia="宋体" w:cs="宋体"/>
          <w:kern w:val="2"/>
          <w:sz w:val="21"/>
          <w:szCs w:val="21"/>
          <w:highlight w:val="none"/>
          <w:u w:val="single"/>
          <w:lang w:val="en-US" w:eastAsia="zh-CN" w:bidi="ar-SA"/>
        </w:rPr>
        <w:t>零</w:t>
      </w:r>
      <w:r>
        <w:rPr>
          <w:rFonts w:ascii="宋体" w:hAnsi="宋体" w:eastAsia="宋体" w:cs="宋体"/>
          <w:kern w:val="2"/>
          <w:sz w:val="21"/>
          <w:szCs w:val="21"/>
          <w:highlight w:val="none"/>
          <w:lang w:val="en-US" w:eastAsia="zh-CN" w:bidi="ar-SA"/>
        </w:rPr>
        <w:t>天内和（或）金额</w:t>
      </w:r>
      <w:r>
        <w:rPr>
          <w:rFonts w:ascii="宋体" w:hAnsi="宋体" w:eastAsia="宋体" w:cs="宋体"/>
          <w:kern w:val="2"/>
          <w:sz w:val="21"/>
          <w:szCs w:val="21"/>
          <w:highlight w:val="none"/>
          <w:u w:val="single"/>
          <w:lang w:val="en-US" w:eastAsia="zh-CN" w:bidi="ar-SA"/>
        </w:rPr>
        <w:t>零</w:t>
      </w:r>
      <w:r>
        <w:rPr>
          <w:rFonts w:ascii="宋体" w:hAnsi="宋体" w:eastAsia="宋体" w:cs="宋体"/>
          <w:kern w:val="2"/>
          <w:sz w:val="21"/>
          <w:szCs w:val="21"/>
          <w:highlight w:val="none"/>
          <w:lang w:val="en-US" w:eastAsia="zh-CN" w:bidi="ar-SA"/>
        </w:rPr>
        <w:t>万元内的变更，监理人不需请示委托人即可向承包人发布变更通知。</w:t>
      </w:r>
    </w:p>
    <w:p w14:paraId="63E8B1B9">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2.4.4 监理人有权要求承包人调换其人员的限制条件：</w:t>
      </w:r>
      <w:r>
        <w:rPr>
          <w:rFonts w:ascii="宋体" w:hAnsi="宋体" w:eastAsia="宋体" w:cs="宋体"/>
          <w:kern w:val="2"/>
          <w:sz w:val="21"/>
          <w:szCs w:val="21"/>
          <w:highlight w:val="none"/>
          <w:u w:val="single"/>
          <w:lang w:val="en-US" w:eastAsia="zh-CN" w:bidi="ar-SA"/>
        </w:rPr>
        <w:t>/</w:t>
      </w:r>
      <w:r>
        <w:rPr>
          <w:rFonts w:ascii="宋体" w:hAnsi="宋体" w:eastAsia="宋体" w:cs="宋体"/>
          <w:kern w:val="2"/>
          <w:sz w:val="21"/>
          <w:szCs w:val="21"/>
          <w:highlight w:val="none"/>
          <w:lang w:val="en-US" w:eastAsia="zh-CN" w:bidi="ar-SA"/>
        </w:rPr>
        <w:t>。</w:t>
      </w:r>
    </w:p>
    <w:p w14:paraId="3F2A26E9">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2.5 提交报告</w:t>
      </w:r>
    </w:p>
    <w:p w14:paraId="0556362E">
      <w:pPr>
        <w:widowControl w:val="0"/>
        <w:snapToGrid w:val="0"/>
        <w:spacing w:line="360" w:lineRule="auto"/>
        <w:ind w:firstLine="420" w:firstLineChars="200"/>
        <w:jc w:val="both"/>
        <w:rPr>
          <w:rFonts w:ascii="宋体" w:hAnsi="宋体" w:eastAsia="宋体" w:cs="宋体"/>
          <w:kern w:val="2"/>
          <w:sz w:val="21"/>
          <w:szCs w:val="21"/>
          <w:highlight w:val="none"/>
          <w:u w:val="single"/>
          <w:lang w:val="en-US" w:eastAsia="zh-CN" w:bidi="ar-SA"/>
        </w:rPr>
      </w:pPr>
      <w:r>
        <w:rPr>
          <w:rFonts w:ascii="宋体" w:hAnsi="宋体" w:eastAsia="宋体" w:cs="宋体"/>
          <w:kern w:val="2"/>
          <w:sz w:val="21"/>
          <w:szCs w:val="21"/>
          <w:highlight w:val="none"/>
          <w:lang w:val="en-US" w:eastAsia="zh-CN" w:bidi="ar-SA"/>
        </w:rPr>
        <w:t>监理人应提交报告的种类(包括监理规划、监理月报及约定的专项报告)、时间和份数。</w:t>
      </w:r>
    </w:p>
    <w:p w14:paraId="61593BC1">
      <w:pPr>
        <w:widowControl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2.7 使用委托人的财产</w:t>
      </w:r>
    </w:p>
    <w:p w14:paraId="25D0E29E">
      <w:pPr>
        <w:widowControl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委托人不提供。</w:t>
      </w:r>
    </w:p>
    <w:p w14:paraId="3F1EB5E1">
      <w:pPr>
        <w:widowControl w:val="0"/>
        <w:snapToGrid w:val="0"/>
        <w:spacing w:line="360" w:lineRule="auto"/>
        <w:ind w:firstLine="422" w:firstLineChars="200"/>
        <w:jc w:val="both"/>
        <w:rPr>
          <w:rFonts w:ascii="宋体" w:hAnsi="宋体" w:eastAsia="宋体" w:cs="宋体"/>
          <w:b/>
          <w:kern w:val="2"/>
          <w:sz w:val="21"/>
          <w:szCs w:val="21"/>
          <w:highlight w:val="none"/>
          <w:lang w:val="en-US" w:eastAsia="zh-CN" w:bidi="ar-SA"/>
        </w:rPr>
      </w:pPr>
      <w:r>
        <w:rPr>
          <w:rFonts w:ascii="宋体" w:hAnsi="宋体" w:eastAsia="宋体" w:cs="宋体"/>
          <w:b/>
          <w:kern w:val="2"/>
          <w:sz w:val="21"/>
          <w:szCs w:val="21"/>
          <w:highlight w:val="none"/>
          <w:lang w:val="en-US" w:eastAsia="zh-CN" w:bidi="ar-SA"/>
        </w:rPr>
        <w:t>3. 委托人义务</w:t>
      </w:r>
    </w:p>
    <w:p w14:paraId="0020789E">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3.4 委托人代表</w:t>
      </w:r>
    </w:p>
    <w:p w14:paraId="4783FC6B">
      <w:pPr>
        <w:widowControl w:val="0"/>
        <w:snapToGrid w:val="0"/>
        <w:spacing w:line="360" w:lineRule="auto"/>
        <w:ind w:firstLine="420" w:firstLineChars="200"/>
        <w:jc w:val="both"/>
        <w:rPr>
          <w:rFonts w:ascii="宋体" w:hAnsi="宋体" w:eastAsia="宋体" w:cs="宋体"/>
          <w:kern w:val="2"/>
          <w:sz w:val="21"/>
          <w:szCs w:val="21"/>
          <w:highlight w:val="none"/>
          <w:u w:val="single"/>
          <w:lang w:val="en-US" w:eastAsia="zh-CN" w:bidi="ar-SA"/>
        </w:rPr>
      </w:pPr>
      <w:r>
        <w:rPr>
          <w:rFonts w:ascii="宋体" w:hAnsi="宋体" w:eastAsia="宋体" w:cs="宋体"/>
          <w:kern w:val="2"/>
          <w:sz w:val="21"/>
          <w:szCs w:val="21"/>
          <w:highlight w:val="none"/>
          <w:lang w:val="en-US" w:eastAsia="zh-CN" w:bidi="ar-SA"/>
        </w:rPr>
        <w:t>委托人代表为：。</w:t>
      </w:r>
    </w:p>
    <w:p w14:paraId="6BC59E09">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3.6 答复</w:t>
      </w:r>
    </w:p>
    <w:p w14:paraId="6CF5FB87">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委托人同意在</w:t>
      </w:r>
      <w:r>
        <w:rPr>
          <w:rFonts w:ascii="宋体" w:hAnsi="宋体" w:eastAsia="宋体" w:cs="宋体"/>
          <w:kern w:val="2"/>
          <w:sz w:val="21"/>
          <w:szCs w:val="21"/>
          <w:highlight w:val="none"/>
          <w:u w:val="single"/>
          <w:lang w:val="en-US" w:eastAsia="zh-CN" w:bidi="ar-SA"/>
        </w:rPr>
        <w:t>7个工作日</w:t>
      </w:r>
      <w:r>
        <w:rPr>
          <w:rFonts w:ascii="宋体" w:hAnsi="宋体" w:eastAsia="宋体" w:cs="宋体"/>
          <w:kern w:val="2"/>
          <w:sz w:val="21"/>
          <w:szCs w:val="21"/>
          <w:highlight w:val="none"/>
          <w:lang w:val="en-US" w:eastAsia="zh-CN" w:bidi="ar-SA"/>
        </w:rPr>
        <w:t>内，对监理人书面提交并要求做出决定的事宜给予书面答复。</w:t>
      </w:r>
    </w:p>
    <w:p w14:paraId="6B9EC05F">
      <w:pPr>
        <w:widowControl w:val="0"/>
        <w:snapToGrid w:val="0"/>
        <w:spacing w:line="360" w:lineRule="auto"/>
        <w:ind w:firstLine="422" w:firstLineChars="200"/>
        <w:jc w:val="both"/>
        <w:rPr>
          <w:rFonts w:ascii="宋体" w:hAnsi="宋体" w:eastAsia="宋体" w:cs="宋体"/>
          <w:b/>
          <w:bCs/>
          <w:kern w:val="2"/>
          <w:sz w:val="21"/>
          <w:szCs w:val="21"/>
          <w:highlight w:val="none"/>
          <w:lang w:val="en-US" w:eastAsia="zh-CN" w:bidi="ar-SA"/>
        </w:rPr>
      </w:pPr>
      <w:r>
        <w:rPr>
          <w:rFonts w:ascii="宋体" w:hAnsi="宋体" w:eastAsia="宋体" w:cs="宋体"/>
          <w:b/>
          <w:bCs/>
          <w:kern w:val="2"/>
          <w:sz w:val="21"/>
          <w:szCs w:val="21"/>
          <w:highlight w:val="none"/>
          <w:lang w:val="en-US" w:eastAsia="zh-CN" w:bidi="ar-SA"/>
        </w:rPr>
        <w:t>4. 违约责任</w:t>
      </w:r>
    </w:p>
    <w:p w14:paraId="27238EEE">
      <w:pPr>
        <w:widowControl w:val="0"/>
        <w:spacing w:line="360" w:lineRule="auto"/>
        <w:ind w:firstLine="420" w:firstLineChars="20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4.1 监理人的违约责任</w:t>
      </w:r>
    </w:p>
    <w:p w14:paraId="1DE23F8C">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4.1.1监理人赔偿金额按下列方法确定：</w:t>
      </w:r>
    </w:p>
    <w:p w14:paraId="02FA443F">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除本合同第二部分第4条约定的违约责任外，因监理人违反本合同约定给委托人造成损失的，监理人应当赔偿委托人由此遭受的全部损失。</w:t>
      </w:r>
    </w:p>
    <w:p w14:paraId="2B9BCB82">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4.2 委托人的违约责任</w:t>
      </w:r>
    </w:p>
    <w:p w14:paraId="140D7D27">
      <w:pPr>
        <w:widowControl w:val="0"/>
        <w:spacing w:line="360" w:lineRule="auto"/>
        <w:ind w:firstLine="420" w:firstLineChars="200"/>
        <w:jc w:val="both"/>
        <w:rPr>
          <w:rFonts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4.2.3 委托人逾期付款利息按下列方法确定：</w:t>
      </w:r>
    </w:p>
    <w:p w14:paraId="3A569E2B">
      <w:pPr>
        <w:widowControl w:val="0"/>
        <w:spacing w:line="360" w:lineRule="auto"/>
        <w:ind w:firstLine="420" w:firstLineChars="200"/>
        <w:jc w:val="both"/>
        <w:rPr>
          <w:rFonts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逾期付款利息＝当期应付款总额×中国人民银行贷款基准利率×拖延支付天数</w:t>
      </w:r>
    </w:p>
    <w:p w14:paraId="36CDA1F4">
      <w:pPr>
        <w:widowControl w:val="0"/>
        <w:snapToGrid w:val="0"/>
        <w:spacing w:line="360" w:lineRule="auto"/>
        <w:ind w:firstLine="422" w:firstLineChars="200"/>
        <w:jc w:val="both"/>
        <w:rPr>
          <w:rFonts w:ascii="宋体" w:hAnsi="宋体" w:eastAsia="宋体" w:cs="宋体"/>
          <w:b/>
          <w:kern w:val="2"/>
          <w:sz w:val="21"/>
          <w:szCs w:val="21"/>
          <w:highlight w:val="none"/>
          <w:lang w:val="en-US" w:eastAsia="zh-CN" w:bidi="ar-SA"/>
        </w:rPr>
      </w:pPr>
      <w:r>
        <w:rPr>
          <w:rFonts w:ascii="宋体" w:hAnsi="宋体" w:eastAsia="宋体" w:cs="宋体"/>
          <w:b/>
          <w:bCs/>
          <w:kern w:val="2"/>
          <w:sz w:val="21"/>
          <w:szCs w:val="21"/>
          <w:highlight w:val="none"/>
          <w:lang w:val="en-US" w:eastAsia="zh-CN" w:bidi="ar-SA"/>
        </w:rPr>
        <w:t>5. 支付</w:t>
      </w:r>
    </w:p>
    <w:p w14:paraId="20E3EDDD">
      <w:pPr>
        <w:widowControl w:val="0"/>
        <w:snapToGrid w:val="0"/>
        <w:spacing w:line="360" w:lineRule="auto"/>
        <w:ind w:firstLine="420" w:firstLineChars="200"/>
        <w:jc w:val="both"/>
        <w:rPr>
          <w:rFonts w:ascii="宋体" w:hAnsi="宋体" w:eastAsia="宋体" w:cs="宋体"/>
          <w:bCs/>
          <w:kern w:val="2"/>
          <w:sz w:val="21"/>
          <w:szCs w:val="21"/>
          <w:highlight w:val="none"/>
          <w:lang w:val="en-US" w:eastAsia="zh-CN" w:bidi="ar-SA"/>
        </w:rPr>
      </w:pPr>
      <w:r>
        <w:rPr>
          <w:rFonts w:ascii="宋体" w:hAnsi="宋体" w:eastAsia="宋体" w:cs="宋体"/>
          <w:kern w:val="2"/>
          <w:sz w:val="21"/>
          <w:szCs w:val="21"/>
          <w:highlight w:val="none"/>
          <w:lang w:val="en-US" w:eastAsia="zh-CN" w:bidi="ar-SA"/>
        </w:rPr>
        <w:t xml:space="preserve">5.1 </w:t>
      </w:r>
      <w:r>
        <w:rPr>
          <w:rFonts w:ascii="宋体" w:hAnsi="宋体" w:eastAsia="宋体" w:cs="宋体"/>
          <w:bCs/>
          <w:kern w:val="2"/>
          <w:sz w:val="21"/>
          <w:szCs w:val="21"/>
          <w:highlight w:val="none"/>
          <w:lang w:val="en-US" w:eastAsia="zh-CN" w:bidi="ar-SA"/>
        </w:rPr>
        <w:t>支付货币</w:t>
      </w:r>
    </w:p>
    <w:p w14:paraId="680EAD76">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币种为：</w:t>
      </w:r>
      <w:r>
        <w:rPr>
          <w:rFonts w:ascii="宋体" w:hAnsi="宋体" w:eastAsia="宋体" w:cs="宋体"/>
          <w:kern w:val="2"/>
          <w:sz w:val="21"/>
          <w:szCs w:val="21"/>
          <w:highlight w:val="none"/>
          <w:u w:val="single"/>
          <w:lang w:val="en-US" w:eastAsia="zh-CN" w:bidi="ar-SA"/>
        </w:rPr>
        <w:t>人民币</w:t>
      </w:r>
      <w:r>
        <w:rPr>
          <w:rFonts w:ascii="宋体" w:hAnsi="宋体" w:eastAsia="宋体" w:cs="宋体"/>
          <w:kern w:val="2"/>
          <w:sz w:val="21"/>
          <w:szCs w:val="21"/>
          <w:highlight w:val="none"/>
          <w:lang w:val="en-US" w:eastAsia="zh-CN" w:bidi="ar-SA"/>
        </w:rPr>
        <w:t>。</w:t>
      </w:r>
    </w:p>
    <w:p w14:paraId="12843847">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5.3 支付酬金</w:t>
      </w:r>
    </w:p>
    <w:p w14:paraId="179F71BD">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正常工作酬金的支付：</w:t>
      </w:r>
    </w:p>
    <w:p w14:paraId="4471B95A">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5.3.1合同签订后   个工作日内支付合同总价的    %作为预付款。</w:t>
      </w:r>
    </w:p>
    <w:p w14:paraId="0F4A35A7">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5.3.2本项目工程竣工验收完成后，支付至合同总价的    %。</w:t>
      </w:r>
    </w:p>
    <w:p w14:paraId="13061246">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5.3.3工程质量保修期满结清剩余合同费用。</w:t>
      </w:r>
    </w:p>
    <w:p w14:paraId="3B754816">
      <w:pPr>
        <w:widowControl w:val="0"/>
        <w:snapToGrid w:val="0"/>
        <w:spacing w:line="360" w:lineRule="auto"/>
        <w:ind w:firstLine="420" w:firstLineChars="200"/>
        <w:jc w:val="both"/>
        <w:rPr>
          <w:rFonts w:ascii="宋体" w:hAnsi="宋体" w:eastAsia="宋体" w:cs="宋体"/>
          <w:bCs/>
          <w:kern w:val="2"/>
          <w:sz w:val="21"/>
          <w:szCs w:val="21"/>
          <w:highlight w:val="none"/>
          <w:lang w:val="en-US" w:eastAsia="zh-CN" w:bidi="ar-SA"/>
        </w:rPr>
      </w:pPr>
      <w:r>
        <w:rPr>
          <w:rFonts w:ascii="宋体" w:hAnsi="宋体" w:eastAsia="宋体" w:cs="宋体"/>
          <w:bCs/>
          <w:kern w:val="2"/>
          <w:sz w:val="21"/>
          <w:szCs w:val="21"/>
          <w:highlight w:val="none"/>
          <w:lang w:val="en-US" w:eastAsia="zh-CN" w:bidi="ar-SA"/>
        </w:rPr>
        <w:t>6.</w:t>
      </w:r>
      <w:r>
        <w:rPr>
          <w:rFonts w:ascii="宋体" w:hAnsi="宋体" w:eastAsia="宋体" w:cs="宋体"/>
          <w:b/>
          <w:bCs/>
          <w:kern w:val="2"/>
          <w:sz w:val="21"/>
          <w:szCs w:val="21"/>
          <w:highlight w:val="none"/>
          <w:lang w:val="en-US" w:eastAsia="zh-CN" w:bidi="ar-SA"/>
        </w:rPr>
        <w:t>合同生效、变更、暂停、解除与终止</w:t>
      </w:r>
    </w:p>
    <w:p w14:paraId="55E8B4CE">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6.1 生效</w:t>
      </w:r>
    </w:p>
    <w:p w14:paraId="3B07B84A">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本合同生效条件：</w:t>
      </w:r>
      <w:r>
        <w:rPr>
          <w:rFonts w:ascii="宋体" w:hAnsi="宋体" w:eastAsia="宋体" w:cs="宋体"/>
          <w:kern w:val="2"/>
          <w:sz w:val="21"/>
          <w:szCs w:val="21"/>
          <w:highlight w:val="none"/>
          <w:u w:val="single"/>
          <w:lang w:val="en-US" w:eastAsia="zh-CN" w:bidi="ar-SA"/>
        </w:rPr>
        <w:t>本合同经双方签字并盖章后生效</w:t>
      </w:r>
      <w:r>
        <w:rPr>
          <w:rFonts w:ascii="宋体" w:hAnsi="宋体" w:eastAsia="宋体" w:cs="宋体"/>
          <w:kern w:val="2"/>
          <w:sz w:val="21"/>
          <w:szCs w:val="21"/>
          <w:highlight w:val="none"/>
          <w:lang w:val="en-US" w:eastAsia="zh-CN" w:bidi="ar-SA"/>
        </w:rPr>
        <w:t>。</w:t>
      </w:r>
    </w:p>
    <w:p w14:paraId="0F65673C">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6.2 变更</w:t>
      </w:r>
    </w:p>
    <w:p w14:paraId="2CDCFC32">
      <w:pPr>
        <w:widowControl w:val="0"/>
        <w:snapToGrid w:val="0"/>
        <w:spacing w:line="360" w:lineRule="auto"/>
        <w:ind w:firstLine="420" w:firstLineChars="200"/>
        <w:jc w:val="both"/>
        <w:rPr>
          <w:rFonts w:ascii="宋体" w:hAnsi="宋体" w:eastAsia="宋体" w:cs="宋体"/>
          <w:kern w:val="2"/>
          <w:sz w:val="21"/>
          <w:szCs w:val="21"/>
          <w:highlight w:val="none"/>
          <w:u w:val="single"/>
          <w:lang w:val="en-US" w:eastAsia="zh-CN" w:bidi="ar-SA"/>
        </w:rPr>
      </w:pPr>
      <w:r>
        <w:rPr>
          <w:rFonts w:ascii="宋体" w:hAnsi="宋体" w:eastAsia="宋体" w:cs="宋体"/>
          <w:kern w:val="2"/>
          <w:sz w:val="21"/>
          <w:szCs w:val="21"/>
          <w:highlight w:val="none"/>
          <w:u w:val="single"/>
          <w:lang w:val="en-US" w:eastAsia="zh-CN" w:bidi="ar-SA"/>
        </w:rPr>
        <w:t>/        。</w:t>
      </w:r>
    </w:p>
    <w:p w14:paraId="4321F944">
      <w:pPr>
        <w:widowControl w:val="0"/>
        <w:snapToGrid w:val="0"/>
        <w:spacing w:line="360" w:lineRule="auto"/>
        <w:ind w:firstLine="422" w:firstLineChars="200"/>
        <w:jc w:val="both"/>
        <w:rPr>
          <w:rFonts w:ascii="宋体" w:hAnsi="宋体" w:eastAsia="宋体" w:cs="宋体"/>
          <w:b/>
          <w:kern w:val="2"/>
          <w:sz w:val="21"/>
          <w:szCs w:val="21"/>
          <w:highlight w:val="none"/>
          <w:lang w:val="en-US" w:eastAsia="zh-CN" w:bidi="ar-SA"/>
        </w:rPr>
      </w:pPr>
      <w:r>
        <w:rPr>
          <w:rFonts w:ascii="宋体" w:hAnsi="宋体" w:eastAsia="宋体" w:cs="宋体"/>
          <w:b/>
          <w:bCs/>
          <w:kern w:val="2"/>
          <w:sz w:val="21"/>
          <w:szCs w:val="21"/>
          <w:highlight w:val="none"/>
          <w:lang w:val="en-US" w:eastAsia="zh-CN" w:bidi="ar-SA"/>
        </w:rPr>
        <w:t>7. 争议解决</w:t>
      </w:r>
    </w:p>
    <w:p w14:paraId="3AC046B2">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 xml:space="preserve">7.2 </w:t>
      </w:r>
      <w:r>
        <w:rPr>
          <w:rFonts w:ascii="宋体" w:hAnsi="宋体" w:eastAsia="宋体" w:cs="宋体"/>
          <w:bCs/>
          <w:kern w:val="2"/>
          <w:sz w:val="21"/>
          <w:szCs w:val="21"/>
          <w:highlight w:val="none"/>
          <w:lang w:val="en-US" w:eastAsia="zh-CN" w:bidi="ar-SA"/>
        </w:rPr>
        <w:t>调解</w:t>
      </w:r>
    </w:p>
    <w:p w14:paraId="3BD117C1">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本合同争议进行调解时，可提交</w:t>
      </w:r>
      <w:r>
        <w:rPr>
          <w:rFonts w:ascii="宋体" w:hAnsi="宋体" w:eastAsia="宋体" w:cs="宋体"/>
          <w:kern w:val="2"/>
          <w:sz w:val="21"/>
          <w:szCs w:val="21"/>
          <w:highlight w:val="none"/>
          <w:u w:val="single"/>
          <w:lang w:val="en-US" w:eastAsia="zh-CN" w:bidi="ar-SA"/>
        </w:rPr>
        <w:t>/</w:t>
      </w:r>
      <w:r>
        <w:rPr>
          <w:rFonts w:ascii="宋体" w:hAnsi="宋体" w:eastAsia="宋体" w:cs="宋体"/>
          <w:kern w:val="2"/>
          <w:sz w:val="21"/>
          <w:szCs w:val="21"/>
          <w:highlight w:val="none"/>
          <w:lang w:val="en-US" w:eastAsia="zh-CN" w:bidi="ar-SA"/>
        </w:rPr>
        <w:t>进行调解。</w:t>
      </w:r>
    </w:p>
    <w:p w14:paraId="6EA29D73">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 xml:space="preserve">7.3 </w:t>
      </w:r>
      <w:r>
        <w:rPr>
          <w:rFonts w:ascii="宋体" w:hAnsi="宋体" w:eastAsia="宋体" w:cs="宋体"/>
          <w:bCs/>
          <w:kern w:val="2"/>
          <w:sz w:val="21"/>
          <w:szCs w:val="21"/>
          <w:highlight w:val="none"/>
          <w:lang w:val="en-US" w:eastAsia="zh-CN" w:bidi="ar-SA"/>
        </w:rPr>
        <w:t>仲裁或诉讼</w:t>
      </w:r>
    </w:p>
    <w:p w14:paraId="7ABBFA20">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合同争议的最终解决方式为下列第</w:t>
      </w:r>
      <w:r>
        <w:rPr>
          <w:rFonts w:ascii="宋体" w:hAnsi="宋体" w:eastAsia="宋体" w:cs="宋体"/>
          <w:kern w:val="2"/>
          <w:sz w:val="21"/>
          <w:szCs w:val="21"/>
          <w:highlight w:val="none"/>
          <w:u w:val="single"/>
          <w:lang w:val="en-US" w:eastAsia="zh-CN" w:bidi="ar-SA"/>
        </w:rPr>
        <w:t>（2）</w:t>
      </w:r>
      <w:r>
        <w:rPr>
          <w:rFonts w:ascii="宋体" w:hAnsi="宋体" w:eastAsia="宋体" w:cs="宋体"/>
          <w:kern w:val="2"/>
          <w:sz w:val="21"/>
          <w:szCs w:val="21"/>
          <w:highlight w:val="none"/>
          <w:lang w:val="en-US" w:eastAsia="zh-CN" w:bidi="ar-SA"/>
        </w:rPr>
        <w:t>种方式：</w:t>
      </w:r>
    </w:p>
    <w:p w14:paraId="3AE9FB07">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（1）提请</w:t>
      </w:r>
      <w:r>
        <w:rPr>
          <w:rFonts w:ascii="宋体" w:hAnsi="宋体" w:eastAsia="宋体" w:cs="宋体"/>
          <w:kern w:val="2"/>
          <w:sz w:val="21"/>
          <w:szCs w:val="21"/>
          <w:highlight w:val="none"/>
          <w:u w:val="single"/>
          <w:lang w:val="en-US" w:eastAsia="zh-CN" w:bidi="ar-SA"/>
        </w:rPr>
        <w:t>/</w:t>
      </w:r>
      <w:r>
        <w:rPr>
          <w:rFonts w:ascii="宋体" w:hAnsi="宋体" w:eastAsia="宋体" w:cs="宋体"/>
          <w:kern w:val="2"/>
          <w:sz w:val="21"/>
          <w:szCs w:val="21"/>
          <w:highlight w:val="none"/>
          <w:lang w:val="en-US" w:eastAsia="zh-CN" w:bidi="ar-SA"/>
        </w:rPr>
        <w:t>仲裁委员会进行仲裁。</w:t>
      </w:r>
    </w:p>
    <w:p w14:paraId="6E13BD92">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（2）向</w:t>
      </w:r>
      <w:r>
        <w:rPr>
          <w:rFonts w:ascii="宋体" w:hAnsi="宋体" w:eastAsia="宋体" w:cs="宋体"/>
          <w:kern w:val="2"/>
          <w:sz w:val="21"/>
          <w:szCs w:val="21"/>
          <w:highlight w:val="none"/>
          <w:u w:val="single"/>
          <w:lang w:val="en-US" w:eastAsia="zh-CN" w:bidi="ar-SA"/>
        </w:rPr>
        <w:t>工程项目所在地</w:t>
      </w:r>
      <w:r>
        <w:rPr>
          <w:rFonts w:ascii="宋体" w:hAnsi="宋体" w:eastAsia="宋体" w:cs="宋体"/>
          <w:kern w:val="2"/>
          <w:sz w:val="21"/>
          <w:szCs w:val="21"/>
          <w:highlight w:val="none"/>
          <w:lang w:val="en-US" w:eastAsia="zh-CN" w:bidi="ar-SA"/>
        </w:rPr>
        <w:t>人民法院提起诉讼。</w:t>
      </w:r>
    </w:p>
    <w:p w14:paraId="1B3EDA4E">
      <w:pPr>
        <w:widowControl w:val="0"/>
        <w:snapToGrid w:val="0"/>
        <w:spacing w:line="360" w:lineRule="auto"/>
        <w:ind w:firstLine="422" w:firstLineChars="200"/>
        <w:jc w:val="both"/>
        <w:rPr>
          <w:rFonts w:ascii="宋体" w:hAnsi="宋体" w:eastAsia="宋体" w:cs="宋体"/>
          <w:b/>
          <w:bCs/>
          <w:kern w:val="2"/>
          <w:sz w:val="21"/>
          <w:szCs w:val="21"/>
          <w:highlight w:val="none"/>
          <w:lang w:val="en-US" w:eastAsia="zh-CN" w:bidi="ar-SA"/>
        </w:rPr>
      </w:pPr>
      <w:r>
        <w:rPr>
          <w:rFonts w:ascii="宋体" w:hAnsi="宋体" w:eastAsia="宋体" w:cs="宋体"/>
          <w:b/>
          <w:bCs/>
          <w:kern w:val="2"/>
          <w:sz w:val="21"/>
          <w:szCs w:val="21"/>
          <w:highlight w:val="none"/>
          <w:lang w:val="en-US" w:eastAsia="zh-CN" w:bidi="ar-SA"/>
        </w:rPr>
        <w:t>8. 其他</w:t>
      </w:r>
    </w:p>
    <w:p w14:paraId="5B372984">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8.1 保密</w:t>
      </w:r>
    </w:p>
    <w:p w14:paraId="379CCA7F">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委托人申明的保密事项和期限：监理人履行本合同由委托人处获得的文件资料和信息，监理人须永远保密，委托人提供給监理人的资料,在项目完成后交回委托人。</w:t>
      </w:r>
    </w:p>
    <w:p w14:paraId="214F45DF">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监理人申明的保密事项和期限：委托人履行本合同由监理人处获得的文件资料和信息，委托人须永远保密。</w:t>
      </w:r>
    </w:p>
    <w:p w14:paraId="486674AF">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第三方申明的保密事项和期限：由双方与第三方具体确定。</w:t>
      </w:r>
    </w:p>
    <w:p w14:paraId="2729EC82">
      <w:pPr>
        <w:widowControl w:val="0"/>
        <w:snapToGrid w:val="0"/>
        <w:spacing w:line="360" w:lineRule="auto"/>
        <w:ind w:firstLine="420" w:firstLineChars="200"/>
        <w:jc w:val="both"/>
        <w:rPr>
          <w:rFonts w:ascii="宋体" w:hAnsi="宋体" w:eastAsia="宋体" w:cs="宋体"/>
          <w:bCs/>
          <w:kern w:val="2"/>
          <w:sz w:val="21"/>
          <w:szCs w:val="21"/>
          <w:highlight w:val="none"/>
          <w:lang w:val="en-US" w:eastAsia="zh-CN" w:bidi="ar-SA"/>
        </w:rPr>
      </w:pPr>
      <w:r>
        <w:rPr>
          <w:rFonts w:ascii="宋体" w:hAnsi="宋体" w:eastAsia="宋体" w:cs="宋体"/>
          <w:kern w:val="2"/>
          <w:sz w:val="21"/>
          <w:szCs w:val="21"/>
          <w:highlight w:val="none"/>
          <w:lang w:val="en-US" w:eastAsia="zh-CN" w:bidi="ar-SA"/>
        </w:rPr>
        <w:t>8.2</w:t>
      </w:r>
      <w:r>
        <w:rPr>
          <w:rFonts w:ascii="宋体" w:hAnsi="宋体" w:eastAsia="宋体" w:cs="宋体"/>
          <w:bCs/>
          <w:kern w:val="2"/>
          <w:sz w:val="21"/>
          <w:szCs w:val="21"/>
          <w:highlight w:val="none"/>
          <w:lang w:val="en-US" w:eastAsia="zh-CN" w:bidi="ar-SA"/>
        </w:rPr>
        <w:t>著作权</w:t>
      </w:r>
    </w:p>
    <w:p w14:paraId="27C83CD3">
      <w:pPr>
        <w:widowControl w:val="0"/>
        <w:snapToGrid w:val="0"/>
        <w:spacing w:line="360" w:lineRule="auto"/>
        <w:ind w:firstLine="420" w:firstLineChars="200"/>
        <w:jc w:val="both"/>
        <w:rPr>
          <w:rFonts w:ascii="宋体" w:hAnsi="宋体" w:eastAsia="宋体" w:cs="宋体"/>
          <w:kern w:val="2"/>
          <w:sz w:val="21"/>
          <w:szCs w:val="21"/>
          <w:highlight w:val="none"/>
          <w:u w:val="single"/>
          <w:lang w:val="en-US" w:eastAsia="zh-CN" w:bidi="ar-SA"/>
        </w:rPr>
      </w:pPr>
      <w:r>
        <w:rPr>
          <w:rFonts w:ascii="宋体" w:hAnsi="宋体" w:eastAsia="宋体" w:cs="宋体"/>
          <w:kern w:val="2"/>
          <w:sz w:val="21"/>
          <w:szCs w:val="21"/>
          <w:highlight w:val="none"/>
          <w:lang w:val="en-US" w:eastAsia="zh-CN" w:bidi="ar-SA"/>
        </w:rPr>
        <w:t>监理人在本合同履行期间及本合同终止后两年内出版涉及本工程的有关监理与相关服务的资料的限制条件：</w:t>
      </w:r>
      <w:r>
        <w:rPr>
          <w:rFonts w:ascii="宋体" w:hAnsi="宋体" w:eastAsia="宋体" w:cs="宋体"/>
          <w:kern w:val="2"/>
          <w:sz w:val="21"/>
          <w:szCs w:val="21"/>
          <w:highlight w:val="none"/>
          <w:u w:val="single"/>
          <w:lang w:val="en-US" w:eastAsia="zh-CN" w:bidi="ar-SA"/>
        </w:rPr>
        <w:t>须经委托人书面同意</w:t>
      </w:r>
      <w:r>
        <w:rPr>
          <w:rFonts w:ascii="宋体" w:hAnsi="宋体" w:eastAsia="宋体" w:cs="宋体"/>
          <w:kern w:val="2"/>
          <w:sz w:val="21"/>
          <w:szCs w:val="21"/>
          <w:highlight w:val="none"/>
          <w:lang w:val="en-US" w:eastAsia="zh-CN" w:bidi="ar-SA"/>
        </w:rPr>
        <w:t>。</w:t>
      </w:r>
    </w:p>
    <w:p w14:paraId="161B5ED3">
      <w:pPr>
        <w:widowControl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9. 补充条款</w:t>
      </w:r>
    </w:p>
    <w:p w14:paraId="4980368E">
      <w:pPr>
        <w:widowControl w:val="0"/>
        <w:tabs>
          <w:tab w:val="left" w:pos="360"/>
        </w:tabs>
        <w:spacing w:line="360" w:lineRule="auto"/>
        <w:ind w:firstLine="317" w:firstLineChars="151"/>
        <w:jc w:val="both"/>
        <w:rPr>
          <w:rFonts w:ascii="宋体" w:hAnsi="宋体" w:eastAsia="宋体" w:cs="宋体"/>
          <w:b/>
          <w:kern w:val="2"/>
          <w:sz w:val="21"/>
          <w:szCs w:val="21"/>
          <w:highlight w:val="none"/>
          <w:lang w:val="en-US" w:eastAsia="zh-CN" w:bidi="ar-SA"/>
        </w:rPr>
      </w:pPr>
      <w:r>
        <w:rPr>
          <w:rFonts w:ascii="宋体" w:hAnsi="宋体" w:eastAsia="宋体" w:cs="宋体"/>
          <w:kern w:val="2"/>
          <w:sz w:val="21"/>
          <w:szCs w:val="21"/>
          <w:highlight w:val="none"/>
          <w:lang w:val="en-US" w:eastAsia="zh-CN" w:bidi="ar-SA"/>
        </w:rPr>
        <w:t>9.1监理人进入委托人区域进行委托监理业务，须遵守委托人有关相关方管理的各项规定，做好安全防范管理工作。监理人履行本合同因监理人原因致使双方或第三方造成人身伤害或财产损失的，监理人承担相应的责任和费用。</w:t>
      </w:r>
    </w:p>
    <w:p w14:paraId="51C7AAE4">
      <w:pPr>
        <w:widowControl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9.2 监理人员配置：监理人须严格按《拟</w:t>
      </w:r>
      <w:r>
        <w:rPr>
          <w:rFonts w:hint="eastAsia" w:ascii="宋体" w:hAnsi="宋体" w:eastAsia="宋体" w:cs="宋体"/>
          <w:kern w:val="2"/>
          <w:sz w:val="21"/>
          <w:szCs w:val="21"/>
          <w:highlight w:val="none"/>
          <w:lang w:val="en-US" w:eastAsia="zh-CN" w:bidi="ar-SA"/>
        </w:rPr>
        <w:t>投入项目团队组成</w:t>
      </w:r>
      <w:r>
        <w:rPr>
          <w:rFonts w:ascii="宋体" w:hAnsi="宋体" w:eastAsia="宋体" w:cs="宋体"/>
          <w:kern w:val="2"/>
          <w:sz w:val="21"/>
          <w:szCs w:val="21"/>
          <w:highlight w:val="none"/>
          <w:lang w:val="en-US" w:eastAsia="zh-CN" w:bidi="ar-SA"/>
        </w:rPr>
        <w:t>》配置相关人员，并根据项目专业需要适时派驻本项目。</w:t>
      </w:r>
    </w:p>
    <w:p w14:paraId="2675E7A8">
      <w:pPr>
        <w:widowControl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9.3 监理人须按投标承诺投入相应的人员、设施、设备、仪器、用品按监理规范要求进行监理服务。监理人向委托人报送委派的项目总监理工程师不得更换（若更换须征得委托人书面同意），不能兼任或挂名，并且每月到岗不得少于8天；接委托人通知后尽快赶至现场。派驻现场监理人员不少于1人（持有有效监理职业资格证）且必须驻在施工现场实施全过程监理。</w:t>
      </w:r>
    </w:p>
    <w:p w14:paraId="43EC3B81">
      <w:pPr>
        <w:widowControl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9.4 监理人应按国家法律法规和监理标准、规范要求实施监理，建立报表制、例会制，监理人须对隐蔽工程进行有效记录与影像取证。</w:t>
      </w:r>
    </w:p>
    <w:p w14:paraId="07E9B59C">
      <w:pPr>
        <w:widowControl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9.5 监理人不得利用职权损坏委托人及第三方的合法权益。监理人员专业素质低劣、组织不健全或组织涣散、职业道德差，委托方有权提出调整更换，直至解除监理合同。</w:t>
      </w:r>
    </w:p>
    <w:p w14:paraId="6E5AF0D2">
      <w:pPr>
        <w:widowControl w:val="0"/>
        <w:adjustRightInd w:val="0"/>
        <w:snapToGrid w:val="0"/>
        <w:spacing w:line="360" w:lineRule="auto"/>
        <w:ind w:firstLine="420" w:firstLineChars="200"/>
        <w:jc w:val="left"/>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9.6 监理人在工程监理过程中因监理人原因所造成的一切人身伤害或财产损失，由监理人承担相应的全部责任和费用。</w:t>
      </w:r>
    </w:p>
    <w:p w14:paraId="7E0E69C6">
      <w:pPr>
        <w:widowControl w:val="0"/>
        <w:adjustRightInd w:val="0"/>
        <w:snapToGrid w:val="0"/>
        <w:spacing w:line="360" w:lineRule="auto"/>
        <w:ind w:firstLine="420" w:firstLineChars="200"/>
        <w:jc w:val="both"/>
        <w:rPr>
          <w:rFonts w:ascii="宋体" w:hAnsi="宋体" w:eastAsia="宋体" w:cs="宋体"/>
          <w:kern w:val="2"/>
          <w:sz w:val="21"/>
          <w:szCs w:val="21"/>
          <w:highlight w:val="none"/>
          <w:lang w:val="en-US" w:eastAsia="zh-CN" w:bidi="ar-SA"/>
        </w:rPr>
      </w:pPr>
      <w:r>
        <w:rPr>
          <w:rFonts w:ascii="宋体" w:hAnsi="宋体" w:eastAsia="宋体" w:cs="宋体"/>
          <w:kern w:val="2"/>
          <w:sz w:val="21"/>
          <w:szCs w:val="21"/>
          <w:highlight w:val="none"/>
          <w:lang w:val="en-US" w:eastAsia="zh-CN" w:bidi="ar-SA"/>
        </w:rPr>
        <w:t>9.7 监理人不能认真履行监理职责导致工程质量、进度、投资得不到有效控制，每发现一次扣</w:t>
      </w:r>
      <w:r>
        <w:rPr>
          <w:rFonts w:hint="eastAsia" w:ascii="宋体" w:hAnsi="宋体" w:eastAsia="宋体" w:cs="宋体"/>
          <w:kern w:val="2"/>
          <w:sz w:val="21"/>
          <w:szCs w:val="21"/>
          <w:highlight w:val="none"/>
          <w:lang w:val="en-US" w:eastAsia="zh-CN" w:bidi="ar-SA"/>
        </w:rPr>
        <w:t xml:space="preserve">   </w:t>
      </w:r>
      <w:r>
        <w:rPr>
          <w:rFonts w:ascii="宋体" w:hAnsi="宋体" w:eastAsia="宋体" w:cs="宋体"/>
          <w:kern w:val="2"/>
          <w:sz w:val="21"/>
          <w:szCs w:val="21"/>
          <w:highlight w:val="none"/>
          <w:lang w:val="en-US" w:eastAsia="zh-CN" w:bidi="ar-SA"/>
        </w:rPr>
        <w:t>元；签认的工程数量有弄虚作假行为，每发现一次扣</w:t>
      </w:r>
      <w:r>
        <w:rPr>
          <w:rFonts w:hint="eastAsia" w:ascii="宋体" w:hAnsi="宋体" w:eastAsia="宋体" w:cs="宋体"/>
          <w:kern w:val="2"/>
          <w:sz w:val="21"/>
          <w:szCs w:val="21"/>
          <w:highlight w:val="none"/>
          <w:lang w:val="en-US" w:eastAsia="zh-CN" w:bidi="ar-SA"/>
        </w:rPr>
        <w:t xml:space="preserve">   </w:t>
      </w:r>
      <w:r>
        <w:rPr>
          <w:rFonts w:ascii="宋体" w:hAnsi="宋体" w:eastAsia="宋体" w:cs="宋体"/>
          <w:kern w:val="2"/>
          <w:sz w:val="21"/>
          <w:szCs w:val="21"/>
          <w:highlight w:val="none"/>
          <w:lang w:val="en-US" w:eastAsia="zh-CN" w:bidi="ar-SA"/>
        </w:rPr>
        <w:t>元；验收的分项、分部及单位工程达不到目标要求的，每发现一次扣</w:t>
      </w:r>
      <w:r>
        <w:rPr>
          <w:rFonts w:hint="eastAsia" w:ascii="宋体" w:hAnsi="宋体" w:eastAsia="宋体" w:cs="宋体"/>
          <w:kern w:val="2"/>
          <w:sz w:val="21"/>
          <w:szCs w:val="21"/>
          <w:highlight w:val="none"/>
          <w:lang w:val="en-US" w:eastAsia="zh-CN" w:bidi="ar-SA"/>
        </w:rPr>
        <w:t xml:space="preserve">    </w:t>
      </w:r>
      <w:r>
        <w:rPr>
          <w:rFonts w:ascii="宋体" w:hAnsi="宋体" w:eastAsia="宋体" w:cs="宋体"/>
          <w:kern w:val="2"/>
          <w:sz w:val="21"/>
          <w:szCs w:val="21"/>
          <w:highlight w:val="none"/>
          <w:lang w:val="en-US" w:eastAsia="zh-CN" w:bidi="ar-SA"/>
        </w:rPr>
        <w:t>元；对发生重大安全质量事故及重大治安事件的，每发生一次扣</w:t>
      </w:r>
      <w:r>
        <w:rPr>
          <w:rFonts w:hint="eastAsia" w:ascii="宋体" w:hAnsi="宋体" w:eastAsia="宋体" w:cs="宋体"/>
          <w:kern w:val="2"/>
          <w:sz w:val="21"/>
          <w:szCs w:val="21"/>
          <w:highlight w:val="none"/>
          <w:lang w:val="en-US" w:eastAsia="zh-CN" w:bidi="ar-SA"/>
        </w:rPr>
        <w:t xml:space="preserve">    </w:t>
      </w:r>
      <w:r>
        <w:rPr>
          <w:rFonts w:ascii="宋体" w:hAnsi="宋体" w:eastAsia="宋体" w:cs="宋体"/>
          <w:kern w:val="2"/>
          <w:sz w:val="21"/>
          <w:szCs w:val="21"/>
          <w:highlight w:val="none"/>
          <w:lang w:val="en-US" w:eastAsia="zh-CN" w:bidi="ar-SA"/>
        </w:rPr>
        <w:t>元。</w:t>
      </w:r>
    </w:p>
    <w:p w14:paraId="418AA4A1">
      <w:pPr>
        <w:adjustRightInd/>
        <w:snapToGrid/>
        <w:spacing w:line="240" w:lineRule="auto"/>
        <w:jc w:val="left"/>
        <w:rPr>
          <w:rFonts w:hint="eastAsia" w:ascii="宋体" w:hAnsi="宋体" w:cs="宋体"/>
          <w:b/>
          <w:color w:val="auto"/>
          <w:sz w:val="20"/>
          <w:highlight w:val="none"/>
        </w:rPr>
      </w:pPr>
      <w:r>
        <w:rPr>
          <w:rFonts w:hint="eastAsia" w:ascii="宋体" w:hAnsi="宋体" w:cs="宋体"/>
          <w:b/>
          <w:color w:val="auto"/>
          <w:sz w:val="20"/>
          <w:highlight w:val="none"/>
        </w:rPr>
        <w:br w:type="page"/>
      </w:r>
    </w:p>
    <w:p w14:paraId="55704C3E">
      <w:pPr>
        <w:pStyle w:val="24"/>
        <w:rPr>
          <w:rFonts w:hint="eastAsia" w:ascii="宋体" w:hAnsi="宋体" w:cs="宋体"/>
          <w:color w:val="auto"/>
          <w:highlight w:val="none"/>
        </w:rPr>
      </w:pPr>
    </w:p>
    <w:p w14:paraId="51183D6A">
      <w:pPr>
        <w:keepNext/>
        <w:keepLines/>
        <w:tabs>
          <w:tab w:val="left" w:pos="3514"/>
        </w:tabs>
        <w:spacing w:before="340" w:after="330"/>
        <w:jc w:val="center"/>
        <w:outlineLvl w:val="0"/>
        <w:rPr>
          <w:rFonts w:hint="eastAsia" w:ascii="宋体" w:hAnsi="宋体" w:cs="宋体"/>
          <w:b/>
          <w:color w:val="auto"/>
          <w:sz w:val="32"/>
          <w:highlight w:val="none"/>
          <w:lang w:val="zh-CN"/>
        </w:rPr>
      </w:pPr>
      <w:bookmarkStart w:id="849" w:name="_Toc366144101"/>
      <w:bookmarkStart w:id="850" w:name="_Toc232074946"/>
      <w:bookmarkStart w:id="851" w:name="_Toc314211806"/>
      <w:bookmarkStart w:id="852" w:name="_Toc30945"/>
      <w:bookmarkStart w:id="853" w:name="_Toc29732"/>
      <w:bookmarkStart w:id="854" w:name="_Toc396"/>
      <w:r>
        <w:rPr>
          <w:rFonts w:hint="eastAsia" w:ascii="宋体" w:hAnsi="宋体" w:cs="宋体"/>
          <w:b/>
          <w:color w:val="auto"/>
          <w:sz w:val="32"/>
          <w:highlight w:val="none"/>
          <w:lang w:val="zh-CN"/>
        </w:rPr>
        <w:t>第五章</w:t>
      </w:r>
      <w:bookmarkEnd w:id="849"/>
      <w:bookmarkEnd w:id="850"/>
      <w:bookmarkEnd w:id="851"/>
      <w:r>
        <w:rPr>
          <w:rFonts w:hint="eastAsia" w:ascii="宋体" w:hAnsi="宋体" w:cs="宋体"/>
          <w:b/>
          <w:color w:val="auto"/>
          <w:sz w:val="32"/>
          <w:highlight w:val="none"/>
          <w:lang w:val="zh-CN"/>
        </w:rPr>
        <w:t xml:space="preserve"> </w:t>
      </w:r>
      <w:bookmarkEnd w:id="852"/>
      <w:bookmarkEnd w:id="853"/>
      <w:r>
        <w:rPr>
          <w:rFonts w:hint="eastAsia" w:ascii="宋体" w:hAnsi="宋体" w:cs="宋体"/>
          <w:b/>
          <w:color w:val="auto"/>
          <w:sz w:val="32"/>
          <w:highlight w:val="none"/>
          <w:lang w:val="zh-CN"/>
        </w:rPr>
        <w:t>服务要求</w:t>
      </w:r>
      <w:bookmarkEnd w:id="854"/>
    </w:p>
    <w:p w14:paraId="45C8897A">
      <w:pPr>
        <w:tabs>
          <w:tab w:val="left" w:pos="1980"/>
        </w:tabs>
        <w:spacing w:line="360" w:lineRule="auto"/>
        <w:ind w:firstLine="422" w:firstLineChars="200"/>
        <w:jc w:val="left"/>
        <w:rPr>
          <w:rFonts w:hint="eastAsia" w:ascii="宋体" w:hAnsi="宋体" w:eastAsia="宋体" w:cs="宋体"/>
          <w:b/>
          <w:bCs w:val="0"/>
          <w:sz w:val="21"/>
          <w:szCs w:val="21"/>
          <w:highlight w:val="none"/>
          <w:lang w:val="en-US" w:eastAsia="zh-CN"/>
        </w:rPr>
      </w:pPr>
      <w:bookmarkStart w:id="855" w:name="_Toc366144103"/>
      <w:r>
        <w:rPr>
          <w:rFonts w:hint="eastAsia" w:ascii="宋体" w:hAnsi="宋体" w:eastAsia="宋体" w:cs="宋体"/>
          <w:b/>
          <w:bCs w:val="0"/>
          <w:sz w:val="21"/>
          <w:szCs w:val="21"/>
          <w:highlight w:val="none"/>
          <w:lang w:val="en-US" w:eastAsia="zh-CN"/>
        </w:rPr>
        <w:t>一、建设规模：</w:t>
      </w:r>
    </w:p>
    <w:p w14:paraId="43B5CC0A">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b w:val="0"/>
          <w:bCs/>
          <w:sz w:val="21"/>
          <w:szCs w:val="21"/>
          <w:highlight w:val="none"/>
          <w:lang w:val="en-US" w:eastAsia="zh-CN"/>
        </w:rPr>
        <w:t>云南省文山州丘北县树皮乡高标准农田建设项目计划建设70000亩（其中：高效节水34038亩）。项目规划的主要工程措施有：（1）土地平整工程：土地平整工程2027.19亩。（2）灌溉与排水工程：①引水工程：新建2000m³高位水池1座；新建引水主管1条，长33418m；新建引水支管8条，长18172m；新建阀门井100座，布置控制阀门、检修阀门35个，排气阀32个，排泥阀33个；新建 2000m³调节水池1座，800m³ 调节水池1座，600m³调节水池4座，400m³调节水池1座，200m³调节水池1座；②田间工程：新建主管17条，共计26599m；布置干管82条，共计72295m；布置支管562条，共计178673m；配套分水管27416m，供水口8897个；新建阀门井565座，布置控制阀门595 个，减（稳）压阀 2个；③旱地高标准农田：新建主管10条，共计33544m；新建阀门井54座，布,置控制阀门35个；新建600m³调节水池5座，800m³调节水池11座，1000m³调节水池6座；新建30m³水窖127口；④排水工程：新建排涝沟4条，长5573m；（3）田间道路工程：建设田间道路38条，总长75014m。其中，混凝土路面33条，长70239m；砂石路面5条，长4775m。（4）土壤改良：土壤改良7.00万亩（增施商品有机肥培肥）。（5）耕地质量监测：修建耕地监测点4座。（6）信息化系统与自动控制：建设信息化综合管理平台1项；运管中心1处（配备计算机、工作台、显示大屏等）；引水主管配备电磁流量计35套，压力变送器2只，调节水池新建液位监控点10处，均安装一体式投入式无线液位仪；田间管网配套一体式无线超声水表555套，供水口安装机械水表8897只；DN100IC卡智能水表66套。投资概算及资金来源:项目概算总投资21000万元，资金来源为中央资金15400万元，省级资金5600万元。项目建设周期约32个月，施工工期约1年，若发现项目延期中标价格不作调整，请投标人自信考虑相关风险进行报价。</w:t>
      </w:r>
    </w:p>
    <w:p w14:paraId="6DD930BD">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二、招标范围：</w:t>
      </w:r>
      <w:r>
        <w:rPr>
          <w:rFonts w:hint="eastAsia" w:ascii="宋体" w:hAnsi="宋体" w:eastAsia="宋体" w:cs="宋体"/>
          <w:color w:val="auto"/>
          <w:sz w:val="21"/>
          <w:szCs w:val="21"/>
          <w:highlight w:val="none"/>
        </w:rPr>
        <w:t>完成云南省文山州丘北县树皮乡高标准农田建设项目工程范围内所有实施内容的监理服务工作，从施工准备阶段（包含前期现场所涉及的所有工作）、施工阶段、施工现场协调管理、试运行阶段、竣工验收阶段、审计阶段、工程移交阶段及保修期内的全过程监理服务，包括但不限于：质量控制、进度控制、成本控制、变更控制、安全文明施工管理、项目实施过程中的组织协调、施工过程监理信息、合同管理、资料管理、组织协调及国家强制性条文所规定的监理服务内容。</w:t>
      </w:r>
    </w:p>
    <w:p w14:paraId="53D94AB1">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textAlignment w:val="auto"/>
        <w:rPr>
          <w:rFonts w:hint="eastAsia" w:ascii="宋体" w:hAnsi="宋体" w:eastAsia="宋体" w:cs="宋体"/>
          <w:color w:val="auto"/>
          <w:sz w:val="21"/>
          <w:szCs w:val="21"/>
          <w:highlight w:val="none"/>
        </w:rPr>
      </w:pPr>
      <w:r>
        <w:rPr>
          <w:rFonts w:hint="eastAsia" w:ascii="宋体" w:hAnsi="宋体" w:cs="宋体"/>
          <w:b/>
          <w:bCs/>
          <w:color w:val="auto"/>
          <w:sz w:val="21"/>
          <w:szCs w:val="21"/>
          <w:highlight w:val="none"/>
          <w:lang w:val="en-US" w:eastAsia="zh-CN"/>
        </w:rPr>
        <w:t>三、</w:t>
      </w:r>
      <w:r>
        <w:rPr>
          <w:rFonts w:hint="eastAsia" w:ascii="宋体" w:hAnsi="宋体" w:eastAsia="宋体" w:cs="宋体"/>
          <w:b/>
          <w:bCs/>
          <w:color w:val="auto"/>
          <w:sz w:val="21"/>
          <w:szCs w:val="21"/>
          <w:highlight w:val="none"/>
        </w:rPr>
        <w:t>项目建设地点：</w:t>
      </w:r>
      <w:r>
        <w:rPr>
          <w:rFonts w:hint="eastAsia" w:ascii="宋体" w:hAnsi="宋体" w:cs="宋体"/>
          <w:color w:val="auto"/>
          <w:sz w:val="21"/>
          <w:szCs w:val="21"/>
          <w:highlight w:val="none"/>
          <w:lang w:eastAsia="zh-CN"/>
        </w:rPr>
        <w:t>文山州丘北县锦屏镇密纳村委会，天星乡笼陶村委会，树皮乡矣得村委会、树皮村委会、朦胧村委会</w:t>
      </w:r>
      <w:r>
        <w:rPr>
          <w:rFonts w:hint="eastAsia" w:ascii="宋体" w:hAnsi="宋体" w:eastAsia="宋体" w:cs="宋体"/>
          <w:color w:val="auto"/>
          <w:sz w:val="21"/>
          <w:szCs w:val="21"/>
          <w:highlight w:val="none"/>
        </w:rPr>
        <w:t>。</w:t>
      </w:r>
    </w:p>
    <w:p w14:paraId="396DB16A">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textAlignment w:val="auto"/>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四、其他要求：投标人须承诺中标后投标文件中拟投入项目团队人员全部落实到位，项目施工准备阶段及项目施工过程中能及时响应招标人现场服务及其他要求，保证项目顺利完工及完成验收工作。</w:t>
      </w:r>
    </w:p>
    <w:p w14:paraId="7C0AEE41">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r>
    </w:p>
    <w:p w14:paraId="725CA479">
      <w:pPr>
        <w:pStyle w:val="2"/>
        <w:rPr>
          <w:rFonts w:hint="eastAsia"/>
          <w:highlight w:val="none"/>
        </w:rPr>
      </w:pPr>
    </w:p>
    <w:p w14:paraId="60A296B5">
      <w:pPr>
        <w:pStyle w:val="3"/>
        <w:jc w:val="center"/>
        <w:rPr>
          <w:rFonts w:hint="eastAsia" w:ascii="宋体" w:hAnsi="宋体" w:cs="宋体"/>
          <w:color w:val="auto"/>
          <w:sz w:val="36"/>
          <w:szCs w:val="24"/>
          <w:highlight w:val="none"/>
          <w:lang w:val="zh-CN"/>
        </w:rPr>
      </w:pPr>
      <w:bookmarkStart w:id="856" w:name="_Toc6699"/>
      <w:bookmarkStart w:id="857" w:name="_Toc12005"/>
      <w:bookmarkStart w:id="858" w:name="_Toc22039"/>
      <w:r>
        <w:rPr>
          <w:rFonts w:hint="eastAsia" w:ascii="宋体" w:hAnsi="宋体" w:cs="宋体"/>
          <w:color w:val="auto"/>
          <w:sz w:val="36"/>
          <w:szCs w:val="24"/>
          <w:highlight w:val="none"/>
        </w:rPr>
        <w:t xml:space="preserve">第六章 </w:t>
      </w:r>
      <w:r>
        <w:rPr>
          <w:rFonts w:hint="eastAsia" w:ascii="宋体" w:hAnsi="宋体" w:cs="宋体"/>
          <w:color w:val="auto"/>
          <w:sz w:val="36"/>
          <w:szCs w:val="24"/>
          <w:highlight w:val="none"/>
          <w:lang w:val="zh-CN"/>
        </w:rPr>
        <w:t>投标文件格式</w:t>
      </w:r>
      <w:bookmarkEnd w:id="855"/>
      <w:bookmarkEnd w:id="856"/>
      <w:bookmarkEnd w:id="857"/>
      <w:bookmarkEnd w:id="858"/>
      <w:bookmarkStart w:id="859" w:name="_Toc25385_WPSOffice_Level1"/>
      <w:bookmarkStart w:id="860" w:name="_Toc2710_WPSOffice_Level1"/>
    </w:p>
    <w:p w14:paraId="25A91E9F">
      <w:pPr>
        <w:adjustRightInd w:val="0"/>
        <w:snapToGrid w:val="0"/>
        <w:spacing w:line="360" w:lineRule="auto"/>
        <w:jc w:val="center"/>
        <w:rPr>
          <w:rFonts w:hint="eastAsia" w:ascii="宋体" w:hAnsi="宋体" w:cs="宋体"/>
          <w:color w:val="auto"/>
          <w:sz w:val="52"/>
          <w:szCs w:val="52"/>
          <w:highlight w:val="none"/>
        </w:rPr>
      </w:pPr>
    </w:p>
    <w:bookmarkEnd w:id="859"/>
    <w:bookmarkEnd w:id="860"/>
    <w:p w14:paraId="1372E11E">
      <w:pPr>
        <w:adjustRightInd w:val="0"/>
        <w:snapToGrid w:val="0"/>
        <w:spacing w:line="360" w:lineRule="auto"/>
        <w:jc w:val="center"/>
        <w:rPr>
          <w:rFonts w:hint="eastAsia" w:ascii="宋体" w:hAnsi="宋体" w:eastAsia="宋体" w:cs="宋体"/>
          <w:color w:val="auto"/>
          <w:sz w:val="40"/>
          <w:szCs w:val="40"/>
          <w:highlight w:val="none"/>
          <w:lang w:eastAsia="zh-CN"/>
        </w:rPr>
      </w:pPr>
      <w:r>
        <w:rPr>
          <w:rFonts w:hint="eastAsia" w:ascii="宋体" w:hAnsi="宋体" w:cs="宋体"/>
          <w:b/>
          <w:color w:val="auto"/>
          <w:kern w:val="44"/>
          <w:sz w:val="48"/>
          <w:szCs w:val="48"/>
          <w:highlight w:val="none"/>
          <w:lang w:eastAsia="zh-CN"/>
        </w:rPr>
        <w:t>云南省文山州丘北县树皮乡高标准农田建设项目监理服务</w:t>
      </w:r>
    </w:p>
    <w:p w14:paraId="276EBB7A">
      <w:pPr>
        <w:adjustRightInd w:val="0"/>
        <w:snapToGrid w:val="0"/>
        <w:spacing w:line="360" w:lineRule="auto"/>
        <w:rPr>
          <w:rFonts w:hint="eastAsia" w:ascii="宋体" w:hAnsi="宋体" w:cs="宋体"/>
          <w:color w:val="auto"/>
          <w:sz w:val="28"/>
          <w:szCs w:val="28"/>
          <w:highlight w:val="none"/>
        </w:rPr>
      </w:pPr>
    </w:p>
    <w:p w14:paraId="3185AE71">
      <w:pPr>
        <w:pStyle w:val="74"/>
        <w:rPr>
          <w:rFonts w:hint="eastAsia" w:ascii="宋体" w:hAnsi="宋体" w:eastAsia="宋体" w:cs="宋体"/>
          <w:color w:val="auto"/>
          <w:sz w:val="28"/>
          <w:szCs w:val="28"/>
          <w:highlight w:val="none"/>
        </w:rPr>
      </w:pPr>
    </w:p>
    <w:p w14:paraId="36CDCB63">
      <w:pPr>
        <w:pStyle w:val="74"/>
        <w:rPr>
          <w:rFonts w:hint="eastAsia" w:ascii="宋体" w:hAnsi="宋体" w:eastAsia="宋体" w:cs="宋体"/>
          <w:color w:val="auto"/>
          <w:sz w:val="28"/>
          <w:szCs w:val="28"/>
          <w:highlight w:val="none"/>
        </w:rPr>
      </w:pPr>
    </w:p>
    <w:p w14:paraId="6E799F77">
      <w:pPr>
        <w:pStyle w:val="74"/>
        <w:rPr>
          <w:rFonts w:hint="eastAsia" w:ascii="宋体" w:hAnsi="宋体" w:eastAsia="宋体" w:cs="宋体"/>
          <w:color w:val="auto"/>
          <w:sz w:val="28"/>
          <w:szCs w:val="28"/>
          <w:highlight w:val="none"/>
        </w:rPr>
      </w:pPr>
    </w:p>
    <w:p w14:paraId="4624B2F7">
      <w:pPr>
        <w:pStyle w:val="74"/>
        <w:rPr>
          <w:rFonts w:hint="eastAsia" w:ascii="宋体" w:hAnsi="宋体" w:eastAsia="宋体" w:cs="宋体"/>
          <w:color w:val="auto"/>
          <w:sz w:val="28"/>
          <w:szCs w:val="28"/>
          <w:highlight w:val="none"/>
        </w:rPr>
      </w:pPr>
    </w:p>
    <w:p w14:paraId="1AEA393B">
      <w:pPr>
        <w:adjustRightInd w:val="0"/>
        <w:snapToGrid w:val="0"/>
        <w:spacing w:line="360" w:lineRule="auto"/>
        <w:jc w:val="center"/>
        <w:rPr>
          <w:rFonts w:hint="eastAsia" w:ascii="宋体" w:hAnsi="宋体" w:cs="宋体"/>
          <w:color w:val="auto"/>
          <w:sz w:val="80"/>
          <w:szCs w:val="80"/>
          <w:highlight w:val="none"/>
        </w:rPr>
      </w:pPr>
      <w:bookmarkStart w:id="861" w:name="_Toc19723_WPSOffice_Level1"/>
      <w:bookmarkStart w:id="862" w:name="_Toc1669_WPSOffice_Level1"/>
      <w:r>
        <w:rPr>
          <w:rFonts w:hint="eastAsia" w:ascii="宋体" w:hAnsi="宋体" w:cs="宋体"/>
          <w:color w:val="auto"/>
          <w:sz w:val="80"/>
          <w:szCs w:val="80"/>
          <w:highlight w:val="none"/>
        </w:rPr>
        <w:t>投 标 文 件</w:t>
      </w:r>
      <w:bookmarkEnd w:id="861"/>
      <w:bookmarkEnd w:id="862"/>
    </w:p>
    <w:p w14:paraId="175B8E31">
      <w:pPr>
        <w:adjustRightInd w:val="0"/>
        <w:snapToGrid w:val="0"/>
        <w:spacing w:line="360" w:lineRule="auto"/>
        <w:rPr>
          <w:rFonts w:hint="eastAsia" w:ascii="宋体" w:hAnsi="宋体" w:cs="宋体"/>
          <w:color w:val="auto"/>
          <w:sz w:val="28"/>
          <w:szCs w:val="28"/>
          <w:highlight w:val="none"/>
        </w:rPr>
      </w:pPr>
    </w:p>
    <w:p w14:paraId="61E4B408">
      <w:pPr>
        <w:adjustRightInd w:val="0"/>
        <w:snapToGrid w:val="0"/>
        <w:spacing w:line="360" w:lineRule="auto"/>
        <w:rPr>
          <w:rFonts w:hint="eastAsia" w:ascii="宋体" w:hAnsi="宋体" w:cs="宋体"/>
          <w:color w:val="auto"/>
          <w:sz w:val="28"/>
          <w:szCs w:val="28"/>
          <w:highlight w:val="none"/>
        </w:rPr>
      </w:pPr>
    </w:p>
    <w:p w14:paraId="1DB416EC">
      <w:pPr>
        <w:pStyle w:val="74"/>
        <w:rPr>
          <w:rFonts w:hint="eastAsia" w:ascii="宋体" w:hAnsi="宋体" w:eastAsia="宋体" w:cs="宋体"/>
          <w:color w:val="auto"/>
          <w:highlight w:val="none"/>
        </w:rPr>
      </w:pPr>
    </w:p>
    <w:p w14:paraId="2E25C581">
      <w:pPr>
        <w:adjustRightInd w:val="0"/>
        <w:snapToGrid w:val="0"/>
        <w:spacing w:line="360" w:lineRule="auto"/>
        <w:rPr>
          <w:rFonts w:hint="eastAsia" w:ascii="宋体" w:hAnsi="宋体" w:cs="宋体"/>
          <w:color w:val="auto"/>
          <w:sz w:val="28"/>
          <w:szCs w:val="28"/>
          <w:highlight w:val="none"/>
        </w:rPr>
      </w:pPr>
    </w:p>
    <w:p w14:paraId="78B3661B">
      <w:pPr>
        <w:adjustRightInd w:val="0"/>
        <w:snapToGrid w:val="0"/>
        <w:spacing w:line="360" w:lineRule="auto"/>
        <w:rPr>
          <w:rFonts w:hint="eastAsia" w:ascii="宋体" w:hAnsi="宋体" w:cs="宋体"/>
          <w:color w:val="auto"/>
          <w:sz w:val="28"/>
          <w:szCs w:val="28"/>
          <w:highlight w:val="none"/>
        </w:rPr>
      </w:pPr>
    </w:p>
    <w:p w14:paraId="52CBCBCD">
      <w:pPr>
        <w:adjustRightInd w:val="0"/>
        <w:snapToGrid w:val="0"/>
        <w:spacing w:line="360" w:lineRule="auto"/>
        <w:rPr>
          <w:rFonts w:hint="eastAsia" w:ascii="宋体" w:hAnsi="宋体" w:cs="宋体"/>
          <w:color w:val="auto"/>
          <w:sz w:val="28"/>
          <w:szCs w:val="28"/>
          <w:highlight w:val="none"/>
        </w:rPr>
      </w:pPr>
    </w:p>
    <w:p w14:paraId="51E59E10">
      <w:pPr>
        <w:adjustRightInd w:val="0"/>
        <w:snapToGrid w:val="0"/>
        <w:spacing w:line="360" w:lineRule="auto"/>
        <w:rPr>
          <w:rFonts w:hint="eastAsia" w:ascii="宋体" w:hAnsi="宋体" w:cs="宋体"/>
          <w:color w:val="auto"/>
          <w:sz w:val="28"/>
          <w:szCs w:val="28"/>
          <w:highlight w:val="none"/>
        </w:rPr>
      </w:pPr>
    </w:p>
    <w:p w14:paraId="1F2F1CC7">
      <w:pPr>
        <w:adjustRightInd w:val="0"/>
        <w:snapToGrid w:val="0"/>
        <w:spacing w:line="360" w:lineRule="auto"/>
        <w:jc w:val="center"/>
        <w:rPr>
          <w:rFonts w:hint="eastAsia" w:ascii="宋体" w:hAnsi="宋体" w:cs="宋体"/>
          <w:color w:val="auto"/>
          <w:sz w:val="28"/>
          <w:szCs w:val="28"/>
          <w:highlight w:val="none"/>
        </w:rPr>
      </w:pPr>
      <w:bookmarkStart w:id="863" w:name="_Toc3861_WPSOffice_Level1"/>
      <w:bookmarkStart w:id="864" w:name="_Toc17617_WPSOffice_Level1"/>
      <w:r>
        <w:rPr>
          <w:rFonts w:hint="eastAsia" w:ascii="宋体" w:hAnsi="宋体" w:cs="宋体"/>
          <w:color w:val="auto"/>
          <w:sz w:val="28"/>
          <w:szCs w:val="28"/>
          <w:highlight w:val="none"/>
        </w:rPr>
        <w:t>投标人：__________________（电子签章）</w:t>
      </w:r>
      <w:bookmarkEnd w:id="863"/>
      <w:bookmarkEnd w:id="864"/>
    </w:p>
    <w:p w14:paraId="3FE637DB">
      <w:pPr>
        <w:adjustRightInd w:val="0"/>
        <w:snapToGrid w:val="0"/>
        <w:spacing w:line="360" w:lineRule="auto"/>
        <w:ind w:firstLine="1120" w:firstLineChars="400"/>
        <w:rPr>
          <w:rFonts w:hint="eastAsia" w:ascii="宋体" w:hAnsi="宋体" w:cs="宋体"/>
          <w:color w:val="auto"/>
          <w:sz w:val="28"/>
          <w:szCs w:val="28"/>
          <w:highlight w:val="none"/>
        </w:rPr>
      </w:pPr>
      <w:bookmarkStart w:id="865" w:name="_Toc27735_WPSOffice_Level2"/>
      <w:bookmarkStart w:id="866" w:name="_Toc19835_WPSOffice_Level2"/>
      <w:r>
        <w:rPr>
          <w:rFonts w:hint="eastAsia" w:ascii="宋体" w:hAnsi="宋体" w:cs="宋体"/>
          <w:color w:val="auto"/>
          <w:sz w:val="28"/>
          <w:szCs w:val="28"/>
          <w:highlight w:val="none"/>
        </w:rPr>
        <w:t>法定代表人或其委托代理人：______________ （电子签章）</w:t>
      </w:r>
      <w:bookmarkEnd w:id="865"/>
      <w:bookmarkEnd w:id="866"/>
    </w:p>
    <w:p w14:paraId="7122C838">
      <w:pPr>
        <w:adjustRightInd w:val="0"/>
        <w:snapToGrid w:val="0"/>
        <w:spacing w:line="360" w:lineRule="auto"/>
        <w:jc w:val="center"/>
        <w:rPr>
          <w:rFonts w:hint="eastAsia" w:ascii="宋体" w:hAnsi="宋体" w:cs="宋体"/>
          <w:color w:val="auto"/>
          <w:sz w:val="28"/>
          <w:szCs w:val="28"/>
          <w:highlight w:val="none"/>
        </w:rPr>
      </w:pPr>
    </w:p>
    <w:p w14:paraId="6945E77E">
      <w:pPr>
        <w:adjustRightInd w:val="0"/>
        <w:snapToGrid w:val="0"/>
        <w:spacing w:line="360" w:lineRule="auto"/>
        <w:jc w:val="center"/>
        <w:rPr>
          <w:rFonts w:hint="eastAsia" w:ascii="宋体" w:hAnsi="宋体" w:cs="宋体"/>
          <w:color w:val="auto"/>
          <w:sz w:val="28"/>
          <w:szCs w:val="28"/>
          <w:highlight w:val="none"/>
        </w:rPr>
      </w:pPr>
      <w:bookmarkStart w:id="867" w:name="_Toc16868_WPSOffice_Level1"/>
      <w:bookmarkStart w:id="868" w:name="_Toc20964_WPSOffice_Level1"/>
      <w:r>
        <w:rPr>
          <w:rFonts w:hint="eastAsia" w:ascii="宋体" w:hAnsi="宋体" w:cs="宋体"/>
          <w:color w:val="auto"/>
          <w:sz w:val="28"/>
          <w:szCs w:val="28"/>
          <w:highlight w:val="none"/>
        </w:rPr>
        <w:t>______年___月____日</w:t>
      </w:r>
      <w:bookmarkEnd w:id="867"/>
      <w:bookmarkEnd w:id="868"/>
    </w:p>
    <w:p w14:paraId="756C69AB">
      <w:pPr>
        <w:jc w:val="left"/>
        <w:rPr>
          <w:rFonts w:hint="eastAsia" w:ascii="宋体" w:hAnsi="宋体" w:cs="宋体"/>
          <w:color w:val="auto"/>
          <w:sz w:val="48"/>
          <w:szCs w:val="44"/>
          <w:highlight w:val="none"/>
        </w:rPr>
      </w:pPr>
      <w:r>
        <w:rPr>
          <w:rFonts w:hint="eastAsia" w:ascii="宋体" w:hAnsi="宋体" w:cs="宋体"/>
          <w:color w:val="auto"/>
          <w:sz w:val="48"/>
          <w:szCs w:val="44"/>
          <w:highlight w:val="none"/>
        </w:rPr>
        <w:br w:type="page"/>
      </w:r>
    </w:p>
    <w:p w14:paraId="0C5029DE">
      <w:pPr>
        <w:jc w:val="center"/>
        <w:rPr>
          <w:rFonts w:hint="eastAsia" w:ascii="宋体" w:hAnsi="宋体" w:cs="宋体"/>
          <w:color w:val="auto"/>
          <w:sz w:val="48"/>
          <w:szCs w:val="44"/>
          <w:highlight w:val="none"/>
        </w:rPr>
      </w:pPr>
      <w:r>
        <w:rPr>
          <w:rFonts w:hint="eastAsia" w:ascii="宋体" w:hAnsi="宋体" w:cs="宋体"/>
          <w:color w:val="auto"/>
          <w:sz w:val="48"/>
          <w:szCs w:val="44"/>
          <w:highlight w:val="none"/>
        </w:rPr>
        <w:t>目录</w:t>
      </w:r>
    </w:p>
    <w:p w14:paraId="0B211AA9">
      <w:pPr>
        <w:rPr>
          <w:rFonts w:hint="eastAsia" w:ascii="宋体" w:hAnsi="宋体" w:cs="宋体"/>
          <w:color w:val="auto"/>
          <w:highlight w:val="none"/>
        </w:rPr>
      </w:pPr>
    </w:p>
    <w:p w14:paraId="670AA6A4">
      <w:pPr>
        <w:pStyle w:val="2"/>
        <w:ind w:firstLine="0"/>
        <w:jc w:val="center"/>
        <w:rPr>
          <w:rFonts w:hint="eastAsia" w:ascii="宋体" w:hAnsi="宋体" w:cs="宋体"/>
          <w:color w:val="auto"/>
          <w:highlight w:val="none"/>
        </w:rPr>
      </w:pPr>
      <w:r>
        <w:rPr>
          <w:rFonts w:hint="eastAsia" w:ascii="宋体" w:hAnsi="宋体" w:cs="宋体"/>
          <w:color w:val="auto"/>
          <w:highlight w:val="none"/>
        </w:rPr>
        <w:t>（投标人自拟）</w:t>
      </w:r>
    </w:p>
    <w:p w14:paraId="6174E2D0">
      <w:pPr>
        <w:pStyle w:val="2"/>
        <w:ind w:firstLine="0"/>
        <w:jc w:val="center"/>
        <w:rPr>
          <w:rFonts w:hint="eastAsia" w:ascii="宋体" w:hAnsi="宋体" w:cs="宋体"/>
          <w:color w:val="auto"/>
          <w:highlight w:val="none"/>
        </w:rPr>
      </w:pPr>
    </w:p>
    <w:p w14:paraId="2F3573F3">
      <w:pPr>
        <w:rPr>
          <w:rFonts w:hint="eastAsia" w:ascii="宋体" w:hAnsi="宋体" w:cs="宋体"/>
          <w:color w:val="auto"/>
          <w:highlight w:val="none"/>
        </w:rPr>
      </w:pPr>
    </w:p>
    <w:p w14:paraId="20FE76D2">
      <w:pPr>
        <w:pStyle w:val="2"/>
        <w:rPr>
          <w:rFonts w:hint="eastAsia" w:ascii="宋体" w:hAnsi="宋体" w:eastAsia="宋体" w:cs="宋体"/>
          <w:color w:val="auto"/>
          <w:highlight w:val="none"/>
        </w:rPr>
        <w:sectPr>
          <w:footerReference r:id="rId7" w:type="first"/>
          <w:footerReference r:id="rId6" w:type="default"/>
          <w:pgSz w:w="11906" w:h="16838"/>
          <w:pgMar w:top="1417" w:right="1417" w:bottom="1417" w:left="1417" w:header="850" w:footer="992" w:gutter="0"/>
          <w:pgNumType w:fmt="decimal"/>
          <w:cols w:space="0" w:num="1"/>
          <w:rtlGutter w:val="0"/>
          <w:docGrid w:linePitch="312" w:charSpace="0"/>
        </w:sectPr>
      </w:pPr>
    </w:p>
    <w:p w14:paraId="4FDF2BAF">
      <w:pPr>
        <w:pStyle w:val="4"/>
        <w:jc w:val="center"/>
        <w:rPr>
          <w:rFonts w:hint="eastAsia" w:ascii="宋体" w:hAnsi="宋体" w:eastAsia="宋体" w:cs="宋体"/>
          <w:color w:val="auto"/>
          <w:sz w:val="36"/>
          <w:szCs w:val="36"/>
          <w:highlight w:val="none"/>
        </w:rPr>
      </w:pPr>
      <w:bookmarkStart w:id="869" w:name="_Toc30969"/>
      <w:bookmarkStart w:id="870" w:name="_Toc10711"/>
      <w:bookmarkStart w:id="871" w:name="_Toc45897174"/>
      <w:bookmarkStart w:id="872" w:name="_Toc8965"/>
      <w:bookmarkStart w:id="873" w:name="_Toc20556"/>
      <w:bookmarkStart w:id="874" w:name="_Toc7574"/>
      <w:bookmarkStart w:id="875" w:name="_Toc1493"/>
      <w:bookmarkStart w:id="876" w:name="_Toc16605"/>
      <w:bookmarkStart w:id="877" w:name="_Toc381273353"/>
      <w:r>
        <w:rPr>
          <w:rFonts w:hint="eastAsia" w:ascii="宋体" w:hAnsi="宋体" w:eastAsia="宋体" w:cs="宋体"/>
          <w:color w:val="auto"/>
          <w:sz w:val="36"/>
          <w:szCs w:val="36"/>
          <w:highlight w:val="none"/>
        </w:rPr>
        <w:t>第一部分 资格审查部分</w:t>
      </w:r>
      <w:bookmarkEnd w:id="869"/>
      <w:bookmarkEnd w:id="870"/>
      <w:bookmarkEnd w:id="871"/>
      <w:bookmarkEnd w:id="872"/>
      <w:bookmarkEnd w:id="873"/>
      <w:bookmarkEnd w:id="874"/>
      <w:bookmarkEnd w:id="875"/>
      <w:bookmarkEnd w:id="876"/>
    </w:p>
    <w:p w14:paraId="1AFF266A">
      <w:pPr>
        <w:pStyle w:val="5"/>
        <w:spacing w:line="416" w:lineRule="auto"/>
        <w:jc w:val="center"/>
        <w:rPr>
          <w:rFonts w:hint="eastAsia" w:ascii="宋体" w:hAnsi="宋体" w:cs="宋体"/>
          <w:color w:val="auto"/>
          <w:sz w:val="28"/>
          <w:szCs w:val="28"/>
          <w:highlight w:val="none"/>
        </w:rPr>
      </w:pPr>
      <w:bookmarkStart w:id="878" w:name="_Toc18187"/>
      <w:bookmarkStart w:id="879" w:name="_Toc20853"/>
      <w:bookmarkStart w:id="880" w:name="_Toc31018"/>
      <w:bookmarkStart w:id="881" w:name="_Toc26457"/>
      <w:bookmarkStart w:id="882" w:name="_Toc14118"/>
      <w:bookmarkStart w:id="883" w:name="_Toc29532"/>
      <w:bookmarkStart w:id="884" w:name="_Toc13849"/>
      <w:r>
        <w:rPr>
          <w:rFonts w:hint="eastAsia" w:ascii="宋体" w:hAnsi="宋体" w:cs="宋体"/>
          <w:color w:val="auto"/>
          <w:sz w:val="28"/>
          <w:szCs w:val="28"/>
          <w:highlight w:val="none"/>
        </w:rPr>
        <w:t>（一）法定代表人身份证明书</w:t>
      </w:r>
      <w:bookmarkEnd w:id="878"/>
      <w:bookmarkEnd w:id="879"/>
      <w:bookmarkEnd w:id="880"/>
      <w:bookmarkEnd w:id="881"/>
      <w:bookmarkEnd w:id="882"/>
    </w:p>
    <w:p w14:paraId="695D23F5">
      <w:pPr>
        <w:adjustRightInd w:val="0"/>
        <w:snapToGrid w:val="0"/>
        <w:spacing w:line="360" w:lineRule="auto"/>
        <w:ind w:firstLine="420" w:firstLineChars="200"/>
        <w:rPr>
          <w:rFonts w:hint="eastAsia" w:ascii="宋体" w:hAnsi="宋体" w:cs="宋体"/>
          <w:color w:val="auto"/>
          <w:highlight w:val="none"/>
        </w:rPr>
      </w:pPr>
    </w:p>
    <w:p w14:paraId="1B48A0EB">
      <w:pPr>
        <w:spacing w:line="500" w:lineRule="exact"/>
        <w:jc w:val="left"/>
        <w:rPr>
          <w:rFonts w:hint="eastAsia" w:ascii="宋体" w:hAnsi="宋体" w:cs="宋体"/>
          <w:color w:val="auto"/>
          <w:highlight w:val="none"/>
        </w:rPr>
      </w:pPr>
      <w:r>
        <w:rPr>
          <w:rFonts w:hint="eastAsia" w:ascii="宋体" w:hAnsi="宋体" w:cs="宋体"/>
          <w:color w:val="auto"/>
          <w:highlight w:val="none"/>
        </w:rPr>
        <w:t>投 标 人：_________________________________________________________</w:t>
      </w:r>
    </w:p>
    <w:p w14:paraId="1251539F">
      <w:pPr>
        <w:spacing w:line="500" w:lineRule="exact"/>
        <w:jc w:val="left"/>
        <w:rPr>
          <w:rFonts w:hint="eastAsia" w:ascii="宋体" w:hAnsi="宋体" w:cs="宋体"/>
          <w:color w:val="auto"/>
          <w:highlight w:val="none"/>
        </w:rPr>
      </w:pPr>
      <w:r>
        <w:rPr>
          <w:rFonts w:hint="eastAsia" w:ascii="宋体" w:hAnsi="宋体" w:cs="宋体"/>
          <w:color w:val="auto"/>
          <w:highlight w:val="none"/>
        </w:rPr>
        <w:t>单位性质：_________________________________________________________</w:t>
      </w:r>
    </w:p>
    <w:p w14:paraId="60DB4579">
      <w:pPr>
        <w:spacing w:line="500" w:lineRule="exact"/>
        <w:jc w:val="left"/>
        <w:rPr>
          <w:rFonts w:hint="eastAsia" w:ascii="宋体" w:hAnsi="宋体" w:cs="宋体"/>
          <w:color w:val="auto"/>
          <w:highlight w:val="none"/>
        </w:rPr>
      </w:pPr>
      <w:r>
        <w:rPr>
          <w:rFonts w:hint="eastAsia" w:ascii="宋体" w:hAnsi="宋体" w:cs="宋体"/>
          <w:color w:val="auto"/>
          <w:highlight w:val="none"/>
        </w:rPr>
        <w:t>地    址：_________________________________________________________</w:t>
      </w:r>
    </w:p>
    <w:p w14:paraId="2220CD51">
      <w:pPr>
        <w:spacing w:line="500" w:lineRule="exact"/>
        <w:jc w:val="left"/>
        <w:rPr>
          <w:rFonts w:hint="eastAsia" w:ascii="宋体" w:hAnsi="宋体" w:cs="宋体"/>
          <w:color w:val="auto"/>
          <w:highlight w:val="none"/>
        </w:rPr>
      </w:pPr>
      <w:r>
        <w:rPr>
          <w:rFonts w:hint="eastAsia" w:ascii="宋体" w:hAnsi="宋体" w:cs="宋体"/>
          <w:color w:val="auto"/>
          <w:highlight w:val="none"/>
        </w:rPr>
        <w:t>成立时间：____________年____________月_______________日</w:t>
      </w:r>
    </w:p>
    <w:p w14:paraId="5D45979D">
      <w:pPr>
        <w:spacing w:line="500" w:lineRule="exact"/>
        <w:jc w:val="left"/>
        <w:rPr>
          <w:rFonts w:hint="eastAsia" w:ascii="宋体" w:hAnsi="宋体" w:cs="宋体"/>
          <w:color w:val="auto"/>
          <w:highlight w:val="none"/>
        </w:rPr>
      </w:pPr>
      <w:r>
        <w:rPr>
          <w:rFonts w:hint="eastAsia" w:ascii="宋体" w:hAnsi="宋体" w:cs="宋体"/>
          <w:color w:val="auto"/>
          <w:highlight w:val="none"/>
        </w:rPr>
        <w:t>经营期限：_________________________________________________________</w:t>
      </w:r>
    </w:p>
    <w:p w14:paraId="68D67873">
      <w:pPr>
        <w:spacing w:line="500" w:lineRule="exact"/>
        <w:jc w:val="left"/>
        <w:rPr>
          <w:rFonts w:hint="eastAsia" w:ascii="宋体" w:hAnsi="宋体" w:cs="宋体"/>
          <w:color w:val="auto"/>
          <w:highlight w:val="none"/>
        </w:rPr>
      </w:pPr>
      <w:r>
        <w:rPr>
          <w:rFonts w:hint="eastAsia" w:ascii="宋体" w:hAnsi="宋体" w:cs="宋体"/>
          <w:color w:val="auto"/>
          <w:highlight w:val="none"/>
        </w:rPr>
        <w:t>姓    名：____________________________   性  别：__________________</w:t>
      </w:r>
    </w:p>
    <w:p w14:paraId="2DFFA786">
      <w:pPr>
        <w:spacing w:line="500" w:lineRule="exact"/>
        <w:jc w:val="left"/>
        <w:rPr>
          <w:rFonts w:hint="eastAsia" w:ascii="宋体" w:hAnsi="宋体" w:cs="宋体"/>
          <w:color w:val="auto"/>
          <w:highlight w:val="none"/>
        </w:rPr>
      </w:pPr>
      <w:r>
        <w:rPr>
          <w:rFonts w:hint="eastAsia" w:ascii="宋体" w:hAnsi="宋体" w:cs="宋体"/>
          <w:color w:val="auto"/>
          <w:highlight w:val="none"/>
        </w:rPr>
        <w:t>年    龄：____________________________   职  务：__________________</w:t>
      </w:r>
    </w:p>
    <w:p w14:paraId="4AE306B2">
      <w:pPr>
        <w:spacing w:line="500" w:lineRule="exact"/>
        <w:jc w:val="left"/>
        <w:rPr>
          <w:rFonts w:hint="eastAsia" w:ascii="宋体" w:hAnsi="宋体" w:cs="宋体"/>
          <w:color w:val="auto"/>
          <w:highlight w:val="none"/>
        </w:rPr>
      </w:pPr>
      <w:r>
        <w:rPr>
          <w:rFonts w:hint="eastAsia" w:ascii="宋体" w:hAnsi="宋体" w:cs="宋体"/>
          <w:color w:val="auto"/>
          <w:highlight w:val="none"/>
        </w:rPr>
        <w:t>系__________________________________________（投标人名称）的法定代表人。</w:t>
      </w:r>
    </w:p>
    <w:p w14:paraId="7B01B299">
      <w:pPr>
        <w:spacing w:line="500" w:lineRule="exact"/>
        <w:jc w:val="left"/>
        <w:rPr>
          <w:rFonts w:hint="eastAsia" w:ascii="宋体" w:hAnsi="宋体" w:cs="宋体"/>
          <w:color w:val="auto"/>
          <w:highlight w:val="none"/>
        </w:rPr>
      </w:pPr>
      <w:r>
        <w:rPr>
          <w:rFonts w:hint="eastAsia" w:ascii="宋体" w:hAnsi="宋体" w:cs="宋体"/>
          <w:color w:val="auto"/>
          <w:highlight w:val="none"/>
        </w:rPr>
        <w:t>特此证明。</w:t>
      </w:r>
    </w:p>
    <w:p w14:paraId="3097FF75">
      <w:pPr>
        <w:spacing w:line="500" w:lineRule="exact"/>
        <w:jc w:val="left"/>
        <w:rPr>
          <w:rFonts w:hint="eastAsia" w:ascii="宋体" w:hAnsi="宋体" w:cs="宋体"/>
          <w:color w:val="auto"/>
          <w:highlight w:val="none"/>
        </w:rPr>
      </w:pPr>
    </w:p>
    <w:p w14:paraId="1BDFC88C">
      <w:pPr>
        <w:spacing w:line="500" w:lineRule="exact"/>
        <w:jc w:val="left"/>
        <w:rPr>
          <w:rFonts w:hint="eastAsia" w:ascii="宋体" w:hAnsi="宋体" w:cs="宋体"/>
          <w:color w:val="auto"/>
          <w:highlight w:val="none"/>
        </w:rPr>
      </w:pPr>
    </w:p>
    <w:p w14:paraId="11EC3380">
      <w:pPr>
        <w:spacing w:line="500" w:lineRule="exact"/>
        <w:ind w:right="420"/>
        <w:rPr>
          <w:rFonts w:hint="eastAsia" w:ascii="宋体" w:hAnsi="宋体" w:cs="宋体"/>
          <w:color w:val="auto"/>
          <w:highlight w:val="none"/>
        </w:rPr>
      </w:pPr>
      <w:r>
        <w:rPr>
          <w:rFonts w:hint="eastAsia" w:ascii="宋体" w:hAnsi="宋体" w:cs="宋体"/>
          <w:color w:val="auto"/>
          <w:highlight w:val="none"/>
        </w:rPr>
        <w:t>注：附法定代表人身份证扫描件（正反面）。</w:t>
      </w:r>
    </w:p>
    <w:p w14:paraId="6377613B">
      <w:pPr>
        <w:adjustRightInd w:val="0"/>
        <w:snapToGrid w:val="0"/>
        <w:spacing w:line="360" w:lineRule="auto"/>
        <w:ind w:firstLine="420" w:firstLineChars="200"/>
        <w:rPr>
          <w:rFonts w:hint="eastAsia" w:ascii="宋体" w:hAnsi="宋体" w:cs="宋体"/>
          <w:color w:val="auto"/>
          <w:highlight w:val="none"/>
        </w:rPr>
      </w:pPr>
    </w:p>
    <w:p w14:paraId="60B19097">
      <w:pPr>
        <w:adjustRightInd w:val="0"/>
        <w:snapToGrid w:val="0"/>
        <w:spacing w:line="360" w:lineRule="auto"/>
        <w:ind w:firstLine="420" w:firstLineChars="200"/>
        <w:rPr>
          <w:rFonts w:hint="eastAsia" w:ascii="宋体" w:hAnsi="宋体" w:cs="宋体"/>
          <w:color w:val="auto"/>
          <w:highlight w:val="none"/>
        </w:rPr>
      </w:pPr>
    </w:p>
    <w:p w14:paraId="53CC6408">
      <w:pPr>
        <w:adjustRightInd w:val="0"/>
        <w:snapToGrid w:val="0"/>
        <w:spacing w:line="360" w:lineRule="auto"/>
        <w:ind w:firstLine="420" w:firstLineChars="200"/>
        <w:jc w:val="right"/>
        <w:rPr>
          <w:rFonts w:hint="eastAsia" w:ascii="宋体" w:hAnsi="宋体" w:cs="宋体"/>
          <w:color w:val="auto"/>
          <w:highlight w:val="none"/>
        </w:rPr>
      </w:pPr>
      <w:r>
        <w:rPr>
          <w:rFonts w:hint="eastAsia" w:ascii="宋体" w:hAnsi="宋体" w:cs="宋体"/>
          <w:color w:val="auto"/>
          <w:highlight w:val="none"/>
        </w:rPr>
        <w:t>投标人：_______________（电子签章）</w:t>
      </w:r>
    </w:p>
    <w:p w14:paraId="06FA1736">
      <w:pPr>
        <w:adjustRightInd w:val="0"/>
        <w:snapToGrid w:val="0"/>
        <w:spacing w:line="360" w:lineRule="auto"/>
        <w:ind w:firstLine="420" w:firstLineChars="200"/>
        <w:jc w:val="right"/>
        <w:rPr>
          <w:rFonts w:hint="eastAsia" w:ascii="宋体" w:hAnsi="宋体" w:cs="宋体"/>
          <w:color w:val="auto"/>
          <w:highlight w:val="none"/>
        </w:rPr>
      </w:pPr>
    </w:p>
    <w:p w14:paraId="104D9984">
      <w:pPr>
        <w:adjustRightInd w:val="0"/>
        <w:snapToGrid w:val="0"/>
        <w:spacing w:line="360" w:lineRule="auto"/>
        <w:ind w:firstLine="420" w:firstLineChars="200"/>
        <w:jc w:val="right"/>
        <w:rPr>
          <w:rFonts w:hint="eastAsia" w:ascii="宋体" w:hAnsi="宋体" w:cs="宋体"/>
          <w:color w:val="auto"/>
          <w:highlight w:val="none"/>
        </w:rPr>
      </w:pPr>
      <w:r>
        <w:rPr>
          <w:rFonts w:hint="eastAsia" w:ascii="宋体" w:hAnsi="宋体" w:cs="宋体"/>
          <w:color w:val="auto"/>
          <w:highlight w:val="none"/>
        </w:rPr>
        <w:t>______年___月____日</w:t>
      </w:r>
    </w:p>
    <w:p w14:paraId="19C47057">
      <w:pPr>
        <w:widowControl/>
        <w:spacing w:line="360" w:lineRule="auto"/>
        <w:jc w:val="left"/>
        <w:rPr>
          <w:rFonts w:hint="eastAsia" w:ascii="宋体" w:hAnsi="宋体" w:cs="宋体"/>
          <w:color w:val="auto"/>
          <w:kern w:val="0"/>
          <w:sz w:val="24"/>
          <w:szCs w:val="24"/>
          <w:highlight w:val="none"/>
        </w:rPr>
      </w:pPr>
    </w:p>
    <w:p w14:paraId="2A2F858E">
      <w:pPr>
        <w:pStyle w:val="5"/>
        <w:spacing w:line="240" w:lineRule="auto"/>
        <w:jc w:val="center"/>
        <w:rPr>
          <w:rFonts w:hint="eastAsia" w:ascii="宋体" w:hAnsi="宋体" w:cs="宋体"/>
          <w:color w:val="auto"/>
          <w:sz w:val="28"/>
          <w:szCs w:val="28"/>
          <w:highlight w:val="none"/>
        </w:rPr>
      </w:pPr>
      <w:r>
        <w:rPr>
          <w:rFonts w:hint="eastAsia" w:ascii="宋体" w:hAnsi="宋体" w:cs="宋体"/>
          <w:color w:val="auto"/>
          <w:sz w:val="30"/>
          <w:szCs w:val="30"/>
          <w:highlight w:val="none"/>
        </w:rPr>
        <w:br w:type="page"/>
      </w:r>
      <w:bookmarkStart w:id="885" w:name="_Toc2447"/>
      <w:bookmarkStart w:id="886" w:name="_Toc16416"/>
      <w:bookmarkStart w:id="887" w:name="_Toc29320"/>
      <w:bookmarkStart w:id="888" w:name="_Toc20697"/>
      <w:bookmarkStart w:id="889" w:name="_Toc10171"/>
      <w:bookmarkStart w:id="890" w:name="_Toc11465"/>
      <w:r>
        <w:rPr>
          <w:rFonts w:hint="eastAsia" w:ascii="宋体" w:hAnsi="宋体" w:cs="宋体"/>
          <w:color w:val="auto"/>
          <w:sz w:val="28"/>
          <w:szCs w:val="28"/>
          <w:highlight w:val="none"/>
        </w:rPr>
        <w:t>（二）授权委托书</w:t>
      </w:r>
      <w:bookmarkEnd w:id="885"/>
      <w:bookmarkEnd w:id="886"/>
      <w:bookmarkEnd w:id="887"/>
      <w:bookmarkEnd w:id="888"/>
      <w:bookmarkEnd w:id="889"/>
      <w:bookmarkEnd w:id="890"/>
    </w:p>
    <w:p w14:paraId="7F32DB3A">
      <w:pPr>
        <w:adjustRightInd w:val="0"/>
        <w:snapToGrid w:val="0"/>
        <w:spacing w:line="360" w:lineRule="auto"/>
        <w:ind w:firstLine="420" w:firstLineChars="200"/>
        <w:rPr>
          <w:rFonts w:hint="eastAsia" w:ascii="宋体" w:hAnsi="宋体" w:cs="宋体"/>
          <w:color w:val="auto"/>
          <w:highlight w:val="none"/>
        </w:rPr>
      </w:pPr>
    </w:p>
    <w:p w14:paraId="119089A7">
      <w:pPr>
        <w:adjustRightInd w:val="0"/>
        <w:snapToGrid w:val="0"/>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本人________（姓名）系__________________（投标人名称）的法定代表人，现委托________（姓名）为我方代理人。代理人根据授权，以我方名义签署、澄清、说明、补正、递交、撤回、修改__________________________（项目名称）招标的投标文件、签订合同和处理有关事宜，其法律后果由我方承担。</w:t>
      </w:r>
    </w:p>
    <w:p w14:paraId="1EE7EA2F">
      <w:pPr>
        <w:adjustRightInd w:val="0"/>
        <w:snapToGrid w:val="0"/>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委托期限：________。</w:t>
      </w:r>
    </w:p>
    <w:p w14:paraId="537CF66E">
      <w:pPr>
        <w:adjustRightInd w:val="0"/>
        <w:snapToGrid w:val="0"/>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代理人无转委托权。</w:t>
      </w:r>
    </w:p>
    <w:p w14:paraId="2E2B16C3">
      <w:pPr>
        <w:adjustRightInd w:val="0"/>
        <w:snapToGrid w:val="0"/>
        <w:spacing w:line="360" w:lineRule="auto"/>
        <w:ind w:firstLine="420" w:firstLineChars="200"/>
        <w:rPr>
          <w:rFonts w:hint="eastAsia" w:ascii="宋体" w:hAnsi="宋体" w:cs="宋体"/>
          <w:color w:val="auto"/>
          <w:highlight w:val="none"/>
        </w:rPr>
      </w:pPr>
    </w:p>
    <w:p w14:paraId="1145B2EA">
      <w:pPr>
        <w:adjustRightInd w:val="0"/>
        <w:snapToGrid w:val="0"/>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附：委托代理人身份证扫描件（正反面）</w:t>
      </w:r>
    </w:p>
    <w:p w14:paraId="57D4B174">
      <w:pPr>
        <w:adjustRightInd w:val="0"/>
        <w:snapToGrid w:val="0"/>
        <w:spacing w:line="360" w:lineRule="auto"/>
        <w:ind w:firstLine="420" w:firstLineChars="200"/>
        <w:rPr>
          <w:rFonts w:hint="eastAsia" w:ascii="宋体" w:hAnsi="宋体" w:cs="宋体"/>
          <w:color w:val="auto"/>
          <w:highlight w:val="none"/>
        </w:rPr>
      </w:pPr>
    </w:p>
    <w:p w14:paraId="778DF412">
      <w:pPr>
        <w:adjustRightInd w:val="0"/>
        <w:snapToGrid w:val="0"/>
        <w:spacing w:line="360" w:lineRule="auto"/>
        <w:ind w:firstLine="420" w:firstLineChars="200"/>
        <w:rPr>
          <w:rFonts w:hint="eastAsia" w:ascii="宋体" w:hAnsi="宋体" w:cs="宋体"/>
          <w:color w:val="auto"/>
          <w:highlight w:val="none"/>
        </w:rPr>
      </w:pPr>
    </w:p>
    <w:p w14:paraId="4AA106A4">
      <w:pPr>
        <w:adjustRightInd w:val="0"/>
        <w:snapToGrid w:val="0"/>
        <w:spacing w:line="360" w:lineRule="auto"/>
        <w:ind w:firstLine="420" w:firstLineChars="200"/>
        <w:jc w:val="right"/>
        <w:rPr>
          <w:rFonts w:hint="eastAsia" w:ascii="宋体" w:hAnsi="宋体" w:cs="宋体"/>
          <w:color w:val="auto"/>
          <w:highlight w:val="none"/>
        </w:rPr>
      </w:pPr>
      <w:r>
        <w:rPr>
          <w:rFonts w:hint="eastAsia" w:ascii="宋体" w:hAnsi="宋体" w:cs="宋体"/>
          <w:color w:val="auto"/>
          <w:highlight w:val="none"/>
        </w:rPr>
        <w:t>投标人：_______________（电子签章）</w:t>
      </w:r>
    </w:p>
    <w:p w14:paraId="5385B307">
      <w:pPr>
        <w:adjustRightInd w:val="0"/>
        <w:snapToGrid w:val="0"/>
        <w:spacing w:line="360" w:lineRule="auto"/>
        <w:ind w:firstLine="420" w:firstLineChars="200"/>
        <w:jc w:val="right"/>
        <w:rPr>
          <w:rFonts w:hint="eastAsia" w:ascii="宋体" w:hAnsi="宋体" w:cs="宋体"/>
          <w:color w:val="auto"/>
          <w:highlight w:val="none"/>
        </w:rPr>
      </w:pPr>
      <w:r>
        <w:rPr>
          <w:rFonts w:hint="eastAsia" w:ascii="宋体" w:hAnsi="宋体" w:cs="宋体"/>
          <w:color w:val="auto"/>
          <w:highlight w:val="none"/>
        </w:rPr>
        <w:t>法定代表人：________________________（电子签章）</w:t>
      </w:r>
    </w:p>
    <w:p w14:paraId="2AA3D039">
      <w:pPr>
        <w:adjustRightInd w:val="0"/>
        <w:snapToGrid w:val="0"/>
        <w:spacing w:line="360" w:lineRule="auto"/>
        <w:ind w:firstLine="420" w:firstLineChars="200"/>
        <w:jc w:val="right"/>
        <w:rPr>
          <w:rFonts w:hint="eastAsia" w:ascii="宋体" w:hAnsi="宋体" w:cs="宋体"/>
          <w:color w:val="auto"/>
          <w:highlight w:val="none"/>
        </w:rPr>
      </w:pPr>
    </w:p>
    <w:p w14:paraId="253143C0">
      <w:pPr>
        <w:adjustRightInd w:val="0"/>
        <w:snapToGrid w:val="0"/>
        <w:spacing w:line="360" w:lineRule="auto"/>
        <w:ind w:firstLine="420" w:firstLineChars="200"/>
        <w:jc w:val="right"/>
        <w:rPr>
          <w:rFonts w:hint="eastAsia" w:ascii="宋体" w:hAnsi="宋体" w:cs="宋体"/>
          <w:color w:val="auto"/>
          <w:highlight w:val="none"/>
        </w:rPr>
      </w:pPr>
      <w:r>
        <w:rPr>
          <w:rFonts w:hint="eastAsia" w:ascii="宋体" w:hAnsi="宋体" w:cs="宋体"/>
          <w:color w:val="auto"/>
          <w:highlight w:val="none"/>
        </w:rPr>
        <w:t>身份证号码：____________________________________</w:t>
      </w:r>
    </w:p>
    <w:p w14:paraId="7233CE3D">
      <w:pPr>
        <w:adjustRightInd w:val="0"/>
        <w:snapToGrid w:val="0"/>
        <w:spacing w:line="360" w:lineRule="auto"/>
        <w:ind w:firstLine="420" w:firstLineChars="200"/>
        <w:jc w:val="right"/>
        <w:rPr>
          <w:rFonts w:hint="eastAsia" w:ascii="宋体" w:hAnsi="宋体" w:cs="宋体"/>
          <w:color w:val="auto"/>
          <w:highlight w:val="none"/>
        </w:rPr>
      </w:pPr>
    </w:p>
    <w:p w14:paraId="6AC40394">
      <w:pPr>
        <w:adjustRightInd w:val="0"/>
        <w:snapToGrid w:val="0"/>
        <w:spacing w:line="360" w:lineRule="auto"/>
        <w:ind w:firstLine="420" w:firstLineChars="200"/>
        <w:jc w:val="right"/>
        <w:rPr>
          <w:rFonts w:hint="eastAsia" w:ascii="宋体" w:hAnsi="宋体" w:cs="宋体"/>
          <w:color w:val="auto"/>
          <w:highlight w:val="none"/>
        </w:rPr>
      </w:pPr>
      <w:r>
        <w:rPr>
          <w:rFonts w:hint="eastAsia" w:ascii="宋体" w:hAnsi="宋体" w:cs="宋体"/>
          <w:color w:val="auto"/>
          <w:highlight w:val="none"/>
        </w:rPr>
        <w:t>委托代理人：______________________（签字或盖章）</w:t>
      </w:r>
    </w:p>
    <w:p w14:paraId="461C3DDE">
      <w:pPr>
        <w:adjustRightInd w:val="0"/>
        <w:snapToGrid w:val="0"/>
        <w:spacing w:line="360" w:lineRule="auto"/>
        <w:ind w:firstLine="420" w:firstLineChars="200"/>
        <w:jc w:val="right"/>
        <w:rPr>
          <w:rFonts w:hint="eastAsia" w:ascii="宋体" w:hAnsi="宋体" w:cs="宋体"/>
          <w:color w:val="auto"/>
          <w:highlight w:val="none"/>
        </w:rPr>
      </w:pPr>
    </w:p>
    <w:p w14:paraId="24056BDB">
      <w:pPr>
        <w:adjustRightInd w:val="0"/>
        <w:snapToGrid w:val="0"/>
        <w:spacing w:line="360" w:lineRule="auto"/>
        <w:ind w:firstLine="420" w:firstLineChars="200"/>
        <w:jc w:val="right"/>
        <w:rPr>
          <w:rFonts w:hint="eastAsia" w:ascii="宋体" w:hAnsi="宋体" w:cs="宋体"/>
          <w:color w:val="auto"/>
          <w:highlight w:val="none"/>
        </w:rPr>
      </w:pPr>
      <w:r>
        <w:rPr>
          <w:rFonts w:hint="eastAsia" w:ascii="宋体" w:hAnsi="宋体" w:cs="宋体"/>
          <w:color w:val="auto"/>
          <w:highlight w:val="none"/>
        </w:rPr>
        <w:t>身份证号码：____________________________________</w:t>
      </w:r>
    </w:p>
    <w:p w14:paraId="3BBF02FD">
      <w:pPr>
        <w:adjustRightInd w:val="0"/>
        <w:snapToGrid w:val="0"/>
        <w:spacing w:line="360" w:lineRule="auto"/>
        <w:ind w:firstLine="420" w:firstLineChars="200"/>
        <w:jc w:val="right"/>
        <w:rPr>
          <w:rFonts w:hint="eastAsia" w:ascii="宋体" w:hAnsi="宋体" w:cs="宋体"/>
          <w:color w:val="auto"/>
          <w:highlight w:val="none"/>
        </w:rPr>
      </w:pPr>
    </w:p>
    <w:p w14:paraId="04B79969">
      <w:pPr>
        <w:adjustRightInd w:val="0"/>
        <w:snapToGrid w:val="0"/>
        <w:spacing w:line="360" w:lineRule="auto"/>
        <w:ind w:firstLine="420" w:firstLineChars="200"/>
        <w:jc w:val="right"/>
        <w:rPr>
          <w:rFonts w:hint="eastAsia" w:ascii="宋体" w:hAnsi="宋体" w:cs="宋体"/>
          <w:color w:val="auto"/>
          <w:highlight w:val="none"/>
        </w:rPr>
      </w:pPr>
      <w:r>
        <w:rPr>
          <w:rFonts w:hint="eastAsia" w:ascii="宋体" w:hAnsi="宋体" w:cs="宋体"/>
          <w:color w:val="auto"/>
          <w:highlight w:val="none"/>
        </w:rPr>
        <w:t>_________年_______月_______日</w:t>
      </w:r>
    </w:p>
    <w:p w14:paraId="1810B1A3">
      <w:pPr>
        <w:adjustRightInd w:val="0"/>
        <w:snapToGrid w:val="0"/>
        <w:spacing w:line="360" w:lineRule="auto"/>
        <w:ind w:firstLine="420" w:firstLineChars="200"/>
        <w:jc w:val="right"/>
        <w:rPr>
          <w:rFonts w:hint="eastAsia" w:ascii="宋体" w:hAnsi="宋体" w:cs="宋体"/>
          <w:color w:val="auto"/>
          <w:highlight w:val="none"/>
        </w:rPr>
      </w:pPr>
    </w:p>
    <w:p w14:paraId="0CBB3E54">
      <w:pPr>
        <w:adjustRightInd w:val="0"/>
        <w:snapToGrid w:val="0"/>
        <w:spacing w:line="360" w:lineRule="auto"/>
        <w:ind w:firstLine="420" w:firstLineChars="200"/>
        <w:rPr>
          <w:rFonts w:hint="eastAsia" w:ascii="宋体" w:hAnsi="宋体" w:cs="宋体"/>
          <w:color w:val="auto"/>
          <w:highlight w:val="none"/>
        </w:rPr>
      </w:pPr>
    </w:p>
    <w:p w14:paraId="2D912EB2">
      <w:pPr>
        <w:pStyle w:val="363"/>
        <w:numPr>
          <w:ilvl w:val="1"/>
          <w:numId w:val="0"/>
        </w:numPr>
        <w:tabs>
          <w:tab w:val="left" w:pos="1440"/>
          <w:tab w:val="left" w:pos="1620"/>
        </w:tabs>
        <w:snapToGrid w:val="0"/>
        <w:spacing w:before="120" w:beforeLines="50" w:after="240" w:afterLines="100" w:line="360" w:lineRule="auto"/>
        <w:rPr>
          <w:rFonts w:hint="eastAsia" w:ascii="宋体" w:hAnsi="宋体" w:eastAsia="宋体" w:cs="宋体"/>
          <w:b/>
          <w:bCs/>
          <w:color w:val="auto"/>
          <w:highlight w:val="none"/>
        </w:rPr>
        <w:sectPr>
          <w:headerReference r:id="rId9" w:type="first"/>
          <w:headerReference r:id="rId8" w:type="default"/>
          <w:pgSz w:w="11906" w:h="16838"/>
          <w:pgMar w:top="1417" w:right="1417" w:bottom="1417" w:left="1417" w:header="850" w:footer="992" w:gutter="0"/>
          <w:pgNumType w:fmt="decimal"/>
          <w:cols w:space="0" w:num="1"/>
          <w:rtlGutter w:val="0"/>
          <w:docGrid w:linePitch="312" w:charSpace="0"/>
        </w:sectPr>
      </w:pPr>
    </w:p>
    <w:p w14:paraId="0D4EBAC5">
      <w:pPr>
        <w:rPr>
          <w:rFonts w:hint="eastAsia" w:ascii="宋体" w:hAnsi="宋体" w:cs="宋体"/>
          <w:color w:val="auto"/>
          <w:highlight w:val="none"/>
        </w:rPr>
      </w:pPr>
    </w:p>
    <w:bookmarkEnd w:id="883"/>
    <w:bookmarkEnd w:id="884"/>
    <w:p w14:paraId="6D889C79">
      <w:pPr>
        <w:jc w:val="center"/>
        <w:outlineLvl w:val="2"/>
        <w:rPr>
          <w:rFonts w:hint="eastAsia" w:ascii="宋体" w:hAnsi="宋体" w:cs="宋体"/>
          <w:b/>
          <w:color w:val="auto"/>
          <w:kern w:val="0"/>
          <w:sz w:val="30"/>
          <w:szCs w:val="30"/>
          <w:highlight w:val="none"/>
        </w:rPr>
      </w:pPr>
      <w:bookmarkStart w:id="891" w:name="_Toc17770"/>
      <w:bookmarkStart w:id="892" w:name="_Toc3416"/>
      <w:bookmarkStart w:id="893" w:name="_Toc29128"/>
      <w:bookmarkStart w:id="894" w:name="_Toc11649"/>
      <w:r>
        <w:rPr>
          <w:rFonts w:hint="eastAsia" w:ascii="宋体" w:hAnsi="宋体" w:cs="宋体"/>
          <w:b/>
          <w:color w:val="auto"/>
          <w:kern w:val="0"/>
          <w:sz w:val="30"/>
          <w:szCs w:val="30"/>
          <w:highlight w:val="none"/>
        </w:rPr>
        <w:t>（</w:t>
      </w:r>
      <w:r>
        <w:rPr>
          <w:rFonts w:hint="eastAsia" w:ascii="宋体" w:hAnsi="宋体" w:cs="宋体"/>
          <w:b/>
          <w:color w:val="auto"/>
          <w:kern w:val="0"/>
          <w:sz w:val="30"/>
          <w:szCs w:val="30"/>
          <w:highlight w:val="none"/>
          <w:lang w:val="en-US" w:eastAsia="zh-CN"/>
        </w:rPr>
        <w:t>三</w:t>
      </w:r>
      <w:r>
        <w:rPr>
          <w:rFonts w:hint="eastAsia" w:ascii="宋体" w:hAnsi="宋体" w:cs="宋体"/>
          <w:b/>
          <w:color w:val="auto"/>
          <w:kern w:val="0"/>
          <w:sz w:val="30"/>
          <w:szCs w:val="30"/>
          <w:highlight w:val="none"/>
        </w:rPr>
        <w:t>）投标人基本情况表</w:t>
      </w:r>
      <w:bookmarkEnd w:id="891"/>
      <w:bookmarkEnd w:id="892"/>
      <w:bookmarkEnd w:id="893"/>
    </w:p>
    <w:p w14:paraId="00F64BC4">
      <w:pPr>
        <w:jc w:val="center"/>
        <w:rPr>
          <w:rFonts w:hint="eastAsia" w:ascii="宋体" w:hAnsi="宋体" w:cs="宋体"/>
          <w:color w:val="auto"/>
          <w:highlight w:val="none"/>
        </w:rPr>
      </w:pPr>
    </w:p>
    <w:tbl>
      <w:tblPr>
        <w:tblStyle w:val="57"/>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62"/>
        <w:gridCol w:w="1315"/>
        <w:gridCol w:w="1315"/>
        <w:gridCol w:w="1242"/>
        <w:gridCol w:w="1389"/>
        <w:gridCol w:w="1315"/>
        <w:gridCol w:w="1316"/>
      </w:tblGrid>
      <w:tr w14:paraId="0054E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7" w:hRule="atLeast"/>
          <w:jc w:val="center"/>
        </w:trPr>
        <w:tc>
          <w:tcPr>
            <w:tcW w:w="1962" w:type="dxa"/>
            <w:vAlign w:val="center"/>
          </w:tcPr>
          <w:p w14:paraId="4EE45DF1">
            <w:pPr>
              <w:autoSpaceDE w:val="0"/>
              <w:autoSpaceDN w:val="0"/>
              <w:spacing w:line="360" w:lineRule="auto"/>
              <w:contextualSpacing/>
              <w:jc w:val="center"/>
              <w:rPr>
                <w:rFonts w:hint="eastAsia" w:ascii="宋体" w:hAnsi="宋体" w:cs="宋体"/>
                <w:snapToGrid w:val="0"/>
                <w:color w:val="auto"/>
                <w:kern w:val="0"/>
                <w:szCs w:val="21"/>
                <w:highlight w:val="none"/>
                <w:lang w:val="zh-CN"/>
              </w:rPr>
            </w:pPr>
            <w:r>
              <w:rPr>
                <w:rFonts w:hint="eastAsia" w:ascii="宋体" w:hAnsi="宋体" w:cs="宋体"/>
                <w:snapToGrid w:val="0"/>
                <w:color w:val="auto"/>
                <w:kern w:val="0"/>
                <w:szCs w:val="21"/>
                <w:highlight w:val="none"/>
                <w:lang w:val="zh-CN"/>
              </w:rPr>
              <w:t>投标人名称</w:t>
            </w:r>
          </w:p>
        </w:tc>
        <w:tc>
          <w:tcPr>
            <w:tcW w:w="7892" w:type="dxa"/>
            <w:gridSpan w:val="6"/>
            <w:vAlign w:val="center"/>
          </w:tcPr>
          <w:p w14:paraId="24A245EB">
            <w:pPr>
              <w:autoSpaceDE w:val="0"/>
              <w:autoSpaceDN w:val="0"/>
              <w:spacing w:line="360" w:lineRule="auto"/>
              <w:contextualSpacing/>
              <w:rPr>
                <w:rFonts w:hint="eastAsia" w:ascii="宋体" w:hAnsi="宋体" w:cs="宋体"/>
                <w:snapToGrid w:val="0"/>
                <w:color w:val="auto"/>
                <w:kern w:val="0"/>
                <w:szCs w:val="21"/>
                <w:highlight w:val="none"/>
                <w:lang w:val="zh-CN"/>
              </w:rPr>
            </w:pPr>
          </w:p>
        </w:tc>
      </w:tr>
      <w:tr w14:paraId="3F132E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9" w:hRule="atLeast"/>
          <w:jc w:val="center"/>
        </w:trPr>
        <w:tc>
          <w:tcPr>
            <w:tcW w:w="1962" w:type="dxa"/>
            <w:vAlign w:val="center"/>
          </w:tcPr>
          <w:p w14:paraId="51829460">
            <w:pPr>
              <w:autoSpaceDE w:val="0"/>
              <w:autoSpaceDN w:val="0"/>
              <w:spacing w:line="360" w:lineRule="auto"/>
              <w:contextualSpacing/>
              <w:jc w:val="center"/>
              <w:rPr>
                <w:rFonts w:hint="eastAsia" w:ascii="宋体" w:hAnsi="宋体" w:cs="宋体"/>
                <w:snapToGrid w:val="0"/>
                <w:color w:val="auto"/>
                <w:kern w:val="0"/>
                <w:szCs w:val="21"/>
                <w:highlight w:val="none"/>
                <w:lang w:val="zh-CN"/>
              </w:rPr>
            </w:pPr>
            <w:r>
              <w:rPr>
                <w:rFonts w:hint="eastAsia" w:ascii="宋体" w:hAnsi="宋体" w:cs="宋体"/>
                <w:snapToGrid w:val="0"/>
                <w:color w:val="auto"/>
                <w:kern w:val="0"/>
                <w:szCs w:val="21"/>
                <w:highlight w:val="none"/>
                <w:lang w:val="zh-CN"/>
              </w:rPr>
              <w:t>注册地址</w:t>
            </w:r>
          </w:p>
        </w:tc>
        <w:tc>
          <w:tcPr>
            <w:tcW w:w="3872" w:type="dxa"/>
            <w:gridSpan w:val="3"/>
            <w:vAlign w:val="center"/>
          </w:tcPr>
          <w:p w14:paraId="40A8F5CD">
            <w:pPr>
              <w:autoSpaceDE w:val="0"/>
              <w:autoSpaceDN w:val="0"/>
              <w:spacing w:line="360" w:lineRule="auto"/>
              <w:contextualSpacing/>
              <w:rPr>
                <w:rFonts w:hint="eastAsia" w:ascii="宋体" w:hAnsi="宋体" w:cs="宋体"/>
                <w:snapToGrid w:val="0"/>
                <w:color w:val="auto"/>
                <w:kern w:val="0"/>
                <w:szCs w:val="21"/>
                <w:highlight w:val="none"/>
                <w:lang w:val="zh-CN"/>
              </w:rPr>
            </w:pPr>
          </w:p>
        </w:tc>
        <w:tc>
          <w:tcPr>
            <w:tcW w:w="1389" w:type="dxa"/>
            <w:vAlign w:val="center"/>
          </w:tcPr>
          <w:p w14:paraId="6B13CB08">
            <w:pPr>
              <w:autoSpaceDE w:val="0"/>
              <w:autoSpaceDN w:val="0"/>
              <w:spacing w:line="360" w:lineRule="auto"/>
              <w:contextualSpacing/>
              <w:jc w:val="center"/>
              <w:rPr>
                <w:rFonts w:hint="eastAsia" w:ascii="宋体" w:hAnsi="宋体" w:cs="宋体"/>
                <w:snapToGrid w:val="0"/>
                <w:color w:val="auto"/>
                <w:kern w:val="0"/>
                <w:szCs w:val="21"/>
                <w:highlight w:val="none"/>
                <w:lang w:val="zh-CN"/>
              </w:rPr>
            </w:pPr>
            <w:r>
              <w:rPr>
                <w:rFonts w:hint="eastAsia" w:ascii="宋体" w:hAnsi="宋体" w:cs="宋体"/>
                <w:snapToGrid w:val="0"/>
                <w:color w:val="auto"/>
                <w:kern w:val="0"/>
                <w:szCs w:val="21"/>
                <w:highlight w:val="none"/>
                <w:lang w:val="zh-CN"/>
              </w:rPr>
              <w:t>邮政编码</w:t>
            </w:r>
          </w:p>
        </w:tc>
        <w:tc>
          <w:tcPr>
            <w:tcW w:w="2631" w:type="dxa"/>
            <w:gridSpan w:val="2"/>
            <w:vAlign w:val="center"/>
          </w:tcPr>
          <w:p w14:paraId="687DE244">
            <w:pPr>
              <w:autoSpaceDE w:val="0"/>
              <w:autoSpaceDN w:val="0"/>
              <w:spacing w:line="360" w:lineRule="auto"/>
              <w:contextualSpacing/>
              <w:rPr>
                <w:rFonts w:hint="eastAsia" w:ascii="宋体" w:hAnsi="宋体" w:cs="宋体"/>
                <w:snapToGrid w:val="0"/>
                <w:color w:val="auto"/>
                <w:kern w:val="0"/>
                <w:szCs w:val="21"/>
                <w:highlight w:val="none"/>
                <w:lang w:val="zh-CN"/>
              </w:rPr>
            </w:pPr>
          </w:p>
        </w:tc>
      </w:tr>
      <w:tr w14:paraId="45A095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962" w:type="dxa"/>
            <w:vMerge w:val="restart"/>
            <w:vAlign w:val="center"/>
          </w:tcPr>
          <w:p w14:paraId="60BC6520">
            <w:pPr>
              <w:autoSpaceDE w:val="0"/>
              <w:autoSpaceDN w:val="0"/>
              <w:spacing w:line="360" w:lineRule="auto"/>
              <w:contextualSpacing/>
              <w:jc w:val="center"/>
              <w:rPr>
                <w:rFonts w:hint="eastAsia" w:ascii="宋体" w:hAnsi="宋体" w:cs="宋体"/>
                <w:snapToGrid w:val="0"/>
                <w:color w:val="auto"/>
                <w:kern w:val="0"/>
                <w:szCs w:val="21"/>
                <w:highlight w:val="none"/>
                <w:lang w:val="zh-CN"/>
              </w:rPr>
            </w:pPr>
            <w:r>
              <w:rPr>
                <w:rFonts w:hint="eastAsia" w:ascii="宋体" w:hAnsi="宋体" w:cs="宋体"/>
                <w:snapToGrid w:val="0"/>
                <w:color w:val="auto"/>
                <w:kern w:val="0"/>
                <w:szCs w:val="21"/>
                <w:highlight w:val="none"/>
                <w:lang w:val="zh-CN"/>
              </w:rPr>
              <w:t>联系方式</w:t>
            </w:r>
          </w:p>
        </w:tc>
        <w:tc>
          <w:tcPr>
            <w:tcW w:w="1315" w:type="dxa"/>
            <w:vAlign w:val="center"/>
          </w:tcPr>
          <w:p w14:paraId="58649856">
            <w:pPr>
              <w:autoSpaceDE w:val="0"/>
              <w:autoSpaceDN w:val="0"/>
              <w:spacing w:line="360" w:lineRule="auto"/>
              <w:contextualSpacing/>
              <w:jc w:val="center"/>
              <w:rPr>
                <w:rFonts w:hint="eastAsia" w:ascii="宋体" w:hAnsi="宋体" w:cs="宋体"/>
                <w:snapToGrid w:val="0"/>
                <w:color w:val="auto"/>
                <w:kern w:val="0"/>
                <w:szCs w:val="21"/>
                <w:highlight w:val="none"/>
                <w:lang w:val="zh-CN"/>
              </w:rPr>
            </w:pPr>
            <w:r>
              <w:rPr>
                <w:rFonts w:hint="eastAsia" w:ascii="宋体" w:hAnsi="宋体" w:cs="宋体"/>
                <w:snapToGrid w:val="0"/>
                <w:color w:val="auto"/>
                <w:kern w:val="0"/>
                <w:szCs w:val="21"/>
                <w:highlight w:val="none"/>
                <w:lang w:val="zh-CN"/>
              </w:rPr>
              <w:t>联系人</w:t>
            </w:r>
          </w:p>
        </w:tc>
        <w:tc>
          <w:tcPr>
            <w:tcW w:w="2557" w:type="dxa"/>
            <w:gridSpan w:val="2"/>
            <w:vAlign w:val="center"/>
          </w:tcPr>
          <w:p w14:paraId="5CEB3DD0">
            <w:pPr>
              <w:autoSpaceDE w:val="0"/>
              <w:autoSpaceDN w:val="0"/>
              <w:spacing w:line="360" w:lineRule="auto"/>
              <w:contextualSpacing/>
              <w:rPr>
                <w:rFonts w:hint="eastAsia" w:ascii="宋体" w:hAnsi="宋体" w:cs="宋体"/>
                <w:snapToGrid w:val="0"/>
                <w:color w:val="auto"/>
                <w:kern w:val="0"/>
                <w:szCs w:val="21"/>
                <w:highlight w:val="none"/>
                <w:lang w:val="zh-CN"/>
              </w:rPr>
            </w:pPr>
          </w:p>
        </w:tc>
        <w:tc>
          <w:tcPr>
            <w:tcW w:w="1389" w:type="dxa"/>
            <w:vAlign w:val="center"/>
          </w:tcPr>
          <w:p w14:paraId="6637F50A">
            <w:pPr>
              <w:autoSpaceDE w:val="0"/>
              <w:autoSpaceDN w:val="0"/>
              <w:spacing w:line="360" w:lineRule="auto"/>
              <w:contextualSpacing/>
              <w:jc w:val="center"/>
              <w:rPr>
                <w:rFonts w:hint="eastAsia" w:ascii="宋体" w:hAnsi="宋体" w:cs="宋体"/>
                <w:snapToGrid w:val="0"/>
                <w:color w:val="auto"/>
                <w:kern w:val="0"/>
                <w:szCs w:val="21"/>
                <w:highlight w:val="none"/>
                <w:lang w:val="zh-CN"/>
              </w:rPr>
            </w:pPr>
            <w:r>
              <w:rPr>
                <w:rFonts w:hint="eastAsia" w:ascii="宋体" w:hAnsi="宋体" w:cs="宋体"/>
                <w:snapToGrid w:val="0"/>
                <w:color w:val="auto"/>
                <w:kern w:val="0"/>
                <w:szCs w:val="21"/>
                <w:highlight w:val="none"/>
                <w:lang w:val="zh-CN"/>
              </w:rPr>
              <w:t>电    话</w:t>
            </w:r>
          </w:p>
        </w:tc>
        <w:tc>
          <w:tcPr>
            <w:tcW w:w="2631" w:type="dxa"/>
            <w:gridSpan w:val="2"/>
            <w:vAlign w:val="center"/>
          </w:tcPr>
          <w:p w14:paraId="5C51326D">
            <w:pPr>
              <w:autoSpaceDE w:val="0"/>
              <w:autoSpaceDN w:val="0"/>
              <w:spacing w:line="360" w:lineRule="auto"/>
              <w:contextualSpacing/>
              <w:rPr>
                <w:rFonts w:hint="eastAsia" w:ascii="宋体" w:hAnsi="宋体" w:cs="宋体"/>
                <w:snapToGrid w:val="0"/>
                <w:color w:val="auto"/>
                <w:kern w:val="0"/>
                <w:szCs w:val="21"/>
                <w:highlight w:val="none"/>
                <w:lang w:val="zh-CN"/>
              </w:rPr>
            </w:pPr>
          </w:p>
        </w:tc>
      </w:tr>
      <w:tr w14:paraId="77571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962" w:type="dxa"/>
            <w:vMerge w:val="continue"/>
            <w:vAlign w:val="center"/>
          </w:tcPr>
          <w:p w14:paraId="7DBDCBC3">
            <w:pPr>
              <w:spacing w:line="360" w:lineRule="auto"/>
              <w:contextualSpacing/>
              <w:jc w:val="center"/>
              <w:rPr>
                <w:rFonts w:hint="eastAsia" w:ascii="宋体" w:hAnsi="宋体" w:cs="宋体"/>
                <w:snapToGrid w:val="0"/>
                <w:color w:val="auto"/>
                <w:kern w:val="0"/>
                <w:szCs w:val="21"/>
                <w:highlight w:val="none"/>
              </w:rPr>
            </w:pPr>
          </w:p>
        </w:tc>
        <w:tc>
          <w:tcPr>
            <w:tcW w:w="1315" w:type="dxa"/>
            <w:vAlign w:val="center"/>
          </w:tcPr>
          <w:p w14:paraId="6F440A03">
            <w:pPr>
              <w:autoSpaceDE w:val="0"/>
              <w:autoSpaceDN w:val="0"/>
              <w:spacing w:line="360" w:lineRule="auto"/>
              <w:contextualSpacing/>
              <w:jc w:val="center"/>
              <w:rPr>
                <w:rFonts w:hint="eastAsia" w:ascii="宋体" w:hAnsi="宋体" w:cs="宋体"/>
                <w:snapToGrid w:val="0"/>
                <w:color w:val="auto"/>
                <w:kern w:val="0"/>
                <w:szCs w:val="21"/>
                <w:highlight w:val="none"/>
                <w:lang w:val="zh-CN"/>
              </w:rPr>
            </w:pPr>
            <w:r>
              <w:rPr>
                <w:rFonts w:hint="eastAsia" w:ascii="宋体" w:hAnsi="宋体" w:cs="宋体"/>
                <w:snapToGrid w:val="0"/>
                <w:color w:val="auto"/>
                <w:kern w:val="0"/>
                <w:szCs w:val="21"/>
                <w:highlight w:val="none"/>
                <w:lang w:val="zh-CN"/>
              </w:rPr>
              <w:t>传  真</w:t>
            </w:r>
          </w:p>
        </w:tc>
        <w:tc>
          <w:tcPr>
            <w:tcW w:w="2557" w:type="dxa"/>
            <w:gridSpan w:val="2"/>
            <w:vAlign w:val="center"/>
          </w:tcPr>
          <w:p w14:paraId="57646FAC">
            <w:pPr>
              <w:autoSpaceDE w:val="0"/>
              <w:autoSpaceDN w:val="0"/>
              <w:spacing w:line="360" w:lineRule="auto"/>
              <w:contextualSpacing/>
              <w:rPr>
                <w:rFonts w:hint="eastAsia" w:ascii="宋体" w:hAnsi="宋体" w:cs="宋体"/>
                <w:snapToGrid w:val="0"/>
                <w:color w:val="auto"/>
                <w:kern w:val="0"/>
                <w:szCs w:val="21"/>
                <w:highlight w:val="none"/>
                <w:lang w:val="zh-CN"/>
              </w:rPr>
            </w:pPr>
          </w:p>
        </w:tc>
        <w:tc>
          <w:tcPr>
            <w:tcW w:w="1389" w:type="dxa"/>
            <w:vAlign w:val="center"/>
          </w:tcPr>
          <w:p w14:paraId="4CD78572">
            <w:pPr>
              <w:autoSpaceDE w:val="0"/>
              <w:autoSpaceDN w:val="0"/>
              <w:spacing w:line="360" w:lineRule="auto"/>
              <w:contextualSpacing/>
              <w:jc w:val="center"/>
              <w:rPr>
                <w:rFonts w:hint="eastAsia" w:ascii="宋体" w:hAnsi="宋体" w:cs="宋体"/>
                <w:snapToGrid w:val="0"/>
                <w:color w:val="auto"/>
                <w:kern w:val="0"/>
                <w:szCs w:val="21"/>
                <w:highlight w:val="none"/>
                <w:lang w:val="zh-CN"/>
              </w:rPr>
            </w:pPr>
            <w:r>
              <w:rPr>
                <w:rFonts w:hint="eastAsia" w:ascii="宋体" w:hAnsi="宋体" w:cs="宋体"/>
                <w:snapToGrid w:val="0"/>
                <w:color w:val="auto"/>
                <w:kern w:val="0"/>
                <w:szCs w:val="21"/>
                <w:highlight w:val="none"/>
                <w:lang w:val="zh-CN"/>
              </w:rPr>
              <w:t>网    址</w:t>
            </w:r>
          </w:p>
        </w:tc>
        <w:tc>
          <w:tcPr>
            <w:tcW w:w="2631" w:type="dxa"/>
            <w:gridSpan w:val="2"/>
            <w:vAlign w:val="center"/>
          </w:tcPr>
          <w:p w14:paraId="2BD53AD4">
            <w:pPr>
              <w:autoSpaceDE w:val="0"/>
              <w:autoSpaceDN w:val="0"/>
              <w:spacing w:line="360" w:lineRule="auto"/>
              <w:contextualSpacing/>
              <w:rPr>
                <w:rFonts w:hint="eastAsia" w:ascii="宋体" w:hAnsi="宋体" w:cs="宋体"/>
                <w:snapToGrid w:val="0"/>
                <w:color w:val="auto"/>
                <w:kern w:val="0"/>
                <w:szCs w:val="21"/>
                <w:highlight w:val="none"/>
                <w:lang w:val="zh-CN"/>
              </w:rPr>
            </w:pPr>
          </w:p>
        </w:tc>
      </w:tr>
      <w:tr w14:paraId="4F0E0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jc w:val="center"/>
        </w:trPr>
        <w:tc>
          <w:tcPr>
            <w:tcW w:w="1962" w:type="dxa"/>
            <w:vAlign w:val="center"/>
          </w:tcPr>
          <w:p w14:paraId="05903C79">
            <w:pPr>
              <w:autoSpaceDE w:val="0"/>
              <w:autoSpaceDN w:val="0"/>
              <w:spacing w:line="360" w:lineRule="auto"/>
              <w:contextualSpacing/>
              <w:jc w:val="center"/>
              <w:rPr>
                <w:rFonts w:hint="eastAsia" w:ascii="宋体" w:hAnsi="宋体" w:cs="宋体"/>
                <w:snapToGrid w:val="0"/>
                <w:color w:val="auto"/>
                <w:kern w:val="0"/>
                <w:szCs w:val="21"/>
                <w:highlight w:val="none"/>
                <w:lang w:val="zh-CN"/>
              </w:rPr>
            </w:pPr>
            <w:r>
              <w:rPr>
                <w:rFonts w:hint="eastAsia" w:ascii="宋体" w:hAnsi="宋体" w:cs="宋体"/>
                <w:snapToGrid w:val="0"/>
                <w:color w:val="auto"/>
                <w:kern w:val="0"/>
                <w:szCs w:val="21"/>
                <w:highlight w:val="none"/>
                <w:lang w:val="zh-CN"/>
              </w:rPr>
              <w:t>组织结构</w:t>
            </w:r>
          </w:p>
        </w:tc>
        <w:tc>
          <w:tcPr>
            <w:tcW w:w="7892" w:type="dxa"/>
            <w:gridSpan w:val="6"/>
            <w:vAlign w:val="center"/>
          </w:tcPr>
          <w:p w14:paraId="37FDBEE4">
            <w:pPr>
              <w:autoSpaceDE w:val="0"/>
              <w:autoSpaceDN w:val="0"/>
              <w:spacing w:line="360" w:lineRule="auto"/>
              <w:contextualSpacing/>
              <w:rPr>
                <w:rFonts w:hint="eastAsia" w:ascii="宋体" w:hAnsi="宋体" w:cs="宋体"/>
                <w:snapToGrid w:val="0"/>
                <w:color w:val="auto"/>
                <w:kern w:val="0"/>
                <w:szCs w:val="21"/>
                <w:highlight w:val="none"/>
                <w:lang w:val="zh-CN"/>
              </w:rPr>
            </w:pPr>
          </w:p>
        </w:tc>
      </w:tr>
      <w:tr w14:paraId="66A3F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962" w:type="dxa"/>
            <w:vAlign w:val="center"/>
          </w:tcPr>
          <w:p w14:paraId="5EA07205">
            <w:pPr>
              <w:autoSpaceDE w:val="0"/>
              <w:autoSpaceDN w:val="0"/>
              <w:spacing w:line="360" w:lineRule="auto"/>
              <w:contextualSpacing/>
              <w:jc w:val="center"/>
              <w:rPr>
                <w:rFonts w:hint="eastAsia" w:ascii="宋体" w:hAnsi="宋体" w:cs="宋体"/>
                <w:snapToGrid w:val="0"/>
                <w:color w:val="auto"/>
                <w:kern w:val="0"/>
                <w:szCs w:val="21"/>
                <w:highlight w:val="none"/>
                <w:lang w:val="zh-CN"/>
              </w:rPr>
            </w:pPr>
            <w:r>
              <w:rPr>
                <w:rFonts w:hint="eastAsia" w:ascii="宋体" w:hAnsi="宋体" w:cs="宋体"/>
                <w:snapToGrid w:val="0"/>
                <w:color w:val="auto"/>
                <w:kern w:val="0"/>
                <w:szCs w:val="21"/>
                <w:highlight w:val="none"/>
                <w:lang w:val="zh-CN"/>
              </w:rPr>
              <w:t>法定代表人</w:t>
            </w:r>
          </w:p>
        </w:tc>
        <w:tc>
          <w:tcPr>
            <w:tcW w:w="1315" w:type="dxa"/>
            <w:vAlign w:val="center"/>
          </w:tcPr>
          <w:p w14:paraId="1BE45FF8">
            <w:pPr>
              <w:autoSpaceDE w:val="0"/>
              <w:autoSpaceDN w:val="0"/>
              <w:spacing w:line="360" w:lineRule="auto"/>
              <w:contextualSpacing/>
              <w:jc w:val="center"/>
              <w:rPr>
                <w:rFonts w:hint="eastAsia" w:ascii="宋体" w:hAnsi="宋体" w:cs="宋体"/>
                <w:snapToGrid w:val="0"/>
                <w:color w:val="auto"/>
                <w:kern w:val="0"/>
                <w:szCs w:val="21"/>
                <w:highlight w:val="none"/>
                <w:lang w:val="zh-CN"/>
              </w:rPr>
            </w:pPr>
            <w:r>
              <w:rPr>
                <w:rFonts w:hint="eastAsia" w:ascii="宋体" w:hAnsi="宋体" w:cs="宋体"/>
                <w:snapToGrid w:val="0"/>
                <w:color w:val="auto"/>
                <w:kern w:val="0"/>
                <w:szCs w:val="21"/>
                <w:highlight w:val="none"/>
                <w:lang w:val="zh-CN"/>
              </w:rPr>
              <w:t>姓名</w:t>
            </w:r>
          </w:p>
        </w:tc>
        <w:tc>
          <w:tcPr>
            <w:tcW w:w="1315" w:type="dxa"/>
            <w:vAlign w:val="center"/>
          </w:tcPr>
          <w:p w14:paraId="3E1EF1FB">
            <w:pPr>
              <w:autoSpaceDE w:val="0"/>
              <w:autoSpaceDN w:val="0"/>
              <w:spacing w:line="360" w:lineRule="auto"/>
              <w:contextualSpacing/>
              <w:rPr>
                <w:rFonts w:hint="eastAsia" w:ascii="宋体" w:hAnsi="宋体" w:cs="宋体"/>
                <w:snapToGrid w:val="0"/>
                <w:color w:val="auto"/>
                <w:kern w:val="0"/>
                <w:szCs w:val="21"/>
                <w:highlight w:val="none"/>
                <w:lang w:val="zh-CN"/>
              </w:rPr>
            </w:pPr>
          </w:p>
        </w:tc>
        <w:tc>
          <w:tcPr>
            <w:tcW w:w="1242" w:type="dxa"/>
            <w:vAlign w:val="center"/>
          </w:tcPr>
          <w:p w14:paraId="70F4C5AC">
            <w:pPr>
              <w:autoSpaceDE w:val="0"/>
              <w:autoSpaceDN w:val="0"/>
              <w:spacing w:line="360" w:lineRule="auto"/>
              <w:contextualSpacing/>
              <w:jc w:val="center"/>
              <w:rPr>
                <w:rFonts w:hint="eastAsia" w:ascii="宋体" w:hAnsi="宋体" w:cs="宋体"/>
                <w:snapToGrid w:val="0"/>
                <w:color w:val="auto"/>
                <w:kern w:val="0"/>
                <w:szCs w:val="21"/>
                <w:highlight w:val="none"/>
                <w:lang w:val="zh-CN"/>
              </w:rPr>
            </w:pPr>
            <w:r>
              <w:rPr>
                <w:rFonts w:hint="eastAsia" w:ascii="宋体" w:hAnsi="宋体" w:cs="宋体"/>
                <w:snapToGrid w:val="0"/>
                <w:color w:val="auto"/>
                <w:kern w:val="0"/>
                <w:szCs w:val="21"/>
                <w:highlight w:val="none"/>
                <w:lang w:val="zh-CN"/>
              </w:rPr>
              <w:t>技术职称</w:t>
            </w:r>
          </w:p>
        </w:tc>
        <w:tc>
          <w:tcPr>
            <w:tcW w:w="1389" w:type="dxa"/>
            <w:vAlign w:val="center"/>
          </w:tcPr>
          <w:p w14:paraId="43FD6372">
            <w:pPr>
              <w:autoSpaceDE w:val="0"/>
              <w:autoSpaceDN w:val="0"/>
              <w:spacing w:line="360" w:lineRule="auto"/>
              <w:contextualSpacing/>
              <w:rPr>
                <w:rFonts w:hint="eastAsia" w:ascii="宋体" w:hAnsi="宋体" w:cs="宋体"/>
                <w:snapToGrid w:val="0"/>
                <w:color w:val="auto"/>
                <w:kern w:val="0"/>
                <w:szCs w:val="21"/>
                <w:highlight w:val="none"/>
                <w:lang w:val="zh-CN"/>
              </w:rPr>
            </w:pPr>
          </w:p>
        </w:tc>
        <w:tc>
          <w:tcPr>
            <w:tcW w:w="1315" w:type="dxa"/>
            <w:vAlign w:val="center"/>
          </w:tcPr>
          <w:p w14:paraId="4BD3894F">
            <w:pPr>
              <w:autoSpaceDE w:val="0"/>
              <w:autoSpaceDN w:val="0"/>
              <w:spacing w:line="360" w:lineRule="auto"/>
              <w:contextualSpacing/>
              <w:jc w:val="center"/>
              <w:rPr>
                <w:rFonts w:hint="eastAsia" w:ascii="宋体" w:hAnsi="宋体" w:cs="宋体"/>
                <w:snapToGrid w:val="0"/>
                <w:color w:val="auto"/>
                <w:kern w:val="0"/>
                <w:szCs w:val="21"/>
                <w:highlight w:val="none"/>
                <w:lang w:val="zh-CN"/>
              </w:rPr>
            </w:pPr>
            <w:r>
              <w:rPr>
                <w:rFonts w:hint="eastAsia" w:ascii="宋体" w:hAnsi="宋体" w:cs="宋体"/>
                <w:snapToGrid w:val="0"/>
                <w:color w:val="auto"/>
                <w:kern w:val="0"/>
                <w:szCs w:val="21"/>
                <w:highlight w:val="none"/>
                <w:lang w:val="zh-CN"/>
              </w:rPr>
              <w:t>电话</w:t>
            </w:r>
          </w:p>
        </w:tc>
        <w:tc>
          <w:tcPr>
            <w:tcW w:w="1316" w:type="dxa"/>
            <w:vAlign w:val="center"/>
          </w:tcPr>
          <w:p w14:paraId="027ADCA5">
            <w:pPr>
              <w:autoSpaceDE w:val="0"/>
              <w:autoSpaceDN w:val="0"/>
              <w:spacing w:line="360" w:lineRule="auto"/>
              <w:contextualSpacing/>
              <w:rPr>
                <w:rFonts w:hint="eastAsia" w:ascii="宋体" w:hAnsi="宋体" w:cs="宋体"/>
                <w:snapToGrid w:val="0"/>
                <w:color w:val="auto"/>
                <w:kern w:val="0"/>
                <w:szCs w:val="21"/>
                <w:highlight w:val="none"/>
                <w:lang w:val="zh-CN"/>
              </w:rPr>
            </w:pPr>
          </w:p>
        </w:tc>
      </w:tr>
      <w:tr w14:paraId="3B889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962" w:type="dxa"/>
            <w:vAlign w:val="center"/>
          </w:tcPr>
          <w:p w14:paraId="5430826B">
            <w:pPr>
              <w:autoSpaceDE w:val="0"/>
              <w:autoSpaceDN w:val="0"/>
              <w:spacing w:line="360" w:lineRule="auto"/>
              <w:contextualSpacing/>
              <w:jc w:val="center"/>
              <w:rPr>
                <w:rFonts w:hint="eastAsia" w:ascii="宋体" w:hAnsi="宋体" w:cs="宋体"/>
                <w:snapToGrid w:val="0"/>
                <w:color w:val="auto"/>
                <w:kern w:val="0"/>
                <w:szCs w:val="21"/>
                <w:highlight w:val="none"/>
                <w:lang w:val="zh-CN"/>
              </w:rPr>
            </w:pPr>
            <w:r>
              <w:rPr>
                <w:rFonts w:hint="eastAsia" w:ascii="宋体" w:hAnsi="宋体" w:cs="宋体"/>
                <w:snapToGrid w:val="0"/>
                <w:color w:val="auto"/>
                <w:kern w:val="0"/>
                <w:szCs w:val="21"/>
                <w:highlight w:val="none"/>
                <w:lang w:val="zh-CN"/>
              </w:rPr>
              <w:t>成立时间</w:t>
            </w:r>
          </w:p>
        </w:tc>
        <w:tc>
          <w:tcPr>
            <w:tcW w:w="2630" w:type="dxa"/>
            <w:gridSpan w:val="2"/>
            <w:vAlign w:val="center"/>
          </w:tcPr>
          <w:p w14:paraId="572E3BFD">
            <w:pPr>
              <w:autoSpaceDE w:val="0"/>
              <w:autoSpaceDN w:val="0"/>
              <w:spacing w:line="360" w:lineRule="auto"/>
              <w:contextualSpacing/>
              <w:rPr>
                <w:rFonts w:hint="eastAsia" w:ascii="宋体" w:hAnsi="宋体" w:cs="宋体"/>
                <w:snapToGrid w:val="0"/>
                <w:color w:val="auto"/>
                <w:kern w:val="0"/>
                <w:szCs w:val="21"/>
                <w:highlight w:val="none"/>
                <w:lang w:val="zh-CN"/>
              </w:rPr>
            </w:pPr>
          </w:p>
        </w:tc>
        <w:tc>
          <w:tcPr>
            <w:tcW w:w="5262" w:type="dxa"/>
            <w:gridSpan w:val="4"/>
            <w:vAlign w:val="center"/>
          </w:tcPr>
          <w:p w14:paraId="17BB1F4C">
            <w:pPr>
              <w:autoSpaceDE w:val="0"/>
              <w:autoSpaceDN w:val="0"/>
              <w:spacing w:line="360" w:lineRule="auto"/>
              <w:contextualSpacing/>
              <w:jc w:val="center"/>
              <w:rPr>
                <w:rFonts w:hint="eastAsia" w:ascii="宋体" w:hAnsi="宋体" w:cs="宋体"/>
                <w:snapToGrid w:val="0"/>
                <w:color w:val="auto"/>
                <w:kern w:val="0"/>
                <w:szCs w:val="21"/>
                <w:highlight w:val="none"/>
                <w:lang w:val="zh-CN"/>
              </w:rPr>
            </w:pPr>
            <w:r>
              <w:rPr>
                <w:rFonts w:hint="eastAsia" w:ascii="宋体" w:hAnsi="宋体" w:cs="宋体"/>
                <w:snapToGrid w:val="0"/>
                <w:color w:val="auto"/>
                <w:kern w:val="0"/>
                <w:szCs w:val="21"/>
                <w:highlight w:val="none"/>
                <w:lang w:val="zh-CN"/>
              </w:rPr>
              <w:t>员工总人数：</w:t>
            </w:r>
          </w:p>
        </w:tc>
      </w:tr>
      <w:tr w14:paraId="309413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962" w:type="dxa"/>
            <w:vAlign w:val="center"/>
          </w:tcPr>
          <w:p w14:paraId="6EB0D9BF">
            <w:pPr>
              <w:autoSpaceDE w:val="0"/>
              <w:autoSpaceDN w:val="0"/>
              <w:spacing w:line="360" w:lineRule="auto"/>
              <w:contextualSpacing/>
              <w:jc w:val="center"/>
              <w:rPr>
                <w:rFonts w:hint="eastAsia" w:ascii="宋体" w:hAnsi="宋体" w:cs="宋体"/>
                <w:snapToGrid w:val="0"/>
                <w:color w:val="auto"/>
                <w:kern w:val="0"/>
                <w:szCs w:val="21"/>
                <w:highlight w:val="none"/>
                <w:lang w:val="zh-CN"/>
              </w:rPr>
            </w:pPr>
            <w:r>
              <w:rPr>
                <w:rFonts w:hint="eastAsia" w:ascii="宋体" w:hAnsi="宋体" w:cs="宋体"/>
                <w:snapToGrid w:val="0"/>
                <w:color w:val="auto"/>
                <w:kern w:val="0"/>
                <w:szCs w:val="21"/>
                <w:highlight w:val="none"/>
                <w:lang w:val="zh-CN"/>
              </w:rPr>
              <w:t>企业资质等级</w:t>
            </w:r>
          </w:p>
        </w:tc>
        <w:tc>
          <w:tcPr>
            <w:tcW w:w="2630" w:type="dxa"/>
            <w:gridSpan w:val="2"/>
            <w:vAlign w:val="center"/>
          </w:tcPr>
          <w:p w14:paraId="0B2B197D">
            <w:pPr>
              <w:autoSpaceDE w:val="0"/>
              <w:autoSpaceDN w:val="0"/>
              <w:spacing w:line="360" w:lineRule="auto"/>
              <w:contextualSpacing/>
              <w:rPr>
                <w:rFonts w:hint="eastAsia" w:ascii="宋体" w:hAnsi="宋体" w:cs="宋体"/>
                <w:snapToGrid w:val="0"/>
                <w:color w:val="auto"/>
                <w:kern w:val="0"/>
                <w:szCs w:val="21"/>
                <w:highlight w:val="none"/>
                <w:lang w:val="zh-CN"/>
              </w:rPr>
            </w:pPr>
          </w:p>
        </w:tc>
        <w:tc>
          <w:tcPr>
            <w:tcW w:w="1242" w:type="dxa"/>
            <w:vMerge w:val="restart"/>
            <w:vAlign w:val="center"/>
          </w:tcPr>
          <w:p w14:paraId="77EB5EFE">
            <w:pPr>
              <w:autoSpaceDE w:val="0"/>
              <w:autoSpaceDN w:val="0"/>
              <w:spacing w:line="360" w:lineRule="auto"/>
              <w:contextualSpacing/>
              <w:jc w:val="center"/>
              <w:rPr>
                <w:rFonts w:hint="eastAsia" w:ascii="宋体" w:hAnsi="宋体" w:cs="宋体"/>
                <w:snapToGrid w:val="0"/>
                <w:color w:val="auto"/>
                <w:kern w:val="0"/>
                <w:szCs w:val="21"/>
                <w:highlight w:val="none"/>
                <w:lang w:val="zh-CN"/>
              </w:rPr>
            </w:pPr>
            <w:r>
              <w:rPr>
                <w:rFonts w:hint="eastAsia" w:ascii="宋体" w:hAnsi="宋体" w:cs="宋体"/>
                <w:snapToGrid w:val="0"/>
                <w:color w:val="auto"/>
                <w:kern w:val="0"/>
                <w:szCs w:val="21"/>
                <w:highlight w:val="none"/>
                <w:lang w:val="zh-CN"/>
              </w:rPr>
              <w:t>其中</w:t>
            </w:r>
          </w:p>
        </w:tc>
        <w:tc>
          <w:tcPr>
            <w:tcW w:w="1389" w:type="dxa"/>
            <w:vMerge w:val="restart"/>
            <w:vAlign w:val="center"/>
          </w:tcPr>
          <w:p w14:paraId="72913456">
            <w:pPr>
              <w:autoSpaceDE w:val="0"/>
              <w:autoSpaceDN w:val="0"/>
              <w:spacing w:line="360" w:lineRule="auto"/>
              <w:contextualSpacing/>
              <w:jc w:val="center"/>
              <w:rPr>
                <w:rFonts w:hint="eastAsia" w:ascii="宋体" w:hAnsi="宋体" w:eastAsia="宋体" w:cs="宋体"/>
                <w:snapToGrid w:val="0"/>
                <w:color w:val="auto"/>
                <w:kern w:val="0"/>
                <w:szCs w:val="21"/>
                <w:highlight w:val="none"/>
                <w:lang w:val="zh-CN" w:eastAsia="zh-CN"/>
              </w:rPr>
            </w:pPr>
            <w:r>
              <w:rPr>
                <w:rFonts w:hint="eastAsia" w:ascii="宋体" w:hAnsi="宋体" w:cs="宋体"/>
                <w:color w:val="auto"/>
                <w:position w:val="-2"/>
                <w:szCs w:val="21"/>
                <w:highlight w:val="none"/>
                <w:lang w:eastAsia="zh-CN"/>
              </w:rPr>
              <w:t>监理工程师（</w:t>
            </w:r>
            <w:r>
              <w:rPr>
                <w:rFonts w:hint="eastAsia" w:ascii="宋体" w:hAnsi="宋体" w:cs="宋体"/>
                <w:color w:val="auto"/>
                <w:position w:val="-2"/>
                <w:szCs w:val="21"/>
                <w:highlight w:val="none"/>
                <w:lang w:val="en-US" w:eastAsia="zh-CN"/>
              </w:rPr>
              <w:t>人</w:t>
            </w:r>
            <w:r>
              <w:rPr>
                <w:rFonts w:hint="eastAsia" w:ascii="宋体" w:hAnsi="宋体" w:cs="宋体"/>
                <w:color w:val="auto"/>
                <w:position w:val="-2"/>
                <w:szCs w:val="21"/>
                <w:highlight w:val="none"/>
                <w:lang w:eastAsia="zh-CN"/>
              </w:rPr>
              <w:t>）</w:t>
            </w:r>
          </w:p>
        </w:tc>
        <w:tc>
          <w:tcPr>
            <w:tcW w:w="2631" w:type="dxa"/>
            <w:gridSpan w:val="2"/>
            <w:vMerge w:val="restart"/>
            <w:vAlign w:val="center"/>
          </w:tcPr>
          <w:p w14:paraId="1D5FFE70">
            <w:pPr>
              <w:autoSpaceDE w:val="0"/>
              <w:autoSpaceDN w:val="0"/>
              <w:spacing w:line="360" w:lineRule="auto"/>
              <w:contextualSpacing/>
              <w:rPr>
                <w:rFonts w:hint="eastAsia" w:ascii="宋体" w:hAnsi="宋体" w:cs="宋体"/>
                <w:snapToGrid w:val="0"/>
                <w:color w:val="auto"/>
                <w:kern w:val="0"/>
                <w:szCs w:val="21"/>
                <w:highlight w:val="none"/>
                <w:lang w:val="zh-CN"/>
              </w:rPr>
            </w:pPr>
          </w:p>
        </w:tc>
      </w:tr>
      <w:tr w14:paraId="35F81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962" w:type="dxa"/>
            <w:vAlign w:val="center"/>
          </w:tcPr>
          <w:p w14:paraId="1647EB4A">
            <w:pPr>
              <w:autoSpaceDE w:val="0"/>
              <w:autoSpaceDN w:val="0"/>
              <w:spacing w:line="360" w:lineRule="auto"/>
              <w:contextualSpacing/>
              <w:jc w:val="center"/>
              <w:rPr>
                <w:rFonts w:hint="eastAsia" w:ascii="宋体" w:hAnsi="宋体" w:cs="宋体"/>
                <w:snapToGrid w:val="0"/>
                <w:color w:val="auto"/>
                <w:kern w:val="0"/>
                <w:szCs w:val="21"/>
                <w:highlight w:val="none"/>
                <w:lang w:val="zh-CN"/>
              </w:rPr>
            </w:pPr>
            <w:r>
              <w:rPr>
                <w:rFonts w:hint="eastAsia" w:ascii="宋体" w:hAnsi="宋体" w:cs="宋体"/>
                <w:snapToGrid w:val="0"/>
                <w:color w:val="auto"/>
                <w:kern w:val="0"/>
                <w:szCs w:val="21"/>
                <w:highlight w:val="none"/>
                <w:lang w:val="zh-CN"/>
              </w:rPr>
              <w:t>营业执照号</w:t>
            </w:r>
          </w:p>
        </w:tc>
        <w:tc>
          <w:tcPr>
            <w:tcW w:w="2630" w:type="dxa"/>
            <w:gridSpan w:val="2"/>
            <w:vAlign w:val="center"/>
          </w:tcPr>
          <w:p w14:paraId="01EDE28A">
            <w:pPr>
              <w:autoSpaceDE w:val="0"/>
              <w:autoSpaceDN w:val="0"/>
              <w:spacing w:line="360" w:lineRule="auto"/>
              <w:contextualSpacing/>
              <w:rPr>
                <w:rFonts w:hint="eastAsia" w:ascii="宋体" w:hAnsi="宋体" w:cs="宋体"/>
                <w:snapToGrid w:val="0"/>
                <w:color w:val="auto"/>
                <w:kern w:val="0"/>
                <w:szCs w:val="21"/>
                <w:highlight w:val="none"/>
                <w:lang w:val="zh-CN"/>
              </w:rPr>
            </w:pPr>
          </w:p>
        </w:tc>
        <w:tc>
          <w:tcPr>
            <w:tcW w:w="1242" w:type="dxa"/>
            <w:vMerge w:val="continue"/>
            <w:vAlign w:val="center"/>
          </w:tcPr>
          <w:p w14:paraId="3D7E7789">
            <w:pPr>
              <w:spacing w:line="360" w:lineRule="auto"/>
              <w:contextualSpacing/>
              <w:jc w:val="left"/>
              <w:rPr>
                <w:rFonts w:hint="eastAsia" w:ascii="宋体" w:hAnsi="宋体" w:cs="宋体"/>
                <w:snapToGrid w:val="0"/>
                <w:color w:val="auto"/>
                <w:kern w:val="0"/>
                <w:szCs w:val="21"/>
                <w:highlight w:val="none"/>
              </w:rPr>
            </w:pPr>
          </w:p>
        </w:tc>
        <w:tc>
          <w:tcPr>
            <w:tcW w:w="1389" w:type="dxa"/>
            <w:vMerge w:val="continue"/>
            <w:vAlign w:val="center"/>
          </w:tcPr>
          <w:p w14:paraId="7486E01F">
            <w:pPr>
              <w:autoSpaceDE w:val="0"/>
              <w:autoSpaceDN w:val="0"/>
              <w:spacing w:line="360" w:lineRule="auto"/>
              <w:contextualSpacing/>
              <w:jc w:val="center"/>
              <w:rPr>
                <w:rFonts w:hint="eastAsia" w:ascii="宋体" w:hAnsi="宋体" w:cs="宋体"/>
                <w:snapToGrid w:val="0"/>
                <w:color w:val="auto"/>
                <w:kern w:val="0"/>
                <w:szCs w:val="21"/>
                <w:highlight w:val="none"/>
                <w:lang w:val="zh-CN"/>
              </w:rPr>
            </w:pPr>
          </w:p>
        </w:tc>
        <w:tc>
          <w:tcPr>
            <w:tcW w:w="2631" w:type="dxa"/>
            <w:gridSpan w:val="2"/>
            <w:vMerge w:val="continue"/>
            <w:vAlign w:val="center"/>
          </w:tcPr>
          <w:p w14:paraId="74F8F0BC">
            <w:pPr>
              <w:autoSpaceDE w:val="0"/>
              <w:autoSpaceDN w:val="0"/>
              <w:spacing w:line="360" w:lineRule="auto"/>
              <w:contextualSpacing/>
              <w:rPr>
                <w:rFonts w:hint="eastAsia" w:ascii="宋体" w:hAnsi="宋体" w:cs="宋体"/>
                <w:snapToGrid w:val="0"/>
                <w:color w:val="auto"/>
                <w:kern w:val="0"/>
                <w:szCs w:val="21"/>
                <w:highlight w:val="none"/>
                <w:lang w:val="zh-CN"/>
              </w:rPr>
            </w:pPr>
          </w:p>
        </w:tc>
      </w:tr>
      <w:tr w14:paraId="6D2941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962" w:type="dxa"/>
            <w:vAlign w:val="center"/>
          </w:tcPr>
          <w:p w14:paraId="7DFC6F23">
            <w:pPr>
              <w:autoSpaceDE w:val="0"/>
              <w:autoSpaceDN w:val="0"/>
              <w:spacing w:line="360" w:lineRule="auto"/>
              <w:contextualSpacing/>
              <w:jc w:val="center"/>
              <w:rPr>
                <w:rFonts w:hint="eastAsia" w:ascii="宋体" w:hAnsi="宋体" w:cs="宋体"/>
                <w:snapToGrid w:val="0"/>
                <w:color w:val="auto"/>
                <w:kern w:val="0"/>
                <w:szCs w:val="21"/>
                <w:highlight w:val="none"/>
                <w:lang w:val="zh-CN"/>
              </w:rPr>
            </w:pPr>
            <w:r>
              <w:rPr>
                <w:rFonts w:hint="eastAsia" w:ascii="宋体" w:hAnsi="宋体" w:cs="宋体"/>
                <w:snapToGrid w:val="0"/>
                <w:color w:val="auto"/>
                <w:kern w:val="0"/>
                <w:szCs w:val="21"/>
                <w:highlight w:val="none"/>
                <w:lang w:val="zh-CN"/>
              </w:rPr>
              <w:t>注册资金</w:t>
            </w:r>
          </w:p>
        </w:tc>
        <w:tc>
          <w:tcPr>
            <w:tcW w:w="2630" w:type="dxa"/>
            <w:gridSpan w:val="2"/>
            <w:vAlign w:val="center"/>
          </w:tcPr>
          <w:p w14:paraId="5E887439">
            <w:pPr>
              <w:autoSpaceDE w:val="0"/>
              <w:autoSpaceDN w:val="0"/>
              <w:spacing w:line="360" w:lineRule="auto"/>
              <w:contextualSpacing/>
              <w:rPr>
                <w:rFonts w:hint="eastAsia" w:ascii="宋体" w:hAnsi="宋体" w:cs="宋体"/>
                <w:snapToGrid w:val="0"/>
                <w:color w:val="auto"/>
                <w:kern w:val="0"/>
                <w:szCs w:val="21"/>
                <w:highlight w:val="none"/>
                <w:lang w:val="zh-CN"/>
              </w:rPr>
            </w:pPr>
          </w:p>
        </w:tc>
        <w:tc>
          <w:tcPr>
            <w:tcW w:w="1242" w:type="dxa"/>
            <w:vMerge w:val="continue"/>
            <w:vAlign w:val="center"/>
          </w:tcPr>
          <w:p w14:paraId="0D98CF36">
            <w:pPr>
              <w:spacing w:line="360" w:lineRule="auto"/>
              <w:contextualSpacing/>
              <w:jc w:val="left"/>
              <w:rPr>
                <w:rFonts w:hint="eastAsia" w:ascii="宋体" w:hAnsi="宋体" w:cs="宋体"/>
                <w:snapToGrid w:val="0"/>
                <w:color w:val="auto"/>
                <w:kern w:val="0"/>
                <w:szCs w:val="21"/>
                <w:highlight w:val="none"/>
              </w:rPr>
            </w:pPr>
          </w:p>
        </w:tc>
        <w:tc>
          <w:tcPr>
            <w:tcW w:w="1389" w:type="dxa"/>
            <w:vMerge w:val="restart"/>
            <w:vAlign w:val="center"/>
          </w:tcPr>
          <w:p w14:paraId="42628F60">
            <w:pPr>
              <w:autoSpaceDE w:val="0"/>
              <w:autoSpaceDN w:val="0"/>
              <w:spacing w:line="360" w:lineRule="auto"/>
              <w:contextualSpacing/>
              <w:jc w:val="center"/>
              <w:rPr>
                <w:rFonts w:hint="eastAsia" w:ascii="宋体" w:hAnsi="宋体" w:cs="宋体"/>
                <w:snapToGrid w:val="0"/>
                <w:color w:val="auto"/>
                <w:kern w:val="0"/>
                <w:szCs w:val="21"/>
                <w:highlight w:val="none"/>
                <w:lang w:val="zh-CN"/>
              </w:rPr>
            </w:pPr>
            <w:r>
              <w:rPr>
                <w:rFonts w:hint="eastAsia" w:ascii="宋体" w:hAnsi="宋体" w:cs="宋体"/>
                <w:snapToGrid w:val="0"/>
                <w:color w:val="auto"/>
                <w:kern w:val="0"/>
                <w:szCs w:val="21"/>
                <w:highlight w:val="none"/>
                <w:lang w:val="zh-CN"/>
              </w:rPr>
              <w:t>其他人员</w:t>
            </w:r>
            <w:r>
              <w:rPr>
                <w:rFonts w:hint="eastAsia" w:ascii="宋体" w:hAnsi="宋体" w:cs="宋体"/>
                <w:color w:val="auto"/>
                <w:position w:val="-2"/>
                <w:szCs w:val="21"/>
                <w:highlight w:val="none"/>
                <w:lang w:eastAsia="zh-CN"/>
              </w:rPr>
              <w:t>（</w:t>
            </w:r>
            <w:r>
              <w:rPr>
                <w:rFonts w:hint="eastAsia" w:ascii="宋体" w:hAnsi="宋体" w:cs="宋体"/>
                <w:color w:val="auto"/>
                <w:position w:val="-2"/>
                <w:szCs w:val="21"/>
                <w:highlight w:val="none"/>
                <w:lang w:val="en-US" w:eastAsia="zh-CN"/>
              </w:rPr>
              <w:t>人</w:t>
            </w:r>
            <w:r>
              <w:rPr>
                <w:rFonts w:hint="eastAsia" w:ascii="宋体" w:hAnsi="宋体" w:cs="宋体"/>
                <w:color w:val="auto"/>
                <w:position w:val="-2"/>
                <w:szCs w:val="21"/>
                <w:highlight w:val="none"/>
                <w:lang w:eastAsia="zh-CN"/>
              </w:rPr>
              <w:t>）</w:t>
            </w:r>
          </w:p>
        </w:tc>
        <w:tc>
          <w:tcPr>
            <w:tcW w:w="2631" w:type="dxa"/>
            <w:gridSpan w:val="2"/>
            <w:vMerge w:val="restart"/>
            <w:vAlign w:val="center"/>
          </w:tcPr>
          <w:p w14:paraId="5CDCF81E">
            <w:pPr>
              <w:autoSpaceDE w:val="0"/>
              <w:autoSpaceDN w:val="0"/>
              <w:spacing w:line="360" w:lineRule="auto"/>
              <w:contextualSpacing/>
              <w:rPr>
                <w:rFonts w:hint="eastAsia" w:ascii="宋体" w:hAnsi="宋体" w:cs="宋体"/>
                <w:snapToGrid w:val="0"/>
                <w:color w:val="auto"/>
                <w:kern w:val="0"/>
                <w:szCs w:val="21"/>
                <w:highlight w:val="none"/>
                <w:lang w:val="zh-CN"/>
              </w:rPr>
            </w:pPr>
          </w:p>
        </w:tc>
      </w:tr>
      <w:tr w14:paraId="1696F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962" w:type="dxa"/>
            <w:vAlign w:val="center"/>
          </w:tcPr>
          <w:p w14:paraId="7409F336">
            <w:pPr>
              <w:autoSpaceDE w:val="0"/>
              <w:autoSpaceDN w:val="0"/>
              <w:spacing w:line="360" w:lineRule="auto"/>
              <w:contextualSpacing/>
              <w:jc w:val="center"/>
              <w:rPr>
                <w:rFonts w:hint="eastAsia" w:ascii="宋体" w:hAnsi="宋体" w:cs="宋体"/>
                <w:snapToGrid w:val="0"/>
                <w:color w:val="auto"/>
                <w:kern w:val="0"/>
                <w:szCs w:val="21"/>
                <w:highlight w:val="none"/>
                <w:lang w:val="zh-CN"/>
              </w:rPr>
            </w:pPr>
            <w:r>
              <w:rPr>
                <w:rFonts w:hint="eastAsia" w:ascii="宋体" w:hAnsi="宋体" w:cs="宋体"/>
                <w:snapToGrid w:val="0"/>
                <w:color w:val="auto"/>
                <w:kern w:val="0"/>
                <w:szCs w:val="21"/>
                <w:highlight w:val="none"/>
                <w:lang w:val="zh-CN"/>
              </w:rPr>
              <w:t>开户银行</w:t>
            </w:r>
          </w:p>
        </w:tc>
        <w:tc>
          <w:tcPr>
            <w:tcW w:w="2630" w:type="dxa"/>
            <w:gridSpan w:val="2"/>
            <w:vAlign w:val="center"/>
          </w:tcPr>
          <w:p w14:paraId="6B910007">
            <w:pPr>
              <w:autoSpaceDE w:val="0"/>
              <w:autoSpaceDN w:val="0"/>
              <w:spacing w:line="360" w:lineRule="auto"/>
              <w:contextualSpacing/>
              <w:rPr>
                <w:rFonts w:hint="eastAsia" w:ascii="宋体" w:hAnsi="宋体" w:cs="宋体"/>
                <w:snapToGrid w:val="0"/>
                <w:color w:val="auto"/>
                <w:kern w:val="0"/>
                <w:szCs w:val="21"/>
                <w:highlight w:val="none"/>
                <w:lang w:val="zh-CN"/>
              </w:rPr>
            </w:pPr>
          </w:p>
        </w:tc>
        <w:tc>
          <w:tcPr>
            <w:tcW w:w="1242" w:type="dxa"/>
            <w:vMerge w:val="continue"/>
            <w:vAlign w:val="center"/>
          </w:tcPr>
          <w:p w14:paraId="75AA2C02">
            <w:pPr>
              <w:spacing w:line="360" w:lineRule="auto"/>
              <w:contextualSpacing/>
              <w:jc w:val="left"/>
              <w:rPr>
                <w:rFonts w:hint="eastAsia" w:ascii="宋体" w:hAnsi="宋体" w:cs="宋体"/>
                <w:snapToGrid w:val="0"/>
                <w:color w:val="auto"/>
                <w:kern w:val="0"/>
                <w:szCs w:val="21"/>
                <w:highlight w:val="none"/>
              </w:rPr>
            </w:pPr>
          </w:p>
        </w:tc>
        <w:tc>
          <w:tcPr>
            <w:tcW w:w="1389" w:type="dxa"/>
            <w:vMerge w:val="continue"/>
            <w:vAlign w:val="center"/>
          </w:tcPr>
          <w:p w14:paraId="345D79E0">
            <w:pPr>
              <w:autoSpaceDE w:val="0"/>
              <w:autoSpaceDN w:val="0"/>
              <w:spacing w:line="360" w:lineRule="auto"/>
              <w:contextualSpacing/>
              <w:jc w:val="center"/>
              <w:rPr>
                <w:rFonts w:hint="eastAsia" w:ascii="宋体" w:hAnsi="宋体" w:cs="宋体"/>
                <w:snapToGrid w:val="0"/>
                <w:color w:val="auto"/>
                <w:kern w:val="0"/>
                <w:szCs w:val="21"/>
                <w:highlight w:val="none"/>
                <w:lang w:val="zh-CN"/>
              </w:rPr>
            </w:pPr>
          </w:p>
        </w:tc>
        <w:tc>
          <w:tcPr>
            <w:tcW w:w="2631" w:type="dxa"/>
            <w:gridSpan w:val="2"/>
            <w:vMerge w:val="continue"/>
            <w:vAlign w:val="center"/>
          </w:tcPr>
          <w:p w14:paraId="7486EC75">
            <w:pPr>
              <w:autoSpaceDE w:val="0"/>
              <w:autoSpaceDN w:val="0"/>
              <w:spacing w:line="360" w:lineRule="auto"/>
              <w:contextualSpacing/>
              <w:rPr>
                <w:rFonts w:hint="eastAsia" w:ascii="宋体" w:hAnsi="宋体" w:cs="宋体"/>
                <w:snapToGrid w:val="0"/>
                <w:color w:val="auto"/>
                <w:kern w:val="0"/>
                <w:szCs w:val="21"/>
                <w:highlight w:val="none"/>
                <w:lang w:val="zh-CN"/>
              </w:rPr>
            </w:pPr>
          </w:p>
        </w:tc>
      </w:tr>
      <w:tr w14:paraId="3F9963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962" w:type="dxa"/>
            <w:vAlign w:val="center"/>
          </w:tcPr>
          <w:p w14:paraId="103A2300">
            <w:pPr>
              <w:autoSpaceDE w:val="0"/>
              <w:autoSpaceDN w:val="0"/>
              <w:spacing w:line="360" w:lineRule="auto"/>
              <w:contextualSpacing/>
              <w:jc w:val="center"/>
              <w:rPr>
                <w:rFonts w:hint="eastAsia" w:ascii="宋体" w:hAnsi="宋体" w:cs="宋体"/>
                <w:snapToGrid w:val="0"/>
                <w:color w:val="auto"/>
                <w:kern w:val="0"/>
                <w:szCs w:val="21"/>
                <w:highlight w:val="none"/>
                <w:lang w:val="zh-CN"/>
              </w:rPr>
            </w:pPr>
            <w:r>
              <w:rPr>
                <w:rFonts w:hint="eastAsia" w:ascii="宋体" w:hAnsi="宋体" w:cs="宋体"/>
                <w:snapToGrid w:val="0"/>
                <w:color w:val="auto"/>
                <w:kern w:val="0"/>
                <w:szCs w:val="21"/>
                <w:highlight w:val="none"/>
                <w:lang w:val="zh-CN"/>
              </w:rPr>
              <w:t>账号</w:t>
            </w:r>
          </w:p>
        </w:tc>
        <w:tc>
          <w:tcPr>
            <w:tcW w:w="2630" w:type="dxa"/>
            <w:gridSpan w:val="2"/>
            <w:vAlign w:val="center"/>
          </w:tcPr>
          <w:p w14:paraId="4C660402">
            <w:pPr>
              <w:autoSpaceDE w:val="0"/>
              <w:autoSpaceDN w:val="0"/>
              <w:spacing w:line="360" w:lineRule="auto"/>
              <w:contextualSpacing/>
              <w:rPr>
                <w:rFonts w:hint="eastAsia" w:ascii="宋体" w:hAnsi="宋体" w:cs="宋体"/>
                <w:snapToGrid w:val="0"/>
                <w:color w:val="auto"/>
                <w:kern w:val="0"/>
                <w:szCs w:val="21"/>
                <w:highlight w:val="none"/>
                <w:lang w:val="zh-CN"/>
              </w:rPr>
            </w:pPr>
          </w:p>
        </w:tc>
        <w:tc>
          <w:tcPr>
            <w:tcW w:w="1242" w:type="dxa"/>
            <w:vMerge w:val="continue"/>
            <w:vAlign w:val="center"/>
          </w:tcPr>
          <w:p w14:paraId="620A8D9E">
            <w:pPr>
              <w:spacing w:line="360" w:lineRule="auto"/>
              <w:contextualSpacing/>
              <w:jc w:val="left"/>
              <w:rPr>
                <w:rFonts w:hint="eastAsia" w:ascii="宋体" w:hAnsi="宋体" w:cs="宋体"/>
                <w:snapToGrid w:val="0"/>
                <w:color w:val="auto"/>
                <w:kern w:val="0"/>
                <w:szCs w:val="21"/>
                <w:highlight w:val="none"/>
              </w:rPr>
            </w:pPr>
          </w:p>
        </w:tc>
        <w:tc>
          <w:tcPr>
            <w:tcW w:w="1389" w:type="dxa"/>
            <w:vMerge w:val="continue"/>
            <w:vAlign w:val="center"/>
          </w:tcPr>
          <w:p w14:paraId="79C82B74">
            <w:pPr>
              <w:autoSpaceDE w:val="0"/>
              <w:autoSpaceDN w:val="0"/>
              <w:spacing w:line="360" w:lineRule="auto"/>
              <w:contextualSpacing/>
              <w:jc w:val="center"/>
              <w:rPr>
                <w:rFonts w:hint="eastAsia" w:ascii="宋体" w:hAnsi="宋体" w:cs="宋体"/>
                <w:snapToGrid w:val="0"/>
                <w:color w:val="auto"/>
                <w:kern w:val="0"/>
                <w:szCs w:val="21"/>
                <w:highlight w:val="none"/>
                <w:lang w:val="zh-CN"/>
              </w:rPr>
            </w:pPr>
          </w:p>
        </w:tc>
        <w:tc>
          <w:tcPr>
            <w:tcW w:w="2631" w:type="dxa"/>
            <w:gridSpan w:val="2"/>
            <w:vMerge w:val="continue"/>
            <w:vAlign w:val="center"/>
          </w:tcPr>
          <w:p w14:paraId="7FC6E97E">
            <w:pPr>
              <w:autoSpaceDE w:val="0"/>
              <w:autoSpaceDN w:val="0"/>
              <w:spacing w:line="360" w:lineRule="auto"/>
              <w:contextualSpacing/>
              <w:jc w:val="center"/>
              <w:rPr>
                <w:rFonts w:hint="eastAsia" w:ascii="宋体" w:hAnsi="宋体" w:cs="宋体"/>
                <w:snapToGrid w:val="0"/>
                <w:color w:val="auto"/>
                <w:kern w:val="0"/>
                <w:szCs w:val="21"/>
                <w:highlight w:val="none"/>
                <w:lang w:val="zh-CN"/>
              </w:rPr>
            </w:pPr>
          </w:p>
        </w:tc>
      </w:tr>
      <w:tr w14:paraId="59567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0" w:hRule="atLeast"/>
          <w:jc w:val="center"/>
        </w:trPr>
        <w:tc>
          <w:tcPr>
            <w:tcW w:w="1962" w:type="dxa"/>
            <w:vAlign w:val="center"/>
          </w:tcPr>
          <w:p w14:paraId="5C36DC1A">
            <w:pPr>
              <w:autoSpaceDE w:val="0"/>
              <w:autoSpaceDN w:val="0"/>
              <w:spacing w:line="360" w:lineRule="auto"/>
              <w:contextualSpacing/>
              <w:jc w:val="center"/>
              <w:rPr>
                <w:rFonts w:hint="eastAsia" w:ascii="宋体" w:hAnsi="宋体" w:cs="宋体"/>
                <w:snapToGrid w:val="0"/>
                <w:color w:val="auto"/>
                <w:kern w:val="0"/>
                <w:szCs w:val="21"/>
                <w:highlight w:val="none"/>
                <w:lang w:val="zh-CN"/>
              </w:rPr>
            </w:pPr>
            <w:r>
              <w:rPr>
                <w:rFonts w:hint="eastAsia" w:ascii="宋体" w:hAnsi="宋体" w:cs="宋体"/>
                <w:snapToGrid w:val="0"/>
                <w:color w:val="auto"/>
                <w:kern w:val="0"/>
                <w:szCs w:val="21"/>
                <w:highlight w:val="none"/>
                <w:lang w:val="zh-CN"/>
              </w:rPr>
              <w:t>经营范围</w:t>
            </w:r>
          </w:p>
        </w:tc>
        <w:tc>
          <w:tcPr>
            <w:tcW w:w="7892" w:type="dxa"/>
            <w:gridSpan w:val="6"/>
            <w:vAlign w:val="center"/>
          </w:tcPr>
          <w:p w14:paraId="6DE13E3E">
            <w:pPr>
              <w:autoSpaceDE w:val="0"/>
              <w:autoSpaceDN w:val="0"/>
              <w:spacing w:line="360" w:lineRule="auto"/>
              <w:contextualSpacing/>
              <w:rPr>
                <w:rFonts w:hint="eastAsia" w:ascii="宋体" w:hAnsi="宋体" w:cs="宋体"/>
                <w:snapToGrid w:val="0"/>
                <w:color w:val="auto"/>
                <w:kern w:val="0"/>
                <w:szCs w:val="21"/>
                <w:highlight w:val="none"/>
                <w:lang w:val="zh-CN"/>
              </w:rPr>
            </w:pPr>
          </w:p>
        </w:tc>
      </w:tr>
      <w:tr w14:paraId="2774EE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2" w:hRule="atLeast"/>
          <w:jc w:val="center"/>
        </w:trPr>
        <w:tc>
          <w:tcPr>
            <w:tcW w:w="1962" w:type="dxa"/>
            <w:vAlign w:val="center"/>
          </w:tcPr>
          <w:p w14:paraId="153780A7">
            <w:pPr>
              <w:autoSpaceDE w:val="0"/>
              <w:autoSpaceDN w:val="0"/>
              <w:spacing w:line="360" w:lineRule="auto"/>
              <w:contextualSpacing/>
              <w:jc w:val="center"/>
              <w:rPr>
                <w:rFonts w:hint="eastAsia" w:ascii="宋体" w:hAnsi="宋体" w:cs="宋体"/>
                <w:snapToGrid w:val="0"/>
                <w:color w:val="auto"/>
                <w:kern w:val="0"/>
                <w:szCs w:val="21"/>
                <w:highlight w:val="none"/>
                <w:lang w:val="zh-CN"/>
              </w:rPr>
            </w:pPr>
            <w:r>
              <w:rPr>
                <w:rFonts w:hint="eastAsia" w:ascii="宋体" w:hAnsi="宋体" w:cs="宋体"/>
                <w:snapToGrid w:val="0"/>
                <w:color w:val="auto"/>
                <w:kern w:val="0"/>
                <w:szCs w:val="21"/>
                <w:highlight w:val="none"/>
                <w:lang w:val="zh-CN"/>
              </w:rPr>
              <w:t>备注</w:t>
            </w:r>
          </w:p>
        </w:tc>
        <w:tc>
          <w:tcPr>
            <w:tcW w:w="7892" w:type="dxa"/>
            <w:gridSpan w:val="6"/>
            <w:vAlign w:val="center"/>
          </w:tcPr>
          <w:p w14:paraId="00A4099E">
            <w:pPr>
              <w:autoSpaceDE w:val="0"/>
              <w:autoSpaceDN w:val="0"/>
              <w:spacing w:line="360" w:lineRule="auto"/>
              <w:contextualSpacing/>
              <w:rPr>
                <w:rFonts w:hint="eastAsia" w:ascii="宋体" w:hAnsi="宋体" w:cs="宋体"/>
                <w:snapToGrid w:val="0"/>
                <w:color w:val="auto"/>
                <w:kern w:val="0"/>
                <w:szCs w:val="21"/>
                <w:highlight w:val="none"/>
                <w:lang w:val="zh-CN"/>
              </w:rPr>
            </w:pPr>
          </w:p>
        </w:tc>
      </w:tr>
    </w:tbl>
    <w:p w14:paraId="2A5DFE49">
      <w:pPr>
        <w:pStyle w:val="362"/>
        <w:adjustRightInd w:val="0"/>
        <w:snapToGrid w:val="0"/>
        <w:spacing w:before="120" w:beforeLines="50"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lang w:val="zh-TW"/>
        </w:rPr>
        <w:t>备注：</w:t>
      </w:r>
      <w:r>
        <w:rPr>
          <w:rFonts w:hint="eastAsia" w:ascii="宋体" w:hAnsi="宋体" w:eastAsia="宋体" w:cs="宋体"/>
          <w:b/>
          <w:bCs/>
          <w:color w:val="auto"/>
          <w:highlight w:val="none"/>
        </w:rPr>
        <w:t>本表后须附投标人营业执照原件扫描件、资质证书原件扫描件</w:t>
      </w:r>
      <w:r>
        <w:rPr>
          <w:rFonts w:hint="eastAsia" w:ascii="宋体" w:hAnsi="宋体" w:eastAsia="宋体" w:cs="宋体"/>
          <w:b/>
          <w:bCs/>
          <w:color w:val="auto"/>
          <w:highlight w:val="none"/>
          <w:lang w:val="en-US" w:eastAsia="zh-CN"/>
        </w:rPr>
        <w:t>等</w:t>
      </w:r>
      <w:r>
        <w:rPr>
          <w:rFonts w:hint="eastAsia" w:ascii="宋体" w:hAnsi="宋体" w:eastAsia="宋体" w:cs="宋体"/>
          <w:b/>
          <w:bCs/>
          <w:color w:val="auto"/>
          <w:highlight w:val="none"/>
          <w:lang w:eastAsia="zh-CN"/>
        </w:rPr>
        <w:t>。</w:t>
      </w:r>
    </w:p>
    <w:p w14:paraId="69DD6B58">
      <w:pPr>
        <w:rPr>
          <w:rFonts w:hint="eastAsia" w:ascii="宋体" w:hAnsi="宋体" w:cs="宋体"/>
          <w:color w:val="auto"/>
          <w:highlight w:val="none"/>
        </w:rPr>
      </w:pPr>
      <w:r>
        <w:rPr>
          <w:rFonts w:hint="eastAsia" w:ascii="宋体" w:hAnsi="宋体" w:cs="宋体"/>
          <w:color w:val="auto"/>
          <w:highlight w:val="none"/>
        </w:rPr>
        <w:br w:type="page"/>
      </w:r>
    </w:p>
    <w:p w14:paraId="0D689078">
      <w:pPr>
        <w:pStyle w:val="5"/>
        <w:ind w:left="146"/>
        <w:jc w:val="center"/>
        <w:rPr>
          <w:rFonts w:hint="eastAsia" w:ascii="宋体" w:hAnsi="宋体" w:cs="宋体"/>
          <w:color w:val="auto"/>
          <w:sz w:val="30"/>
          <w:szCs w:val="30"/>
          <w:highlight w:val="none"/>
        </w:rPr>
      </w:pPr>
      <w:bookmarkStart w:id="895" w:name="_Toc97"/>
      <w:bookmarkStart w:id="896" w:name="_Toc7331"/>
      <w:bookmarkStart w:id="897" w:name="_Toc7342"/>
      <w:bookmarkStart w:id="898" w:name="_Toc16807"/>
      <w:bookmarkStart w:id="899" w:name="_Toc32190"/>
      <w:r>
        <w:rPr>
          <w:rFonts w:hint="eastAsia" w:ascii="宋体" w:hAnsi="宋体" w:cs="宋体"/>
          <w:color w:val="auto"/>
          <w:sz w:val="30"/>
          <w:szCs w:val="30"/>
          <w:highlight w:val="none"/>
        </w:rPr>
        <w:t>（</w:t>
      </w:r>
      <w:r>
        <w:rPr>
          <w:rFonts w:hint="eastAsia" w:ascii="宋体" w:hAnsi="宋体" w:cs="宋体"/>
          <w:color w:val="auto"/>
          <w:sz w:val="30"/>
          <w:szCs w:val="30"/>
          <w:highlight w:val="none"/>
          <w:lang w:val="en-US" w:eastAsia="zh-CN"/>
        </w:rPr>
        <w:t>四</w:t>
      </w:r>
      <w:r>
        <w:rPr>
          <w:rFonts w:hint="eastAsia" w:ascii="宋体" w:hAnsi="宋体" w:cs="宋体"/>
          <w:color w:val="auto"/>
          <w:sz w:val="30"/>
          <w:szCs w:val="30"/>
          <w:highlight w:val="none"/>
        </w:rPr>
        <w:t>）</w:t>
      </w:r>
      <w:bookmarkEnd w:id="895"/>
      <w:bookmarkEnd w:id="896"/>
      <w:bookmarkEnd w:id="897"/>
      <w:bookmarkEnd w:id="898"/>
      <w:r>
        <w:rPr>
          <w:rFonts w:hint="eastAsia" w:ascii="宋体" w:hAnsi="宋体" w:cs="宋体"/>
          <w:color w:val="auto"/>
          <w:sz w:val="30"/>
          <w:szCs w:val="30"/>
          <w:highlight w:val="none"/>
        </w:rPr>
        <w:t>拟投入项目团队组成</w:t>
      </w:r>
      <w:bookmarkEnd w:id="899"/>
    </w:p>
    <w:tbl>
      <w:tblPr>
        <w:tblStyle w:val="57"/>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239"/>
        <w:gridCol w:w="1665"/>
        <w:gridCol w:w="1944"/>
        <w:gridCol w:w="1752"/>
        <w:gridCol w:w="1688"/>
      </w:tblGrid>
      <w:tr w14:paraId="23FC0B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205" w:type="pct"/>
            <w:tcBorders>
              <w:top w:val="single" w:color="000000" w:sz="4" w:space="0"/>
              <w:left w:val="single" w:color="000000" w:sz="4" w:space="0"/>
              <w:bottom w:val="single" w:color="000000" w:sz="4" w:space="0"/>
              <w:right w:val="single" w:color="000000" w:sz="4" w:space="0"/>
            </w:tcBorders>
            <w:noWrap/>
            <w:vAlign w:val="center"/>
          </w:tcPr>
          <w:p w14:paraId="6718EA35">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专业岗位</w:t>
            </w:r>
          </w:p>
        </w:tc>
        <w:tc>
          <w:tcPr>
            <w:tcW w:w="896" w:type="pct"/>
            <w:tcBorders>
              <w:top w:val="single" w:color="000000" w:sz="4" w:space="0"/>
              <w:left w:val="single" w:color="000000" w:sz="4" w:space="0"/>
              <w:bottom w:val="single" w:color="000000" w:sz="4" w:space="0"/>
              <w:right w:val="single" w:color="000000" w:sz="4" w:space="0"/>
            </w:tcBorders>
            <w:noWrap/>
            <w:vAlign w:val="center"/>
          </w:tcPr>
          <w:p w14:paraId="13B30A9F">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姓名</w:t>
            </w:r>
          </w:p>
        </w:tc>
        <w:tc>
          <w:tcPr>
            <w:tcW w:w="1046" w:type="pct"/>
            <w:tcBorders>
              <w:top w:val="single" w:color="000000" w:sz="4" w:space="0"/>
              <w:left w:val="single" w:color="000000" w:sz="4" w:space="0"/>
              <w:bottom w:val="single" w:color="000000" w:sz="4" w:space="0"/>
              <w:right w:val="single" w:color="000000" w:sz="4" w:space="0"/>
            </w:tcBorders>
            <w:noWrap/>
            <w:vAlign w:val="center"/>
          </w:tcPr>
          <w:p w14:paraId="5047B1C6">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工作年限</w:t>
            </w:r>
          </w:p>
        </w:tc>
        <w:tc>
          <w:tcPr>
            <w:tcW w:w="943" w:type="pct"/>
            <w:tcBorders>
              <w:top w:val="single" w:color="000000" w:sz="4" w:space="0"/>
              <w:left w:val="single" w:color="000000" w:sz="4" w:space="0"/>
              <w:bottom w:val="single" w:color="000000" w:sz="4" w:space="0"/>
              <w:right w:val="single" w:color="000000" w:sz="4" w:space="0"/>
            </w:tcBorders>
            <w:noWrap/>
            <w:vAlign w:val="center"/>
          </w:tcPr>
          <w:p w14:paraId="4B375EB1">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职称</w:t>
            </w:r>
          </w:p>
        </w:tc>
        <w:tc>
          <w:tcPr>
            <w:tcW w:w="908" w:type="pct"/>
            <w:tcBorders>
              <w:top w:val="single" w:color="000000" w:sz="4" w:space="0"/>
              <w:left w:val="single" w:color="000000" w:sz="4" w:space="0"/>
              <w:bottom w:val="single" w:color="000000" w:sz="4" w:space="0"/>
              <w:right w:val="single" w:color="000000" w:sz="4" w:space="0"/>
            </w:tcBorders>
            <w:noWrap/>
            <w:vAlign w:val="center"/>
          </w:tcPr>
          <w:p w14:paraId="4125FF8E">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证书及编号</w:t>
            </w:r>
          </w:p>
        </w:tc>
      </w:tr>
      <w:tr w14:paraId="56A3BA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205" w:type="pct"/>
            <w:tcBorders>
              <w:top w:val="single" w:color="000000" w:sz="4" w:space="0"/>
              <w:left w:val="single" w:color="000000" w:sz="4" w:space="0"/>
              <w:bottom w:val="single" w:color="000000" w:sz="4" w:space="0"/>
              <w:right w:val="single" w:color="000000" w:sz="4" w:space="0"/>
            </w:tcBorders>
            <w:noWrap/>
            <w:vAlign w:val="center"/>
          </w:tcPr>
          <w:p w14:paraId="09394E09">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总监理工程师</w:t>
            </w:r>
          </w:p>
        </w:tc>
        <w:tc>
          <w:tcPr>
            <w:tcW w:w="896" w:type="pct"/>
            <w:tcBorders>
              <w:top w:val="single" w:color="000000" w:sz="4" w:space="0"/>
              <w:left w:val="single" w:color="000000" w:sz="4" w:space="0"/>
              <w:bottom w:val="single" w:color="000000" w:sz="4" w:space="0"/>
              <w:right w:val="single" w:color="000000" w:sz="4" w:space="0"/>
            </w:tcBorders>
            <w:noWrap/>
            <w:vAlign w:val="center"/>
          </w:tcPr>
          <w:p w14:paraId="2A3962D3">
            <w:pPr>
              <w:jc w:val="center"/>
              <w:rPr>
                <w:rFonts w:hint="eastAsia" w:ascii="宋体" w:hAnsi="宋体" w:cs="宋体"/>
                <w:color w:val="auto"/>
                <w:sz w:val="24"/>
                <w:szCs w:val="24"/>
                <w:highlight w:val="none"/>
                <w:u w:val="single"/>
              </w:rPr>
            </w:pPr>
          </w:p>
        </w:tc>
        <w:tc>
          <w:tcPr>
            <w:tcW w:w="1046" w:type="pct"/>
            <w:tcBorders>
              <w:top w:val="single" w:color="000000" w:sz="4" w:space="0"/>
              <w:left w:val="single" w:color="000000" w:sz="4" w:space="0"/>
              <w:bottom w:val="single" w:color="000000" w:sz="4" w:space="0"/>
              <w:right w:val="single" w:color="000000" w:sz="4" w:space="0"/>
            </w:tcBorders>
            <w:noWrap/>
            <w:vAlign w:val="center"/>
          </w:tcPr>
          <w:p w14:paraId="3B394E6E">
            <w:pPr>
              <w:jc w:val="center"/>
              <w:rPr>
                <w:rFonts w:hint="eastAsia" w:ascii="宋体" w:hAnsi="宋体" w:cs="宋体"/>
                <w:color w:val="auto"/>
                <w:sz w:val="24"/>
                <w:szCs w:val="24"/>
                <w:highlight w:val="none"/>
              </w:rPr>
            </w:pPr>
          </w:p>
        </w:tc>
        <w:tc>
          <w:tcPr>
            <w:tcW w:w="943" w:type="pct"/>
            <w:tcBorders>
              <w:top w:val="single" w:color="000000" w:sz="4" w:space="0"/>
              <w:left w:val="single" w:color="000000" w:sz="4" w:space="0"/>
              <w:bottom w:val="single" w:color="000000" w:sz="4" w:space="0"/>
              <w:right w:val="single" w:color="000000" w:sz="4" w:space="0"/>
            </w:tcBorders>
            <w:noWrap/>
            <w:vAlign w:val="center"/>
          </w:tcPr>
          <w:p w14:paraId="40A6DEA2">
            <w:pPr>
              <w:jc w:val="center"/>
              <w:rPr>
                <w:rFonts w:hint="eastAsia" w:ascii="宋体" w:hAnsi="宋体" w:cs="宋体"/>
                <w:color w:val="auto"/>
                <w:sz w:val="24"/>
                <w:szCs w:val="24"/>
                <w:highlight w:val="none"/>
              </w:rPr>
            </w:pPr>
          </w:p>
        </w:tc>
        <w:tc>
          <w:tcPr>
            <w:tcW w:w="908" w:type="pct"/>
            <w:tcBorders>
              <w:top w:val="single" w:color="000000" w:sz="4" w:space="0"/>
              <w:left w:val="single" w:color="000000" w:sz="4" w:space="0"/>
              <w:bottom w:val="single" w:color="000000" w:sz="4" w:space="0"/>
              <w:right w:val="single" w:color="000000" w:sz="4" w:space="0"/>
            </w:tcBorders>
            <w:noWrap/>
            <w:vAlign w:val="center"/>
          </w:tcPr>
          <w:p w14:paraId="7B6E784C">
            <w:pPr>
              <w:adjustRightInd w:val="0"/>
              <w:snapToGrid w:val="0"/>
              <w:jc w:val="center"/>
              <w:rPr>
                <w:rFonts w:hint="eastAsia" w:ascii="宋体" w:hAnsi="宋体" w:cs="宋体"/>
                <w:color w:val="auto"/>
                <w:sz w:val="24"/>
                <w:szCs w:val="24"/>
                <w:highlight w:val="none"/>
              </w:rPr>
            </w:pPr>
          </w:p>
        </w:tc>
      </w:tr>
      <w:tr w14:paraId="67C033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205" w:type="pct"/>
            <w:tcBorders>
              <w:top w:val="single" w:color="000000" w:sz="4" w:space="0"/>
              <w:left w:val="single" w:color="000000" w:sz="4" w:space="0"/>
              <w:bottom w:val="single" w:color="000000" w:sz="4" w:space="0"/>
              <w:right w:val="single" w:color="000000" w:sz="4" w:space="0"/>
            </w:tcBorders>
            <w:noWrap/>
            <w:vAlign w:val="center"/>
          </w:tcPr>
          <w:p w14:paraId="4753849C">
            <w:pPr>
              <w:jc w:val="center"/>
              <w:rPr>
                <w:rFonts w:hint="eastAsia" w:ascii="宋体" w:hAnsi="宋体" w:cs="宋体"/>
                <w:color w:val="auto"/>
                <w:sz w:val="24"/>
                <w:szCs w:val="24"/>
                <w:highlight w:val="none"/>
              </w:rPr>
            </w:pPr>
          </w:p>
        </w:tc>
        <w:tc>
          <w:tcPr>
            <w:tcW w:w="896" w:type="pct"/>
            <w:tcBorders>
              <w:top w:val="single" w:color="000000" w:sz="4" w:space="0"/>
              <w:left w:val="single" w:color="000000" w:sz="4" w:space="0"/>
              <w:bottom w:val="single" w:color="000000" w:sz="4" w:space="0"/>
              <w:right w:val="single" w:color="000000" w:sz="4" w:space="0"/>
            </w:tcBorders>
            <w:noWrap/>
            <w:vAlign w:val="center"/>
          </w:tcPr>
          <w:p w14:paraId="7E398FE3">
            <w:pPr>
              <w:jc w:val="center"/>
              <w:rPr>
                <w:rFonts w:hint="eastAsia" w:ascii="宋体" w:hAnsi="宋体" w:cs="宋体"/>
                <w:color w:val="auto"/>
                <w:sz w:val="24"/>
                <w:szCs w:val="24"/>
                <w:highlight w:val="none"/>
              </w:rPr>
            </w:pPr>
          </w:p>
        </w:tc>
        <w:tc>
          <w:tcPr>
            <w:tcW w:w="1046" w:type="pct"/>
            <w:tcBorders>
              <w:top w:val="single" w:color="000000" w:sz="4" w:space="0"/>
              <w:left w:val="single" w:color="000000" w:sz="4" w:space="0"/>
              <w:bottom w:val="single" w:color="000000" w:sz="4" w:space="0"/>
              <w:right w:val="single" w:color="000000" w:sz="4" w:space="0"/>
            </w:tcBorders>
            <w:noWrap/>
            <w:vAlign w:val="center"/>
          </w:tcPr>
          <w:p w14:paraId="3423D518">
            <w:pPr>
              <w:jc w:val="center"/>
              <w:rPr>
                <w:rFonts w:hint="eastAsia" w:ascii="宋体" w:hAnsi="宋体" w:cs="宋体"/>
                <w:color w:val="auto"/>
                <w:sz w:val="24"/>
                <w:szCs w:val="24"/>
                <w:highlight w:val="none"/>
              </w:rPr>
            </w:pPr>
          </w:p>
        </w:tc>
        <w:tc>
          <w:tcPr>
            <w:tcW w:w="943" w:type="pct"/>
            <w:tcBorders>
              <w:top w:val="single" w:color="000000" w:sz="4" w:space="0"/>
              <w:left w:val="single" w:color="000000" w:sz="4" w:space="0"/>
              <w:bottom w:val="single" w:color="000000" w:sz="4" w:space="0"/>
              <w:right w:val="single" w:color="000000" w:sz="4" w:space="0"/>
            </w:tcBorders>
            <w:noWrap/>
            <w:vAlign w:val="center"/>
          </w:tcPr>
          <w:p w14:paraId="224351EA">
            <w:pPr>
              <w:jc w:val="center"/>
              <w:rPr>
                <w:rFonts w:hint="eastAsia" w:ascii="宋体" w:hAnsi="宋体" w:cs="宋体"/>
                <w:color w:val="auto"/>
                <w:sz w:val="24"/>
                <w:szCs w:val="24"/>
                <w:highlight w:val="none"/>
              </w:rPr>
            </w:pPr>
          </w:p>
        </w:tc>
        <w:tc>
          <w:tcPr>
            <w:tcW w:w="908" w:type="pct"/>
            <w:tcBorders>
              <w:top w:val="single" w:color="000000" w:sz="4" w:space="0"/>
              <w:left w:val="single" w:color="000000" w:sz="4" w:space="0"/>
              <w:bottom w:val="single" w:color="000000" w:sz="4" w:space="0"/>
              <w:right w:val="single" w:color="000000" w:sz="4" w:space="0"/>
            </w:tcBorders>
            <w:noWrap/>
            <w:vAlign w:val="center"/>
          </w:tcPr>
          <w:p w14:paraId="0613B041">
            <w:pPr>
              <w:adjustRightInd w:val="0"/>
              <w:snapToGrid w:val="0"/>
              <w:jc w:val="center"/>
              <w:rPr>
                <w:rFonts w:hint="eastAsia" w:ascii="宋体" w:hAnsi="宋体" w:cs="宋体"/>
                <w:color w:val="auto"/>
                <w:sz w:val="24"/>
                <w:szCs w:val="24"/>
                <w:highlight w:val="none"/>
              </w:rPr>
            </w:pPr>
          </w:p>
        </w:tc>
      </w:tr>
      <w:tr w14:paraId="4BDADF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205" w:type="pct"/>
            <w:tcBorders>
              <w:top w:val="single" w:color="000000" w:sz="4" w:space="0"/>
              <w:left w:val="single" w:color="000000" w:sz="4" w:space="0"/>
              <w:bottom w:val="single" w:color="000000" w:sz="4" w:space="0"/>
              <w:right w:val="single" w:color="000000" w:sz="4" w:space="0"/>
            </w:tcBorders>
            <w:noWrap/>
            <w:vAlign w:val="center"/>
          </w:tcPr>
          <w:p w14:paraId="7709ED7C">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w:t>
            </w:r>
          </w:p>
        </w:tc>
        <w:tc>
          <w:tcPr>
            <w:tcW w:w="896" w:type="pct"/>
            <w:tcBorders>
              <w:top w:val="single" w:color="000000" w:sz="4" w:space="0"/>
              <w:left w:val="single" w:color="000000" w:sz="4" w:space="0"/>
              <w:bottom w:val="single" w:color="000000" w:sz="4" w:space="0"/>
              <w:right w:val="single" w:color="000000" w:sz="4" w:space="0"/>
            </w:tcBorders>
            <w:noWrap/>
            <w:vAlign w:val="center"/>
          </w:tcPr>
          <w:p w14:paraId="679B1EC0">
            <w:pPr>
              <w:jc w:val="center"/>
              <w:rPr>
                <w:rFonts w:hint="eastAsia" w:ascii="宋体" w:hAnsi="宋体" w:cs="宋体"/>
                <w:color w:val="auto"/>
                <w:sz w:val="24"/>
                <w:szCs w:val="24"/>
                <w:highlight w:val="none"/>
              </w:rPr>
            </w:pPr>
          </w:p>
        </w:tc>
        <w:tc>
          <w:tcPr>
            <w:tcW w:w="1046" w:type="pct"/>
            <w:tcBorders>
              <w:top w:val="single" w:color="000000" w:sz="4" w:space="0"/>
              <w:left w:val="single" w:color="000000" w:sz="4" w:space="0"/>
              <w:bottom w:val="single" w:color="000000" w:sz="4" w:space="0"/>
              <w:right w:val="single" w:color="000000" w:sz="4" w:space="0"/>
            </w:tcBorders>
            <w:noWrap/>
            <w:vAlign w:val="center"/>
          </w:tcPr>
          <w:p w14:paraId="05D75739">
            <w:pPr>
              <w:jc w:val="center"/>
              <w:rPr>
                <w:rFonts w:hint="eastAsia" w:ascii="宋体" w:hAnsi="宋体" w:cs="宋体"/>
                <w:color w:val="auto"/>
                <w:sz w:val="24"/>
                <w:szCs w:val="24"/>
                <w:highlight w:val="none"/>
              </w:rPr>
            </w:pPr>
          </w:p>
        </w:tc>
        <w:tc>
          <w:tcPr>
            <w:tcW w:w="943" w:type="pct"/>
            <w:tcBorders>
              <w:top w:val="single" w:color="000000" w:sz="4" w:space="0"/>
              <w:left w:val="single" w:color="000000" w:sz="4" w:space="0"/>
              <w:bottom w:val="single" w:color="000000" w:sz="4" w:space="0"/>
              <w:right w:val="single" w:color="000000" w:sz="4" w:space="0"/>
            </w:tcBorders>
            <w:noWrap/>
            <w:vAlign w:val="center"/>
          </w:tcPr>
          <w:p w14:paraId="56D5CB45">
            <w:pPr>
              <w:jc w:val="center"/>
              <w:rPr>
                <w:rFonts w:hint="eastAsia" w:ascii="宋体" w:hAnsi="宋体" w:cs="宋体"/>
                <w:color w:val="auto"/>
                <w:sz w:val="24"/>
                <w:szCs w:val="24"/>
                <w:highlight w:val="none"/>
              </w:rPr>
            </w:pPr>
          </w:p>
        </w:tc>
        <w:tc>
          <w:tcPr>
            <w:tcW w:w="908" w:type="pct"/>
            <w:tcBorders>
              <w:top w:val="single" w:color="000000" w:sz="4" w:space="0"/>
              <w:left w:val="single" w:color="000000" w:sz="4" w:space="0"/>
              <w:bottom w:val="single" w:color="000000" w:sz="4" w:space="0"/>
              <w:right w:val="single" w:color="000000" w:sz="4" w:space="0"/>
            </w:tcBorders>
            <w:noWrap/>
            <w:vAlign w:val="center"/>
          </w:tcPr>
          <w:p w14:paraId="3DF007CE">
            <w:pPr>
              <w:adjustRightInd w:val="0"/>
              <w:snapToGrid w:val="0"/>
              <w:jc w:val="center"/>
              <w:rPr>
                <w:rFonts w:hint="eastAsia" w:ascii="宋体" w:hAnsi="宋体" w:cs="宋体"/>
                <w:color w:val="auto"/>
                <w:sz w:val="24"/>
                <w:szCs w:val="24"/>
                <w:highlight w:val="none"/>
              </w:rPr>
            </w:pPr>
          </w:p>
        </w:tc>
      </w:tr>
      <w:tr w14:paraId="33843D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205" w:type="pct"/>
            <w:tcBorders>
              <w:top w:val="single" w:color="000000" w:sz="4" w:space="0"/>
              <w:left w:val="single" w:color="000000" w:sz="4" w:space="0"/>
              <w:bottom w:val="single" w:color="000000" w:sz="4" w:space="0"/>
              <w:right w:val="single" w:color="000000" w:sz="4" w:space="0"/>
            </w:tcBorders>
            <w:noWrap/>
            <w:vAlign w:val="center"/>
          </w:tcPr>
          <w:p w14:paraId="1D85091F">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w:t>
            </w:r>
          </w:p>
        </w:tc>
        <w:tc>
          <w:tcPr>
            <w:tcW w:w="896" w:type="pct"/>
            <w:tcBorders>
              <w:top w:val="single" w:color="000000" w:sz="4" w:space="0"/>
              <w:left w:val="single" w:color="000000" w:sz="4" w:space="0"/>
              <w:bottom w:val="single" w:color="000000" w:sz="4" w:space="0"/>
              <w:right w:val="single" w:color="000000" w:sz="4" w:space="0"/>
            </w:tcBorders>
            <w:noWrap/>
            <w:vAlign w:val="center"/>
          </w:tcPr>
          <w:p w14:paraId="6BBBFF41">
            <w:pPr>
              <w:jc w:val="center"/>
              <w:rPr>
                <w:rFonts w:hint="eastAsia" w:ascii="宋体" w:hAnsi="宋体" w:cs="宋体"/>
                <w:color w:val="auto"/>
                <w:sz w:val="24"/>
                <w:szCs w:val="24"/>
                <w:highlight w:val="none"/>
              </w:rPr>
            </w:pPr>
          </w:p>
        </w:tc>
        <w:tc>
          <w:tcPr>
            <w:tcW w:w="1046" w:type="pct"/>
            <w:tcBorders>
              <w:top w:val="single" w:color="000000" w:sz="4" w:space="0"/>
              <w:left w:val="single" w:color="000000" w:sz="4" w:space="0"/>
              <w:bottom w:val="single" w:color="000000" w:sz="4" w:space="0"/>
              <w:right w:val="single" w:color="000000" w:sz="4" w:space="0"/>
            </w:tcBorders>
            <w:noWrap/>
            <w:vAlign w:val="center"/>
          </w:tcPr>
          <w:p w14:paraId="14F5EE36">
            <w:pPr>
              <w:jc w:val="center"/>
              <w:rPr>
                <w:rFonts w:hint="eastAsia" w:ascii="宋体" w:hAnsi="宋体" w:cs="宋体"/>
                <w:color w:val="auto"/>
                <w:sz w:val="24"/>
                <w:szCs w:val="24"/>
                <w:highlight w:val="none"/>
              </w:rPr>
            </w:pPr>
          </w:p>
        </w:tc>
        <w:tc>
          <w:tcPr>
            <w:tcW w:w="943" w:type="pct"/>
            <w:tcBorders>
              <w:top w:val="single" w:color="000000" w:sz="4" w:space="0"/>
              <w:left w:val="single" w:color="000000" w:sz="4" w:space="0"/>
              <w:bottom w:val="single" w:color="000000" w:sz="4" w:space="0"/>
              <w:right w:val="single" w:color="000000" w:sz="4" w:space="0"/>
            </w:tcBorders>
            <w:noWrap/>
            <w:vAlign w:val="center"/>
          </w:tcPr>
          <w:p w14:paraId="32D83050">
            <w:pPr>
              <w:jc w:val="center"/>
              <w:rPr>
                <w:rFonts w:hint="eastAsia" w:ascii="宋体" w:hAnsi="宋体" w:cs="宋体"/>
                <w:color w:val="auto"/>
                <w:sz w:val="24"/>
                <w:szCs w:val="24"/>
                <w:highlight w:val="none"/>
              </w:rPr>
            </w:pPr>
          </w:p>
        </w:tc>
        <w:tc>
          <w:tcPr>
            <w:tcW w:w="908" w:type="pct"/>
            <w:tcBorders>
              <w:top w:val="single" w:color="000000" w:sz="4" w:space="0"/>
              <w:left w:val="single" w:color="000000" w:sz="4" w:space="0"/>
              <w:bottom w:val="single" w:color="000000" w:sz="4" w:space="0"/>
              <w:right w:val="single" w:color="000000" w:sz="4" w:space="0"/>
            </w:tcBorders>
            <w:noWrap/>
            <w:vAlign w:val="center"/>
          </w:tcPr>
          <w:p w14:paraId="651A1366">
            <w:pPr>
              <w:adjustRightInd w:val="0"/>
              <w:snapToGrid w:val="0"/>
              <w:jc w:val="center"/>
              <w:rPr>
                <w:rFonts w:hint="eastAsia" w:ascii="宋体" w:hAnsi="宋体" w:cs="宋体"/>
                <w:color w:val="auto"/>
                <w:sz w:val="24"/>
                <w:szCs w:val="24"/>
                <w:highlight w:val="none"/>
              </w:rPr>
            </w:pPr>
          </w:p>
        </w:tc>
      </w:tr>
      <w:tr w14:paraId="51DE3B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205" w:type="pct"/>
            <w:tcBorders>
              <w:top w:val="single" w:color="000000" w:sz="4" w:space="0"/>
              <w:left w:val="single" w:color="000000" w:sz="4" w:space="0"/>
              <w:bottom w:val="single" w:color="000000" w:sz="4" w:space="0"/>
              <w:right w:val="single" w:color="000000" w:sz="4" w:space="0"/>
            </w:tcBorders>
            <w:noWrap/>
            <w:vAlign w:val="center"/>
          </w:tcPr>
          <w:p w14:paraId="1C1E193E">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w:t>
            </w:r>
          </w:p>
        </w:tc>
        <w:tc>
          <w:tcPr>
            <w:tcW w:w="896" w:type="pct"/>
            <w:tcBorders>
              <w:top w:val="single" w:color="000000" w:sz="4" w:space="0"/>
              <w:left w:val="single" w:color="000000" w:sz="4" w:space="0"/>
              <w:bottom w:val="single" w:color="000000" w:sz="4" w:space="0"/>
              <w:right w:val="single" w:color="000000" w:sz="4" w:space="0"/>
            </w:tcBorders>
            <w:noWrap/>
            <w:vAlign w:val="center"/>
          </w:tcPr>
          <w:p w14:paraId="1565D6E7">
            <w:pPr>
              <w:jc w:val="center"/>
              <w:rPr>
                <w:rFonts w:hint="eastAsia" w:ascii="宋体" w:hAnsi="宋体" w:cs="宋体"/>
                <w:color w:val="auto"/>
                <w:sz w:val="24"/>
                <w:szCs w:val="24"/>
                <w:highlight w:val="none"/>
              </w:rPr>
            </w:pPr>
          </w:p>
        </w:tc>
        <w:tc>
          <w:tcPr>
            <w:tcW w:w="1046" w:type="pct"/>
            <w:tcBorders>
              <w:top w:val="single" w:color="000000" w:sz="4" w:space="0"/>
              <w:left w:val="single" w:color="000000" w:sz="4" w:space="0"/>
              <w:bottom w:val="single" w:color="000000" w:sz="4" w:space="0"/>
              <w:right w:val="single" w:color="000000" w:sz="4" w:space="0"/>
            </w:tcBorders>
            <w:noWrap/>
            <w:vAlign w:val="center"/>
          </w:tcPr>
          <w:p w14:paraId="078CCEC9">
            <w:pPr>
              <w:jc w:val="center"/>
              <w:rPr>
                <w:rFonts w:hint="eastAsia" w:ascii="宋体" w:hAnsi="宋体" w:cs="宋体"/>
                <w:color w:val="auto"/>
                <w:sz w:val="24"/>
                <w:szCs w:val="24"/>
                <w:highlight w:val="none"/>
              </w:rPr>
            </w:pPr>
          </w:p>
        </w:tc>
        <w:tc>
          <w:tcPr>
            <w:tcW w:w="943" w:type="pct"/>
            <w:tcBorders>
              <w:top w:val="single" w:color="000000" w:sz="4" w:space="0"/>
              <w:left w:val="single" w:color="000000" w:sz="4" w:space="0"/>
              <w:bottom w:val="single" w:color="000000" w:sz="4" w:space="0"/>
              <w:right w:val="single" w:color="000000" w:sz="4" w:space="0"/>
            </w:tcBorders>
            <w:noWrap/>
            <w:vAlign w:val="center"/>
          </w:tcPr>
          <w:p w14:paraId="5C174996">
            <w:pPr>
              <w:jc w:val="center"/>
              <w:rPr>
                <w:rFonts w:hint="eastAsia" w:ascii="宋体" w:hAnsi="宋体" w:cs="宋体"/>
                <w:color w:val="auto"/>
                <w:sz w:val="24"/>
                <w:szCs w:val="24"/>
                <w:highlight w:val="none"/>
              </w:rPr>
            </w:pPr>
          </w:p>
        </w:tc>
        <w:tc>
          <w:tcPr>
            <w:tcW w:w="908" w:type="pct"/>
            <w:tcBorders>
              <w:top w:val="single" w:color="000000" w:sz="4" w:space="0"/>
              <w:left w:val="single" w:color="000000" w:sz="4" w:space="0"/>
              <w:bottom w:val="single" w:color="000000" w:sz="4" w:space="0"/>
              <w:right w:val="single" w:color="000000" w:sz="4" w:space="0"/>
            </w:tcBorders>
            <w:noWrap/>
            <w:vAlign w:val="center"/>
          </w:tcPr>
          <w:p w14:paraId="43877623">
            <w:pPr>
              <w:adjustRightInd w:val="0"/>
              <w:snapToGrid w:val="0"/>
              <w:jc w:val="center"/>
              <w:rPr>
                <w:rFonts w:hint="eastAsia" w:ascii="宋体" w:hAnsi="宋体" w:cs="宋体"/>
                <w:color w:val="auto"/>
                <w:sz w:val="24"/>
                <w:szCs w:val="24"/>
                <w:highlight w:val="none"/>
              </w:rPr>
            </w:pPr>
          </w:p>
        </w:tc>
      </w:tr>
      <w:tr w14:paraId="750BD0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205" w:type="pct"/>
            <w:tcBorders>
              <w:top w:val="single" w:color="000000" w:sz="4" w:space="0"/>
              <w:left w:val="single" w:color="000000" w:sz="4" w:space="0"/>
              <w:bottom w:val="single" w:color="000000" w:sz="4" w:space="0"/>
              <w:right w:val="single" w:color="000000" w:sz="4" w:space="0"/>
            </w:tcBorders>
            <w:noWrap/>
            <w:vAlign w:val="center"/>
          </w:tcPr>
          <w:p w14:paraId="162BB512">
            <w:pPr>
              <w:jc w:val="center"/>
              <w:rPr>
                <w:rFonts w:hint="eastAsia" w:ascii="宋体" w:hAnsi="宋体" w:cs="宋体"/>
                <w:color w:val="auto"/>
                <w:sz w:val="24"/>
                <w:szCs w:val="24"/>
                <w:highlight w:val="none"/>
              </w:rPr>
            </w:pPr>
          </w:p>
        </w:tc>
        <w:tc>
          <w:tcPr>
            <w:tcW w:w="896" w:type="pct"/>
            <w:tcBorders>
              <w:top w:val="single" w:color="000000" w:sz="4" w:space="0"/>
              <w:left w:val="single" w:color="000000" w:sz="4" w:space="0"/>
              <w:bottom w:val="single" w:color="000000" w:sz="4" w:space="0"/>
              <w:right w:val="single" w:color="000000" w:sz="4" w:space="0"/>
            </w:tcBorders>
            <w:noWrap/>
            <w:vAlign w:val="center"/>
          </w:tcPr>
          <w:p w14:paraId="0813CBDE">
            <w:pPr>
              <w:adjustRightInd w:val="0"/>
              <w:snapToGrid w:val="0"/>
              <w:jc w:val="center"/>
              <w:rPr>
                <w:rFonts w:hint="eastAsia" w:ascii="宋体" w:hAnsi="宋体" w:cs="宋体"/>
                <w:color w:val="auto"/>
                <w:sz w:val="24"/>
                <w:szCs w:val="24"/>
                <w:highlight w:val="none"/>
              </w:rPr>
            </w:pPr>
          </w:p>
        </w:tc>
        <w:tc>
          <w:tcPr>
            <w:tcW w:w="1046" w:type="pct"/>
            <w:tcBorders>
              <w:top w:val="single" w:color="000000" w:sz="4" w:space="0"/>
              <w:left w:val="single" w:color="000000" w:sz="4" w:space="0"/>
              <w:bottom w:val="single" w:color="000000" w:sz="4" w:space="0"/>
              <w:right w:val="single" w:color="000000" w:sz="4" w:space="0"/>
            </w:tcBorders>
            <w:noWrap/>
            <w:vAlign w:val="center"/>
          </w:tcPr>
          <w:p w14:paraId="069D82DA">
            <w:pPr>
              <w:adjustRightInd w:val="0"/>
              <w:snapToGrid w:val="0"/>
              <w:jc w:val="center"/>
              <w:rPr>
                <w:rFonts w:hint="eastAsia" w:ascii="宋体" w:hAnsi="宋体" w:cs="宋体"/>
                <w:color w:val="auto"/>
                <w:sz w:val="24"/>
                <w:szCs w:val="24"/>
                <w:highlight w:val="none"/>
              </w:rPr>
            </w:pPr>
          </w:p>
        </w:tc>
        <w:tc>
          <w:tcPr>
            <w:tcW w:w="943" w:type="pct"/>
            <w:tcBorders>
              <w:top w:val="single" w:color="000000" w:sz="4" w:space="0"/>
              <w:left w:val="single" w:color="000000" w:sz="4" w:space="0"/>
              <w:bottom w:val="single" w:color="000000" w:sz="4" w:space="0"/>
              <w:right w:val="single" w:color="000000" w:sz="4" w:space="0"/>
            </w:tcBorders>
            <w:noWrap/>
            <w:vAlign w:val="center"/>
          </w:tcPr>
          <w:p w14:paraId="3D4AE5E3">
            <w:pPr>
              <w:adjustRightInd w:val="0"/>
              <w:snapToGrid w:val="0"/>
              <w:jc w:val="center"/>
              <w:rPr>
                <w:rFonts w:hint="eastAsia" w:ascii="宋体" w:hAnsi="宋体" w:cs="宋体"/>
                <w:color w:val="auto"/>
                <w:sz w:val="24"/>
                <w:szCs w:val="24"/>
                <w:highlight w:val="none"/>
              </w:rPr>
            </w:pPr>
          </w:p>
        </w:tc>
        <w:tc>
          <w:tcPr>
            <w:tcW w:w="908" w:type="pct"/>
            <w:tcBorders>
              <w:top w:val="single" w:color="000000" w:sz="4" w:space="0"/>
              <w:left w:val="single" w:color="000000" w:sz="4" w:space="0"/>
              <w:bottom w:val="single" w:color="000000" w:sz="4" w:space="0"/>
              <w:right w:val="single" w:color="000000" w:sz="4" w:space="0"/>
            </w:tcBorders>
            <w:noWrap/>
            <w:vAlign w:val="center"/>
          </w:tcPr>
          <w:p w14:paraId="33C819B5">
            <w:pPr>
              <w:adjustRightInd w:val="0"/>
              <w:snapToGrid w:val="0"/>
              <w:jc w:val="center"/>
              <w:rPr>
                <w:rFonts w:hint="eastAsia" w:ascii="宋体" w:hAnsi="宋体" w:cs="宋体"/>
                <w:color w:val="auto"/>
                <w:sz w:val="24"/>
                <w:szCs w:val="24"/>
                <w:highlight w:val="none"/>
              </w:rPr>
            </w:pPr>
          </w:p>
        </w:tc>
      </w:tr>
      <w:tr w14:paraId="6326FD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205" w:type="pct"/>
            <w:tcBorders>
              <w:top w:val="single" w:color="000000" w:sz="4" w:space="0"/>
              <w:left w:val="single" w:color="000000" w:sz="4" w:space="0"/>
              <w:bottom w:val="single" w:color="000000" w:sz="4" w:space="0"/>
              <w:right w:val="single" w:color="000000" w:sz="4" w:space="0"/>
            </w:tcBorders>
            <w:noWrap/>
            <w:vAlign w:val="center"/>
          </w:tcPr>
          <w:p w14:paraId="14994DF9">
            <w:pPr>
              <w:jc w:val="center"/>
              <w:rPr>
                <w:rFonts w:hint="eastAsia" w:ascii="宋体" w:hAnsi="宋体" w:cs="宋体"/>
                <w:color w:val="auto"/>
                <w:sz w:val="24"/>
                <w:szCs w:val="24"/>
                <w:highlight w:val="none"/>
              </w:rPr>
            </w:pPr>
          </w:p>
        </w:tc>
        <w:tc>
          <w:tcPr>
            <w:tcW w:w="896" w:type="pct"/>
            <w:tcBorders>
              <w:top w:val="single" w:color="000000" w:sz="4" w:space="0"/>
              <w:left w:val="single" w:color="000000" w:sz="4" w:space="0"/>
              <w:bottom w:val="single" w:color="000000" w:sz="4" w:space="0"/>
              <w:right w:val="single" w:color="000000" w:sz="4" w:space="0"/>
            </w:tcBorders>
            <w:noWrap/>
            <w:vAlign w:val="center"/>
          </w:tcPr>
          <w:p w14:paraId="6BA98648">
            <w:pPr>
              <w:adjustRightInd w:val="0"/>
              <w:snapToGrid w:val="0"/>
              <w:jc w:val="center"/>
              <w:rPr>
                <w:rFonts w:hint="eastAsia" w:ascii="宋体" w:hAnsi="宋体" w:cs="宋体"/>
                <w:color w:val="auto"/>
                <w:sz w:val="24"/>
                <w:szCs w:val="24"/>
                <w:highlight w:val="none"/>
              </w:rPr>
            </w:pPr>
          </w:p>
        </w:tc>
        <w:tc>
          <w:tcPr>
            <w:tcW w:w="1046" w:type="pct"/>
            <w:tcBorders>
              <w:top w:val="single" w:color="000000" w:sz="4" w:space="0"/>
              <w:left w:val="single" w:color="000000" w:sz="4" w:space="0"/>
              <w:bottom w:val="single" w:color="000000" w:sz="4" w:space="0"/>
              <w:right w:val="single" w:color="000000" w:sz="4" w:space="0"/>
            </w:tcBorders>
            <w:noWrap/>
            <w:vAlign w:val="center"/>
          </w:tcPr>
          <w:p w14:paraId="587FF470">
            <w:pPr>
              <w:adjustRightInd w:val="0"/>
              <w:snapToGrid w:val="0"/>
              <w:jc w:val="center"/>
              <w:rPr>
                <w:rFonts w:hint="eastAsia" w:ascii="宋体" w:hAnsi="宋体" w:cs="宋体"/>
                <w:color w:val="auto"/>
                <w:sz w:val="24"/>
                <w:szCs w:val="24"/>
                <w:highlight w:val="none"/>
              </w:rPr>
            </w:pPr>
          </w:p>
        </w:tc>
        <w:tc>
          <w:tcPr>
            <w:tcW w:w="943" w:type="pct"/>
            <w:tcBorders>
              <w:top w:val="single" w:color="000000" w:sz="4" w:space="0"/>
              <w:left w:val="single" w:color="000000" w:sz="4" w:space="0"/>
              <w:bottom w:val="single" w:color="000000" w:sz="4" w:space="0"/>
              <w:right w:val="single" w:color="000000" w:sz="4" w:space="0"/>
            </w:tcBorders>
            <w:noWrap/>
            <w:vAlign w:val="center"/>
          </w:tcPr>
          <w:p w14:paraId="63139F25">
            <w:pPr>
              <w:adjustRightInd w:val="0"/>
              <w:snapToGrid w:val="0"/>
              <w:jc w:val="center"/>
              <w:rPr>
                <w:rFonts w:hint="eastAsia" w:ascii="宋体" w:hAnsi="宋体" w:cs="宋体"/>
                <w:color w:val="auto"/>
                <w:sz w:val="24"/>
                <w:szCs w:val="24"/>
                <w:highlight w:val="none"/>
              </w:rPr>
            </w:pPr>
          </w:p>
        </w:tc>
        <w:tc>
          <w:tcPr>
            <w:tcW w:w="908" w:type="pct"/>
            <w:tcBorders>
              <w:top w:val="single" w:color="000000" w:sz="4" w:space="0"/>
              <w:left w:val="single" w:color="000000" w:sz="4" w:space="0"/>
              <w:bottom w:val="single" w:color="000000" w:sz="4" w:space="0"/>
              <w:right w:val="single" w:color="000000" w:sz="4" w:space="0"/>
            </w:tcBorders>
            <w:noWrap/>
            <w:vAlign w:val="center"/>
          </w:tcPr>
          <w:p w14:paraId="30CFFAD6">
            <w:pPr>
              <w:adjustRightInd w:val="0"/>
              <w:snapToGrid w:val="0"/>
              <w:jc w:val="center"/>
              <w:rPr>
                <w:rFonts w:hint="eastAsia" w:ascii="宋体" w:hAnsi="宋体" w:cs="宋体"/>
                <w:color w:val="auto"/>
                <w:sz w:val="24"/>
                <w:szCs w:val="24"/>
                <w:highlight w:val="none"/>
              </w:rPr>
            </w:pPr>
          </w:p>
        </w:tc>
      </w:tr>
      <w:tr w14:paraId="5D6F1F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205" w:type="pct"/>
            <w:tcBorders>
              <w:top w:val="single" w:color="000000" w:sz="4" w:space="0"/>
              <w:left w:val="single" w:color="000000" w:sz="4" w:space="0"/>
              <w:bottom w:val="single" w:color="000000" w:sz="4" w:space="0"/>
              <w:right w:val="single" w:color="000000" w:sz="4" w:space="0"/>
            </w:tcBorders>
            <w:noWrap/>
            <w:vAlign w:val="center"/>
          </w:tcPr>
          <w:p w14:paraId="2D76D20B">
            <w:pPr>
              <w:jc w:val="center"/>
              <w:rPr>
                <w:rFonts w:hint="eastAsia" w:ascii="宋体" w:hAnsi="宋体" w:cs="宋体"/>
                <w:color w:val="auto"/>
                <w:sz w:val="24"/>
                <w:szCs w:val="24"/>
                <w:highlight w:val="none"/>
              </w:rPr>
            </w:pPr>
          </w:p>
        </w:tc>
        <w:tc>
          <w:tcPr>
            <w:tcW w:w="896" w:type="pct"/>
            <w:tcBorders>
              <w:top w:val="single" w:color="000000" w:sz="4" w:space="0"/>
              <w:left w:val="single" w:color="000000" w:sz="4" w:space="0"/>
              <w:bottom w:val="single" w:color="000000" w:sz="4" w:space="0"/>
              <w:right w:val="single" w:color="000000" w:sz="4" w:space="0"/>
            </w:tcBorders>
            <w:noWrap/>
            <w:vAlign w:val="center"/>
          </w:tcPr>
          <w:p w14:paraId="04FE0542">
            <w:pPr>
              <w:adjustRightInd w:val="0"/>
              <w:snapToGrid w:val="0"/>
              <w:jc w:val="center"/>
              <w:rPr>
                <w:rFonts w:hint="eastAsia" w:ascii="宋体" w:hAnsi="宋体" w:cs="宋体"/>
                <w:color w:val="auto"/>
                <w:sz w:val="24"/>
                <w:szCs w:val="24"/>
                <w:highlight w:val="none"/>
              </w:rPr>
            </w:pPr>
          </w:p>
        </w:tc>
        <w:tc>
          <w:tcPr>
            <w:tcW w:w="1046" w:type="pct"/>
            <w:tcBorders>
              <w:top w:val="single" w:color="000000" w:sz="4" w:space="0"/>
              <w:left w:val="single" w:color="000000" w:sz="4" w:space="0"/>
              <w:bottom w:val="single" w:color="000000" w:sz="4" w:space="0"/>
              <w:right w:val="single" w:color="000000" w:sz="4" w:space="0"/>
            </w:tcBorders>
            <w:noWrap/>
            <w:vAlign w:val="center"/>
          </w:tcPr>
          <w:p w14:paraId="0BFE2922">
            <w:pPr>
              <w:adjustRightInd w:val="0"/>
              <w:snapToGrid w:val="0"/>
              <w:jc w:val="center"/>
              <w:rPr>
                <w:rFonts w:hint="eastAsia" w:ascii="宋体" w:hAnsi="宋体" w:cs="宋体"/>
                <w:color w:val="auto"/>
                <w:sz w:val="24"/>
                <w:szCs w:val="24"/>
                <w:highlight w:val="none"/>
              </w:rPr>
            </w:pPr>
          </w:p>
        </w:tc>
        <w:tc>
          <w:tcPr>
            <w:tcW w:w="943" w:type="pct"/>
            <w:tcBorders>
              <w:top w:val="single" w:color="000000" w:sz="4" w:space="0"/>
              <w:left w:val="single" w:color="000000" w:sz="4" w:space="0"/>
              <w:bottom w:val="single" w:color="000000" w:sz="4" w:space="0"/>
              <w:right w:val="single" w:color="000000" w:sz="4" w:space="0"/>
            </w:tcBorders>
            <w:noWrap/>
            <w:vAlign w:val="center"/>
          </w:tcPr>
          <w:p w14:paraId="2F237091">
            <w:pPr>
              <w:adjustRightInd w:val="0"/>
              <w:snapToGrid w:val="0"/>
              <w:jc w:val="center"/>
              <w:rPr>
                <w:rFonts w:hint="eastAsia" w:ascii="宋体" w:hAnsi="宋体" w:cs="宋体"/>
                <w:color w:val="auto"/>
                <w:sz w:val="24"/>
                <w:szCs w:val="24"/>
                <w:highlight w:val="none"/>
              </w:rPr>
            </w:pPr>
          </w:p>
        </w:tc>
        <w:tc>
          <w:tcPr>
            <w:tcW w:w="908" w:type="pct"/>
            <w:tcBorders>
              <w:top w:val="single" w:color="000000" w:sz="4" w:space="0"/>
              <w:left w:val="single" w:color="000000" w:sz="4" w:space="0"/>
              <w:bottom w:val="single" w:color="000000" w:sz="4" w:space="0"/>
              <w:right w:val="single" w:color="000000" w:sz="4" w:space="0"/>
            </w:tcBorders>
            <w:noWrap/>
            <w:vAlign w:val="center"/>
          </w:tcPr>
          <w:p w14:paraId="02DDC6B7">
            <w:pPr>
              <w:adjustRightInd w:val="0"/>
              <w:snapToGrid w:val="0"/>
              <w:jc w:val="center"/>
              <w:rPr>
                <w:rFonts w:hint="eastAsia" w:ascii="宋体" w:hAnsi="宋体" w:cs="宋体"/>
                <w:color w:val="auto"/>
                <w:sz w:val="24"/>
                <w:szCs w:val="24"/>
                <w:highlight w:val="none"/>
              </w:rPr>
            </w:pPr>
          </w:p>
        </w:tc>
      </w:tr>
    </w:tbl>
    <w:p w14:paraId="38F4762C">
      <w:pPr>
        <w:spacing w:line="440" w:lineRule="exact"/>
        <w:rPr>
          <w:rFonts w:hint="eastAsia" w:ascii="宋体" w:hAnsi="宋体" w:eastAsia="宋体" w:cs="宋体"/>
          <w:b/>
          <w:color w:val="auto"/>
          <w:szCs w:val="21"/>
          <w:highlight w:val="none"/>
        </w:rPr>
        <w:sectPr>
          <w:pgSz w:w="11906" w:h="16838"/>
          <w:pgMar w:top="1417" w:right="1417" w:bottom="1417" w:left="1417" w:header="850" w:footer="992" w:gutter="0"/>
          <w:pgNumType w:fmt="decimal"/>
          <w:cols w:space="0" w:num="1"/>
          <w:rtlGutter w:val="0"/>
          <w:docGrid w:linePitch="312" w:charSpace="0"/>
        </w:sectPr>
      </w:pPr>
      <w:r>
        <w:rPr>
          <w:rFonts w:hint="eastAsia" w:ascii="宋体" w:hAnsi="宋体" w:cs="宋体"/>
          <w:b/>
          <w:color w:val="auto"/>
          <w:szCs w:val="21"/>
          <w:highlight w:val="none"/>
        </w:rPr>
        <w:t>注：附</w:t>
      </w:r>
      <w:r>
        <w:rPr>
          <w:rFonts w:hint="eastAsia" w:ascii="宋体" w:hAnsi="宋体" w:cs="宋体"/>
          <w:b/>
          <w:color w:val="auto"/>
          <w:szCs w:val="21"/>
          <w:highlight w:val="none"/>
          <w:lang w:val="en-US" w:eastAsia="zh-CN"/>
        </w:rPr>
        <w:t>相关人员的</w:t>
      </w:r>
      <w:r>
        <w:rPr>
          <w:rFonts w:hint="eastAsia" w:ascii="宋体" w:hAnsi="宋体" w:cs="宋体"/>
          <w:b/>
          <w:color w:val="auto"/>
          <w:szCs w:val="21"/>
          <w:highlight w:val="none"/>
        </w:rPr>
        <w:t>身份证、毕业证（如有）、职称证（如有）、相关资格证书（如有）等材料</w:t>
      </w:r>
      <w:r>
        <w:rPr>
          <w:rFonts w:hint="eastAsia" w:ascii="宋体" w:hAnsi="宋体" w:cs="宋体"/>
          <w:b/>
          <w:color w:val="auto"/>
          <w:szCs w:val="21"/>
          <w:highlight w:val="none"/>
          <w:lang w:eastAsia="zh-CN"/>
        </w:rPr>
        <w:t>。总监理工程师</w:t>
      </w:r>
      <w:r>
        <w:rPr>
          <w:rFonts w:hint="eastAsia" w:ascii="宋体" w:hAnsi="宋体" w:cs="宋体"/>
          <w:b/>
          <w:color w:val="auto"/>
          <w:szCs w:val="21"/>
          <w:highlight w:val="none"/>
        </w:rPr>
        <w:t>相关资料可在后续简历表后提供。</w:t>
      </w:r>
    </w:p>
    <w:p w14:paraId="725909DB">
      <w:pPr>
        <w:pStyle w:val="6"/>
        <w:jc w:val="center"/>
        <w:rPr>
          <w:rFonts w:hint="eastAsia" w:ascii="宋体" w:hAnsi="宋体" w:cs="宋体"/>
          <w:color w:val="auto"/>
          <w:sz w:val="30"/>
          <w:szCs w:val="30"/>
          <w:highlight w:val="none"/>
        </w:rPr>
      </w:pPr>
      <w:bookmarkStart w:id="900" w:name="_Toc24565"/>
      <w:bookmarkStart w:id="901" w:name="_Toc4135"/>
      <w:bookmarkStart w:id="902" w:name="_Toc22365"/>
      <w:bookmarkStart w:id="903" w:name="_Toc14442"/>
      <w:bookmarkStart w:id="904" w:name="_Toc22619"/>
      <w:bookmarkStart w:id="905" w:name="_Toc10745"/>
      <w:bookmarkStart w:id="906" w:name="_Toc10144"/>
      <w:bookmarkStart w:id="907" w:name="_Toc2052"/>
      <w:bookmarkStart w:id="908" w:name="_Toc16331"/>
      <w:bookmarkStart w:id="909" w:name="_Toc26024"/>
      <w:r>
        <w:rPr>
          <w:rFonts w:hint="eastAsia" w:ascii="宋体" w:hAnsi="宋体" w:cs="宋体"/>
          <w:color w:val="auto"/>
          <w:sz w:val="28"/>
          <w:szCs w:val="28"/>
          <w:highlight w:val="none"/>
          <w:lang w:val="en-US" w:eastAsia="zh-CN"/>
        </w:rPr>
        <w:t>4.1总监理工程师</w:t>
      </w:r>
      <w:r>
        <w:rPr>
          <w:rFonts w:hint="eastAsia" w:ascii="宋体" w:hAnsi="宋体" w:cs="宋体"/>
          <w:color w:val="auto"/>
          <w:sz w:val="28"/>
          <w:szCs w:val="28"/>
          <w:highlight w:val="none"/>
        </w:rPr>
        <w:t>简历表</w:t>
      </w:r>
      <w:bookmarkEnd w:id="900"/>
      <w:bookmarkEnd w:id="901"/>
      <w:bookmarkEnd w:id="902"/>
      <w:bookmarkEnd w:id="903"/>
      <w:bookmarkEnd w:id="904"/>
      <w:bookmarkEnd w:id="905"/>
      <w:bookmarkEnd w:id="906"/>
      <w:bookmarkEnd w:id="907"/>
      <w:bookmarkEnd w:id="908"/>
      <w:bookmarkEnd w:id="909"/>
    </w:p>
    <w:tbl>
      <w:tblPr>
        <w:tblStyle w:val="5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20"/>
        <w:gridCol w:w="345"/>
        <w:gridCol w:w="1575"/>
        <w:gridCol w:w="1045"/>
        <w:gridCol w:w="873"/>
        <w:gridCol w:w="392"/>
        <w:gridCol w:w="1344"/>
        <w:gridCol w:w="531"/>
        <w:gridCol w:w="1959"/>
      </w:tblGrid>
      <w:tr w14:paraId="78899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43" w:type="pct"/>
            <w:gridSpan w:val="2"/>
            <w:vAlign w:val="center"/>
          </w:tcPr>
          <w:p w14:paraId="36FF9563">
            <w:pPr>
              <w:spacing w:line="440" w:lineRule="exact"/>
              <w:jc w:val="center"/>
              <w:rPr>
                <w:rFonts w:hint="eastAsia" w:ascii="宋体" w:hAnsi="宋体" w:cs="宋体"/>
                <w:color w:val="auto"/>
                <w:szCs w:val="21"/>
                <w:highlight w:val="none"/>
              </w:rPr>
            </w:pPr>
            <w:r>
              <w:rPr>
                <w:rFonts w:hint="eastAsia" w:ascii="宋体" w:hAnsi="宋体" w:cs="宋体"/>
                <w:color w:val="auto"/>
                <w:szCs w:val="21"/>
                <w:highlight w:val="none"/>
              </w:rPr>
              <w:t>姓名</w:t>
            </w:r>
          </w:p>
        </w:tc>
        <w:tc>
          <w:tcPr>
            <w:tcW w:w="848" w:type="pct"/>
          </w:tcPr>
          <w:p w14:paraId="634E1D29">
            <w:pPr>
              <w:spacing w:line="440" w:lineRule="exact"/>
              <w:rPr>
                <w:rFonts w:hint="eastAsia" w:ascii="宋体" w:hAnsi="宋体" w:cs="宋体"/>
                <w:color w:val="auto"/>
                <w:szCs w:val="21"/>
                <w:highlight w:val="none"/>
              </w:rPr>
            </w:pPr>
          </w:p>
        </w:tc>
        <w:tc>
          <w:tcPr>
            <w:tcW w:w="563" w:type="pct"/>
            <w:vAlign w:val="center"/>
          </w:tcPr>
          <w:p w14:paraId="2CBB55AD">
            <w:pPr>
              <w:spacing w:line="440" w:lineRule="exact"/>
              <w:jc w:val="center"/>
              <w:rPr>
                <w:rFonts w:hint="eastAsia" w:ascii="宋体" w:hAnsi="宋体" w:cs="宋体"/>
                <w:color w:val="auto"/>
                <w:szCs w:val="21"/>
                <w:highlight w:val="none"/>
              </w:rPr>
            </w:pPr>
            <w:r>
              <w:rPr>
                <w:rFonts w:hint="eastAsia" w:ascii="宋体" w:hAnsi="宋体" w:cs="宋体"/>
                <w:color w:val="auto"/>
                <w:szCs w:val="21"/>
                <w:highlight w:val="none"/>
              </w:rPr>
              <w:t>年龄</w:t>
            </w:r>
          </w:p>
        </w:tc>
        <w:tc>
          <w:tcPr>
            <w:tcW w:w="681" w:type="pct"/>
            <w:gridSpan w:val="2"/>
          </w:tcPr>
          <w:p w14:paraId="0982A966">
            <w:pPr>
              <w:spacing w:line="440" w:lineRule="exact"/>
              <w:rPr>
                <w:rFonts w:hint="eastAsia" w:ascii="宋体" w:hAnsi="宋体" w:cs="宋体"/>
                <w:color w:val="auto"/>
                <w:szCs w:val="21"/>
                <w:highlight w:val="none"/>
              </w:rPr>
            </w:pPr>
          </w:p>
        </w:tc>
        <w:tc>
          <w:tcPr>
            <w:tcW w:w="1010" w:type="pct"/>
            <w:gridSpan w:val="2"/>
            <w:vAlign w:val="center"/>
          </w:tcPr>
          <w:p w14:paraId="360B8880">
            <w:pPr>
              <w:spacing w:line="440" w:lineRule="exact"/>
              <w:jc w:val="center"/>
              <w:rPr>
                <w:rFonts w:hint="eastAsia" w:ascii="宋体" w:hAnsi="宋体" w:cs="宋体"/>
                <w:color w:val="auto"/>
                <w:szCs w:val="21"/>
                <w:highlight w:val="none"/>
              </w:rPr>
            </w:pPr>
            <w:r>
              <w:rPr>
                <w:rFonts w:hint="eastAsia" w:ascii="宋体" w:hAnsi="宋体" w:cs="宋体"/>
                <w:color w:val="auto"/>
                <w:szCs w:val="21"/>
                <w:highlight w:val="none"/>
              </w:rPr>
              <w:t>学          历</w:t>
            </w:r>
          </w:p>
        </w:tc>
        <w:tc>
          <w:tcPr>
            <w:tcW w:w="1053" w:type="pct"/>
          </w:tcPr>
          <w:p w14:paraId="6FFD1D05">
            <w:pPr>
              <w:spacing w:line="440" w:lineRule="exact"/>
              <w:rPr>
                <w:rFonts w:hint="eastAsia" w:ascii="宋体" w:hAnsi="宋体" w:cs="宋体"/>
                <w:color w:val="auto"/>
                <w:szCs w:val="21"/>
                <w:highlight w:val="none"/>
              </w:rPr>
            </w:pPr>
          </w:p>
        </w:tc>
      </w:tr>
      <w:tr w14:paraId="6FF44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43" w:type="pct"/>
            <w:gridSpan w:val="2"/>
            <w:vAlign w:val="center"/>
          </w:tcPr>
          <w:p w14:paraId="109D23AB">
            <w:pPr>
              <w:spacing w:line="440" w:lineRule="exact"/>
              <w:jc w:val="center"/>
              <w:rPr>
                <w:rFonts w:hint="eastAsia" w:ascii="宋体" w:hAnsi="宋体" w:cs="宋体"/>
                <w:color w:val="auto"/>
                <w:szCs w:val="21"/>
                <w:highlight w:val="none"/>
              </w:rPr>
            </w:pPr>
            <w:r>
              <w:rPr>
                <w:rFonts w:hint="eastAsia" w:ascii="宋体" w:hAnsi="宋体" w:cs="宋体"/>
                <w:color w:val="auto"/>
                <w:szCs w:val="21"/>
                <w:highlight w:val="none"/>
              </w:rPr>
              <w:t>职称</w:t>
            </w:r>
          </w:p>
        </w:tc>
        <w:tc>
          <w:tcPr>
            <w:tcW w:w="848" w:type="pct"/>
          </w:tcPr>
          <w:p w14:paraId="43A21CC1">
            <w:pPr>
              <w:spacing w:line="440" w:lineRule="exact"/>
              <w:rPr>
                <w:rFonts w:hint="eastAsia" w:ascii="宋体" w:hAnsi="宋体" w:cs="宋体"/>
                <w:color w:val="auto"/>
                <w:szCs w:val="21"/>
                <w:highlight w:val="none"/>
              </w:rPr>
            </w:pPr>
          </w:p>
        </w:tc>
        <w:tc>
          <w:tcPr>
            <w:tcW w:w="563" w:type="pct"/>
            <w:vAlign w:val="center"/>
          </w:tcPr>
          <w:p w14:paraId="7A784F52">
            <w:pPr>
              <w:spacing w:line="440" w:lineRule="exact"/>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性别</w:t>
            </w:r>
          </w:p>
        </w:tc>
        <w:tc>
          <w:tcPr>
            <w:tcW w:w="681" w:type="pct"/>
            <w:gridSpan w:val="2"/>
          </w:tcPr>
          <w:p w14:paraId="58D843F5">
            <w:pPr>
              <w:spacing w:line="440" w:lineRule="exact"/>
              <w:rPr>
                <w:rFonts w:hint="eastAsia" w:ascii="宋体" w:hAnsi="宋体" w:cs="宋体"/>
                <w:color w:val="auto"/>
                <w:szCs w:val="21"/>
                <w:highlight w:val="none"/>
              </w:rPr>
            </w:pPr>
          </w:p>
        </w:tc>
        <w:tc>
          <w:tcPr>
            <w:tcW w:w="1010" w:type="pct"/>
            <w:gridSpan w:val="2"/>
            <w:vAlign w:val="center"/>
          </w:tcPr>
          <w:p w14:paraId="16B7F2CA">
            <w:pPr>
              <w:spacing w:line="440" w:lineRule="exact"/>
              <w:jc w:val="center"/>
              <w:rPr>
                <w:rFonts w:hint="eastAsia" w:ascii="宋体" w:hAnsi="宋体" w:cs="宋体"/>
                <w:color w:val="auto"/>
                <w:szCs w:val="21"/>
                <w:highlight w:val="none"/>
              </w:rPr>
            </w:pPr>
            <w:r>
              <w:rPr>
                <w:rFonts w:hint="eastAsia" w:ascii="宋体" w:hAnsi="宋体" w:cs="宋体"/>
                <w:color w:val="auto"/>
                <w:szCs w:val="21"/>
                <w:highlight w:val="none"/>
              </w:rPr>
              <w:t>拟在本合同任职</w:t>
            </w:r>
          </w:p>
        </w:tc>
        <w:tc>
          <w:tcPr>
            <w:tcW w:w="1053" w:type="pct"/>
          </w:tcPr>
          <w:p w14:paraId="58F1A88F">
            <w:pPr>
              <w:spacing w:line="440"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总监理工程</w:t>
            </w:r>
            <w:r>
              <w:rPr>
                <w:rFonts w:hint="eastAsia" w:ascii="宋体" w:hAnsi="宋体" w:cs="宋体"/>
                <w:color w:val="auto"/>
                <w:szCs w:val="21"/>
                <w:highlight w:val="none"/>
                <w:lang w:val="en-US" w:eastAsia="zh-CN"/>
              </w:rPr>
              <w:t>师</w:t>
            </w:r>
          </w:p>
        </w:tc>
      </w:tr>
      <w:tr w14:paraId="5FD0D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43" w:type="pct"/>
            <w:gridSpan w:val="2"/>
            <w:vAlign w:val="center"/>
          </w:tcPr>
          <w:p w14:paraId="2176E862">
            <w:pPr>
              <w:spacing w:line="440" w:lineRule="exact"/>
              <w:jc w:val="center"/>
              <w:rPr>
                <w:rFonts w:hint="eastAsia" w:ascii="宋体" w:hAnsi="宋体" w:cs="宋体"/>
                <w:color w:val="auto"/>
                <w:szCs w:val="21"/>
                <w:highlight w:val="none"/>
              </w:rPr>
            </w:pPr>
            <w:r>
              <w:rPr>
                <w:rFonts w:hint="eastAsia" w:ascii="宋体" w:hAnsi="宋体" w:cs="宋体"/>
                <w:color w:val="auto"/>
                <w:szCs w:val="21"/>
                <w:highlight w:val="none"/>
              </w:rPr>
              <w:t>毕业学校</w:t>
            </w:r>
          </w:p>
        </w:tc>
        <w:tc>
          <w:tcPr>
            <w:tcW w:w="4156" w:type="pct"/>
            <w:gridSpan w:val="7"/>
          </w:tcPr>
          <w:p w14:paraId="4B948C1E">
            <w:pPr>
              <w:spacing w:line="440" w:lineRule="exact"/>
              <w:ind w:firstLine="525" w:firstLineChars="250"/>
              <w:rPr>
                <w:rFonts w:hint="eastAsia" w:ascii="宋体" w:hAnsi="宋体" w:cs="宋体"/>
                <w:color w:val="auto"/>
                <w:szCs w:val="21"/>
                <w:highlight w:val="none"/>
              </w:rPr>
            </w:pPr>
            <w:r>
              <w:rPr>
                <w:rFonts w:hint="eastAsia" w:ascii="宋体" w:hAnsi="宋体" w:cs="宋体"/>
                <w:color w:val="auto"/>
                <w:szCs w:val="21"/>
                <w:highlight w:val="none"/>
              </w:rPr>
              <w:t>年毕业于                 学校         专业</w:t>
            </w:r>
          </w:p>
        </w:tc>
      </w:tr>
      <w:tr w14:paraId="7E724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000" w:type="pct"/>
            <w:gridSpan w:val="9"/>
          </w:tcPr>
          <w:p w14:paraId="0BFA67EC">
            <w:pPr>
              <w:spacing w:line="440" w:lineRule="exact"/>
              <w:ind w:firstLine="4200" w:firstLineChars="2000"/>
              <w:rPr>
                <w:rFonts w:hint="eastAsia" w:ascii="宋体" w:hAnsi="宋体" w:cs="宋体"/>
                <w:color w:val="auto"/>
                <w:szCs w:val="21"/>
                <w:highlight w:val="none"/>
              </w:rPr>
            </w:pPr>
            <w:r>
              <w:rPr>
                <w:rFonts w:hint="eastAsia" w:ascii="宋体" w:hAnsi="宋体" w:cs="宋体"/>
                <w:color w:val="auto"/>
                <w:szCs w:val="21"/>
                <w:highlight w:val="none"/>
              </w:rPr>
              <w:t>主要工作经历</w:t>
            </w:r>
          </w:p>
        </w:tc>
      </w:tr>
      <w:tr w14:paraId="4C9A1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57" w:type="pct"/>
            <w:vAlign w:val="center"/>
          </w:tcPr>
          <w:p w14:paraId="6E4A58E9">
            <w:pPr>
              <w:spacing w:line="440" w:lineRule="exact"/>
              <w:jc w:val="center"/>
              <w:rPr>
                <w:rFonts w:hint="eastAsia" w:ascii="宋体" w:hAnsi="宋体" w:cs="宋体"/>
                <w:color w:val="auto"/>
                <w:szCs w:val="21"/>
                <w:highlight w:val="none"/>
              </w:rPr>
            </w:pPr>
            <w:r>
              <w:rPr>
                <w:rFonts w:hint="eastAsia" w:ascii="宋体" w:hAnsi="宋体" w:cs="宋体"/>
                <w:color w:val="auto"/>
                <w:szCs w:val="21"/>
                <w:highlight w:val="none"/>
              </w:rPr>
              <w:t>时间</w:t>
            </w:r>
          </w:p>
        </w:tc>
        <w:tc>
          <w:tcPr>
            <w:tcW w:w="2067" w:type="pct"/>
            <w:gridSpan w:val="4"/>
            <w:vAlign w:val="center"/>
          </w:tcPr>
          <w:p w14:paraId="3DCF803C">
            <w:pPr>
              <w:spacing w:line="440" w:lineRule="exact"/>
              <w:jc w:val="center"/>
              <w:rPr>
                <w:rFonts w:hint="eastAsia" w:ascii="宋体" w:hAnsi="宋体" w:cs="宋体"/>
                <w:color w:val="auto"/>
                <w:szCs w:val="21"/>
                <w:highlight w:val="none"/>
              </w:rPr>
            </w:pPr>
            <w:r>
              <w:rPr>
                <w:rFonts w:hint="eastAsia" w:ascii="宋体" w:hAnsi="宋体" w:cs="宋体"/>
                <w:color w:val="auto"/>
                <w:szCs w:val="21"/>
                <w:highlight w:val="none"/>
              </w:rPr>
              <w:t>参加过的类似项目</w:t>
            </w:r>
          </w:p>
        </w:tc>
        <w:tc>
          <w:tcPr>
            <w:tcW w:w="935" w:type="pct"/>
            <w:gridSpan w:val="2"/>
            <w:vAlign w:val="center"/>
          </w:tcPr>
          <w:p w14:paraId="4E71B7B4">
            <w:pPr>
              <w:spacing w:line="440" w:lineRule="exact"/>
              <w:jc w:val="center"/>
              <w:rPr>
                <w:rFonts w:hint="eastAsia" w:ascii="宋体" w:hAnsi="宋体" w:cs="宋体"/>
                <w:color w:val="auto"/>
                <w:szCs w:val="21"/>
                <w:highlight w:val="none"/>
              </w:rPr>
            </w:pPr>
            <w:r>
              <w:rPr>
                <w:rFonts w:hint="eastAsia" w:ascii="宋体" w:hAnsi="宋体" w:cs="宋体"/>
                <w:color w:val="auto"/>
                <w:szCs w:val="21"/>
                <w:highlight w:val="none"/>
              </w:rPr>
              <w:t>担任职务</w:t>
            </w:r>
          </w:p>
        </w:tc>
        <w:tc>
          <w:tcPr>
            <w:tcW w:w="1339" w:type="pct"/>
            <w:gridSpan w:val="2"/>
            <w:vAlign w:val="center"/>
          </w:tcPr>
          <w:p w14:paraId="251D9194">
            <w:pPr>
              <w:spacing w:line="440" w:lineRule="exact"/>
              <w:jc w:val="center"/>
              <w:rPr>
                <w:rFonts w:hint="eastAsia" w:ascii="宋体" w:hAnsi="宋体" w:cs="宋体"/>
                <w:color w:val="auto"/>
                <w:szCs w:val="21"/>
                <w:highlight w:val="none"/>
              </w:rPr>
            </w:pPr>
            <w:r>
              <w:rPr>
                <w:rFonts w:hint="eastAsia" w:ascii="宋体" w:hAnsi="宋体" w:cs="宋体"/>
                <w:color w:val="auto"/>
                <w:szCs w:val="21"/>
                <w:highlight w:val="none"/>
              </w:rPr>
              <w:t xml:space="preserve">发包人 </w:t>
            </w:r>
          </w:p>
        </w:tc>
      </w:tr>
      <w:tr w14:paraId="7A8AE5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57" w:type="pct"/>
          </w:tcPr>
          <w:p w14:paraId="5FA5F9DE">
            <w:pPr>
              <w:spacing w:line="440" w:lineRule="exact"/>
              <w:rPr>
                <w:rFonts w:hint="eastAsia" w:ascii="宋体" w:hAnsi="宋体" w:cs="宋体"/>
                <w:color w:val="auto"/>
                <w:szCs w:val="21"/>
                <w:highlight w:val="none"/>
              </w:rPr>
            </w:pPr>
          </w:p>
        </w:tc>
        <w:tc>
          <w:tcPr>
            <w:tcW w:w="2067" w:type="pct"/>
            <w:gridSpan w:val="4"/>
          </w:tcPr>
          <w:p w14:paraId="6C5CF34D">
            <w:pPr>
              <w:spacing w:line="440" w:lineRule="exact"/>
              <w:rPr>
                <w:rFonts w:hint="eastAsia" w:ascii="宋体" w:hAnsi="宋体" w:cs="宋体"/>
                <w:color w:val="auto"/>
                <w:szCs w:val="21"/>
                <w:highlight w:val="none"/>
              </w:rPr>
            </w:pPr>
          </w:p>
        </w:tc>
        <w:tc>
          <w:tcPr>
            <w:tcW w:w="935" w:type="pct"/>
            <w:gridSpan w:val="2"/>
          </w:tcPr>
          <w:p w14:paraId="5A697B6B">
            <w:pPr>
              <w:spacing w:line="440" w:lineRule="exact"/>
              <w:rPr>
                <w:rFonts w:hint="eastAsia" w:ascii="宋体" w:hAnsi="宋体" w:cs="宋体"/>
                <w:color w:val="auto"/>
                <w:szCs w:val="21"/>
                <w:highlight w:val="none"/>
              </w:rPr>
            </w:pPr>
          </w:p>
        </w:tc>
        <w:tc>
          <w:tcPr>
            <w:tcW w:w="1339" w:type="pct"/>
            <w:gridSpan w:val="2"/>
          </w:tcPr>
          <w:p w14:paraId="096A27B6">
            <w:pPr>
              <w:spacing w:line="440" w:lineRule="exact"/>
              <w:rPr>
                <w:rFonts w:hint="eastAsia" w:ascii="宋体" w:hAnsi="宋体" w:cs="宋体"/>
                <w:color w:val="auto"/>
                <w:szCs w:val="21"/>
                <w:highlight w:val="none"/>
              </w:rPr>
            </w:pPr>
          </w:p>
        </w:tc>
      </w:tr>
      <w:tr w14:paraId="0520E2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57" w:type="pct"/>
          </w:tcPr>
          <w:p w14:paraId="1856D4A9">
            <w:pPr>
              <w:spacing w:line="440" w:lineRule="exact"/>
              <w:rPr>
                <w:rFonts w:hint="eastAsia" w:ascii="宋体" w:hAnsi="宋体" w:cs="宋体"/>
                <w:color w:val="auto"/>
                <w:szCs w:val="21"/>
                <w:highlight w:val="none"/>
              </w:rPr>
            </w:pPr>
          </w:p>
        </w:tc>
        <w:tc>
          <w:tcPr>
            <w:tcW w:w="2067" w:type="pct"/>
            <w:gridSpan w:val="4"/>
          </w:tcPr>
          <w:p w14:paraId="61FECDA1">
            <w:pPr>
              <w:spacing w:line="440" w:lineRule="exact"/>
              <w:rPr>
                <w:rFonts w:hint="eastAsia" w:ascii="宋体" w:hAnsi="宋体" w:cs="宋体"/>
                <w:color w:val="auto"/>
                <w:szCs w:val="21"/>
                <w:highlight w:val="none"/>
              </w:rPr>
            </w:pPr>
          </w:p>
        </w:tc>
        <w:tc>
          <w:tcPr>
            <w:tcW w:w="935" w:type="pct"/>
            <w:gridSpan w:val="2"/>
          </w:tcPr>
          <w:p w14:paraId="61FDD796">
            <w:pPr>
              <w:spacing w:line="440" w:lineRule="exact"/>
              <w:rPr>
                <w:rFonts w:hint="eastAsia" w:ascii="宋体" w:hAnsi="宋体" w:cs="宋体"/>
                <w:color w:val="auto"/>
                <w:szCs w:val="21"/>
                <w:highlight w:val="none"/>
              </w:rPr>
            </w:pPr>
          </w:p>
        </w:tc>
        <w:tc>
          <w:tcPr>
            <w:tcW w:w="1339" w:type="pct"/>
            <w:gridSpan w:val="2"/>
          </w:tcPr>
          <w:p w14:paraId="5E21F912">
            <w:pPr>
              <w:spacing w:line="440" w:lineRule="exact"/>
              <w:rPr>
                <w:rFonts w:hint="eastAsia" w:ascii="宋体" w:hAnsi="宋体" w:cs="宋体"/>
                <w:color w:val="auto"/>
                <w:szCs w:val="21"/>
                <w:highlight w:val="none"/>
              </w:rPr>
            </w:pPr>
          </w:p>
        </w:tc>
      </w:tr>
      <w:tr w14:paraId="550BA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57" w:type="pct"/>
          </w:tcPr>
          <w:p w14:paraId="26C439FC">
            <w:pPr>
              <w:spacing w:line="440" w:lineRule="exact"/>
              <w:rPr>
                <w:rFonts w:hint="eastAsia" w:ascii="宋体" w:hAnsi="宋体" w:cs="宋体"/>
                <w:color w:val="auto"/>
                <w:szCs w:val="21"/>
                <w:highlight w:val="none"/>
              </w:rPr>
            </w:pPr>
          </w:p>
        </w:tc>
        <w:tc>
          <w:tcPr>
            <w:tcW w:w="2067" w:type="pct"/>
            <w:gridSpan w:val="4"/>
          </w:tcPr>
          <w:p w14:paraId="26E23F71">
            <w:pPr>
              <w:spacing w:line="440" w:lineRule="exact"/>
              <w:rPr>
                <w:rFonts w:hint="eastAsia" w:ascii="宋体" w:hAnsi="宋体" w:cs="宋体"/>
                <w:color w:val="auto"/>
                <w:szCs w:val="21"/>
                <w:highlight w:val="none"/>
              </w:rPr>
            </w:pPr>
          </w:p>
        </w:tc>
        <w:tc>
          <w:tcPr>
            <w:tcW w:w="935" w:type="pct"/>
            <w:gridSpan w:val="2"/>
          </w:tcPr>
          <w:p w14:paraId="4EA2891A">
            <w:pPr>
              <w:spacing w:line="440" w:lineRule="exact"/>
              <w:rPr>
                <w:rFonts w:hint="eastAsia" w:ascii="宋体" w:hAnsi="宋体" w:cs="宋体"/>
                <w:color w:val="auto"/>
                <w:szCs w:val="21"/>
                <w:highlight w:val="none"/>
              </w:rPr>
            </w:pPr>
          </w:p>
        </w:tc>
        <w:tc>
          <w:tcPr>
            <w:tcW w:w="1339" w:type="pct"/>
            <w:gridSpan w:val="2"/>
          </w:tcPr>
          <w:p w14:paraId="694AC1DB">
            <w:pPr>
              <w:spacing w:line="440" w:lineRule="exact"/>
              <w:rPr>
                <w:rFonts w:hint="eastAsia" w:ascii="宋体" w:hAnsi="宋体" w:cs="宋体"/>
                <w:color w:val="auto"/>
                <w:szCs w:val="21"/>
                <w:highlight w:val="none"/>
              </w:rPr>
            </w:pPr>
          </w:p>
        </w:tc>
      </w:tr>
      <w:tr w14:paraId="35705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trPr>
        <w:tc>
          <w:tcPr>
            <w:tcW w:w="657" w:type="pct"/>
          </w:tcPr>
          <w:p w14:paraId="0D5442DB">
            <w:pPr>
              <w:spacing w:line="440" w:lineRule="exact"/>
              <w:rPr>
                <w:rFonts w:hint="eastAsia" w:ascii="宋体" w:hAnsi="宋体" w:cs="宋体"/>
                <w:color w:val="auto"/>
                <w:szCs w:val="21"/>
                <w:highlight w:val="none"/>
              </w:rPr>
            </w:pPr>
          </w:p>
        </w:tc>
        <w:tc>
          <w:tcPr>
            <w:tcW w:w="2067" w:type="pct"/>
            <w:gridSpan w:val="4"/>
          </w:tcPr>
          <w:p w14:paraId="0A2DE7A9">
            <w:pPr>
              <w:spacing w:line="440" w:lineRule="exact"/>
              <w:rPr>
                <w:rFonts w:hint="eastAsia" w:ascii="宋体" w:hAnsi="宋体" w:cs="宋体"/>
                <w:color w:val="auto"/>
                <w:szCs w:val="21"/>
                <w:highlight w:val="none"/>
              </w:rPr>
            </w:pPr>
          </w:p>
        </w:tc>
        <w:tc>
          <w:tcPr>
            <w:tcW w:w="935" w:type="pct"/>
            <w:gridSpan w:val="2"/>
          </w:tcPr>
          <w:p w14:paraId="59BA655D">
            <w:pPr>
              <w:spacing w:line="440" w:lineRule="exact"/>
              <w:rPr>
                <w:rFonts w:hint="eastAsia" w:ascii="宋体" w:hAnsi="宋体" w:cs="宋体"/>
                <w:color w:val="auto"/>
                <w:szCs w:val="21"/>
                <w:highlight w:val="none"/>
              </w:rPr>
            </w:pPr>
          </w:p>
        </w:tc>
        <w:tc>
          <w:tcPr>
            <w:tcW w:w="1339" w:type="pct"/>
            <w:gridSpan w:val="2"/>
          </w:tcPr>
          <w:p w14:paraId="0E30DC65">
            <w:pPr>
              <w:spacing w:line="440" w:lineRule="exact"/>
              <w:rPr>
                <w:rFonts w:hint="eastAsia" w:ascii="宋体" w:hAnsi="宋体" w:cs="宋体"/>
                <w:color w:val="auto"/>
                <w:szCs w:val="21"/>
                <w:highlight w:val="none"/>
              </w:rPr>
            </w:pPr>
          </w:p>
        </w:tc>
      </w:tr>
      <w:tr w14:paraId="01C9D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57" w:type="pct"/>
          </w:tcPr>
          <w:p w14:paraId="31CD9167">
            <w:pPr>
              <w:spacing w:line="440" w:lineRule="exact"/>
              <w:rPr>
                <w:rFonts w:hint="eastAsia" w:ascii="宋体" w:hAnsi="宋体" w:cs="宋体"/>
                <w:color w:val="auto"/>
                <w:szCs w:val="21"/>
                <w:highlight w:val="none"/>
              </w:rPr>
            </w:pPr>
          </w:p>
        </w:tc>
        <w:tc>
          <w:tcPr>
            <w:tcW w:w="2067" w:type="pct"/>
            <w:gridSpan w:val="4"/>
          </w:tcPr>
          <w:p w14:paraId="5C918C2C">
            <w:pPr>
              <w:spacing w:line="440" w:lineRule="exact"/>
              <w:rPr>
                <w:rFonts w:hint="eastAsia" w:ascii="宋体" w:hAnsi="宋体" w:cs="宋体"/>
                <w:color w:val="auto"/>
                <w:szCs w:val="21"/>
                <w:highlight w:val="none"/>
              </w:rPr>
            </w:pPr>
          </w:p>
        </w:tc>
        <w:tc>
          <w:tcPr>
            <w:tcW w:w="935" w:type="pct"/>
            <w:gridSpan w:val="2"/>
          </w:tcPr>
          <w:p w14:paraId="0FEAE300">
            <w:pPr>
              <w:spacing w:line="440" w:lineRule="exact"/>
              <w:rPr>
                <w:rFonts w:hint="eastAsia" w:ascii="宋体" w:hAnsi="宋体" w:cs="宋体"/>
                <w:color w:val="auto"/>
                <w:szCs w:val="21"/>
                <w:highlight w:val="none"/>
              </w:rPr>
            </w:pPr>
          </w:p>
        </w:tc>
        <w:tc>
          <w:tcPr>
            <w:tcW w:w="1339" w:type="pct"/>
            <w:gridSpan w:val="2"/>
          </w:tcPr>
          <w:p w14:paraId="3A44FFDE">
            <w:pPr>
              <w:spacing w:line="440" w:lineRule="exact"/>
              <w:rPr>
                <w:rFonts w:hint="eastAsia" w:ascii="宋体" w:hAnsi="宋体" w:cs="宋体"/>
                <w:color w:val="auto"/>
                <w:szCs w:val="21"/>
                <w:highlight w:val="none"/>
              </w:rPr>
            </w:pPr>
          </w:p>
        </w:tc>
      </w:tr>
      <w:tr w14:paraId="1E778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57" w:type="pct"/>
          </w:tcPr>
          <w:p w14:paraId="0002D486">
            <w:pPr>
              <w:spacing w:line="440" w:lineRule="exact"/>
              <w:rPr>
                <w:rFonts w:hint="eastAsia" w:ascii="宋体" w:hAnsi="宋体" w:cs="宋体"/>
                <w:color w:val="auto"/>
                <w:szCs w:val="21"/>
                <w:highlight w:val="none"/>
              </w:rPr>
            </w:pPr>
          </w:p>
        </w:tc>
        <w:tc>
          <w:tcPr>
            <w:tcW w:w="2067" w:type="pct"/>
            <w:gridSpan w:val="4"/>
          </w:tcPr>
          <w:p w14:paraId="63C69DC2">
            <w:pPr>
              <w:spacing w:line="440" w:lineRule="exact"/>
              <w:rPr>
                <w:rFonts w:hint="eastAsia" w:ascii="宋体" w:hAnsi="宋体" w:cs="宋体"/>
                <w:color w:val="auto"/>
                <w:szCs w:val="21"/>
                <w:highlight w:val="none"/>
              </w:rPr>
            </w:pPr>
          </w:p>
        </w:tc>
        <w:tc>
          <w:tcPr>
            <w:tcW w:w="935" w:type="pct"/>
            <w:gridSpan w:val="2"/>
          </w:tcPr>
          <w:p w14:paraId="00665E1F">
            <w:pPr>
              <w:spacing w:line="440" w:lineRule="exact"/>
              <w:rPr>
                <w:rFonts w:hint="eastAsia" w:ascii="宋体" w:hAnsi="宋体" w:cs="宋体"/>
                <w:color w:val="auto"/>
                <w:szCs w:val="21"/>
                <w:highlight w:val="none"/>
              </w:rPr>
            </w:pPr>
          </w:p>
        </w:tc>
        <w:tc>
          <w:tcPr>
            <w:tcW w:w="1339" w:type="pct"/>
            <w:gridSpan w:val="2"/>
          </w:tcPr>
          <w:p w14:paraId="66664B02">
            <w:pPr>
              <w:spacing w:line="440" w:lineRule="exact"/>
              <w:rPr>
                <w:rFonts w:hint="eastAsia" w:ascii="宋体" w:hAnsi="宋体" w:cs="宋体"/>
                <w:color w:val="auto"/>
                <w:szCs w:val="21"/>
                <w:highlight w:val="none"/>
              </w:rPr>
            </w:pPr>
          </w:p>
        </w:tc>
      </w:tr>
      <w:tr w14:paraId="6820EF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trPr>
        <w:tc>
          <w:tcPr>
            <w:tcW w:w="657" w:type="pct"/>
          </w:tcPr>
          <w:p w14:paraId="24F84C1C">
            <w:pPr>
              <w:spacing w:line="440" w:lineRule="exact"/>
              <w:rPr>
                <w:rFonts w:hint="eastAsia" w:ascii="宋体" w:hAnsi="宋体" w:cs="宋体"/>
                <w:color w:val="auto"/>
                <w:szCs w:val="21"/>
                <w:highlight w:val="none"/>
              </w:rPr>
            </w:pPr>
          </w:p>
        </w:tc>
        <w:tc>
          <w:tcPr>
            <w:tcW w:w="2067" w:type="pct"/>
            <w:gridSpan w:val="4"/>
          </w:tcPr>
          <w:p w14:paraId="421ACB9C">
            <w:pPr>
              <w:spacing w:line="440" w:lineRule="exact"/>
              <w:rPr>
                <w:rFonts w:hint="eastAsia" w:ascii="宋体" w:hAnsi="宋体" w:cs="宋体"/>
                <w:color w:val="auto"/>
                <w:szCs w:val="21"/>
                <w:highlight w:val="none"/>
              </w:rPr>
            </w:pPr>
          </w:p>
        </w:tc>
        <w:tc>
          <w:tcPr>
            <w:tcW w:w="935" w:type="pct"/>
            <w:gridSpan w:val="2"/>
          </w:tcPr>
          <w:p w14:paraId="00E57B2D">
            <w:pPr>
              <w:spacing w:line="440" w:lineRule="exact"/>
              <w:rPr>
                <w:rFonts w:hint="eastAsia" w:ascii="宋体" w:hAnsi="宋体" w:cs="宋体"/>
                <w:color w:val="auto"/>
                <w:szCs w:val="21"/>
                <w:highlight w:val="none"/>
              </w:rPr>
            </w:pPr>
          </w:p>
        </w:tc>
        <w:tc>
          <w:tcPr>
            <w:tcW w:w="1339" w:type="pct"/>
            <w:gridSpan w:val="2"/>
          </w:tcPr>
          <w:p w14:paraId="4008682B">
            <w:pPr>
              <w:spacing w:line="440" w:lineRule="exact"/>
              <w:rPr>
                <w:rFonts w:hint="eastAsia" w:ascii="宋体" w:hAnsi="宋体" w:cs="宋体"/>
                <w:color w:val="auto"/>
                <w:szCs w:val="21"/>
                <w:highlight w:val="none"/>
              </w:rPr>
            </w:pPr>
          </w:p>
        </w:tc>
      </w:tr>
      <w:tr w14:paraId="53727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57" w:type="pct"/>
          </w:tcPr>
          <w:p w14:paraId="02E969A3">
            <w:pPr>
              <w:spacing w:line="440" w:lineRule="exact"/>
              <w:rPr>
                <w:rFonts w:hint="eastAsia" w:ascii="宋体" w:hAnsi="宋体" w:cs="宋体"/>
                <w:color w:val="auto"/>
                <w:szCs w:val="21"/>
                <w:highlight w:val="none"/>
              </w:rPr>
            </w:pPr>
          </w:p>
        </w:tc>
        <w:tc>
          <w:tcPr>
            <w:tcW w:w="2067" w:type="pct"/>
            <w:gridSpan w:val="4"/>
          </w:tcPr>
          <w:p w14:paraId="742DFED9">
            <w:pPr>
              <w:spacing w:line="440" w:lineRule="exact"/>
              <w:rPr>
                <w:rFonts w:hint="eastAsia" w:ascii="宋体" w:hAnsi="宋体" w:cs="宋体"/>
                <w:color w:val="auto"/>
                <w:szCs w:val="21"/>
                <w:highlight w:val="none"/>
              </w:rPr>
            </w:pPr>
          </w:p>
        </w:tc>
        <w:tc>
          <w:tcPr>
            <w:tcW w:w="935" w:type="pct"/>
            <w:gridSpan w:val="2"/>
          </w:tcPr>
          <w:p w14:paraId="0B6AB32A">
            <w:pPr>
              <w:spacing w:line="440" w:lineRule="exact"/>
              <w:rPr>
                <w:rFonts w:hint="eastAsia" w:ascii="宋体" w:hAnsi="宋体" w:cs="宋体"/>
                <w:color w:val="auto"/>
                <w:szCs w:val="21"/>
                <w:highlight w:val="none"/>
              </w:rPr>
            </w:pPr>
          </w:p>
        </w:tc>
        <w:tc>
          <w:tcPr>
            <w:tcW w:w="1339" w:type="pct"/>
            <w:gridSpan w:val="2"/>
          </w:tcPr>
          <w:p w14:paraId="237990BF">
            <w:pPr>
              <w:spacing w:line="440" w:lineRule="exact"/>
              <w:rPr>
                <w:rFonts w:hint="eastAsia" w:ascii="宋体" w:hAnsi="宋体" w:cs="宋体"/>
                <w:color w:val="auto"/>
                <w:szCs w:val="21"/>
                <w:highlight w:val="none"/>
              </w:rPr>
            </w:pPr>
          </w:p>
        </w:tc>
      </w:tr>
      <w:tr w14:paraId="58610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57" w:type="pct"/>
          </w:tcPr>
          <w:p w14:paraId="4934BE30">
            <w:pPr>
              <w:spacing w:line="440" w:lineRule="exact"/>
              <w:rPr>
                <w:rFonts w:hint="eastAsia" w:ascii="宋体" w:hAnsi="宋体" w:cs="宋体"/>
                <w:color w:val="auto"/>
                <w:szCs w:val="21"/>
                <w:highlight w:val="none"/>
              </w:rPr>
            </w:pPr>
          </w:p>
        </w:tc>
        <w:tc>
          <w:tcPr>
            <w:tcW w:w="2067" w:type="pct"/>
            <w:gridSpan w:val="4"/>
          </w:tcPr>
          <w:p w14:paraId="609A38BC">
            <w:pPr>
              <w:spacing w:line="440" w:lineRule="exact"/>
              <w:rPr>
                <w:rFonts w:hint="eastAsia" w:ascii="宋体" w:hAnsi="宋体" w:cs="宋体"/>
                <w:color w:val="auto"/>
                <w:szCs w:val="21"/>
                <w:highlight w:val="none"/>
              </w:rPr>
            </w:pPr>
          </w:p>
        </w:tc>
        <w:tc>
          <w:tcPr>
            <w:tcW w:w="935" w:type="pct"/>
            <w:gridSpan w:val="2"/>
          </w:tcPr>
          <w:p w14:paraId="05B6F45C">
            <w:pPr>
              <w:spacing w:line="440" w:lineRule="exact"/>
              <w:rPr>
                <w:rFonts w:hint="eastAsia" w:ascii="宋体" w:hAnsi="宋体" w:cs="宋体"/>
                <w:color w:val="auto"/>
                <w:szCs w:val="21"/>
                <w:highlight w:val="none"/>
              </w:rPr>
            </w:pPr>
          </w:p>
        </w:tc>
        <w:tc>
          <w:tcPr>
            <w:tcW w:w="1339" w:type="pct"/>
            <w:gridSpan w:val="2"/>
          </w:tcPr>
          <w:p w14:paraId="363ECFEF">
            <w:pPr>
              <w:spacing w:line="440" w:lineRule="exact"/>
              <w:rPr>
                <w:rFonts w:hint="eastAsia" w:ascii="宋体" w:hAnsi="宋体" w:cs="宋体"/>
                <w:color w:val="auto"/>
                <w:szCs w:val="21"/>
                <w:highlight w:val="none"/>
              </w:rPr>
            </w:pPr>
          </w:p>
        </w:tc>
      </w:tr>
      <w:tr w14:paraId="3DFF4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57" w:type="pct"/>
          </w:tcPr>
          <w:p w14:paraId="76226FFC">
            <w:pPr>
              <w:spacing w:line="440" w:lineRule="exact"/>
              <w:rPr>
                <w:rFonts w:hint="eastAsia" w:ascii="宋体" w:hAnsi="宋体" w:cs="宋体"/>
                <w:color w:val="auto"/>
                <w:szCs w:val="21"/>
                <w:highlight w:val="none"/>
              </w:rPr>
            </w:pPr>
          </w:p>
        </w:tc>
        <w:tc>
          <w:tcPr>
            <w:tcW w:w="2067" w:type="pct"/>
            <w:gridSpan w:val="4"/>
          </w:tcPr>
          <w:p w14:paraId="21CB047F">
            <w:pPr>
              <w:spacing w:line="440" w:lineRule="exact"/>
              <w:rPr>
                <w:rFonts w:hint="eastAsia" w:ascii="宋体" w:hAnsi="宋体" w:cs="宋体"/>
                <w:color w:val="auto"/>
                <w:szCs w:val="21"/>
                <w:highlight w:val="none"/>
              </w:rPr>
            </w:pPr>
          </w:p>
        </w:tc>
        <w:tc>
          <w:tcPr>
            <w:tcW w:w="935" w:type="pct"/>
            <w:gridSpan w:val="2"/>
          </w:tcPr>
          <w:p w14:paraId="2BE517DF">
            <w:pPr>
              <w:spacing w:line="440" w:lineRule="exact"/>
              <w:rPr>
                <w:rFonts w:hint="eastAsia" w:ascii="宋体" w:hAnsi="宋体" w:cs="宋体"/>
                <w:color w:val="auto"/>
                <w:szCs w:val="21"/>
                <w:highlight w:val="none"/>
              </w:rPr>
            </w:pPr>
          </w:p>
        </w:tc>
        <w:tc>
          <w:tcPr>
            <w:tcW w:w="1339" w:type="pct"/>
            <w:gridSpan w:val="2"/>
          </w:tcPr>
          <w:p w14:paraId="6775AE54">
            <w:pPr>
              <w:spacing w:line="440" w:lineRule="exact"/>
              <w:rPr>
                <w:rFonts w:hint="eastAsia" w:ascii="宋体" w:hAnsi="宋体" w:cs="宋体"/>
                <w:color w:val="auto"/>
                <w:szCs w:val="21"/>
                <w:highlight w:val="none"/>
              </w:rPr>
            </w:pPr>
          </w:p>
        </w:tc>
      </w:tr>
      <w:tr w14:paraId="1A1D28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57" w:type="pct"/>
          </w:tcPr>
          <w:p w14:paraId="7BCDAD4F">
            <w:pPr>
              <w:spacing w:line="440" w:lineRule="exact"/>
              <w:rPr>
                <w:rFonts w:hint="eastAsia" w:ascii="宋体" w:hAnsi="宋体" w:cs="宋体"/>
                <w:color w:val="auto"/>
                <w:szCs w:val="21"/>
                <w:highlight w:val="none"/>
              </w:rPr>
            </w:pPr>
          </w:p>
        </w:tc>
        <w:tc>
          <w:tcPr>
            <w:tcW w:w="2067" w:type="pct"/>
            <w:gridSpan w:val="4"/>
          </w:tcPr>
          <w:p w14:paraId="5F941947">
            <w:pPr>
              <w:spacing w:line="440" w:lineRule="exact"/>
              <w:rPr>
                <w:rFonts w:hint="eastAsia" w:ascii="宋体" w:hAnsi="宋体" w:cs="宋体"/>
                <w:color w:val="auto"/>
                <w:szCs w:val="21"/>
                <w:highlight w:val="none"/>
              </w:rPr>
            </w:pPr>
          </w:p>
        </w:tc>
        <w:tc>
          <w:tcPr>
            <w:tcW w:w="935" w:type="pct"/>
            <w:gridSpan w:val="2"/>
          </w:tcPr>
          <w:p w14:paraId="10B4B31C">
            <w:pPr>
              <w:spacing w:line="440" w:lineRule="exact"/>
              <w:rPr>
                <w:rFonts w:hint="eastAsia" w:ascii="宋体" w:hAnsi="宋体" w:cs="宋体"/>
                <w:color w:val="auto"/>
                <w:szCs w:val="21"/>
                <w:highlight w:val="none"/>
              </w:rPr>
            </w:pPr>
          </w:p>
        </w:tc>
        <w:tc>
          <w:tcPr>
            <w:tcW w:w="1339" w:type="pct"/>
            <w:gridSpan w:val="2"/>
          </w:tcPr>
          <w:p w14:paraId="3B6416B6">
            <w:pPr>
              <w:spacing w:line="440" w:lineRule="exact"/>
              <w:rPr>
                <w:rFonts w:hint="eastAsia" w:ascii="宋体" w:hAnsi="宋体" w:cs="宋体"/>
                <w:color w:val="auto"/>
                <w:szCs w:val="21"/>
                <w:highlight w:val="none"/>
              </w:rPr>
            </w:pPr>
          </w:p>
        </w:tc>
      </w:tr>
    </w:tbl>
    <w:p w14:paraId="0CF36BA2">
      <w:pPr>
        <w:spacing w:line="360" w:lineRule="auto"/>
        <w:ind w:left="200"/>
        <w:rPr>
          <w:rFonts w:hint="eastAsia" w:ascii="宋体" w:hAnsi="宋体" w:cs="宋体"/>
          <w:color w:val="auto"/>
          <w:szCs w:val="32"/>
          <w:highlight w:val="none"/>
        </w:rPr>
      </w:pPr>
      <w:r>
        <w:rPr>
          <w:rFonts w:hint="eastAsia" w:ascii="宋体" w:hAnsi="宋体" w:cs="宋体"/>
          <w:color w:val="auto"/>
          <w:szCs w:val="21"/>
          <w:highlight w:val="none"/>
        </w:rPr>
        <w:t>注：</w:t>
      </w:r>
      <w:r>
        <w:rPr>
          <w:rFonts w:hint="eastAsia" w:ascii="宋体" w:hAnsi="宋体" w:eastAsia="宋体" w:cs="宋体"/>
          <w:color w:val="auto"/>
          <w:kern w:val="0"/>
          <w:szCs w:val="21"/>
          <w:highlight w:val="none"/>
        </w:rPr>
        <w:t>拟派往本项目的</w:t>
      </w:r>
      <w:r>
        <w:rPr>
          <w:rFonts w:hint="eastAsia" w:ascii="宋体" w:hAnsi="宋体" w:cs="宋体"/>
          <w:color w:val="auto"/>
          <w:kern w:val="0"/>
          <w:szCs w:val="21"/>
          <w:highlight w:val="none"/>
          <w:lang w:val="en-US" w:eastAsia="zh-CN"/>
        </w:rPr>
        <w:t>总监理工程师</w:t>
      </w:r>
      <w:r>
        <w:rPr>
          <w:rFonts w:hint="eastAsia" w:ascii="宋体" w:hAnsi="宋体" w:cs="宋体"/>
          <w:color w:val="auto"/>
          <w:szCs w:val="21"/>
          <w:highlight w:val="none"/>
        </w:rPr>
        <w:t>应附身份证、毕业证</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若有</w:t>
      </w:r>
      <w:r>
        <w:rPr>
          <w:rFonts w:hint="eastAsia" w:ascii="宋体" w:hAnsi="宋体" w:cs="宋体"/>
          <w:color w:val="auto"/>
          <w:szCs w:val="21"/>
          <w:highlight w:val="none"/>
          <w:lang w:eastAsia="zh-CN"/>
        </w:rPr>
        <w:t>）</w:t>
      </w:r>
      <w:r>
        <w:rPr>
          <w:rFonts w:hint="eastAsia" w:ascii="宋体" w:hAnsi="宋体" w:cs="宋体"/>
          <w:color w:val="auto"/>
          <w:szCs w:val="21"/>
          <w:highlight w:val="none"/>
        </w:rPr>
        <w:t>、</w:t>
      </w:r>
      <w:r>
        <w:rPr>
          <w:rFonts w:hint="eastAsia" w:ascii="宋体" w:hAnsi="宋体" w:cs="宋体"/>
          <w:color w:val="auto"/>
          <w:szCs w:val="21"/>
          <w:highlight w:val="none"/>
          <w:lang w:eastAsia="zh-CN"/>
        </w:rPr>
        <w:t>中华人民共和国注册监理工程师注册执业证书</w:t>
      </w:r>
      <w:r>
        <w:rPr>
          <w:rFonts w:hint="eastAsia" w:ascii="宋体" w:hAnsi="宋体" w:cs="宋体"/>
          <w:color w:val="auto"/>
          <w:szCs w:val="21"/>
          <w:highlight w:val="none"/>
        </w:rPr>
        <w:t>及投标单位为其缴纳的2024年6月1日至今任意连续3个月的</w:t>
      </w:r>
      <w:r>
        <w:rPr>
          <w:rFonts w:hint="eastAsia" w:ascii="宋体" w:hAnsi="宋体" w:cs="宋体"/>
          <w:color w:val="auto"/>
          <w:szCs w:val="21"/>
          <w:highlight w:val="none"/>
          <w:lang w:val="en-US" w:eastAsia="zh-CN"/>
        </w:rPr>
        <w:t>基本</w:t>
      </w:r>
      <w:r>
        <w:rPr>
          <w:rFonts w:hint="eastAsia" w:ascii="宋体" w:hAnsi="宋体" w:cs="宋体"/>
          <w:color w:val="auto"/>
          <w:szCs w:val="21"/>
          <w:highlight w:val="none"/>
        </w:rPr>
        <w:t>养老保险证明材料等</w:t>
      </w:r>
      <w:r>
        <w:rPr>
          <w:rFonts w:hint="eastAsia" w:ascii="宋体" w:hAnsi="宋体" w:cs="宋体"/>
          <w:color w:val="auto"/>
          <w:szCs w:val="21"/>
          <w:highlight w:val="none"/>
          <w:lang w:val="en-US" w:eastAsia="zh-CN"/>
        </w:rPr>
        <w:t>扫描件</w:t>
      </w:r>
      <w:r>
        <w:rPr>
          <w:rFonts w:hint="eastAsia" w:ascii="宋体" w:hAnsi="宋体" w:cs="宋体"/>
          <w:color w:val="auto"/>
          <w:szCs w:val="21"/>
          <w:highlight w:val="none"/>
        </w:rPr>
        <w:t>。</w:t>
      </w:r>
    </w:p>
    <w:p w14:paraId="27697163">
      <w:pPr>
        <w:rPr>
          <w:rFonts w:hint="eastAsia" w:ascii="宋体" w:hAnsi="宋体" w:cs="宋体"/>
          <w:color w:val="auto"/>
          <w:szCs w:val="32"/>
          <w:highlight w:val="none"/>
        </w:rPr>
      </w:pPr>
      <w:r>
        <w:rPr>
          <w:rFonts w:hint="eastAsia" w:ascii="宋体" w:hAnsi="宋体" w:cs="宋体"/>
          <w:color w:val="auto"/>
          <w:szCs w:val="32"/>
          <w:highlight w:val="none"/>
        </w:rPr>
        <w:br w:type="page"/>
      </w:r>
    </w:p>
    <w:p w14:paraId="0B8D3F9D">
      <w:pPr>
        <w:keepNext/>
        <w:keepLines/>
        <w:tabs>
          <w:tab w:val="left" w:pos="432"/>
          <w:tab w:val="left" w:pos="720"/>
        </w:tabs>
        <w:spacing w:before="240" w:after="240" w:line="360" w:lineRule="auto"/>
        <w:jc w:val="center"/>
        <w:outlineLvl w:val="3"/>
        <w:rPr>
          <w:rFonts w:hint="eastAsia" w:ascii="宋体" w:hAnsi="宋体" w:eastAsia="宋体" w:cs="宋体"/>
          <w:color w:val="auto"/>
          <w:sz w:val="30"/>
          <w:szCs w:val="30"/>
          <w:highlight w:val="none"/>
        </w:rPr>
      </w:pPr>
      <w:bookmarkStart w:id="910" w:name="_Toc484685789"/>
      <w:bookmarkStart w:id="911" w:name="_Toc450207974"/>
      <w:bookmarkStart w:id="912" w:name="_Toc484637066"/>
      <w:bookmarkStart w:id="913" w:name="_Toc10092"/>
      <w:r>
        <w:rPr>
          <w:rFonts w:hint="eastAsia" w:ascii="宋体" w:hAnsi="宋体" w:cs="宋体"/>
          <w:color w:val="auto"/>
          <w:sz w:val="30"/>
          <w:szCs w:val="30"/>
          <w:highlight w:val="none"/>
          <w:lang w:val="en-US" w:eastAsia="zh-CN"/>
        </w:rPr>
        <w:t>4.2</w:t>
      </w:r>
      <w:bookmarkEnd w:id="910"/>
      <w:bookmarkEnd w:id="911"/>
      <w:bookmarkEnd w:id="912"/>
      <w:r>
        <w:rPr>
          <w:rFonts w:hint="eastAsia" w:ascii="宋体" w:hAnsi="宋体" w:cs="宋体"/>
          <w:color w:val="auto"/>
          <w:sz w:val="30"/>
          <w:szCs w:val="30"/>
          <w:highlight w:val="none"/>
          <w:lang w:val="en-US" w:eastAsia="zh-CN"/>
        </w:rPr>
        <w:t>人员承诺书</w:t>
      </w:r>
      <w:bookmarkEnd w:id="913"/>
    </w:p>
    <w:p w14:paraId="01245011">
      <w:pPr>
        <w:spacing w:after="240" w:afterLines="100" w:line="480" w:lineRule="auto"/>
        <w:rPr>
          <w:rFonts w:hint="eastAsia" w:ascii="宋体" w:hAnsi="宋体" w:cs="宋体"/>
          <w:color w:val="auto"/>
          <w:szCs w:val="21"/>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（招标人名称）：</w:t>
      </w:r>
    </w:p>
    <w:p w14:paraId="4C0FCA21">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cs="宋体"/>
          <w:color w:val="auto"/>
          <w:szCs w:val="21"/>
          <w:highlight w:val="none"/>
        </w:rPr>
      </w:pPr>
      <w:r>
        <w:rPr>
          <w:rFonts w:hint="eastAsia" w:ascii="宋体" w:hAnsi="宋体" w:cs="宋体"/>
          <w:color w:val="auto"/>
          <w:szCs w:val="21"/>
          <w:highlight w:val="none"/>
        </w:rPr>
        <w:t>我方在此声明，我方拟派往</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（项目名称）（以下简称“本工程”）的</w:t>
      </w:r>
      <w:r>
        <w:rPr>
          <w:rFonts w:hint="eastAsia" w:ascii="宋体" w:hAnsi="宋体" w:cs="宋体"/>
          <w:color w:val="auto"/>
          <w:szCs w:val="21"/>
          <w:highlight w:val="none"/>
          <w:lang w:eastAsia="zh-CN"/>
        </w:rPr>
        <w:t>总监理工程师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（姓名）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none"/>
          <w:lang w:eastAsia="zh-CN"/>
        </w:rPr>
        <w:t>（</w:t>
      </w:r>
      <w:r>
        <w:rPr>
          <w:rFonts w:hint="eastAsia" w:ascii="宋体" w:hAnsi="宋体" w:cs="宋体"/>
          <w:color w:val="auto"/>
          <w:szCs w:val="21"/>
          <w:highlight w:val="none"/>
          <w:u w:val="none"/>
          <w:lang w:val="en-US" w:eastAsia="zh-CN"/>
        </w:rPr>
        <w:t>身份证号码</w:t>
      </w:r>
      <w:r>
        <w:rPr>
          <w:rFonts w:hint="eastAsia" w:ascii="宋体" w:hAnsi="宋体" w:cs="宋体"/>
          <w:color w:val="auto"/>
          <w:szCs w:val="21"/>
          <w:highlight w:val="none"/>
          <w:u w:val="none"/>
          <w:lang w:eastAsia="zh-CN"/>
        </w:rPr>
        <w:t>）</w:t>
      </w:r>
      <w:r>
        <w:rPr>
          <w:rFonts w:hint="eastAsia" w:ascii="宋体" w:hAnsi="宋体" w:cs="宋体"/>
          <w:color w:val="auto"/>
          <w:szCs w:val="21"/>
          <w:highlight w:val="none"/>
        </w:rPr>
        <w:t>未担任其他在建建设工程的总监理工程师及专业现场监理人员</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且</w:t>
      </w:r>
      <w:r>
        <w:rPr>
          <w:rFonts w:hint="eastAsia" w:ascii="宋体" w:hAnsi="宋体" w:cs="宋体"/>
          <w:color w:val="auto"/>
          <w:szCs w:val="21"/>
          <w:highlight w:val="none"/>
        </w:rPr>
        <w:t>在施</w:t>
      </w:r>
      <w:r>
        <w:rPr>
          <w:rFonts w:hint="eastAsia" w:ascii="宋体" w:hAnsi="宋体" w:cs="宋体"/>
          <w:color w:val="auto"/>
          <w:szCs w:val="21"/>
          <w:highlight w:val="none"/>
          <w:lang w:val="en-US" w:eastAsia="zh-CN"/>
        </w:rPr>
        <w:t>工</w:t>
      </w:r>
      <w:r>
        <w:rPr>
          <w:rFonts w:hint="eastAsia" w:ascii="宋体" w:hAnsi="宋体" w:cs="宋体"/>
          <w:color w:val="auto"/>
          <w:szCs w:val="21"/>
          <w:highlight w:val="none"/>
        </w:rPr>
        <w:t>间不担任其它在建建设工程项目的项目管理人员。</w:t>
      </w:r>
    </w:p>
    <w:p w14:paraId="7EDA2CCE">
      <w:pPr>
        <w:pStyle w:val="2"/>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eastAsia="宋体"/>
          <w:sz w:val="21"/>
          <w:szCs w:val="21"/>
          <w:highlight w:val="none"/>
          <w:lang w:val="en-US" w:eastAsia="zh-CN"/>
        </w:rPr>
      </w:pPr>
      <w:r>
        <w:rPr>
          <w:rFonts w:hint="eastAsia" w:ascii="宋体" w:hAnsi="宋体" w:cs="宋体"/>
          <w:color w:val="auto"/>
          <w:sz w:val="21"/>
          <w:szCs w:val="21"/>
          <w:highlight w:val="none"/>
        </w:rPr>
        <w:t>我方拟派往</w:t>
      </w:r>
      <w:r>
        <w:rPr>
          <w:rFonts w:hint="eastAsia" w:ascii="宋体" w:hAnsi="宋体" w:cs="宋体"/>
          <w:color w:val="auto"/>
          <w:sz w:val="21"/>
          <w:szCs w:val="21"/>
          <w:highlight w:val="none"/>
          <w:lang w:val="en-US" w:eastAsia="zh-CN"/>
        </w:rPr>
        <w:t>的项目团队人员全部落实到位，项目施工准备阶段及项目施工过程中能及时响应招标人现场服务及其他要求，保证项目顺利完工及完成验收工作。</w:t>
      </w:r>
    </w:p>
    <w:p w14:paraId="368F1B16">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rPr>
        <w:t>我方保证上述信息的真实和准确，并愿意承担因我方就此弄虚作假所引起的一切法律后果。</w:t>
      </w:r>
    </w:p>
    <w:p w14:paraId="712A46C0">
      <w:pPr>
        <w:spacing w:line="44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特此承诺。</w:t>
      </w:r>
    </w:p>
    <w:p w14:paraId="686A2804">
      <w:pPr>
        <w:spacing w:line="440" w:lineRule="exact"/>
        <w:ind w:firstLine="420" w:firstLineChars="200"/>
        <w:rPr>
          <w:rFonts w:hint="eastAsia" w:ascii="宋体" w:hAnsi="宋体" w:cs="宋体"/>
          <w:color w:val="auto"/>
          <w:szCs w:val="21"/>
          <w:highlight w:val="none"/>
        </w:rPr>
      </w:pPr>
    </w:p>
    <w:p w14:paraId="24AD931A">
      <w:pPr>
        <w:spacing w:line="440" w:lineRule="exact"/>
        <w:ind w:firstLine="420" w:firstLineChars="200"/>
        <w:rPr>
          <w:rFonts w:hint="eastAsia" w:ascii="宋体" w:hAnsi="宋体" w:cs="宋体"/>
          <w:color w:val="auto"/>
          <w:szCs w:val="21"/>
          <w:highlight w:val="none"/>
        </w:rPr>
      </w:pPr>
    </w:p>
    <w:p w14:paraId="47A801E8">
      <w:pPr>
        <w:spacing w:line="440" w:lineRule="exact"/>
        <w:ind w:firstLine="420" w:firstLineChars="200"/>
        <w:rPr>
          <w:rFonts w:hint="eastAsia" w:ascii="宋体" w:hAnsi="宋体" w:cs="宋体"/>
          <w:color w:val="auto"/>
          <w:szCs w:val="21"/>
          <w:highlight w:val="none"/>
        </w:rPr>
      </w:pPr>
    </w:p>
    <w:p w14:paraId="2F0DC5C2">
      <w:pPr>
        <w:spacing w:line="440" w:lineRule="exact"/>
        <w:ind w:firstLine="420" w:firstLineChars="200"/>
        <w:rPr>
          <w:rFonts w:hint="eastAsia" w:ascii="宋体" w:hAnsi="宋体" w:cs="宋体"/>
          <w:color w:val="auto"/>
          <w:szCs w:val="21"/>
          <w:highlight w:val="none"/>
        </w:rPr>
      </w:pPr>
    </w:p>
    <w:p w14:paraId="5CE05B2F">
      <w:pPr>
        <w:spacing w:line="440" w:lineRule="exact"/>
        <w:ind w:firstLine="420" w:firstLineChars="200"/>
        <w:rPr>
          <w:rFonts w:hint="eastAsia" w:ascii="宋体" w:hAnsi="宋体" w:cs="宋体"/>
          <w:color w:val="auto"/>
          <w:szCs w:val="21"/>
          <w:highlight w:val="none"/>
        </w:rPr>
      </w:pPr>
    </w:p>
    <w:p w14:paraId="506C0164">
      <w:pPr>
        <w:pStyle w:val="2"/>
        <w:spacing w:line="480" w:lineRule="auto"/>
        <w:ind w:firstLine="0"/>
        <w:rPr>
          <w:rFonts w:hint="eastAsia" w:ascii="宋体" w:hAnsi="宋体" w:cs="宋体"/>
          <w:color w:val="auto"/>
          <w:sz w:val="21"/>
          <w:szCs w:val="21"/>
          <w:highlight w:val="none"/>
          <w:u w:val="single"/>
        </w:rPr>
      </w:pPr>
      <w:r>
        <w:rPr>
          <w:rStyle w:val="364"/>
          <w:rFonts w:hint="eastAsia" w:ascii="宋体" w:hAnsi="宋体" w:cs="宋体"/>
          <w:color w:val="auto"/>
          <w:highlight w:val="none"/>
        </w:rPr>
        <w:t>投标人</w:t>
      </w:r>
      <w:r>
        <w:rPr>
          <w:rFonts w:hint="eastAsia" w:ascii="宋体" w:hAnsi="宋体" w:cs="宋体"/>
          <w:color w:val="auto"/>
          <w:sz w:val="21"/>
          <w:szCs w:val="21"/>
          <w:highlight w:val="none"/>
        </w:rPr>
        <w:t>（电子签章）：</w:t>
      </w:r>
      <w:r>
        <w:rPr>
          <w:rFonts w:hint="eastAsia" w:ascii="宋体" w:hAnsi="宋体" w:cs="宋体"/>
          <w:color w:val="auto"/>
          <w:sz w:val="21"/>
          <w:szCs w:val="21"/>
          <w:highlight w:val="none"/>
          <w:u w:val="single"/>
        </w:rPr>
        <w:t xml:space="preserve">               </w:t>
      </w:r>
    </w:p>
    <w:p w14:paraId="510A08B3">
      <w:pPr>
        <w:pStyle w:val="2"/>
        <w:spacing w:line="480" w:lineRule="auto"/>
        <w:ind w:firstLine="0"/>
        <w:rPr>
          <w:rFonts w:hint="eastAsia" w:ascii="宋体" w:hAnsi="宋体" w:cs="宋体"/>
          <w:color w:val="auto"/>
          <w:sz w:val="21"/>
          <w:szCs w:val="21"/>
          <w:highlight w:val="none"/>
        </w:rPr>
      </w:pPr>
      <w:r>
        <w:rPr>
          <w:rFonts w:hint="eastAsia" w:ascii="宋体" w:hAnsi="宋体" w:cs="宋体"/>
          <w:color w:val="auto"/>
          <w:sz w:val="21"/>
          <w:szCs w:val="21"/>
          <w:highlight w:val="none"/>
        </w:rPr>
        <w:t>法定代表人（电子签章）：___________</w:t>
      </w:r>
    </w:p>
    <w:p w14:paraId="59CE9261">
      <w:pPr>
        <w:pStyle w:val="2"/>
        <w:spacing w:line="480" w:lineRule="auto"/>
        <w:ind w:firstLine="0"/>
        <w:rPr>
          <w:rFonts w:hint="eastAsia" w:ascii="宋体" w:hAnsi="宋体" w:cs="宋体"/>
          <w:color w:val="auto"/>
          <w:sz w:val="21"/>
          <w:szCs w:val="21"/>
          <w:highlight w:val="none"/>
        </w:rPr>
      </w:pPr>
      <w:r>
        <w:rPr>
          <w:rFonts w:hint="eastAsia" w:ascii="宋体" w:hAnsi="宋体" w:cs="宋体"/>
          <w:color w:val="auto"/>
          <w:sz w:val="21"/>
          <w:szCs w:val="21"/>
          <w:highlight w:val="none"/>
        </w:rPr>
        <w:t>日      期：</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年</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月</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日</w:t>
      </w:r>
    </w:p>
    <w:p w14:paraId="4E05A3BD">
      <w:pPr>
        <w:pStyle w:val="2"/>
        <w:spacing w:line="480" w:lineRule="auto"/>
        <w:ind w:firstLine="0"/>
        <w:rPr>
          <w:rFonts w:hint="eastAsia" w:ascii="宋体" w:hAnsi="宋体" w:cs="宋体"/>
          <w:color w:val="auto"/>
          <w:sz w:val="21"/>
          <w:szCs w:val="21"/>
          <w:highlight w:val="none"/>
        </w:rPr>
      </w:pPr>
    </w:p>
    <w:p w14:paraId="3664AD8F">
      <w:pPr>
        <w:spacing w:line="240" w:lineRule="auto"/>
        <w:jc w:val="left"/>
        <w:outlineLvl w:val="9"/>
        <w:rPr>
          <w:rFonts w:hint="eastAsia" w:ascii="宋体" w:hAnsi="宋体" w:cs="宋体"/>
          <w:color w:val="auto"/>
          <w:sz w:val="30"/>
          <w:szCs w:val="30"/>
          <w:highlight w:val="none"/>
        </w:rPr>
      </w:pPr>
      <w:bookmarkStart w:id="914" w:name="_Toc29306"/>
      <w:bookmarkStart w:id="915" w:name="_Toc18160"/>
      <w:bookmarkStart w:id="916" w:name="_Toc28660"/>
      <w:bookmarkStart w:id="917" w:name="_Toc4908"/>
      <w:r>
        <w:rPr>
          <w:rFonts w:hint="eastAsia" w:ascii="宋体" w:hAnsi="宋体" w:cs="宋体"/>
          <w:color w:val="auto"/>
          <w:sz w:val="30"/>
          <w:szCs w:val="30"/>
          <w:highlight w:val="none"/>
        </w:rPr>
        <w:br w:type="page"/>
      </w:r>
    </w:p>
    <w:p w14:paraId="4C457BD5">
      <w:pPr>
        <w:spacing w:line="360" w:lineRule="auto"/>
        <w:jc w:val="center"/>
        <w:outlineLvl w:val="2"/>
        <w:rPr>
          <w:rFonts w:hint="eastAsia" w:ascii="宋体" w:hAnsi="宋体" w:cs="宋体"/>
          <w:b/>
          <w:color w:val="auto"/>
          <w:highlight w:val="none"/>
        </w:rPr>
      </w:pPr>
      <w:bookmarkStart w:id="918" w:name="_Toc3404"/>
      <w:r>
        <w:rPr>
          <w:rFonts w:hint="eastAsia" w:ascii="宋体" w:hAnsi="宋体" w:cs="宋体"/>
          <w:color w:val="auto"/>
          <w:sz w:val="30"/>
          <w:szCs w:val="30"/>
          <w:highlight w:val="none"/>
        </w:rPr>
        <w:t>（</w:t>
      </w:r>
      <w:r>
        <w:rPr>
          <w:rFonts w:hint="eastAsia" w:ascii="宋体" w:hAnsi="宋体" w:cs="宋体"/>
          <w:color w:val="auto"/>
          <w:sz w:val="30"/>
          <w:szCs w:val="30"/>
          <w:highlight w:val="none"/>
          <w:lang w:val="en-US" w:eastAsia="zh-CN"/>
        </w:rPr>
        <w:t>五</w:t>
      </w:r>
      <w:r>
        <w:rPr>
          <w:rFonts w:hint="eastAsia" w:ascii="宋体" w:hAnsi="宋体" w:cs="宋体"/>
          <w:color w:val="auto"/>
          <w:sz w:val="30"/>
          <w:szCs w:val="30"/>
          <w:highlight w:val="none"/>
        </w:rPr>
        <w:t>）</w:t>
      </w:r>
      <w:r>
        <w:rPr>
          <w:rFonts w:hint="eastAsia" w:ascii="宋体" w:hAnsi="宋体" w:eastAsia="宋体" w:cs="宋体"/>
          <w:b w:val="0"/>
          <w:color w:val="auto"/>
          <w:sz w:val="30"/>
          <w:szCs w:val="30"/>
          <w:highlight w:val="none"/>
        </w:rPr>
        <w:t>廉洁诚信承诺书</w:t>
      </w:r>
      <w:bookmarkEnd w:id="914"/>
      <w:bookmarkEnd w:id="915"/>
      <w:bookmarkEnd w:id="918"/>
    </w:p>
    <w:p w14:paraId="5AA7134A">
      <w:pPr>
        <w:spacing w:line="360" w:lineRule="auto"/>
        <w:textAlignment w:val="baseline"/>
        <w:rPr>
          <w:rFonts w:hint="eastAsia" w:ascii="宋体" w:hAnsi="宋体" w:cs="宋体"/>
          <w:color w:val="auto"/>
          <w:szCs w:val="21"/>
          <w:highlight w:val="none"/>
        </w:rPr>
      </w:pPr>
      <w:r>
        <w:rPr>
          <w:rFonts w:hint="eastAsia" w:ascii="宋体" w:hAnsi="宋体" w:cs="宋体"/>
          <w:color w:val="auto"/>
          <w:szCs w:val="21"/>
          <w:highlight w:val="none"/>
          <w:u w:val="single"/>
        </w:rPr>
        <w:t>（招标人名称）</w:t>
      </w:r>
      <w:r>
        <w:rPr>
          <w:rFonts w:hint="eastAsia" w:ascii="宋体" w:hAnsi="宋体" w:cs="宋体"/>
          <w:color w:val="auto"/>
          <w:szCs w:val="21"/>
          <w:highlight w:val="none"/>
        </w:rPr>
        <w:t>：</w:t>
      </w:r>
    </w:p>
    <w:p w14:paraId="2E1E4054">
      <w:pPr>
        <w:overflowPunct w:val="0"/>
        <w:spacing w:line="360" w:lineRule="auto"/>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我司自愿承诺如下：</w:t>
      </w:r>
    </w:p>
    <w:p w14:paraId="440AC9F3">
      <w:pPr>
        <w:widowControl/>
        <w:tabs>
          <w:tab w:val="left" w:pos="8100"/>
        </w:tabs>
        <w:spacing w:line="360" w:lineRule="auto"/>
        <w:ind w:firstLine="420" w:firstLineChars="200"/>
        <w:rPr>
          <w:rFonts w:hint="eastAsia" w:ascii="宋体" w:hAnsi="宋体" w:eastAsia="宋体" w:cs="宋体"/>
          <w:color w:val="auto"/>
          <w:kern w:val="2"/>
          <w:sz w:val="21"/>
          <w:highlight w:val="none"/>
          <w:lang w:eastAsia="zh-CN"/>
        </w:rPr>
      </w:pPr>
      <w:r>
        <w:rPr>
          <w:rFonts w:hint="eastAsia" w:ascii="宋体" w:hAnsi="宋体" w:eastAsia="宋体" w:cs="宋体"/>
          <w:color w:val="auto"/>
          <w:kern w:val="2"/>
          <w:sz w:val="21"/>
          <w:highlight w:val="none"/>
          <w:lang w:eastAsia="zh-CN"/>
        </w:rPr>
        <w:t>为了积极配合贵公司进行</w:t>
      </w:r>
      <w:r>
        <w:rPr>
          <w:rFonts w:hint="eastAsia" w:ascii="宋体" w:hAnsi="宋体" w:eastAsia="宋体" w:cs="宋体"/>
          <w:color w:val="auto"/>
          <w:kern w:val="2"/>
          <w:sz w:val="21"/>
          <w:highlight w:val="none"/>
          <w:u w:val="single"/>
          <w:lang w:eastAsia="zh-CN"/>
        </w:rPr>
        <w:t xml:space="preserve">     （项目名称）    </w:t>
      </w:r>
      <w:r>
        <w:rPr>
          <w:rFonts w:hint="eastAsia" w:ascii="宋体" w:hAnsi="宋体" w:eastAsia="宋体" w:cs="宋体"/>
          <w:color w:val="auto"/>
          <w:kern w:val="2"/>
          <w:sz w:val="21"/>
          <w:highlight w:val="none"/>
          <w:lang w:eastAsia="zh-CN"/>
        </w:rPr>
        <w:t>的招标工作，有效遏制不公平竞争和违规违纪问题的发生，确保招标工作的公平、公正、公开，我们保证认真贯彻《中华人民共和国招投标法》《中华人民共和国招投标法实施条例》等相关规定以及有关廉洁要求，特向贵单位承诺如下事项：</w:t>
      </w:r>
    </w:p>
    <w:p w14:paraId="5A72E046">
      <w:pPr>
        <w:widowControl/>
        <w:tabs>
          <w:tab w:val="left" w:pos="8100"/>
        </w:tabs>
        <w:spacing w:line="360" w:lineRule="auto"/>
        <w:ind w:firstLine="420" w:firstLineChars="200"/>
        <w:rPr>
          <w:rFonts w:hint="eastAsia" w:ascii="宋体" w:hAnsi="宋体" w:eastAsia="宋体" w:cs="宋体"/>
          <w:color w:val="auto"/>
          <w:kern w:val="2"/>
          <w:sz w:val="21"/>
          <w:highlight w:val="none"/>
          <w:lang w:eastAsia="zh-CN"/>
        </w:rPr>
      </w:pPr>
      <w:r>
        <w:rPr>
          <w:rFonts w:hint="eastAsia" w:ascii="宋体" w:hAnsi="宋体" w:eastAsia="宋体" w:cs="宋体"/>
          <w:color w:val="auto"/>
          <w:kern w:val="2"/>
          <w:sz w:val="21"/>
          <w:highlight w:val="none"/>
          <w:lang w:eastAsia="zh-CN"/>
        </w:rPr>
        <w:t>1、自觉遵守国家法律法规及有关廉政建设制度。</w:t>
      </w:r>
    </w:p>
    <w:p w14:paraId="0DBAE16D">
      <w:pPr>
        <w:widowControl/>
        <w:tabs>
          <w:tab w:val="left" w:pos="8100"/>
        </w:tabs>
        <w:spacing w:line="360" w:lineRule="auto"/>
        <w:ind w:firstLine="420" w:firstLineChars="200"/>
        <w:rPr>
          <w:rFonts w:hint="eastAsia" w:ascii="宋体" w:hAnsi="宋体" w:eastAsia="宋体" w:cs="宋体"/>
          <w:color w:val="auto"/>
          <w:kern w:val="2"/>
          <w:sz w:val="21"/>
          <w:highlight w:val="none"/>
          <w:lang w:eastAsia="zh-CN"/>
        </w:rPr>
      </w:pPr>
      <w:r>
        <w:rPr>
          <w:rFonts w:hint="eastAsia" w:ascii="宋体" w:hAnsi="宋体" w:eastAsia="宋体" w:cs="宋体"/>
          <w:color w:val="auto"/>
          <w:kern w:val="2"/>
          <w:sz w:val="21"/>
          <w:highlight w:val="none"/>
          <w:lang w:eastAsia="zh-CN"/>
        </w:rPr>
        <w:t>2、不使用不正当手段妨碍、排挤其它投标人或串通投标。</w:t>
      </w:r>
    </w:p>
    <w:p w14:paraId="0455BB8D">
      <w:pPr>
        <w:widowControl/>
        <w:tabs>
          <w:tab w:val="left" w:pos="8100"/>
        </w:tabs>
        <w:spacing w:line="360" w:lineRule="auto"/>
        <w:ind w:firstLine="420" w:firstLineChars="200"/>
        <w:rPr>
          <w:rFonts w:hint="eastAsia" w:ascii="宋体" w:hAnsi="宋体" w:eastAsia="宋体" w:cs="宋体"/>
          <w:color w:val="auto"/>
          <w:kern w:val="2"/>
          <w:sz w:val="21"/>
          <w:highlight w:val="none"/>
          <w:lang w:eastAsia="zh-CN"/>
        </w:rPr>
      </w:pPr>
      <w:r>
        <w:rPr>
          <w:rFonts w:hint="eastAsia" w:ascii="宋体" w:hAnsi="宋体" w:eastAsia="宋体" w:cs="宋体"/>
          <w:color w:val="auto"/>
          <w:kern w:val="2"/>
          <w:sz w:val="21"/>
          <w:highlight w:val="none"/>
          <w:lang w:eastAsia="zh-CN"/>
        </w:rPr>
        <w:t>3、按照招标文件规定的方式进行投标，不隐瞒本单位投标资质的真实情况，保证本单位投标资质符合规定。</w:t>
      </w:r>
    </w:p>
    <w:p w14:paraId="6ED35AD4">
      <w:pPr>
        <w:widowControl/>
        <w:tabs>
          <w:tab w:val="left" w:pos="8100"/>
        </w:tabs>
        <w:spacing w:line="360" w:lineRule="auto"/>
        <w:ind w:firstLine="420" w:firstLineChars="200"/>
        <w:rPr>
          <w:rFonts w:hint="eastAsia" w:ascii="宋体" w:hAnsi="宋体" w:eastAsia="宋体" w:cs="宋体"/>
          <w:color w:val="auto"/>
          <w:kern w:val="2"/>
          <w:sz w:val="21"/>
          <w:highlight w:val="none"/>
          <w:lang w:eastAsia="zh-CN"/>
        </w:rPr>
      </w:pPr>
      <w:r>
        <w:rPr>
          <w:rFonts w:hint="eastAsia" w:ascii="宋体" w:hAnsi="宋体" w:eastAsia="宋体" w:cs="宋体"/>
          <w:color w:val="auto"/>
          <w:kern w:val="2"/>
          <w:sz w:val="21"/>
          <w:highlight w:val="none"/>
          <w:lang w:eastAsia="zh-CN"/>
        </w:rPr>
        <w:t>4、不以任何方式向招标人员赠送礼品、礼金及有价证券；不宴请或邀请招标方的任何人参加高档娱乐消费、旅游、考察、参观等活动；不以任何形式报销招标方任何人以及亲友的各种票据及费用；不进行可能影响招投标公平、公正的任何活动。</w:t>
      </w:r>
    </w:p>
    <w:p w14:paraId="409D55B4">
      <w:pPr>
        <w:widowControl/>
        <w:tabs>
          <w:tab w:val="left" w:pos="8100"/>
        </w:tabs>
        <w:spacing w:line="360" w:lineRule="auto"/>
        <w:ind w:firstLine="420" w:firstLineChars="200"/>
        <w:rPr>
          <w:rFonts w:hint="eastAsia" w:ascii="宋体" w:hAnsi="宋体" w:eastAsia="宋体" w:cs="宋体"/>
          <w:color w:val="auto"/>
          <w:kern w:val="2"/>
          <w:sz w:val="21"/>
          <w:highlight w:val="none"/>
          <w:lang w:eastAsia="zh-CN"/>
        </w:rPr>
      </w:pPr>
      <w:r>
        <w:rPr>
          <w:rFonts w:hint="eastAsia" w:ascii="宋体" w:hAnsi="宋体" w:eastAsia="宋体" w:cs="宋体"/>
          <w:color w:val="auto"/>
          <w:kern w:val="2"/>
          <w:sz w:val="21"/>
          <w:highlight w:val="none"/>
          <w:lang w:eastAsia="zh-CN"/>
        </w:rPr>
        <w:t>5、不为涉及招标的单位（部门）及个人购置或提供通讯工具、交通工具和高档办公用品等。</w:t>
      </w:r>
    </w:p>
    <w:p w14:paraId="4CE5EC00">
      <w:pPr>
        <w:widowControl/>
        <w:tabs>
          <w:tab w:val="left" w:pos="8100"/>
        </w:tabs>
        <w:spacing w:line="360" w:lineRule="auto"/>
        <w:ind w:firstLine="420" w:firstLineChars="200"/>
        <w:rPr>
          <w:rFonts w:hint="eastAsia" w:ascii="宋体" w:hAnsi="宋体" w:eastAsia="宋体" w:cs="宋体"/>
          <w:color w:val="auto"/>
          <w:kern w:val="2"/>
          <w:sz w:val="21"/>
          <w:highlight w:val="none"/>
          <w:lang w:eastAsia="zh-CN"/>
        </w:rPr>
      </w:pPr>
      <w:r>
        <w:rPr>
          <w:rFonts w:hint="eastAsia" w:ascii="宋体" w:hAnsi="宋体" w:eastAsia="宋体" w:cs="宋体"/>
          <w:color w:val="auto"/>
          <w:kern w:val="2"/>
          <w:sz w:val="21"/>
          <w:highlight w:val="none"/>
          <w:lang w:eastAsia="zh-CN"/>
        </w:rPr>
        <w:t>6、不向招标人员的配偶、子女或亲友分包此次招标项目。</w:t>
      </w:r>
    </w:p>
    <w:p w14:paraId="0DA95045">
      <w:pPr>
        <w:widowControl/>
        <w:tabs>
          <w:tab w:val="left" w:pos="8100"/>
        </w:tabs>
        <w:spacing w:line="360" w:lineRule="auto"/>
        <w:ind w:firstLine="420" w:firstLineChars="200"/>
        <w:rPr>
          <w:rFonts w:hint="eastAsia" w:ascii="宋体" w:hAnsi="宋体" w:eastAsia="宋体" w:cs="宋体"/>
          <w:color w:val="auto"/>
          <w:kern w:val="2"/>
          <w:sz w:val="21"/>
          <w:highlight w:val="none"/>
          <w:lang w:eastAsia="zh-CN"/>
        </w:rPr>
      </w:pPr>
      <w:r>
        <w:rPr>
          <w:rFonts w:hint="eastAsia" w:ascii="宋体" w:hAnsi="宋体" w:eastAsia="宋体" w:cs="宋体"/>
          <w:color w:val="auto"/>
          <w:kern w:val="2"/>
          <w:sz w:val="21"/>
          <w:highlight w:val="none"/>
          <w:lang w:eastAsia="zh-CN"/>
        </w:rPr>
        <w:t>7、不向涉及招标的单位（部门）及个人支付好处费、介绍费。</w:t>
      </w:r>
    </w:p>
    <w:p w14:paraId="291CA4E1">
      <w:pPr>
        <w:widowControl/>
        <w:tabs>
          <w:tab w:val="left" w:pos="8100"/>
        </w:tabs>
        <w:spacing w:line="360" w:lineRule="auto"/>
        <w:ind w:firstLine="420" w:firstLineChars="200"/>
        <w:rPr>
          <w:rFonts w:hint="eastAsia" w:ascii="宋体" w:hAnsi="宋体" w:eastAsia="宋体" w:cs="宋体"/>
          <w:color w:val="auto"/>
          <w:kern w:val="2"/>
          <w:sz w:val="21"/>
          <w:highlight w:val="none"/>
          <w:lang w:eastAsia="zh-CN"/>
        </w:rPr>
      </w:pPr>
      <w:r>
        <w:rPr>
          <w:rFonts w:hint="eastAsia" w:ascii="宋体" w:hAnsi="宋体" w:eastAsia="宋体" w:cs="宋体"/>
          <w:color w:val="auto"/>
          <w:kern w:val="2"/>
          <w:sz w:val="21"/>
          <w:highlight w:val="none"/>
          <w:lang w:eastAsia="zh-CN"/>
        </w:rPr>
        <w:t>8、一旦发现相关人员在招标过程中有索要财物等不廉洁行为，坚决予以抵制。</w:t>
      </w:r>
    </w:p>
    <w:p w14:paraId="37DB9A83">
      <w:pPr>
        <w:overflowPunct w:val="0"/>
        <w:spacing w:line="360" w:lineRule="auto"/>
        <w:ind w:firstLine="420" w:firstLineChars="200"/>
        <w:rPr>
          <w:rFonts w:hint="eastAsia" w:ascii="宋体" w:hAnsi="宋体" w:cs="宋体"/>
          <w:color w:val="auto"/>
          <w:szCs w:val="21"/>
          <w:highlight w:val="none"/>
        </w:rPr>
      </w:pPr>
      <w:r>
        <w:rPr>
          <w:rFonts w:hint="eastAsia" w:ascii="宋体" w:hAnsi="宋体" w:eastAsia="宋体" w:cs="宋体"/>
          <w:color w:val="auto"/>
          <w:kern w:val="2"/>
          <w:sz w:val="21"/>
          <w:highlight w:val="none"/>
          <w:lang w:eastAsia="zh-CN"/>
        </w:rPr>
        <w:t>9、我们若违反上述承诺，愿接受取消投标资格及其他任何形式的处理。</w:t>
      </w:r>
    </w:p>
    <w:bookmarkEnd w:id="916"/>
    <w:bookmarkEnd w:id="917"/>
    <w:p w14:paraId="72EEDDFE">
      <w:pPr>
        <w:spacing w:line="520" w:lineRule="exact"/>
        <w:ind w:firstLine="420" w:firstLineChars="200"/>
        <w:rPr>
          <w:rFonts w:hint="eastAsia" w:ascii="宋体" w:hAnsi="宋体" w:cs="宋体"/>
          <w:color w:val="auto"/>
          <w:szCs w:val="21"/>
          <w:highlight w:val="none"/>
        </w:rPr>
      </w:pPr>
    </w:p>
    <w:p w14:paraId="4339481C">
      <w:pPr>
        <w:spacing w:line="520" w:lineRule="exact"/>
        <w:ind w:firstLine="420" w:firstLineChars="200"/>
        <w:rPr>
          <w:rFonts w:hint="eastAsia" w:ascii="宋体" w:hAnsi="宋体" w:cs="宋体"/>
          <w:color w:val="auto"/>
          <w:szCs w:val="21"/>
          <w:highlight w:val="none"/>
        </w:rPr>
      </w:pPr>
    </w:p>
    <w:p w14:paraId="2E28C9CF">
      <w:pPr>
        <w:spacing w:line="520" w:lineRule="exact"/>
        <w:ind w:firstLine="420" w:firstLineChars="200"/>
        <w:rPr>
          <w:rFonts w:hint="eastAsia" w:ascii="宋体" w:hAnsi="宋体" w:cs="宋体"/>
          <w:color w:val="auto"/>
          <w:szCs w:val="21"/>
          <w:highlight w:val="none"/>
        </w:rPr>
      </w:pPr>
    </w:p>
    <w:p w14:paraId="23D9AB9A">
      <w:pPr>
        <w:spacing w:line="360" w:lineRule="auto"/>
        <w:ind w:firstLine="420" w:firstLineChars="200"/>
        <w:rPr>
          <w:rFonts w:hint="eastAsia" w:ascii="宋体" w:hAnsi="宋体" w:cs="宋体"/>
          <w:color w:val="auto"/>
          <w:szCs w:val="21"/>
          <w:highlight w:val="none"/>
          <w:u w:val="single"/>
        </w:rPr>
      </w:pPr>
      <w:r>
        <w:rPr>
          <w:rStyle w:val="364"/>
          <w:rFonts w:hint="eastAsia" w:ascii="宋体" w:hAnsi="宋体" w:cs="宋体"/>
          <w:color w:val="auto"/>
          <w:highlight w:val="none"/>
        </w:rPr>
        <w:t>投标人</w:t>
      </w:r>
      <w:r>
        <w:rPr>
          <w:rFonts w:hint="eastAsia" w:ascii="宋体" w:hAnsi="宋体" w:cs="宋体"/>
          <w:color w:val="auto"/>
          <w:szCs w:val="21"/>
          <w:highlight w:val="none"/>
        </w:rPr>
        <w:t>（电子签章）：</w:t>
      </w:r>
      <w:r>
        <w:rPr>
          <w:rFonts w:hint="eastAsia" w:ascii="宋体" w:hAnsi="宋体" w:cs="宋体"/>
          <w:color w:val="auto"/>
          <w:szCs w:val="21"/>
          <w:highlight w:val="none"/>
          <w:u w:val="single"/>
        </w:rPr>
        <w:t xml:space="preserve">            </w:t>
      </w:r>
    </w:p>
    <w:p w14:paraId="02D9E260">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法定代表人</w:t>
      </w:r>
      <w:r>
        <w:rPr>
          <w:rFonts w:hint="eastAsia" w:ascii="宋体" w:hAnsi="宋体" w:cs="宋体"/>
          <w:color w:val="auto"/>
          <w:highlight w:val="none"/>
        </w:rPr>
        <w:t>（电子签章）</w:t>
      </w:r>
      <w:r>
        <w:rPr>
          <w:rFonts w:hint="eastAsia" w:ascii="宋体" w:hAnsi="宋体" w:cs="宋体"/>
          <w:color w:val="auto"/>
          <w:szCs w:val="21"/>
          <w:highlight w:val="none"/>
        </w:rPr>
        <w:t>：</w:t>
      </w:r>
      <w:r>
        <w:rPr>
          <w:rFonts w:hint="eastAsia" w:ascii="宋体" w:hAnsi="宋体" w:cs="宋体"/>
          <w:color w:val="auto"/>
          <w:szCs w:val="21"/>
          <w:highlight w:val="none"/>
          <w:u w:val="single"/>
        </w:rPr>
        <w:t xml:space="preserve">            </w:t>
      </w:r>
    </w:p>
    <w:p w14:paraId="2A776A7B">
      <w:pPr>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w:t>
      </w:r>
    </w:p>
    <w:p w14:paraId="5C6670C6">
      <w:pPr>
        <w:ind w:firstLine="420" w:firstLineChars="200"/>
        <w:rPr>
          <w:rFonts w:hint="eastAsia" w:ascii="宋体" w:hAnsi="宋体" w:eastAsia="宋体" w:cs="宋体"/>
          <w:color w:val="auto"/>
          <w:szCs w:val="21"/>
          <w:highlight w:val="none"/>
        </w:rPr>
        <w:sectPr>
          <w:footerReference r:id="rId10" w:type="first"/>
          <w:pgSz w:w="11906" w:h="16838"/>
          <w:pgMar w:top="1417" w:right="1417" w:bottom="1417" w:left="1417" w:header="850" w:footer="992" w:gutter="0"/>
          <w:pgNumType w:fmt="decimal"/>
          <w:cols w:space="0" w:num="1"/>
          <w:rtlGutter w:val="0"/>
          <w:docGrid w:linePitch="312" w:charSpace="0"/>
        </w:sectPr>
      </w:pPr>
    </w:p>
    <w:p w14:paraId="25C61ECF">
      <w:pPr>
        <w:pStyle w:val="5"/>
        <w:jc w:val="center"/>
        <w:rPr>
          <w:rFonts w:hint="eastAsia" w:ascii="宋体" w:hAnsi="宋体" w:cs="宋体"/>
          <w:color w:val="auto"/>
          <w:sz w:val="30"/>
          <w:szCs w:val="30"/>
          <w:highlight w:val="none"/>
        </w:rPr>
      </w:pPr>
      <w:bookmarkStart w:id="919" w:name="_Toc17845"/>
      <w:bookmarkStart w:id="920" w:name="_Toc4380"/>
      <w:bookmarkStart w:id="921" w:name="_Toc222"/>
      <w:bookmarkStart w:id="922" w:name="_Toc21288"/>
      <w:bookmarkStart w:id="923" w:name="_Toc19329"/>
      <w:r>
        <w:rPr>
          <w:rFonts w:hint="eastAsia" w:ascii="宋体" w:hAnsi="宋体" w:cs="宋体"/>
          <w:color w:val="auto"/>
          <w:sz w:val="30"/>
          <w:szCs w:val="30"/>
          <w:highlight w:val="none"/>
        </w:rPr>
        <w:t>（</w:t>
      </w:r>
      <w:r>
        <w:rPr>
          <w:rFonts w:hint="eastAsia" w:ascii="宋体" w:hAnsi="宋体" w:cs="宋体"/>
          <w:color w:val="auto"/>
          <w:sz w:val="30"/>
          <w:szCs w:val="30"/>
          <w:highlight w:val="none"/>
          <w:lang w:val="en-US" w:eastAsia="zh-CN"/>
        </w:rPr>
        <w:t>六</w:t>
      </w:r>
      <w:r>
        <w:rPr>
          <w:rFonts w:hint="eastAsia" w:ascii="宋体" w:hAnsi="宋体" w:cs="宋体"/>
          <w:color w:val="auto"/>
          <w:sz w:val="30"/>
          <w:szCs w:val="30"/>
          <w:highlight w:val="none"/>
        </w:rPr>
        <w:t>）</w:t>
      </w:r>
      <w:bookmarkEnd w:id="919"/>
      <w:bookmarkEnd w:id="920"/>
      <w:r>
        <w:rPr>
          <w:rFonts w:hint="eastAsia" w:ascii="宋体" w:hAnsi="宋体" w:cs="宋体"/>
          <w:color w:val="auto"/>
          <w:sz w:val="30"/>
          <w:szCs w:val="30"/>
          <w:highlight w:val="none"/>
        </w:rPr>
        <w:t>信誉承诺</w:t>
      </w:r>
      <w:bookmarkEnd w:id="921"/>
      <w:bookmarkEnd w:id="922"/>
      <w:bookmarkEnd w:id="923"/>
    </w:p>
    <w:p w14:paraId="71BC0651">
      <w:pPr>
        <w:spacing w:line="360" w:lineRule="auto"/>
        <w:rPr>
          <w:rStyle w:val="364"/>
          <w:rFonts w:hint="eastAsia" w:ascii="宋体" w:hAnsi="宋体" w:cs="宋体"/>
          <w:color w:val="auto"/>
          <w:szCs w:val="21"/>
          <w:highlight w:val="none"/>
        </w:rPr>
      </w:pPr>
      <w:bookmarkStart w:id="924" w:name="_Toc12602"/>
      <w:bookmarkStart w:id="925" w:name="_Toc45897177"/>
      <w:r>
        <w:rPr>
          <w:rStyle w:val="364"/>
          <w:rFonts w:hint="eastAsia" w:ascii="宋体" w:hAnsi="宋体" w:cs="宋体"/>
          <w:color w:val="auto"/>
          <w:szCs w:val="21"/>
          <w:highlight w:val="none"/>
        </w:rPr>
        <w:t>致：</w:t>
      </w:r>
      <w:r>
        <w:rPr>
          <w:rStyle w:val="364"/>
          <w:rFonts w:hint="eastAsia" w:ascii="宋体" w:hAnsi="宋体" w:cs="宋体"/>
          <w:color w:val="auto"/>
          <w:szCs w:val="21"/>
          <w:highlight w:val="none"/>
          <w:u w:val="single"/>
        </w:rPr>
        <w:t xml:space="preserve">   （招标人）</w:t>
      </w:r>
    </w:p>
    <w:p w14:paraId="3564A5AE">
      <w:pPr>
        <w:spacing w:line="360" w:lineRule="auto"/>
        <w:rPr>
          <w:rStyle w:val="364"/>
          <w:rFonts w:hint="eastAsia" w:ascii="宋体" w:hAnsi="宋体" w:cs="宋体"/>
          <w:color w:val="auto"/>
          <w:szCs w:val="21"/>
          <w:highlight w:val="none"/>
        </w:rPr>
      </w:pPr>
      <w:r>
        <w:rPr>
          <w:rStyle w:val="364"/>
          <w:rFonts w:hint="eastAsia" w:ascii="宋体" w:hAnsi="宋体" w:cs="宋体"/>
          <w:color w:val="auto"/>
          <w:szCs w:val="21"/>
          <w:highlight w:val="none"/>
        </w:rPr>
        <w:t>针对本项目投标，我公司承诺如下：</w:t>
      </w:r>
    </w:p>
    <w:bookmarkEnd w:id="924"/>
    <w:bookmarkEnd w:id="925"/>
    <w:p w14:paraId="37750C86">
      <w:pPr>
        <w:autoSpaceDE w:val="0"/>
        <w:autoSpaceDN w:val="0"/>
        <w:adjustRightInd w:val="0"/>
        <w:spacing w:line="360" w:lineRule="auto"/>
        <w:ind w:firstLine="420" w:firstLineChars="200"/>
        <w:rPr>
          <w:rFonts w:hint="eastAsia" w:ascii="宋体" w:hAnsi="宋体" w:cs="宋体"/>
          <w:color w:val="auto"/>
          <w:kern w:val="0"/>
          <w:szCs w:val="21"/>
          <w:highlight w:val="none"/>
        </w:rPr>
      </w:pPr>
      <w:r>
        <w:rPr>
          <w:rFonts w:hint="eastAsia" w:ascii="宋体" w:hAnsi="宋体" w:cs="宋体"/>
          <w:color w:val="auto"/>
          <w:kern w:val="0"/>
          <w:szCs w:val="21"/>
          <w:highlight w:val="none"/>
        </w:rPr>
        <w:t>我公司遵守国家有关的法律、法规，</w:t>
      </w:r>
      <w:r>
        <w:rPr>
          <w:rFonts w:hint="eastAsia" w:ascii="宋体" w:hAnsi="宋体" w:cs="宋体"/>
          <w:color w:val="auto"/>
          <w:kern w:val="0"/>
          <w:szCs w:val="21"/>
          <w:highlight w:val="none"/>
          <w:lang w:eastAsia="zh-CN"/>
        </w:rPr>
        <w:t>2022年1月1日</w:t>
      </w:r>
      <w:r>
        <w:rPr>
          <w:rFonts w:hint="eastAsia" w:ascii="宋体" w:hAnsi="宋体" w:cs="宋体"/>
          <w:color w:val="auto"/>
          <w:kern w:val="0"/>
          <w:szCs w:val="21"/>
          <w:highlight w:val="none"/>
        </w:rPr>
        <w:t>至</w:t>
      </w:r>
      <w:r>
        <w:rPr>
          <w:rFonts w:hint="eastAsia" w:ascii="宋体" w:hAnsi="宋体" w:eastAsia="宋体" w:cs="宋体"/>
          <w:color w:val="auto"/>
          <w:kern w:val="2"/>
          <w:position w:val="-2"/>
          <w:sz w:val="21"/>
          <w:szCs w:val="21"/>
          <w:highlight w:val="none"/>
        </w:rPr>
        <w:t>今</w:t>
      </w:r>
      <w:r>
        <w:rPr>
          <w:rFonts w:hint="eastAsia" w:ascii="宋体" w:hAnsi="宋体" w:cs="宋体"/>
          <w:color w:val="auto"/>
          <w:kern w:val="0"/>
          <w:szCs w:val="21"/>
          <w:highlight w:val="none"/>
        </w:rPr>
        <w:t>没有处于被责令停产停业、投标资格被取消、财产被接管、破产状态，暂扣或者吊销许可证、暂扣或者吊销执照；未进入清算程序或其他丧失履约能力的情形。</w:t>
      </w:r>
    </w:p>
    <w:p w14:paraId="23538F2E">
      <w:pPr>
        <w:pStyle w:val="2"/>
        <w:adjustRightInd w:val="0"/>
        <w:snapToGrid w:val="0"/>
        <w:spacing w:line="360" w:lineRule="auto"/>
        <w:rPr>
          <w:rFonts w:hint="default" w:eastAsia="宋体"/>
          <w:highlight w:val="none"/>
          <w:lang w:val="en-US" w:eastAsia="zh-CN"/>
        </w:rPr>
      </w:pPr>
      <w:r>
        <w:rPr>
          <w:rFonts w:hint="eastAsia"/>
          <w:highlight w:val="none"/>
          <w:lang w:val="en-US" w:eastAsia="zh-CN"/>
        </w:rPr>
        <w:t>我公司不存在“与招标人存在利害关系可能影响招标公正性的法人、其他组织或者个人，参加投标；单位负责人为同一人或者存在控股、管理关系的不同单位，参加同一标段投标或者未划分标段的同一招标项目投标。”的情形。</w:t>
      </w:r>
    </w:p>
    <w:p w14:paraId="03B4F072">
      <w:pPr>
        <w:adjustRightInd w:val="0"/>
        <w:snapToGrid w:val="0"/>
        <w:spacing w:line="360" w:lineRule="auto"/>
        <w:ind w:firstLine="422" w:firstLineChars="200"/>
        <w:jc w:val="center"/>
        <w:rPr>
          <w:rFonts w:hint="eastAsia" w:ascii="宋体" w:hAnsi="宋体" w:cs="宋体"/>
          <w:b/>
          <w:bCs/>
          <w:color w:val="auto"/>
          <w:kern w:val="0"/>
          <w:szCs w:val="21"/>
          <w:highlight w:val="none"/>
        </w:rPr>
      </w:pPr>
    </w:p>
    <w:p w14:paraId="170E9E62">
      <w:pPr>
        <w:adjustRightInd w:val="0"/>
        <w:snapToGrid w:val="0"/>
        <w:spacing w:line="360" w:lineRule="auto"/>
        <w:ind w:firstLine="420" w:firstLineChars="200"/>
        <w:rPr>
          <w:rFonts w:hint="eastAsia" w:ascii="宋体" w:hAnsi="宋体" w:cs="宋体"/>
          <w:color w:val="auto"/>
          <w:szCs w:val="21"/>
          <w:highlight w:val="none"/>
          <w:u w:val="single"/>
        </w:rPr>
      </w:pPr>
      <w:r>
        <w:rPr>
          <w:rStyle w:val="364"/>
          <w:rFonts w:hint="eastAsia" w:ascii="宋体" w:hAnsi="宋体" w:cs="宋体"/>
          <w:color w:val="auto"/>
          <w:highlight w:val="none"/>
        </w:rPr>
        <w:t>投标人</w:t>
      </w:r>
      <w:r>
        <w:rPr>
          <w:rFonts w:hint="eastAsia" w:ascii="宋体" w:hAnsi="宋体" w:cs="宋体"/>
          <w:color w:val="auto"/>
          <w:szCs w:val="21"/>
          <w:highlight w:val="none"/>
        </w:rPr>
        <w:t>（电子签章）：</w:t>
      </w:r>
      <w:r>
        <w:rPr>
          <w:rFonts w:hint="eastAsia" w:ascii="宋体" w:hAnsi="宋体" w:cs="宋体"/>
          <w:color w:val="auto"/>
          <w:szCs w:val="21"/>
          <w:highlight w:val="none"/>
          <w:u w:val="single"/>
        </w:rPr>
        <w:t xml:space="preserve">            </w:t>
      </w:r>
    </w:p>
    <w:p w14:paraId="09A0619C">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法定代表人</w:t>
      </w:r>
      <w:r>
        <w:rPr>
          <w:rFonts w:hint="eastAsia" w:ascii="宋体" w:hAnsi="宋体" w:cs="宋体"/>
          <w:color w:val="auto"/>
          <w:highlight w:val="none"/>
        </w:rPr>
        <w:t>（电子签章）</w:t>
      </w:r>
      <w:r>
        <w:rPr>
          <w:rFonts w:hint="eastAsia" w:ascii="宋体" w:hAnsi="宋体" w:cs="宋体"/>
          <w:color w:val="auto"/>
          <w:szCs w:val="21"/>
          <w:highlight w:val="none"/>
        </w:rPr>
        <w:t>：</w:t>
      </w:r>
      <w:r>
        <w:rPr>
          <w:rFonts w:hint="eastAsia" w:ascii="宋体" w:hAnsi="宋体" w:cs="宋体"/>
          <w:color w:val="auto"/>
          <w:szCs w:val="21"/>
          <w:highlight w:val="none"/>
          <w:u w:val="single"/>
        </w:rPr>
        <w:t xml:space="preserve">            </w:t>
      </w:r>
    </w:p>
    <w:p w14:paraId="7426F8D6">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w:t>
      </w:r>
    </w:p>
    <w:p w14:paraId="09AB888B">
      <w:pPr>
        <w:rPr>
          <w:rFonts w:hint="eastAsia" w:ascii="宋体" w:hAnsi="宋体" w:cs="宋体"/>
          <w:color w:val="auto"/>
          <w:szCs w:val="21"/>
          <w:highlight w:val="none"/>
        </w:rPr>
      </w:pPr>
    </w:p>
    <w:p w14:paraId="2E67206F">
      <w:pPr>
        <w:rPr>
          <w:rFonts w:hint="eastAsia" w:ascii="宋体" w:hAnsi="宋体" w:cs="宋体"/>
          <w:color w:val="auto"/>
          <w:szCs w:val="21"/>
          <w:highlight w:val="none"/>
        </w:rPr>
      </w:pPr>
    </w:p>
    <w:p w14:paraId="488D5FAA">
      <w:pPr>
        <w:rPr>
          <w:rFonts w:hint="eastAsia" w:ascii="宋体" w:hAnsi="宋体" w:cs="宋体"/>
          <w:color w:val="auto"/>
          <w:szCs w:val="21"/>
          <w:highlight w:val="none"/>
        </w:rPr>
      </w:pPr>
    </w:p>
    <w:p w14:paraId="3A388B81">
      <w:pPr>
        <w:rPr>
          <w:rFonts w:hint="eastAsia" w:ascii="宋体" w:hAnsi="宋体" w:cs="宋体"/>
          <w:color w:val="auto"/>
          <w:szCs w:val="21"/>
          <w:highlight w:val="none"/>
        </w:rPr>
      </w:pPr>
      <w:r>
        <w:rPr>
          <w:rFonts w:hint="eastAsia" w:ascii="宋体" w:hAnsi="宋体" w:cs="宋体"/>
          <w:color w:val="auto"/>
          <w:szCs w:val="21"/>
          <w:highlight w:val="none"/>
        </w:rPr>
        <w:br w:type="page"/>
      </w:r>
    </w:p>
    <w:p w14:paraId="623A9E75">
      <w:pPr>
        <w:pStyle w:val="74"/>
        <w:spacing w:line="360" w:lineRule="auto"/>
        <w:ind w:left="420" w:leftChars="200"/>
        <w:jc w:val="center"/>
        <w:outlineLvl w:val="2"/>
        <w:rPr>
          <w:rFonts w:hint="eastAsia" w:ascii="宋体" w:hAnsi="宋体" w:eastAsia="宋体" w:cs="宋体"/>
          <w:b/>
          <w:bCs/>
          <w:color w:val="auto"/>
          <w:highlight w:val="none"/>
        </w:rPr>
      </w:pPr>
      <w:bookmarkStart w:id="926" w:name="_Toc10891"/>
      <w:bookmarkStart w:id="927" w:name="_Toc2935"/>
      <w:bookmarkStart w:id="928" w:name="_Toc29925"/>
      <w:r>
        <w:rPr>
          <w:rFonts w:hint="eastAsia" w:ascii="宋体" w:hAnsi="宋体" w:eastAsia="宋体" w:cs="宋体"/>
          <w:b/>
          <w:bCs/>
          <w:color w:val="auto"/>
          <w:highlight w:val="none"/>
        </w:rPr>
        <w:t>（</w:t>
      </w:r>
      <w:r>
        <w:rPr>
          <w:rFonts w:hint="eastAsia" w:ascii="宋体" w:hAnsi="宋体" w:eastAsia="宋体" w:cs="宋体"/>
          <w:b/>
          <w:bCs/>
          <w:color w:val="auto"/>
          <w:highlight w:val="none"/>
          <w:lang w:val="en-US" w:eastAsia="zh-CN"/>
        </w:rPr>
        <w:t>七</w:t>
      </w:r>
      <w:r>
        <w:rPr>
          <w:rFonts w:hint="eastAsia" w:ascii="宋体" w:hAnsi="宋体" w:eastAsia="宋体" w:cs="宋体"/>
          <w:b/>
          <w:bCs/>
          <w:color w:val="auto"/>
          <w:highlight w:val="none"/>
        </w:rPr>
        <w:t>）信用查询截图</w:t>
      </w:r>
      <w:bookmarkEnd w:id="926"/>
      <w:bookmarkEnd w:id="927"/>
      <w:bookmarkEnd w:id="928"/>
    </w:p>
    <w:p w14:paraId="093FAE7A">
      <w:pPr>
        <w:pStyle w:val="74"/>
        <w:spacing w:line="360" w:lineRule="auto"/>
        <w:ind w:firstLine="420" w:firstLineChars="200"/>
        <w:rPr>
          <w:rFonts w:hint="eastAsia" w:ascii="宋体" w:hAnsi="宋体" w:eastAsia="宋体" w:cs="宋体"/>
          <w:color w:val="auto"/>
          <w:kern w:val="2"/>
          <w:position w:val="-2"/>
          <w:sz w:val="21"/>
          <w:szCs w:val="21"/>
          <w:highlight w:val="none"/>
        </w:rPr>
      </w:pPr>
      <w:r>
        <w:rPr>
          <w:rFonts w:hint="eastAsia" w:ascii="宋体" w:hAnsi="宋体" w:eastAsia="宋体" w:cs="宋体"/>
          <w:color w:val="auto"/>
          <w:kern w:val="2"/>
          <w:position w:val="-2"/>
          <w:sz w:val="21"/>
          <w:szCs w:val="21"/>
          <w:highlight w:val="none"/>
        </w:rPr>
        <w:t>1、投标人未被“中国执行信息公开网”列入“失信被执行人”（投标人提供查询截图附于投标文件中）。</w:t>
      </w:r>
    </w:p>
    <w:p w14:paraId="31090E9B">
      <w:pPr>
        <w:pStyle w:val="74"/>
        <w:spacing w:line="360" w:lineRule="auto"/>
        <w:ind w:firstLine="420" w:firstLineChars="200"/>
        <w:rPr>
          <w:rFonts w:hint="eastAsia" w:ascii="宋体" w:hAnsi="宋体" w:eastAsia="宋体" w:cs="宋体"/>
          <w:color w:val="auto"/>
          <w:kern w:val="2"/>
          <w:position w:val="-2"/>
          <w:sz w:val="21"/>
          <w:szCs w:val="21"/>
          <w:highlight w:val="none"/>
        </w:rPr>
      </w:pPr>
      <w:r>
        <w:rPr>
          <w:rFonts w:hint="eastAsia" w:ascii="宋体" w:hAnsi="宋体" w:eastAsia="宋体" w:cs="宋体"/>
          <w:color w:val="auto"/>
          <w:kern w:val="2"/>
          <w:position w:val="-2"/>
          <w:sz w:val="21"/>
          <w:szCs w:val="21"/>
          <w:highlight w:val="none"/>
        </w:rPr>
        <w:t>2、投标人未被“国家企业信用信息公示系统”列入“严重违法失信名单（黑名单）信息”（投标人提供查询截图附于投标文件中）。</w:t>
      </w:r>
    </w:p>
    <w:p w14:paraId="23469CB8">
      <w:pPr>
        <w:pStyle w:val="74"/>
        <w:spacing w:line="360" w:lineRule="auto"/>
        <w:ind w:left="420" w:leftChars="200"/>
        <w:jc w:val="left"/>
        <w:outlineLvl w:val="9"/>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注：以上截图查询时间须为本项目发布公告之日起至投标截止时间止的时间段内。</w:t>
      </w:r>
    </w:p>
    <w:p w14:paraId="418FD23E">
      <w:pPr>
        <w:pStyle w:val="74"/>
        <w:spacing w:line="360" w:lineRule="auto"/>
        <w:ind w:left="420" w:leftChars="200"/>
        <w:jc w:val="center"/>
        <w:outlineLvl w:val="9"/>
        <w:rPr>
          <w:rFonts w:hint="eastAsia" w:ascii="宋体" w:hAnsi="宋体"/>
          <w:b/>
          <w:bCs/>
          <w:color w:val="auto"/>
          <w:kern w:val="2"/>
          <w:sz w:val="21"/>
          <w:szCs w:val="21"/>
          <w:highlight w:val="none"/>
        </w:rPr>
      </w:pPr>
    </w:p>
    <w:p w14:paraId="2B6092E5">
      <w:pPr>
        <w:pStyle w:val="74"/>
        <w:spacing w:line="360" w:lineRule="auto"/>
        <w:ind w:left="420" w:leftChars="200"/>
        <w:jc w:val="center"/>
        <w:outlineLvl w:val="9"/>
        <w:rPr>
          <w:rFonts w:hint="eastAsia" w:ascii="宋体" w:hAnsi="宋体"/>
          <w:b/>
          <w:bCs/>
          <w:color w:val="auto"/>
          <w:kern w:val="2"/>
          <w:sz w:val="21"/>
          <w:szCs w:val="21"/>
          <w:highlight w:val="none"/>
        </w:rPr>
      </w:pPr>
    </w:p>
    <w:p w14:paraId="4027E4EF">
      <w:pPr>
        <w:pStyle w:val="74"/>
        <w:spacing w:line="360" w:lineRule="auto"/>
        <w:ind w:left="420" w:leftChars="200"/>
        <w:jc w:val="center"/>
        <w:outlineLvl w:val="9"/>
        <w:rPr>
          <w:rFonts w:hint="eastAsia" w:ascii="宋体" w:hAnsi="宋体"/>
          <w:b/>
          <w:bCs/>
          <w:color w:val="auto"/>
          <w:kern w:val="2"/>
          <w:sz w:val="21"/>
          <w:szCs w:val="21"/>
          <w:highlight w:val="none"/>
        </w:rPr>
      </w:pPr>
    </w:p>
    <w:p w14:paraId="678D87EC">
      <w:pPr>
        <w:outlineLvl w:val="9"/>
        <w:rPr>
          <w:rFonts w:hint="eastAsia" w:ascii="宋体" w:hAnsi="宋体" w:eastAsia="宋体" w:cs="宋体"/>
          <w:b/>
          <w:bCs/>
          <w:color w:val="auto"/>
          <w:highlight w:val="none"/>
        </w:rPr>
      </w:pPr>
      <w:r>
        <w:rPr>
          <w:rFonts w:hint="eastAsia" w:ascii="宋体" w:hAnsi="宋体" w:eastAsia="宋体" w:cs="宋体"/>
          <w:b/>
          <w:bCs/>
          <w:color w:val="auto"/>
          <w:highlight w:val="none"/>
        </w:rPr>
        <w:br w:type="page"/>
      </w:r>
    </w:p>
    <w:p w14:paraId="0C8B8CE3">
      <w:pPr>
        <w:rPr>
          <w:rFonts w:hint="eastAsia" w:ascii="宋体" w:hAnsi="宋体" w:cs="宋体"/>
          <w:color w:val="auto"/>
          <w:highlight w:val="none"/>
        </w:rPr>
      </w:pPr>
      <w:bookmarkStart w:id="929" w:name="_Toc2929"/>
      <w:bookmarkStart w:id="930" w:name="_Toc27745"/>
      <w:bookmarkStart w:id="931" w:name="_Toc30661"/>
    </w:p>
    <w:p w14:paraId="2D4A0441">
      <w:pPr>
        <w:keepNext/>
        <w:keepLines/>
        <w:jc w:val="center"/>
        <w:rPr>
          <w:rFonts w:hint="eastAsia" w:ascii="宋体" w:hAnsi="宋体" w:cs="宋体"/>
          <w:color w:val="auto"/>
          <w:highlight w:val="none"/>
        </w:rPr>
      </w:pPr>
      <w:r>
        <w:rPr>
          <w:rFonts w:hint="eastAsia" w:ascii="宋体" w:hAnsi="宋体" w:cs="宋体"/>
          <w:color w:val="auto"/>
          <w:sz w:val="30"/>
          <w:szCs w:val="30"/>
          <w:highlight w:val="none"/>
        </w:rPr>
        <w:t xml:space="preserve"> </w:t>
      </w:r>
    </w:p>
    <w:p w14:paraId="573F35F7">
      <w:pPr>
        <w:pStyle w:val="5"/>
        <w:jc w:val="center"/>
        <w:rPr>
          <w:rFonts w:hint="eastAsia" w:ascii="宋体" w:hAnsi="宋体" w:cs="宋体"/>
          <w:color w:val="auto"/>
          <w:sz w:val="30"/>
          <w:szCs w:val="30"/>
          <w:highlight w:val="none"/>
        </w:rPr>
      </w:pPr>
      <w:bookmarkStart w:id="932" w:name="_Toc22341"/>
      <w:bookmarkStart w:id="933" w:name="_Toc18158"/>
      <w:bookmarkStart w:id="934" w:name="_Toc15145"/>
      <w:r>
        <w:rPr>
          <w:rFonts w:hint="eastAsia" w:ascii="宋体" w:hAnsi="宋体" w:cs="宋体"/>
          <w:color w:val="auto"/>
          <w:sz w:val="30"/>
          <w:szCs w:val="30"/>
          <w:highlight w:val="none"/>
        </w:rPr>
        <w:t>（</w:t>
      </w:r>
      <w:r>
        <w:rPr>
          <w:rFonts w:hint="eastAsia" w:ascii="宋体" w:hAnsi="宋体" w:cs="宋体"/>
          <w:color w:val="auto"/>
          <w:sz w:val="30"/>
          <w:szCs w:val="30"/>
          <w:highlight w:val="none"/>
          <w:lang w:val="en-US" w:eastAsia="zh-CN"/>
        </w:rPr>
        <w:t>八</w:t>
      </w:r>
      <w:r>
        <w:rPr>
          <w:rFonts w:hint="eastAsia" w:ascii="宋体" w:hAnsi="宋体" w:cs="宋体"/>
          <w:color w:val="auto"/>
          <w:sz w:val="30"/>
          <w:szCs w:val="30"/>
          <w:highlight w:val="none"/>
        </w:rPr>
        <w:t>）招标文件要求的及投标人认为应提交的其他资料</w:t>
      </w:r>
      <w:bookmarkEnd w:id="929"/>
      <w:bookmarkEnd w:id="930"/>
      <w:bookmarkEnd w:id="931"/>
      <w:bookmarkEnd w:id="932"/>
      <w:bookmarkEnd w:id="933"/>
      <w:bookmarkEnd w:id="934"/>
    </w:p>
    <w:p w14:paraId="1D0989A2">
      <w:pPr>
        <w:jc w:val="center"/>
        <w:rPr>
          <w:rFonts w:hint="eastAsia" w:ascii="宋体" w:hAnsi="宋体" w:cs="宋体"/>
          <w:color w:val="auto"/>
          <w:highlight w:val="none"/>
        </w:rPr>
      </w:pPr>
    </w:p>
    <w:p w14:paraId="6458498D">
      <w:pPr>
        <w:rPr>
          <w:rFonts w:hint="eastAsia" w:ascii="宋体" w:hAnsi="宋体" w:cs="宋体"/>
          <w:color w:val="auto"/>
          <w:highlight w:val="none"/>
        </w:rPr>
      </w:pPr>
    </w:p>
    <w:p w14:paraId="6C8548E1">
      <w:pPr>
        <w:jc w:val="center"/>
        <w:rPr>
          <w:rFonts w:hint="eastAsia" w:ascii="宋体" w:hAnsi="宋体" w:cs="宋体"/>
          <w:b/>
          <w:bCs/>
          <w:color w:val="auto"/>
          <w:kern w:val="0"/>
          <w:szCs w:val="24"/>
          <w:highlight w:val="none"/>
        </w:rPr>
      </w:pPr>
      <w:r>
        <w:rPr>
          <w:rFonts w:hint="eastAsia" w:ascii="宋体" w:hAnsi="宋体" w:cs="宋体"/>
          <w:b/>
          <w:bCs/>
          <w:color w:val="auto"/>
          <w:szCs w:val="24"/>
          <w:highlight w:val="none"/>
        </w:rPr>
        <w:t>（格式自拟）</w:t>
      </w:r>
    </w:p>
    <w:p w14:paraId="4E327D3E">
      <w:pPr>
        <w:pStyle w:val="362"/>
        <w:adjustRightInd w:val="0"/>
        <w:snapToGrid w:val="0"/>
        <w:spacing w:line="360" w:lineRule="auto"/>
        <w:rPr>
          <w:rFonts w:hint="eastAsia" w:ascii="宋体" w:hAnsi="宋体" w:eastAsia="宋体" w:cs="宋体"/>
          <w:color w:val="auto"/>
          <w:highlight w:val="none"/>
        </w:rPr>
      </w:pPr>
    </w:p>
    <w:p w14:paraId="6B099EDD">
      <w:pPr>
        <w:rPr>
          <w:rFonts w:hint="eastAsia" w:ascii="宋体" w:hAnsi="宋体" w:cs="宋体"/>
          <w:color w:val="auto"/>
          <w:sz w:val="30"/>
          <w:szCs w:val="30"/>
          <w:highlight w:val="none"/>
        </w:rPr>
      </w:pPr>
      <w:r>
        <w:rPr>
          <w:rFonts w:hint="eastAsia" w:ascii="宋体" w:hAnsi="宋体" w:cs="宋体"/>
          <w:color w:val="auto"/>
          <w:sz w:val="30"/>
          <w:szCs w:val="30"/>
          <w:highlight w:val="none"/>
        </w:rPr>
        <w:br w:type="page"/>
      </w:r>
    </w:p>
    <w:bookmarkEnd w:id="894"/>
    <w:p w14:paraId="44A3A4D6">
      <w:pPr>
        <w:pStyle w:val="31"/>
        <w:rPr>
          <w:rFonts w:hint="eastAsia" w:hAnsi="宋体" w:cs="宋体"/>
          <w:color w:val="auto"/>
          <w:highlight w:val="none"/>
        </w:rPr>
      </w:pPr>
    </w:p>
    <w:bookmarkEnd w:id="877"/>
    <w:p w14:paraId="73C31AB5">
      <w:pPr>
        <w:pStyle w:val="4"/>
        <w:jc w:val="center"/>
        <w:rPr>
          <w:rFonts w:hint="eastAsia" w:ascii="宋体" w:hAnsi="宋体" w:eastAsia="宋体" w:cs="宋体"/>
          <w:color w:val="auto"/>
          <w:sz w:val="36"/>
          <w:szCs w:val="36"/>
          <w:highlight w:val="none"/>
        </w:rPr>
      </w:pPr>
      <w:bookmarkStart w:id="935" w:name="_Toc13963"/>
      <w:bookmarkStart w:id="936" w:name="_Toc9482"/>
      <w:bookmarkStart w:id="937" w:name="_Toc24217"/>
      <w:bookmarkStart w:id="938" w:name="_Toc20461"/>
      <w:bookmarkStart w:id="939" w:name="_Toc14464"/>
      <w:bookmarkStart w:id="940" w:name="_Toc17085"/>
      <w:bookmarkStart w:id="941" w:name="_Toc21518"/>
      <w:bookmarkStart w:id="942" w:name="_Toc423904624"/>
      <w:bookmarkStart w:id="943" w:name="_Toc26956"/>
      <w:r>
        <w:rPr>
          <w:rFonts w:hint="eastAsia" w:ascii="宋体" w:hAnsi="宋体" w:eastAsia="宋体" w:cs="宋体"/>
          <w:color w:val="auto"/>
          <w:sz w:val="36"/>
          <w:szCs w:val="36"/>
          <w:highlight w:val="none"/>
        </w:rPr>
        <w:t>第二部分 商务部分</w:t>
      </w:r>
      <w:bookmarkEnd w:id="935"/>
      <w:bookmarkEnd w:id="936"/>
      <w:bookmarkEnd w:id="937"/>
      <w:bookmarkEnd w:id="938"/>
      <w:bookmarkEnd w:id="939"/>
    </w:p>
    <w:p w14:paraId="37DAE319">
      <w:pPr>
        <w:pStyle w:val="363"/>
        <w:numPr>
          <w:ilvl w:val="0"/>
          <w:numId w:val="0"/>
        </w:numPr>
        <w:tabs>
          <w:tab w:val="left" w:pos="1440"/>
          <w:tab w:val="left" w:pos="1620"/>
        </w:tabs>
        <w:snapToGrid w:val="0"/>
        <w:spacing w:before="120" w:beforeLines="50" w:after="240" w:afterLines="100" w:line="360" w:lineRule="auto"/>
        <w:jc w:val="center"/>
        <w:outlineLvl w:val="2"/>
        <w:rPr>
          <w:rFonts w:hint="eastAsia" w:ascii="宋体" w:hAnsi="宋体" w:cs="宋体"/>
          <w:b/>
          <w:bCs/>
          <w:color w:val="auto"/>
          <w:sz w:val="28"/>
          <w:szCs w:val="28"/>
          <w:highlight w:val="none"/>
        </w:rPr>
      </w:pPr>
      <w:bookmarkStart w:id="944" w:name="_Toc7765"/>
      <w:bookmarkStart w:id="945" w:name="_Toc7618"/>
      <w:bookmarkStart w:id="946" w:name="_Toc21349"/>
      <w:bookmarkStart w:id="947" w:name="_Toc23799"/>
      <w:r>
        <w:rPr>
          <w:rFonts w:hint="eastAsia" w:ascii="宋体" w:hAnsi="宋体" w:cs="宋体"/>
          <w:b/>
          <w:bCs/>
          <w:color w:val="auto"/>
          <w:sz w:val="28"/>
          <w:szCs w:val="28"/>
          <w:highlight w:val="none"/>
        </w:rPr>
        <w:t>开标（唱标）一览表</w:t>
      </w:r>
      <w:bookmarkEnd w:id="944"/>
      <w:bookmarkEnd w:id="945"/>
      <w:bookmarkEnd w:id="946"/>
      <w:bookmarkEnd w:id="947"/>
    </w:p>
    <w:p w14:paraId="4E2DFF75">
      <w:pPr>
        <w:spacing w:line="360" w:lineRule="auto"/>
        <w:ind w:left="-410" w:firstLine="360"/>
        <w:rPr>
          <w:rFonts w:hint="eastAsia" w:ascii="宋体" w:hAnsi="宋体" w:cs="宋体"/>
          <w:color w:val="auto"/>
          <w:highlight w:val="none"/>
        </w:rPr>
      </w:pPr>
      <w:r>
        <w:rPr>
          <w:rFonts w:hint="eastAsia" w:ascii="宋体" w:hAnsi="宋体" w:cs="宋体"/>
          <w:color w:val="auto"/>
          <w:highlight w:val="none"/>
        </w:rPr>
        <w:t xml:space="preserve">项目名称：                                             </w:t>
      </w:r>
    </w:p>
    <w:tbl>
      <w:tblPr>
        <w:tblStyle w:val="57"/>
        <w:tblW w:w="9345" w:type="dxa"/>
        <w:tblInd w:w="108" w:type="dxa"/>
        <w:tblLayout w:type="fixed"/>
        <w:tblCellMar>
          <w:top w:w="0" w:type="dxa"/>
          <w:left w:w="108" w:type="dxa"/>
          <w:bottom w:w="0" w:type="dxa"/>
          <w:right w:w="108" w:type="dxa"/>
        </w:tblCellMar>
      </w:tblPr>
      <w:tblGrid>
        <w:gridCol w:w="787"/>
        <w:gridCol w:w="2379"/>
        <w:gridCol w:w="6179"/>
      </w:tblGrid>
      <w:tr w14:paraId="5921835C">
        <w:tblPrEx>
          <w:tblCellMar>
            <w:top w:w="0" w:type="dxa"/>
            <w:left w:w="108" w:type="dxa"/>
            <w:bottom w:w="0" w:type="dxa"/>
            <w:right w:w="108" w:type="dxa"/>
          </w:tblCellMar>
        </w:tblPrEx>
        <w:trPr>
          <w:trHeight w:val="616" w:hRule="atLeast"/>
        </w:trPr>
        <w:tc>
          <w:tcPr>
            <w:tcW w:w="787" w:type="dxa"/>
            <w:tcBorders>
              <w:top w:val="single" w:color="000000" w:sz="4" w:space="0"/>
              <w:left w:val="single" w:color="000000" w:sz="4" w:space="0"/>
              <w:bottom w:val="single" w:color="000000" w:sz="4" w:space="0"/>
              <w:right w:val="single" w:color="000000" w:sz="4" w:space="0"/>
            </w:tcBorders>
            <w:vAlign w:val="center"/>
          </w:tcPr>
          <w:p w14:paraId="0F8E4D2C">
            <w:pPr>
              <w:spacing w:line="360" w:lineRule="auto"/>
              <w:jc w:val="center"/>
              <w:rPr>
                <w:rFonts w:hint="eastAsia" w:ascii="宋体" w:hAnsi="宋体" w:cs="宋体"/>
                <w:color w:val="auto"/>
                <w:highlight w:val="none"/>
              </w:rPr>
            </w:pPr>
            <w:r>
              <w:rPr>
                <w:rFonts w:hint="eastAsia" w:ascii="宋体" w:hAnsi="宋体" w:cs="宋体"/>
                <w:color w:val="auto"/>
                <w:highlight w:val="none"/>
              </w:rPr>
              <w:t>序号</w:t>
            </w:r>
          </w:p>
        </w:tc>
        <w:tc>
          <w:tcPr>
            <w:tcW w:w="2379" w:type="dxa"/>
            <w:tcBorders>
              <w:top w:val="single" w:color="000000" w:sz="4" w:space="0"/>
              <w:bottom w:val="single" w:color="000000" w:sz="4" w:space="0"/>
              <w:right w:val="single" w:color="000000" w:sz="4" w:space="0"/>
            </w:tcBorders>
            <w:vAlign w:val="center"/>
          </w:tcPr>
          <w:p w14:paraId="0E532CE7">
            <w:pPr>
              <w:spacing w:line="360" w:lineRule="auto"/>
              <w:jc w:val="center"/>
              <w:rPr>
                <w:rFonts w:hint="eastAsia" w:ascii="宋体" w:hAnsi="宋体" w:cs="宋体"/>
                <w:color w:val="auto"/>
                <w:highlight w:val="none"/>
              </w:rPr>
            </w:pPr>
            <w:r>
              <w:rPr>
                <w:rFonts w:hint="eastAsia" w:ascii="宋体" w:hAnsi="宋体" w:cs="宋体"/>
                <w:color w:val="auto"/>
                <w:highlight w:val="none"/>
              </w:rPr>
              <w:t>项目</w:t>
            </w:r>
          </w:p>
        </w:tc>
        <w:tc>
          <w:tcPr>
            <w:tcW w:w="6179" w:type="dxa"/>
            <w:tcBorders>
              <w:top w:val="single" w:color="000000" w:sz="4" w:space="0"/>
              <w:bottom w:val="single" w:color="000000" w:sz="4" w:space="0"/>
              <w:right w:val="single" w:color="000000" w:sz="4" w:space="0"/>
            </w:tcBorders>
            <w:vAlign w:val="center"/>
          </w:tcPr>
          <w:p w14:paraId="2B3BCD00">
            <w:pPr>
              <w:spacing w:line="360" w:lineRule="auto"/>
              <w:jc w:val="center"/>
              <w:rPr>
                <w:rFonts w:hint="eastAsia" w:ascii="宋体" w:hAnsi="宋体" w:cs="宋体"/>
                <w:color w:val="auto"/>
                <w:highlight w:val="none"/>
              </w:rPr>
            </w:pPr>
            <w:r>
              <w:rPr>
                <w:rFonts w:hint="eastAsia" w:ascii="宋体" w:hAnsi="宋体" w:cs="宋体"/>
                <w:color w:val="auto"/>
                <w:highlight w:val="none"/>
              </w:rPr>
              <w:t>填报内容</w:t>
            </w:r>
          </w:p>
        </w:tc>
      </w:tr>
      <w:tr w14:paraId="6FAF7B99">
        <w:tblPrEx>
          <w:tblCellMar>
            <w:top w:w="0" w:type="dxa"/>
            <w:left w:w="108" w:type="dxa"/>
            <w:bottom w:w="0" w:type="dxa"/>
            <w:right w:w="108" w:type="dxa"/>
          </w:tblCellMar>
        </w:tblPrEx>
        <w:trPr>
          <w:trHeight w:val="812" w:hRule="atLeast"/>
        </w:trPr>
        <w:tc>
          <w:tcPr>
            <w:tcW w:w="787" w:type="dxa"/>
            <w:tcBorders>
              <w:top w:val="single" w:color="000000" w:sz="4" w:space="0"/>
              <w:left w:val="single" w:color="000000" w:sz="4" w:space="0"/>
              <w:bottom w:val="single" w:color="000000" w:sz="4" w:space="0"/>
              <w:right w:val="single" w:color="000000" w:sz="4" w:space="0"/>
            </w:tcBorders>
            <w:vAlign w:val="center"/>
          </w:tcPr>
          <w:p w14:paraId="4629C859">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1</w:t>
            </w:r>
          </w:p>
        </w:tc>
        <w:tc>
          <w:tcPr>
            <w:tcW w:w="2379" w:type="dxa"/>
            <w:tcBorders>
              <w:top w:val="single" w:color="000000" w:sz="4" w:space="0"/>
              <w:bottom w:val="single" w:color="000000" w:sz="4" w:space="0"/>
              <w:right w:val="single" w:color="000000" w:sz="4" w:space="0"/>
            </w:tcBorders>
            <w:vAlign w:val="center"/>
          </w:tcPr>
          <w:p w14:paraId="5DA51F18">
            <w:pPr>
              <w:spacing w:line="360" w:lineRule="auto"/>
              <w:jc w:val="center"/>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eastAsia="zh-CN"/>
              </w:rPr>
              <w:t>监理服务费率</w:t>
            </w:r>
            <w:r>
              <w:rPr>
                <w:rFonts w:hint="eastAsia" w:ascii="宋体" w:hAnsi="宋体" w:cs="宋体"/>
                <w:color w:val="auto"/>
                <w:szCs w:val="21"/>
                <w:highlight w:val="none"/>
                <w:lang w:val="en-US" w:eastAsia="zh-CN"/>
              </w:rPr>
              <w:t>报价</w:t>
            </w:r>
          </w:p>
        </w:tc>
        <w:tc>
          <w:tcPr>
            <w:tcW w:w="6179" w:type="dxa"/>
            <w:tcBorders>
              <w:top w:val="single" w:color="000000" w:sz="4" w:space="0"/>
              <w:bottom w:val="single" w:color="000000" w:sz="4" w:space="0"/>
              <w:right w:val="single" w:color="000000" w:sz="4" w:space="0"/>
            </w:tcBorders>
            <w:vAlign w:val="center"/>
          </w:tcPr>
          <w:p w14:paraId="424FA95A">
            <w:pPr>
              <w:spacing w:line="360" w:lineRule="auto"/>
              <w:jc w:val="left"/>
              <w:rPr>
                <w:rFonts w:hint="eastAsia" w:ascii="宋体" w:hAnsi="宋体" w:eastAsia="宋体" w:cs="宋体"/>
                <w:color w:val="auto"/>
                <w:szCs w:val="21"/>
                <w:highlight w:val="none"/>
                <w:lang w:eastAsia="zh-CN"/>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lang w:val="en-US" w:eastAsia="zh-CN"/>
              </w:rPr>
              <w:t>%</w:t>
            </w:r>
          </w:p>
        </w:tc>
      </w:tr>
      <w:tr w14:paraId="2C011AE9">
        <w:tblPrEx>
          <w:tblCellMar>
            <w:top w:w="0" w:type="dxa"/>
            <w:left w:w="108" w:type="dxa"/>
            <w:bottom w:w="0" w:type="dxa"/>
            <w:right w:w="108" w:type="dxa"/>
          </w:tblCellMar>
        </w:tblPrEx>
        <w:trPr>
          <w:trHeight w:val="944" w:hRule="atLeast"/>
        </w:trPr>
        <w:tc>
          <w:tcPr>
            <w:tcW w:w="787" w:type="dxa"/>
            <w:tcBorders>
              <w:top w:val="single" w:color="000000" w:sz="4" w:space="0"/>
              <w:left w:val="single" w:color="000000" w:sz="4" w:space="0"/>
              <w:bottom w:val="single" w:color="000000" w:sz="4" w:space="0"/>
              <w:right w:val="single" w:color="000000" w:sz="4" w:space="0"/>
            </w:tcBorders>
            <w:vAlign w:val="center"/>
          </w:tcPr>
          <w:p w14:paraId="690EE78D">
            <w:pPr>
              <w:spacing w:line="360" w:lineRule="auto"/>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2</w:t>
            </w:r>
          </w:p>
        </w:tc>
        <w:tc>
          <w:tcPr>
            <w:tcW w:w="2379" w:type="dxa"/>
            <w:tcBorders>
              <w:top w:val="single" w:color="000000" w:sz="4" w:space="0"/>
              <w:bottom w:val="single" w:color="000000" w:sz="4" w:space="0"/>
              <w:right w:val="single" w:color="000000" w:sz="4" w:space="0"/>
            </w:tcBorders>
            <w:vAlign w:val="center"/>
          </w:tcPr>
          <w:p w14:paraId="5F37AAC4">
            <w:pPr>
              <w:spacing w:line="240" w:lineRule="exact"/>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总监理工程师</w:t>
            </w:r>
          </w:p>
        </w:tc>
        <w:tc>
          <w:tcPr>
            <w:tcW w:w="6179" w:type="dxa"/>
            <w:tcBorders>
              <w:top w:val="single" w:color="000000" w:sz="4" w:space="0"/>
              <w:bottom w:val="single" w:color="000000" w:sz="4" w:space="0"/>
              <w:right w:val="single" w:color="000000" w:sz="4" w:space="0"/>
            </w:tcBorders>
            <w:vAlign w:val="center"/>
          </w:tcPr>
          <w:p w14:paraId="5CA6A277">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姓名：</w:t>
            </w:r>
          </w:p>
          <w:p w14:paraId="0DDBEABC">
            <w:pPr>
              <w:spacing w:line="360" w:lineRule="auto"/>
              <w:ind w:firstLine="0" w:firstLineChars="0"/>
              <w:rPr>
                <w:rFonts w:hint="eastAsia" w:ascii="宋体" w:hAnsi="宋体" w:cs="宋体"/>
                <w:color w:val="auto"/>
                <w:szCs w:val="21"/>
                <w:highlight w:val="none"/>
              </w:rPr>
            </w:pPr>
            <w:r>
              <w:rPr>
                <w:rFonts w:hint="eastAsia" w:ascii="宋体" w:hAnsi="宋体" w:cs="宋体"/>
                <w:color w:val="auto"/>
                <w:szCs w:val="21"/>
                <w:highlight w:val="none"/>
                <w:lang w:val="en-US" w:eastAsia="zh-CN"/>
              </w:rPr>
              <w:t>注册</w:t>
            </w:r>
            <w:r>
              <w:rPr>
                <w:rFonts w:hint="eastAsia" w:ascii="宋体" w:hAnsi="宋体" w:cs="宋体"/>
                <w:color w:val="auto"/>
                <w:szCs w:val="21"/>
                <w:highlight w:val="none"/>
              </w:rPr>
              <w:t>证书名称：</w:t>
            </w:r>
          </w:p>
          <w:p w14:paraId="3604F523">
            <w:pPr>
              <w:spacing w:line="360" w:lineRule="auto"/>
              <w:ind w:firstLine="0" w:firstLineChars="0"/>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证书编号</w:t>
            </w:r>
            <w:r>
              <w:rPr>
                <w:rFonts w:hint="eastAsia" w:ascii="宋体" w:hAnsi="宋体" w:cs="宋体"/>
                <w:color w:val="auto"/>
                <w:szCs w:val="21"/>
                <w:highlight w:val="none"/>
                <w:lang w:eastAsia="zh-CN"/>
              </w:rPr>
              <w:t>：</w:t>
            </w:r>
          </w:p>
        </w:tc>
      </w:tr>
      <w:tr w14:paraId="07C319D5">
        <w:tblPrEx>
          <w:tblCellMar>
            <w:top w:w="0" w:type="dxa"/>
            <w:left w:w="108" w:type="dxa"/>
            <w:bottom w:w="0" w:type="dxa"/>
            <w:right w:w="108" w:type="dxa"/>
          </w:tblCellMar>
        </w:tblPrEx>
        <w:trPr>
          <w:trHeight w:val="630" w:hRule="atLeast"/>
        </w:trPr>
        <w:tc>
          <w:tcPr>
            <w:tcW w:w="787" w:type="dxa"/>
            <w:tcBorders>
              <w:top w:val="single" w:color="000000" w:sz="4" w:space="0"/>
              <w:left w:val="single" w:color="000000" w:sz="4" w:space="0"/>
              <w:bottom w:val="single" w:color="000000" w:sz="4" w:space="0"/>
              <w:right w:val="single" w:color="000000" w:sz="4" w:space="0"/>
            </w:tcBorders>
            <w:vAlign w:val="center"/>
          </w:tcPr>
          <w:p w14:paraId="2F212CC5">
            <w:pPr>
              <w:spacing w:line="360" w:lineRule="auto"/>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3</w:t>
            </w:r>
          </w:p>
        </w:tc>
        <w:tc>
          <w:tcPr>
            <w:tcW w:w="2379" w:type="dxa"/>
            <w:tcBorders>
              <w:top w:val="single" w:color="000000" w:sz="4" w:space="0"/>
              <w:bottom w:val="single" w:color="000000" w:sz="4" w:space="0"/>
              <w:right w:val="single" w:color="000000" w:sz="4" w:space="0"/>
            </w:tcBorders>
            <w:vAlign w:val="center"/>
          </w:tcPr>
          <w:p w14:paraId="0CE251DF">
            <w:pPr>
              <w:spacing w:line="240" w:lineRule="exact"/>
              <w:jc w:val="center"/>
              <w:rPr>
                <w:rFonts w:hint="eastAsia" w:ascii="宋体" w:hAnsi="宋体" w:cs="宋体"/>
                <w:color w:val="auto"/>
                <w:position w:val="-2"/>
                <w:szCs w:val="21"/>
                <w:highlight w:val="none"/>
                <w:lang w:eastAsia="zh-CN"/>
              </w:rPr>
            </w:pPr>
            <w:r>
              <w:rPr>
                <w:rFonts w:hint="eastAsia" w:ascii="宋体" w:hAnsi="宋体" w:cs="宋体"/>
                <w:color w:val="auto"/>
                <w:position w:val="-2"/>
                <w:szCs w:val="21"/>
                <w:highlight w:val="none"/>
                <w:lang w:eastAsia="zh-CN"/>
              </w:rPr>
              <w:t>服务期限</w:t>
            </w:r>
          </w:p>
        </w:tc>
        <w:tc>
          <w:tcPr>
            <w:tcW w:w="6179" w:type="dxa"/>
            <w:tcBorders>
              <w:top w:val="single" w:color="000000" w:sz="4" w:space="0"/>
              <w:bottom w:val="single" w:color="000000" w:sz="4" w:space="0"/>
              <w:right w:val="single" w:color="000000" w:sz="4" w:space="0"/>
            </w:tcBorders>
            <w:vAlign w:val="center"/>
          </w:tcPr>
          <w:p w14:paraId="0E699D10">
            <w:pPr>
              <w:spacing w:line="360" w:lineRule="auto"/>
              <w:ind w:firstLine="0" w:firstLineChars="0"/>
              <w:rPr>
                <w:rFonts w:hint="eastAsia" w:ascii="宋体" w:hAnsi="宋体" w:cs="宋体"/>
                <w:color w:val="auto"/>
                <w:szCs w:val="21"/>
                <w:highlight w:val="none"/>
                <w:lang w:val="en-US" w:eastAsia="zh-CN"/>
              </w:rPr>
            </w:pPr>
          </w:p>
        </w:tc>
      </w:tr>
      <w:tr w14:paraId="7436AE99">
        <w:tblPrEx>
          <w:tblCellMar>
            <w:top w:w="0" w:type="dxa"/>
            <w:left w:w="108" w:type="dxa"/>
            <w:bottom w:w="0" w:type="dxa"/>
            <w:right w:w="108" w:type="dxa"/>
          </w:tblCellMar>
        </w:tblPrEx>
        <w:trPr>
          <w:trHeight w:val="640" w:hRule="atLeast"/>
        </w:trPr>
        <w:tc>
          <w:tcPr>
            <w:tcW w:w="787" w:type="dxa"/>
            <w:tcBorders>
              <w:top w:val="single" w:color="000000" w:sz="4" w:space="0"/>
              <w:left w:val="single" w:color="000000" w:sz="4" w:space="0"/>
              <w:bottom w:val="single" w:color="000000" w:sz="4" w:space="0"/>
              <w:right w:val="single" w:color="000000" w:sz="4" w:space="0"/>
            </w:tcBorders>
            <w:vAlign w:val="center"/>
          </w:tcPr>
          <w:p w14:paraId="716A4AC3">
            <w:pPr>
              <w:spacing w:line="360" w:lineRule="auto"/>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4</w:t>
            </w:r>
          </w:p>
        </w:tc>
        <w:tc>
          <w:tcPr>
            <w:tcW w:w="2379" w:type="dxa"/>
            <w:tcBorders>
              <w:top w:val="single" w:color="000000" w:sz="4" w:space="0"/>
              <w:bottom w:val="single" w:color="000000" w:sz="4" w:space="0"/>
              <w:right w:val="single" w:color="000000" w:sz="4" w:space="0"/>
            </w:tcBorders>
            <w:vAlign w:val="center"/>
          </w:tcPr>
          <w:p w14:paraId="2C56C991">
            <w:pPr>
              <w:spacing w:line="360" w:lineRule="auto"/>
              <w:jc w:val="center"/>
              <w:rPr>
                <w:rFonts w:hint="eastAsia" w:ascii="宋体" w:hAnsi="宋体" w:eastAsia="宋体" w:cs="宋体"/>
                <w:color w:val="auto"/>
                <w:szCs w:val="21"/>
                <w:highlight w:val="none"/>
                <w:lang w:eastAsia="zh-CN"/>
              </w:rPr>
            </w:pPr>
            <w:r>
              <w:rPr>
                <w:rFonts w:hint="eastAsia" w:ascii="宋体" w:hAnsi="宋体" w:cs="宋体"/>
                <w:color w:val="auto"/>
                <w:position w:val="-2"/>
                <w:szCs w:val="21"/>
                <w:highlight w:val="none"/>
              </w:rPr>
              <w:t>质量</w:t>
            </w:r>
            <w:r>
              <w:rPr>
                <w:rFonts w:hint="eastAsia" w:ascii="宋体" w:hAnsi="宋体" w:cs="宋体"/>
                <w:color w:val="auto"/>
                <w:position w:val="-2"/>
                <w:szCs w:val="21"/>
                <w:highlight w:val="none"/>
                <w:lang w:val="en-US" w:eastAsia="zh-CN"/>
              </w:rPr>
              <w:t>承诺</w:t>
            </w:r>
          </w:p>
        </w:tc>
        <w:tc>
          <w:tcPr>
            <w:tcW w:w="6179" w:type="dxa"/>
            <w:tcBorders>
              <w:top w:val="single" w:color="000000" w:sz="4" w:space="0"/>
              <w:bottom w:val="single" w:color="000000" w:sz="4" w:space="0"/>
              <w:right w:val="single" w:color="000000" w:sz="4" w:space="0"/>
            </w:tcBorders>
            <w:vAlign w:val="center"/>
          </w:tcPr>
          <w:p w14:paraId="15AF78C2">
            <w:pPr>
              <w:spacing w:line="360" w:lineRule="auto"/>
              <w:rPr>
                <w:rFonts w:hint="eastAsia" w:ascii="宋体" w:hAnsi="宋体" w:cs="宋体"/>
                <w:color w:val="auto"/>
                <w:szCs w:val="21"/>
                <w:highlight w:val="none"/>
              </w:rPr>
            </w:pPr>
          </w:p>
        </w:tc>
      </w:tr>
      <w:tr w14:paraId="587DB1F7">
        <w:tblPrEx>
          <w:tblCellMar>
            <w:top w:w="0" w:type="dxa"/>
            <w:left w:w="108" w:type="dxa"/>
            <w:bottom w:w="0" w:type="dxa"/>
            <w:right w:w="108" w:type="dxa"/>
          </w:tblCellMar>
        </w:tblPrEx>
        <w:trPr>
          <w:trHeight w:val="586" w:hRule="atLeast"/>
        </w:trPr>
        <w:tc>
          <w:tcPr>
            <w:tcW w:w="787" w:type="dxa"/>
            <w:tcBorders>
              <w:top w:val="single" w:color="000000" w:sz="4" w:space="0"/>
              <w:left w:val="single" w:color="000000" w:sz="4" w:space="0"/>
              <w:bottom w:val="single" w:color="000000" w:sz="4" w:space="0"/>
              <w:right w:val="single" w:color="000000" w:sz="4" w:space="0"/>
            </w:tcBorders>
            <w:vAlign w:val="center"/>
          </w:tcPr>
          <w:p w14:paraId="0C91400B">
            <w:pPr>
              <w:spacing w:line="360" w:lineRule="auto"/>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5</w:t>
            </w:r>
          </w:p>
        </w:tc>
        <w:tc>
          <w:tcPr>
            <w:tcW w:w="2379" w:type="dxa"/>
            <w:tcBorders>
              <w:top w:val="single" w:color="000000" w:sz="4" w:space="0"/>
              <w:bottom w:val="single" w:color="000000" w:sz="4" w:space="0"/>
              <w:right w:val="single" w:color="000000" w:sz="4" w:space="0"/>
            </w:tcBorders>
            <w:vAlign w:val="center"/>
          </w:tcPr>
          <w:p w14:paraId="29C91A33">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备注</w:t>
            </w:r>
          </w:p>
        </w:tc>
        <w:tc>
          <w:tcPr>
            <w:tcW w:w="6179" w:type="dxa"/>
            <w:tcBorders>
              <w:top w:val="single" w:color="000000" w:sz="4" w:space="0"/>
              <w:bottom w:val="single" w:color="000000" w:sz="4" w:space="0"/>
              <w:right w:val="single" w:color="000000" w:sz="4" w:space="0"/>
            </w:tcBorders>
            <w:vAlign w:val="center"/>
          </w:tcPr>
          <w:p w14:paraId="43742BC0">
            <w:pPr>
              <w:spacing w:line="360" w:lineRule="auto"/>
              <w:rPr>
                <w:rFonts w:hint="eastAsia" w:ascii="宋体" w:hAnsi="宋体" w:cs="宋体"/>
                <w:color w:val="auto"/>
                <w:szCs w:val="21"/>
                <w:highlight w:val="none"/>
              </w:rPr>
            </w:pPr>
          </w:p>
        </w:tc>
      </w:tr>
    </w:tbl>
    <w:p w14:paraId="427582F7">
      <w:pPr>
        <w:spacing w:line="300" w:lineRule="auto"/>
        <w:rPr>
          <w:rFonts w:hint="eastAsia" w:ascii="宋体" w:hAnsi="宋体" w:cs="宋体"/>
          <w:color w:val="auto"/>
          <w:highlight w:val="none"/>
        </w:rPr>
      </w:pPr>
    </w:p>
    <w:p w14:paraId="6BABE0C3">
      <w:pPr>
        <w:spacing w:line="300" w:lineRule="auto"/>
        <w:ind w:firstLine="490"/>
        <w:rPr>
          <w:rFonts w:hint="eastAsia" w:ascii="宋体" w:hAnsi="宋体" w:cs="宋体"/>
          <w:color w:val="auto"/>
          <w:highlight w:val="none"/>
        </w:rPr>
      </w:pPr>
      <w:r>
        <w:rPr>
          <w:rFonts w:hint="eastAsia" w:ascii="宋体" w:hAnsi="宋体" w:cs="宋体"/>
          <w:color w:val="auto"/>
          <w:highlight w:val="none"/>
        </w:rPr>
        <w:t>投 标 人：</w:t>
      </w:r>
      <w:r>
        <w:rPr>
          <w:rFonts w:hint="eastAsia" w:ascii="宋体" w:hAnsi="宋体" w:cs="宋体"/>
          <w:color w:val="auto"/>
          <w:highlight w:val="none"/>
          <w:u w:val="single"/>
        </w:rPr>
        <w:t xml:space="preserve">                  </w:t>
      </w:r>
      <w:r>
        <w:rPr>
          <w:rFonts w:hint="eastAsia" w:ascii="宋体" w:hAnsi="宋体" w:cs="宋体"/>
          <w:color w:val="auto"/>
          <w:highlight w:val="none"/>
        </w:rPr>
        <w:t>（电子签章）</w:t>
      </w:r>
    </w:p>
    <w:p w14:paraId="5B08B1E7">
      <w:pPr>
        <w:spacing w:line="300" w:lineRule="auto"/>
        <w:ind w:firstLine="490"/>
        <w:rPr>
          <w:rFonts w:hint="eastAsia" w:ascii="宋体" w:hAnsi="宋体" w:cs="宋体"/>
          <w:color w:val="auto"/>
          <w:highlight w:val="none"/>
        </w:rPr>
      </w:pPr>
    </w:p>
    <w:p w14:paraId="4117707F">
      <w:pPr>
        <w:spacing w:line="300" w:lineRule="auto"/>
        <w:ind w:firstLine="490"/>
        <w:rPr>
          <w:rFonts w:hint="eastAsia" w:ascii="宋体" w:hAnsi="宋体" w:cs="宋体"/>
          <w:color w:val="auto"/>
          <w:highlight w:val="none"/>
        </w:rPr>
      </w:pPr>
      <w:r>
        <w:rPr>
          <w:rFonts w:hint="eastAsia" w:ascii="宋体" w:hAnsi="宋体" w:cs="宋体"/>
          <w:color w:val="auto"/>
          <w:highlight w:val="none"/>
        </w:rPr>
        <w:t>法定代表人或其委托代理人：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（电子签章）</w:t>
      </w:r>
    </w:p>
    <w:p w14:paraId="02AD9A4D">
      <w:pPr>
        <w:spacing w:line="300" w:lineRule="auto"/>
        <w:ind w:firstLine="490"/>
        <w:rPr>
          <w:rFonts w:hint="eastAsia" w:ascii="宋体" w:hAnsi="宋体" w:cs="宋体"/>
          <w:color w:val="auto"/>
          <w:highlight w:val="none"/>
        </w:rPr>
      </w:pPr>
    </w:p>
    <w:p w14:paraId="780DA7AF">
      <w:pPr>
        <w:spacing w:line="300" w:lineRule="auto"/>
        <w:ind w:firstLine="490"/>
        <w:rPr>
          <w:rFonts w:hint="eastAsia" w:ascii="宋体" w:hAnsi="宋体" w:cs="宋体"/>
          <w:color w:val="auto"/>
          <w:highlight w:val="none"/>
        </w:rPr>
      </w:pPr>
      <w:r>
        <w:rPr>
          <w:rFonts w:hint="eastAsia" w:ascii="宋体" w:hAnsi="宋体" w:cs="宋体"/>
          <w:color w:val="auto"/>
          <w:highlight w:val="none"/>
        </w:rPr>
        <w:t>日   期：</w:t>
      </w:r>
    </w:p>
    <w:bookmarkEnd w:id="940"/>
    <w:bookmarkEnd w:id="941"/>
    <w:bookmarkEnd w:id="942"/>
    <w:bookmarkEnd w:id="943"/>
    <w:p w14:paraId="3232F564">
      <w:pPr>
        <w:jc w:val="center"/>
        <w:rPr>
          <w:rFonts w:hint="eastAsia" w:ascii="宋体" w:hAnsi="宋体" w:cs="宋体"/>
          <w:b/>
          <w:bCs/>
          <w:color w:val="auto"/>
          <w:sz w:val="28"/>
          <w:szCs w:val="28"/>
          <w:highlight w:val="none"/>
        </w:rPr>
      </w:pPr>
    </w:p>
    <w:p w14:paraId="1D5D66FE">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注：1.投标报价保留小数点后两位，小数点后第三位“四舍五入”。</w:t>
      </w:r>
    </w:p>
    <w:p w14:paraId="56C2AFD9">
      <w:pPr>
        <w:rPr>
          <w:rFonts w:hint="eastAsia" w:ascii="宋体" w:hAnsi="宋体" w:cs="宋体"/>
          <w:b/>
          <w:bCs/>
          <w:color w:val="auto"/>
          <w:sz w:val="28"/>
          <w:szCs w:val="28"/>
          <w:highlight w:val="none"/>
        </w:rPr>
      </w:pPr>
      <w:bookmarkStart w:id="948" w:name="_Toc3611"/>
      <w:bookmarkStart w:id="949" w:name="_Toc28458"/>
      <w:bookmarkStart w:id="950" w:name="_Toc15799"/>
      <w:r>
        <w:rPr>
          <w:rFonts w:hint="eastAsia" w:ascii="宋体" w:hAnsi="宋体" w:cs="宋体"/>
          <w:b/>
          <w:bCs/>
          <w:color w:val="auto"/>
          <w:sz w:val="28"/>
          <w:szCs w:val="28"/>
          <w:highlight w:val="none"/>
        </w:rPr>
        <w:br w:type="page"/>
      </w:r>
    </w:p>
    <w:p w14:paraId="71F0B415">
      <w:pPr>
        <w:rPr>
          <w:rFonts w:hint="eastAsia" w:ascii="宋体" w:hAnsi="宋体" w:cs="宋体"/>
          <w:color w:val="auto"/>
          <w:highlight w:val="none"/>
        </w:rPr>
      </w:pPr>
    </w:p>
    <w:p w14:paraId="62893E1E">
      <w:pPr>
        <w:pStyle w:val="5"/>
        <w:jc w:val="center"/>
        <w:rPr>
          <w:rFonts w:hint="eastAsia" w:ascii="宋体" w:hAnsi="宋体" w:cs="宋体"/>
          <w:color w:val="auto"/>
          <w:sz w:val="30"/>
          <w:szCs w:val="30"/>
          <w:highlight w:val="none"/>
        </w:rPr>
      </w:pPr>
      <w:bookmarkStart w:id="951" w:name="_Toc1814"/>
      <w:bookmarkStart w:id="952" w:name="_Toc24657"/>
      <w:bookmarkStart w:id="953" w:name="_Toc13894"/>
      <w:r>
        <w:rPr>
          <w:rFonts w:hint="eastAsia" w:ascii="宋体" w:hAnsi="宋体" w:cs="宋体"/>
          <w:bCs/>
          <w:color w:val="auto"/>
          <w:sz w:val="28"/>
          <w:szCs w:val="28"/>
          <w:highlight w:val="none"/>
        </w:rPr>
        <w:t>投标函及投标函附录</w:t>
      </w:r>
      <w:bookmarkEnd w:id="948"/>
      <w:bookmarkEnd w:id="949"/>
      <w:bookmarkEnd w:id="950"/>
      <w:bookmarkEnd w:id="951"/>
      <w:bookmarkEnd w:id="952"/>
      <w:bookmarkEnd w:id="953"/>
    </w:p>
    <w:p w14:paraId="13A478A3">
      <w:pPr>
        <w:pStyle w:val="6"/>
        <w:jc w:val="center"/>
        <w:rPr>
          <w:rFonts w:hint="eastAsia" w:ascii="宋体" w:hAnsi="宋体" w:cs="宋体"/>
          <w:color w:val="auto"/>
          <w:sz w:val="30"/>
          <w:szCs w:val="30"/>
          <w:highlight w:val="none"/>
        </w:rPr>
      </w:pPr>
      <w:bookmarkStart w:id="954" w:name="_Toc9378"/>
      <w:bookmarkStart w:id="955" w:name="_Toc20417"/>
      <w:bookmarkStart w:id="956" w:name="_Toc14425"/>
      <w:bookmarkStart w:id="957" w:name="_Toc12559"/>
      <w:bookmarkStart w:id="958" w:name="_Toc9557"/>
      <w:bookmarkStart w:id="959" w:name="_Toc16831"/>
      <w:bookmarkStart w:id="960" w:name="_Toc21012"/>
      <w:r>
        <w:rPr>
          <w:rFonts w:hint="eastAsia" w:ascii="宋体" w:hAnsi="宋体" w:cs="宋体"/>
          <w:color w:val="auto"/>
          <w:sz w:val="30"/>
          <w:szCs w:val="30"/>
          <w:highlight w:val="none"/>
        </w:rPr>
        <w:t>（一）投标函</w:t>
      </w:r>
      <w:bookmarkEnd w:id="954"/>
      <w:bookmarkEnd w:id="955"/>
      <w:bookmarkEnd w:id="956"/>
      <w:bookmarkEnd w:id="957"/>
      <w:bookmarkEnd w:id="958"/>
      <w:bookmarkEnd w:id="959"/>
      <w:bookmarkEnd w:id="960"/>
    </w:p>
    <w:p w14:paraId="278711FF">
      <w:pPr>
        <w:snapToGrid w:val="0"/>
        <w:spacing w:line="360" w:lineRule="auto"/>
        <w:rPr>
          <w:rFonts w:hint="eastAsia" w:ascii="宋体" w:hAnsi="宋体" w:cs="宋体"/>
          <w:color w:val="auto"/>
          <w:szCs w:val="21"/>
          <w:highlight w:val="none"/>
        </w:rPr>
      </w:pPr>
    </w:p>
    <w:p w14:paraId="10F96FAB">
      <w:pPr>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_____________________（招标人名称）：</w:t>
      </w:r>
    </w:p>
    <w:p w14:paraId="20918604">
      <w:pPr>
        <w:snapToGrid w:val="0"/>
        <w:spacing w:line="360" w:lineRule="auto"/>
        <w:rPr>
          <w:rFonts w:hint="eastAsia" w:ascii="宋体" w:hAnsi="宋体" w:cs="宋体"/>
          <w:color w:val="auto"/>
          <w:szCs w:val="21"/>
          <w:highlight w:val="none"/>
        </w:rPr>
      </w:pPr>
    </w:p>
    <w:p w14:paraId="57FF886D">
      <w:pPr>
        <w:snapToGrid w:val="0"/>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我公司全面研究了________________________（项目名称）招标文件及招标补充文件（如有），愿意以《开标（唱标）一览表》中的报价，严格按照合同约定履行义务，</w:t>
      </w:r>
      <w:r>
        <w:rPr>
          <w:rFonts w:hint="eastAsia" w:ascii="宋体" w:hAnsi="宋体" w:cs="宋体"/>
          <w:color w:val="auto"/>
          <w:szCs w:val="21"/>
          <w:highlight w:val="none"/>
          <w:lang w:val="en-US" w:eastAsia="zh-CN"/>
        </w:rPr>
        <w:t>为本项目提供监理服务</w:t>
      </w:r>
      <w:r>
        <w:rPr>
          <w:rFonts w:hint="eastAsia" w:ascii="宋体" w:hAnsi="宋体" w:cs="宋体"/>
          <w:color w:val="auto"/>
          <w:szCs w:val="21"/>
          <w:highlight w:val="none"/>
        </w:rPr>
        <w:t>。</w:t>
      </w:r>
    </w:p>
    <w:p w14:paraId="3EF5BEE4">
      <w:pPr>
        <w:snapToGrid w:val="0"/>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1、我方投标文件的有效期为90日历天，从投标截止之日算起。</w:t>
      </w:r>
    </w:p>
    <w:p w14:paraId="69E6CB5F">
      <w:pPr>
        <w:spacing w:line="360" w:lineRule="auto"/>
        <w:ind w:firstLine="420" w:firstLineChars="200"/>
        <w:rPr>
          <w:rFonts w:hint="eastAsia" w:ascii="宋体" w:hAnsi="宋体" w:eastAsia="宋体" w:cs="宋体"/>
          <w:color w:val="auto"/>
          <w:highlight w:val="none"/>
        </w:rPr>
      </w:pPr>
      <w:r>
        <w:rPr>
          <w:rFonts w:hint="eastAsia" w:ascii="宋体" w:hAnsi="宋体" w:cs="宋体"/>
          <w:color w:val="auto"/>
          <w:szCs w:val="21"/>
          <w:highlight w:val="none"/>
        </w:rPr>
        <w:t>2、</w:t>
      </w:r>
      <w:r>
        <w:rPr>
          <w:rFonts w:hint="eastAsia" w:ascii="宋体" w:hAnsi="宋体" w:eastAsia="宋体" w:cs="宋体"/>
          <w:color w:val="auto"/>
          <w:szCs w:val="21"/>
          <w:highlight w:val="none"/>
        </w:rPr>
        <w:t>按照招标文件要求及合同约定，完成项目</w:t>
      </w:r>
      <w:r>
        <w:rPr>
          <w:rFonts w:hint="eastAsia" w:ascii="宋体" w:hAnsi="宋体" w:cs="宋体"/>
          <w:color w:val="auto"/>
          <w:szCs w:val="21"/>
          <w:highlight w:val="none"/>
          <w:lang w:val="en-US" w:eastAsia="zh-CN"/>
        </w:rPr>
        <w:t>监理</w:t>
      </w:r>
      <w:r>
        <w:rPr>
          <w:rFonts w:hint="eastAsia" w:ascii="宋体" w:hAnsi="宋体" w:cs="宋体"/>
          <w:color w:val="auto"/>
          <w:szCs w:val="21"/>
          <w:highlight w:val="none"/>
        </w:rPr>
        <w:t>工作，并对工程的质量、安全</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竣工验收</w:t>
      </w:r>
      <w:r>
        <w:rPr>
          <w:rFonts w:hint="eastAsia" w:ascii="宋体" w:hAnsi="宋体" w:cs="宋体"/>
          <w:color w:val="auto"/>
          <w:szCs w:val="21"/>
          <w:highlight w:val="none"/>
        </w:rPr>
        <w:t>负责</w:t>
      </w:r>
      <w:r>
        <w:rPr>
          <w:rFonts w:hint="eastAsia" w:ascii="宋体" w:hAnsi="宋体" w:eastAsia="宋体" w:cs="宋体"/>
          <w:color w:val="auto"/>
          <w:szCs w:val="21"/>
          <w:highlight w:val="none"/>
        </w:rPr>
        <w:t>，且承担合同工程约定的责任、义务，实现工程目的。</w:t>
      </w:r>
    </w:p>
    <w:p w14:paraId="43A550F7">
      <w:pPr>
        <w:snapToGrid w:val="0"/>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3、我</w:t>
      </w:r>
      <w:r>
        <w:rPr>
          <w:rFonts w:hint="eastAsia" w:ascii="宋体" w:hAnsi="宋体" w:cs="宋体"/>
          <w:color w:val="auto"/>
          <w:szCs w:val="21"/>
          <w:highlight w:val="none"/>
          <w:lang w:val="en-US" w:eastAsia="zh-CN"/>
        </w:rPr>
        <w:t>方</w:t>
      </w:r>
      <w:r>
        <w:rPr>
          <w:rFonts w:hint="eastAsia" w:ascii="宋体" w:hAnsi="宋体" w:cs="宋体"/>
          <w:color w:val="auto"/>
          <w:szCs w:val="21"/>
          <w:highlight w:val="none"/>
        </w:rPr>
        <w:t>理解，贵方不一定接受最低标价的中标或贵方可能接受其他任何中标；同时也理解，贵方不负担我公司的任何投标费用。</w:t>
      </w:r>
    </w:p>
    <w:p w14:paraId="328AE92E">
      <w:pPr>
        <w:snapToGrid w:val="0"/>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4、在合同协议书正式签署生效之前，本投标函连同你单位的中标通知书将构成我们双方之间共同遵守的条件，对双方具有约束力。</w:t>
      </w:r>
    </w:p>
    <w:p w14:paraId="6821F053">
      <w:pPr>
        <w:snapToGrid w:val="0"/>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、我们承诺，我们所递交的投标文件已充分考虑了各种外部因素对报价的影响。</w:t>
      </w:r>
    </w:p>
    <w:p w14:paraId="6EE22CC3">
      <w:pPr>
        <w:snapToGrid w:val="0"/>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、如果我单位中标，我方保证按合同协议书中规定的服务周期完成并移交全部项目。</w:t>
      </w:r>
    </w:p>
    <w:p w14:paraId="27A4D240">
      <w:pPr>
        <w:widowControl w:val="0"/>
        <w:tabs>
          <w:tab w:val="left" w:pos="3880"/>
        </w:tabs>
        <w:spacing w:line="360" w:lineRule="auto"/>
        <w:ind w:left="0" w:firstLine="420" w:firstLineChars="20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7．</w:t>
      </w:r>
      <w:r>
        <w:rPr>
          <w:rFonts w:hint="eastAsia" w:ascii="宋体" w:hAnsi="宋体" w:eastAsia="宋体" w:cs="宋体"/>
          <w:color w:val="auto"/>
          <w:sz w:val="21"/>
          <w:szCs w:val="21"/>
          <w:highlight w:val="none"/>
          <w:u w:val="single" w:color="000000"/>
          <w:lang w:val="en-US" w:eastAsia="zh-CN" w:bidi="ar-SA"/>
        </w:rPr>
        <w:tab/>
      </w:r>
      <w:r>
        <w:rPr>
          <w:rFonts w:hint="eastAsia" w:ascii="宋体" w:hAnsi="宋体" w:eastAsia="宋体" w:cs="宋体"/>
          <w:color w:val="auto"/>
          <w:sz w:val="21"/>
          <w:szCs w:val="21"/>
          <w:highlight w:val="none"/>
          <w:lang w:val="en-US" w:eastAsia="zh-CN" w:bidi="ar-SA"/>
        </w:rPr>
        <w:t>（其</w:t>
      </w:r>
      <w:r>
        <w:rPr>
          <w:rFonts w:hint="eastAsia" w:ascii="宋体" w:hAnsi="宋体" w:eastAsia="宋体" w:cs="宋体"/>
          <w:color w:val="auto"/>
          <w:spacing w:val="-3"/>
          <w:sz w:val="21"/>
          <w:szCs w:val="21"/>
          <w:highlight w:val="none"/>
          <w:lang w:val="en-US" w:eastAsia="zh-CN" w:bidi="ar-SA"/>
        </w:rPr>
        <w:t>他</w:t>
      </w:r>
      <w:r>
        <w:rPr>
          <w:rFonts w:hint="eastAsia" w:ascii="宋体" w:hAnsi="宋体" w:eastAsia="宋体" w:cs="宋体"/>
          <w:color w:val="auto"/>
          <w:sz w:val="21"/>
          <w:szCs w:val="21"/>
          <w:highlight w:val="none"/>
          <w:lang w:val="en-US" w:eastAsia="zh-CN" w:bidi="ar-SA"/>
        </w:rPr>
        <w:t>补</w:t>
      </w:r>
      <w:r>
        <w:rPr>
          <w:rFonts w:hint="eastAsia" w:ascii="宋体" w:hAnsi="宋体" w:eastAsia="宋体" w:cs="宋体"/>
          <w:color w:val="auto"/>
          <w:spacing w:val="-3"/>
          <w:sz w:val="21"/>
          <w:szCs w:val="21"/>
          <w:highlight w:val="none"/>
          <w:lang w:val="en-US" w:eastAsia="zh-CN" w:bidi="ar-SA"/>
        </w:rPr>
        <w:t>充</w:t>
      </w:r>
      <w:r>
        <w:rPr>
          <w:rFonts w:hint="eastAsia" w:ascii="宋体" w:hAnsi="宋体" w:eastAsia="宋体" w:cs="宋体"/>
          <w:color w:val="auto"/>
          <w:sz w:val="21"/>
          <w:szCs w:val="21"/>
          <w:highlight w:val="none"/>
          <w:lang w:val="en-US" w:eastAsia="zh-CN" w:bidi="ar-SA"/>
        </w:rPr>
        <w:t>说</w:t>
      </w:r>
      <w:r>
        <w:rPr>
          <w:rFonts w:hint="eastAsia" w:ascii="宋体" w:hAnsi="宋体" w:eastAsia="宋体" w:cs="宋体"/>
          <w:color w:val="auto"/>
          <w:spacing w:val="-3"/>
          <w:sz w:val="21"/>
          <w:szCs w:val="21"/>
          <w:highlight w:val="none"/>
          <w:lang w:val="en-US" w:eastAsia="zh-CN" w:bidi="ar-SA"/>
        </w:rPr>
        <w:t>明</w:t>
      </w:r>
      <w:r>
        <w:rPr>
          <w:rFonts w:hint="eastAsia" w:ascii="宋体" w:hAnsi="宋体" w:eastAsia="宋体" w:cs="宋体"/>
          <w:color w:val="auto"/>
          <w:spacing w:val="-106"/>
          <w:sz w:val="21"/>
          <w:szCs w:val="21"/>
          <w:highlight w:val="none"/>
          <w:lang w:val="en-US" w:eastAsia="zh-CN" w:bidi="ar-SA"/>
        </w:rPr>
        <w:t>）</w:t>
      </w:r>
      <w:r>
        <w:rPr>
          <w:rFonts w:hint="eastAsia" w:ascii="宋体" w:hAnsi="宋体" w:eastAsia="宋体" w:cs="宋体"/>
          <w:color w:val="auto"/>
          <w:sz w:val="21"/>
          <w:szCs w:val="21"/>
          <w:highlight w:val="none"/>
          <w:lang w:val="en-US" w:eastAsia="zh-CN" w:bidi="ar-SA"/>
        </w:rPr>
        <w:t>）</w:t>
      </w:r>
    </w:p>
    <w:p w14:paraId="710256CC">
      <w:pPr>
        <w:snapToGrid w:val="0"/>
        <w:spacing w:line="360" w:lineRule="auto"/>
        <w:ind w:firstLine="420"/>
        <w:rPr>
          <w:rFonts w:hint="eastAsia" w:ascii="宋体" w:hAnsi="宋体" w:eastAsia="宋体" w:cs="宋体"/>
          <w:color w:val="auto"/>
          <w:szCs w:val="21"/>
          <w:highlight w:val="none"/>
          <w:lang w:val="en-US" w:eastAsia="zh-CN"/>
        </w:rPr>
      </w:pPr>
    </w:p>
    <w:p w14:paraId="3F35A2F5">
      <w:pPr>
        <w:snapToGrid w:val="0"/>
        <w:spacing w:line="360" w:lineRule="auto"/>
        <w:ind w:firstLine="420"/>
        <w:rPr>
          <w:rFonts w:hint="eastAsia" w:ascii="宋体" w:hAnsi="宋体" w:cs="宋体"/>
          <w:color w:val="auto"/>
          <w:szCs w:val="21"/>
          <w:highlight w:val="none"/>
        </w:rPr>
      </w:pPr>
    </w:p>
    <w:p w14:paraId="31D8B90B">
      <w:pPr>
        <w:snapToGrid w:val="0"/>
        <w:spacing w:line="360" w:lineRule="auto"/>
        <w:ind w:firstLine="420"/>
        <w:rPr>
          <w:rFonts w:hint="eastAsia" w:ascii="宋体" w:hAnsi="宋体" w:cs="宋体"/>
          <w:color w:val="auto"/>
          <w:szCs w:val="21"/>
          <w:highlight w:val="none"/>
        </w:rPr>
      </w:pPr>
    </w:p>
    <w:p w14:paraId="335CE208">
      <w:pPr>
        <w:snapToGrid w:val="0"/>
        <w:spacing w:line="360" w:lineRule="auto"/>
        <w:ind w:firstLine="3150"/>
        <w:rPr>
          <w:rFonts w:hint="eastAsia" w:ascii="宋体" w:hAnsi="宋体" w:cs="宋体"/>
          <w:color w:val="auto"/>
          <w:szCs w:val="21"/>
          <w:highlight w:val="none"/>
        </w:rPr>
      </w:pPr>
      <w:r>
        <w:rPr>
          <w:rFonts w:hint="eastAsia" w:ascii="宋体" w:hAnsi="宋体" w:cs="宋体"/>
          <w:color w:val="auto"/>
          <w:szCs w:val="21"/>
          <w:highlight w:val="none"/>
        </w:rPr>
        <w:t>投标人（电子签章）：____________________</w:t>
      </w:r>
    </w:p>
    <w:p w14:paraId="3875F590">
      <w:pPr>
        <w:snapToGrid w:val="0"/>
        <w:spacing w:line="360" w:lineRule="auto"/>
        <w:ind w:firstLine="3150"/>
        <w:rPr>
          <w:rFonts w:hint="eastAsia" w:ascii="宋体" w:hAnsi="宋体" w:cs="宋体"/>
          <w:color w:val="auto"/>
          <w:szCs w:val="21"/>
          <w:highlight w:val="none"/>
        </w:rPr>
      </w:pPr>
      <w:r>
        <w:rPr>
          <w:rFonts w:hint="eastAsia" w:ascii="宋体" w:hAnsi="宋体" w:cs="宋体"/>
          <w:color w:val="auto"/>
          <w:szCs w:val="21"/>
          <w:highlight w:val="none"/>
        </w:rPr>
        <w:t>法定代表人（电子签章）：________________</w:t>
      </w:r>
    </w:p>
    <w:p w14:paraId="33A02638">
      <w:pPr>
        <w:snapToGrid w:val="0"/>
        <w:spacing w:line="360" w:lineRule="auto"/>
        <w:ind w:firstLine="3150"/>
        <w:rPr>
          <w:rFonts w:hint="eastAsia" w:ascii="宋体" w:hAnsi="宋体" w:cs="宋体"/>
          <w:color w:val="auto"/>
          <w:szCs w:val="21"/>
          <w:highlight w:val="none"/>
        </w:rPr>
      </w:pPr>
      <w:r>
        <w:rPr>
          <w:rFonts w:hint="eastAsia" w:ascii="宋体" w:hAnsi="宋体" w:cs="宋体"/>
          <w:color w:val="auto"/>
          <w:szCs w:val="21"/>
          <w:highlight w:val="none"/>
        </w:rPr>
        <w:t>地    址：______________________________</w:t>
      </w:r>
    </w:p>
    <w:p w14:paraId="714C0CBA">
      <w:pPr>
        <w:snapToGrid w:val="0"/>
        <w:spacing w:line="360" w:lineRule="auto"/>
        <w:ind w:firstLine="3150"/>
        <w:rPr>
          <w:rFonts w:hint="eastAsia" w:ascii="宋体" w:hAnsi="宋体" w:cs="宋体"/>
          <w:color w:val="auto"/>
          <w:szCs w:val="21"/>
          <w:highlight w:val="none"/>
        </w:rPr>
      </w:pPr>
      <w:r>
        <w:rPr>
          <w:rFonts w:hint="eastAsia" w:ascii="宋体" w:hAnsi="宋体" w:cs="宋体"/>
          <w:color w:val="auto"/>
          <w:szCs w:val="21"/>
          <w:highlight w:val="none"/>
        </w:rPr>
        <w:t>电    话：______________________________</w:t>
      </w:r>
    </w:p>
    <w:p w14:paraId="7FE47E48">
      <w:pPr>
        <w:snapToGrid w:val="0"/>
        <w:spacing w:line="360" w:lineRule="auto"/>
        <w:ind w:firstLine="3150"/>
        <w:rPr>
          <w:rFonts w:hint="eastAsia" w:ascii="宋体" w:hAnsi="宋体" w:cs="宋体"/>
          <w:color w:val="auto"/>
          <w:szCs w:val="21"/>
          <w:highlight w:val="none"/>
        </w:rPr>
      </w:pPr>
      <w:r>
        <w:rPr>
          <w:rFonts w:hint="eastAsia" w:ascii="宋体" w:hAnsi="宋体" w:cs="宋体"/>
          <w:color w:val="auto"/>
          <w:szCs w:val="21"/>
          <w:highlight w:val="none"/>
        </w:rPr>
        <w:t>传    真：______________________________</w:t>
      </w:r>
    </w:p>
    <w:p w14:paraId="6528EF92">
      <w:pPr>
        <w:snapToGrid w:val="0"/>
        <w:spacing w:line="360" w:lineRule="auto"/>
        <w:ind w:firstLine="3150"/>
        <w:rPr>
          <w:rFonts w:hint="eastAsia" w:ascii="宋体" w:hAnsi="宋体" w:cs="宋体"/>
          <w:color w:val="auto"/>
          <w:szCs w:val="21"/>
          <w:highlight w:val="none"/>
        </w:rPr>
      </w:pPr>
      <w:r>
        <w:rPr>
          <w:rFonts w:hint="eastAsia" w:ascii="宋体" w:hAnsi="宋体" w:cs="宋体"/>
          <w:color w:val="auto"/>
          <w:szCs w:val="21"/>
          <w:highlight w:val="none"/>
        </w:rPr>
        <w:t>邮政编码：______________________________</w:t>
      </w:r>
    </w:p>
    <w:p w14:paraId="341E73D7">
      <w:pPr>
        <w:widowControl/>
        <w:spacing w:line="360" w:lineRule="auto"/>
        <w:jc w:val="right"/>
        <w:rPr>
          <w:rFonts w:hint="eastAsia" w:ascii="宋体" w:hAnsi="宋体" w:cs="宋体"/>
          <w:color w:val="auto"/>
          <w:kern w:val="0"/>
          <w:szCs w:val="21"/>
          <w:highlight w:val="none"/>
        </w:rPr>
      </w:pPr>
      <w:r>
        <w:rPr>
          <w:rFonts w:hint="eastAsia" w:ascii="宋体" w:hAnsi="宋体" w:cs="宋体"/>
          <w:color w:val="auto"/>
          <w:szCs w:val="21"/>
          <w:highlight w:val="none"/>
        </w:rPr>
        <w:t>________年_____月_____日</w:t>
      </w:r>
    </w:p>
    <w:p w14:paraId="7229E764">
      <w:pPr>
        <w:spacing w:line="360" w:lineRule="auto"/>
        <w:rPr>
          <w:rFonts w:hint="eastAsia" w:ascii="宋体" w:hAnsi="宋体" w:cs="宋体"/>
          <w:color w:val="auto"/>
          <w:szCs w:val="21"/>
          <w:highlight w:val="none"/>
        </w:rPr>
      </w:pPr>
    </w:p>
    <w:p w14:paraId="09FF2FA2">
      <w:pPr>
        <w:snapToGrid w:val="0"/>
        <w:spacing w:line="360" w:lineRule="auto"/>
        <w:ind w:firstLine="3152"/>
        <w:outlineLvl w:val="3"/>
        <w:rPr>
          <w:rFonts w:hint="eastAsia" w:ascii="宋体" w:hAnsi="宋体" w:cs="宋体"/>
          <w:color w:val="auto"/>
          <w:szCs w:val="21"/>
          <w:highlight w:val="none"/>
        </w:rPr>
      </w:pPr>
      <w:bookmarkStart w:id="961" w:name="_Toc23131"/>
      <w:r>
        <w:rPr>
          <w:rFonts w:hint="eastAsia" w:ascii="宋体" w:hAnsi="宋体" w:cs="宋体"/>
          <w:color w:val="auto"/>
          <w:sz w:val="30"/>
          <w:szCs w:val="30"/>
          <w:highlight w:val="none"/>
        </w:rPr>
        <w:br w:type="page"/>
      </w:r>
      <w:bookmarkStart w:id="962" w:name="_Toc2894"/>
      <w:bookmarkStart w:id="963" w:name="_Toc18314"/>
      <w:bookmarkStart w:id="964" w:name="_Toc20247"/>
      <w:bookmarkStart w:id="965" w:name="_Toc15608"/>
      <w:bookmarkStart w:id="966" w:name="_Toc9891"/>
      <w:r>
        <w:rPr>
          <w:rFonts w:hint="eastAsia" w:ascii="宋体" w:hAnsi="宋体" w:cs="宋体"/>
          <w:b/>
          <w:color w:val="auto"/>
          <w:kern w:val="0"/>
          <w:sz w:val="30"/>
          <w:szCs w:val="30"/>
          <w:highlight w:val="none"/>
        </w:rPr>
        <w:t>（二）投标函附录</w:t>
      </w:r>
      <w:bookmarkEnd w:id="961"/>
      <w:bookmarkEnd w:id="962"/>
      <w:bookmarkEnd w:id="963"/>
      <w:bookmarkEnd w:id="964"/>
      <w:bookmarkEnd w:id="965"/>
      <w:bookmarkEnd w:id="966"/>
    </w:p>
    <w:p w14:paraId="02EA12D1">
      <w:pPr>
        <w:rPr>
          <w:rFonts w:hint="eastAsia" w:ascii="宋体" w:hAnsi="宋体" w:cs="宋体"/>
          <w:color w:val="auto"/>
          <w:highlight w:val="none"/>
        </w:rPr>
      </w:pPr>
    </w:p>
    <w:p w14:paraId="26130B31">
      <w:pPr>
        <w:rPr>
          <w:rFonts w:hint="eastAsia" w:ascii="宋体" w:hAnsi="宋体" w:cs="宋体"/>
          <w:color w:val="auto"/>
          <w:szCs w:val="21"/>
          <w:highlight w:val="none"/>
          <w:u w:val="single"/>
        </w:rPr>
      </w:pPr>
      <w:r>
        <w:rPr>
          <w:rFonts w:hint="eastAsia" w:ascii="宋体" w:hAnsi="宋体" w:cs="宋体"/>
          <w:bCs/>
          <w:color w:val="auto"/>
          <w:szCs w:val="21"/>
          <w:highlight w:val="none"/>
        </w:rPr>
        <w:t>项目名称：</w:t>
      </w:r>
      <w:r>
        <w:rPr>
          <w:rFonts w:hint="eastAsia" w:ascii="宋体" w:hAnsi="宋体" w:cs="宋体"/>
          <w:color w:val="auto"/>
          <w:szCs w:val="21"/>
          <w:highlight w:val="none"/>
          <w:u w:val="single"/>
        </w:rPr>
        <w:t xml:space="preserve">           （项目名称）     </w:t>
      </w:r>
    </w:p>
    <w:p w14:paraId="1AC4EA66">
      <w:pPr>
        <w:rPr>
          <w:rFonts w:hint="eastAsia" w:ascii="宋体" w:hAnsi="宋体" w:cs="宋体"/>
          <w:color w:val="auto"/>
          <w:szCs w:val="21"/>
          <w:highlight w:val="none"/>
        </w:rPr>
      </w:pPr>
    </w:p>
    <w:tbl>
      <w:tblPr>
        <w:tblStyle w:val="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6"/>
        <w:gridCol w:w="1855"/>
        <w:gridCol w:w="1763"/>
        <w:gridCol w:w="3675"/>
        <w:gridCol w:w="1489"/>
      </w:tblGrid>
      <w:tr w14:paraId="040B2B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776" w:type="dxa"/>
            <w:vAlign w:val="center"/>
          </w:tcPr>
          <w:p w14:paraId="3500DF84">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序号</w:t>
            </w:r>
          </w:p>
        </w:tc>
        <w:tc>
          <w:tcPr>
            <w:tcW w:w="1855" w:type="dxa"/>
            <w:vAlign w:val="center"/>
          </w:tcPr>
          <w:p w14:paraId="5DC7BEFE">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条款内容</w:t>
            </w:r>
          </w:p>
        </w:tc>
        <w:tc>
          <w:tcPr>
            <w:tcW w:w="1763" w:type="dxa"/>
            <w:vAlign w:val="center"/>
          </w:tcPr>
          <w:p w14:paraId="2E7A05DD">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条款号</w:t>
            </w:r>
          </w:p>
        </w:tc>
        <w:tc>
          <w:tcPr>
            <w:tcW w:w="3675" w:type="dxa"/>
            <w:vAlign w:val="center"/>
          </w:tcPr>
          <w:p w14:paraId="7A365920">
            <w:pPr>
              <w:spacing w:line="360" w:lineRule="auto"/>
              <w:ind w:firstLine="420" w:firstLineChars="200"/>
              <w:jc w:val="center"/>
              <w:rPr>
                <w:rFonts w:hint="eastAsia" w:ascii="宋体" w:hAnsi="宋体" w:cs="宋体"/>
                <w:color w:val="auto"/>
                <w:szCs w:val="21"/>
                <w:highlight w:val="none"/>
              </w:rPr>
            </w:pPr>
            <w:r>
              <w:rPr>
                <w:rFonts w:hint="eastAsia" w:ascii="宋体" w:hAnsi="宋体" w:cs="宋体"/>
                <w:color w:val="auto"/>
                <w:szCs w:val="21"/>
                <w:highlight w:val="none"/>
              </w:rPr>
              <w:t>约 定 内 容</w:t>
            </w:r>
          </w:p>
        </w:tc>
        <w:tc>
          <w:tcPr>
            <w:tcW w:w="1489" w:type="dxa"/>
            <w:vAlign w:val="center"/>
          </w:tcPr>
          <w:p w14:paraId="1238CEB1">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备注</w:t>
            </w:r>
          </w:p>
        </w:tc>
      </w:tr>
      <w:tr w14:paraId="7FEF6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776" w:type="dxa"/>
            <w:vAlign w:val="center"/>
          </w:tcPr>
          <w:p w14:paraId="5C7EF127">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1</w:t>
            </w:r>
          </w:p>
        </w:tc>
        <w:tc>
          <w:tcPr>
            <w:tcW w:w="1855" w:type="dxa"/>
            <w:vAlign w:val="center"/>
          </w:tcPr>
          <w:p w14:paraId="686225F5">
            <w:pPr>
              <w:spacing w:line="360" w:lineRule="auto"/>
              <w:rPr>
                <w:rFonts w:hint="eastAsia" w:ascii="宋体" w:hAnsi="宋体" w:cs="宋体"/>
                <w:color w:val="auto"/>
                <w:szCs w:val="21"/>
                <w:highlight w:val="none"/>
              </w:rPr>
            </w:pPr>
          </w:p>
        </w:tc>
        <w:tc>
          <w:tcPr>
            <w:tcW w:w="1763" w:type="dxa"/>
            <w:vAlign w:val="center"/>
          </w:tcPr>
          <w:p w14:paraId="0AA4EFFE">
            <w:pPr>
              <w:spacing w:line="360" w:lineRule="auto"/>
              <w:rPr>
                <w:rFonts w:hint="eastAsia" w:ascii="宋体" w:hAnsi="宋体" w:cs="宋体"/>
                <w:color w:val="auto"/>
                <w:szCs w:val="21"/>
                <w:highlight w:val="none"/>
              </w:rPr>
            </w:pPr>
          </w:p>
        </w:tc>
        <w:tc>
          <w:tcPr>
            <w:tcW w:w="3675" w:type="dxa"/>
            <w:vAlign w:val="center"/>
          </w:tcPr>
          <w:p w14:paraId="1461A393">
            <w:pPr>
              <w:spacing w:line="360" w:lineRule="auto"/>
              <w:rPr>
                <w:rFonts w:hint="eastAsia" w:ascii="宋体" w:hAnsi="宋体" w:cs="宋体"/>
                <w:color w:val="auto"/>
                <w:szCs w:val="21"/>
                <w:highlight w:val="none"/>
              </w:rPr>
            </w:pPr>
          </w:p>
        </w:tc>
        <w:tc>
          <w:tcPr>
            <w:tcW w:w="1489" w:type="dxa"/>
            <w:vAlign w:val="center"/>
          </w:tcPr>
          <w:p w14:paraId="4C4A90D5">
            <w:pPr>
              <w:spacing w:line="360" w:lineRule="auto"/>
              <w:ind w:firstLine="422" w:firstLineChars="200"/>
              <w:jc w:val="center"/>
              <w:rPr>
                <w:rFonts w:hint="eastAsia" w:ascii="宋体" w:hAnsi="宋体" w:cs="宋体"/>
                <w:b/>
                <w:color w:val="auto"/>
                <w:szCs w:val="21"/>
                <w:highlight w:val="none"/>
              </w:rPr>
            </w:pPr>
          </w:p>
        </w:tc>
      </w:tr>
      <w:tr w14:paraId="0DCB01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776" w:type="dxa"/>
            <w:vAlign w:val="center"/>
          </w:tcPr>
          <w:p w14:paraId="0609A2B7">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2</w:t>
            </w:r>
          </w:p>
        </w:tc>
        <w:tc>
          <w:tcPr>
            <w:tcW w:w="1855" w:type="dxa"/>
            <w:vAlign w:val="center"/>
          </w:tcPr>
          <w:p w14:paraId="3E61B1CF">
            <w:pPr>
              <w:spacing w:line="360" w:lineRule="auto"/>
              <w:rPr>
                <w:rFonts w:hint="eastAsia" w:ascii="宋体" w:hAnsi="宋体" w:cs="宋体"/>
                <w:color w:val="auto"/>
                <w:szCs w:val="21"/>
                <w:highlight w:val="none"/>
              </w:rPr>
            </w:pPr>
          </w:p>
        </w:tc>
        <w:tc>
          <w:tcPr>
            <w:tcW w:w="1763" w:type="dxa"/>
            <w:vAlign w:val="center"/>
          </w:tcPr>
          <w:p w14:paraId="192E90A8">
            <w:pPr>
              <w:spacing w:line="360" w:lineRule="auto"/>
              <w:rPr>
                <w:rFonts w:hint="eastAsia" w:ascii="宋体" w:hAnsi="宋体" w:cs="宋体"/>
                <w:color w:val="auto"/>
                <w:szCs w:val="21"/>
                <w:highlight w:val="none"/>
              </w:rPr>
            </w:pPr>
          </w:p>
        </w:tc>
        <w:tc>
          <w:tcPr>
            <w:tcW w:w="3675" w:type="dxa"/>
            <w:vAlign w:val="center"/>
          </w:tcPr>
          <w:p w14:paraId="3B785EAE">
            <w:pPr>
              <w:spacing w:line="360" w:lineRule="auto"/>
              <w:rPr>
                <w:rFonts w:hint="eastAsia" w:ascii="宋体" w:hAnsi="宋体" w:cs="宋体"/>
                <w:color w:val="auto"/>
                <w:szCs w:val="21"/>
                <w:highlight w:val="none"/>
              </w:rPr>
            </w:pPr>
          </w:p>
        </w:tc>
        <w:tc>
          <w:tcPr>
            <w:tcW w:w="1489" w:type="dxa"/>
            <w:vAlign w:val="center"/>
          </w:tcPr>
          <w:p w14:paraId="1D4035CC">
            <w:pPr>
              <w:spacing w:line="360" w:lineRule="auto"/>
              <w:ind w:firstLine="420" w:firstLineChars="200"/>
              <w:jc w:val="center"/>
              <w:rPr>
                <w:rFonts w:hint="eastAsia" w:ascii="宋体" w:hAnsi="宋体" w:cs="宋体"/>
                <w:color w:val="auto"/>
                <w:szCs w:val="21"/>
                <w:highlight w:val="none"/>
              </w:rPr>
            </w:pPr>
          </w:p>
        </w:tc>
      </w:tr>
      <w:tr w14:paraId="70D76B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776" w:type="dxa"/>
            <w:vAlign w:val="center"/>
          </w:tcPr>
          <w:p w14:paraId="73E7BE8D">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3</w:t>
            </w:r>
          </w:p>
        </w:tc>
        <w:tc>
          <w:tcPr>
            <w:tcW w:w="1855" w:type="dxa"/>
            <w:vAlign w:val="center"/>
          </w:tcPr>
          <w:p w14:paraId="1CA920E6">
            <w:pPr>
              <w:spacing w:line="360" w:lineRule="auto"/>
              <w:rPr>
                <w:rFonts w:hint="eastAsia" w:ascii="宋体" w:hAnsi="宋体" w:cs="宋体"/>
                <w:color w:val="auto"/>
                <w:szCs w:val="21"/>
                <w:highlight w:val="none"/>
              </w:rPr>
            </w:pPr>
          </w:p>
        </w:tc>
        <w:tc>
          <w:tcPr>
            <w:tcW w:w="1763" w:type="dxa"/>
            <w:vAlign w:val="center"/>
          </w:tcPr>
          <w:p w14:paraId="6226ACAC">
            <w:pPr>
              <w:spacing w:line="360" w:lineRule="auto"/>
              <w:rPr>
                <w:rFonts w:hint="eastAsia" w:ascii="宋体" w:hAnsi="宋体" w:cs="宋体"/>
                <w:color w:val="auto"/>
                <w:szCs w:val="21"/>
                <w:highlight w:val="none"/>
              </w:rPr>
            </w:pPr>
          </w:p>
        </w:tc>
        <w:tc>
          <w:tcPr>
            <w:tcW w:w="3675" w:type="dxa"/>
            <w:vAlign w:val="center"/>
          </w:tcPr>
          <w:p w14:paraId="6097511A">
            <w:pPr>
              <w:spacing w:line="360" w:lineRule="auto"/>
              <w:rPr>
                <w:rFonts w:hint="eastAsia" w:ascii="宋体" w:hAnsi="宋体" w:cs="宋体"/>
                <w:color w:val="auto"/>
                <w:szCs w:val="21"/>
                <w:highlight w:val="none"/>
              </w:rPr>
            </w:pPr>
          </w:p>
        </w:tc>
        <w:tc>
          <w:tcPr>
            <w:tcW w:w="1489" w:type="dxa"/>
            <w:vAlign w:val="center"/>
          </w:tcPr>
          <w:p w14:paraId="303F5C0A">
            <w:pPr>
              <w:spacing w:line="360" w:lineRule="auto"/>
              <w:ind w:firstLine="420" w:firstLineChars="200"/>
              <w:jc w:val="center"/>
              <w:rPr>
                <w:rFonts w:hint="eastAsia" w:ascii="宋体" w:hAnsi="宋体" w:cs="宋体"/>
                <w:color w:val="auto"/>
                <w:szCs w:val="21"/>
                <w:highlight w:val="none"/>
              </w:rPr>
            </w:pPr>
          </w:p>
        </w:tc>
      </w:tr>
      <w:tr w14:paraId="53B40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776" w:type="dxa"/>
            <w:vAlign w:val="center"/>
          </w:tcPr>
          <w:p w14:paraId="2C9590FE">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4</w:t>
            </w:r>
          </w:p>
        </w:tc>
        <w:tc>
          <w:tcPr>
            <w:tcW w:w="1855" w:type="dxa"/>
            <w:vAlign w:val="center"/>
          </w:tcPr>
          <w:p w14:paraId="09484F71">
            <w:pPr>
              <w:spacing w:line="360" w:lineRule="auto"/>
              <w:rPr>
                <w:rFonts w:hint="eastAsia" w:ascii="宋体" w:hAnsi="宋体" w:cs="宋体"/>
                <w:color w:val="auto"/>
                <w:szCs w:val="21"/>
                <w:highlight w:val="none"/>
              </w:rPr>
            </w:pPr>
          </w:p>
        </w:tc>
        <w:tc>
          <w:tcPr>
            <w:tcW w:w="1763" w:type="dxa"/>
            <w:vAlign w:val="center"/>
          </w:tcPr>
          <w:p w14:paraId="30C9AA37">
            <w:pPr>
              <w:spacing w:line="360" w:lineRule="auto"/>
              <w:rPr>
                <w:rFonts w:hint="eastAsia" w:ascii="宋体" w:hAnsi="宋体" w:cs="宋体"/>
                <w:color w:val="auto"/>
                <w:szCs w:val="21"/>
                <w:highlight w:val="none"/>
              </w:rPr>
            </w:pPr>
          </w:p>
        </w:tc>
        <w:tc>
          <w:tcPr>
            <w:tcW w:w="3675" w:type="dxa"/>
            <w:vAlign w:val="center"/>
          </w:tcPr>
          <w:p w14:paraId="5F06EF52">
            <w:pPr>
              <w:spacing w:line="360" w:lineRule="auto"/>
              <w:ind w:firstLine="420" w:firstLineChars="200"/>
              <w:rPr>
                <w:rFonts w:hint="eastAsia" w:ascii="宋体" w:hAnsi="宋体" w:cs="宋体"/>
                <w:color w:val="auto"/>
                <w:szCs w:val="21"/>
                <w:highlight w:val="none"/>
              </w:rPr>
            </w:pPr>
          </w:p>
        </w:tc>
        <w:tc>
          <w:tcPr>
            <w:tcW w:w="1489" w:type="dxa"/>
            <w:vAlign w:val="center"/>
          </w:tcPr>
          <w:p w14:paraId="0E003BC0">
            <w:pPr>
              <w:spacing w:line="360" w:lineRule="auto"/>
              <w:rPr>
                <w:rFonts w:hint="eastAsia" w:ascii="宋体" w:hAnsi="宋体" w:cs="宋体"/>
                <w:color w:val="auto"/>
                <w:szCs w:val="21"/>
                <w:highlight w:val="none"/>
              </w:rPr>
            </w:pPr>
          </w:p>
        </w:tc>
      </w:tr>
      <w:tr w14:paraId="607931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776" w:type="dxa"/>
            <w:vAlign w:val="center"/>
          </w:tcPr>
          <w:p w14:paraId="6ED4DE4C">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1855" w:type="dxa"/>
            <w:vAlign w:val="center"/>
          </w:tcPr>
          <w:p w14:paraId="489833FD">
            <w:pPr>
              <w:spacing w:line="360" w:lineRule="auto"/>
              <w:rPr>
                <w:rFonts w:hint="eastAsia" w:ascii="宋体" w:hAnsi="宋体" w:cs="宋体"/>
                <w:color w:val="auto"/>
                <w:szCs w:val="21"/>
                <w:highlight w:val="none"/>
              </w:rPr>
            </w:pPr>
          </w:p>
        </w:tc>
        <w:tc>
          <w:tcPr>
            <w:tcW w:w="1763" w:type="dxa"/>
            <w:vAlign w:val="center"/>
          </w:tcPr>
          <w:p w14:paraId="59EDD7DF">
            <w:pPr>
              <w:spacing w:line="360" w:lineRule="auto"/>
              <w:rPr>
                <w:rFonts w:hint="eastAsia" w:ascii="宋体" w:hAnsi="宋体" w:cs="宋体"/>
                <w:color w:val="auto"/>
                <w:szCs w:val="21"/>
                <w:highlight w:val="none"/>
              </w:rPr>
            </w:pPr>
          </w:p>
        </w:tc>
        <w:tc>
          <w:tcPr>
            <w:tcW w:w="3675" w:type="dxa"/>
            <w:vAlign w:val="center"/>
          </w:tcPr>
          <w:p w14:paraId="3F5EED69">
            <w:pPr>
              <w:spacing w:line="360" w:lineRule="auto"/>
              <w:rPr>
                <w:rFonts w:hint="eastAsia" w:ascii="宋体" w:hAnsi="宋体" w:cs="宋体"/>
                <w:color w:val="auto"/>
                <w:szCs w:val="21"/>
                <w:highlight w:val="none"/>
              </w:rPr>
            </w:pPr>
          </w:p>
        </w:tc>
        <w:tc>
          <w:tcPr>
            <w:tcW w:w="1489" w:type="dxa"/>
            <w:vAlign w:val="center"/>
          </w:tcPr>
          <w:p w14:paraId="6D9F4B10">
            <w:pPr>
              <w:spacing w:line="360" w:lineRule="auto"/>
              <w:rPr>
                <w:rFonts w:hint="eastAsia" w:ascii="宋体" w:hAnsi="宋体" w:cs="宋体"/>
                <w:color w:val="auto"/>
                <w:szCs w:val="21"/>
                <w:highlight w:val="none"/>
              </w:rPr>
            </w:pPr>
          </w:p>
        </w:tc>
      </w:tr>
      <w:tr w14:paraId="1883C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776" w:type="dxa"/>
            <w:vAlign w:val="center"/>
          </w:tcPr>
          <w:p w14:paraId="2D2FA1B9">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6</w:t>
            </w:r>
          </w:p>
        </w:tc>
        <w:tc>
          <w:tcPr>
            <w:tcW w:w="1855" w:type="dxa"/>
            <w:vAlign w:val="center"/>
          </w:tcPr>
          <w:p w14:paraId="79091715">
            <w:pPr>
              <w:spacing w:line="360" w:lineRule="auto"/>
              <w:rPr>
                <w:rFonts w:hint="eastAsia" w:ascii="宋体" w:hAnsi="宋体" w:cs="宋体"/>
                <w:color w:val="auto"/>
                <w:szCs w:val="21"/>
                <w:highlight w:val="none"/>
              </w:rPr>
            </w:pPr>
          </w:p>
        </w:tc>
        <w:tc>
          <w:tcPr>
            <w:tcW w:w="1763" w:type="dxa"/>
            <w:vAlign w:val="center"/>
          </w:tcPr>
          <w:p w14:paraId="771817E7">
            <w:pPr>
              <w:spacing w:line="360" w:lineRule="auto"/>
              <w:rPr>
                <w:rFonts w:hint="eastAsia" w:ascii="宋体" w:hAnsi="宋体" w:cs="宋体"/>
                <w:color w:val="auto"/>
                <w:szCs w:val="21"/>
                <w:highlight w:val="none"/>
              </w:rPr>
            </w:pPr>
          </w:p>
        </w:tc>
        <w:tc>
          <w:tcPr>
            <w:tcW w:w="3675" w:type="dxa"/>
            <w:vAlign w:val="center"/>
          </w:tcPr>
          <w:p w14:paraId="62499A8E">
            <w:pPr>
              <w:spacing w:line="360" w:lineRule="auto"/>
              <w:rPr>
                <w:rFonts w:hint="eastAsia" w:ascii="宋体" w:hAnsi="宋体" w:cs="宋体"/>
                <w:color w:val="auto"/>
                <w:szCs w:val="21"/>
                <w:highlight w:val="none"/>
              </w:rPr>
            </w:pPr>
          </w:p>
        </w:tc>
        <w:tc>
          <w:tcPr>
            <w:tcW w:w="1489" w:type="dxa"/>
            <w:vAlign w:val="center"/>
          </w:tcPr>
          <w:p w14:paraId="35546B9E">
            <w:pPr>
              <w:spacing w:line="360" w:lineRule="auto"/>
              <w:ind w:firstLine="420" w:firstLineChars="200"/>
              <w:jc w:val="center"/>
              <w:rPr>
                <w:rFonts w:hint="eastAsia" w:ascii="宋体" w:hAnsi="宋体" w:cs="宋体"/>
                <w:color w:val="auto"/>
                <w:szCs w:val="21"/>
                <w:highlight w:val="none"/>
              </w:rPr>
            </w:pPr>
          </w:p>
        </w:tc>
      </w:tr>
      <w:tr w14:paraId="7A4BF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776" w:type="dxa"/>
            <w:vAlign w:val="center"/>
          </w:tcPr>
          <w:p w14:paraId="40C7A470">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7</w:t>
            </w:r>
          </w:p>
        </w:tc>
        <w:tc>
          <w:tcPr>
            <w:tcW w:w="1855" w:type="dxa"/>
            <w:vAlign w:val="center"/>
          </w:tcPr>
          <w:p w14:paraId="50499332">
            <w:pPr>
              <w:spacing w:line="360" w:lineRule="auto"/>
              <w:rPr>
                <w:rFonts w:hint="eastAsia" w:ascii="宋体" w:hAnsi="宋体" w:cs="宋体"/>
                <w:color w:val="auto"/>
                <w:szCs w:val="21"/>
                <w:highlight w:val="none"/>
              </w:rPr>
            </w:pPr>
          </w:p>
        </w:tc>
        <w:tc>
          <w:tcPr>
            <w:tcW w:w="1763" w:type="dxa"/>
            <w:vAlign w:val="center"/>
          </w:tcPr>
          <w:p w14:paraId="7465F8E4">
            <w:pPr>
              <w:spacing w:line="360" w:lineRule="auto"/>
              <w:rPr>
                <w:rFonts w:hint="eastAsia" w:ascii="宋体" w:hAnsi="宋体" w:cs="宋体"/>
                <w:color w:val="auto"/>
                <w:szCs w:val="21"/>
                <w:highlight w:val="none"/>
              </w:rPr>
            </w:pPr>
          </w:p>
        </w:tc>
        <w:tc>
          <w:tcPr>
            <w:tcW w:w="3675" w:type="dxa"/>
            <w:vAlign w:val="center"/>
          </w:tcPr>
          <w:p w14:paraId="2CC2B7DA">
            <w:pPr>
              <w:spacing w:line="360" w:lineRule="auto"/>
              <w:rPr>
                <w:rFonts w:hint="eastAsia" w:ascii="宋体" w:hAnsi="宋体" w:cs="宋体"/>
                <w:color w:val="auto"/>
                <w:szCs w:val="21"/>
                <w:highlight w:val="none"/>
              </w:rPr>
            </w:pPr>
          </w:p>
        </w:tc>
        <w:tc>
          <w:tcPr>
            <w:tcW w:w="1489" w:type="dxa"/>
            <w:vAlign w:val="center"/>
          </w:tcPr>
          <w:p w14:paraId="632704EC">
            <w:pPr>
              <w:spacing w:line="360" w:lineRule="auto"/>
              <w:rPr>
                <w:rFonts w:hint="eastAsia" w:ascii="宋体" w:hAnsi="宋体" w:cs="宋体"/>
                <w:color w:val="auto"/>
                <w:szCs w:val="21"/>
                <w:highlight w:val="none"/>
              </w:rPr>
            </w:pPr>
          </w:p>
        </w:tc>
      </w:tr>
      <w:tr w14:paraId="7EEE3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776" w:type="dxa"/>
            <w:vAlign w:val="center"/>
          </w:tcPr>
          <w:p w14:paraId="79B75E85">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8</w:t>
            </w:r>
          </w:p>
        </w:tc>
        <w:tc>
          <w:tcPr>
            <w:tcW w:w="1855" w:type="dxa"/>
            <w:vAlign w:val="center"/>
          </w:tcPr>
          <w:p w14:paraId="22C01070">
            <w:pPr>
              <w:spacing w:line="360" w:lineRule="auto"/>
              <w:rPr>
                <w:rFonts w:hint="eastAsia" w:ascii="宋体" w:hAnsi="宋体" w:cs="宋体"/>
                <w:color w:val="auto"/>
                <w:szCs w:val="21"/>
                <w:highlight w:val="none"/>
              </w:rPr>
            </w:pPr>
          </w:p>
        </w:tc>
        <w:tc>
          <w:tcPr>
            <w:tcW w:w="1763" w:type="dxa"/>
            <w:vAlign w:val="center"/>
          </w:tcPr>
          <w:p w14:paraId="4B736C3C">
            <w:pPr>
              <w:spacing w:line="360" w:lineRule="auto"/>
              <w:rPr>
                <w:rFonts w:hint="eastAsia" w:ascii="宋体" w:hAnsi="宋体" w:cs="宋体"/>
                <w:color w:val="auto"/>
                <w:szCs w:val="21"/>
                <w:highlight w:val="none"/>
              </w:rPr>
            </w:pPr>
          </w:p>
        </w:tc>
        <w:tc>
          <w:tcPr>
            <w:tcW w:w="3675" w:type="dxa"/>
            <w:vAlign w:val="center"/>
          </w:tcPr>
          <w:p w14:paraId="1EB1AB9C">
            <w:pPr>
              <w:spacing w:line="360" w:lineRule="auto"/>
              <w:ind w:firstLine="420" w:firstLineChars="200"/>
              <w:rPr>
                <w:rFonts w:hint="eastAsia" w:ascii="宋体" w:hAnsi="宋体" w:cs="宋体"/>
                <w:color w:val="auto"/>
                <w:szCs w:val="21"/>
                <w:highlight w:val="none"/>
              </w:rPr>
            </w:pPr>
          </w:p>
        </w:tc>
        <w:tc>
          <w:tcPr>
            <w:tcW w:w="1489" w:type="dxa"/>
            <w:vAlign w:val="center"/>
          </w:tcPr>
          <w:p w14:paraId="7AEB23F9">
            <w:pPr>
              <w:spacing w:line="360" w:lineRule="auto"/>
              <w:rPr>
                <w:rFonts w:hint="eastAsia" w:ascii="宋体" w:hAnsi="宋体" w:cs="宋体"/>
                <w:color w:val="auto"/>
                <w:szCs w:val="21"/>
                <w:highlight w:val="none"/>
              </w:rPr>
            </w:pPr>
          </w:p>
        </w:tc>
      </w:tr>
      <w:tr w14:paraId="0285B0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776" w:type="dxa"/>
            <w:vAlign w:val="center"/>
          </w:tcPr>
          <w:p w14:paraId="0CB9B54D">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w:t>
            </w:r>
          </w:p>
        </w:tc>
        <w:tc>
          <w:tcPr>
            <w:tcW w:w="1855" w:type="dxa"/>
            <w:vAlign w:val="center"/>
          </w:tcPr>
          <w:p w14:paraId="5023DFCB">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w:t>
            </w:r>
          </w:p>
        </w:tc>
        <w:tc>
          <w:tcPr>
            <w:tcW w:w="1763" w:type="dxa"/>
            <w:vAlign w:val="center"/>
          </w:tcPr>
          <w:p w14:paraId="7401E0CF">
            <w:pPr>
              <w:spacing w:line="360" w:lineRule="auto"/>
              <w:rPr>
                <w:rFonts w:hint="eastAsia" w:ascii="宋体" w:hAnsi="宋体" w:cs="宋体"/>
                <w:color w:val="auto"/>
                <w:szCs w:val="21"/>
                <w:highlight w:val="none"/>
              </w:rPr>
            </w:pPr>
          </w:p>
        </w:tc>
        <w:tc>
          <w:tcPr>
            <w:tcW w:w="3675" w:type="dxa"/>
            <w:vAlign w:val="center"/>
          </w:tcPr>
          <w:p w14:paraId="75F239B2">
            <w:pPr>
              <w:spacing w:line="360" w:lineRule="auto"/>
              <w:ind w:firstLine="420" w:firstLineChars="200"/>
              <w:rPr>
                <w:rFonts w:hint="eastAsia" w:ascii="宋体" w:hAnsi="宋体" w:cs="宋体"/>
                <w:color w:val="auto"/>
                <w:szCs w:val="21"/>
                <w:highlight w:val="none"/>
              </w:rPr>
            </w:pPr>
          </w:p>
        </w:tc>
        <w:tc>
          <w:tcPr>
            <w:tcW w:w="1489" w:type="dxa"/>
            <w:vAlign w:val="center"/>
          </w:tcPr>
          <w:p w14:paraId="56E4FBE2">
            <w:pPr>
              <w:spacing w:line="360" w:lineRule="auto"/>
              <w:rPr>
                <w:rFonts w:hint="eastAsia" w:ascii="宋体" w:hAnsi="宋体" w:cs="宋体"/>
                <w:color w:val="auto"/>
                <w:szCs w:val="21"/>
                <w:highlight w:val="none"/>
              </w:rPr>
            </w:pPr>
          </w:p>
        </w:tc>
      </w:tr>
      <w:tr w14:paraId="0AE96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9558" w:type="dxa"/>
            <w:gridSpan w:val="5"/>
            <w:vAlign w:val="center"/>
          </w:tcPr>
          <w:p w14:paraId="4CA97AD2">
            <w:pPr>
              <w:spacing w:line="300" w:lineRule="auto"/>
              <w:jc w:val="left"/>
              <w:rPr>
                <w:rFonts w:hint="eastAsia" w:ascii="宋体" w:hAnsi="宋体" w:cs="宋体"/>
                <w:b/>
                <w:color w:val="auto"/>
                <w:kern w:val="21"/>
                <w:szCs w:val="21"/>
                <w:highlight w:val="none"/>
              </w:rPr>
            </w:pPr>
            <w:r>
              <w:rPr>
                <w:rFonts w:hint="eastAsia" w:ascii="宋体" w:hAnsi="宋体" w:cs="宋体"/>
                <w:b/>
                <w:color w:val="auto"/>
                <w:kern w:val="21"/>
                <w:szCs w:val="21"/>
                <w:highlight w:val="none"/>
              </w:rPr>
              <w:t>声明：若我方投标文件其他处相应承诺与投标函附录不一致的，以最有利于招标人的承诺为准。</w:t>
            </w:r>
          </w:p>
          <w:p w14:paraId="77E9536E">
            <w:pPr>
              <w:spacing w:line="360" w:lineRule="auto"/>
              <w:jc w:val="left"/>
              <w:rPr>
                <w:rFonts w:hint="eastAsia" w:ascii="宋体" w:hAnsi="宋体" w:eastAsia="宋体" w:cs="宋体"/>
                <w:color w:val="auto"/>
                <w:szCs w:val="21"/>
                <w:highlight w:val="none"/>
                <w:lang w:val="en-US" w:eastAsia="zh-CN"/>
              </w:rPr>
            </w:pPr>
            <w:r>
              <w:rPr>
                <w:rFonts w:hint="eastAsia" w:ascii="宋体" w:hAnsi="宋体" w:cs="宋体"/>
                <w:color w:val="auto"/>
                <w:kern w:val="21"/>
                <w:szCs w:val="21"/>
                <w:highlight w:val="none"/>
              </w:rPr>
              <w:t>备注：投标人在响应招标文件中规定的实质性要求和条件的基础上，可做出其他有利于招标人的承诺。此类承诺可在本表中</w:t>
            </w:r>
            <w:r>
              <w:rPr>
                <w:rFonts w:hint="eastAsia" w:ascii="宋体" w:hAnsi="宋体" w:cs="宋体"/>
                <w:color w:val="auto"/>
                <w:kern w:val="21"/>
                <w:szCs w:val="21"/>
                <w:highlight w:val="none"/>
                <w:lang w:val="en-US" w:eastAsia="zh-CN"/>
              </w:rPr>
              <w:t>进行</w:t>
            </w:r>
            <w:r>
              <w:rPr>
                <w:rFonts w:hint="eastAsia" w:ascii="宋体" w:hAnsi="宋体" w:cs="宋体"/>
                <w:color w:val="auto"/>
                <w:kern w:val="21"/>
                <w:szCs w:val="21"/>
                <w:highlight w:val="none"/>
              </w:rPr>
              <w:t>填写</w:t>
            </w:r>
            <w:r>
              <w:rPr>
                <w:rFonts w:hint="eastAsia" w:ascii="宋体" w:hAnsi="宋体" w:cs="宋体"/>
                <w:color w:val="auto"/>
                <w:kern w:val="21"/>
                <w:szCs w:val="21"/>
                <w:highlight w:val="none"/>
                <w:lang w:eastAsia="zh-CN"/>
              </w:rPr>
              <w:t>，</w:t>
            </w:r>
            <w:r>
              <w:rPr>
                <w:rFonts w:hint="eastAsia" w:ascii="宋体" w:hAnsi="宋体" w:cs="宋体"/>
                <w:color w:val="auto"/>
                <w:kern w:val="21"/>
                <w:szCs w:val="21"/>
                <w:highlight w:val="none"/>
                <w:lang w:val="en-US" w:eastAsia="zh-CN"/>
              </w:rPr>
              <w:t>若无</w:t>
            </w:r>
            <w:r>
              <w:rPr>
                <w:rFonts w:hint="eastAsia" w:ascii="宋体" w:hAnsi="宋体" w:cs="宋体"/>
                <w:color w:val="auto"/>
                <w:kern w:val="21"/>
                <w:szCs w:val="21"/>
                <w:highlight w:val="none"/>
              </w:rPr>
              <w:t>此类承诺</w:t>
            </w:r>
            <w:r>
              <w:rPr>
                <w:rFonts w:hint="eastAsia" w:ascii="宋体" w:hAnsi="宋体" w:cs="宋体"/>
                <w:color w:val="auto"/>
                <w:kern w:val="21"/>
                <w:szCs w:val="21"/>
                <w:highlight w:val="none"/>
                <w:lang w:val="en-US" w:eastAsia="zh-CN"/>
              </w:rPr>
              <w:t>的，填写“无”或“/”。</w:t>
            </w:r>
          </w:p>
        </w:tc>
      </w:tr>
    </w:tbl>
    <w:p w14:paraId="5AB35F2E">
      <w:pPr>
        <w:spacing w:line="480" w:lineRule="exact"/>
        <w:ind w:firstLine="420" w:firstLineChars="200"/>
        <w:rPr>
          <w:rFonts w:hint="eastAsia" w:ascii="宋体" w:hAnsi="宋体" w:cs="宋体"/>
          <w:color w:val="auto"/>
          <w:szCs w:val="21"/>
          <w:highlight w:val="none"/>
        </w:rPr>
      </w:pPr>
    </w:p>
    <w:p w14:paraId="7FC9DC5A">
      <w:pPr>
        <w:spacing w:line="48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投标人（电子签章）：</w:t>
      </w:r>
      <w:r>
        <w:rPr>
          <w:rFonts w:hint="eastAsia" w:ascii="宋体" w:hAnsi="宋体" w:cs="宋体"/>
          <w:color w:val="auto"/>
          <w:szCs w:val="21"/>
          <w:highlight w:val="none"/>
          <w:u w:val="single"/>
        </w:rPr>
        <w:t xml:space="preserve">                     </w:t>
      </w:r>
    </w:p>
    <w:p w14:paraId="48F1DE75">
      <w:pPr>
        <w:spacing w:line="48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法人代表（电子签章）：</w:t>
      </w:r>
      <w:r>
        <w:rPr>
          <w:rFonts w:hint="eastAsia" w:ascii="宋体" w:hAnsi="宋体" w:cs="宋体"/>
          <w:color w:val="auto"/>
          <w:szCs w:val="21"/>
          <w:highlight w:val="none"/>
          <w:u w:val="single"/>
        </w:rPr>
        <w:t xml:space="preserve">                      </w:t>
      </w:r>
    </w:p>
    <w:p w14:paraId="25A53B3B">
      <w:pPr>
        <w:spacing w:line="48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w:t>
      </w:r>
    </w:p>
    <w:p w14:paraId="228DAA16">
      <w:pPr>
        <w:rPr>
          <w:rFonts w:hint="eastAsia" w:ascii="宋体" w:hAnsi="宋体" w:cs="宋体"/>
          <w:color w:val="auto"/>
          <w:highlight w:val="none"/>
        </w:rPr>
      </w:pPr>
    </w:p>
    <w:p w14:paraId="2217597D">
      <w:pPr>
        <w:snapToGrid/>
        <w:ind w:firstLine="0"/>
        <w:outlineLvl w:val="9"/>
        <w:rPr>
          <w:rFonts w:hint="eastAsia" w:ascii="宋体" w:hAnsi="宋体" w:cs="宋体"/>
          <w:b/>
          <w:color w:val="auto"/>
          <w:kern w:val="0"/>
          <w:sz w:val="30"/>
          <w:szCs w:val="30"/>
          <w:highlight w:val="none"/>
          <w:lang w:eastAsia="zh-CN"/>
        </w:rPr>
      </w:pPr>
      <w:bookmarkStart w:id="967" w:name="_Toc302769444"/>
      <w:r>
        <w:rPr>
          <w:rFonts w:hint="eastAsia" w:ascii="宋体" w:hAnsi="宋体" w:cs="宋体"/>
          <w:bCs/>
          <w:color w:val="auto"/>
          <w:sz w:val="28"/>
          <w:highlight w:val="none"/>
        </w:rPr>
        <w:br w:type="page"/>
      </w:r>
      <w:bookmarkStart w:id="968" w:name="_Toc28592"/>
      <w:bookmarkStart w:id="969" w:name="_Toc4402"/>
    </w:p>
    <w:bookmarkEnd w:id="967"/>
    <w:bookmarkEnd w:id="968"/>
    <w:bookmarkEnd w:id="969"/>
    <w:p w14:paraId="049A7437">
      <w:pPr>
        <w:pStyle w:val="4"/>
        <w:keepNext w:val="0"/>
        <w:keepLines w:val="0"/>
        <w:jc w:val="center"/>
        <w:rPr>
          <w:rFonts w:hint="eastAsia" w:ascii="宋体" w:hAnsi="宋体" w:eastAsia="宋体" w:cs="宋体"/>
          <w:color w:val="auto"/>
          <w:highlight w:val="none"/>
        </w:rPr>
      </w:pPr>
      <w:bookmarkStart w:id="970" w:name="_Toc8611"/>
      <w:bookmarkStart w:id="971" w:name="_Toc13377"/>
      <w:bookmarkStart w:id="972" w:name="_Toc12856"/>
      <w:bookmarkStart w:id="973" w:name="_Toc30199"/>
      <w:bookmarkStart w:id="974" w:name="_Toc10827"/>
      <w:bookmarkStart w:id="975" w:name="_Toc45897182"/>
      <w:bookmarkStart w:id="976" w:name="_Toc30201"/>
      <w:bookmarkStart w:id="977" w:name="_Toc15668"/>
      <w:bookmarkStart w:id="978" w:name="_Toc14713"/>
      <w:r>
        <w:rPr>
          <w:rFonts w:hint="eastAsia" w:ascii="宋体" w:hAnsi="宋体" w:eastAsia="宋体" w:cs="宋体"/>
          <w:color w:val="auto"/>
          <w:highlight w:val="none"/>
        </w:rPr>
        <w:t>第三部分 技术标部分</w:t>
      </w:r>
      <w:bookmarkEnd w:id="970"/>
      <w:bookmarkEnd w:id="971"/>
      <w:bookmarkEnd w:id="972"/>
      <w:bookmarkEnd w:id="973"/>
      <w:bookmarkEnd w:id="974"/>
      <w:bookmarkEnd w:id="975"/>
      <w:bookmarkEnd w:id="976"/>
      <w:bookmarkEnd w:id="977"/>
      <w:bookmarkStart w:id="979" w:name="_Toc763_WPSOffice_Level1"/>
      <w:bookmarkStart w:id="980" w:name="_Toc8424_WPSOffice_Level1"/>
    </w:p>
    <w:p w14:paraId="0C32FA35">
      <w:pPr>
        <w:jc w:val="center"/>
        <w:outlineLvl w:val="2"/>
        <w:rPr>
          <w:rFonts w:hint="eastAsia" w:ascii="宋体" w:hAnsi="宋体" w:cs="宋体"/>
          <w:b/>
          <w:bCs/>
          <w:color w:val="auto"/>
          <w:sz w:val="28"/>
          <w:szCs w:val="28"/>
          <w:highlight w:val="none"/>
        </w:rPr>
      </w:pPr>
      <w:bookmarkStart w:id="981" w:name="_Toc14851"/>
      <w:bookmarkStart w:id="982" w:name="_Toc13549_WPSOffice_Level1"/>
      <w:bookmarkStart w:id="983" w:name="_Toc26615_WPSOffice_Level1"/>
      <w:r>
        <w:rPr>
          <w:rFonts w:hint="eastAsia" w:ascii="宋体" w:hAnsi="宋体" w:cs="宋体"/>
          <w:b/>
          <w:bCs/>
          <w:color w:val="auto"/>
          <w:sz w:val="28"/>
          <w:szCs w:val="28"/>
          <w:highlight w:val="none"/>
        </w:rPr>
        <w:t>一、监理大纲</w:t>
      </w:r>
      <w:bookmarkEnd w:id="981"/>
    </w:p>
    <w:bookmarkEnd w:id="982"/>
    <w:bookmarkEnd w:id="983"/>
    <w:p w14:paraId="3298CB42">
      <w:pPr>
        <w:jc w:val="center"/>
        <w:rPr>
          <w:rFonts w:hint="eastAsia" w:ascii="宋体" w:hAnsi="宋体" w:cs="宋体"/>
          <w:color w:val="auto"/>
          <w:sz w:val="24"/>
          <w:szCs w:val="24"/>
          <w:highlight w:val="none"/>
        </w:rPr>
      </w:pPr>
    </w:p>
    <w:p w14:paraId="7D091914">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（格式自拟）</w:t>
      </w:r>
    </w:p>
    <w:p w14:paraId="5318A511">
      <w:pPr>
        <w:rPr>
          <w:rFonts w:hint="eastAsia" w:ascii="宋体" w:hAnsi="宋体" w:cs="宋体"/>
          <w:color w:val="auto"/>
          <w:sz w:val="28"/>
          <w:szCs w:val="28"/>
          <w:highlight w:val="none"/>
        </w:rPr>
      </w:pPr>
    </w:p>
    <w:p w14:paraId="6F1A1D0D">
      <w:pPr>
        <w:pStyle w:val="24"/>
        <w:rPr>
          <w:rFonts w:hint="eastAsia" w:ascii="宋体" w:hAnsi="宋体" w:cs="宋体"/>
          <w:color w:val="auto"/>
          <w:highlight w:val="none"/>
        </w:rPr>
      </w:pPr>
    </w:p>
    <w:p w14:paraId="053026F9">
      <w:pPr>
        <w:pStyle w:val="29"/>
        <w:rPr>
          <w:rFonts w:hint="eastAsia" w:ascii="宋体" w:hAnsi="宋体" w:cs="宋体"/>
          <w:color w:val="auto"/>
          <w:highlight w:val="none"/>
        </w:rPr>
      </w:pPr>
    </w:p>
    <w:p w14:paraId="4CD88019">
      <w:pPr>
        <w:jc w:val="center"/>
        <w:outlineLvl w:val="2"/>
        <w:rPr>
          <w:rFonts w:hint="eastAsia" w:ascii="宋体" w:hAnsi="宋体" w:cs="宋体"/>
          <w:b/>
          <w:bCs/>
          <w:color w:val="auto"/>
          <w:sz w:val="28"/>
          <w:szCs w:val="28"/>
          <w:highlight w:val="none"/>
        </w:rPr>
      </w:pPr>
      <w:bookmarkStart w:id="984" w:name="_Toc4998"/>
      <w:r>
        <w:rPr>
          <w:rFonts w:hint="eastAsia" w:ascii="宋体" w:hAnsi="宋体" w:cs="宋体"/>
          <w:b/>
          <w:bCs/>
          <w:color w:val="auto"/>
          <w:sz w:val="28"/>
          <w:szCs w:val="28"/>
          <w:highlight w:val="none"/>
        </w:rPr>
        <w:t>二、监理工作重点、难点分析</w:t>
      </w:r>
      <w:bookmarkEnd w:id="984"/>
    </w:p>
    <w:p w14:paraId="189730A0">
      <w:pPr>
        <w:jc w:val="center"/>
        <w:rPr>
          <w:rFonts w:hint="eastAsia" w:ascii="宋体" w:hAnsi="宋体" w:cs="宋体"/>
          <w:color w:val="auto"/>
          <w:sz w:val="24"/>
          <w:szCs w:val="24"/>
          <w:highlight w:val="none"/>
        </w:rPr>
      </w:pPr>
      <w:bookmarkStart w:id="985" w:name="_Toc20981_WPSOffice_Level2"/>
      <w:bookmarkStart w:id="986" w:name="_Toc25444_WPSOffice_Level2"/>
      <w:bookmarkStart w:id="987" w:name="_Toc31068_WPSOffice_Level2"/>
      <w:bookmarkStart w:id="988" w:name="_Toc2465_WPSOffice_Level2"/>
      <w:bookmarkStart w:id="989" w:name="_Toc5878_WPSOffice_Level2"/>
      <w:bookmarkStart w:id="990" w:name="_Toc28499_WPSOffice_Level2"/>
      <w:bookmarkStart w:id="991" w:name="_Toc1510_WPSOffice_Level2"/>
    </w:p>
    <w:p w14:paraId="507A65C5">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（格式自拟）</w:t>
      </w:r>
    </w:p>
    <w:p w14:paraId="3839B4C1">
      <w:pPr>
        <w:rPr>
          <w:rFonts w:hint="eastAsia" w:ascii="宋体" w:hAnsi="宋体" w:cs="宋体"/>
          <w:color w:val="auto"/>
          <w:sz w:val="28"/>
          <w:szCs w:val="28"/>
          <w:highlight w:val="none"/>
        </w:rPr>
      </w:pPr>
    </w:p>
    <w:bookmarkEnd w:id="985"/>
    <w:bookmarkEnd w:id="986"/>
    <w:bookmarkEnd w:id="987"/>
    <w:bookmarkEnd w:id="988"/>
    <w:bookmarkEnd w:id="989"/>
    <w:bookmarkEnd w:id="990"/>
    <w:bookmarkEnd w:id="991"/>
    <w:p w14:paraId="6C40B000">
      <w:pPr>
        <w:pStyle w:val="24"/>
        <w:rPr>
          <w:rFonts w:hint="eastAsia" w:ascii="宋体" w:hAnsi="宋体" w:cs="宋体"/>
          <w:color w:val="auto"/>
          <w:highlight w:val="none"/>
        </w:rPr>
      </w:pPr>
    </w:p>
    <w:p w14:paraId="69ECFFA8">
      <w:pPr>
        <w:rPr>
          <w:rFonts w:hint="eastAsia" w:ascii="宋体" w:hAnsi="宋体" w:cs="宋体"/>
          <w:color w:val="auto"/>
          <w:sz w:val="28"/>
          <w:szCs w:val="28"/>
          <w:highlight w:val="none"/>
        </w:rPr>
      </w:pPr>
    </w:p>
    <w:p w14:paraId="5DF843E0">
      <w:pPr>
        <w:jc w:val="center"/>
        <w:outlineLvl w:val="2"/>
        <w:rPr>
          <w:rFonts w:hint="eastAsia" w:ascii="宋体" w:hAnsi="宋体" w:cs="宋体"/>
          <w:b/>
          <w:bCs/>
          <w:color w:val="auto"/>
          <w:sz w:val="28"/>
          <w:szCs w:val="28"/>
          <w:highlight w:val="none"/>
        </w:rPr>
      </w:pPr>
      <w:bookmarkStart w:id="992" w:name="_Toc26382"/>
      <w:r>
        <w:rPr>
          <w:rFonts w:hint="eastAsia" w:ascii="宋体" w:hAnsi="宋体" w:cs="宋体"/>
          <w:b/>
          <w:bCs/>
          <w:color w:val="auto"/>
          <w:sz w:val="28"/>
          <w:szCs w:val="28"/>
          <w:highlight w:val="none"/>
          <w:lang w:val="en-US" w:eastAsia="zh-CN"/>
        </w:rPr>
        <w:t>三</w:t>
      </w:r>
      <w:r>
        <w:rPr>
          <w:rFonts w:hint="eastAsia" w:ascii="宋体" w:hAnsi="宋体" w:cs="宋体"/>
          <w:b/>
          <w:bCs/>
          <w:color w:val="auto"/>
          <w:sz w:val="28"/>
          <w:szCs w:val="28"/>
          <w:highlight w:val="none"/>
        </w:rPr>
        <w:t>、违约承诺及处罚措施</w:t>
      </w:r>
      <w:bookmarkEnd w:id="992"/>
    </w:p>
    <w:p w14:paraId="30F5569B">
      <w:pPr>
        <w:jc w:val="center"/>
        <w:rPr>
          <w:rFonts w:hint="eastAsia" w:ascii="宋体" w:hAnsi="宋体" w:cs="宋体"/>
          <w:color w:val="auto"/>
          <w:sz w:val="24"/>
          <w:szCs w:val="24"/>
          <w:highlight w:val="none"/>
        </w:rPr>
      </w:pPr>
    </w:p>
    <w:p w14:paraId="5B18E0D5">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（格式自拟）</w:t>
      </w:r>
    </w:p>
    <w:p w14:paraId="30179ED5">
      <w:pPr>
        <w:pStyle w:val="24"/>
        <w:rPr>
          <w:rFonts w:hint="eastAsia" w:ascii="宋体" w:hAnsi="宋体" w:cs="宋体"/>
          <w:color w:val="auto"/>
          <w:highlight w:val="none"/>
        </w:rPr>
      </w:pPr>
    </w:p>
    <w:p w14:paraId="50C708E0">
      <w:pPr>
        <w:rPr>
          <w:rFonts w:hint="eastAsia" w:ascii="宋体" w:hAnsi="宋体" w:cs="宋体"/>
          <w:color w:val="auto"/>
          <w:sz w:val="28"/>
          <w:szCs w:val="28"/>
          <w:highlight w:val="none"/>
        </w:rPr>
      </w:pPr>
    </w:p>
    <w:p w14:paraId="23D3643B">
      <w:pPr>
        <w:jc w:val="center"/>
        <w:outlineLvl w:val="2"/>
        <w:rPr>
          <w:rFonts w:hint="eastAsia" w:ascii="宋体" w:hAnsi="宋体" w:cs="宋体"/>
          <w:b/>
          <w:bCs/>
          <w:color w:val="auto"/>
          <w:sz w:val="28"/>
          <w:szCs w:val="28"/>
          <w:highlight w:val="none"/>
        </w:rPr>
      </w:pPr>
      <w:bookmarkStart w:id="993" w:name="_Toc6511"/>
      <w:r>
        <w:rPr>
          <w:rFonts w:hint="eastAsia" w:ascii="宋体" w:hAnsi="宋体" w:cs="宋体"/>
          <w:b/>
          <w:bCs/>
          <w:color w:val="auto"/>
          <w:sz w:val="28"/>
          <w:szCs w:val="28"/>
          <w:highlight w:val="none"/>
          <w:lang w:val="en-US" w:eastAsia="zh-CN"/>
        </w:rPr>
        <w:t>四</w:t>
      </w:r>
      <w:r>
        <w:rPr>
          <w:rFonts w:hint="eastAsia" w:ascii="宋体" w:hAnsi="宋体" w:cs="宋体"/>
          <w:b/>
          <w:bCs/>
          <w:color w:val="auto"/>
          <w:sz w:val="28"/>
          <w:szCs w:val="28"/>
          <w:highlight w:val="none"/>
        </w:rPr>
        <w:t>、服务保障措施及承诺</w:t>
      </w:r>
      <w:bookmarkEnd w:id="993"/>
    </w:p>
    <w:p w14:paraId="4758260A">
      <w:pPr>
        <w:jc w:val="center"/>
        <w:rPr>
          <w:rFonts w:hint="eastAsia" w:ascii="宋体" w:hAnsi="宋体" w:cs="宋体"/>
          <w:color w:val="auto"/>
          <w:sz w:val="24"/>
          <w:szCs w:val="24"/>
          <w:highlight w:val="none"/>
        </w:rPr>
      </w:pPr>
    </w:p>
    <w:p w14:paraId="47EC2526">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（格式自拟）</w:t>
      </w:r>
    </w:p>
    <w:p w14:paraId="7DF4F05C">
      <w:pPr>
        <w:rPr>
          <w:rFonts w:hint="eastAsia" w:ascii="宋体" w:hAnsi="宋体" w:cs="宋体"/>
          <w:color w:val="auto"/>
          <w:sz w:val="28"/>
          <w:szCs w:val="28"/>
          <w:highlight w:val="none"/>
        </w:rPr>
      </w:pPr>
    </w:p>
    <w:p w14:paraId="52CE1D58">
      <w:pPr>
        <w:rPr>
          <w:rFonts w:hint="eastAsia" w:ascii="宋体" w:hAnsi="宋体" w:cs="宋体"/>
          <w:color w:val="auto"/>
          <w:sz w:val="28"/>
          <w:szCs w:val="28"/>
          <w:highlight w:val="none"/>
        </w:rPr>
      </w:pPr>
    </w:p>
    <w:p w14:paraId="40AA8437">
      <w:pPr>
        <w:pStyle w:val="24"/>
        <w:rPr>
          <w:rFonts w:hint="eastAsia" w:ascii="宋体" w:hAnsi="宋体" w:cs="宋体"/>
          <w:color w:val="auto"/>
          <w:highlight w:val="none"/>
        </w:rPr>
      </w:pPr>
    </w:p>
    <w:p w14:paraId="6F7DE37B">
      <w:pPr>
        <w:jc w:val="center"/>
        <w:outlineLvl w:val="2"/>
        <w:rPr>
          <w:rFonts w:hint="eastAsia" w:ascii="宋体" w:hAnsi="宋体" w:cs="宋体"/>
          <w:b/>
          <w:bCs/>
          <w:color w:val="auto"/>
          <w:sz w:val="28"/>
          <w:szCs w:val="28"/>
          <w:highlight w:val="none"/>
        </w:rPr>
      </w:pPr>
      <w:bookmarkStart w:id="994" w:name="_Toc21451"/>
      <w:r>
        <w:rPr>
          <w:rFonts w:hint="eastAsia" w:ascii="宋体" w:hAnsi="宋体" w:cs="宋体"/>
          <w:b/>
          <w:bCs/>
          <w:color w:val="auto"/>
          <w:sz w:val="28"/>
          <w:szCs w:val="28"/>
          <w:highlight w:val="none"/>
          <w:lang w:val="en-US" w:eastAsia="zh-CN"/>
        </w:rPr>
        <w:t>五</w:t>
      </w:r>
      <w:r>
        <w:rPr>
          <w:rFonts w:hint="eastAsia" w:ascii="宋体" w:hAnsi="宋体" w:cs="宋体"/>
          <w:b/>
          <w:bCs/>
          <w:color w:val="auto"/>
          <w:sz w:val="28"/>
          <w:szCs w:val="28"/>
          <w:highlight w:val="none"/>
        </w:rPr>
        <w:t>、廉洁管理措施及承诺</w:t>
      </w:r>
      <w:bookmarkEnd w:id="994"/>
    </w:p>
    <w:p w14:paraId="1C56A188">
      <w:pPr>
        <w:jc w:val="center"/>
        <w:rPr>
          <w:rFonts w:hint="eastAsia" w:ascii="宋体" w:hAnsi="宋体" w:cs="宋体"/>
          <w:color w:val="auto"/>
          <w:sz w:val="24"/>
          <w:szCs w:val="24"/>
          <w:highlight w:val="none"/>
        </w:rPr>
      </w:pPr>
    </w:p>
    <w:p w14:paraId="7DDD0FB3">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（格式自拟）</w:t>
      </w:r>
    </w:p>
    <w:p w14:paraId="2C51C268">
      <w:pPr>
        <w:rPr>
          <w:rFonts w:hint="eastAsia" w:ascii="宋体" w:hAnsi="宋体" w:cs="宋体"/>
          <w:color w:val="auto"/>
          <w:sz w:val="28"/>
          <w:szCs w:val="28"/>
          <w:highlight w:val="none"/>
        </w:rPr>
      </w:pPr>
    </w:p>
    <w:bookmarkEnd w:id="978"/>
    <w:bookmarkEnd w:id="979"/>
    <w:bookmarkEnd w:id="980"/>
    <w:p w14:paraId="377A3839">
      <w:pPr>
        <w:pStyle w:val="74"/>
        <w:jc w:val="both"/>
        <w:rPr>
          <w:rFonts w:hint="eastAsia" w:ascii="宋体" w:hAnsi="宋体" w:eastAsia="宋体" w:cs="宋体"/>
          <w:color w:val="auto"/>
          <w:highlight w:val="none"/>
        </w:rPr>
      </w:pPr>
    </w:p>
    <w:p w14:paraId="12464675">
      <w:pPr>
        <w:pStyle w:val="74"/>
        <w:jc w:val="center"/>
        <w:rPr>
          <w:rFonts w:hint="eastAsia" w:ascii="宋体" w:hAnsi="宋体" w:eastAsia="宋体" w:cs="宋体"/>
          <w:color w:val="auto"/>
          <w:highlight w:val="none"/>
        </w:rPr>
      </w:pPr>
    </w:p>
    <w:p w14:paraId="1BDD102D">
      <w:pPr>
        <w:pStyle w:val="74"/>
        <w:jc w:val="center"/>
        <w:rPr>
          <w:rFonts w:hint="eastAsia" w:ascii="宋体" w:hAnsi="宋体" w:eastAsia="宋体" w:cs="宋体"/>
          <w:color w:val="auto"/>
          <w:highlight w:val="none"/>
        </w:rPr>
      </w:pPr>
    </w:p>
    <w:p w14:paraId="59E773B6">
      <w:pPr>
        <w:rPr>
          <w:rFonts w:hint="eastAsia" w:ascii="宋体" w:hAnsi="宋体" w:cs="宋体"/>
          <w:color w:val="auto"/>
          <w:highlight w:val="none"/>
        </w:rPr>
      </w:pPr>
    </w:p>
    <w:p w14:paraId="429739E6">
      <w:pPr>
        <w:spacing w:line="360" w:lineRule="auto"/>
        <w:ind w:left="332" w:leftChars="158" w:firstLine="420" w:firstLineChars="200"/>
        <w:jc w:val="left"/>
        <w:rPr>
          <w:rFonts w:hint="eastAsia" w:ascii="宋体" w:hAnsi="宋体" w:cs="宋体"/>
          <w:color w:val="auto"/>
          <w:highlight w:val="none"/>
        </w:rPr>
      </w:pPr>
    </w:p>
    <w:sectPr>
      <w:footerReference r:id="rId11" w:type="first"/>
      <w:pgSz w:w="11906" w:h="16838"/>
      <w:pgMar w:top="1417" w:right="1417" w:bottom="1417" w:left="1417" w:header="850" w:footer="992" w:gutter="0"/>
      <w:pgNumType w:fmt="decimal"/>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华文细黑">
    <w:altName w:val="微软雅黑"/>
    <w:panose1 w:val="02010600040101010101"/>
    <w:charset w:val="86"/>
    <w:family w:val="auto"/>
    <w:pitch w:val="default"/>
    <w:sig w:usb0="00000000" w:usb1="0000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Arial Unicode MS">
    <w:altName w:val="宋体"/>
    <w:panose1 w:val="020B0604020202020204"/>
    <w:charset w:val="86"/>
    <w:family w:val="swiss"/>
    <w:pitch w:val="default"/>
    <w:sig w:usb0="00000000" w:usb1="00000000" w:usb2="0000003F" w:usb3="00000000" w:csb0="603F01FF" w:csb1="FFFF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DC9073">
    <w:pPr>
      <w:pStyle w:val="3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635174">
    <w:pPr>
      <w:widowControl w:val="0"/>
      <w:jc w:val="center"/>
      <w:rPr>
        <w:rFonts w:ascii="Times New Roman" w:hAnsi="Times New Roman" w:eastAsia="宋体" w:cs="Times New Roman"/>
        <w:kern w:val="2"/>
        <w:sz w:val="21"/>
        <w:lang w:val="en-US" w:eastAsia="zh-CN" w:bidi="ar-SA"/>
      </w:rPr>
    </w:pPr>
    <w:r>
      <w:rPr>
        <w:rFonts w:ascii="Times New Roman" w:hAnsi="Times New Roman" w:eastAsia="宋体" w:cs="Times New Roman"/>
        <w:kern w:val="2"/>
        <w:sz w:val="21"/>
        <w:lang w:val="en-US" w:eastAsia="zh-CN" w:bidi="ar-SA"/>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320E4592">
                          <w:pPr>
                            <w:widowControl w:val="0"/>
                            <w:jc w:val="center"/>
                            <w:rPr>
                              <w:rFonts w:ascii="Times New Roman" w:hAnsi="Times New Roman" w:eastAsia="宋体" w:cs="Times New Roman"/>
                              <w:kern w:val="2"/>
                              <w:sz w:val="21"/>
                              <w:lang w:val="en-US" w:eastAsia="zh-CN" w:bidi="ar-SA"/>
                            </w:rPr>
                          </w:pPr>
                          <w:r>
                            <w:rPr>
                              <w:rFonts w:ascii="Times New Roman" w:hAnsi="Times New Roman" w:eastAsia="宋体" w:cs="Times New Roman"/>
                              <w:kern w:val="2"/>
                              <w:sz w:val="21"/>
                              <w:lang w:val="en-US" w:eastAsia="zh-CN" w:bidi="ar-SA"/>
                            </w:rPr>
                            <w:fldChar w:fldCharType="begin"/>
                          </w:r>
                          <w:r>
                            <w:rPr>
                              <w:rFonts w:ascii="Times New Roman" w:hAnsi="Times New Roman" w:eastAsia="宋体" w:cs="Times New Roman"/>
                              <w:kern w:val="2"/>
                              <w:sz w:val="21"/>
                              <w:lang w:val="en-US" w:eastAsia="zh-CN" w:bidi="ar-SA"/>
                            </w:rPr>
                            <w:instrText xml:space="preserve"> PAGE  \* MERGEFORMAT </w:instrText>
                          </w:r>
                          <w:r>
                            <w:rPr>
                              <w:rFonts w:ascii="Times New Roman" w:hAnsi="Times New Roman" w:eastAsia="宋体" w:cs="Times New Roman"/>
                              <w:kern w:val="2"/>
                              <w:sz w:val="21"/>
                              <w:lang w:val="en-US" w:eastAsia="zh-CN" w:bidi="ar-SA"/>
                            </w:rPr>
                            <w:fldChar w:fldCharType="separate"/>
                          </w:r>
                          <w:r>
                            <w:rPr>
                              <w:rFonts w:ascii="Times New Roman" w:hAnsi="Times New Roman" w:eastAsia="宋体" w:cs="Times New Roman"/>
                              <w:kern w:val="2"/>
                              <w:sz w:val="21"/>
                              <w:lang w:val="en-US" w:eastAsia="zh-CN" w:bidi="ar-SA"/>
                            </w:rPr>
                            <w:t>16</w:t>
                          </w:r>
                          <w:r>
                            <w:rPr>
                              <w:rFonts w:ascii="Times New Roman" w:hAnsi="Times New Roman" w:eastAsia="宋体" w:cs="Times New Roman"/>
                              <w:kern w:val="2"/>
                              <w:sz w:val="21"/>
                              <w:lang w:val="en-US" w:eastAsia="zh-CN" w:bidi="ar-SA"/>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2EPscs0BAACnAwAADgAAAAAAAAABACAAAAAeAQAAZHJzL2Uy&#10;b0RvYy54bWxQSwUGAAAAAAYABgBZAQAAXQUAAAAA&#10;">
              <v:fill on="f" focussize="0,0"/>
              <v:stroke on="f"/>
              <v:imagedata o:title=""/>
              <o:lock v:ext="edit" aspectratio="f"/>
              <v:textbox inset="0mm,0mm,0mm,0mm" style="mso-fit-shape-to-text:t;">
                <w:txbxContent>
                  <w:p w14:paraId="320E4592">
                    <w:pPr>
                      <w:widowControl w:val="0"/>
                      <w:jc w:val="center"/>
                      <w:rPr>
                        <w:rFonts w:ascii="Times New Roman" w:hAnsi="Times New Roman" w:eastAsia="宋体" w:cs="Times New Roman"/>
                        <w:kern w:val="2"/>
                        <w:sz w:val="21"/>
                        <w:lang w:val="en-US" w:eastAsia="zh-CN" w:bidi="ar-SA"/>
                      </w:rPr>
                    </w:pPr>
                    <w:r>
                      <w:rPr>
                        <w:rFonts w:ascii="Times New Roman" w:hAnsi="Times New Roman" w:eastAsia="宋体" w:cs="Times New Roman"/>
                        <w:kern w:val="2"/>
                        <w:sz w:val="21"/>
                        <w:lang w:val="en-US" w:eastAsia="zh-CN" w:bidi="ar-SA"/>
                      </w:rPr>
                      <w:fldChar w:fldCharType="begin"/>
                    </w:r>
                    <w:r>
                      <w:rPr>
                        <w:rFonts w:ascii="Times New Roman" w:hAnsi="Times New Roman" w:eastAsia="宋体" w:cs="Times New Roman"/>
                        <w:kern w:val="2"/>
                        <w:sz w:val="21"/>
                        <w:lang w:val="en-US" w:eastAsia="zh-CN" w:bidi="ar-SA"/>
                      </w:rPr>
                      <w:instrText xml:space="preserve"> PAGE  \* MERGEFORMAT </w:instrText>
                    </w:r>
                    <w:r>
                      <w:rPr>
                        <w:rFonts w:ascii="Times New Roman" w:hAnsi="Times New Roman" w:eastAsia="宋体" w:cs="Times New Roman"/>
                        <w:kern w:val="2"/>
                        <w:sz w:val="21"/>
                        <w:lang w:val="en-US" w:eastAsia="zh-CN" w:bidi="ar-SA"/>
                      </w:rPr>
                      <w:fldChar w:fldCharType="separate"/>
                    </w:r>
                    <w:r>
                      <w:rPr>
                        <w:rFonts w:ascii="Times New Roman" w:hAnsi="Times New Roman" w:eastAsia="宋体" w:cs="Times New Roman"/>
                        <w:kern w:val="2"/>
                        <w:sz w:val="21"/>
                        <w:lang w:val="en-US" w:eastAsia="zh-CN" w:bidi="ar-SA"/>
                      </w:rPr>
                      <w:t>16</w:t>
                    </w:r>
                    <w:r>
                      <w:rPr>
                        <w:rFonts w:ascii="Times New Roman" w:hAnsi="Times New Roman" w:eastAsia="宋体" w:cs="Times New Roman"/>
                        <w:kern w:val="2"/>
                        <w:sz w:val="21"/>
                        <w:lang w:val="en-US" w:eastAsia="zh-CN" w:bidi="ar-SA"/>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19C073">
    <w:pPr>
      <w:widowControl/>
      <w:snapToGrid w:val="0"/>
      <w:textAlignment w:val="baseline"/>
      <w:rPr>
        <w:rStyle w:val="372"/>
        <w:rFonts w:eastAsia="Times New Roman"/>
        <w:color w:val="000000"/>
        <w:sz w:val="18"/>
        <w:lang w:eastAsia="en-US" w:bidi="en-US"/>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C3FF620">
                          <w:pPr>
                            <w:pStyle w:val="3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14:paraId="2C3FF620">
                    <w:pPr>
                      <w:pStyle w:val="3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E91825">
    <w:pPr>
      <w:pStyle w:val="22"/>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D95F535">
                          <w:pPr>
                            <w:pStyle w:val="37"/>
                          </w:pPr>
                          <w:r>
                            <w:fldChar w:fldCharType="begin"/>
                          </w:r>
                          <w:r>
                            <w:instrText xml:space="preserve"> PAGE  \* MERGEFORMAT </w:instrText>
                          </w:r>
                          <w:r>
                            <w:fldChar w:fldCharType="separate"/>
                          </w:r>
                          <w:r>
                            <w:t>26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14:paraId="4D95F535">
                    <w:pPr>
                      <w:pStyle w:val="37"/>
                    </w:pPr>
                    <w:r>
                      <w:fldChar w:fldCharType="begin"/>
                    </w:r>
                    <w:r>
                      <w:instrText xml:space="preserve"> PAGE  \* MERGEFORMAT </w:instrText>
                    </w:r>
                    <w:r>
                      <w:fldChar w:fldCharType="separate"/>
                    </w:r>
                    <w:r>
                      <w:t>26</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5E3232">
    <w:pPr>
      <w:pStyle w:val="22"/>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B96C8C0">
                          <w:pPr>
                            <w:pStyle w:val="37"/>
                          </w:pPr>
                          <w:r>
                            <w:fldChar w:fldCharType="begin"/>
                          </w:r>
                          <w:r>
                            <w:instrText xml:space="preserve"> PAGE  \* MERGEFORMAT </w:instrText>
                          </w:r>
                          <w:r>
                            <w:fldChar w:fldCharType="separate"/>
                          </w:r>
                          <w:r>
                            <w:t>63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rd1wwq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Mrd1wwqAgAAVwQAAA4AAAAAAAAAAQAgAAAAHwEAAGRycy9lMm9Eb2MueG1sUEsFBgAAAAAGAAYA&#10;WQEAALsFAAAAAA==&#10;">
              <v:fill on="f" focussize="0,0"/>
              <v:stroke on="f" weight="0.5pt"/>
              <v:imagedata o:title=""/>
              <o:lock v:ext="edit" aspectratio="f"/>
              <v:textbox inset="0mm,0mm,0mm,0mm" style="mso-fit-shape-to-text:t;">
                <w:txbxContent>
                  <w:p w14:paraId="6B96C8C0">
                    <w:pPr>
                      <w:pStyle w:val="37"/>
                    </w:pPr>
                    <w:r>
                      <w:fldChar w:fldCharType="begin"/>
                    </w:r>
                    <w:r>
                      <w:instrText xml:space="preserve"> PAGE  \* MERGEFORMAT </w:instrText>
                    </w:r>
                    <w:r>
                      <w:fldChar w:fldCharType="separate"/>
                    </w:r>
                    <w:r>
                      <w:t>63</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7F95BC">
    <w:pPr>
      <w:pStyle w:val="22"/>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D62A888">
                          <w:pPr>
                            <w:pStyle w:val="37"/>
                          </w:pPr>
                          <w:r>
                            <w:fldChar w:fldCharType="begin"/>
                          </w:r>
                          <w:r>
                            <w:instrText xml:space="preserve"> PAGE  \* MERGEFORMAT </w:instrText>
                          </w:r>
                          <w:r>
                            <w:fldChar w:fldCharType="separate"/>
                          </w:r>
                          <w:r>
                            <w:t>68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ILIswsAgAAVwQAAA4AAABkcnMvZTJvRG9jLnhtbK1UzY7TMBC+I/EO&#10;lu80bVes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1dvx+nCxQNwqZEjkugeG63Q7tqe2c4U&#10;JxBzpusNb/mmRvIt8+GeOTQDHoxxCXdYSmmQxPQWJZVxX/91HuNRI3gpadBcOdWYJUrkB43aATAM&#10;hhuM3WDog7o16NYJxtDyZOKCC3IwS2fUF8zQKuaAi2mOTDkNg3kbugbHDHKxWqUgdJtlYasfLI/Q&#10;UTxvV4cAAZOuUZROiV4r9FuqTD8bsaH/3Keop//B8h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MgsizCwCAABXBAAADgAAAAAAAAABACAAAAAfAQAAZHJzL2Uyb0RvYy54bWxQSwUGAAAAAAYA&#10;BgBZAQAAvQUAAAAA&#10;">
              <v:fill on="f" focussize="0,0"/>
              <v:stroke on="f" weight="0.5pt"/>
              <v:imagedata o:title=""/>
              <o:lock v:ext="edit" aspectratio="f"/>
              <v:textbox inset="0mm,0mm,0mm,0mm" style="mso-fit-shape-to-text:t;">
                <w:txbxContent>
                  <w:p w14:paraId="1D62A888">
                    <w:pPr>
                      <w:pStyle w:val="37"/>
                    </w:pPr>
                    <w:r>
                      <w:fldChar w:fldCharType="begin"/>
                    </w:r>
                    <w:r>
                      <w:instrText xml:space="preserve"> PAGE  \* MERGEFORMAT </w:instrText>
                    </w:r>
                    <w:r>
                      <w:fldChar w:fldCharType="separate"/>
                    </w:r>
                    <w:r>
                      <w:t>68</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5613CC">
    <w:pPr>
      <w:pStyle w:val="38"/>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236D43">
    <w:pPr>
      <w:pStyle w:val="38"/>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FFFD71">
    <w:pPr>
      <w:pStyle w:val="38"/>
      <w:pBdr>
        <w:top w:val="none" w:color="auto" w:sz="0" w:space="1"/>
        <w:left w:val="none" w:color="auto" w:sz="0" w:space="4"/>
        <w:bottom w:val="single" w:color="auto" w:sz="4" w:space="1"/>
        <w:right w:val="none" w:color="auto" w:sz="0" w:space="4"/>
      </w:pBdr>
      <w:tabs>
        <w:tab w:val="center" w:pos="4393"/>
        <w:tab w:val="right" w:pos="8787"/>
        <w:tab w:val="clear" w:pos="4153"/>
        <w:tab w:val="clear" w:pos="8306"/>
      </w:tabs>
      <w:jc w:val="distribute"/>
    </w:pPr>
  </w:p>
  <w:p w14:paraId="64ED7A0A">
    <w:pPr>
      <w:pStyle w:val="38"/>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4F92B3"/>
    <w:multiLevelType w:val="singleLevel"/>
    <w:tmpl w:val="804F92B3"/>
    <w:lvl w:ilvl="0" w:tentative="0">
      <w:start w:val="1"/>
      <w:numFmt w:val="decimal"/>
      <w:suff w:val="nothing"/>
      <w:lvlText w:val="（%1）"/>
      <w:lvlJc w:val="left"/>
    </w:lvl>
  </w:abstractNum>
  <w:abstractNum w:abstractNumId="1">
    <w:nsid w:val="B7600106"/>
    <w:multiLevelType w:val="singleLevel"/>
    <w:tmpl w:val="B7600106"/>
    <w:lvl w:ilvl="0" w:tentative="0">
      <w:start w:val="1"/>
      <w:numFmt w:val="decimal"/>
      <w:suff w:val="nothing"/>
      <w:lvlText w:val="（%1）"/>
      <w:lvlJc w:val="left"/>
    </w:lvl>
  </w:abstractNum>
  <w:abstractNum w:abstractNumId="2">
    <w:nsid w:val="D1ADC453"/>
    <w:multiLevelType w:val="singleLevel"/>
    <w:tmpl w:val="D1ADC453"/>
    <w:lvl w:ilvl="0" w:tentative="0">
      <w:start w:val="1"/>
      <w:numFmt w:val="chineseCounting"/>
      <w:suff w:val="space"/>
      <w:lvlText w:val="第%1章"/>
      <w:lvlJc w:val="left"/>
      <w:rPr>
        <w:rFonts w:hint="eastAsia"/>
      </w:rPr>
    </w:lvl>
  </w:abstractNum>
  <w:abstractNum w:abstractNumId="3">
    <w:nsid w:val="ECA353C4"/>
    <w:multiLevelType w:val="singleLevel"/>
    <w:tmpl w:val="ECA353C4"/>
    <w:lvl w:ilvl="0" w:tentative="0">
      <w:start w:val="1"/>
      <w:numFmt w:val="decimal"/>
      <w:lvlText w:val="%1."/>
      <w:lvlJc w:val="left"/>
      <w:pPr>
        <w:tabs>
          <w:tab w:val="left" w:pos="312"/>
        </w:tabs>
      </w:pPr>
    </w:lvl>
  </w:abstractNum>
  <w:abstractNum w:abstractNumId="4">
    <w:nsid w:val="0000000A"/>
    <w:multiLevelType w:val="multilevel"/>
    <w:tmpl w:val="0000000A"/>
    <w:lvl w:ilvl="0" w:tentative="0">
      <w:start w:val="1"/>
      <w:numFmt w:val="decimal"/>
      <w:lvlText w:val="（%1）"/>
      <w:lvlJc w:val="left"/>
      <w:pPr>
        <w:tabs>
          <w:tab w:val="left" w:pos="1252"/>
        </w:tabs>
        <w:ind w:left="1252" w:hanging="720"/>
      </w:pPr>
      <w:rPr>
        <w:rFonts w:hint="eastAsia"/>
      </w:rPr>
    </w:lvl>
    <w:lvl w:ilvl="1" w:tentative="0">
      <w:start w:val="1"/>
      <w:numFmt w:val="decimal"/>
      <w:lvlText w:val="（%2）"/>
      <w:lvlJc w:val="left"/>
      <w:pPr>
        <w:tabs>
          <w:tab w:val="left" w:pos="1672"/>
        </w:tabs>
        <w:ind w:left="1672" w:hanging="720"/>
      </w:pPr>
      <w:rPr>
        <w:rFonts w:hint="default"/>
      </w:rPr>
    </w:lvl>
    <w:lvl w:ilvl="2" w:tentative="0">
      <w:start w:val="4"/>
      <w:numFmt w:val="decimal"/>
      <w:lvlText w:val="(%3)"/>
      <w:lvlJc w:val="left"/>
      <w:pPr>
        <w:tabs>
          <w:tab w:val="left" w:pos="1732"/>
        </w:tabs>
        <w:ind w:left="1732" w:hanging="360"/>
      </w:pPr>
      <w:rPr>
        <w:rFonts w:hint="default"/>
      </w:rPr>
    </w:lvl>
    <w:lvl w:ilvl="3" w:tentative="0">
      <w:start w:val="1"/>
      <w:numFmt w:val="decimal"/>
      <w:lvlText w:val="%4."/>
      <w:lvlJc w:val="left"/>
      <w:pPr>
        <w:tabs>
          <w:tab w:val="left" w:pos="2212"/>
        </w:tabs>
        <w:ind w:left="2212" w:hanging="420"/>
      </w:pPr>
    </w:lvl>
    <w:lvl w:ilvl="4" w:tentative="0">
      <w:start w:val="1"/>
      <w:numFmt w:val="lowerLetter"/>
      <w:lvlText w:val="%5)"/>
      <w:lvlJc w:val="left"/>
      <w:pPr>
        <w:tabs>
          <w:tab w:val="left" w:pos="2632"/>
        </w:tabs>
        <w:ind w:left="2632" w:hanging="420"/>
      </w:pPr>
    </w:lvl>
    <w:lvl w:ilvl="5" w:tentative="0">
      <w:start w:val="1"/>
      <w:numFmt w:val="lowerRoman"/>
      <w:pStyle w:val="8"/>
      <w:lvlText w:val="%6."/>
      <w:lvlJc w:val="right"/>
      <w:pPr>
        <w:tabs>
          <w:tab w:val="left" w:pos="3052"/>
        </w:tabs>
        <w:ind w:left="3052" w:hanging="420"/>
      </w:pPr>
    </w:lvl>
    <w:lvl w:ilvl="6" w:tentative="0">
      <w:start w:val="1"/>
      <w:numFmt w:val="decimal"/>
      <w:lvlText w:val="%7."/>
      <w:lvlJc w:val="left"/>
      <w:pPr>
        <w:tabs>
          <w:tab w:val="left" w:pos="3472"/>
        </w:tabs>
        <w:ind w:left="3472" w:hanging="420"/>
      </w:pPr>
    </w:lvl>
    <w:lvl w:ilvl="7" w:tentative="0">
      <w:start w:val="1"/>
      <w:numFmt w:val="lowerLetter"/>
      <w:lvlText w:val="%8)"/>
      <w:lvlJc w:val="left"/>
      <w:pPr>
        <w:tabs>
          <w:tab w:val="left" w:pos="3892"/>
        </w:tabs>
        <w:ind w:left="3892" w:hanging="420"/>
      </w:pPr>
    </w:lvl>
    <w:lvl w:ilvl="8" w:tentative="0">
      <w:start w:val="1"/>
      <w:numFmt w:val="lowerRoman"/>
      <w:lvlText w:val="%9."/>
      <w:lvlJc w:val="right"/>
      <w:pPr>
        <w:tabs>
          <w:tab w:val="left" w:pos="4312"/>
        </w:tabs>
        <w:ind w:left="4312" w:hanging="420"/>
      </w:pPr>
    </w:lvl>
  </w:abstractNum>
  <w:abstractNum w:abstractNumId="5">
    <w:nsid w:val="00000010"/>
    <w:multiLevelType w:val="multilevel"/>
    <w:tmpl w:val="00000010"/>
    <w:lvl w:ilvl="0" w:tentative="0">
      <w:start w:val="1"/>
      <w:numFmt w:val="bullet"/>
      <w:lvlText w:val="□"/>
      <w:lvlJc w:val="left"/>
      <w:pPr>
        <w:tabs>
          <w:tab w:val="left" w:pos="360"/>
        </w:tabs>
        <w:ind w:left="360" w:hanging="360"/>
      </w:pPr>
      <w:rPr>
        <w:rFonts w:hint="eastAsia" w:ascii="宋体" w:hAnsi="宋体" w:eastAsia="宋体"/>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pStyle w:val="9"/>
      <w:lvlText w:val=""/>
      <w:lvlJc w:val="left"/>
      <w:pPr>
        <w:tabs>
          <w:tab w:val="left" w:pos="2940"/>
        </w:tabs>
        <w:ind w:left="2940" w:hanging="420"/>
      </w:pPr>
      <w:rPr>
        <w:rFonts w:hint="default" w:ascii="Wingdings" w:hAnsi="Wingdings"/>
      </w:rPr>
    </w:lvl>
    <w:lvl w:ilvl="7" w:tentative="0">
      <w:start w:val="1"/>
      <w:numFmt w:val="bullet"/>
      <w:pStyle w:val="10"/>
      <w:lvlText w:val=""/>
      <w:lvlJc w:val="left"/>
      <w:pPr>
        <w:tabs>
          <w:tab w:val="left" w:pos="3360"/>
        </w:tabs>
        <w:ind w:left="3360" w:hanging="420"/>
      </w:pPr>
      <w:rPr>
        <w:rFonts w:hint="default" w:ascii="Wingdings" w:hAnsi="Wingdings"/>
      </w:rPr>
    </w:lvl>
    <w:lvl w:ilvl="8" w:tentative="0">
      <w:start w:val="1"/>
      <w:numFmt w:val="bullet"/>
      <w:pStyle w:val="11"/>
      <w:lvlText w:val=""/>
      <w:lvlJc w:val="left"/>
      <w:pPr>
        <w:tabs>
          <w:tab w:val="left" w:pos="3780"/>
        </w:tabs>
        <w:ind w:left="3780" w:hanging="420"/>
      </w:pPr>
      <w:rPr>
        <w:rFonts w:hint="default" w:ascii="Wingdings" w:hAnsi="Wingdings"/>
      </w:rPr>
    </w:lvl>
  </w:abstractNum>
  <w:abstractNum w:abstractNumId="6">
    <w:nsid w:val="0CB1477E"/>
    <w:multiLevelType w:val="singleLevel"/>
    <w:tmpl w:val="0CB1477E"/>
    <w:lvl w:ilvl="0" w:tentative="0">
      <w:start w:val="2"/>
      <w:numFmt w:val="chineseCounting"/>
      <w:suff w:val="nothing"/>
      <w:lvlText w:val="%1、"/>
      <w:lvlJc w:val="left"/>
      <w:rPr>
        <w:rFonts w:hint="eastAsia"/>
      </w:rPr>
    </w:lvl>
  </w:abstractNum>
  <w:abstractNum w:abstractNumId="7">
    <w:nsid w:val="20A46C26"/>
    <w:multiLevelType w:val="multilevel"/>
    <w:tmpl w:val="20A46C26"/>
    <w:lvl w:ilvl="0" w:tentative="0">
      <w:start w:val="1"/>
      <w:numFmt w:val="none"/>
      <w:suff w:val="space"/>
      <w:lvlText w:val="%1"/>
      <w:lvlJc w:val="left"/>
      <w:pPr>
        <w:ind w:left="0" w:firstLine="0"/>
      </w:pPr>
      <w:rPr>
        <w:rFonts w:hint="eastAsia"/>
      </w:rPr>
    </w:lvl>
    <w:lvl w:ilvl="1" w:tentative="0">
      <w:start w:val="1"/>
      <w:numFmt w:val="chineseCountingThousand"/>
      <w:pStyle w:val="363"/>
      <w:suff w:val="space"/>
      <w:lvlText w:val="%2."/>
      <w:lvlJc w:val="left"/>
      <w:pPr>
        <w:ind w:left="142" w:firstLine="0"/>
      </w:pPr>
      <w:rPr>
        <w:rFonts w:hint="eastAsia"/>
      </w:rPr>
    </w:lvl>
    <w:lvl w:ilvl="2" w:tentative="0">
      <w:start w:val="1"/>
      <w:numFmt w:val="chineseCountingThousand"/>
      <w:pStyle w:val="370"/>
      <w:suff w:val="space"/>
      <w:lvlText w:val="(%3)"/>
      <w:lvlJc w:val="left"/>
      <w:pPr>
        <w:ind w:left="2552" w:firstLine="0"/>
      </w:pPr>
      <w:rPr>
        <w:rFonts w:hint="eastAsia" w:ascii="宋体" w:hAnsi="宋体" w:eastAsia="宋体"/>
        <w:b/>
        <w:sz w:val="28"/>
        <w:szCs w:val="28"/>
      </w:rPr>
    </w:lvl>
    <w:lvl w:ilvl="3" w:tentative="0">
      <w:start w:val="1"/>
      <w:numFmt w:val="lowerLetter"/>
      <w:lvlText w:val="%4."/>
      <w:lvlJc w:val="left"/>
      <w:pPr>
        <w:tabs>
          <w:tab w:val="left" w:pos="0"/>
        </w:tabs>
        <w:ind w:left="2551" w:firstLine="0"/>
      </w:pPr>
      <w:rPr>
        <w:rFonts w:hint="default" w:ascii="宋体" w:hAnsi="宋体" w:eastAsia="宋体"/>
      </w:rPr>
    </w:lvl>
    <w:lvl w:ilvl="4" w:tentative="0">
      <w:start w:val="1"/>
      <w:numFmt w:val="lowerRoman"/>
      <w:suff w:val="space"/>
      <w:lvlText w:val="%5."/>
      <w:lvlJc w:val="left"/>
      <w:pPr>
        <w:ind w:left="3402" w:firstLine="0"/>
      </w:pPr>
      <w:rPr>
        <w:rFonts w:hint="eastAsia"/>
      </w:rPr>
    </w:lvl>
    <w:lvl w:ilvl="5" w:tentative="0">
      <w:start w:val="1"/>
      <w:numFmt w:val="lowerRoman"/>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abstractNum w:abstractNumId="8">
    <w:nsid w:val="22BA7DD4"/>
    <w:multiLevelType w:val="multilevel"/>
    <w:tmpl w:val="22BA7DD4"/>
    <w:lvl w:ilvl="0" w:tentative="0">
      <w:start w:val="1"/>
      <w:numFmt w:val="bullet"/>
      <w:pStyle w:val="17"/>
      <w:lvlText w:val="□"/>
      <w:lvlJc w:val="left"/>
      <w:pPr>
        <w:tabs>
          <w:tab w:val="left" w:pos="360"/>
        </w:tabs>
        <w:ind w:left="360" w:hanging="360"/>
      </w:pPr>
      <w:rPr>
        <w:rFonts w:hint="eastAsia" w:ascii="宋体" w:hAnsi="宋体" w:eastAsia="宋体" w:cs="Times New Roman"/>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9">
    <w:nsid w:val="539662C6"/>
    <w:multiLevelType w:val="multilevel"/>
    <w:tmpl w:val="539662C6"/>
    <w:lvl w:ilvl="0" w:tentative="0">
      <w:start w:val="1"/>
      <w:numFmt w:val="bullet"/>
      <w:pStyle w:val="381"/>
      <w:lvlText w:val=""/>
      <w:lvlJc w:val="left"/>
      <w:pPr>
        <w:tabs>
          <w:tab w:val="left" w:pos="842"/>
        </w:tabs>
        <w:ind w:left="842" w:hanging="420"/>
      </w:pPr>
      <w:rPr>
        <w:rFonts w:hint="default" w:ascii="Wingdings" w:hAnsi="Wingdings"/>
      </w:rPr>
    </w:lvl>
    <w:lvl w:ilvl="1" w:tentative="0">
      <w:start w:val="1"/>
      <w:numFmt w:val="bullet"/>
      <w:lvlText w:val=""/>
      <w:lvlJc w:val="left"/>
      <w:pPr>
        <w:tabs>
          <w:tab w:val="left" w:pos="1262"/>
        </w:tabs>
        <w:ind w:left="1262" w:hanging="420"/>
      </w:pPr>
      <w:rPr>
        <w:rFonts w:hint="default" w:ascii="Wingdings" w:hAnsi="Wingdings"/>
      </w:rPr>
    </w:lvl>
    <w:lvl w:ilvl="2" w:tentative="0">
      <w:start w:val="1"/>
      <w:numFmt w:val="bullet"/>
      <w:lvlText w:val=""/>
      <w:lvlJc w:val="left"/>
      <w:pPr>
        <w:tabs>
          <w:tab w:val="left" w:pos="1682"/>
        </w:tabs>
        <w:ind w:left="1682" w:hanging="420"/>
      </w:pPr>
      <w:rPr>
        <w:rFonts w:hint="default" w:ascii="Wingdings" w:hAnsi="Wingdings"/>
      </w:rPr>
    </w:lvl>
    <w:lvl w:ilvl="3" w:tentative="0">
      <w:start w:val="1"/>
      <w:numFmt w:val="bullet"/>
      <w:lvlText w:val=""/>
      <w:lvlJc w:val="left"/>
      <w:pPr>
        <w:tabs>
          <w:tab w:val="left" w:pos="2102"/>
        </w:tabs>
        <w:ind w:left="2102" w:hanging="420"/>
      </w:pPr>
      <w:rPr>
        <w:rFonts w:hint="default" w:ascii="Wingdings" w:hAnsi="Wingdings"/>
      </w:rPr>
    </w:lvl>
    <w:lvl w:ilvl="4" w:tentative="0">
      <w:start w:val="1"/>
      <w:numFmt w:val="bullet"/>
      <w:lvlText w:val=""/>
      <w:lvlJc w:val="left"/>
      <w:pPr>
        <w:tabs>
          <w:tab w:val="left" w:pos="2522"/>
        </w:tabs>
        <w:ind w:left="2522" w:hanging="420"/>
      </w:pPr>
      <w:rPr>
        <w:rFonts w:hint="default" w:ascii="Wingdings" w:hAnsi="Wingdings"/>
      </w:rPr>
    </w:lvl>
    <w:lvl w:ilvl="5" w:tentative="0">
      <w:start w:val="1"/>
      <w:numFmt w:val="bullet"/>
      <w:lvlText w:val=""/>
      <w:lvlJc w:val="left"/>
      <w:pPr>
        <w:tabs>
          <w:tab w:val="left" w:pos="2942"/>
        </w:tabs>
        <w:ind w:left="2942" w:hanging="420"/>
      </w:pPr>
      <w:rPr>
        <w:rFonts w:hint="default" w:ascii="Wingdings" w:hAnsi="Wingdings"/>
      </w:rPr>
    </w:lvl>
    <w:lvl w:ilvl="6" w:tentative="0">
      <w:start w:val="1"/>
      <w:numFmt w:val="bullet"/>
      <w:lvlText w:val=""/>
      <w:lvlJc w:val="left"/>
      <w:pPr>
        <w:tabs>
          <w:tab w:val="left" w:pos="3362"/>
        </w:tabs>
        <w:ind w:left="3362" w:hanging="420"/>
      </w:pPr>
      <w:rPr>
        <w:rFonts w:hint="default" w:ascii="Wingdings" w:hAnsi="Wingdings"/>
      </w:rPr>
    </w:lvl>
    <w:lvl w:ilvl="7" w:tentative="0">
      <w:start w:val="1"/>
      <w:numFmt w:val="bullet"/>
      <w:lvlText w:val=""/>
      <w:lvlJc w:val="left"/>
      <w:pPr>
        <w:tabs>
          <w:tab w:val="left" w:pos="3782"/>
        </w:tabs>
        <w:ind w:left="3782" w:hanging="420"/>
      </w:pPr>
      <w:rPr>
        <w:rFonts w:hint="default" w:ascii="Wingdings" w:hAnsi="Wingdings"/>
      </w:rPr>
    </w:lvl>
    <w:lvl w:ilvl="8" w:tentative="0">
      <w:start w:val="1"/>
      <w:numFmt w:val="bullet"/>
      <w:lvlText w:val=""/>
      <w:lvlJc w:val="left"/>
      <w:pPr>
        <w:tabs>
          <w:tab w:val="left" w:pos="4202"/>
        </w:tabs>
        <w:ind w:left="4202" w:hanging="420"/>
      </w:pPr>
      <w:rPr>
        <w:rFonts w:hint="default" w:ascii="Wingdings" w:hAnsi="Wingdings"/>
      </w:rPr>
    </w:lvl>
  </w:abstractNum>
  <w:abstractNum w:abstractNumId="10">
    <w:nsid w:val="6AC5C403"/>
    <w:multiLevelType w:val="singleLevel"/>
    <w:tmpl w:val="6AC5C403"/>
    <w:lvl w:ilvl="0" w:tentative="0">
      <w:start w:val="1"/>
      <w:numFmt w:val="decimal"/>
      <w:suff w:val="nothing"/>
      <w:lvlText w:val="（%1）"/>
      <w:lvlJc w:val="left"/>
    </w:lvl>
  </w:abstractNum>
  <w:abstractNum w:abstractNumId="11">
    <w:nsid w:val="6E87019F"/>
    <w:multiLevelType w:val="multilevel"/>
    <w:tmpl w:val="6E87019F"/>
    <w:lvl w:ilvl="0" w:tentative="0">
      <w:start w:val="1"/>
      <w:numFmt w:val="chineseCountingThousand"/>
      <w:pStyle w:val="378"/>
      <w:lvlText w:val="%1、"/>
      <w:lvlJc w:val="left"/>
      <w:pPr>
        <w:ind w:left="425" w:hanging="425"/>
      </w:pPr>
    </w:lvl>
    <w:lvl w:ilvl="1" w:tentative="0">
      <w:start w:val="1"/>
      <w:numFmt w:val="decimal"/>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num w:numId="1">
    <w:abstractNumId w:val="4"/>
  </w:num>
  <w:num w:numId="2">
    <w:abstractNumId w:val="5"/>
  </w:num>
  <w:num w:numId="3">
    <w:abstractNumId w:val="8"/>
  </w:num>
  <w:num w:numId="4">
    <w:abstractNumId w:val="7"/>
  </w:num>
  <w:num w:numId="5">
    <w:abstractNumId w:val="11"/>
  </w:num>
  <w:num w:numId="6">
    <w:abstractNumId w:val="9"/>
  </w:num>
  <w:num w:numId="7">
    <w:abstractNumId w:val="2"/>
  </w:num>
  <w:num w:numId="8">
    <w:abstractNumId w:val="1"/>
  </w:num>
  <w:num w:numId="9">
    <w:abstractNumId w:val="10"/>
  </w:num>
  <w:num w:numId="10">
    <w:abstractNumId w:val="3"/>
  </w:num>
  <w:num w:numId="11">
    <w:abstractNumId w:val="0"/>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ˇˉ―‖’”…∶、。〃々〉》」』】〕〗！＂＇），．：；？］｀｜｝～￠"/>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Dg3Y2RjZGNkNmJmOTIwODU5ZGFhYTYyZTA4MmMxMzUifQ=="/>
  </w:docVars>
  <w:rsids>
    <w:rsidRoot w:val="00172A27"/>
    <w:rsid w:val="00000678"/>
    <w:rsid w:val="000041E2"/>
    <w:rsid w:val="000045BA"/>
    <w:rsid w:val="00004BA9"/>
    <w:rsid w:val="000072D5"/>
    <w:rsid w:val="000106D9"/>
    <w:rsid w:val="00010782"/>
    <w:rsid w:val="0001078F"/>
    <w:rsid w:val="00011241"/>
    <w:rsid w:val="00012184"/>
    <w:rsid w:val="00014998"/>
    <w:rsid w:val="00015E91"/>
    <w:rsid w:val="00020D94"/>
    <w:rsid w:val="00026952"/>
    <w:rsid w:val="000342EB"/>
    <w:rsid w:val="0003582E"/>
    <w:rsid w:val="0004018C"/>
    <w:rsid w:val="00040775"/>
    <w:rsid w:val="0004182D"/>
    <w:rsid w:val="00041ADF"/>
    <w:rsid w:val="00042DFC"/>
    <w:rsid w:val="00044E04"/>
    <w:rsid w:val="00045EE6"/>
    <w:rsid w:val="000519CF"/>
    <w:rsid w:val="00051AEF"/>
    <w:rsid w:val="00052B96"/>
    <w:rsid w:val="00052DF2"/>
    <w:rsid w:val="00053EF3"/>
    <w:rsid w:val="000541B8"/>
    <w:rsid w:val="000544C0"/>
    <w:rsid w:val="00054577"/>
    <w:rsid w:val="00054625"/>
    <w:rsid w:val="00055A00"/>
    <w:rsid w:val="00056165"/>
    <w:rsid w:val="0005701E"/>
    <w:rsid w:val="000629C2"/>
    <w:rsid w:val="00062CBA"/>
    <w:rsid w:val="000728EB"/>
    <w:rsid w:val="00073E3C"/>
    <w:rsid w:val="00076167"/>
    <w:rsid w:val="00076886"/>
    <w:rsid w:val="00076FB8"/>
    <w:rsid w:val="00077281"/>
    <w:rsid w:val="000776FD"/>
    <w:rsid w:val="000801FF"/>
    <w:rsid w:val="000808B0"/>
    <w:rsid w:val="00080F3C"/>
    <w:rsid w:val="00080FB4"/>
    <w:rsid w:val="00081C2B"/>
    <w:rsid w:val="00082060"/>
    <w:rsid w:val="000830F4"/>
    <w:rsid w:val="00083DEF"/>
    <w:rsid w:val="00084D85"/>
    <w:rsid w:val="000851FF"/>
    <w:rsid w:val="00085605"/>
    <w:rsid w:val="00085623"/>
    <w:rsid w:val="000862D6"/>
    <w:rsid w:val="00086FBE"/>
    <w:rsid w:val="00087255"/>
    <w:rsid w:val="000909AB"/>
    <w:rsid w:val="00090CA9"/>
    <w:rsid w:val="00090D4C"/>
    <w:rsid w:val="0009283E"/>
    <w:rsid w:val="0009442F"/>
    <w:rsid w:val="00095B77"/>
    <w:rsid w:val="000966F2"/>
    <w:rsid w:val="000A5761"/>
    <w:rsid w:val="000A7A3E"/>
    <w:rsid w:val="000A7E9A"/>
    <w:rsid w:val="000B02A0"/>
    <w:rsid w:val="000B0740"/>
    <w:rsid w:val="000B100F"/>
    <w:rsid w:val="000B3BCE"/>
    <w:rsid w:val="000B4B71"/>
    <w:rsid w:val="000B731C"/>
    <w:rsid w:val="000C225C"/>
    <w:rsid w:val="000C243C"/>
    <w:rsid w:val="000C5658"/>
    <w:rsid w:val="000C7ABF"/>
    <w:rsid w:val="000D1D90"/>
    <w:rsid w:val="000D32CD"/>
    <w:rsid w:val="000D3354"/>
    <w:rsid w:val="000D3AC5"/>
    <w:rsid w:val="000D41C3"/>
    <w:rsid w:val="000D4A52"/>
    <w:rsid w:val="000D4D5A"/>
    <w:rsid w:val="000D661F"/>
    <w:rsid w:val="000D680D"/>
    <w:rsid w:val="000E13F2"/>
    <w:rsid w:val="000E3210"/>
    <w:rsid w:val="000E33CF"/>
    <w:rsid w:val="000E651D"/>
    <w:rsid w:val="000F055D"/>
    <w:rsid w:val="000F319C"/>
    <w:rsid w:val="000F3B8F"/>
    <w:rsid w:val="000F5471"/>
    <w:rsid w:val="000F72CB"/>
    <w:rsid w:val="00100852"/>
    <w:rsid w:val="0010128E"/>
    <w:rsid w:val="001038AB"/>
    <w:rsid w:val="001044CC"/>
    <w:rsid w:val="001048DB"/>
    <w:rsid w:val="00104E82"/>
    <w:rsid w:val="001050AF"/>
    <w:rsid w:val="00106572"/>
    <w:rsid w:val="001070D9"/>
    <w:rsid w:val="001103F8"/>
    <w:rsid w:val="00110C6C"/>
    <w:rsid w:val="0011472B"/>
    <w:rsid w:val="00116FF3"/>
    <w:rsid w:val="00121EE7"/>
    <w:rsid w:val="00125A31"/>
    <w:rsid w:val="00130FB0"/>
    <w:rsid w:val="00132F90"/>
    <w:rsid w:val="00133486"/>
    <w:rsid w:val="001344EB"/>
    <w:rsid w:val="00134AFA"/>
    <w:rsid w:val="00136718"/>
    <w:rsid w:val="0013729A"/>
    <w:rsid w:val="00137457"/>
    <w:rsid w:val="001378E9"/>
    <w:rsid w:val="0014034F"/>
    <w:rsid w:val="00140C69"/>
    <w:rsid w:val="00145670"/>
    <w:rsid w:val="00145A1B"/>
    <w:rsid w:val="001467DD"/>
    <w:rsid w:val="00146B73"/>
    <w:rsid w:val="001477E3"/>
    <w:rsid w:val="00147FEB"/>
    <w:rsid w:val="00154A2E"/>
    <w:rsid w:val="0015574E"/>
    <w:rsid w:val="00156359"/>
    <w:rsid w:val="00156570"/>
    <w:rsid w:val="00156807"/>
    <w:rsid w:val="00161A99"/>
    <w:rsid w:val="00161C57"/>
    <w:rsid w:val="00163047"/>
    <w:rsid w:val="00164C14"/>
    <w:rsid w:val="0016585A"/>
    <w:rsid w:val="00166722"/>
    <w:rsid w:val="001671CF"/>
    <w:rsid w:val="00171CD0"/>
    <w:rsid w:val="00172F0A"/>
    <w:rsid w:val="0018003B"/>
    <w:rsid w:val="001822D1"/>
    <w:rsid w:val="001834E8"/>
    <w:rsid w:val="00185A72"/>
    <w:rsid w:val="001863E2"/>
    <w:rsid w:val="0018763D"/>
    <w:rsid w:val="00187C93"/>
    <w:rsid w:val="00190500"/>
    <w:rsid w:val="00190CE7"/>
    <w:rsid w:val="001925B7"/>
    <w:rsid w:val="00193DED"/>
    <w:rsid w:val="00194599"/>
    <w:rsid w:val="001A1106"/>
    <w:rsid w:val="001A38FC"/>
    <w:rsid w:val="001A42DC"/>
    <w:rsid w:val="001A6F8C"/>
    <w:rsid w:val="001B0B17"/>
    <w:rsid w:val="001B27D4"/>
    <w:rsid w:val="001B5658"/>
    <w:rsid w:val="001B710E"/>
    <w:rsid w:val="001C147F"/>
    <w:rsid w:val="001C2B4F"/>
    <w:rsid w:val="001C3E26"/>
    <w:rsid w:val="001C4B85"/>
    <w:rsid w:val="001C714A"/>
    <w:rsid w:val="001D1D58"/>
    <w:rsid w:val="001D247A"/>
    <w:rsid w:val="001D268E"/>
    <w:rsid w:val="001D2DD8"/>
    <w:rsid w:val="001D37B6"/>
    <w:rsid w:val="001D6725"/>
    <w:rsid w:val="001E1113"/>
    <w:rsid w:val="001E124B"/>
    <w:rsid w:val="001E36F2"/>
    <w:rsid w:val="001E4606"/>
    <w:rsid w:val="001E650F"/>
    <w:rsid w:val="001E6ED1"/>
    <w:rsid w:val="001F1E9D"/>
    <w:rsid w:val="001F425D"/>
    <w:rsid w:val="001F58E1"/>
    <w:rsid w:val="001F6C20"/>
    <w:rsid w:val="001F7541"/>
    <w:rsid w:val="001F7BF5"/>
    <w:rsid w:val="0020092E"/>
    <w:rsid w:val="00201DA1"/>
    <w:rsid w:val="002033A7"/>
    <w:rsid w:val="00203A44"/>
    <w:rsid w:val="00204F63"/>
    <w:rsid w:val="00205AEF"/>
    <w:rsid w:val="00205FD7"/>
    <w:rsid w:val="00206E03"/>
    <w:rsid w:val="0020739B"/>
    <w:rsid w:val="0020761D"/>
    <w:rsid w:val="00207B6A"/>
    <w:rsid w:val="002104BF"/>
    <w:rsid w:val="002106D1"/>
    <w:rsid w:val="00211303"/>
    <w:rsid w:val="00213016"/>
    <w:rsid w:val="002136F4"/>
    <w:rsid w:val="002139DE"/>
    <w:rsid w:val="00215C46"/>
    <w:rsid w:val="00217C4C"/>
    <w:rsid w:val="00220CCC"/>
    <w:rsid w:val="0022455F"/>
    <w:rsid w:val="00225A39"/>
    <w:rsid w:val="0022637E"/>
    <w:rsid w:val="00231F06"/>
    <w:rsid w:val="00234116"/>
    <w:rsid w:val="00234FD3"/>
    <w:rsid w:val="002353FB"/>
    <w:rsid w:val="00237475"/>
    <w:rsid w:val="00237F1D"/>
    <w:rsid w:val="002403D2"/>
    <w:rsid w:val="00242980"/>
    <w:rsid w:val="00244132"/>
    <w:rsid w:val="0024482E"/>
    <w:rsid w:val="00246D70"/>
    <w:rsid w:val="0025013F"/>
    <w:rsid w:val="002518D7"/>
    <w:rsid w:val="00255D31"/>
    <w:rsid w:val="00257353"/>
    <w:rsid w:val="00261C44"/>
    <w:rsid w:val="00262194"/>
    <w:rsid w:val="00263FE7"/>
    <w:rsid w:val="002640FF"/>
    <w:rsid w:val="002716AC"/>
    <w:rsid w:val="002727BA"/>
    <w:rsid w:val="0027450E"/>
    <w:rsid w:val="00280DA4"/>
    <w:rsid w:val="0028351D"/>
    <w:rsid w:val="002839BC"/>
    <w:rsid w:val="00286C22"/>
    <w:rsid w:val="00286D22"/>
    <w:rsid w:val="002871A4"/>
    <w:rsid w:val="0028799A"/>
    <w:rsid w:val="00287C4E"/>
    <w:rsid w:val="002908D2"/>
    <w:rsid w:val="00290CA4"/>
    <w:rsid w:val="0029432D"/>
    <w:rsid w:val="00294ED9"/>
    <w:rsid w:val="00295A29"/>
    <w:rsid w:val="00296366"/>
    <w:rsid w:val="00296EFE"/>
    <w:rsid w:val="002A020F"/>
    <w:rsid w:val="002A03FA"/>
    <w:rsid w:val="002A1B33"/>
    <w:rsid w:val="002A2284"/>
    <w:rsid w:val="002A268A"/>
    <w:rsid w:val="002A358D"/>
    <w:rsid w:val="002A7FCB"/>
    <w:rsid w:val="002B0AC9"/>
    <w:rsid w:val="002B2A66"/>
    <w:rsid w:val="002B2DCC"/>
    <w:rsid w:val="002B2F59"/>
    <w:rsid w:val="002B3672"/>
    <w:rsid w:val="002B5408"/>
    <w:rsid w:val="002B7772"/>
    <w:rsid w:val="002C0DCD"/>
    <w:rsid w:val="002C17C4"/>
    <w:rsid w:val="002C1C64"/>
    <w:rsid w:val="002C2403"/>
    <w:rsid w:val="002C3732"/>
    <w:rsid w:val="002C636E"/>
    <w:rsid w:val="002C7398"/>
    <w:rsid w:val="002D243C"/>
    <w:rsid w:val="002D2C8C"/>
    <w:rsid w:val="002D6AB3"/>
    <w:rsid w:val="002D6CCF"/>
    <w:rsid w:val="002D6FC7"/>
    <w:rsid w:val="002D7E97"/>
    <w:rsid w:val="002E052C"/>
    <w:rsid w:val="002E06B9"/>
    <w:rsid w:val="002E1B3C"/>
    <w:rsid w:val="002E1C23"/>
    <w:rsid w:val="002E25CF"/>
    <w:rsid w:val="002E510D"/>
    <w:rsid w:val="002E7607"/>
    <w:rsid w:val="002E77A5"/>
    <w:rsid w:val="002F04E6"/>
    <w:rsid w:val="002F1931"/>
    <w:rsid w:val="002F2B57"/>
    <w:rsid w:val="002F3C13"/>
    <w:rsid w:val="002F4870"/>
    <w:rsid w:val="002F5404"/>
    <w:rsid w:val="002F5660"/>
    <w:rsid w:val="002F7483"/>
    <w:rsid w:val="00300BE0"/>
    <w:rsid w:val="003065BB"/>
    <w:rsid w:val="0031254F"/>
    <w:rsid w:val="00312E62"/>
    <w:rsid w:val="00313EB3"/>
    <w:rsid w:val="00313F09"/>
    <w:rsid w:val="00315354"/>
    <w:rsid w:val="0031603A"/>
    <w:rsid w:val="00317A95"/>
    <w:rsid w:val="003220FA"/>
    <w:rsid w:val="00322654"/>
    <w:rsid w:val="003228FE"/>
    <w:rsid w:val="003236E5"/>
    <w:rsid w:val="00323A67"/>
    <w:rsid w:val="00324947"/>
    <w:rsid w:val="0032572D"/>
    <w:rsid w:val="003259A6"/>
    <w:rsid w:val="00325F54"/>
    <w:rsid w:val="003275F6"/>
    <w:rsid w:val="00331D6D"/>
    <w:rsid w:val="00333697"/>
    <w:rsid w:val="0033396F"/>
    <w:rsid w:val="00341EB0"/>
    <w:rsid w:val="0034731A"/>
    <w:rsid w:val="00347BF6"/>
    <w:rsid w:val="00350637"/>
    <w:rsid w:val="003516E0"/>
    <w:rsid w:val="00351831"/>
    <w:rsid w:val="00352C71"/>
    <w:rsid w:val="003541DB"/>
    <w:rsid w:val="00355C55"/>
    <w:rsid w:val="00355DB1"/>
    <w:rsid w:val="003621F7"/>
    <w:rsid w:val="00362B1F"/>
    <w:rsid w:val="003641F1"/>
    <w:rsid w:val="00364D9C"/>
    <w:rsid w:val="00364DDF"/>
    <w:rsid w:val="003654AD"/>
    <w:rsid w:val="003656EC"/>
    <w:rsid w:val="00366DB3"/>
    <w:rsid w:val="003676A0"/>
    <w:rsid w:val="00367F39"/>
    <w:rsid w:val="0037130D"/>
    <w:rsid w:val="00371873"/>
    <w:rsid w:val="003718CC"/>
    <w:rsid w:val="003726F5"/>
    <w:rsid w:val="00373D65"/>
    <w:rsid w:val="0038136E"/>
    <w:rsid w:val="0038194C"/>
    <w:rsid w:val="00381B99"/>
    <w:rsid w:val="0038279F"/>
    <w:rsid w:val="00382BC7"/>
    <w:rsid w:val="00383DD5"/>
    <w:rsid w:val="00383F87"/>
    <w:rsid w:val="00387B58"/>
    <w:rsid w:val="00390B55"/>
    <w:rsid w:val="003914DC"/>
    <w:rsid w:val="00391507"/>
    <w:rsid w:val="00391FE6"/>
    <w:rsid w:val="00392002"/>
    <w:rsid w:val="00392956"/>
    <w:rsid w:val="00393226"/>
    <w:rsid w:val="00393787"/>
    <w:rsid w:val="003950FB"/>
    <w:rsid w:val="00395C04"/>
    <w:rsid w:val="00396075"/>
    <w:rsid w:val="003A428B"/>
    <w:rsid w:val="003A4A7B"/>
    <w:rsid w:val="003A7082"/>
    <w:rsid w:val="003B0CFE"/>
    <w:rsid w:val="003B2B3A"/>
    <w:rsid w:val="003B5723"/>
    <w:rsid w:val="003B5DA3"/>
    <w:rsid w:val="003B6C6B"/>
    <w:rsid w:val="003B7102"/>
    <w:rsid w:val="003C2526"/>
    <w:rsid w:val="003C3CD2"/>
    <w:rsid w:val="003C638E"/>
    <w:rsid w:val="003D01A2"/>
    <w:rsid w:val="003D0C26"/>
    <w:rsid w:val="003D1789"/>
    <w:rsid w:val="003D1DF7"/>
    <w:rsid w:val="003D42A6"/>
    <w:rsid w:val="003D4E05"/>
    <w:rsid w:val="003D744C"/>
    <w:rsid w:val="003E0238"/>
    <w:rsid w:val="003E050C"/>
    <w:rsid w:val="003E1833"/>
    <w:rsid w:val="003E1B0B"/>
    <w:rsid w:val="003E68AE"/>
    <w:rsid w:val="003E6EAB"/>
    <w:rsid w:val="003F127E"/>
    <w:rsid w:val="003F240B"/>
    <w:rsid w:val="003F3412"/>
    <w:rsid w:val="003F5D03"/>
    <w:rsid w:val="00402B91"/>
    <w:rsid w:val="00402DCA"/>
    <w:rsid w:val="00403376"/>
    <w:rsid w:val="0040398F"/>
    <w:rsid w:val="00405F12"/>
    <w:rsid w:val="00411E3D"/>
    <w:rsid w:val="00412AF4"/>
    <w:rsid w:val="0041370B"/>
    <w:rsid w:val="00414540"/>
    <w:rsid w:val="004145FA"/>
    <w:rsid w:val="0041622B"/>
    <w:rsid w:val="00421984"/>
    <w:rsid w:val="004221A8"/>
    <w:rsid w:val="00422BE4"/>
    <w:rsid w:val="00423311"/>
    <w:rsid w:val="004241AA"/>
    <w:rsid w:val="004272BF"/>
    <w:rsid w:val="004272F0"/>
    <w:rsid w:val="004279BB"/>
    <w:rsid w:val="00430DC4"/>
    <w:rsid w:val="0043169E"/>
    <w:rsid w:val="00432D82"/>
    <w:rsid w:val="00434254"/>
    <w:rsid w:val="004345DA"/>
    <w:rsid w:val="004418FA"/>
    <w:rsid w:val="00444A67"/>
    <w:rsid w:val="00451CCC"/>
    <w:rsid w:val="00452C65"/>
    <w:rsid w:val="0045313C"/>
    <w:rsid w:val="00454DF5"/>
    <w:rsid w:val="00455B8C"/>
    <w:rsid w:val="00460489"/>
    <w:rsid w:val="004619C2"/>
    <w:rsid w:val="00467921"/>
    <w:rsid w:val="0047489F"/>
    <w:rsid w:val="004755CF"/>
    <w:rsid w:val="00481283"/>
    <w:rsid w:val="004820E6"/>
    <w:rsid w:val="004871FF"/>
    <w:rsid w:val="00491E76"/>
    <w:rsid w:val="00494C18"/>
    <w:rsid w:val="00496F07"/>
    <w:rsid w:val="00497755"/>
    <w:rsid w:val="00497769"/>
    <w:rsid w:val="004A14F6"/>
    <w:rsid w:val="004A1960"/>
    <w:rsid w:val="004A53E3"/>
    <w:rsid w:val="004A6436"/>
    <w:rsid w:val="004A6ADF"/>
    <w:rsid w:val="004B1919"/>
    <w:rsid w:val="004B3E6C"/>
    <w:rsid w:val="004B418B"/>
    <w:rsid w:val="004B4756"/>
    <w:rsid w:val="004B5132"/>
    <w:rsid w:val="004B79F2"/>
    <w:rsid w:val="004C0896"/>
    <w:rsid w:val="004C3E39"/>
    <w:rsid w:val="004C4BC2"/>
    <w:rsid w:val="004C638C"/>
    <w:rsid w:val="004C696E"/>
    <w:rsid w:val="004C7972"/>
    <w:rsid w:val="004D1138"/>
    <w:rsid w:val="004D14CF"/>
    <w:rsid w:val="004D15AB"/>
    <w:rsid w:val="004D21AD"/>
    <w:rsid w:val="004D24D4"/>
    <w:rsid w:val="004D2B1D"/>
    <w:rsid w:val="004D3526"/>
    <w:rsid w:val="004D3782"/>
    <w:rsid w:val="004D5B06"/>
    <w:rsid w:val="004D5BED"/>
    <w:rsid w:val="004D5C9E"/>
    <w:rsid w:val="004D5E12"/>
    <w:rsid w:val="004D677C"/>
    <w:rsid w:val="004E2096"/>
    <w:rsid w:val="004E41E3"/>
    <w:rsid w:val="004E43BF"/>
    <w:rsid w:val="004E44AF"/>
    <w:rsid w:val="004E4ABD"/>
    <w:rsid w:val="004E5FDF"/>
    <w:rsid w:val="004E6929"/>
    <w:rsid w:val="004E7478"/>
    <w:rsid w:val="004F0715"/>
    <w:rsid w:val="004F209B"/>
    <w:rsid w:val="004F2D47"/>
    <w:rsid w:val="004F353D"/>
    <w:rsid w:val="004F472E"/>
    <w:rsid w:val="004F66A0"/>
    <w:rsid w:val="004F6BCB"/>
    <w:rsid w:val="004F7D35"/>
    <w:rsid w:val="00501D09"/>
    <w:rsid w:val="005029FE"/>
    <w:rsid w:val="0050577D"/>
    <w:rsid w:val="005065D5"/>
    <w:rsid w:val="00506E99"/>
    <w:rsid w:val="00507F13"/>
    <w:rsid w:val="005103B3"/>
    <w:rsid w:val="00513623"/>
    <w:rsid w:val="005168C9"/>
    <w:rsid w:val="005175CD"/>
    <w:rsid w:val="005201D1"/>
    <w:rsid w:val="005204B6"/>
    <w:rsid w:val="00521E4A"/>
    <w:rsid w:val="0052234C"/>
    <w:rsid w:val="00522801"/>
    <w:rsid w:val="005249F6"/>
    <w:rsid w:val="00526573"/>
    <w:rsid w:val="00526C4A"/>
    <w:rsid w:val="005278F7"/>
    <w:rsid w:val="00527C59"/>
    <w:rsid w:val="00531950"/>
    <w:rsid w:val="00531BFA"/>
    <w:rsid w:val="00534B8B"/>
    <w:rsid w:val="00535E7A"/>
    <w:rsid w:val="00536BBD"/>
    <w:rsid w:val="00537C8F"/>
    <w:rsid w:val="00537DE9"/>
    <w:rsid w:val="005404CE"/>
    <w:rsid w:val="00542BE9"/>
    <w:rsid w:val="00545A7D"/>
    <w:rsid w:val="005500E1"/>
    <w:rsid w:val="005503E7"/>
    <w:rsid w:val="00551936"/>
    <w:rsid w:val="00552748"/>
    <w:rsid w:val="00552B5C"/>
    <w:rsid w:val="00552F40"/>
    <w:rsid w:val="0055414D"/>
    <w:rsid w:val="00554E8F"/>
    <w:rsid w:val="0055558D"/>
    <w:rsid w:val="005569DD"/>
    <w:rsid w:val="00560EA3"/>
    <w:rsid w:val="005620A9"/>
    <w:rsid w:val="0056341B"/>
    <w:rsid w:val="00563A0D"/>
    <w:rsid w:val="00566594"/>
    <w:rsid w:val="005705D4"/>
    <w:rsid w:val="00570B4C"/>
    <w:rsid w:val="00575731"/>
    <w:rsid w:val="00575A2D"/>
    <w:rsid w:val="00575E38"/>
    <w:rsid w:val="0057678F"/>
    <w:rsid w:val="0057766C"/>
    <w:rsid w:val="00577718"/>
    <w:rsid w:val="00580699"/>
    <w:rsid w:val="00582664"/>
    <w:rsid w:val="00583664"/>
    <w:rsid w:val="00586882"/>
    <w:rsid w:val="00590216"/>
    <w:rsid w:val="00592661"/>
    <w:rsid w:val="005945F5"/>
    <w:rsid w:val="00594E6F"/>
    <w:rsid w:val="00596EA2"/>
    <w:rsid w:val="00597ACA"/>
    <w:rsid w:val="00597B99"/>
    <w:rsid w:val="00597CA0"/>
    <w:rsid w:val="005A033E"/>
    <w:rsid w:val="005A13EF"/>
    <w:rsid w:val="005A2B9B"/>
    <w:rsid w:val="005A3319"/>
    <w:rsid w:val="005A3B64"/>
    <w:rsid w:val="005A4925"/>
    <w:rsid w:val="005A64A7"/>
    <w:rsid w:val="005A7544"/>
    <w:rsid w:val="005B3432"/>
    <w:rsid w:val="005B3FA4"/>
    <w:rsid w:val="005B49CA"/>
    <w:rsid w:val="005B7478"/>
    <w:rsid w:val="005C0986"/>
    <w:rsid w:val="005C0C3F"/>
    <w:rsid w:val="005C0D22"/>
    <w:rsid w:val="005C32FB"/>
    <w:rsid w:val="005C375C"/>
    <w:rsid w:val="005C69D3"/>
    <w:rsid w:val="005D042C"/>
    <w:rsid w:val="005D1512"/>
    <w:rsid w:val="005D2FF6"/>
    <w:rsid w:val="005D39C9"/>
    <w:rsid w:val="005D3D20"/>
    <w:rsid w:val="005D475C"/>
    <w:rsid w:val="005D5650"/>
    <w:rsid w:val="005E1107"/>
    <w:rsid w:val="005E24F1"/>
    <w:rsid w:val="005E2BBE"/>
    <w:rsid w:val="005E4533"/>
    <w:rsid w:val="005E4EB2"/>
    <w:rsid w:val="005E5CBD"/>
    <w:rsid w:val="005E6189"/>
    <w:rsid w:val="005E63C1"/>
    <w:rsid w:val="005F037B"/>
    <w:rsid w:val="005F084B"/>
    <w:rsid w:val="005F14BA"/>
    <w:rsid w:val="005F1B78"/>
    <w:rsid w:val="005F2083"/>
    <w:rsid w:val="005F2C93"/>
    <w:rsid w:val="005F2D29"/>
    <w:rsid w:val="005F3C11"/>
    <w:rsid w:val="005F4002"/>
    <w:rsid w:val="005F4816"/>
    <w:rsid w:val="005F65FE"/>
    <w:rsid w:val="005F7B51"/>
    <w:rsid w:val="00600342"/>
    <w:rsid w:val="00600640"/>
    <w:rsid w:val="00601ECB"/>
    <w:rsid w:val="006024D3"/>
    <w:rsid w:val="006032EB"/>
    <w:rsid w:val="006045FF"/>
    <w:rsid w:val="00605910"/>
    <w:rsid w:val="00607994"/>
    <w:rsid w:val="00610599"/>
    <w:rsid w:val="0061094F"/>
    <w:rsid w:val="00611A5D"/>
    <w:rsid w:val="00612B79"/>
    <w:rsid w:val="00614648"/>
    <w:rsid w:val="0061640A"/>
    <w:rsid w:val="0061665E"/>
    <w:rsid w:val="00617AFA"/>
    <w:rsid w:val="0062336A"/>
    <w:rsid w:val="006238DB"/>
    <w:rsid w:val="00627E50"/>
    <w:rsid w:val="0063003D"/>
    <w:rsid w:val="00632632"/>
    <w:rsid w:val="00634F80"/>
    <w:rsid w:val="0063711E"/>
    <w:rsid w:val="00637599"/>
    <w:rsid w:val="00640E8E"/>
    <w:rsid w:val="00642370"/>
    <w:rsid w:val="006423B4"/>
    <w:rsid w:val="00642D4A"/>
    <w:rsid w:val="0064411F"/>
    <w:rsid w:val="00644AF8"/>
    <w:rsid w:val="006503AF"/>
    <w:rsid w:val="00650CBF"/>
    <w:rsid w:val="00650FEA"/>
    <w:rsid w:val="00652089"/>
    <w:rsid w:val="00653B26"/>
    <w:rsid w:val="00657E10"/>
    <w:rsid w:val="00660E12"/>
    <w:rsid w:val="00660FA3"/>
    <w:rsid w:val="006644F1"/>
    <w:rsid w:val="006657DA"/>
    <w:rsid w:val="00666370"/>
    <w:rsid w:val="00671564"/>
    <w:rsid w:val="0067167F"/>
    <w:rsid w:val="006716F1"/>
    <w:rsid w:val="00671D8A"/>
    <w:rsid w:val="00672120"/>
    <w:rsid w:val="00672413"/>
    <w:rsid w:val="0067722F"/>
    <w:rsid w:val="00680624"/>
    <w:rsid w:val="00682453"/>
    <w:rsid w:val="00682C15"/>
    <w:rsid w:val="006853F2"/>
    <w:rsid w:val="0068548B"/>
    <w:rsid w:val="00685514"/>
    <w:rsid w:val="006857AD"/>
    <w:rsid w:val="006917C5"/>
    <w:rsid w:val="0069254A"/>
    <w:rsid w:val="00695389"/>
    <w:rsid w:val="00697721"/>
    <w:rsid w:val="006A0C99"/>
    <w:rsid w:val="006A290B"/>
    <w:rsid w:val="006A52D5"/>
    <w:rsid w:val="006A55B0"/>
    <w:rsid w:val="006A6123"/>
    <w:rsid w:val="006B0018"/>
    <w:rsid w:val="006B2A7B"/>
    <w:rsid w:val="006B33F6"/>
    <w:rsid w:val="006B3B18"/>
    <w:rsid w:val="006B500B"/>
    <w:rsid w:val="006B52A5"/>
    <w:rsid w:val="006B6CE0"/>
    <w:rsid w:val="006B6D7B"/>
    <w:rsid w:val="006C075E"/>
    <w:rsid w:val="006C0A30"/>
    <w:rsid w:val="006C0E75"/>
    <w:rsid w:val="006C0ED9"/>
    <w:rsid w:val="006C2015"/>
    <w:rsid w:val="006C3177"/>
    <w:rsid w:val="006C389D"/>
    <w:rsid w:val="006C44A2"/>
    <w:rsid w:val="006C4597"/>
    <w:rsid w:val="006D0914"/>
    <w:rsid w:val="006D0C78"/>
    <w:rsid w:val="006D1A44"/>
    <w:rsid w:val="006D289B"/>
    <w:rsid w:val="006D2E03"/>
    <w:rsid w:val="006D5283"/>
    <w:rsid w:val="006D5CA5"/>
    <w:rsid w:val="006D6BC2"/>
    <w:rsid w:val="006E0A0D"/>
    <w:rsid w:val="006E1B65"/>
    <w:rsid w:val="006E3CD5"/>
    <w:rsid w:val="006F0AEB"/>
    <w:rsid w:val="006F32B2"/>
    <w:rsid w:val="006F3D53"/>
    <w:rsid w:val="006F45C8"/>
    <w:rsid w:val="006F5765"/>
    <w:rsid w:val="006F602F"/>
    <w:rsid w:val="006F66EA"/>
    <w:rsid w:val="006F79B0"/>
    <w:rsid w:val="006F7D5B"/>
    <w:rsid w:val="007007AC"/>
    <w:rsid w:val="007008D4"/>
    <w:rsid w:val="007038E0"/>
    <w:rsid w:val="0070456E"/>
    <w:rsid w:val="00705F0B"/>
    <w:rsid w:val="00711AE7"/>
    <w:rsid w:val="00714DE7"/>
    <w:rsid w:val="0071686B"/>
    <w:rsid w:val="00716E09"/>
    <w:rsid w:val="007205D1"/>
    <w:rsid w:val="00722429"/>
    <w:rsid w:val="00723A6F"/>
    <w:rsid w:val="00726A78"/>
    <w:rsid w:val="00726F55"/>
    <w:rsid w:val="00727263"/>
    <w:rsid w:val="00730E98"/>
    <w:rsid w:val="00731BE8"/>
    <w:rsid w:val="00731FCD"/>
    <w:rsid w:val="00732585"/>
    <w:rsid w:val="00732EC4"/>
    <w:rsid w:val="00732F66"/>
    <w:rsid w:val="00733C47"/>
    <w:rsid w:val="00733EA1"/>
    <w:rsid w:val="00743E41"/>
    <w:rsid w:val="00744F13"/>
    <w:rsid w:val="007458DA"/>
    <w:rsid w:val="007467C2"/>
    <w:rsid w:val="00750811"/>
    <w:rsid w:val="00750E6A"/>
    <w:rsid w:val="00751067"/>
    <w:rsid w:val="00752382"/>
    <w:rsid w:val="0075593F"/>
    <w:rsid w:val="00755D4D"/>
    <w:rsid w:val="0075617B"/>
    <w:rsid w:val="00756F4A"/>
    <w:rsid w:val="007579A3"/>
    <w:rsid w:val="00757B71"/>
    <w:rsid w:val="00757DE5"/>
    <w:rsid w:val="007601DC"/>
    <w:rsid w:val="0076150C"/>
    <w:rsid w:val="007616D1"/>
    <w:rsid w:val="00761F79"/>
    <w:rsid w:val="00762E9B"/>
    <w:rsid w:val="007632FC"/>
    <w:rsid w:val="007633DA"/>
    <w:rsid w:val="00763845"/>
    <w:rsid w:val="007670FB"/>
    <w:rsid w:val="00767E96"/>
    <w:rsid w:val="00773109"/>
    <w:rsid w:val="00773AC2"/>
    <w:rsid w:val="00773C4B"/>
    <w:rsid w:val="00774F47"/>
    <w:rsid w:val="00782201"/>
    <w:rsid w:val="00782984"/>
    <w:rsid w:val="0078328B"/>
    <w:rsid w:val="0078386D"/>
    <w:rsid w:val="00783873"/>
    <w:rsid w:val="007860B0"/>
    <w:rsid w:val="00786F5E"/>
    <w:rsid w:val="00787B10"/>
    <w:rsid w:val="007909AE"/>
    <w:rsid w:val="00791201"/>
    <w:rsid w:val="00792479"/>
    <w:rsid w:val="00792952"/>
    <w:rsid w:val="00793E06"/>
    <w:rsid w:val="007945D2"/>
    <w:rsid w:val="007955E1"/>
    <w:rsid w:val="0079644B"/>
    <w:rsid w:val="00797D60"/>
    <w:rsid w:val="007A2ECB"/>
    <w:rsid w:val="007A47F9"/>
    <w:rsid w:val="007A7DAF"/>
    <w:rsid w:val="007B01B3"/>
    <w:rsid w:val="007B4998"/>
    <w:rsid w:val="007B5159"/>
    <w:rsid w:val="007B632B"/>
    <w:rsid w:val="007B686B"/>
    <w:rsid w:val="007B791F"/>
    <w:rsid w:val="007C0EB0"/>
    <w:rsid w:val="007C682F"/>
    <w:rsid w:val="007D067B"/>
    <w:rsid w:val="007D3385"/>
    <w:rsid w:val="007D3FF2"/>
    <w:rsid w:val="007D4066"/>
    <w:rsid w:val="007D5AB3"/>
    <w:rsid w:val="007D6515"/>
    <w:rsid w:val="007D79AF"/>
    <w:rsid w:val="007D7CA6"/>
    <w:rsid w:val="007E0684"/>
    <w:rsid w:val="007E109B"/>
    <w:rsid w:val="007E55C5"/>
    <w:rsid w:val="007E6B73"/>
    <w:rsid w:val="007E752B"/>
    <w:rsid w:val="007F1040"/>
    <w:rsid w:val="007F22BE"/>
    <w:rsid w:val="007F3CB5"/>
    <w:rsid w:val="007F3E50"/>
    <w:rsid w:val="007F7115"/>
    <w:rsid w:val="00801017"/>
    <w:rsid w:val="00801694"/>
    <w:rsid w:val="008038B7"/>
    <w:rsid w:val="00804035"/>
    <w:rsid w:val="00806BFE"/>
    <w:rsid w:val="00806FD7"/>
    <w:rsid w:val="0081124D"/>
    <w:rsid w:val="00812961"/>
    <w:rsid w:val="008212B4"/>
    <w:rsid w:val="00822931"/>
    <w:rsid w:val="0082748C"/>
    <w:rsid w:val="00827BBF"/>
    <w:rsid w:val="00830C3E"/>
    <w:rsid w:val="00830E39"/>
    <w:rsid w:val="00835A4D"/>
    <w:rsid w:val="00837666"/>
    <w:rsid w:val="00837BF3"/>
    <w:rsid w:val="008438F6"/>
    <w:rsid w:val="00843EF2"/>
    <w:rsid w:val="00845CEC"/>
    <w:rsid w:val="00854A3B"/>
    <w:rsid w:val="00855D67"/>
    <w:rsid w:val="00860B6C"/>
    <w:rsid w:val="00861974"/>
    <w:rsid w:val="00861B71"/>
    <w:rsid w:val="00863B4E"/>
    <w:rsid w:val="008648FF"/>
    <w:rsid w:val="008656E3"/>
    <w:rsid w:val="00866856"/>
    <w:rsid w:val="00866AD9"/>
    <w:rsid w:val="00866E22"/>
    <w:rsid w:val="00871228"/>
    <w:rsid w:val="008749CA"/>
    <w:rsid w:val="00876653"/>
    <w:rsid w:val="00876B34"/>
    <w:rsid w:val="008812BD"/>
    <w:rsid w:val="00884471"/>
    <w:rsid w:val="00884AAB"/>
    <w:rsid w:val="0088555D"/>
    <w:rsid w:val="0088596D"/>
    <w:rsid w:val="00892E1C"/>
    <w:rsid w:val="00895819"/>
    <w:rsid w:val="00896A0C"/>
    <w:rsid w:val="008A0C21"/>
    <w:rsid w:val="008A5AD5"/>
    <w:rsid w:val="008B108D"/>
    <w:rsid w:val="008B1FF5"/>
    <w:rsid w:val="008B2D62"/>
    <w:rsid w:val="008B4423"/>
    <w:rsid w:val="008B4A2C"/>
    <w:rsid w:val="008B6023"/>
    <w:rsid w:val="008B7D24"/>
    <w:rsid w:val="008C0D4A"/>
    <w:rsid w:val="008C2F34"/>
    <w:rsid w:val="008C437F"/>
    <w:rsid w:val="008C4994"/>
    <w:rsid w:val="008C5F51"/>
    <w:rsid w:val="008C5FB3"/>
    <w:rsid w:val="008C7084"/>
    <w:rsid w:val="008D16F9"/>
    <w:rsid w:val="008D1F53"/>
    <w:rsid w:val="008E16A2"/>
    <w:rsid w:val="008F101D"/>
    <w:rsid w:val="008F1145"/>
    <w:rsid w:val="008F548C"/>
    <w:rsid w:val="008F5BE4"/>
    <w:rsid w:val="0090175C"/>
    <w:rsid w:val="00902560"/>
    <w:rsid w:val="00902B95"/>
    <w:rsid w:val="00902BEB"/>
    <w:rsid w:val="009039ED"/>
    <w:rsid w:val="00903BDC"/>
    <w:rsid w:val="00907C08"/>
    <w:rsid w:val="00907C6F"/>
    <w:rsid w:val="00907E94"/>
    <w:rsid w:val="009108F5"/>
    <w:rsid w:val="00910DE5"/>
    <w:rsid w:val="00913535"/>
    <w:rsid w:val="00913973"/>
    <w:rsid w:val="009142A7"/>
    <w:rsid w:val="009167B8"/>
    <w:rsid w:val="00916B95"/>
    <w:rsid w:val="00917447"/>
    <w:rsid w:val="00920705"/>
    <w:rsid w:val="009213DD"/>
    <w:rsid w:val="00921E2D"/>
    <w:rsid w:val="00926CAA"/>
    <w:rsid w:val="00926FB2"/>
    <w:rsid w:val="009277A1"/>
    <w:rsid w:val="0093179C"/>
    <w:rsid w:val="00932433"/>
    <w:rsid w:val="00932BD0"/>
    <w:rsid w:val="00934953"/>
    <w:rsid w:val="00937293"/>
    <w:rsid w:val="0093746C"/>
    <w:rsid w:val="00937DB4"/>
    <w:rsid w:val="00941167"/>
    <w:rsid w:val="00944CF6"/>
    <w:rsid w:val="00945AB9"/>
    <w:rsid w:val="009477C7"/>
    <w:rsid w:val="009505F7"/>
    <w:rsid w:val="00953AA4"/>
    <w:rsid w:val="00953DB9"/>
    <w:rsid w:val="0095585F"/>
    <w:rsid w:val="00955D63"/>
    <w:rsid w:val="009577F0"/>
    <w:rsid w:val="00957F27"/>
    <w:rsid w:val="00960D77"/>
    <w:rsid w:val="00960F4B"/>
    <w:rsid w:val="0096253B"/>
    <w:rsid w:val="009633EC"/>
    <w:rsid w:val="00963BC6"/>
    <w:rsid w:val="00966736"/>
    <w:rsid w:val="00967220"/>
    <w:rsid w:val="00970ED2"/>
    <w:rsid w:val="00971ADF"/>
    <w:rsid w:val="0097458A"/>
    <w:rsid w:val="00974D00"/>
    <w:rsid w:val="0097755A"/>
    <w:rsid w:val="0098014D"/>
    <w:rsid w:val="0098053F"/>
    <w:rsid w:val="00980824"/>
    <w:rsid w:val="00981760"/>
    <w:rsid w:val="0098227C"/>
    <w:rsid w:val="0098355D"/>
    <w:rsid w:val="0098391C"/>
    <w:rsid w:val="00985800"/>
    <w:rsid w:val="00985F8A"/>
    <w:rsid w:val="00990B39"/>
    <w:rsid w:val="0099135B"/>
    <w:rsid w:val="0099301C"/>
    <w:rsid w:val="009935B8"/>
    <w:rsid w:val="00993FC5"/>
    <w:rsid w:val="00995000"/>
    <w:rsid w:val="00995C0E"/>
    <w:rsid w:val="00997897"/>
    <w:rsid w:val="009A05D6"/>
    <w:rsid w:val="009A1BCA"/>
    <w:rsid w:val="009A3997"/>
    <w:rsid w:val="009A4372"/>
    <w:rsid w:val="009A4AFA"/>
    <w:rsid w:val="009A54A1"/>
    <w:rsid w:val="009B0896"/>
    <w:rsid w:val="009B1539"/>
    <w:rsid w:val="009B3B0F"/>
    <w:rsid w:val="009B40DA"/>
    <w:rsid w:val="009B43BA"/>
    <w:rsid w:val="009B4F98"/>
    <w:rsid w:val="009B7230"/>
    <w:rsid w:val="009B796A"/>
    <w:rsid w:val="009C0B48"/>
    <w:rsid w:val="009C1E5C"/>
    <w:rsid w:val="009C201D"/>
    <w:rsid w:val="009C2FCB"/>
    <w:rsid w:val="009C36C7"/>
    <w:rsid w:val="009C48D1"/>
    <w:rsid w:val="009C5EC0"/>
    <w:rsid w:val="009C6256"/>
    <w:rsid w:val="009C6A48"/>
    <w:rsid w:val="009C72B5"/>
    <w:rsid w:val="009C7E4B"/>
    <w:rsid w:val="009D055F"/>
    <w:rsid w:val="009D2D50"/>
    <w:rsid w:val="009D30BD"/>
    <w:rsid w:val="009D5E41"/>
    <w:rsid w:val="009D6A40"/>
    <w:rsid w:val="009D6D6D"/>
    <w:rsid w:val="009D7F97"/>
    <w:rsid w:val="009E07C8"/>
    <w:rsid w:val="009E20B0"/>
    <w:rsid w:val="009E3303"/>
    <w:rsid w:val="009E4BAC"/>
    <w:rsid w:val="009E533A"/>
    <w:rsid w:val="009E73CB"/>
    <w:rsid w:val="009F0952"/>
    <w:rsid w:val="009F269D"/>
    <w:rsid w:val="009F2E6D"/>
    <w:rsid w:val="009F3086"/>
    <w:rsid w:val="009F5603"/>
    <w:rsid w:val="009F6DA7"/>
    <w:rsid w:val="009F6E96"/>
    <w:rsid w:val="00A00624"/>
    <w:rsid w:val="00A01022"/>
    <w:rsid w:val="00A01FF4"/>
    <w:rsid w:val="00A03322"/>
    <w:rsid w:val="00A065D9"/>
    <w:rsid w:val="00A07403"/>
    <w:rsid w:val="00A07BC9"/>
    <w:rsid w:val="00A105D1"/>
    <w:rsid w:val="00A10884"/>
    <w:rsid w:val="00A11C14"/>
    <w:rsid w:val="00A11E41"/>
    <w:rsid w:val="00A12003"/>
    <w:rsid w:val="00A218AC"/>
    <w:rsid w:val="00A21A1B"/>
    <w:rsid w:val="00A247BE"/>
    <w:rsid w:val="00A24C41"/>
    <w:rsid w:val="00A24D27"/>
    <w:rsid w:val="00A27434"/>
    <w:rsid w:val="00A314E9"/>
    <w:rsid w:val="00A3295D"/>
    <w:rsid w:val="00A32EF0"/>
    <w:rsid w:val="00A33592"/>
    <w:rsid w:val="00A36624"/>
    <w:rsid w:val="00A4003F"/>
    <w:rsid w:val="00A45594"/>
    <w:rsid w:val="00A5047A"/>
    <w:rsid w:val="00A5155C"/>
    <w:rsid w:val="00A51A17"/>
    <w:rsid w:val="00A524B4"/>
    <w:rsid w:val="00A527E2"/>
    <w:rsid w:val="00A52B00"/>
    <w:rsid w:val="00A52B33"/>
    <w:rsid w:val="00A52BB2"/>
    <w:rsid w:val="00A53831"/>
    <w:rsid w:val="00A53871"/>
    <w:rsid w:val="00A557C2"/>
    <w:rsid w:val="00A55BCC"/>
    <w:rsid w:val="00A55DBC"/>
    <w:rsid w:val="00A56586"/>
    <w:rsid w:val="00A568D6"/>
    <w:rsid w:val="00A57602"/>
    <w:rsid w:val="00A57F0E"/>
    <w:rsid w:val="00A60DEF"/>
    <w:rsid w:val="00A624EB"/>
    <w:rsid w:val="00A634E8"/>
    <w:rsid w:val="00A63EC7"/>
    <w:rsid w:val="00A640D6"/>
    <w:rsid w:val="00A65236"/>
    <w:rsid w:val="00A668B4"/>
    <w:rsid w:val="00A66D60"/>
    <w:rsid w:val="00A6702E"/>
    <w:rsid w:val="00A758FF"/>
    <w:rsid w:val="00A7648B"/>
    <w:rsid w:val="00A82576"/>
    <w:rsid w:val="00A84D79"/>
    <w:rsid w:val="00A86583"/>
    <w:rsid w:val="00A87754"/>
    <w:rsid w:val="00A87A67"/>
    <w:rsid w:val="00A9016B"/>
    <w:rsid w:val="00A903C3"/>
    <w:rsid w:val="00A90739"/>
    <w:rsid w:val="00A90A55"/>
    <w:rsid w:val="00A90CC6"/>
    <w:rsid w:val="00A93821"/>
    <w:rsid w:val="00A963C8"/>
    <w:rsid w:val="00A964FF"/>
    <w:rsid w:val="00A9763C"/>
    <w:rsid w:val="00A97A10"/>
    <w:rsid w:val="00A97EC9"/>
    <w:rsid w:val="00AA0BF8"/>
    <w:rsid w:val="00AA11BB"/>
    <w:rsid w:val="00AA2BBB"/>
    <w:rsid w:val="00AA4D47"/>
    <w:rsid w:val="00AA4F4F"/>
    <w:rsid w:val="00AA590B"/>
    <w:rsid w:val="00AA7D12"/>
    <w:rsid w:val="00AB36E9"/>
    <w:rsid w:val="00AB5352"/>
    <w:rsid w:val="00AB6177"/>
    <w:rsid w:val="00AB6270"/>
    <w:rsid w:val="00AB7650"/>
    <w:rsid w:val="00AC11E7"/>
    <w:rsid w:val="00AC23BF"/>
    <w:rsid w:val="00AC465C"/>
    <w:rsid w:val="00AC4A32"/>
    <w:rsid w:val="00AC76FE"/>
    <w:rsid w:val="00AD1E62"/>
    <w:rsid w:val="00AD325E"/>
    <w:rsid w:val="00AE11E7"/>
    <w:rsid w:val="00AE60FF"/>
    <w:rsid w:val="00AE79EB"/>
    <w:rsid w:val="00AE7D3D"/>
    <w:rsid w:val="00AF05A8"/>
    <w:rsid w:val="00AF2811"/>
    <w:rsid w:val="00AF320E"/>
    <w:rsid w:val="00AF3757"/>
    <w:rsid w:val="00AF728A"/>
    <w:rsid w:val="00B00D36"/>
    <w:rsid w:val="00B029E9"/>
    <w:rsid w:val="00B03BBB"/>
    <w:rsid w:val="00B05AEF"/>
    <w:rsid w:val="00B07BB2"/>
    <w:rsid w:val="00B1048F"/>
    <w:rsid w:val="00B114EC"/>
    <w:rsid w:val="00B1293A"/>
    <w:rsid w:val="00B12C32"/>
    <w:rsid w:val="00B138FD"/>
    <w:rsid w:val="00B154AF"/>
    <w:rsid w:val="00B15B20"/>
    <w:rsid w:val="00B20DEC"/>
    <w:rsid w:val="00B20E04"/>
    <w:rsid w:val="00B218C6"/>
    <w:rsid w:val="00B24E37"/>
    <w:rsid w:val="00B25668"/>
    <w:rsid w:val="00B260A6"/>
    <w:rsid w:val="00B273B7"/>
    <w:rsid w:val="00B278CD"/>
    <w:rsid w:val="00B301DC"/>
    <w:rsid w:val="00B35E84"/>
    <w:rsid w:val="00B42EE8"/>
    <w:rsid w:val="00B43787"/>
    <w:rsid w:val="00B43C75"/>
    <w:rsid w:val="00B45BB9"/>
    <w:rsid w:val="00B466E3"/>
    <w:rsid w:val="00B47BA0"/>
    <w:rsid w:val="00B50ADD"/>
    <w:rsid w:val="00B522DF"/>
    <w:rsid w:val="00B534D0"/>
    <w:rsid w:val="00B54E7E"/>
    <w:rsid w:val="00B5708D"/>
    <w:rsid w:val="00B570CE"/>
    <w:rsid w:val="00B57B22"/>
    <w:rsid w:val="00B605FD"/>
    <w:rsid w:val="00B60BD6"/>
    <w:rsid w:val="00B62307"/>
    <w:rsid w:val="00B62E6B"/>
    <w:rsid w:val="00B63F32"/>
    <w:rsid w:val="00B65805"/>
    <w:rsid w:val="00B660A6"/>
    <w:rsid w:val="00B7068B"/>
    <w:rsid w:val="00B73995"/>
    <w:rsid w:val="00B774C0"/>
    <w:rsid w:val="00B8047B"/>
    <w:rsid w:val="00B80F32"/>
    <w:rsid w:val="00B83C81"/>
    <w:rsid w:val="00B86B02"/>
    <w:rsid w:val="00B908BD"/>
    <w:rsid w:val="00B90C5D"/>
    <w:rsid w:val="00B9314E"/>
    <w:rsid w:val="00B93567"/>
    <w:rsid w:val="00B9514C"/>
    <w:rsid w:val="00B96AB2"/>
    <w:rsid w:val="00BA1674"/>
    <w:rsid w:val="00BA3A62"/>
    <w:rsid w:val="00BA66A5"/>
    <w:rsid w:val="00BB0E7C"/>
    <w:rsid w:val="00BB0F98"/>
    <w:rsid w:val="00BB27D7"/>
    <w:rsid w:val="00BB3018"/>
    <w:rsid w:val="00BB3940"/>
    <w:rsid w:val="00BB67DE"/>
    <w:rsid w:val="00BB6AEC"/>
    <w:rsid w:val="00BC0237"/>
    <w:rsid w:val="00BC3A37"/>
    <w:rsid w:val="00BC3AA5"/>
    <w:rsid w:val="00BC3AEC"/>
    <w:rsid w:val="00BC5E45"/>
    <w:rsid w:val="00BC65B1"/>
    <w:rsid w:val="00BC6F8C"/>
    <w:rsid w:val="00BC73B7"/>
    <w:rsid w:val="00BC782E"/>
    <w:rsid w:val="00BD0C62"/>
    <w:rsid w:val="00BD0F19"/>
    <w:rsid w:val="00BD24A3"/>
    <w:rsid w:val="00BD47E4"/>
    <w:rsid w:val="00BD4DBA"/>
    <w:rsid w:val="00BD51F1"/>
    <w:rsid w:val="00BD5450"/>
    <w:rsid w:val="00BD6C7D"/>
    <w:rsid w:val="00BD6EF7"/>
    <w:rsid w:val="00BD7C23"/>
    <w:rsid w:val="00BE0958"/>
    <w:rsid w:val="00BE0EDE"/>
    <w:rsid w:val="00BE2C96"/>
    <w:rsid w:val="00BE3103"/>
    <w:rsid w:val="00BE5C16"/>
    <w:rsid w:val="00BF487A"/>
    <w:rsid w:val="00BF5212"/>
    <w:rsid w:val="00BF52A0"/>
    <w:rsid w:val="00BF6EE2"/>
    <w:rsid w:val="00C02E44"/>
    <w:rsid w:val="00C040A7"/>
    <w:rsid w:val="00C04C44"/>
    <w:rsid w:val="00C05105"/>
    <w:rsid w:val="00C057ED"/>
    <w:rsid w:val="00C05F37"/>
    <w:rsid w:val="00C07021"/>
    <w:rsid w:val="00C10228"/>
    <w:rsid w:val="00C1107E"/>
    <w:rsid w:val="00C136D1"/>
    <w:rsid w:val="00C13EDF"/>
    <w:rsid w:val="00C14FAC"/>
    <w:rsid w:val="00C1601A"/>
    <w:rsid w:val="00C176DD"/>
    <w:rsid w:val="00C17C5E"/>
    <w:rsid w:val="00C2038B"/>
    <w:rsid w:val="00C2089C"/>
    <w:rsid w:val="00C219F8"/>
    <w:rsid w:val="00C224F9"/>
    <w:rsid w:val="00C233BE"/>
    <w:rsid w:val="00C24B9C"/>
    <w:rsid w:val="00C26229"/>
    <w:rsid w:val="00C2792E"/>
    <w:rsid w:val="00C27DCE"/>
    <w:rsid w:val="00C30BDD"/>
    <w:rsid w:val="00C34F60"/>
    <w:rsid w:val="00C35180"/>
    <w:rsid w:val="00C41B44"/>
    <w:rsid w:val="00C426E5"/>
    <w:rsid w:val="00C42EC3"/>
    <w:rsid w:val="00C43395"/>
    <w:rsid w:val="00C45635"/>
    <w:rsid w:val="00C519E9"/>
    <w:rsid w:val="00C519FE"/>
    <w:rsid w:val="00C51BEA"/>
    <w:rsid w:val="00C536B8"/>
    <w:rsid w:val="00C53754"/>
    <w:rsid w:val="00C5603D"/>
    <w:rsid w:val="00C63A2C"/>
    <w:rsid w:val="00C64D46"/>
    <w:rsid w:val="00C709A0"/>
    <w:rsid w:val="00C71F08"/>
    <w:rsid w:val="00C73DD7"/>
    <w:rsid w:val="00C74708"/>
    <w:rsid w:val="00C7589C"/>
    <w:rsid w:val="00C75A8B"/>
    <w:rsid w:val="00C762D9"/>
    <w:rsid w:val="00C76DA4"/>
    <w:rsid w:val="00C77469"/>
    <w:rsid w:val="00C832D3"/>
    <w:rsid w:val="00C8357E"/>
    <w:rsid w:val="00C837AA"/>
    <w:rsid w:val="00C857C8"/>
    <w:rsid w:val="00C86524"/>
    <w:rsid w:val="00C91BEA"/>
    <w:rsid w:val="00C92876"/>
    <w:rsid w:val="00C9341A"/>
    <w:rsid w:val="00C94260"/>
    <w:rsid w:val="00C94A72"/>
    <w:rsid w:val="00C96D7C"/>
    <w:rsid w:val="00CA0410"/>
    <w:rsid w:val="00CA0A6C"/>
    <w:rsid w:val="00CA11A6"/>
    <w:rsid w:val="00CA2EC7"/>
    <w:rsid w:val="00CA3128"/>
    <w:rsid w:val="00CA4258"/>
    <w:rsid w:val="00CA4520"/>
    <w:rsid w:val="00CA49CB"/>
    <w:rsid w:val="00CA4D0D"/>
    <w:rsid w:val="00CA554E"/>
    <w:rsid w:val="00CA5BB4"/>
    <w:rsid w:val="00CA684C"/>
    <w:rsid w:val="00CA6BE8"/>
    <w:rsid w:val="00CA744F"/>
    <w:rsid w:val="00CB1141"/>
    <w:rsid w:val="00CB4768"/>
    <w:rsid w:val="00CB5D54"/>
    <w:rsid w:val="00CB63FC"/>
    <w:rsid w:val="00CC177A"/>
    <w:rsid w:val="00CC1840"/>
    <w:rsid w:val="00CC405F"/>
    <w:rsid w:val="00CC5428"/>
    <w:rsid w:val="00CC6072"/>
    <w:rsid w:val="00CC7C29"/>
    <w:rsid w:val="00CD087D"/>
    <w:rsid w:val="00CD095D"/>
    <w:rsid w:val="00CD0DA3"/>
    <w:rsid w:val="00CD1553"/>
    <w:rsid w:val="00CD3BC6"/>
    <w:rsid w:val="00CD3DEE"/>
    <w:rsid w:val="00CD491C"/>
    <w:rsid w:val="00CD57BC"/>
    <w:rsid w:val="00CD5C02"/>
    <w:rsid w:val="00CD61F7"/>
    <w:rsid w:val="00CD6682"/>
    <w:rsid w:val="00CD66D4"/>
    <w:rsid w:val="00CD6815"/>
    <w:rsid w:val="00CE46C4"/>
    <w:rsid w:val="00CE4848"/>
    <w:rsid w:val="00CE5719"/>
    <w:rsid w:val="00CE5AA2"/>
    <w:rsid w:val="00CE5DA4"/>
    <w:rsid w:val="00CE5E6E"/>
    <w:rsid w:val="00CE605A"/>
    <w:rsid w:val="00CE6525"/>
    <w:rsid w:val="00CF2685"/>
    <w:rsid w:val="00CF4D8D"/>
    <w:rsid w:val="00CF551F"/>
    <w:rsid w:val="00CF5B16"/>
    <w:rsid w:val="00D00938"/>
    <w:rsid w:val="00D01EBC"/>
    <w:rsid w:val="00D02EE6"/>
    <w:rsid w:val="00D049F0"/>
    <w:rsid w:val="00D0639F"/>
    <w:rsid w:val="00D06D37"/>
    <w:rsid w:val="00D075D3"/>
    <w:rsid w:val="00D12005"/>
    <w:rsid w:val="00D128C5"/>
    <w:rsid w:val="00D13381"/>
    <w:rsid w:val="00D144F1"/>
    <w:rsid w:val="00D147F4"/>
    <w:rsid w:val="00D15758"/>
    <w:rsid w:val="00D16C9A"/>
    <w:rsid w:val="00D205AB"/>
    <w:rsid w:val="00D209EB"/>
    <w:rsid w:val="00D21C0A"/>
    <w:rsid w:val="00D21C7F"/>
    <w:rsid w:val="00D220D4"/>
    <w:rsid w:val="00D2275F"/>
    <w:rsid w:val="00D25BF7"/>
    <w:rsid w:val="00D26B22"/>
    <w:rsid w:val="00D27918"/>
    <w:rsid w:val="00D279B6"/>
    <w:rsid w:val="00D30F34"/>
    <w:rsid w:val="00D346D8"/>
    <w:rsid w:val="00D34F76"/>
    <w:rsid w:val="00D3668B"/>
    <w:rsid w:val="00D37529"/>
    <w:rsid w:val="00D44558"/>
    <w:rsid w:val="00D47BAB"/>
    <w:rsid w:val="00D505D2"/>
    <w:rsid w:val="00D50F76"/>
    <w:rsid w:val="00D5226D"/>
    <w:rsid w:val="00D53200"/>
    <w:rsid w:val="00D5398A"/>
    <w:rsid w:val="00D542E9"/>
    <w:rsid w:val="00D5644E"/>
    <w:rsid w:val="00D572A2"/>
    <w:rsid w:val="00D57CD5"/>
    <w:rsid w:val="00D6058F"/>
    <w:rsid w:val="00D62734"/>
    <w:rsid w:val="00D634F2"/>
    <w:rsid w:val="00D6553B"/>
    <w:rsid w:val="00D66F9D"/>
    <w:rsid w:val="00D70C2F"/>
    <w:rsid w:val="00D73E70"/>
    <w:rsid w:val="00D741B5"/>
    <w:rsid w:val="00D74DB6"/>
    <w:rsid w:val="00D75DAE"/>
    <w:rsid w:val="00D75EE2"/>
    <w:rsid w:val="00D761F0"/>
    <w:rsid w:val="00D80D70"/>
    <w:rsid w:val="00D8151F"/>
    <w:rsid w:val="00D83FD0"/>
    <w:rsid w:val="00D84F93"/>
    <w:rsid w:val="00D86F23"/>
    <w:rsid w:val="00D87B1D"/>
    <w:rsid w:val="00D90341"/>
    <w:rsid w:val="00D92704"/>
    <w:rsid w:val="00D94E4C"/>
    <w:rsid w:val="00D96373"/>
    <w:rsid w:val="00D97A6F"/>
    <w:rsid w:val="00DA012D"/>
    <w:rsid w:val="00DA02C5"/>
    <w:rsid w:val="00DA13CF"/>
    <w:rsid w:val="00DA2298"/>
    <w:rsid w:val="00DA2F74"/>
    <w:rsid w:val="00DA2FCF"/>
    <w:rsid w:val="00DA3743"/>
    <w:rsid w:val="00DA5414"/>
    <w:rsid w:val="00DA6A96"/>
    <w:rsid w:val="00DB14CA"/>
    <w:rsid w:val="00DB653A"/>
    <w:rsid w:val="00DC0A49"/>
    <w:rsid w:val="00DC1B55"/>
    <w:rsid w:val="00DC1C32"/>
    <w:rsid w:val="00DC4C8F"/>
    <w:rsid w:val="00DC5652"/>
    <w:rsid w:val="00DC56BC"/>
    <w:rsid w:val="00DD1430"/>
    <w:rsid w:val="00DD3752"/>
    <w:rsid w:val="00DD450A"/>
    <w:rsid w:val="00DE22BB"/>
    <w:rsid w:val="00DE547E"/>
    <w:rsid w:val="00DE57DB"/>
    <w:rsid w:val="00DF16BB"/>
    <w:rsid w:val="00DF386A"/>
    <w:rsid w:val="00DF3FFC"/>
    <w:rsid w:val="00DF5587"/>
    <w:rsid w:val="00DF6B46"/>
    <w:rsid w:val="00DF7EE7"/>
    <w:rsid w:val="00E0044C"/>
    <w:rsid w:val="00E00558"/>
    <w:rsid w:val="00E03021"/>
    <w:rsid w:val="00E032FC"/>
    <w:rsid w:val="00E06100"/>
    <w:rsid w:val="00E07674"/>
    <w:rsid w:val="00E11881"/>
    <w:rsid w:val="00E11A65"/>
    <w:rsid w:val="00E12B39"/>
    <w:rsid w:val="00E145AB"/>
    <w:rsid w:val="00E14A82"/>
    <w:rsid w:val="00E14A8D"/>
    <w:rsid w:val="00E14D3D"/>
    <w:rsid w:val="00E154B4"/>
    <w:rsid w:val="00E17CCC"/>
    <w:rsid w:val="00E2042C"/>
    <w:rsid w:val="00E20567"/>
    <w:rsid w:val="00E20E30"/>
    <w:rsid w:val="00E213FF"/>
    <w:rsid w:val="00E22CAB"/>
    <w:rsid w:val="00E23476"/>
    <w:rsid w:val="00E235F0"/>
    <w:rsid w:val="00E26E0A"/>
    <w:rsid w:val="00E315FD"/>
    <w:rsid w:val="00E323AD"/>
    <w:rsid w:val="00E3292B"/>
    <w:rsid w:val="00E32EC2"/>
    <w:rsid w:val="00E32FBC"/>
    <w:rsid w:val="00E3313D"/>
    <w:rsid w:val="00E340C0"/>
    <w:rsid w:val="00E35D1E"/>
    <w:rsid w:val="00E36BF4"/>
    <w:rsid w:val="00E40FE2"/>
    <w:rsid w:val="00E42B7C"/>
    <w:rsid w:val="00E4354B"/>
    <w:rsid w:val="00E43DF8"/>
    <w:rsid w:val="00E458EC"/>
    <w:rsid w:val="00E46AD2"/>
    <w:rsid w:val="00E52320"/>
    <w:rsid w:val="00E53A7A"/>
    <w:rsid w:val="00E53A93"/>
    <w:rsid w:val="00E5424E"/>
    <w:rsid w:val="00E566C9"/>
    <w:rsid w:val="00E57B62"/>
    <w:rsid w:val="00E616A6"/>
    <w:rsid w:val="00E61DE1"/>
    <w:rsid w:val="00E62015"/>
    <w:rsid w:val="00E623E7"/>
    <w:rsid w:val="00E62C53"/>
    <w:rsid w:val="00E63D98"/>
    <w:rsid w:val="00E6630C"/>
    <w:rsid w:val="00E711BE"/>
    <w:rsid w:val="00E74839"/>
    <w:rsid w:val="00E779FE"/>
    <w:rsid w:val="00E81883"/>
    <w:rsid w:val="00E81ECA"/>
    <w:rsid w:val="00E823D4"/>
    <w:rsid w:val="00E83EAE"/>
    <w:rsid w:val="00E86173"/>
    <w:rsid w:val="00E87F50"/>
    <w:rsid w:val="00E90C47"/>
    <w:rsid w:val="00E91D27"/>
    <w:rsid w:val="00E921D3"/>
    <w:rsid w:val="00E92BB9"/>
    <w:rsid w:val="00E94342"/>
    <w:rsid w:val="00E95153"/>
    <w:rsid w:val="00E9628F"/>
    <w:rsid w:val="00E96A30"/>
    <w:rsid w:val="00E97398"/>
    <w:rsid w:val="00E97CB6"/>
    <w:rsid w:val="00E97DBE"/>
    <w:rsid w:val="00EA0729"/>
    <w:rsid w:val="00EA0C1A"/>
    <w:rsid w:val="00EA13B7"/>
    <w:rsid w:val="00EA2804"/>
    <w:rsid w:val="00EA4B7B"/>
    <w:rsid w:val="00EA4F67"/>
    <w:rsid w:val="00EA50DF"/>
    <w:rsid w:val="00EA567D"/>
    <w:rsid w:val="00EB15BA"/>
    <w:rsid w:val="00EB1985"/>
    <w:rsid w:val="00EB2183"/>
    <w:rsid w:val="00EB3451"/>
    <w:rsid w:val="00EB5072"/>
    <w:rsid w:val="00EB7623"/>
    <w:rsid w:val="00EB7F79"/>
    <w:rsid w:val="00EC008E"/>
    <w:rsid w:val="00EC2881"/>
    <w:rsid w:val="00EC3418"/>
    <w:rsid w:val="00EC35A8"/>
    <w:rsid w:val="00EC3FD5"/>
    <w:rsid w:val="00EC5E4B"/>
    <w:rsid w:val="00ED01A8"/>
    <w:rsid w:val="00ED01D1"/>
    <w:rsid w:val="00ED11B1"/>
    <w:rsid w:val="00ED200D"/>
    <w:rsid w:val="00ED3922"/>
    <w:rsid w:val="00ED437D"/>
    <w:rsid w:val="00ED4B85"/>
    <w:rsid w:val="00ED642A"/>
    <w:rsid w:val="00EE1A8B"/>
    <w:rsid w:val="00EE5BA5"/>
    <w:rsid w:val="00EE61EC"/>
    <w:rsid w:val="00EE6A66"/>
    <w:rsid w:val="00EF0BF0"/>
    <w:rsid w:val="00EF1861"/>
    <w:rsid w:val="00EF2373"/>
    <w:rsid w:val="00EF28D6"/>
    <w:rsid w:val="00EF33EC"/>
    <w:rsid w:val="00EF588E"/>
    <w:rsid w:val="00EF6BA8"/>
    <w:rsid w:val="00F019A5"/>
    <w:rsid w:val="00F035E9"/>
    <w:rsid w:val="00F03F5A"/>
    <w:rsid w:val="00F03FAD"/>
    <w:rsid w:val="00F04C49"/>
    <w:rsid w:val="00F05282"/>
    <w:rsid w:val="00F063BA"/>
    <w:rsid w:val="00F125CA"/>
    <w:rsid w:val="00F12C0F"/>
    <w:rsid w:val="00F138C0"/>
    <w:rsid w:val="00F16E29"/>
    <w:rsid w:val="00F21C3C"/>
    <w:rsid w:val="00F22097"/>
    <w:rsid w:val="00F23D3E"/>
    <w:rsid w:val="00F24440"/>
    <w:rsid w:val="00F24997"/>
    <w:rsid w:val="00F25537"/>
    <w:rsid w:val="00F26DB9"/>
    <w:rsid w:val="00F3027A"/>
    <w:rsid w:val="00F306C4"/>
    <w:rsid w:val="00F30EF0"/>
    <w:rsid w:val="00F32CFE"/>
    <w:rsid w:val="00F33D86"/>
    <w:rsid w:val="00F36589"/>
    <w:rsid w:val="00F37238"/>
    <w:rsid w:val="00F372A6"/>
    <w:rsid w:val="00F40DA7"/>
    <w:rsid w:val="00F41B00"/>
    <w:rsid w:val="00F425BD"/>
    <w:rsid w:val="00F442C7"/>
    <w:rsid w:val="00F4481F"/>
    <w:rsid w:val="00F4595B"/>
    <w:rsid w:val="00F473E1"/>
    <w:rsid w:val="00F473FE"/>
    <w:rsid w:val="00F52411"/>
    <w:rsid w:val="00F52D2E"/>
    <w:rsid w:val="00F5334E"/>
    <w:rsid w:val="00F567AA"/>
    <w:rsid w:val="00F60045"/>
    <w:rsid w:val="00F601A6"/>
    <w:rsid w:val="00F62475"/>
    <w:rsid w:val="00F65039"/>
    <w:rsid w:val="00F66A90"/>
    <w:rsid w:val="00F6709A"/>
    <w:rsid w:val="00F6785A"/>
    <w:rsid w:val="00F707D7"/>
    <w:rsid w:val="00F70C5B"/>
    <w:rsid w:val="00F7456A"/>
    <w:rsid w:val="00F7529B"/>
    <w:rsid w:val="00F8047D"/>
    <w:rsid w:val="00F82801"/>
    <w:rsid w:val="00F8385B"/>
    <w:rsid w:val="00F83A68"/>
    <w:rsid w:val="00F8649F"/>
    <w:rsid w:val="00F90346"/>
    <w:rsid w:val="00F940EF"/>
    <w:rsid w:val="00F970CE"/>
    <w:rsid w:val="00FA00A3"/>
    <w:rsid w:val="00FA04FC"/>
    <w:rsid w:val="00FA08AE"/>
    <w:rsid w:val="00FA3991"/>
    <w:rsid w:val="00FA47E7"/>
    <w:rsid w:val="00FA5407"/>
    <w:rsid w:val="00FB0413"/>
    <w:rsid w:val="00FB30B8"/>
    <w:rsid w:val="00FB440C"/>
    <w:rsid w:val="00FB63B1"/>
    <w:rsid w:val="00FC07A9"/>
    <w:rsid w:val="00FC0F94"/>
    <w:rsid w:val="00FC1009"/>
    <w:rsid w:val="00FC2BF5"/>
    <w:rsid w:val="00FC59CD"/>
    <w:rsid w:val="00FC5C12"/>
    <w:rsid w:val="00FD18BC"/>
    <w:rsid w:val="00FD1E26"/>
    <w:rsid w:val="00FD1E96"/>
    <w:rsid w:val="00FD3355"/>
    <w:rsid w:val="00FD4040"/>
    <w:rsid w:val="00FD56D4"/>
    <w:rsid w:val="00FD64B7"/>
    <w:rsid w:val="00FD658B"/>
    <w:rsid w:val="00FE16F2"/>
    <w:rsid w:val="00FE4A8F"/>
    <w:rsid w:val="00FE6031"/>
    <w:rsid w:val="00FE7B94"/>
    <w:rsid w:val="00FE7E7B"/>
    <w:rsid w:val="00FF093D"/>
    <w:rsid w:val="00FF1DAE"/>
    <w:rsid w:val="00FF662F"/>
    <w:rsid w:val="00FF6644"/>
    <w:rsid w:val="00FF6906"/>
    <w:rsid w:val="00FF77B2"/>
    <w:rsid w:val="00FF77FF"/>
    <w:rsid w:val="01270291"/>
    <w:rsid w:val="012C7E7F"/>
    <w:rsid w:val="01347A59"/>
    <w:rsid w:val="013C05B3"/>
    <w:rsid w:val="013E7B7B"/>
    <w:rsid w:val="01401F5A"/>
    <w:rsid w:val="01420A1F"/>
    <w:rsid w:val="014852B3"/>
    <w:rsid w:val="01520CB9"/>
    <w:rsid w:val="016F45ED"/>
    <w:rsid w:val="017B22FA"/>
    <w:rsid w:val="017E110E"/>
    <w:rsid w:val="019C0E8A"/>
    <w:rsid w:val="019F3337"/>
    <w:rsid w:val="01A66AC4"/>
    <w:rsid w:val="01AA253E"/>
    <w:rsid w:val="01AA7D1B"/>
    <w:rsid w:val="01BD17FD"/>
    <w:rsid w:val="01BE5948"/>
    <w:rsid w:val="01CD19D0"/>
    <w:rsid w:val="01D45D8F"/>
    <w:rsid w:val="01E054EB"/>
    <w:rsid w:val="01F01E3C"/>
    <w:rsid w:val="01F176F8"/>
    <w:rsid w:val="02181129"/>
    <w:rsid w:val="021B5665"/>
    <w:rsid w:val="021F7108"/>
    <w:rsid w:val="023B0BC4"/>
    <w:rsid w:val="023E38D3"/>
    <w:rsid w:val="02445A7A"/>
    <w:rsid w:val="024A69D2"/>
    <w:rsid w:val="02511F45"/>
    <w:rsid w:val="027C4C68"/>
    <w:rsid w:val="027C7DDF"/>
    <w:rsid w:val="028B7ABC"/>
    <w:rsid w:val="02903F44"/>
    <w:rsid w:val="029A5C0D"/>
    <w:rsid w:val="02A041DE"/>
    <w:rsid w:val="02A12754"/>
    <w:rsid w:val="02B40E52"/>
    <w:rsid w:val="02F05C02"/>
    <w:rsid w:val="03067406"/>
    <w:rsid w:val="031D58DB"/>
    <w:rsid w:val="0324274D"/>
    <w:rsid w:val="03247659"/>
    <w:rsid w:val="03324842"/>
    <w:rsid w:val="03373831"/>
    <w:rsid w:val="033B65DB"/>
    <w:rsid w:val="03443858"/>
    <w:rsid w:val="03493372"/>
    <w:rsid w:val="03812A19"/>
    <w:rsid w:val="03912F41"/>
    <w:rsid w:val="03962305"/>
    <w:rsid w:val="039C7984"/>
    <w:rsid w:val="03A00938"/>
    <w:rsid w:val="03A6770E"/>
    <w:rsid w:val="03AC38D7"/>
    <w:rsid w:val="03B06E16"/>
    <w:rsid w:val="03C610DE"/>
    <w:rsid w:val="03C9592C"/>
    <w:rsid w:val="03CA647F"/>
    <w:rsid w:val="03EE10F9"/>
    <w:rsid w:val="03EE423A"/>
    <w:rsid w:val="040E0C1E"/>
    <w:rsid w:val="041A1188"/>
    <w:rsid w:val="041C6F4E"/>
    <w:rsid w:val="04582416"/>
    <w:rsid w:val="046311DF"/>
    <w:rsid w:val="04675A50"/>
    <w:rsid w:val="046B4CE1"/>
    <w:rsid w:val="04706FFA"/>
    <w:rsid w:val="04803D3D"/>
    <w:rsid w:val="048421DD"/>
    <w:rsid w:val="049269D7"/>
    <w:rsid w:val="049C1163"/>
    <w:rsid w:val="04A42822"/>
    <w:rsid w:val="04B55E47"/>
    <w:rsid w:val="04B935E1"/>
    <w:rsid w:val="04C17856"/>
    <w:rsid w:val="04CA0382"/>
    <w:rsid w:val="04CB31B8"/>
    <w:rsid w:val="04D53301"/>
    <w:rsid w:val="04DF19B0"/>
    <w:rsid w:val="05062A46"/>
    <w:rsid w:val="050E411D"/>
    <w:rsid w:val="05113259"/>
    <w:rsid w:val="051C4A8C"/>
    <w:rsid w:val="0526139A"/>
    <w:rsid w:val="05414F4B"/>
    <w:rsid w:val="05453FE3"/>
    <w:rsid w:val="05542478"/>
    <w:rsid w:val="05687CD1"/>
    <w:rsid w:val="056C1FDB"/>
    <w:rsid w:val="057731E7"/>
    <w:rsid w:val="05883A0D"/>
    <w:rsid w:val="05A9265A"/>
    <w:rsid w:val="05B672E7"/>
    <w:rsid w:val="05C55C85"/>
    <w:rsid w:val="05DD35B5"/>
    <w:rsid w:val="05DF682E"/>
    <w:rsid w:val="05F57B46"/>
    <w:rsid w:val="05F94DCD"/>
    <w:rsid w:val="05FB0B46"/>
    <w:rsid w:val="061E6785"/>
    <w:rsid w:val="06214BAE"/>
    <w:rsid w:val="062636E8"/>
    <w:rsid w:val="06356A90"/>
    <w:rsid w:val="063D0DAA"/>
    <w:rsid w:val="064A2372"/>
    <w:rsid w:val="06544727"/>
    <w:rsid w:val="06801C3B"/>
    <w:rsid w:val="068F0BD1"/>
    <w:rsid w:val="069063D0"/>
    <w:rsid w:val="06A42F8B"/>
    <w:rsid w:val="06A665F7"/>
    <w:rsid w:val="06B35A61"/>
    <w:rsid w:val="06B93618"/>
    <w:rsid w:val="06C7528D"/>
    <w:rsid w:val="06D83475"/>
    <w:rsid w:val="06D870D9"/>
    <w:rsid w:val="06DB4E74"/>
    <w:rsid w:val="06EA3869"/>
    <w:rsid w:val="06EC62A6"/>
    <w:rsid w:val="06EE4206"/>
    <w:rsid w:val="06F4102C"/>
    <w:rsid w:val="06F832D7"/>
    <w:rsid w:val="06F9328B"/>
    <w:rsid w:val="06FB12A3"/>
    <w:rsid w:val="070E475D"/>
    <w:rsid w:val="0719171A"/>
    <w:rsid w:val="071B2D02"/>
    <w:rsid w:val="07351E35"/>
    <w:rsid w:val="07351E71"/>
    <w:rsid w:val="07414C7E"/>
    <w:rsid w:val="074402CA"/>
    <w:rsid w:val="0758565F"/>
    <w:rsid w:val="076A5CA2"/>
    <w:rsid w:val="076B24BE"/>
    <w:rsid w:val="076D0600"/>
    <w:rsid w:val="07880D22"/>
    <w:rsid w:val="078828AD"/>
    <w:rsid w:val="07950B26"/>
    <w:rsid w:val="079F149F"/>
    <w:rsid w:val="07AB27DD"/>
    <w:rsid w:val="07E20706"/>
    <w:rsid w:val="07E359EA"/>
    <w:rsid w:val="07F9762F"/>
    <w:rsid w:val="07FF741D"/>
    <w:rsid w:val="080B2B96"/>
    <w:rsid w:val="081F7D6F"/>
    <w:rsid w:val="08226E23"/>
    <w:rsid w:val="08241F16"/>
    <w:rsid w:val="082D517A"/>
    <w:rsid w:val="08375A89"/>
    <w:rsid w:val="08386081"/>
    <w:rsid w:val="084073EA"/>
    <w:rsid w:val="084F627F"/>
    <w:rsid w:val="0858402D"/>
    <w:rsid w:val="0865674A"/>
    <w:rsid w:val="086A20D7"/>
    <w:rsid w:val="08844E22"/>
    <w:rsid w:val="089B216C"/>
    <w:rsid w:val="089C6D14"/>
    <w:rsid w:val="08B620FF"/>
    <w:rsid w:val="08B9756E"/>
    <w:rsid w:val="08C33F4C"/>
    <w:rsid w:val="08F45C22"/>
    <w:rsid w:val="090A60B4"/>
    <w:rsid w:val="090C3D2E"/>
    <w:rsid w:val="09410F65"/>
    <w:rsid w:val="094E23E0"/>
    <w:rsid w:val="09510A7C"/>
    <w:rsid w:val="09543BF9"/>
    <w:rsid w:val="09593E41"/>
    <w:rsid w:val="097C11AF"/>
    <w:rsid w:val="09805988"/>
    <w:rsid w:val="099E7CDB"/>
    <w:rsid w:val="09A90B64"/>
    <w:rsid w:val="09DB0518"/>
    <w:rsid w:val="0A1F2EC4"/>
    <w:rsid w:val="0A230019"/>
    <w:rsid w:val="0A337ADA"/>
    <w:rsid w:val="0A5648F4"/>
    <w:rsid w:val="0A671AED"/>
    <w:rsid w:val="0A7531B7"/>
    <w:rsid w:val="0A772AB2"/>
    <w:rsid w:val="0A7D5FCD"/>
    <w:rsid w:val="0A94413A"/>
    <w:rsid w:val="0A994883"/>
    <w:rsid w:val="0AA11BE4"/>
    <w:rsid w:val="0AA12014"/>
    <w:rsid w:val="0AA42A7D"/>
    <w:rsid w:val="0ACE6829"/>
    <w:rsid w:val="0ACF059D"/>
    <w:rsid w:val="0B064214"/>
    <w:rsid w:val="0B0A7E03"/>
    <w:rsid w:val="0B1103B5"/>
    <w:rsid w:val="0B140612"/>
    <w:rsid w:val="0B214086"/>
    <w:rsid w:val="0B352404"/>
    <w:rsid w:val="0B3C5B00"/>
    <w:rsid w:val="0B445AA4"/>
    <w:rsid w:val="0B956BA9"/>
    <w:rsid w:val="0B9B0963"/>
    <w:rsid w:val="0BB858A0"/>
    <w:rsid w:val="0BEB51B8"/>
    <w:rsid w:val="0BFC3EF2"/>
    <w:rsid w:val="0BFD449D"/>
    <w:rsid w:val="0C1011C9"/>
    <w:rsid w:val="0C2205C1"/>
    <w:rsid w:val="0C2F32F7"/>
    <w:rsid w:val="0C343B5C"/>
    <w:rsid w:val="0C3613F4"/>
    <w:rsid w:val="0C4909C3"/>
    <w:rsid w:val="0C523489"/>
    <w:rsid w:val="0C656D19"/>
    <w:rsid w:val="0C684A5B"/>
    <w:rsid w:val="0C760F26"/>
    <w:rsid w:val="0C796C68"/>
    <w:rsid w:val="0C8C0749"/>
    <w:rsid w:val="0C904670"/>
    <w:rsid w:val="0C917B0E"/>
    <w:rsid w:val="0CB70557"/>
    <w:rsid w:val="0CC31C91"/>
    <w:rsid w:val="0CCC4FEA"/>
    <w:rsid w:val="0CE805E9"/>
    <w:rsid w:val="0CF54541"/>
    <w:rsid w:val="0CFC6F24"/>
    <w:rsid w:val="0D1C7472"/>
    <w:rsid w:val="0D26294C"/>
    <w:rsid w:val="0D2B61B4"/>
    <w:rsid w:val="0D307E22"/>
    <w:rsid w:val="0D4E1EA3"/>
    <w:rsid w:val="0D532EB3"/>
    <w:rsid w:val="0D5A25F6"/>
    <w:rsid w:val="0D7E1B07"/>
    <w:rsid w:val="0D7F17B3"/>
    <w:rsid w:val="0D903DD7"/>
    <w:rsid w:val="0D9A50E8"/>
    <w:rsid w:val="0DA87805"/>
    <w:rsid w:val="0DAC1C3A"/>
    <w:rsid w:val="0DB652C8"/>
    <w:rsid w:val="0DEE55A9"/>
    <w:rsid w:val="0DF30981"/>
    <w:rsid w:val="0DF742E8"/>
    <w:rsid w:val="0DFF5585"/>
    <w:rsid w:val="0E1806AD"/>
    <w:rsid w:val="0E1924B1"/>
    <w:rsid w:val="0E1E22A8"/>
    <w:rsid w:val="0E253291"/>
    <w:rsid w:val="0E3B4760"/>
    <w:rsid w:val="0E3C53EA"/>
    <w:rsid w:val="0E440BB0"/>
    <w:rsid w:val="0E4946FF"/>
    <w:rsid w:val="0E516288"/>
    <w:rsid w:val="0E537EEE"/>
    <w:rsid w:val="0E697D8E"/>
    <w:rsid w:val="0E7019A5"/>
    <w:rsid w:val="0E722040"/>
    <w:rsid w:val="0E7664C8"/>
    <w:rsid w:val="0E7B783E"/>
    <w:rsid w:val="0EA12B90"/>
    <w:rsid w:val="0EB94B40"/>
    <w:rsid w:val="0EC465C7"/>
    <w:rsid w:val="0EC53E54"/>
    <w:rsid w:val="0ECF043F"/>
    <w:rsid w:val="0ED04757"/>
    <w:rsid w:val="0ED463D8"/>
    <w:rsid w:val="0EE57B75"/>
    <w:rsid w:val="0EF32BBF"/>
    <w:rsid w:val="0EF535EF"/>
    <w:rsid w:val="0F0F7410"/>
    <w:rsid w:val="0F112C39"/>
    <w:rsid w:val="0F1D1B2D"/>
    <w:rsid w:val="0F251AE4"/>
    <w:rsid w:val="0F28440E"/>
    <w:rsid w:val="0F3F7CF5"/>
    <w:rsid w:val="0F490B74"/>
    <w:rsid w:val="0F565385"/>
    <w:rsid w:val="0F59068B"/>
    <w:rsid w:val="0F624BB2"/>
    <w:rsid w:val="0F64150A"/>
    <w:rsid w:val="0F655282"/>
    <w:rsid w:val="0F74096A"/>
    <w:rsid w:val="0F876F50"/>
    <w:rsid w:val="0F9A053A"/>
    <w:rsid w:val="0F9C5147"/>
    <w:rsid w:val="0F9D4A1B"/>
    <w:rsid w:val="0FB1630C"/>
    <w:rsid w:val="0FDC7094"/>
    <w:rsid w:val="0FE05100"/>
    <w:rsid w:val="0FE13B28"/>
    <w:rsid w:val="0FFA5501"/>
    <w:rsid w:val="103E64A6"/>
    <w:rsid w:val="10480942"/>
    <w:rsid w:val="105F7F23"/>
    <w:rsid w:val="10696E31"/>
    <w:rsid w:val="108804EF"/>
    <w:rsid w:val="10972D39"/>
    <w:rsid w:val="1098145D"/>
    <w:rsid w:val="10A50CDB"/>
    <w:rsid w:val="10AB0833"/>
    <w:rsid w:val="10B244F7"/>
    <w:rsid w:val="10B62239"/>
    <w:rsid w:val="10B97633"/>
    <w:rsid w:val="10BE26CD"/>
    <w:rsid w:val="10C3028B"/>
    <w:rsid w:val="10C5422A"/>
    <w:rsid w:val="10C7607E"/>
    <w:rsid w:val="10D601E5"/>
    <w:rsid w:val="10DE52EC"/>
    <w:rsid w:val="10E125C4"/>
    <w:rsid w:val="10E5376A"/>
    <w:rsid w:val="10EA1EE2"/>
    <w:rsid w:val="10F677E1"/>
    <w:rsid w:val="10F7015B"/>
    <w:rsid w:val="11274EE5"/>
    <w:rsid w:val="11276C93"/>
    <w:rsid w:val="11446D0D"/>
    <w:rsid w:val="114F46CC"/>
    <w:rsid w:val="11671785"/>
    <w:rsid w:val="116C0B49"/>
    <w:rsid w:val="117B2B3A"/>
    <w:rsid w:val="117D2D56"/>
    <w:rsid w:val="117D7D79"/>
    <w:rsid w:val="118B7221"/>
    <w:rsid w:val="1191243D"/>
    <w:rsid w:val="119E1021"/>
    <w:rsid w:val="11A16386"/>
    <w:rsid w:val="11A71B81"/>
    <w:rsid w:val="11AF273B"/>
    <w:rsid w:val="11AF3DD5"/>
    <w:rsid w:val="11B5219D"/>
    <w:rsid w:val="11BE0A9D"/>
    <w:rsid w:val="11CF74D4"/>
    <w:rsid w:val="11DC5CCF"/>
    <w:rsid w:val="11DF69C6"/>
    <w:rsid w:val="11E051E0"/>
    <w:rsid w:val="11FC212B"/>
    <w:rsid w:val="12085257"/>
    <w:rsid w:val="12176D07"/>
    <w:rsid w:val="121B01E4"/>
    <w:rsid w:val="12221020"/>
    <w:rsid w:val="12280F14"/>
    <w:rsid w:val="123478B9"/>
    <w:rsid w:val="12415B32"/>
    <w:rsid w:val="124A5B73"/>
    <w:rsid w:val="126D09CF"/>
    <w:rsid w:val="12734D37"/>
    <w:rsid w:val="128D0D77"/>
    <w:rsid w:val="128D43FF"/>
    <w:rsid w:val="12A12A75"/>
    <w:rsid w:val="12A460C1"/>
    <w:rsid w:val="12B631D5"/>
    <w:rsid w:val="12BE4BCE"/>
    <w:rsid w:val="12C248FA"/>
    <w:rsid w:val="12C50136"/>
    <w:rsid w:val="12CA0FEF"/>
    <w:rsid w:val="12CB18A0"/>
    <w:rsid w:val="12CB3EE4"/>
    <w:rsid w:val="12EB3EFF"/>
    <w:rsid w:val="12EE68D4"/>
    <w:rsid w:val="12F50332"/>
    <w:rsid w:val="12F81350"/>
    <w:rsid w:val="13086650"/>
    <w:rsid w:val="130A686C"/>
    <w:rsid w:val="13151B09"/>
    <w:rsid w:val="13250FB0"/>
    <w:rsid w:val="13392E0A"/>
    <w:rsid w:val="134156EC"/>
    <w:rsid w:val="134C29E0"/>
    <w:rsid w:val="1357254A"/>
    <w:rsid w:val="138E124B"/>
    <w:rsid w:val="1393060F"/>
    <w:rsid w:val="13D80718"/>
    <w:rsid w:val="13EB69DC"/>
    <w:rsid w:val="13ED41C3"/>
    <w:rsid w:val="13F17D85"/>
    <w:rsid w:val="14397409"/>
    <w:rsid w:val="14542BA3"/>
    <w:rsid w:val="145A5893"/>
    <w:rsid w:val="147246C9"/>
    <w:rsid w:val="148A17F6"/>
    <w:rsid w:val="14A6746C"/>
    <w:rsid w:val="14AB30F5"/>
    <w:rsid w:val="14B545B5"/>
    <w:rsid w:val="14B95C8D"/>
    <w:rsid w:val="14C2076E"/>
    <w:rsid w:val="14D42C8D"/>
    <w:rsid w:val="14E6675C"/>
    <w:rsid w:val="14EA645D"/>
    <w:rsid w:val="14EC61AE"/>
    <w:rsid w:val="15064E11"/>
    <w:rsid w:val="150E2D1C"/>
    <w:rsid w:val="1511631C"/>
    <w:rsid w:val="151B08BC"/>
    <w:rsid w:val="151C4B25"/>
    <w:rsid w:val="15224038"/>
    <w:rsid w:val="153E27FD"/>
    <w:rsid w:val="156150BE"/>
    <w:rsid w:val="158540DD"/>
    <w:rsid w:val="15A8535B"/>
    <w:rsid w:val="15B42ABF"/>
    <w:rsid w:val="15D373E9"/>
    <w:rsid w:val="15DC33AD"/>
    <w:rsid w:val="15DF17EF"/>
    <w:rsid w:val="160F623F"/>
    <w:rsid w:val="16127A20"/>
    <w:rsid w:val="16167B49"/>
    <w:rsid w:val="16201F02"/>
    <w:rsid w:val="16636149"/>
    <w:rsid w:val="1666200B"/>
    <w:rsid w:val="16783AEC"/>
    <w:rsid w:val="167E20F6"/>
    <w:rsid w:val="16875DD9"/>
    <w:rsid w:val="168B3820"/>
    <w:rsid w:val="168E50BE"/>
    <w:rsid w:val="16A13043"/>
    <w:rsid w:val="16AA643D"/>
    <w:rsid w:val="16BD5148"/>
    <w:rsid w:val="16CA07EC"/>
    <w:rsid w:val="16ED0036"/>
    <w:rsid w:val="16F83971"/>
    <w:rsid w:val="16FC40FC"/>
    <w:rsid w:val="16FF2D09"/>
    <w:rsid w:val="17011D34"/>
    <w:rsid w:val="17037DD1"/>
    <w:rsid w:val="170A2E5A"/>
    <w:rsid w:val="170C16E1"/>
    <w:rsid w:val="1714661C"/>
    <w:rsid w:val="17233A58"/>
    <w:rsid w:val="172B4A52"/>
    <w:rsid w:val="173B5246"/>
    <w:rsid w:val="173E4D36"/>
    <w:rsid w:val="17524388"/>
    <w:rsid w:val="175617D0"/>
    <w:rsid w:val="17581E80"/>
    <w:rsid w:val="1759391E"/>
    <w:rsid w:val="175E75DA"/>
    <w:rsid w:val="17702983"/>
    <w:rsid w:val="178766DD"/>
    <w:rsid w:val="17AC7EF2"/>
    <w:rsid w:val="17BA1AFE"/>
    <w:rsid w:val="17C6385E"/>
    <w:rsid w:val="17DB2032"/>
    <w:rsid w:val="17DF0E26"/>
    <w:rsid w:val="17E3442C"/>
    <w:rsid w:val="17ED0C24"/>
    <w:rsid w:val="180F222F"/>
    <w:rsid w:val="181066D2"/>
    <w:rsid w:val="181D7745"/>
    <w:rsid w:val="182A3004"/>
    <w:rsid w:val="1830480B"/>
    <w:rsid w:val="18394AFA"/>
    <w:rsid w:val="183C0487"/>
    <w:rsid w:val="18553EFB"/>
    <w:rsid w:val="18613EF0"/>
    <w:rsid w:val="18651453"/>
    <w:rsid w:val="18756535"/>
    <w:rsid w:val="188020D6"/>
    <w:rsid w:val="188A0962"/>
    <w:rsid w:val="188F2DDB"/>
    <w:rsid w:val="18971022"/>
    <w:rsid w:val="189D415A"/>
    <w:rsid w:val="18B51996"/>
    <w:rsid w:val="18C25997"/>
    <w:rsid w:val="18E868F7"/>
    <w:rsid w:val="18ED07C2"/>
    <w:rsid w:val="18EF4FFA"/>
    <w:rsid w:val="18F953B8"/>
    <w:rsid w:val="18FC13B8"/>
    <w:rsid w:val="1901601B"/>
    <w:rsid w:val="19155C59"/>
    <w:rsid w:val="19202945"/>
    <w:rsid w:val="19267830"/>
    <w:rsid w:val="1934019F"/>
    <w:rsid w:val="19345AE7"/>
    <w:rsid w:val="193B6D0C"/>
    <w:rsid w:val="19482BB2"/>
    <w:rsid w:val="195F7E44"/>
    <w:rsid w:val="19836A30"/>
    <w:rsid w:val="198C1246"/>
    <w:rsid w:val="199C6504"/>
    <w:rsid w:val="19AF7825"/>
    <w:rsid w:val="19BF0E94"/>
    <w:rsid w:val="19DB061A"/>
    <w:rsid w:val="19FB2A6A"/>
    <w:rsid w:val="1A005CB4"/>
    <w:rsid w:val="1A07140F"/>
    <w:rsid w:val="1A09162B"/>
    <w:rsid w:val="1A2539ED"/>
    <w:rsid w:val="1A35698F"/>
    <w:rsid w:val="1A3B7F48"/>
    <w:rsid w:val="1A444411"/>
    <w:rsid w:val="1A5123F9"/>
    <w:rsid w:val="1A75552A"/>
    <w:rsid w:val="1A8011C2"/>
    <w:rsid w:val="1A84375B"/>
    <w:rsid w:val="1A862C7C"/>
    <w:rsid w:val="1AB067FB"/>
    <w:rsid w:val="1AB23816"/>
    <w:rsid w:val="1ABA2925"/>
    <w:rsid w:val="1AC217DA"/>
    <w:rsid w:val="1ACB068F"/>
    <w:rsid w:val="1AD25EC1"/>
    <w:rsid w:val="1AD742CF"/>
    <w:rsid w:val="1AD87250"/>
    <w:rsid w:val="1AE72726"/>
    <w:rsid w:val="1AF32C3C"/>
    <w:rsid w:val="1AFA6EBA"/>
    <w:rsid w:val="1B032EBE"/>
    <w:rsid w:val="1B0D0BF0"/>
    <w:rsid w:val="1B1262BE"/>
    <w:rsid w:val="1B15313B"/>
    <w:rsid w:val="1B285AE1"/>
    <w:rsid w:val="1B5027DA"/>
    <w:rsid w:val="1B505038"/>
    <w:rsid w:val="1B506DE6"/>
    <w:rsid w:val="1B5E7755"/>
    <w:rsid w:val="1B69219A"/>
    <w:rsid w:val="1B9C6AE3"/>
    <w:rsid w:val="1BB750B7"/>
    <w:rsid w:val="1BC2741A"/>
    <w:rsid w:val="1BCA6B98"/>
    <w:rsid w:val="1BD76F39"/>
    <w:rsid w:val="1BE42941"/>
    <w:rsid w:val="1BF43C15"/>
    <w:rsid w:val="1BF577E1"/>
    <w:rsid w:val="1BF70D94"/>
    <w:rsid w:val="1C053C2A"/>
    <w:rsid w:val="1C0B5290"/>
    <w:rsid w:val="1C114363"/>
    <w:rsid w:val="1C155A3A"/>
    <w:rsid w:val="1C1C033C"/>
    <w:rsid w:val="1C27436A"/>
    <w:rsid w:val="1C3B6297"/>
    <w:rsid w:val="1C3C0BAF"/>
    <w:rsid w:val="1C401D68"/>
    <w:rsid w:val="1C427076"/>
    <w:rsid w:val="1C470029"/>
    <w:rsid w:val="1C5E7298"/>
    <w:rsid w:val="1C756BCA"/>
    <w:rsid w:val="1C7865F4"/>
    <w:rsid w:val="1C8A13E1"/>
    <w:rsid w:val="1C8C09C9"/>
    <w:rsid w:val="1C9A6ED2"/>
    <w:rsid w:val="1CA007CA"/>
    <w:rsid w:val="1CA05044"/>
    <w:rsid w:val="1CA83551"/>
    <w:rsid w:val="1CBD04AB"/>
    <w:rsid w:val="1CC8703E"/>
    <w:rsid w:val="1CCC278B"/>
    <w:rsid w:val="1CCC6101"/>
    <w:rsid w:val="1CF32995"/>
    <w:rsid w:val="1CF55118"/>
    <w:rsid w:val="1D0165EA"/>
    <w:rsid w:val="1D093342"/>
    <w:rsid w:val="1D1125BF"/>
    <w:rsid w:val="1D1A544D"/>
    <w:rsid w:val="1D253660"/>
    <w:rsid w:val="1D3249F5"/>
    <w:rsid w:val="1D353781"/>
    <w:rsid w:val="1D3E20E2"/>
    <w:rsid w:val="1D596BA9"/>
    <w:rsid w:val="1D702945"/>
    <w:rsid w:val="1D7279F7"/>
    <w:rsid w:val="1D7C3EC2"/>
    <w:rsid w:val="1D8C1E44"/>
    <w:rsid w:val="1D9D423B"/>
    <w:rsid w:val="1DA04055"/>
    <w:rsid w:val="1DB7314C"/>
    <w:rsid w:val="1DBE272D"/>
    <w:rsid w:val="1DCE61F5"/>
    <w:rsid w:val="1DD97567"/>
    <w:rsid w:val="1DDC24AD"/>
    <w:rsid w:val="1DE11B57"/>
    <w:rsid w:val="1DE75A9B"/>
    <w:rsid w:val="1E0B76C7"/>
    <w:rsid w:val="1E1F23E0"/>
    <w:rsid w:val="1E281B21"/>
    <w:rsid w:val="1E2C7FF5"/>
    <w:rsid w:val="1E2D12BD"/>
    <w:rsid w:val="1E541E14"/>
    <w:rsid w:val="1E5938F9"/>
    <w:rsid w:val="1E7637BF"/>
    <w:rsid w:val="1E7E6F96"/>
    <w:rsid w:val="1E933BB9"/>
    <w:rsid w:val="1E94348E"/>
    <w:rsid w:val="1E965477"/>
    <w:rsid w:val="1EB66434"/>
    <w:rsid w:val="1EC47A07"/>
    <w:rsid w:val="1ED57D2E"/>
    <w:rsid w:val="1EDC730E"/>
    <w:rsid w:val="1EE14925"/>
    <w:rsid w:val="1EE95587"/>
    <w:rsid w:val="1EED682C"/>
    <w:rsid w:val="1EFC33E4"/>
    <w:rsid w:val="1F004BB0"/>
    <w:rsid w:val="1F163F8E"/>
    <w:rsid w:val="1F197416"/>
    <w:rsid w:val="1F1D7927"/>
    <w:rsid w:val="1F2111C5"/>
    <w:rsid w:val="1F2667DB"/>
    <w:rsid w:val="1F2C538C"/>
    <w:rsid w:val="1F327B45"/>
    <w:rsid w:val="1F372374"/>
    <w:rsid w:val="1F372797"/>
    <w:rsid w:val="1F3B4DB0"/>
    <w:rsid w:val="1F40649E"/>
    <w:rsid w:val="1F585345"/>
    <w:rsid w:val="1F6A149A"/>
    <w:rsid w:val="1F72056E"/>
    <w:rsid w:val="1F737547"/>
    <w:rsid w:val="1F9C4CF0"/>
    <w:rsid w:val="1F9D75DE"/>
    <w:rsid w:val="1F9E45C4"/>
    <w:rsid w:val="1FAD1B3A"/>
    <w:rsid w:val="1FB846B4"/>
    <w:rsid w:val="1FC009DE"/>
    <w:rsid w:val="1FC506F5"/>
    <w:rsid w:val="1FE50445"/>
    <w:rsid w:val="1FEF4B55"/>
    <w:rsid w:val="1FF97A4C"/>
    <w:rsid w:val="1FFC2F87"/>
    <w:rsid w:val="1FFE35E8"/>
    <w:rsid w:val="20020628"/>
    <w:rsid w:val="20040C01"/>
    <w:rsid w:val="200D4F8B"/>
    <w:rsid w:val="20335387"/>
    <w:rsid w:val="203E3178"/>
    <w:rsid w:val="20596235"/>
    <w:rsid w:val="205D0BD1"/>
    <w:rsid w:val="20766429"/>
    <w:rsid w:val="20822212"/>
    <w:rsid w:val="208512E0"/>
    <w:rsid w:val="208C08C0"/>
    <w:rsid w:val="2096173F"/>
    <w:rsid w:val="20987265"/>
    <w:rsid w:val="209D2ACD"/>
    <w:rsid w:val="20A91472"/>
    <w:rsid w:val="20BD5B68"/>
    <w:rsid w:val="20C0056A"/>
    <w:rsid w:val="20C20A17"/>
    <w:rsid w:val="20C43E9B"/>
    <w:rsid w:val="20CB7698"/>
    <w:rsid w:val="20E87C89"/>
    <w:rsid w:val="20FD531A"/>
    <w:rsid w:val="20FE7FD7"/>
    <w:rsid w:val="211F1734"/>
    <w:rsid w:val="2121573C"/>
    <w:rsid w:val="21283311"/>
    <w:rsid w:val="21315DD7"/>
    <w:rsid w:val="21354AB4"/>
    <w:rsid w:val="214C004F"/>
    <w:rsid w:val="216337D3"/>
    <w:rsid w:val="217F3DAA"/>
    <w:rsid w:val="21AB744A"/>
    <w:rsid w:val="21B14BD7"/>
    <w:rsid w:val="21C65167"/>
    <w:rsid w:val="21CD3C02"/>
    <w:rsid w:val="21D06ED2"/>
    <w:rsid w:val="21D36919"/>
    <w:rsid w:val="21E169EA"/>
    <w:rsid w:val="21E56F74"/>
    <w:rsid w:val="21F16139"/>
    <w:rsid w:val="220F3557"/>
    <w:rsid w:val="220F7584"/>
    <w:rsid w:val="222114DC"/>
    <w:rsid w:val="22227871"/>
    <w:rsid w:val="222356B8"/>
    <w:rsid w:val="222A213F"/>
    <w:rsid w:val="22364E30"/>
    <w:rsid w:val="223905D4"/>
    <w:rsid w:val="22453837"/>
    <w:rsid w:val="22480F47"/>
    <w:rsid w:val="225278E7"/>
    <w:rsid w:val="225304DE"/>
    <w:rsid w:val="22542FC8"/>
    <w:rsid w:val="226063CB"/>
    <w:rsid w:val="22616361"/>
    <w:rsid w:val="22885BF9"/>
    <w:rsid w:val="22B20386"/>
    <w:rsid w:val="22B25DEF"/>
    <w:rsid w:val="22B62882"/>
    <w:rsid w:val="22B660C8"/>
    <w:rsid w:val="22BF31CF"/>
    <w:rsid w:val="22C500B9"/>
    <w:rsid w:val="22CB2EA4"/>
    <w:rsid w:val="22E76DD4"/>
    <w:rsid w:val="22E771D2"/>
    <w:rsid w:val="22E9024C"/>
    <w:rsid w:val="22EA7B20"/>
    <w:rsid w:val="22EF22B6"/>
    <w:rsid w:val="22F62969"/>
    <w:rsid w:val="231F4DAE"/>
    <w:rsid w:val="23290648"/>
    <w:rsid w:val="233314C7"/>
    <w:rsid w:val="234611FA"/>
    <w:rsid w:val="234B3083"/>
    <w:rsid w:val="234D3482"/>
    <w:rsid w:val="235558E1"/>
    <w:rsid w:val="2358036F"/>
    <w:rsid w:val="23750ACD"/>
    <w:rsid w:val="2387457D"/>
    <w:rsid w:val="238849F3"/>
    <w:rsid w:val="23983773"/>
    <w:rsid w:val="23A221A9"/>
    <w:rsid w:val="23A328FC"/>
    <w:rsid w:val="23A97ADB"/>
    <w:rsid w:val="23B0708B"/>
    <w:rsid w:val="23B1211E"/>
    <w:rsid w:val="23B32608"/>
    <w:rsid w:val="23B773B6"/>
    <w:rsid w:val="23BD6FE3"/>
    <w:rsid w:val="23BF6294"/>
    <w:rsid w:val="23C16AD3"/>
    <w:rsid w:val="240304B9"/>
    <w:rsid w:val="240A6030"/>
    <w:rsid w:val="241A412F"/>
    <w:rsid w:val="241A7A6F"/>
    <w:rsid w:val="242552B4"/>
    <w:rsid w:val="242E407C"/>
    <w:rsid w:val="242F099D"/>
    <w:rsid w:val="24303260"/>
    <w:rsid w:val="24480FA2"/>
    <w:rsid w:val="24561911"/>
    <w:rsid w:val="24567F54"/>
    <w:rsid w:val="24601E93"/>
    <w:rsid w:val="246650C5"/>
    <w:rsid w:val="24744B63"/>
    <w:rsid w:val="24B14D99"/>
    <w:rsid w:val="24B36C66"/>
    <w:rsid w:val="24BA4902"/>
    <w:rsid w:val="24BE74B6"/>
    <w:rsid w:val="24C148B0"/>
    <w:rsid w:val="24CF75B1"/>
    <w:rsid w:val="24E9389E"/>
    <w:rsid w:val="25011D10"/>
    <w:rsid w:val="25056858"/>
    <w:rsid w:val="251D0EBE"/>
    <w:rsid w:val="251E1D03"/>
    <w:rsid w:val="25207829"/>
    <w:rsid w:val="25255639"/>
    <w:rsid w:val="25270A3C"/>
    <w:rsid w:val="253415FD"/>
    <w:rsid w:val="25407ECB"/>
    <w:rsid w:val="254E75C1"/>
    <w:rsid w:val="25506685"/>
    <w:rsid w:val="25693F03"/>
    <w:rsid w:val="25733DFD"/>
    <w:rsid w:val="257858B7"/>
    <w:rsid w:val="25853B30"/>
    <w:rsid w:val="2590507A"/>
    <w:rsid w:val="25946D3B"/>
    <w:rsid w:val="25951FC5"/>
    <w:rsid w:val="25956469"/>
    <w:rsid w:val="25983863"/>
    <w:rsid w:val="25A70F59"/>
    <w:rsid w:val="25A91F14"/>
    <w:rsid w:val="25B5538B"/>
    <w:rsid w:val="25CF1B92"/>
    <w:rsid w:val="25D725DE"/>
    <w:rsid w:val="25E95241"/>
    <w:rsid w:val="260B04D9"/>
    <w:rsid w:val="261F21D6"/>
    <w:rsid w:val="26306192"/>
    <w:rsid w:val="2637307C"/>
    <w:rsid w:val="263E08AF"/>
    <w:rsid w:val="26505EEA"/>
    <w:rsid w:val="26550ED5"/>
    <w:rsid w:val="26644B8A"/>
    <w:rsid w:val="26865BDB"/>
    <w:rsid w:val="269D7312"/>
    <w:rsid w:val="26A91698"/>
    <w:rsid w:val="26B32EBF"/>
    <w:rsid w:val="26BE72FA"/>
    <w:rsid w:val="26FD7F17"/>
    <w:rsid w:val="27092043"/>
    <w:rsid w:val="274F0899"/>
    <w:rsid w:val="277068EC"/>
    <w:rsid w:val="27762449"/>
    <w:rsid w:val="27846795"/>
    <w:rsid w:val="2788146A"/>
    <w:rsid w:val="278B7B24"/>
    <w:rsid w:val="27935355"/>
    <w:rsid w:val="27950C48"/>
    <w:rsid w:val="27983FEE"/>
    <w:rsid w:val="279D1605"/>
    <w:rsid w:val="279E49FB"/>
    <w:rsid w:val="27AB7BA7"/>
    <w:rsid w:val="27BA47EF"/>
    <w:rsid w:val="27C04E47"/>
    <w:rsid w:val="27D165CA"/>
    <w:rsid w:val="27D700A2"/>
    <w:rsid w:val="27D8263D"/>
    <w:rsid w:val="27DD4B45"/>
    <w:rsid w:val="27FA5EDB"/>
    <w:rsid w:val="27FA6A57"/>
    <w:rsid w:val="281A0EA7"/>
    <w:rsid w:val="283E1E92"/>
    <w:rsid w:val="28550131"/>
    <w:rsid w:val="285F0119"/>
    <w:rsid w:val="2861618E"/>
    <w:rsid w:val="28662046"/>
    <w:rsid w:val="287405B8"/>
    <w:rsid w:val="287560DE"/>
    <w:rsid w:val="2882633C"/>
    <w:rsid w:val="28850088"/>
    <w:rsid w:val="289A25AC"/>
    <w:rsid w:val="28A57EA9"/>
    <w:rsid w:val="28B1723E"/>
    <w:rsid w:val="28C3509B"/>
    <w:rsid w:val="28DD33BA"/>
    <w:rsid w:val="28F41336"/>
    <w:rsid w:val="28FC05AD"/>
    <w:rsid w:val="2900009D"/>
    <w:rsid w:val="29051210"/>
    <w:rsid w:val="290E3D26"/>
    <w:rsid w:val="29141FA1"/>
    <w:rsid w:val="29154CE5"/>
    <w:rsid w:val="2916007F"/>
    <w:rsid w:val="2919115F"/>
    <w:rsid w:val="29196421"/>
    <w:rsid w:val="29361D11"/>
    <w:rsid w:val="29424212"/>
    <w:rsid w:val="29563BC0"/>
    <w:rsid w:val="29796396"/>
    <w:rsid w:val="297D350C"/>
    <w:rsid w:val="298925E8"/>
    <w:rsid w:val="29AA6751"/>
    <w:rsid w:val="29AB625B"/>
    <w:rsid w:val="29B82726"/>
    <w:rsid w:val="29C306F9"/>
    <w:rsid w:val="29C37794"/>
    <w:rsid w:val="29C54981"/>
    <w:rsid w:val="29E7300B"/>
    <w:rsid w:val="29F64FFC"/>
    <w:rsid w:val="2A0772E0"/>
    <w:rsid w:val="2A1A518F"/>
    <w:rsid w:val="2A2B114A"/>
    <w:rsid w:val="2A473AAA"/>
    <w:rsid w:val="2A524929"/>
    <w:rsid w:val="2A7743A8"/>
    <w:rsid w:val="2A7E1930"/>
    <w:rsid w:val="2A8F792B"/>
    <w:rsid w:val="2AA65B04"/>
    <w:rsid w:val="2AAD2F10"/>
    <w:rsid w:val="2AAE58D7"/>
    <w:rsid w:val="2AB61621"/>
    <w:rsid w:val="2AEF03C9"/>
    <w:rsid w:val="2AF6240B"/>
    <w:rsid w:val="2AF8771F"/>
    <w:rsid w:val="2B111175"/>
    <w:rsid w:val="2B1E0CAF"/>
    <w:rsid w:val="2B2A0CD0"/>
    <w:rsid w:val="2B3653F3"/>
    <w:rsid w:val="2B3C2B7F"/>
    <w:rsid w:val="2B3F7DC2"/>
    <w:rsid w:val="2B424A89"/>
    <w:rsid w:val="2B4B2228"/>
    <w:rsid w:val="2B4B45A4"/>
    <w:rsid w:val="2B604E23"/>
    <w:rsid w:val="2B69017C"/>
    <w:rsid w:val="2B6F150A"/>
    <w:rsid w:val="2B794E0A"/>
    <w:rsid w:val="2B7D3C27"/>
    <w:rsid w:val="2B814737"/>
    <w:rsid w:val="2B95320E"/>
    <w:rsid w:val="2B9B099A"/>
    <w:rsid w:val="2BAD494A"/>
    <w:rsid w:val="2BBC475B"/>
    <w:rsid w:val="2BC069FA"/>
    <w:rsid w:val="2BC5112A"/>
    <w:rsid w:val="2BC71B09"/>
    <w:rsid w:val="2BCC4267"/>
    <w:rsid w:val="2BDD3B36"/>
    <w:rsid w:val="2BF26CE6"/>
    <w:rsid w:val="2C183950"/>
    <w:rsid w:val="2C351E0C"/>
    <w:rsid w:val="2C414C55"/>
    <w:rsid w:val="2C424529"/>
    <w:rsid w:val="2C496694"/>
    <w:rsid w:val="2C5F6B4F"/>
    <w:rsid w:val="2C7211F2"/>
    <w:rsid w:val="2C7F0500"/>
    <w:rsid w:val="2C917C2E"/>
    <w:rsid w:val="2C9D26B1"/>
    <w:rsid w:val="2C9F5F9B"/>
    <w:rsid w:val="2CA10A98"/>
    <w:rsid w:val="2CA74748"/>
    <w:rsid w:val="2CB113FC"/>
    <w:rsid w:val="2CBF13C2"/>
    <w:rsid w:val="2CE1798B"/>
    <w:rsid w:val="2CE22E31"/>
    <w:rsid w:val="2CE455E0"/>
    <w:rsid w:val="2CE83322"/>
    <w:rsid w:val="2CE8601B"/>
    <w:rsid w:val="2D00293B"/>
    <w:rsid w:val="2D053ED4"/>
    <w:rsid w:val="2D0B4074"/>
    <w:rsid w:val="2D2A3CBF"/>
    <w:rsid w:val="2D336C5C"/>
    <w:rsid w:val="2D3934C2"/>
    <w:rsid w:val="2D456D54"/>
    <w:rsid w:val="2D5311D9"/>
    <w:rsid w:val="2D545866"/>
    <w:rsid w:val="2D595FCE"/>
    <w:rsid w:val="2D5A40B9"/>
    <w:rsid w:val="2D5B7F98"/>
    <w:rsid w:val="2D7711A5"/>
    <w:rsid w:val="2D8F19F0"/>
    <w:rsid w:val="2DA14BFC"/>
    <w:rsid w:val="2DA82AB1"/>
    <w:rsid w:val="2DB82B33"/>
    <w:rsid w:val="2DF937A1"/>
    <w:rsid w:val="2DFA397D"/>
    <w:rsid w:val="2E057F04"/>
    <w:rsid w:val="2E0E6DB8"/>
    <w:rsid w:val="2E113C98"/>
    <w:rsid w:val="2E1D4D7D"/>
    <w:rsid w:val="2E215DBB"/>
    <w:rsid w:val="2E2A2A90"/>
    <w:rsid w:val="2E391A29"/>
    <w:rsid w:val="2E3D3ACB"/>
    <w:rsid w:val="2E40666F"/>
    <w:rsid w:val="2E482CA3"/>
    <w:rsid w:val="2E4C3C7E"/>
    <w:rsid w:val="2E50009E"/>
    <w:rsid w:val="2E505623"/>
    <w:rsid w:val="2E6049A6"/>
    <w:rsid w:val="2E631FA5"/>
    <w:rsid w:val="2E801657"/>
    <w:rsid w:val="2E853CC3"/>
    <w:rsid w:val="2E9C43C4"/>
    <w:rsid w:val="2E9E448B"/>
    <w:rsid w:val="2E9F4100"/>
    <w:rsid w:val="2E9F5C62"/>
    <w:rsid w:val="2EA36D10"/>
    <w:rsid w:val="2EB021A6"/>
    <w:rsid w:val="2ECB6A58"/>
    <w:rsid w:val="2EDA3573"/>
    <w:rsid w:val="2EDA6E46"/>
    <w:rsid w:val="2EE25E79"/>
    <w:rsid w:val="2F0071B2"/>
    <w:rsid w:val="2F0B154A"/>
    <w:rsid w:val="2F0D48DD"/>
    <w:rsid w:val="2F363C1D"/>
    <w:rsid w:val="2F367505"/>
    <w:rsid w:val="2F57478F"/>
    <w:rsid w:val="2F682F4F"/>
    <w:rsid w:val="2F7519B9"/>
    <w:rsid w:val="2F814A7D"/>
    <w:rsid w:val="2F827489"/>
    <w:rsid w:val="2F8337D6"/>
    <w:rsid w:val="2F880F7B"/>
    <w:rsid w:val="2F967065"/>
    <w:rsid w:val="2F9F66F6"/>
    <w:rsid w:val="2FA50B8F"/>
    <w:rsid w:val="2FB90558"/>
    <w:rsid w:val="2FBF4562"/>
    <w:rsid w:val="2FDE6C5E"/>
    <w:rsid w:val="2FE51CD9"/>
    <w:rsid w:val="2FEC4ED7"/>
    <w:rsid w:val="2FF124EE"/>
    <w:rsid w:val="30006650"/>
    <w:rsid w:val="300E7B64"/>
    <w:rsid w:val="303711E4"/>
    <w:rsid w:val="30393E95"/>
    <w:rsid w:val="304B1245"/>
    <w:rsid w:val="30534DD6"/>
    <w:rsid w:val="305D5DD5"/>
    <w:rsid w:val="3078676B"/>
    <w:rsid w:val="30797A5F"/>
    <w:rsid w:val="30995D5C"/>
    <w:rsid w:val="30CE282F"/>
    <w:rsid w:val="30D03A5B"/>
    <w:rsid w:val="30D27D39"/>
    <w:rsid w:val="30E02BA5"/>
    <w:rsid w:val="30E97669"/>
    <w:rsid w:val="30F73365"/>
    <w:rsid w:val="30FF39C7"/>
    <w:rsid w:val="3106021B"/>
    <w:rsid w:val="310622FB"/>
    <w:rsid w:val="312B01A8"/>
    <w:rsid w:val="313B6D7A"/>
    <w:rsid w:val="315471D8"/>
    <w:rsid w:val="31594303"/>
    <w:rsid w:val="316F4012"/>
    <w:rsid w:val="31725F19"/>
    <w:rsid w:val="317561B2"/>
    <w:rsid w:val="31772EC7"/>
    <w:rsid w:val="319C050B"/>
    <w:rsid w:val="319D5068"/>
    <w:rsid w:val="31A57A34"/>
    <w:rsid w:val="31A737AC"/>
    <w:rsid w:val="31AA6DF8"/>
    <w:rsid w:val="31B022EE"/>
    <w:rsid w:val="31B71515"/>
    <w:rsid w:val="31BF4D3B"/>
    <w:rsid w:val="31D10829"/>
    <w:rsid w:val="31D976DD"/>
    <w:rsid w:val="31F673A4"/>
    <w:rsid w:val="32011F47"/>
    <w:rsid w:val="32087FC3"/>
    <w:rsid w:val="320927FD"/>
    <w:rsid w:val="32116E77"/>
    <w:rsid w:val="32140715"/>
    <w:rsid w:val="321C75CA"/>
    <w:rsid w:val="321C7E37"/>
    <w:rsid w:val="32243AE5"/>
    <w:rsid w:val="322C5A5F"/>
    <w:rsid w:val="322E55E0"/>
    <w:rsid w:val="323369BF"/>
    <w:rsid w:val="323572CB"/>
    <w:rsid w:val="324234D5"/>
    <w:rsid w:val="3244324C"/>
    <w:rsid w:val="324D52CC"/>
    <w:rsid w:val="32734F40"/>
    <w:rsid w:val="32736990"/>
    <w:rsid w:val="32870EE7"/>
    <w:rsid w:val="32957AA8"/>
    <w:rsid w:val="32A30B65"/>
    <w:rsid w:val="32D3412D"/>
    <w:rsid w:val="331936E3"/>
    <w:rsid w:val="33226E62"/>
    <w:rsid w:val="334C1ACD"/>
    <w:rsid w:val="33525999"/>
    <w:rsid w:val="33666F8D"/>
    <w:rsid w:val="336928C3"/>
    <w:rsid w:val="336F139E"/>
    <w:rsid w:val="337A3446"/>
    <w:rsid w:val="337D02CD"/>
    <w:rsid w:val="3380750C"/>
    <w:rsid w:val="33833DA5"/>
    <w:rsid w:val="338C0DA0"/>
    <w:rsid w:val="339023A7"/>
    <w:rsid w:val="33AD4398"/>
    <w:rsid w:val="33C1667B"/>
    <w:rsid w:val="33CF378D"/>
    <w:rsid w:val="33DE28D7"/>
    <w:rsid w:val="33E01519"/>
    <w:rsid w:val="33E810BC"/>
    <w:rsid w:val="33EF31E8"/>
    <w:rsid w:val="33F66251"/>
    <w:rsid w:val="33F81754"/>
    <w:rsid w:val="3405505F"/>
    <w:rsid w:val="34057289"/>
    <w:rsid w:val="34062C68"/>
    <w:rsid w:val="340919EE"/>
    <w:rsid w:val="34180991"/>
    <w:rsid w:val="34225855"/>
    <w:rsid w:val="342434AF"/>
    <w:rsid w:val="3431514E"/>
    <w:rsid w:val="343D21A6"/>
    <w:rsid w:val="344924A8"/>
    <w:rsid w:val="345E0617"/>
    <w:rsid w:val="34621C0C"/>
    <w:rsid w:val="34632C77"/>
    <w:rsid w:val="346516FC"/>
    <w:rsid w:val="346D235F"/>
    <w:rsid w:val="347C06A8"/>
    <w:rsid w:val="34876332"/>
    <w:rsid w:val="3488736B"/>
    <w:rsid w:val="348D0116"/>
    <w:rsid w:val="34A13FF1"/>
    <w:rsid w:val="34A3456F"/>
    <w:rsid w:val="34B1049E"/>
    <w:rsid w:val="34C208FD"/>
    <w:rsid w:val="34CA5E2B"/>
    <w:rsid w:val="34CC3529"/>
    <w:rsid w:val="34F32864"/>
    <w:rsid w:val="34F67E8C"/>
    <w:rsid w:val="3500373B"/>
    <w:rsid w:val="3502519D"/>
    <w:rsid w:val="3502737E"/>
    <w:rsid w:val="3503153F"/>
    <w:rsid w:val="350C6869"/>
    <w:rsid w:val="351C257C"/>
    <w:rsid w:val="351F44E1"/>
    <w:rsid w:val="352F68B8"/>
    <w:rsid w:val="353C420B"/>
    <w:rsid w:val="35462C40"/>
    <w:rsid w:val="35527ED3"/>
    <w:rsid w:val="356815AA"/>
    <w:rsid w:val="35876CA4"/>
    <w:rsid w:val="359F531A"/>
    <w:rsid w:val="35A05729"/>
    <w:rsid w:val="35AD6EB7"/>
    <w:rsid w:val="35B46497"/>
    <w:rsid w:val="35CD1307"/>
    <w:rsid w:val="35DA288A"/>
    <w:rsid w:val="361832DD"/>
    <w:rsid w:val="362167DA"/>
    <w:rsid w:val="36237179"/>
    <w:rsid w:val="36373114"/>
    <w:rsid w:val="364D069A"/>
    <w:rsid w:val="3663634A"/>
    <w:rsid w:val="36637EBD"/>
    <w:rsid w:val="366A7C96"/>
    <w:rsid w:val="36847551"/>
    <w:rsid w:val="36923772"/>
    <w:rsid w:val="36976112"/>
    <w:rsid w:val="369C5587"/>
    <w:rsid w:val="36A93F43"/>
    <w:rsid w:val="36AA2905"/>
    <w:rsid w:val="36C95B2B"/>
    <w:rsid w:val="36CB27E7"/>
    <w:rsid w:val="36CC0758"/>
    <w:rsid w:val="36D47FF6"/>
    <w:rsid w:val="36DE0B03"/>
    <w:rsid w:val="36E3473C"/>
    <w:rsid w:val="36FD39E3"/>
    <w:rsid w:val="370451FC"/>
    <w:rsid w:val="370A4EF5"/>
    <w:rsid w:val="370E1BD7"/>
    <w:rsid w:val="372E4027"/>
    <w:rsid w:val="37307DA0"/>
    <w:rsid w:val="37346348"/>
    <w:rsid w:val="37414358"/>
    <w:rsid w:val="374455F9"/>
    <w:rsid w:val="37585DB4"/>
    <w:rsid w:val="37592EA7"/>
    <w:rsid w:val="378B76CC"/>
    <w:rsid w:val="379C1660"/>
    <w:rsid w:val="37B96A33"/>
    <w:rsid w:val="37C4673A"/>
    <w:rsid w:val="37CD7E43"/>
    <w:rsid w:val="37CF521C"/>
    <w:rsid w:val="37D5396E"/>
    <w:rsid w:val="37E56DDC"/>
    <w:rsid w:val="37EC7FB6"/>
    <w:rsid w:val="37F17146"/>
    <w:rsid w:val="37FB02A2"/>
    <w:rsid w:val="37FC4126"/>
    <w:rsid w:val="38044D88"/>
    <w:rsid w:val="380B4643"/>
    <w:rsid w:val="380F2F2E"/>
    <w:rsid w:val="381131B9"/>
    <w:rsid w:val="381B27FE"/>
    <w:rsid w:val="381E6620"/>
    <w:rsid w:val="383438BF"/>
    <w:rsid w:val="3835025C"/>
    <w:rsid w:val="38477421"/>
    <w:rsid w:val="38580B8A"/>
    <w:rsid w:val="38623B7F"/>
    <w:rsid w:val="38A13E4D"/>
    <w:rsid w:val="38AA02BC"/>
    <w:rsid w:val="38AA7345"/>
    <w:rsid w:val="38C2711D"/>
    <w:rsid w:val="38C735B6"/>
    <w:rsid w:val="38DC0F66"/>
    <w:rsid w:val="38E5058D"/>
    <w:rsid w:val="38EB36F5"/>
    <w:rsid w:val="38F02968"/>
    <w:rsid w:val="38FB43DD"/>
    <w:rsid w:val="390C795A"/>
    <w:rsid w:val="39102A1F"/>
    <w:rsid w:val="3911775D"/>
    <w:rsid w:val="391420A7"/>
    <w:rsid w:val="39191552"/>
    <w:rsid w:val="392242F8"/>
    <w:rsid w:val="39234CF4"/>
    <w:rsid w:val="39266E53"/>
    <w:rsid w:val="393E7C20"/>
    <w:rsid w:val="394515AA"/>
    <w:rsid w:val="394C6E08"/>
    <w:rsid w:val="395334FD"/>
    <w:rsid w:val="395D29A2"/>
    <w:rsid w:val="39681ABA"/>
    <w:rsid w:val="39706578"/>
    <w:rsid w:val="397A3554"/>
    <w:rsid w:val="3982065B"/>
    <w:rsid w:val="399B3C0A"/>
    <w:rsid w:val="39A44A75"/>
    <w:rsid w:val="39B140E0"/>
    <w:rsid w:val="39B9616E"/>
    <w:rsid w:val="39C87961"/>
    <w:rsid w:val="39D055DB"/>
    <w:rsid w:val="39EE7A9E"/>
    <w:rsid w:val="39F350B4"/>
    <w:rsid w:val="39F42BEC"/>
    <w:rsid w:val="3A0D43C8"/>
    <w:rsid w:val="3A1728F3"/>
    <w:rsid w:val="3A1F40FB"/>
    <w:rsid w:val="3A231E3E"/>
    <w:rsid w:val="3A266C45"/>
    <w:rsid w:val="3A3E5433"/>
    <w:rsid w:val="3A43603C"/>
    <w:rsid w:val="3A5A39C2"/>
    <w:rsid w:val="3A625DC5"/>
    <w:rsid w:val="3A6B4C0B"/>
    <w:rsid w:val="3A6C1D80"/>
    <w:rsid w:val="3A6D58F6"/>
    <w:rsid w:val="3A7A7584"/>
    <w:rsid w:val="3A836438"/>
    <w:rsid w:val="3AA13A04"/>
    <w:rsid w:val="3AAD14C4"/>
    <w:rsid w:val="3AAF722D"/>
    <w:rsid w:val="3AB4430D"/>
    <w:rsid w:val="3AB94550"/>
    <w:rsid w:val="3ABC7B9C"/>
    <w:rsid w:val="3AD37E13"/>
    <w:rsid w:val="3AD76784"/>
    <w:rsid w:val="3AE570F3"/>
    <w:rsid w:val="3AE63FA0"/>
    <w:rsid w:val="3AE67AB1"/>
    <w:rsid w:val="3AF81008"/>
    <w:rsid w:val="3B0B695B"/>
    <w:rsid w:val="3B163750"/>
    <w:rsid w:val="3B2103E6"/>
    <w:rsid w:val="3B2A0FAA"/>
    <w:rsid w:val="3B320E64"/>
    <w:rsid w:val="3B3653D5"/>
    <w:rsid w:val="3B4C09D6"/>
    <w:rsid w:val="3B5534B7"/>
    <w:rsid w:val="3B70443D"/>
    <w:rsid w:val="3B7437F8"/>
    <w:rsid w:val="3B8C75C1"/>
    <w:rsid w:val="3B8D6DBF"/>
    <w:rsid w:val="3B8E4CC3"/>
    <w:rsid w:val="3B9114CB"/>
    <w:rsid w:val="3B97594A"/>
    <w:rsid w:val="3B9C5265"/>
    <w:rsid w:val="3B9D52DD"/>
    <w:rsid w:val="3BA90120"/>
    <w:rsid w:val="3BAD2219"/>
    <w:rsid w:val="3BAD71B4"/>
    <w:rsid w:val="3BB05953"/>
    <w:rsid w:val="3BB33BFE"/>
    <w:rsid w:val="3BB64B93"/>
    <w:rsid w:val="3BD408E0"/>
    <w:rsid w:val="3BF55114"/>
    <w:rsid w:val="3C08347D"/>
    <w:rsid w:val="3C0E6071"/>
    <w:rsid w:val="3C16512B"/>
    <w:rsid w:val="3C1852A6"/>
    <w:rsid w:val="3C196E25"/>
    <w:rsid w:val="3C215F09"/>
    <w:rsid w:val="3C217BE0"/>
    <w:rsid w:val="3C35707E"/>
    <w:rsid w:val="3C4C4E41"/>
    <w:rsid w:val="3C6A5B02"/>
    <w:rsid w:val="3C7A5E7F"/>
    <w:rsid w:val="3C812004"/>
    <w:rsid w:val="3C9E25F4"/>
    <w:rsid w:val="3CB60D47"/>
    <w:rsid w:val="3CC42B41"/>
    <w:rsid w:val="3CC613F9"/>
    <w:rsid w:val="3CC67A15"/>
    <w:rsid w:val="3CD00B52"/>
    <w:rsid w:val="3CD038CA"/>
    <w:rsid w:val="3CD76BE8"/>
    <w:rsid w:val="3CEF3B27"/>
    <w:rsid w:val="3CFE5A50"/>
    <w:rsid w:val="3D0D5DF0"/>
    <w:rsid w:val="3D121CF5"/>
    <w:rsid w:val="3D1552AE"/>
    <w:rsid w:val="3D1C0BEC"/>
    <w:rsid w:val="3D1C196B"/>
    <w:rsid w:val="3D2D0F07"/>
    <w:rsid w:val="3D2D73A5"/>
    <w:rsid w:val="3D2F4655"/>
    <w:rsid w:val="3D3141FE"/>
    <w:rsid w:val="3D4B7CB6"/>
    <w:rsid w:val="3D515C28"/>
    <w:rsid w:val="3D702C5A"/>
    <w:rsid w:val="3D7A3A5C"/>
    <w:rsid w:val="3D860681"/>
    <w:rsid w:val="3D8C2CE1"/>
    <w:rsid w:val="3D8C7CFA"/>
    <w:rsid w:val="3D906C6E"/>
    <w:rsid w:val="3D9372DA"/>
    <w:rsid w:val="3D952A65"/>
    <w:rsid w:val="3D9904B2"/>
    <w:rsid w:val="3DA2751D"/>
    <w:rsid w:val="3DA60DBB"/>
    <w:rsid w:val="3DAD4297"/>
    <w:rsid w:val="3DAD49C8"/>
    <w:rsid w:val="3DCC78AA"/>
    <w:rsid w:val="3DD96E06"/>
    <w:rsid w:val="3DF50AA2"/>
    <w:rsid w:val="3DF97442"/>
    <w:rsid w:val="3E06242C"/>
    <w:rsid w:val="3E092FED"/>
    <w:rsid w:val="3E10092B"/>
    <w:rsid w:val="3E1028A6"/>
    <w:rsid w:val="3E2E3221"/>
    <w:rsid w:val="3E40477C"/>
    <w:rsid w:val="3E522CF1"/>
    <w:rsid w:val="3E536C91"/>
    <w:rsid w:val="3E6B295D"/>
    <w:rsid w:val="3E8E35FE"/>
    <w:rsid w:val="3E926165"/>
    <w:rsid w:val="3E9926CE"/>
    <w:rsid w:val="3E9E44E8"/>
    <w:rsid w:val="3EA70758"/>
    <w:rsid w:val="3EAC72F1"/>
    <w:rsid w:val="3EBD5A16"/>
    <w:rsid w:val="3EC704BC"/>
    <w:rsid w:val="3EC934FF"/>
    <w:rsid w:val="3EE81B00"/>
    <w:rsid w:val="3EEF0540"/>
    <w:rsid w:val="3EF449FF"/>
    <w:rsid w:val="3F09292A"/>
    <w:rsid w:val="3F10582C"/>
    <w:rsid w:val="3F1B0BC9"/>
    <w:rsid w:val="3F2A6D46"/>
    <w:rsid w:val="3F2D1069"/>
    <w:rsid w:val="3F3228BB"/>
    <w:rsid w:val="3F340649"/>
    <w:rsid w:val="3F455D77"/>
    <w:rsid w:val="3F701B3E"/>
    <w:rsid w:val="3F80563C"/>
    <w:rsid w:val="3FA104B3"/>
    <w:rsid w:val="3FA931F6"/>
    <w:rsid w:val="3FAA4B03"/>
    <w:rsid w:val="3FCC078A"/>
    <w:rsid w:val="3FE21E53"/>
    <w:rsid w:val="3FF04570"/>
    <w:rsid w:val="40056B82"/>
    <w:rsid w:val="400D3523"/>
    <w:rsid w:val="40307062"/>
    <w:rsid w:val="40337AC5"/>
    <w:rsid w:val="403A1C8F"/>
    <w:rsid w:val="403C7C43"/>
    <w:rsid w:val="404D0449"/>
    <w:rsid w:val="40532F10"/>
    <w:rsid w:val="40554F9C"/>
    <w:rsid w:val="405E695C"/>
    <w:rsid w:val="406376CF"/>
    <w:rsid w:val="407E207A"/>
    <w:rsid w:val="407F5B1B"/>
    <w:rsid w:val="40CF60CD"/>
    <w:rsid w:val="40E13EB9"/>
    <w:rsid w:val="40F7768F"/>
    <w:rsid w:val="41057007"/>
    <w:rsid w:val="41101E4C"/>
    <w:rsid w:val="4114428E"/>
    <w:rsid w:val="4118039F"/>
    <w:rsid w:val="41192212"/>
    <w:rsid w:val="411D7801"/>
    <w:rsid w:val="41261DCB"/>
    <w:rsid w:val="413D1A37"/>
    <w:rsid w:val="414F52C6"/>
    <w:rsid w:val="414F5A3F"/>
    <w:rsid w:val="415530D7"/>
    <w:rsid w:val="415C66C8"/>
    <w:rsid w:val="41636631"/>
    <w:rsid w:val="41717932"/>
    <w:rsid w:val="4172492F"/>
    <w:rsid w:val="41727207"/>
    <w:rsid w:val="41860B91"/>
    <w:rsid w:val="418A09F4"/>
    <w:rsid w:val="418D1E9F"/>
    <w:rsid w:val="418F600A"/>
    <w:rsid w:val="41A73354"/>
    <w:rsid w:val="41C35172"/>
    <w:rsid w:val="41CE3B24"/>
    <w:rsid w:val="41EA4C68"/>
    <w:rsid w:val="420C2FE8"/>
    <w:rsid w:val="420E5533"/>
    <w:rsid w:val="422928A5"/>
    <w:rsid w:val="42446DF5"/>
    <w:rsid w:val="427737E8"/>
    <w:rsid w:val="427F047A"/>
    <w:rsid w:val="42892A5A"/>
    <w:rsid w:val="428B1338"/>
    <w:rsid w:val="429203EE"/>
    <w:rsid w:val="42951BD2"/>
    <w:rsid w:val="42AF091C"/>
    <w:rsid w:val="42BB6E57"/>
    <w:rsid w:val="42BC2E2F"/>
    <w:rsid w:val="42D94AB2"/>
    <w:rsid w:val="42DF3BF1"/>
    <w:rsid w:val="42EF19DB"/>
    <w:rsid w:val="42F454E4"/>
    <w:rsid w:val="4304586D"/>
    <w:rsid w:val="430D4BFB"/>
    <w:rsid w:val="431442B1"/>
    <w:rsid w:val="43195B8C"/>
    <w:rsid w:val="43281B64"/>
    <w:rsid w:val="43326630"/>
    <w:rsid w:val="43395FD9"/>
    <w:rsid w:val="43427FF5"/>
    <w:rsid w:val="43482915"/>
    <w:rsid w:val="434A2D7F"/>
    <w:rsid w:val="437174E3"/>
    <w:rsid w:val="438E3308"/>
    <w:rsid w:val="439416B6"/>
    <w:rsid w:val="439438AA"/>
    <w:rsid w:val="439E42E3"/>
    <w:rsid w:val="43B85ABD"/>
    <w:rsid w:val="43BD526A"/>
    <w:rsid w:val="43C113B5"/>
    <w:rsid w:val="43CC0E50"/>
    <w:rsid w:val="43DB5537"/>
    <w:rsid w:val="43EC32A0"/>
    <w:rsid w:val="43EF2590"/>
    <w:rsid w:val="43F422F9"/>
    <w:rsid w:val="43F860E9"/>
    <w:rsid w:val="43FA3C0F"/>
    <w:rsid w:val="43FD08CB"/>
    <w:rsid w:val="441D2810"/>
    <w:rsid w:val="44273ED1"/>
    <w:rsid w:val="443B178E"/>
    <w:rsid w:val="444E5D09"/>
    <w:rsid w:val="44540D98"/>
    <w:rsid w:val="44612064"/>
    <w:rsid w:val="446F7A2D"/>
    <w:rsid w:val="4473751E"/>
    <w:rsid w:val="447943E7"/>
    <w:rsid w:val="447E086E"/>
    <w:rsid w:val="44827275"/>
    <w:rsid w:val="44854F92"/>
    <w:rsid w:val="44890AEF"/>
    <w:rsid w:val="44926858"/>
    <w:rsid w:val="449D4240"/>
    <w:rsid w:val="44AC1ABC"/>
    <w:rsid w:val="44BD0016"/>
    <w:rsid w:val="44C84166"/>
    <w:rsid w:val="44DA3439"/>
    <w:rsid w:val="44E26C98"/>
    <w:rsid w:val="44E4666D"/>
    <w:rsid w:val="44E51517"/>
    <w:rsid w:val="44EA7CD3"/>
    <w:rsid w:val="44F404AD"/>
    <w:rsid w:val="4501767A"/>
    <w:rsid w:val="45037DED"/>
    <w:rsid w:val="450B1F1C"/>
    <w:rsid w:val="450F36EA"/>
    <w:rsid w:val="451C7838"/>
    <w:rsid w:val="45280308"/>
    <w:rsid w:val="452C67F2"/>
    <w:rsid w:val="45380E4C"/>
    <w:rsid w:val="453E2322"/>
    <w:rsid w:val="4561381A"/>
    <w:rsid w:val="45652DDD"/>
    <w:rsid w:val="45751852"/>
    <w:rsid w:val="45813EBC"/>
    <w:rsid w:val="4582269B"/>
    <w:rsid w:val="458460A2"/>
    <w:rsid w:val="45850AE7"/>
    <w:rsid w:val="45880D21"/>
    <w:rsid w:val="459C0CF6"/>
    <w:rsid w:val="45A33E32"/>
    <w:rsid w:val="45B253E8"/>
    <w:rsid w:val="45E95F4E"/>
    <w:rsid w:val="45ED1D4A"/>
    <w:rsid w:val="46004DE1"/>
    <w:rsid w:val="46244F73"/>
    <w:rsid w:val="46270B03"/>
    <w:rsid w:val="463A65C6"/>
    <w:rsid w:val="46535819"/>
    <w:rsid w:val="465670F7"/>
    <w:rsid w:val="46570397"/>
    <w:rsid w:val="46614C83"/>
    <w:rsid w:val="466E5E42"/>
    <w:rsid w:val="467D4684"/>
    <w:rsid w:val="46840919"/>
    <w:rsid w:val="46951AB3"/>
    <w:rsid w:val="46A165C4"/>
    <w:rsid w:val="46A61E2C"/>
    <w:rsid w:val="46AB210D"/>
    <w:rsid w:val="46AC7BB2"/>
    <w:rsid w:val="46B25183"/>
    <w:rsid w:val="46C7706B"/>
    <w:rsid w:val="46DC3FFD"/>
    <w:rsid w:val="46E62229"/>
    <w:rsid w:val="46F26E10"/>
    <w:rsid w:val="46FA5CD4"/>
    <w:rsid w:val="46FF778E"/>
    <w:rsid w:val="471027EA"/>
    <w:rsid w:val="477F2E6D"/>
    <w:rsid w:val="47820B91"/>
    <w:rsid w:val="4782198A"/>
    <w:rsid w:val="47953C4F"/>
    <w:rsid w:val="47A405E8"/>
    <w:rsid w:val="47A824BF"/>
    <w:rsid w:val="47B27BA6"/>
    <w:rsid w:val="47CB7671"/>
    <w:rsid w:val="47CD70FA"/>
    <w:rsid w:val="47E82684"/>
    <w:rsid w:val="47EE4D13"/>
    <w:rsid w:val="47F22E4F"/>
    <w:rsid w:val="47FF18A6"/>
    <w:rsid w:val="48050DD4"/>
    <w:rsid w:val="48274AEC"/>
    <w:rsid w:val="48282F14"/>
    <w:rsid w:val="48373DBC"/>
    <w:rsid w:val="483A3F45"/>
    <w:rsid w:val="484A67E7"/>
    <w:rsid w:val="484C63F2"/>
    <w:rsid w:val="48623B31"/>
    <w:rsid w:val="486B023B"/>
    <w:rsid w:val="486D3062"/>
    <w:rsid w:val="4871646A"/>
    <w:rsid w:val="48764D34"/>
    <w:rsid w:val="487B1097"/>
    <w:rsid w:val="489509A3"/>
    <w:rsid w:val="48B14AB8"/>
    <w:rsid w:val="48B620CF"/>
    <w:rsid w:val="48C3153F"/>
    <w:rsid w:val="48C7608A"/>
    <w:rsid w:val="48CA449B"/>
    <w:rsid w:val="48CC18F2"/>
    <w:rsid w:val="48CC307C"/>
    <w:rsid w:val="48E00EFA"/>
    <w:rsid w:val="48E44E8E"/>
    <w:rsid w:val="48E77FB3"/>
    <w:rsid w:val="48F248BC"/>
    <w:rsid w:val="4900334A"/>
    <w:rsid w:val="49023345"/>
    <w:rsid w:val="49070296"/>
    <w:rsid w:val="49080D3C"/>
    <w:rsid w:val="490B5F77"/>
    <w:rsid w:val="493A4767"/>
    <w:rsid w:val="49490E10"/>
    <w:rsid w:val="495866E1"/>
    <w:rsid w:val="496F29A9"/>
    <w:rsid w:val="498B1AD3"/>
    <w:rsid w:val="499662BC"/>
    <w:rsid w:val="499E49A0"/>
    <w:rsid w:val="49AC5869"/>
    <w:rsid w:val="49B605D8"/>
    <w:rsid w:val="49B74350"/>
    <w:rsid w:val="49BA174B"/>
    <w:rsid w:val="49BC1967"/>
    <w:rsid w:val="49D62A28"/>
    <w:rsid w:val="49ED7F9F"/>
    <w:rsid w:val="4A007AA5"/>
    <w:rsid w:val="4A03697C"/>
    <w:rsid w:val="4A0B01F8"/>
    <w:rsid w:val="4A0D5D1E"/>
    <w:rsid w:val="4A431740"/>
    <w:rsid w:val="4A4734E6"/>
    <w:rsid w:val="4A4A78C0"/>
    <w:rsid w:val="4A4D5AF6"/>
    <w:rsid w:val="4A5C4640"/>
    <w:rsid w:val="4A7D2EA4"/>
    <w:rsid w:val="4A7F4E6E"/>
    <w:rsid w:val="4A835FE1"/>
    <w:rsid w:val="4A845C50"/>
    <w:rsid w:val="4A8B7D12"/>
    <w:rsid w:val="4A8E506E"/>
    <w:rsid w:val="4AA40703"/>
    <w:rsid w:val="4AA97945"/>
    <w:rsid w:val="4AAE50F3"/>
    <w:rsid w:val="4ABD583A"/>
    <w:rsid w:val="4AC00FE3"/>
    <w:rsid w:val="4AC1412B"/>
    <w:rsid w:val="4ACA42E7"/>
    <w:rsid w:val="4ACE7349"/>
    <w:rsid w:val="4AD60806"/>
    <w:rsid w:val="4ADF4AF8"/>
    <w:rsid w:val="4AF27039"/>
    <w:rsid w:val="4B187071"/>
    <w:rsid w:val="4B1B7449"/>
    <w:rsid w:val="4B206D1B"/>
    <w:rsid w:val="4B27184D"/>
    <w:rsid w:val="4B2E0642"/>
    <w:rsid w:val="4B3519D1"/>
    <w:rsid w:val="4B424FB5"/>
    <w:rsid w:val="4B490070"/>
    <w:rsid w:val="4B4E311B"/>
    <w:rsid w:val="4B531E57"/>
    <w:rsid w:val="4B605FAF"/>
    <w:rsid w:val="4B683B54"/>
    <w:rsid w:val="4B69167A"/>
    <w:rsid w:val="4B693428"/>
    <w:rsid w:val="4B816075"/>
    <w:rsid w:val="4B816DED"/>
    <w:rsid w:val="4B8D7117"/>
    <w:rsid w:val="4B8E10E1"/>
    <w:rsid w:val="4B981C8C"/>
    <w:rsid w:val="4BDC3C83"/>
    <w:rsid w:val="4BED4D8D"/>
    <w:rsid w:val="4BF3078C"/>
    <w:rsid w:val="4BFE56B9"/>
    <w:rsid w:val="4C0E382A"/>
    <w:rsid w:val="4C127165"/>
    <w:rsid w:val="4C13540F"/>
    <w:rsid w:val="4C1710D6"/>
    <w:rsid w:val="4C214A7D"/>
    <w:rsid w:val="4C3D7174"/>
    <w:rsid w:val="4C5F5D5C"/>
    <w:rsid w:val="4C667968"/>
    <w:rsid w:val="4C686721"/>
    <w:rsid w:val="4C6A28A1"/>
    <w:rsid w:val="4C71328E"/>
    <w:rsid w:val="4C71399E"/>
    <w:rsid w:val="4C83051A"/>
    <w:rsid w:val="4C9070DF"/>
    <w:rsid w:val="4CAA4CB8"/>
    <w:rsid w:val="4CAA5AA7"/>
    <w:rsid w:val="4CB56874"/>
    <w:rsid w:val="4CCA0089"/>
    <w:rsid w:val="4CCD22DF"/>
    <w:rsid w:val="4CE05489"/>
    <w:rsid w:val="4CE4545C"/>
    <w:rsid w:val="4CFE5060"/>
    <w:rsid w:val="4D01600E"/>
    <w:rsid w:val="4D031EC5"/>
    <w:rsid w:val="4D152843"/>
    <w:rsid w:val="4D295EA4"/>
    <w:rsid w:val="4D452E31"/>
    <w:rsid w:val="4D471547"/>
    <w:rsid w:val="4D4751DA"/>
    <w:rsid w:val="4D9E290E"/>
    <w:rsid w:val="4DA84183"/>
    <w:rsid w:val="4DAA5559"/>
    <w:rsid w:val="4DB71911"/>
    <w:rsid w:val="4DB82445"/>
    <w:rsid w:val="4DB87D11"/>
    <w:rsid w:val="4DBF3431"/>
    <w:rsid w:val="4DC73C3D"/>
    <w:rsid w:val="4DCA28A4"/>
    <w:rsid w:val="4DCF0DA8"/>
    <w:rsid w:val="4DD16451"/>
    <w:rsid w:val="4DD54DA5"/>
    <w:rsid w:val="4DDA6DDB"/>
    <w:rsid w:val="4DE60D60"/>
    <w:rsid w:val="4DF06083"/>
    <w:rsid w:val="4DF3347D"/>
    <w:rsid w:val="4E0F5AB5"/>
    <w:rsid w:val="4E116932"/>
    <w:rsid w:val="4E177D2B"/>
    <w:rsid w:val="4E1A4EAE"/>
    <w:rsid w:val="4E2B0E69"/>
    <w:rsid w:val="4E2D2907"/>
    <w:rsid w:val="4E3E0B9C"/>
    <w:rsid w:val="4E4A299A"/>
    <w:rsid w:val="4E4A7541"/>
    <w:rsid w:val="4E4F5761"/>
    <w:rsid w:val="4E575480"/>
    <w:rsid w:val="4E5D2A1D"/>
    <w:rsid w:val="4E6323B1"/>
    <w:rsid w:val="4E8C5806"/>
    <w:rsid w:val="4E8C5DAC"/>
    <w:rsid w:val="4E9D4924"/>
    <w:rsid w:val="4EAC1FAA"/>
    <w:rsid w:val="4EBC3A7D"/>
    <w:rsid w:val="4F036A2F"/>
    <w:rsid w:val="4F107BDB"/>
    <w:rsid w:val="4F18763F"/>
    <w:rsid w:val="4F281C23"/>
    <w:rsid w:val="4F457D08"/>
    <w:rsid w:val="4F876573"/>
    <w:rsid w:val="4F8E7487"/>
    <w:rsid w:val="4F9C5B1B"/>
    <w:rsid w:val="4FA70ACE"/>
    <w:rsid w:val="4FC15B68"/>
    <w:rsid w:val="4FDC68BF"/>
    <w:rsid w:val="4FF0236A"/>
    <w:rsid w:val="4FF26FAA"/>
    <w:rsid w:val="4FF538C7"/>
    <w:rsid w:val="4FF853EA"/>
    <w:rsid w:val="50096F88"/>
    <w:rsid w:val="500F7A8F"/>
    <w:rsid w:val="501716A5"/>
    <w:rsid w:val="503C4E44"/>
    <w:rsid w:val="503D5059"/>
    <w:rsid w:val="504925C9"/>
    <w:rsid w:val="504D0BBB"/>
    <w:rsid w:val="504E2060"/>
    <w:rsid w:val="506E036E"/>
    <w:rsid w:val="50824495"/>
    <w:rsid w:val="50844C50"/>
    <w:rsid w:val="50866BAB"/>
    <w:rsid w:val="509A7982"/>
    <w:rsid w:val="509C7BED"/>
    <w:rsid w:val="50A82C45"/>
    <w:rsid w:val="50AD3DB7"/>
    <w:rsid w:val="50B22EF2"/>
    <w:rsid w:val="50B71011"/>
    <w:rsid w:val="50CC23B9"/>
    <w:rsid w:val="50D70E34"/>
    <w:rsid w:val="50E7652A"/>
    <w:rsid w:val="50F05007"/>
    <w:rsid w:val="50F97DF7"/>
    <w:rsid w:val="50FB2D75"/>
    <w:rsid w:val="510734C7"/>
    <w:rsid w:val="510F5F04"/>
    <w:rsid w:val="511A58F1"/>
    <w:rsid w:val="51361FFF"/>
    <w:rsid w:val="513E09CF"/>
    <w:rsid w:val="514C1AEB"/>
    <w:rsid w:val="514E1366"/>
    <w:rsid w:val="51647E65"/>
    <w:rsid w:val="5167171C"/>
    <w:rsid w:val="51824C82"/>
    <w:rsid w:val="51844B18"/>
    <w:rsid w:val="51870AAC"/>
    <w:rsid w:val="518A40F8"/>
    <w:rsid w:val="51960CEF"/>
    <w:rsid w:val="51981E3E"/>
    <w:rsid w:val="51A11B6E"/>
    <w:rsid w:val="51AC406F"/>
    <w:rsid w:val="51BD3E01"/>
    <w:rsid w:val="51E4236A"/>
    <w:rsid w:val="51EF00F5"/>
    <w:rsid w:val="51FD7691"/>
    <w:rsid w:val="52003542"/>
    <w:rsid w:val="5218797E"/>
    <w:rsid w:val="521D4EDF"/>
    <w:rsid w:val="52397FF8"/>
    <w:rsid w:val="52436422"/>
    <w:rsid w:val="5268443A"/>
    <w:rsid w:val="526D31C8"/>
    <w:rsid w:val="52742D8A"/>
    <w:rsid w:val="52872DDF"/>
    <w:rsid w:val="528E29F4"/>
    <w:rsid w:val="52914CBF"/>
    <w:rsid w:val="5296022B"/>
    <w:rsid w:val="529E7E5B"/>
    <w:rsid w:val="52B63616"/>
    <w:rsid w:val="52DA753C"/>
    <w:rsid w:val="52EB74B9"/>
    <w:rsid w:val="52EC506B"/>
    <w:rsid w:val="52F201A7"/>
    <w:rsid w:val="52FE1259"/>
    <w:rsid w:val="5300274E"/>
    <w:rsid w:val="530449C0"/>
    <w:rsid w:val="530F4056"/>
    <w:rsid w:val="53141C66"/>
    <w:rsid w:val="532E6DA8"/>
    <w:rsid w:val="53431F26"/>
    <w:rsid w:val="53434D73"/>
    <w:rsid w:val="53621CF1"/>
    <w:rsid w:val="53663943"/>
    <w:rsid w:val="537E1A3B"/>
    <w:rsid w:val="53862387"/>
    <w:rsid w:val="538A1A2D"/>
    <w:rsid w:val="53982AE0"/>
    <w:rsid w:val="539C321D"/>
    <w:rsid w:val="53AD3B54"/>
    <w:rsid w:val="53B47BF9"/>
    <w:rsid w:val="53B611D5"/>
    <w:rsid w:val="53B87967"/>
    <w:rsid w:val="53B93D7A"/>
    <w:rsid w:val="53C41B44"/>
    <w:rsid w:val="53EC4BF7"/>
    <w:rsid w:val="53F71F19"/>
    <w:rsid w:val="53FB4F58"/>
    <w:rsid w:val="53FD5056"/>
    <w:rsid w:val="53FF0DCE"/>
    <w:rsid w:val="54063F0A"/>
    <w:rsid w:val="5410237E"/>
    <w:rsid w:val="54220B01"/>
    <w:rsid w:val="5427389A"/>
    <w:rsid w:val="54286480"/>
    <w:rsid w:val="543C3DD0"/>
    <w:rsid w:val="54406A6B"/>
    <w:rsid w:val="544D1898"/>
    <w:rsid w:val="546126FD"/>
    <w:rsid w:val="547846DC"/>
    <w:rsid w:val="547D0BE8"/>
    <w:rsid w:val="549A043E"/>
    <w:rsid w:val="54A502FB"/>
    <w:rsid w:val="54A95C0C"/>
    <w:rsid w:val="54B47867"/>
    <w:rsid w:val="54BA1264"/>
    <w:rsid w:val="54C823EB"/>
    <w:rsid w:val="54D33745"/>
    <w:rsid w:val="54D405B0"/>
    <w:rsid w:val="54FA4D44"/>
    <w:rsid w:val="55031234"/>
    <w:rsid w:val="55164621"/>
    <w:rsid w:val="55217886"/>
    <w:rsid w:val="55304CE7"/>
    <w:rsid w:val="5540344C"/>
    <w:rsid w:val="554A6079"/>
    <w:rsid w:val="554F368F"/>
    <w:rsid w:val="55602D77"/>
    <w:rsid w:val="556F2806"/>
    <w:rsid w:val="557C3FEB"/>
    <w:rsid w:val="557F058E"/>
    <w:rsid w:val="559B1DC3"/>
    <w:rsid w:val="55A355E5"/>
    <w:rsid w:val="55A633D3"/>
    <w:rsid w:val="55B1628B"/>
    <w:rsid w:val="55B5398C"/>
    <w:rsid w:val="55BE6DB7"/>
    <w:rsid w:val="55BF5801"/>
    <w:rsid w:val="55CB16DE"/>
    <w:rsid w:val="55CE5E8B"/>
    <w:rsid w:val="55DF0A27"/>
    <w:rsid w:val="55E4287A"/>
    <w:rsid w:val="55FB6D79"/>
    <w:rsid w:val="55FF3307"/>
    <w:rsid w:val="56066443"/>
    <w:rsid w:val="56097CE2"/>
    <w:rsid w:val="56245862"/>
    <w:rsid w:val="562468CA"/>
    <w:rsid w:val="5631239B"/>
    <w:rsid w:val="56466840"/>
    <w:rsid w:val="56472812"/>
    <w:rsid w:val="56666EE2"/>
    <w:rsid w:val="56673813"/>
    <w:rsid w:val="566D1F6C"/>
    <w:rsid w:val="567A4F6C"/>
    <w:rsid w:val="567F5542"/>
    <w:rsid w:val="56814BDE"/>
    <w:rsid w:val="5682742B"/>
    <w:rsid w:val="5695721D"/>
    <w:rsid w:val="5697055A"/>
    <w:rsid w:val="569E1CA8"/>
    <w:rsid w:val="56A46336"/>
    <w:rsid w:val="56BA5480"/>
    <w:rsid w:val="56DD7746"/>
    <w:rsid w:val="56E26572"/>
    <w:rsid w:val="57040991"/>
    <w:rsid w:val="570D1439"/>
    <w:rsid w:val="571526B6"/>
    <w:rsid w:val="571B1C87"/>
    <w:rsid w:val="571E156B"/>
    <w:rsid w:val="572D7A00"/>
    <w:rsid w:val="573F41B2"/>
    <w:rsid w:val="574110D2"/>
    <w:rsid w:val="574211E1"/>
    <w:rsid w:val="57622CEB"/>
    <w:rsid w:val="576E60B3"/>
    <w:rsid w:val="576F626A"/>
    <w:rsid w:val="57735F02"/>
    <w:rsid w:val="577B5DEB"/>
    <w:rsid w:val="57930D4A"/>
    <w:rsid w:val="57AC301B"/>
    <w:rsid w:val="57B7551B"/>
    <w:rsid w:val="57B8376D"/>
    <w:rsid w:val="57C71C02"/>
    <w:rsid w:val="57CD795C"/>
    <w:rsid w:val="57CF46B0"/>
    <w:rsid w:val="57D12A81"/>
    <w:rsid w:val="57D35FDF"/>
    <w:rsid w:val="57D7052B"/>
    <w:rsid w:val="57DB66AC"/>
    <w:rsid w:val="580024A3"/>
    <w:rsid w:val="58164938"/>
    <w:rsid w:val="581D7B9B"/>
    <w:rsid w:val="58207565"/>
    <w:rsid w:val="582708F3"/>
    <w:rsid w:val="583D1EC5"/>
    <w:rsid w:val="58403763"/>
    <w:rsid w:val="5843763F"/>
    <w:rsid w:val="58450578"/>
    <w:rsid w:val="584575FE"/>
    <w:rsid w:val="585711D8"/>
    <w:rsid w:val="586D21AF"/>
    <w:rsid w:val="587902B5"/>
    <w:rsid w:val="5889335C"/>
    <w:rsid w:val="58966556"/>
    <w:rsid w:val="58D30484"/>
    <w:rsid w:val="58D36385"/>
    <w:rsid w:val="58D96CBB"/>
    <w:rsid w:val="58EA385B"/>
    <w:rsid w:val="58F40EEF"/>
    <w:rsid w:val="591F7797"/>
    <w:rsid w:val="5931574E"/>
    <w:rsid w:val="593F47FB"/>
    <w:rsid w:val="594B0611"/>
    <w:rsid w:val="59634FD6"/>
    <w:rsid w:val="596A4F3B"/>
    <w:rsid w:val="596D0588"/>
    <w:rsid w:val="597F34C7"/>
    <w:rsid w:val="59810AE7"/>
    <w:rsid w:val="59AD218C"/>
    <w:rsid w:val="59B241EC"/>
    <w:rsid w:val="59C26B25"/>
    <w:rsid w:val="59CB71DE"/>
    <w:rsid w:val="59CD5363"/>
    <w:rsid w:val="59D77169"/>
    <w:rsid w:val="59F93A1F"/>
    <w:rsid w:val="5A006190"/>
    <w:rsid w:val="5A1D78F0"/>
    <w:rsid w:val="5A1E720D"/>
    <w:rsid w:val="5A1F7E79"/>
    <w:rsid w:val="5A4C7035"/>
    <w:rsid w:val="5A5336C3"/>
    <w:rsid w:val="5A5D3773"/>
    <w:rsid w:val="5A90452E"/>
    <w:rsid w:val="5A971D60"/>
    <w:rsid w:val="5AA13F23"/>
    <w:rsid w:val="5ABA7BFC"/>
    <w:rsid w:val="5ABE1B1A"/>
    <w:rsid w:val="5AC643F3"/>
    <w:rsid w:val="5ACD0EF5"/>
    <w:rsid w:val="5ACF3CFA"/>
    <w:rsid w:val="5AD84127"/>
    <w:rsid w:val="5ADA39FB"/>
    <w:rsid w:val="5AE1098E"/>
    <w:rsid w:val="5B10566E"/>
    <w:rsid w:val="5B2810CB"/>
    <w:rsid w:val="5B2E3C98"/>
    <w:rsid w:val="5B31136D"/>
    <w:rsid w:val="5B4433AF"/>
    <w:rsid w:val="5B451E39"/>
    <w:rsid w:val="5B455F86"/>
    <w:rsid w:val="5B5437AD"/>
    <w:rsid w:val="5B5E3374"/>
    <w:rsid w:val="5B63136F"/>
    <w:rsid w:val="5B9C6F02"/>
    <w:rsid w:val="5BBD6BC0"/>
    <w:rsid w:val="5BC246D2"/>
    <w:rsid w:val="5BEE3FAB"/>
    <w:rsid w:val="5C1949F7"/>
    <w:rsid w:val="5C1A6AB1"/>
    <w:rsid w:val="5C345B78"/>
    <w:rsid w:val="5C3F35FC"/>
    <w:rsid w:val="5C5027A2"/>
    <w:rsid w:val="5C875E04"/>
    <w:rsid w:val="5C89392A"/>
    <w:rsid w:val="5C983278"/>
    <w:rsid w:val="5CAB4497"/>
    <w:rsid w:val="5CAD7A90"/>
    <w:rsid w:val="5CB4303E"/>
    <w:rsid w:val="5CB77C85"/>
    <w:rsid w:val="5CB815AE"/>
    <w:rsid w:val="5CBA4AB1"/>
    <w:rsid w:val="5CBF2ECA"/>
    <w:rsid w:val="5CE21551"/>
    <w:rsid w:val="5CE648D9"/>
    <w:rsid w:val="5CE76F8F"/>
    <w:rsid w:val="5D121B72"/>
    <w:rsid w:val="5D230C5E"/>
    <w:rsid w:val="5D26561D"/>
    <w:rsid w:val="5D2B49E2"/>
    <w:rsid w:val="5D2E6280"/>
    <w:rsid w:val="5D3123BC"/>
    <w:rsid w:val="5D3717EA"/>
    <w:rsid w:val="5D572F2A"/>
    <w:rsid w:val="5D5B7398"/>
    <w:rsid w:val="5D7F6ADB"/>
    <w:rsid w:val="5D812F40"/>
    <w:rsid w:val="5D8B4DAD"/>
    <w:rsid w:val="5D8F010E"/>
    <w:rsid w:val="5D9455AA"/>
    <w:rsid w:val="5DAC78BD"/>
    <w:rsid w:val="5DD806AD"/>
    <w:rsid w:val="5DDF5678"/>
    <w:rsid w:val="5DE27F73"/>
    <w:rsid w:val="5DE97722"/>
    <w:rsid w:val="5DF61F2D"/>
    <w:rsid w:val="5E0A56D8"/>
    <w:rsid w:val="5E0C5F57"/>
    <w:rsid w:val="5E1236DE"/>
    <w:rsid w:val="5E1C257C"/>
    <w:rsid w:val="5E1E1C93"/>
    <w:rsid w:val="5E20787C"/>
    <w:rsid w:val="5E2356B9"/>
    <w:rsid w:val="5E4A533B"/>
    <w:rsid w:val="5E53134F"/>
    <w:rsid w:val="5E565A8E"/>
    <w:rsid w:val="5E5662DA"/>
    <w:rsid w:val="5E8C4349"/>
    <w:rsid w:val="5E99204D"/>
    <w:rsid w:val="5EAE61E6"/>
    <w:rsid w:val="5EBD6A5B"/>
    <w:rsid w:val="5ED74E21"/>
    <w:rsid w:val="5ED846F5"/>
    <w:rsid w:val="5EDC2437"/>
    <w:rsid w:val="5EED25EE"/>
    <w:rsid w:val="5F024BF3"/>
    <w:rsid w:val="5F064BBF"/>
    <w:rsid w:val="5F122193"/>
    <w:rsid w:val="5F1576F7"/>
    <w:rsid w:val="5F231935"/>
    <w:rsid w:val="5F267602"/>
    <w:rsid w:val="5F29154C"/>
    <w:rsid w:val="5F456359"/>
    <w:rsid w:val="5F684CC6"/>
    <w:rsid w:val="5F6D1A9C"/>
    <w:rsid w:val="5F810FFB"/>
    <w:rsid w:val="5F864E25"/>
    <w:rsid w:val="5FA91901"/>
    <w:rsid w:val="5FB7376D"/>
    <w:rsid w:val="5FBD1390"/>
    <w:rsid w:val="5FC44C79"/>
    <w:rsid w:val="5FC91202"/>
    <w:rsid w:val="5FD72BFF"/>
    <w:rsid w:val="5FDB5953"/>
    <w:rsid w:val="5FE438C4"/>
    <w:rsid w:val="5FF02075"/>
    <w:rsid w:val="600174BF"/>
    <w:rsid w:val="600357A2"/>
    <w:rsid w:val="60047555"/>
    <w:rsid w:val="600D74F8"/>
    <w:rsid w:val="600F05EB"/>
    <w:rsid w:val="601620D0"/>
    <w:rsid w:val="60172FFB"/>
    <w:rsid w:val="60204DC3"/>
    <w:rsid w:val="60213C34"/>
    <w:rsid w:val="602A3A03"/>
    <w:rsid w:val="60341DFF"/>
    <w:rsid w:val="60361B24"/>
    <w:rsid w:val="604A33D1"/>
    <w:rsid w:val="604B3910"/>
    <w:rsid w:val="604D240F"/>
    <w:rsid w:val="60563B24"/>
    <w:rsid w:val="608E691D"/>
    <w:rsid w:val="60A76A75"/>
    <w:rsid w:val="60BB607C"/>
    <w:rsid w:val="60DF1D6B"/>
    <w:rsid w:val="60EA7E6F"/>
    <w:rsid w:val="60F53FC2"/>
    <w:rsid w:val="60FA3F31"/>
    <w:rsid w:val="60FB291D"/>
    <w:rsid w:val="60FC195B"/>
    <w:rsid w:val="610274E6"/>
    <w:rsid w:val="610346D0"/>
    <w:rsid w:val="61047A23"/>
    <w:rsid w:val="610619ED"/>
    <w:rsid w:val="610C1548"/>
    <w:rsid w:val="611522C5"/>
    <w:rsid w:val="61286853"/>
    <w:rsid w:val="612D406D"/>
    <w:rsid w:val="6130387B"/>
    <w:rsid w:val="61406B3F"/>
    <w:rsid w:val="6149146E"/>
    <w:rsid w:val="614C2AA3"/>
    <w:rsid w:val="61595DC4"/>
    <w:rsid w:val="615A7643"/>
    <w:rsid w:val="61642270"/>
    <w:rsid w:val="616558F0"/>
    <w:rsid w:val="617526CF"/>
    <w:rsid w:val="617D1584"/>
    <w:rsid w:val="61923281"/>
    <w:rsid w:val="619A0B9D"/>
    <w:rsid w:val="61B419F9"/>
    <w:rsid w:val="61DB6B32"/>
    <w:rsid w:val="61F219A6"/>
    <w:rsid w:val="61F572D6"/>
    <w:rsid w:val="61F5736C"/>
    <w:rsid w:val="61FB6868"/>
    <w:rsid w:val="621C2B4B"/>
    <w:rsid w:val="621C5B02"/>
    <w:rsid w:val="622D6F4A"/>
    <w:rsid w:val="62306DA1"/>
    <w:rsid w:val="625D388F"/>
    <w:rsid w:val="627A4657"/>
    <w:rsid w:val="628E46FD"/>
    <w:rsid w:val="629964E9"/>
    <w:rsid w:val="62A91C39"/>
    <w:rsid w:val="62F3338E"/>
    <w:rsid w:val="62FF2797"/>
    <w:rsid w:val="630A3502"/>
    <w:rsid w:val="63106260"/>
    <w:rsid w:val="63185A08"/>
    <w:rsid w:val="632048BD"/>
    <w:rsid w:val="633263C0"/>
    <w:rsid w:val="6347009B"/>
    <w:rsid w:val="635A7DCF"/>
    <w:rsid w:val="635F3637"/>
    <w:rsid w:val="636257AD"/>
    <w:rsid w:val="63783820"/>
    <w:rsid w:val="637F36E5"/>
    <w:rsid w:val="638D67F3"/>
    <w:rsid w:val="63A6340B"/>
    <w:rsid w:val="63BD3EBA"/>
    <w:rsid w:val="63C456A9"/>
    <w:rsid w:val="63F57AF7"/>
    <w:rsid w:val="63F72E3E"/>
    <w:rsid w:val="63FA5995"/>
    <w:rsid w:val="64061D04"/>
    <w:rsid w:val="6410595D"/>
    <w:rsid w:val="6417181C"/>
    <w:rsid w:val="6423509B"/>
    <w:rsid w:val="643A00E2"/>
    <w:rsid w:val="643E775C"/>
    <w:rsid w:val="644A571B"/>
    <w:rsid w:val="64611B0F"/>
    <w:rsid w:val="64744EC0"/>
    <w:rsid w:val="6478397E"/>
    <w:rsid w:val="647E3037"/>
    <w:rsid w:val="648C5E34"/>
    <w:rsid w:val="649D4417"/>
    <w:rsid w:val="64A66D2A"/>
    <w:rsid w:val="64A742B2"/>
    <w:rsid w:val="64A77044"/>
    <w:rsid w:val="64AC5DFC"/>
    <w:rsid w:val="64B87F38"/>
    <w:rsid w:val="64B90B25"/>
    <w:rsid w:val="64DA1213"/>
    <w:rsid w:val="64DA6254"/>
    <w:rsid w:val="64EF46A6"/>
    <w:rsid w:val="64F72275"/>
    <w:rsid w:val="65006754"/>
    <w:rsid w:val="65037FF2"/>
    <w:rsid w:val="650961D1"/>
    <w:rsid w:val="651328D5"/>
    <w:rsid w:val="653C0E96"/>
    <w:rsid w:val="65434131"/>
    <w:rsid w:val="654B6B72"/>
    <w:rsid w:val="655602E7"/>
    <w:rsid w:val="65B87954"/>
    <w:rsid w:val="65BF660F"/>
    <w:rsid w:val="65D514A1"/>
    <w:rsid w:val="65DC4ACB"/>
    <w:rsid w:val="65E87914"/>
    <w:rsid w:val="65F853AD"/>
    <w:rsid w:val="66004EC6"/>
    <w:rsid w:val="660E3E54"/>
    <w:rsid w:val="660E4AFE"/>
    <w:rsid w:val="660E6C4E"/>
    <w:rsid w:val="6611585B"/>
    <w:rsid w:val="66156B09"/>
    <w:rsid w:val="66431759"/>
    <w:rsid w:val="664408C2"/>
    <w:rsid w:val="664E34EF"/>
    <w:rsid w:val="666176C6"/>
    <w:rsid w:val="666F2E83"/>
    <w:rsid w:val="667557A7"/>
    <w:rsid w:val="66772A46"/>
    <w:rsid w:val="667A1340"/>
    <w:rsid w:val="6687546F"/>
    <w:rsid w:val="669A44FE"/>
    <w:rsid w:val="66AC3703"/>
    <w:rsid w:val="66BB6DD6"/>
    <w:rsid w:val="66BF3AE2"/>
    <w:rsid w:val="66C269AA"/>
    <w:rsid w:val="66DC388C"/>
    <w:rsid w:val="66E17055"/>
    <w:rsid w:val="66E520A5"/>
    <w:rsid w:val="66F73AEA"/>
    <w:rsid w:val="66FC205F"/>
    <w:rsid w:val="670047E9"/>
    <w:rsid w:val="670C7559"/>
    <w:rsid w:val="6717752F"/>
    <w:rsid w:val="671A5F29"/>
    <w:rsid w:val="671D4F1F"/>
    <w:rsid w:val="67202B2D"/>
    <w:rsid w:val="674F15D5"/>
    <w:rsid w:val="67734B46"/>
    <w:rsid w:val="678F11F5"/>
    <w:rsid w:val="67931B01"/>
    <w:rsid w:val="67A24F14"/>
    <w:rsid w:val="67B53825"/>
    <w:rsid w:val="67D13799"/>
    <w:rsid w:val="67D143D7"/>
    <w:rsid w:val="67D73213"/>
    <w:rsid w:val="67F452B2"/>
    <w:rsid w:val="67F8727B"/>
    <w:rsid w:val="68064081"/>
    <w:rsid w:val="6816002A"/>
    <w:rsid w:val="682E566D"/>
    <w:rsid w:val="68324E76"/>
    <w:rsid w:val="68346A49"/>
    <w:rsid w:val="68531116"/>
    <w:rsid w:val="68572B2F"/>
    <w:rsid w:val="685E210F"/>
    <w:rsid w:val="685E7B1A"/>
    <w:rsid w:val="68637551"/>
    <w:rsid w:val="68693658"/>
    <w:rsid w:val="688D6550"/>
    <w:rsid w:val="68AA254B"/>
    <w:rsid w:val="68B7181F"/>
    <w:rsid w:val="68CA77A4"/>
    <w:rsid w:val="68CB3944"/>
    <w:rsid w:val="68D02BEC"/>
    <w:rsid w:val="68D77363"/>
    <w:rsid w:val="68DE4FFE"/>
    <w:rsid w:val="68E00D76"/>
    <w:rsid w:val="68F20AA9"/>
    <w:rsid w:val="692534D8"/>
    <w:rsid w:val="692C520B"/>
    <w:rsid w:val="693A7F09"/>
    <w:rsid w:val="693B1ED8"/>
    <w:rsid w:val="694806C9"/>
    <w:rsid w:val="694B1DCA"/>
    <w:rsid w:val="695113D8"/>
    <w:rsid w:val="695232F6"/>
    <w:rsid w:val="69530ECB"/>
    <w:rsid w:val="69541C9F"/>
    <w:rsid w:val="695E7EED"/>
    <w:rsid w:val="696329AF"/>
    <w:rsid w:val="696B5FB2"/>
    <w:rsid w:val="696D5485"/>
    <w:rsid w:val="697119CE"/>
    <w:rsid w:val="6974383B"/>
    <w:rsid w:val="697D3521"/>
    <w:rsid w:val="698060B5"/>
    <w:rsid w:val="698C1041"/>
    <w:rsid w:val="69912283"/>
    <w:rsid w:val="699356C4"/>
    <w:rsid w:val="69966649"/>
    <w:rsid w:val="69C164CC"/>
    <w:rsid w:val="69CB5582"/>
    <w:rsid w:val="69D501AF"/>
    <w:rsid w:val="69D63F27"/>
    <w:rsid w:val="69DB133C"/>
    <w:rsid w:val="69E95A08"/>
    <w:rsid w:val="6A135C12"/>
    <w:rsid w:val="6A182BB4"/>
    <w:rsid w:val="6A2829D5"/>
    <w:rsid w:val="6A2A2F48"/>
    <w:rsid w:val="6A3725A6"/>
    <w:rsid w:val="6A372C18"/>
    <w:rsid w:val="6A560A27"/>
    <w:rsid w:val="6A5F216E"/>
    <w:rsid w:val="6A5F55BF"/>
    <w:rsid w:val="6A617C95"/>
    <w:rsid w:val="6A655A1D"/>
    <w:rsid w:val="6A6D7D51"/>
    <w:rsid w:val="6A723C50"/>
    <w:rsid w:val="6A876FCF"/>
    <w:rsid w:val="6A957282"/>
    <w:rsid w:val="6AD31B95"/>
    <w:rsid w:val="6AEF52A0"/>
    <w:rsid w:val="6B246EE1"/>
    <w:rsid w:val="6B340F05"/>
    <w:rsid w:val="6B3E3B32"/>
    <w:rsid w:val="6B4078AA"/>
    <w:rsid w:val="6B4871D3"/>
    <w:rsid w:val="6B5902FF"/>
    <w:rsid w:val="6B6320BC"/>
    <w:rsid w:val="6B6823FB"/>
    <w:rsid w:val="6B8060BC"/>
    <w:rsid w:val="6B813AF9"/>
    <w:rsid w:val="6BB240EF"/>
    <w:rsid w:val="6BC6435F"/>
    <w:rsid w:val="6BD85D34"/>
    <w:rsid w:val="6BDA7CFF"/>
    <w:rsid w:val="6BDF24B2"/>
    <w:rsid w:val="6BF306A7"/>
    <w:rsid w:val="6BF30DC0"/>
    <w:rsid w:val="6BF63CD9"/>
    <w:rsid w:val="6BF803B2"/>
    <w:rsid w:val="6BFB5B41"/>
    <w:rsid w:val="6C0728F1"/>
    <w:rsid w:val="6C132163"/>
    <w:rsid w:val="6C204EAC"/>
    <w:rsid w:val="6C236C77"/>
    <w:rsid w:val="6C311810"/>
    <w:rsid w:val="6C32654C"/>
    <w:rsid w:val="6C353ED5"/>
    <w:rsid w:val="6C4B4758"/>
    <w:rsid w:val="6C5277C6"/>
    <w:rsid w:val="6C5430D0"/>
    <w:rsid w:val="6C733CAF"/>
    <w:rsid w:val="6C8D4EE6"/>
    <w:rsid w:val="6C9A123C"/>
    <w:rsid w:val="6C9D4FFB"/>
    <w:rsid w:val="6C9F2875"/>
    <w:rsid w:val="6CAF42DD"/>
    <w:rsid w:val="6CBC05BF"/>
    <w:rsid w:val="6CCD5461"/>
    <w:rsid w:val="6CD06142"/>
    <w:rsid w:val="6CD95C70"/>
    <w:rsid w:val="6CDF1345"/>
    <w:rsid w:val="6CEB7CE9"/>
    <w:rsid w:val="6CFF5996"/>
    <w:rsid w:val="6D016A6B"/>
    <w:rsid w:val="6D056FFD"/>
    <w:rsid w:val="6D064B23"/>
    <w:rsid w:val="6D0B038C"/>
    <w:rsid w:val="6D12171A"/>
    <w:rsid w:val="6D196605"/>
    <w:rsid w:val="6D1F7993"/>
    <w:rsid w:val="6D2062AC"/>
    <w:rsid w:val="6D2636F7"/>
    <w:rsid w:val="6D2B52DA"/>
    <w:rsid w:val="6D455D0B"/>
    <w:rsid w:val="6D5118E8"/>
    <w:rsid w:val="6D603D6C"/>
    <w:rsid w:val="6D60667F"/>
    <w:rsid w:val="6D667370"/>
    <w:rsid w:val="6D6E457D"/>
    <w:rsid w:val="6D9126D1"/>
    <w:rsid w:val="6D9510D7"/>
    <w:rsid w:val="6D9B170F"/>
    <w:rsid w:val="6DB225B5"/>
    <w:rsid w:val="6DB22C06"/>
    <w:rsid w:val="6DB62FF6"/>
    <w:rsid w:val="6DC049DE"/>
    <w:rsid w:val="6DC12687"/>
    <w:rsid w:val="6DC553AF"/>
    <w:rsid w:val="6DD93FE6"/>
    <w:rsid w:val="6DE34098"/>
    <w:rsid w:val="6E1F1F42"/>
    <w:rsid w:val="6E310F56"/>
    <w:rsid w:val="6E3C0331"/>
    <w:rsid w:val="6E3D0784"/>
    <w:rsid w:val="6E5B49FB"/>
    <w:rsid w:val="6E661D1D"/>
    <w:rsid w:val="6E687EBA"/>
    <w:rsid w:val="6E6C1A32"/>
    <w:rsid w:val="6E6E3B47"/>
    <w:rsid w:val="6E860C5E"/>
    <w:rsid w:val="6E8E3022"/>
    <w:rsid w:val="6EB449AF"/>
    <w:rsid w:val="6EBA4907"/>
    <w:rsid w:val="6EC84C3C"/>
    <w:rsid w:val="6ECE19F3"/>
    <w:rsid w:val="6ED1680A"/>
    <w:rsid w:val="6F1755B3"/>
    <w:rsid w:val="6F290CD1"/>
    <w:rsid w:val="6F3612AE"/>
    <w:rsid w:val="6F3D238D"/>
    <w:rsid w:val="6F3F2B84"/>
    <w:rsid w:val="6F436E43"/>
    <w:rsid w:val="6F4F1414"/>
    <w:rsid w:val="6F745D74"/>
    <w:rsid w:val="6F7B5355"/>
    <w:rsid w:val="6F83507F"/>
    <w:rsid w:val="6F897881"/>
    <w:rsid w:val="6F9165DB"/>
    <w:rsid w:val="6FB645DF"/>
    <w:rsid w:val="6FBF797F"/>
    <w:rsid w:val="6FC669BD"/>
    <w:rsid w:val="6FCD10F9"/>
    <w:rsid w:val="6FD66A2F"/>
    <w:rsid w:val="6FEC0000"/>
    <w:rsid w:val="70082960"/>
    <w:rsid w:val="700B543D"/>
    <w:rsid w:val="701370B9"/>
    <w:rsid w:val="70231548"/>
    <w:rsid w:val="702E686B"/>
    <w:rsid w:val="703F46DD"/>
    <w:rsid w:val="70653C97"/>
    <w:rsid w:val="706D659A"/>
    <w:rsid w:val="707029DF"/>
    <w:rsid w:val="70710506"/>
    <w:rsid w:val="707368E4"/>
    <w:rsid w:val="708446DD"/>
    <w:rsid w:val="709674C6"/>
    <w:rsid w:val="70A51CDF"/>
    <w:rsid w:val="70A94E62"/>
    <w:rsid w:val="70B00B99"/>
    <w:rsid w:val="70CC1BE0"/>
    <w:rsid w:val="70CE047C"/>
    <w:rsid w:val="70DD73B9"/>
    <w:rsid w:val="711A6DEF"/>
    <w:rsid w:val="711D0717"/>
    <w:rsid w:val="71267542"/>
    <w:rsid w:val="71290159"/>
    <w:rsid w:val="712D6B22"/>
    <w:rsid w:val="713D2F09"/>
    <w:rsid w:val="714B5FB9"/>
    <w:rsid w:val="71562395"/>
    <w:rsid w:val="716D6F1F"/>
    <w:rsid w:val="717B788E"/>
    <w:rsid w:val="717C53B4"/>
    <w:rsid w:val="71995F66"/>
    <w:rsid w:val="71A13ACD"/>
    <w:rsid w:val="71A5490B"/>
    <w:rsid w:val="71D66AF3"/>
    <w:rsid w:val="71DE7E1D"/>
    <w:rsid w:val="71E05943"/>
    <w:rsid w:val="71F17B50"/>
    <w:rsid w:val="71F92EA9"/>
    <w:rsid w:val="720158B9"/>
    <w:rsid w:val="72070621"/>
    <w:rsid w:val="72086C48"/>
    <w:rsid w:val="720C498A"/>
    <w:rsid w:val="720E5A2E"/>
    <w:rsid w:val="72147937"/>
    <w:rsid w:val="722834F7"/>
    <w:rsid w:val="723E08BB"/>
    <w:rsid w:val="724A0215"/>
    <w:rsid w:val="72550A30"/>
    <w:rsid w:val="725B64D6"/>
    <w:rsid w:val="726447C6"/>
    <w:rsid w:val="726E73F3"/>
    <w:rsid w:val="726F6CC7"/>
    <w:rsid w:val="727918F3"/>
    <w:rsid w:val="72840961"/>
    <w:rsid w:val="72861316"/>
    <w:rsid w:val="72A1095F"/>
    <w:rsid w:val="72A207E7"/>
    <w:rsid w:val="72BD7A32"/>
    <w:rsid w:val="72BE2154"/>
    <w:rsid w:val="72C6447E"/>
    <w:rsid w:val="72C74D55"/>
    <w:rsid w:val="72EE408F"/>
    <w:rsid w:val="72F12328"/>
    <w:rsid w:val="72F35B4A"/>
    <w:rsid w:val="72F8122F"/>
    <w:rsid w:val="72FA2A34"/>
    <w:rsid w:val="73047240"/>
    <w:rsid w:val="730833A3"/>
    <w:rsid w:val="730A2808"/>
    <w:rsid w:val="73122E4E"/>
    <w:rsid w:val="731A30D6"/>
    <w:rsid w:val="731F693F"/>
    <w:rsid w:val="733D476A"/>
    <w:rsid w:val="73613ED0"/>
    <w:rsid w:val="73892119"/>
    <w:rsid w:val="738C191C"/>
    <w:rsid w:val="7396706A"/>
    <w:rsid w:val="73A46D8E"/>
    <w:rsid w:val="73AB08E3"/>
    <w:rsid w:val="73BB0416"/>
    <w:rsid w:val="73BC7F83"/>
    <w:rsid w:val="73BF77DA"/>
    <w:rsid w:val="73CF2113"/>
    <w:rsid w:val="73D1635F"/>
    <w:rsid w:val="73E5505E"/>
    <w:rsid w:val="73EF00BF"/>
    <w:rsid w:val="73F2195D"/>
    <w:rsid w:val="73F30997"/>
    <w:rsid w:val="73FD08CF"/>
    <w:rsid w:val="740B1FF0"/>
    <w:rsid w:val="74275DE4"/>
    <w:rsid w:val="74277859"/>
    <w:rsid w:val="742E26AA"/>
    <w:rsid w:val="74323595"/>
    <w:rsid w:val="743C5964"/>
    <w:rsid w:val="744F0AF8"/>
    <w:rsid w:val="744F3741"/>
    <w:rsid w:val="745D50B5"/>
    <w:rsid w:val="746A1E3C"/>
    <w:rsid w:val="746C1710"/>
    <w:rsid w:val="746F28A8"/>
    <w:rsid w:val="7473071B"/>
    <w:rsid w:val="74842EFD"/>
    <w:rsid w:val="749D3FBF"/>
    <w:rsid w:val="74A5696C"/>
    <w:rsid w:val="74A6349C"/>
    <w:rsid w:val="74AD0481"/>
    <w:rsid w:val="74BF5CE3"/>
    <w:rsid w:val="74C22801"/>
    <w:rsid w:val="74FE7C11"/>
    <w:rsid w:val="75053010"/>
    <w:rsid w:val="75093A1C"/>
    <w:rsid w:val="75102208"/>
    <w:rsid w:val="752E5609"/>
    <w:rsid w:val="75446B47"/>
    <w:rsid w:val="755A028F"/>
    <w:rsid w:val="756372C3"/>
    <w:rsid w:val="75691F4A"/>
    <w:rsid w:val="757C1437"/>
    <w:rsid w:val="759D6E95"/>
    <w:rsid w:val="759E6B84"/>
    <w:rsid w:val="75A47F05"/>
    <w:rsid w:val="75B55338"/>
    <w:rsid w:val="75BF2C4A"/>
    <w:rsid w:val="75CA7FC0"/>
    <w:rsid w:val="7610256F"/>
    <w:rsid w:val="7620032D"/>
    <w:rsid w:val="76243BD3"/>
    <w:rsid w:val="762E418C"/>
    <w:rsid w:val="76351605"/>
    <w:rsid w:val="765468FF"/>
    <w:rsid w:val="767E2766"/>
    <w:rsid w:val="76851315"/>
    <w:rsid w:val="768E0063"/>
    <w:rsid w:val="76A03A6B"/>
    <w:rsid w:val="76B33465"/>
    <w:rsid w:val="76C53359"/>
    <w:rsid w:val="76D63F97"/>
    <w:rsid w:val="76DF266D"/>
    <w:rsid w:val="76F123A0"/>
    <w:rsid w:val="770441CB"/>
    <w:rsid w:val="770B0DBB"/>
    <w:rsid w:val="770C7D67"/>
    <w:rsid w:val="771F4D17"/>
    <w:rsid w:val="7730517F"/>
    <w:rsid w:val="773A213A"/>
    <w:rsid w:val="774F434C"/>
    <w:rsid w:val="77565A23"/>
    <w:rsid w:val="77674410"/>
    <w:rsid w:val="77680B0C"/>
    <w:rsid w:val="776963DA"/>
    <w:rsid w:val="77731007"/>
    <w:rsid w:val="777728A5"/>
    <w:rsid w:val="779416A9"/>
    <w:rsid w:val="77976AA4"/>
    <w:rsid w:val="779C230C"/>
    <w:rsid w:val="77A43C98"/>
    <w:rsid w:val="77AB3A7E"/>
    <w:rsid w:val="77B5517C"/>
    <w:rsid w:val="77B82332"/>
    <w:rsid w:val="77BB147D"/>
    <w:rsid w:val="77C90C27"/>
    <w:rsid w:val="77D210A2"/>
    <w:rsid w:val="77D70DAD"/>
    <w:rsid w:val="77E36ED7"/>
    <w:rsid w:val="77EF4B32"/>
    <w:rsid w:val="77F008AA"/>
    <w:rsid w:val="77F876F8"/>
    <w:rsid w:val="780E4F77"/>
    <w:rsid w:val="7839281D"/>
    <w:rsid w:val="783E33C3"/>
    <w:rsid w:val="7840202D"/>
    <w:rsid w:val="78466958"/>
    <w:rsid w:val="784F3EEE"/>
    <w:rsid w:val="785432F8"/>
    <w:rsid w:val="786F5C73"/>
    <w:rsid w:val="787042B7"/>
    <w:rsid w:val="78771375"/>
    <w:rsid w:val="78816041"/>
    <w:rsid w:val="788B4AAF"/>
    <w:rsid w:val="788D722B"/>
    <w:rsid w:val="78900AB7"/>
    <w:rsid w:val="78A713FD"/>
    <w:rsid w:val="78A84CE1"/>
    <w:rsid w:val="78B25C74"/>
    <w:rsid w:val="78BD247C"/>
    <w:rsid w:val="78C077D5"/>
    <w:rsid w:val="78C31CAF"/>
    <w:rsid w:val="78C37D6C"/>
    <w:rsid w:val="78D06050"/>
    <w:rsid w:val="78E55F35"/>
    <w:rsid w:val="78F769BD"/>
    <w:rsid w:val="79071AED"/>
    <w:rsid w:val="7918314D"/>
    <w:rsid w:val="793A002E"/>
    <w:rsid w:val="79554E68"/>
    <w:rsid w:val="796108B4"/>
    <w:rsid w:val="79677A7D"/>
    <w:rsid w:val="796C7485"/>
    <w:rsid w:val="79765CFB"/>
    <w:rsid w:val="797C0E1F"/>
    <w:rsid w:val="797C23F5"/>
    <w:rsid w:val="799367E3"/>
    <w:rsid w:val="79A951B4"/>
    <w:rsid w:val="79BF2E4B"/>
    <w:rsid w:val="79C54D55"/>
    <w:rsid w:val="79CB7BFC"/>
    <w:rsid w:val="79D21E6C"/>
    <w:rsid w:val="79E306C6"/>
    <w:rsid w:val="79F46E6A"/>
    <w:rsid w:val="7A046581"/>
    <w:rsid w:val="7A2D36EF"/>
    <w:rsid w:val="7A3377E0"/>
    <w:rsid w:val="7A362ABC"/>
    <w:rsid w:val="7A3F1373"/>
    <w:rsid w:val="7A8B0DD2"/>
    <w:rsid w:val="7A976A52"/>
    <w:rsid w:val="7AA07F3E"/>
    <w:rsid w:val="7AA515CD"/>
    <w:rsid w:val="7AAD2A82"/>
    <w:rsid w:val="7AB160CE"/>
    <w:rsid w:val="7AB2152D"/>
    <w:rsid w:val="7ACD7E6B"/>
    <w:rsid w:val="7AD60594"/>
    <w:rsid w:val="7AD61962"/>
    <w:rsid w:val="7AF272B8"/>
    <w:rsid w:val="7AFE508C"/>
    <w:rsid w:val="7B0A1C83"/>
    <w:rsid w:val="7B0C1166"/>
    <w:rsid w:val="7B2E5971"/>
    <w:rsid w:val="7B342086"/>
    <w:rsid w:val="7B3B35B8"/>
    <w:rsid w:val="7B474199"/>
    <w:rsid w:val="7B531842"/>
    <w:rsid w:val="7B5B16CF"/>
    <w:rsid w:val="7B6A640F"/>
    <w:rsid w:val="7B717E13"/>
    <w:rsid w:val="7B8D6A8E"/>
    <w:rsid w:val="7BBC2F7D"/>
    <w:rsid w:val="7BDA1655"/>
    <w:rsid w:val="7BF6317E"/>
    <w:rsid w:val="7BFB1D5B"/>
    <w:rsid w:val="7BFC23F6"/>
    <w:rsid w:val="7BFF10BB"/>
    <w:rsid w:val="7BFF11E7"/>
    <w:rsid w:val="7C0E57A2"/>
    <w:rsid w:val="7C171D90"/>
    <w:rsid w:val="7C172E38"/>
    <w:rsid w:val="7C1C1C6D"/>
    <w:rsid w:val="7C39225B"/>
    <w:rsid w:val="7C3C7FC7"/>
    <w:rsid w:val="7C416BFD"/>
    <w:rsid w:val="7C43544C"/>
    <w:rsid w:val="7C485F9F"/>
    <w:rsid w:val="7C6418B3"/>
    <w:rsid w:val="7C801B36"/>
    <w:rsid w:val="7C8E336B"/>
    <w:rsid w:val="7C9F7900"/>
    <w:rsid w:val="7CB31F25"/>
    <w:rsid w:val="7CB7092B"/>
    <w:rsid w:val="7CBE2D25"/>
    <w:rsid w:val="7CC7600D"/>
    <w:rsid w:val="7CE05C2D"/>
    <w:rsid w:val="7CFB7AD5"/>
    <w:rsid w:val="7D102D4A"/>
    <w:rsid w:val="7D2A75E5"/>
    <w:rsid w:val="7D2B72A5"/>
    <w:rsid w:val="7D2E0C48"/>
    <w:rsid w:val="7D3D00ED"/>
    <w:rsid w:val="7D3D7B44"/>
    <w:rsid w:val="7D5F0D87"/>
    <w:rsid w:val="7D6733BC"/>
    <w:rsid w:val="7D773BD9"/>
    <w:rsid w:val="7D8F41D3"/>
    <w:rsid w:val="7DB24046"/>
    <w:rsid w:val="7DCB394B"/>
    <w:rsid w:val="7DCE6F97"/>
    <w:rsid w:val="7DE120AC"/>
    <w:rsid w:val="7DE91552"/>
    <w:rsid w:val="7DEC692A"/>
    <w:rsid w:val="7DF2702E"/>
    <w:rsid w:val="7DF340BF"/>
    <w:rsid w:val="7E017FB4"/>
    <w:rsid w:val="7E042CC1"/>
    <w:rsid w:val="7E132DE5"/>
    <w:rsid w:val="7E170BD8"/>
    <w:rsid w:val="7E3615B3"/>
    <w:rsid w:val="7E40677C"/>
    <w:rsid w:val="7E646068"/>
    <w:rsid w:val="7E65736C"/>
    <w:rsid w:val="7E6F7C7C"/>
    <w:rsid w:val="7E745D91"/>
    <w:rsid w:val="7E887BC4"/>
    <w:rsid w:val="7E9514B4"/>
    <w:rsid w:val="7E982E8E"/>
    <w:rsid w:val="7EA633B5"/>
    <w:rsid w:val="7EA67F14"/>
    <w:rsid w:val="7EAE6CBB"/>
    <w:rsid w:val="7EAF2140"/>
    <w:rsid w:val="7EBB7A38"/>
    <w:rsid w:val="7EBE700C"/>
    <w:rsid w:val="7ECC56B5"/>
    <w:rsid w:val="7ECC7805"/>
    <w:rsid w:val="7EDB634B"/>
    <w:rsid w:val="7EDB7BBE"/>
    <w:rsid w:val="7EEB7184"/>
    <w:rsid w:val="7EF95DA4"/>
    <w:rsid w:val="7F1B1E63"/>
    <w:rsid w:val="7F313C82"/>
    <w:rsid w:val="7F3E04A7"/>
    <w:rsid w:val="7F6376B4"/>
    <w:rsid w:val="7F7643C5"/>
    <w:rsid w:val="7F875650"/>
    <w:rsid w:val="7F975160"/>
    <w:rsid w:val="7FA426B1"/>
    <w:rsid w:val="7FCB7818"/>
    <w:rsid w:val="7FCE693F"/>
    <w:rsid w:val="7FF76C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nhideWhenUsed="0" w:uiPriority="39" w:semiHidden="0" w:name="toc 9"/>
    <w:lsdException w:qFormat="1" w:unhideWhenUsed="0" w:uiPriority="0" w:semiHidden="0" w:name="Normal Indent"/>
    <w:lsdException w:qFormat="1" w:unhideWhenUsed="0" w:uiPriority="99"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nhideWhenUsed="0" w:uiPriority="0" w:semiHidden="0" w:name="caption"/>
    <w:lsdException w:qFormat="1" w:uiPriority="99" w:semiHidden="0"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qFormat="1" w:unhideWhenUsed="0" w:uiPriority="0" w:semiHidden="0" w:name="endnote text"/>
    <w:lsdException w:uiPriority="99" w:name="table of authorities"/>
    <w:lsdException w:uiPriority="99" w:name="macro"/>
    <w:lsdException w:qFormat="1" w:unhideWhenUsed="0" w:uiPriority="0" w:semiHidden="0" w:name="toa heading"/>
    <w:lsdException w:qFormat="1" w:unhideWhenUsed="0" w:uiPriority="99" w:semiHidden="0" w:name="List"/>
    <w:lsdException w:qFormat="1" w:unhideWhenUsed="0" w:uiPriority="0" w:semiHidden="0" w:name="List Bullet"/>
    <w:lsdException w:qFormat="1" w:unhideWhenUsed="0" w:uiPriority="0" w:semiHidden="0" w:name="List Number"/>
    <w:lsdException w:uiPriority="99"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qFormat="1" w:unhideWhenUsed="0" w:uiPriority="0" w:semiHidden="0" w:name="List Number 2"/>
    <w:lsdException w:qFormat="1" w:unhideWhenUsed="0" w:uiPriority="0" w:semiHidden="0" w:name="List Number 3"/>
    <w:lsdException w:uiPriority="99" w:name="List Number 4"/>
    <w:lsdException w:uiPriority="99" w:name="List Number 5"/>
    <w:lsdException w:qFormat="1" w:unhideWhenUsed="0" w:uiPriority="0" w:semiHidden="0" w:name="Title"/>
    <w:lsdException w:qFormat="1" w:unhideWhenUsed="0" w:uiPriority="0" w:semiHidden="0" w:name="Closing"/>
    <w:lsdException w:uiPriority="99" w:name="Signature"/>
    <w:lsdException w:qFormat="1" w:uiPriority="1" w:name="Default Paragraph Font"/>
    <w:lsdException w:qFormat="1" w:unhideWhenUsed="0"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99" w:semiHidden="0" w:name="Body Text 3"/>
    <w:lsdException w:qFormat="1" w:unhideWhenUsed="0" w:uiPriority="0" w:semiHidden="0" w:name="Body Text Indent 2"/>
    <w:lsdException w:qFormat="1" w:unhideWhenUsed="0" w:uiPriority="99" w:semiHidden="0" w:name="Body Text Indent 3"/>
    <w:lsdException w:qFormat="1" w:unhideWhenUsed="0" w:uiPriority="0" w:semiHidden="0"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qFormat="1" w:uiPriority="99" w:semiHidden="0" w:name="HTML Cite"/>
    <w:lsdException w:qFormat="1" w:uiPriority="99" w:semiHidden="0" w:name="HTML Code"/>
    <w:lsdException w:qFormat="1" w:uiPriority="99" w:semiHidden="0" w:name="HTML Definition"/>
    <w:lsdException w:qFormat="1" w:uiPriority="99" w:semiHidden="0" w:name="HTML Keyboard"/>
    <w:lsdException w:qFormat="1" w:unhideWhenUsed="0" w:uiPriority="0" w:semiHidden="0" w:name="HTML Preformatted"/>
    <w:lsdException w:qFormat="1" w:uiPriority="99" w:semiHidden="0" w:name="HTML Sample"/>
    <w:lsdException w:uiPriority="99" w:name="HTML Typewriter"/>
    <w:lsdException w:qFormat="1" w:uiPriority="99"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qFormat="1" w:unhideWhenUsed="0" w:uiPriority="99" w:name="Placeholder Text"/>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link w:val="240"/>
    <w:qFormat/>
    <w:uiPriority w:val="0"/>
    <w:pPr>
      <w:keepNext/>
      <w:keepLines/>
      <w:spacing w:line="360" w:lineRule="auto"/>
      <w:outlineLvl w:val="0"/>
    </w:pPr>
    <w:rPr>
      <w:b/>
      <w:kern w:val="44"/>
      <w:sz w:val="32"/>
    </w:rPr>
  </w:style>
  <w:style w:type="paragraph" w:styleId="4">
    <w:name w:val="heading 2"/>
    <w:basedOn w:val="1"/>
    <w:next w:val="1"/>
    <w:link w:val="241"/>
    <w:qFormat/>
    <w:uiPriority w:val="0"/>
    <w:pPr>
      <w:keepNext/>
      <w:keepLines/>
      <w:spacing w:before="260" w:after="260" w:line="415" w:lineRule="auto"/>
      <w:outlineLvl w:val="1"/>
    </w:pPr>
    <w:rPr>
      <w:rFonts w:ascii="Arial" w:hAnsi="Arial" w:eastAsia="黑体"/>
      <w:b/>
      <w:kern w:val="0"/>
      <w:sz w:val="32"/>
    </w:rPr>
  </w:style>
  <w:style w:type="paragraph" w:styleId="5">
    <w:name w:val="heading 3"/>
    <w:basedOn w:val="1"/>
    <w:next w:val="1"/>
    <w:link w:val="242"/>
    <w:qFormat/>
    <w:uiPriority w:val="0"/>
    <w:pPr>
      <w:keepNext/>
      <w:keepLines/>
      <w:spacing w:line="360" w:lineRule="auto"/>
      <w:outlineLvl w:val="2"/>
    </w:pPr>
    <w:rPr>
      <w:b/>
      <w:kern w:val="0"/>
      <w:sz w:val="24"/>
    </w:rPr>
  </w:style>
  <w:style w:type="paragraph" w:styleId="6">
    <w:name w:val="heading 4"/>
    <w:basedOn w:val="1"/>
    <w:next w:val="1"/>
    <w:link w:val="243"/>
    <w:qFormat/>
    <w:uiPriority w:val="0"/>
    <w:pPr>
      <w:keepNext/>
      <w:keepLines/>
      <w:spacing w:line="360" w:lineRule="auto"/>
      <w:outlineLvl w:val="3"/>
    </w:pPr>
    <w:rPr>
      <w:rFonts w:ascii="Arial" w:hAnsi="Arial"/>
      <w:b/>
      <w:kern w:val="0"/>
      <w:sz w:val="20"/>
    </w:rPr>
  </w:style>
  <w:style w:type="paragraph" w:styleId="7">
    <w:name w:val="heading 5"/>
    <w:basedOn w:val="1"/>
    <w:next w:val="1"/>
    <w:link w:val="244"/>
    <w:qFormat/>
    <w:uiPriority w:val="0"/>
    <w:pPr>
      <w:keepNext/>
      <w:keepLines/>
      <w:adjustRightInd w:val="0"/>
      <w:spacing w:before="120" w:after="120" w:line="480" w:lineRule="atLeast"/>
      <w:ind w:left="375" w:hanging="375" w:hangingChars="125"/>
      <w:textAlignment w:val="baseline"/>
      <w:outlineLvl w:val="4"/>
    </w:pPr>
    <w:rPr>
      <w:rFonts w:eastAsia="楷体_GB2312"/>
      <w:b/>
      <w:kern w:val="0"/>
      <w:sz w:val="30"/>
    </w:rPr>
  </w:style>
  <w:style w:type="paragraph" w:styleId="8">
    <w:name w:val="heading 6"/>
    <w:basedOn w:val="1"/>
    <w:next w:val="1"/>
    <w:link w:val="245"/>
    <w:qFormat/>
    <w:uiPriority w:val="0"/>
    <w:pPr>
      <w:keepNext/>
      <w:keepLines/>
      <w:widowControl/>
      <w:numPr>
        <w:ilvl w:val="5"/>
        <w:numId w:val="1"/>
      </w:numPr>
      <w:tabs>
        <w:tab w:val="left" w:pos="1440"/>
      </w:tabs>
      <w:spacing w:before="240" w:after="64" w:line="317" w:lineRule="auto"/>
      <w:jc w:val="left"/>
      <w:outlineLvl w:val="5"/>
    </w:pPr>
    <w:rPr>
      <w:rFonts w:ascii="Arial" w:hAnsi="Arial" w:eastAsia="黑体"/>
      <w:b/>
      <w:bCs/>
      <w:kern w:val="0"/>
      <w:sz w:val="24"/>
      <w:szCs w:val="24"/>
    </w:rPr>
  </w:style>
  <w:style w:type="paragraph" w:styleId="9">
    <w:name w:val="heading 7"/>
    <w:basedOn w:val="1"/>
    <w:next w:val="1"/>
    <w:link w:val="246"/>
    <w:qFormat/>
    <w:uiPriority w:val="0"/>
    <w:pPr>
      <w:keepNext/>
      <w:keepLines/>
      <w:widowControl/>
      <w:numPr>
        <w:ilvl w:val="6"/>
        <w:numId w:val="2"/>
      </w:numPr>
      <w:tabs>
        <w:tab w:val="left" w:pos="2520"/>
      </w:tabs>
      <w:spacing w:before="240" w:after="64" w:line="317" w:lineRule="auto"/>
      <w:jc w:val="left"/>
      <w:outlineLvl w:val="6"/>
    </w:pPr>
    <w:rPr>
      <w:b/>
      <w:bCs/>
      <w:kern w:val="0"/>
      <w:sz w:val="24"/>
      <w:szCs w:val="24"/>
    </w:rPr>
  </w:style>
  <w:style w:type="paragraph" w:styleId="10">
    <w:name w:val="heading 8"/>
    <w:basedOn w:val="1"/>
    <w:next w:val="1"/>
    <w:link w:val="247"/>
    <w:qFormat/>
    <w:uiPriority w:val="0"/>
    <w:pPr>
      <w:keepNext/>
      <w:keepLines/>
      <w:widowControl/>
      <w:numPr>
        <w:ilvl w:val="7"/>
        <w:numId w:val="2"/>
      </w:numPr>
      <w:tabs>
        <w:tab w:val="left" w:pos="1440"/>
      </w:tabs>
      <w:spacing w:before="240" w:after="64" w:line="317" w:lineRule="auto"/>
      <w:jc w:val="left"/>
      <w:outlineLvl w:val="7"/>
    </w:pPr>
    <w:rPr>
      <w:rFonts w:ascii="Arial" w:hAnsi="Arial" w:eastAsia="黑体"/>
      <w:kern w:val="0"/>
      <w:sz w:val="24"/>
      <w:szCs w:val="24"/>
    </w:rPr>
  </w:style>
  <w:style w:type="paragraph" w:styleId="11">
    <w:name w:val="heading 9"/>
    <w:basedOn w:val="1"/>
    <w:next w:val="1"/>
    <w:link w:val="248"/>
    <w:qFormat/>
    <w:uiPriority w:val="0"/>
    <w:pPr>
      <w:keepNext/>
      <w:keepLines/>
      <w:widowControl/>
      <w:numPr>
        <w:ilvl w:val="8"/>
        <w:numId w:val="2"/>
      </w:numPr>
      <w:tabs>
        <w:tab w:val="left" w:pos="1584"/>
      </w:tabs>
      <w:spacing w:before="240" w:after="64" w:line="317" w:lineRule="auto"/>
      <w:jc w:val="left"/>
      <w:outlineLvl w:val="8"/>
    </w:pPr>
    <w:rPr>
      <w:rFonts w:ascii="Arial" w:hAnsi="Arial" w:eastAsia="黑体"/>
      <w:kern w:val="0"/>
      <w:sz w:val="20"/>
      <w:szCs w:val="21"/>
    </w:rPr>
  </w:style>
  <w:style w:type="character" w:default="1" w:styleId="59">
    <w:name w:val="Default Paragraph Font"/>
    <w:semiHidden/>
    <w:unhideWhenUsed/>
    <w:qFormat/>
    <w:uiPriority w:val="1"/>
  </w:style>
  <w:style w:type="table" w:default="1" w:styleId="57">
    <w:name w:val="Normal Table"/>
    <w:semiHidden/>
    <w:unhideWhenUsed/>
    <w:qFormat/>
    <w:uiPriority w:val="99"/>
    <w:tblPr>
      <w:tblCellMar>
        <w:top w:w="0" w:type="dxa"/>
        <w:left w:w="108" w:type="dxa"/>
        <w:bottom w:w="0" w:type="dxa"/>
        <w:right w:w="108" w:type="dxa"/>
      </w:tblCellMar>
    </w:tblPr>
  </w:style>
  <w:style w:type="paragraph" w:styleId="2">
    <w:name w:val="Normal Indent"/>
    <w:basedOn w:val="1"/>
    <w:next w:val="1"/>
    <w:link w:val="249"/>
    <w:qFormat/>
    <w:uiPriority w:val="0"/>
    <w:pPr>
      <w:ind w:firstLine="420"/>
    </w:pPr>
    <w:rPr>
      <w:kern w:val="0"/>
      <w:sz w:val="20"/>
    </w:rPr>
  </w:style>
  <w:style w:type="paragraph" w:styleId="12">
    <w:name w:val="List 3"/>
    <w:basedOn w:val="1"/>
    <w:qFormat/>
    <w:uiPriority w:val="0"/>
    <w:pPr>
      <w:ind w:left="100" w:leftChars="400" w:hanging="200" w:hangingChars="200"/>
      <w:contextualSpacing/>
    </w:pPr>
    <w:rPr>
      <w:szCs w:val="24"/>
    </w:rPr>
  </w:style>
  <w:style w:type="paragraph" w:styleId="13">
    <w:name w:val="toc 7"/>
    <w:basedOn w:val="1"/>
    <w:next w:val="1"/>
    <w:unhideWhenUsed/>
    <w:qFormat/>
    <w:uiPriority w:val="39"/>
    <w:pPr>
      <w:ind w:left="2520" w:leftChars="1200"/>
    </w:pPr>
    <w:rPr>
      <w:rFonts w:ascii="Calibri" w:hAnsi="Calibri"/>
      <w:szCs w:val="22"/>
    </w:rPr>
  </w:style>
  <w:style w:type="paragraph" w:styleId="14">
    <w:name w:val="List Number 2"/>
    <w:basedOn w:val="1"/>
    <w:qFormat/>
    <w:uiPriority w:val="0"/>
    <w:pPr>
      <w:widowControl/>
      <w:tabs>
        <w:tab w:val="left" w:pos="1260"/>
        <w:tab w:val="left" w:pos="1680"/>
      </w:tabs>
      <w:spacing w:afterLines="50"/>
      <w:ind w:left="3360" w:hanging="420"/>
      <w:jc w:val="left"/>
    </w:pPr>
    <w:rPr>
      <w:rFonts w:eastAsia="楷体_GB2312"/>
      <w:kern w:val="0"/>
      <w:sz w:val="24"/>
    </w:rPr>
  </w:style>
  <w:style w:type="paragraph" w:styleId="15">
    <w:name w:val="List Number"/>
    <w:basedOn w:val="1"/>
    <w:qFormat/>
    <w:uiPriority w:val="0"/>
    <w:pPr>
      <w:tabs>
        <w:tab w:val="left" w:pos="840"/>
      </w:tabs>
      <w:ind w:left="840" w:hanging="420"/>
    </w:pPr>
    <w:rPr>
      <w:rFonts w:eastAsia="楷体_GB2312"/>
    </w:rPr>
  </w:style>
  <w:style w:type="paragraph" w:styleId="16">
    <w:name w:val="caption"/>
    <w:basedOn w:val="1"/>
    <w:next w:val="1"/>
    <w:qFormat/>
    <w:uiPriority w:val="0"/>
    <w:rPr>
      <w:rFonts w:ascii="Cambria" w:hAnsi="Cambria" w:eastAsia="黑体"/>
      <w:sz w:val="20"/>
    </w:rPr>
  </w:style>
  <w:style w:type="paragraph" w:styleId="17">
    <w:name w:val="List Bullet"/>
    <w:basedOn w:val="1"/>
    <w:qFormat/>
    <w:uiPriority w:val="0"/>
    <w:pPr>
      <w:numPr>
        <w:ilvl w:val="0"/>
        <w:numId w:val="3"/>
      </w:numPr>
    </w:pPr>
    <w:rPr>
      <w:szCs w:val="24"/>
    </w:rPr>
  </w:style>
  <w:style w:type="paragraph" w:styleId="18">
    <w:name w:val="Document Map"/>
    <w:basedOn w:val="1"/>
    <w:link w:val="250"/>
    <w:qFormat/>
    <w:uiPriority w:val="0"/>
    <w:pPr>
      <w:shd w:val="clear" w:color="auto" w:fill="000080"/>
    </w:pPr>
    <w:rPr>
      <w:kern w:val="0"/>
      <w:sz w:val="20"/>
    </w:rPr>
  </w:style>
  <w:style w:type="paragraph" w:styleId="19">
    <w:name w:val="toa heading"/>
    <w:basedOn w:val="1"/>
    <w:next w:val="1"/>
    <w:qFormat/>
    <w:uiPriority w:val="0"/>
    <w:pPr>
      <w:spacing w:before="120"/>
    </w:pPr>
    <w:rPr>
      <w:rFonts w:ascii="Cambria" w:hAnsi="Cambria"/>
      <w:sz w:val="24"/>
      <w:szCs w:val="24"/>
    </w:rPr>
  </w:style>
  <w:style w:type="paragraph" w:styleId="20">
    <w:name w:val="annotation text"/>
    <w:basedOn w:val="1"/>
    <w:link w:val="251"/>
    <w:qFormat/>
    <w:uiPriority w:val="0"/>
    <w:pPr>
      <w:jc w:val="left"/>
    </w:pPr>
    <w:rPr>
      <w:kern w:val="0"/>
      <w:sz w:val="20"/>
      <w:szCs w:val="24"/>
    </w:rPr>
  </w:style>
  <w:style w:type="paragraph" w:styleId="21">
    <w:name w:val="Salutation"/>
    <w:basedOn w:val="1"/>
    <w:next w:val="1"/>
    <w:link w:val="252"/>
    <w:qFormat/>
    <w:uiPriority w:val="0"/>
    <w:rPr>
      <w:rFonts w:eastAsia="楷体_GB2312"/>
      <w:sz w:val="24"/>
    </w:rPr>
  </w:style>
  <w:style w:type="paragraph" w:styleId="22">
    <w:name w:val="Body Text 3"/>
    <w:basedOn w:val="1"/>
    <w:link w:val="253"/>
    <w:qFormat/>
    <w:uiPriority w:val="99"/>
    <w:pPr>
      <w:adjustRightInd w:val="0"/>
      <w:spacing w:after="120"/>
      <w:jc w:val="left"/>
      <w:textAlignment w:val="baseline"/>
    </w:pPr>
    <w:rPr>
      <w:kern w:val="0"/>
      <w:sz w:val="16"/>
      <w:szCs w:val="16"/>
    </w:rPr>
  </w:style>
  <w:style w:type="paragraph" w:styleId="23">
    <w:name w:val="Closing"/>
    <w:basedOn w:val="1"/>
    <w:link w:val="254"/>
    <w:qFormat/>
    <w:uiPriority w:val="0"/>
    <w:pPr>
      <w:ind w:left="100" w:leftChars="2100"/>
    </w:pPr>
    <w:rPr>
      <w:rFonts w:eastAsia="楷体_GB2312"/>
      <w:sz w:val="24"/>
    </w:rPr>
  </w:style>
  <w:style w:type="paragraph" w:styleId="24">
    <w:name w:val="Body Text"/>
    <w:basedOn w:val="1"/>
    <w:next w:val="1"/>
    <w:link w:val="255"/>
    <w:qFormat/>
    <w:uiPriority w:val="0"/>
    <w:pPr>
      <w:spacing w:after="120"/>
    </w:pPr>
    <w:rPr>
      <w:kern w:val="0"/>
      <w:sz w:val="20"/>
      <w:szCs w:val="24"/>
    </w:rPr>
  </w:style>
  <w:style w:type="paragraph" w:styleId="25">
    <w:name w:val="Body Text Indent"/>
    <w:basedOn w:val="1"/>
    <w:next w:val="1"/>
    <w:link w:val="256"/>
    <w:qFormat/>
    <w:uiPriority w:val="99"/>
    <w:pPr>
      <w:spacing w:after="120"/>
      <w:ind w:left="420" w:leftChars="200"/>
    </w:pPr>
    <w:rPr>
      <w:kern w:val="0"/>
      <w:sz w:val="20"/>
    </w:rPr>
  </w:style>
  <w:style w:type="paragraph" w:styleId="26">
    <w:name w:val="List Number 3"/>
    <w:basedOn w:val="1"/>
    <w:qFormat/>
    <w:uiPriority w:val="0"/>
    <w:pPr>
      <w:tabs>
        <w:tab w:val="left" w:pos="360"/>
        <w:tab w:val="left" w:pos="1200"/>
      </w:tabs>
      <w:ind w:left="360" w:hanging="360"/>
    </w:pPr>
    <w:rPr>
      <w:rFonts w:eastAsia="楷体_GB2312"/>
    </w:rPr>
  </w:style>
  <w:style w:type="paragraph" w:styleId="27">
    <w:name w:val="Block Text"/>
    <w:basedOn w:val="1"/>
    <w:qFormat/>
    <w:uiPriority w:val="0"/>
    <w:pPr>
      <w:widowControl/>
      <w:spacing w:after="120"/>
      <w:ind w:left="1440" w:leftChars="700" w:right="1440" w:rightChars="700"/>
      <w:jc w:val="left"/>
    </w:pPr>
    <w:rPr>
      <w:kern w:val="0"/>
      <w:sz w:val="20"/>
    </w:rPr>
  </w:style>
  <w:style w:type="paragraph" w:styleId="28">
    <w:name w:val="index 4"/>
    <w:basedOn w:val="1"/>
    <w:next w:val="1"/>
    <w:qFormat/>
    <w:uiPriority w:val="0"/>
    <w:pPr>
      <w:ind w:left="600" w:leftChars="600"/>
    </w:pPr>
    <w:rPr>
      <w:szCs w:val="24"/>
    </w:rPr>
  </w:style>
  <w:style w:type="paragraph" w:styleId="29">
    <w:name w:val="toc 5"/>
    <w:basedOn w:val="1"/>
    <w:next w:val="1"/>
    <w:unhideWhenUsed/>
    <w:qFormat/>
    <w:uiPriority w:val="39"/>
    <w:pPr>
      <w:ind w:left="1680" w:leftChars="800"/>
    </w:pPr>
    <w:rPr>
      <w:rFonts w:ascii="Calibri" w:hAnsi="Calibri"/>
      <w:szCs w:val="22"/>
    </w:rPr>
  </w:style>
  <w:style w:type="paragraph" w:styleId="30">
    <w:name w:val="toc 3"/>
    <w:basedOn w:val="1"/>
    <w:next w:val="1"/>
    <w:qFormat/>
    <w:uiPriority w:val="39"/>
    <w:pPr>
      <w:ind w:left="840" w:leftChars="400"/>
    </w:pPr>
  </w:style>
  <w:style w:type="paragraph" w:styleId="31">
    <w:name w:val="Plain Text"/>
    <w:basedOn w:val="1"/>
    <w:next w:val="1"/>
    <w:link w:val="257"/>
    <w:qFormat/>
    <w:uiPriority w:val="0"/>
    <w:rPr>
      <w:rFonts w:ascii="宋体" w:hAnsi="Courier New"/>
      <w:kern w:val="0"/>
      <w:sz w:val="20"/>
    </w:rPr>
  </w:style>
  <w:style w:type="paragraph" w:styleId="32">
    <w:name w:val="toc 8"/>
    <w:basedOn w:val="1"/>
    <w:next w:val="1"/>
    <w:unhideWhenUsed/>
    <w:qFormat/>
    <w:uiPriority w:val="39"/>
    <w:pPr>
      <w:ind w:left="2940" w:leftChars="1400"/>
    </w:pPr>
    <w:rPr>
      <w:rFonts w:ascii="Calibri" w:hAnsi="Calibri"/>
      <w:szCs w:val="22"/>
    </w:rPr>
  </w:style>
  <w:style w:type="paragraph" w:styleId="33">
    <w:name w:val="Date"/>
    <w:basedOn w:val="1"/>
    <w:next w:val="1"/>
    <w:link w:val="258"/>
    <w:qFormat/>
    <w:uiPriority w:val="0"/>
    <w:pPr>
      <w:ind w:left="2500" w:leftChars="2500"/>
    </w:pPr>
    <w:rPr>
      <w:rFonts w:ascii="宋体" w:hAnsi="宋体"/>
      <w:kern w:val="0"/>
      <w:sz w:val="32"/>
    </w:rPr>
  </w:style>
  <w:style w:type="paragraph" w:styleId="34">
    <w:name w:val="Body Text Indent 2"/>
    <w:basedOn w:val="1"/>
    <w:link w:val="259"/>
    <w:qFormat/>
    <w:uiPriority w:val="0"/>
    <w:pPr>
      <w:widowControl/>
      <w:spacing w:after="120" w:line="480" w:lineRule="auto"/>
      <w:ind w:left="420" w:leftChars="200"/>
      <w:jc w:val="left"/>
    </w:pPr>
    <w:rPr>
      <w:kern w:val="0"/>
      <w:sz w:val="20"/>
    </w:rPr>
  </w:style>
  <w:style w:type="paragraph" w:styleId="35">
    <w:name w:val="endnote text"/>
    <w:basedOn w:val="1"/>
    <w:next w:val="1"/>
    <w:link w:val="260"/>
    <w:qFormat/>
    <w:uiPriority w:val="0"/>
    <w:pPr>
      <w:snapToGrid w:val="0"/>
      <w:jc w:val="left"/>
    </w:pPr>
    <w:rPr>
      <w:rFonts w:eastAsia="楷体_GB2312"/>
      <w:szCs w:val="24"/>
    </w:rPr>
  </w:style>
  <w:style w:type="paragraph" w:styleId="36">
    <w:name w:val="Balloon Text"/>
    <w:basedOn w:val="1"/>
    <w:link w:val="261"/>
    <w:qFormat/>
    <w:uiPriority w:val="0"/>
    <w:rPr>
      <w:kern w:val="0"/>
      <w:sz w:val="18"/>
    </w:rPr>
  </w:style>
  <w:style w:type="paragraph" w:styleId="37">
    <w:name w:val="footer"/>
    <w:basedOn w:val="1"/>
    <w:link w:val="262"/>
    <w:qFormat/>
    <w:uiPriority w:val="0"/>
    <w:pPr>
      <w:tabs>
        <w:tab w:val="center" w:pos="4153"/>
        <w:tab w:val="right" w:pos="8306"/>
      </w:tabs>
      <w:snapToGrid w:val="0"/>
      <w:jc w:val="left"/>
    </w:pPr>
    <w:rPr>
      <w:kern w:val="0"/>
      <w:sz w:val="18"/>
    </w:rPr>
  </w:style>
  <w:style w:type="paragraph" w:styleId="38">
    <w:name w:val="header"/>
    <w:basedOn w:val="1"/>
    <w:link w:val="263"/>
    <w:qFormat/>
    <w:uiPriority w:val="0"/>
    <w:pPr>
      <w:pBdr>
        <w:bottom w:val="single" w:color="auto" w:sz="6" w:space="1"/>
      </w:pBdr>
      <w:tabs>
        <w:tab w:val="center" w:pos="4153"/>
        <w:tab w:val="right" w:pos="8306"/>
      </w:tabs>
      <w:snapToGrid w:val="0"/>
      <w:jc w:val="center"/>
    </w:pPr>
    <w:rPr>
      <w:kern w:val="0"/>
      <w:sz w:val="18"/>
    </w:rPr>
  </w:style>
  <w:style w:type="paragraph" w:styleId="39">
    <w:name w:val="toc 1"/>
    <w:basedOn w:val="1"/>
    <w:next w:val="1"/>
    <w:qFormat/>
    <w:uiPriority w:val="39"/>
  </w:style>
  <w:style w:type="paragraph" w:styleId="40">
    <w:name w:val="toc 4"/>
    <w:basedOn w:val="1"/>
    <w:next w:val="1"/>
    <w:unhideWhenUsed/>
    <w:qFormat/>
    <w:uiPriority w:val="39"/>
    <w:pPr>
      <w:ind w:left="1260" w:leftChars="600"/>
    </w:pPr>
  </w:style>
  <w:style w:type="paragraph" w:styleId="41">
    <w:name w:val="Subtitle"/>
    <w:basedOn w:val="1"/>
    <w:next w:val="1"/>
    <w:link w:val="264"/>
    <w:qFormat/>
    <w:uiPriority w:val="0"/>
    <w:pPr>
      <w:spacing w:before="240" w:after="60" w:line="312" w:lineRule="auto"/>
      <w:jc w:val="center"/>
      <w:outlineLvl w:val="1"/>
    </w:pPr>
    <w:rPr>
      <w:rFonts w:ascii="Cambria" w:hAnsi="Cambria"/>
      <w:b/>
      <w:bCs/>
      <w:kern w:val="28"/>
      <w:sz w:val="32"/>
      <w:szCs w:val="32"/>
    </w:rPr>
  </w:style>
  <w:style w:type="paragraph" w:styleId="42">
    <w:name w:val="List"/>
    <w:basedOn w:val="1"/>
    <w:qFormat/>
    <w:uiPriority w:val="99"/>
    <w:pPr>
      <w:ind w:left="200" w:hanging="200" w:hangingChars="200"/>
      <w:contextualSpacing/>
    </w:pPr>
    <w:rPr>
      <w:szCs w:val="24"/>
    </w:rPr>
  </w:style>
  <w:style w:type="paragraph" w:styleId="43">
    <w:name w:val="footnote text"/>
    <w:basedOn w:val="1"/>
    <w:link w:val="265"/>
    <w:qFormat/>
    <w:uiPriority w:val="99"/>
    <w:pPr>
      <w:adjustRightInd w:val="0"/>
      <w:spacing w:line="312" w:lineRule="atLeast"/>
      <w:jc w:val="left"/>
      <w:textAlignment w:val="baseline"/>
    </w:pPr>
    <w:rPr>
      <w:kern w:val="0"/>
      <w:sz w:val="18"/>
    </w:rPr>
  </w:style>
  <w:style w:type="paragraph" w:styleId="44">
    <w:name w:val="toc 6"/>
    <w:basedOn w:val="1"/>
    <w:next w:val="1"/>
    <w:unhideWhenUsed/>
    <w:qFormat/>
    <w:uiPriority w:val="39"/>
    <w:pPr>
      <w:ind w:left="2100" w:leftChars="1000"/>
    </w:pPr>
    <w:rPr>
      <w:rFonts w:ascii="Calibri" w:hAnsi="Calibri"/>
      <w:szCs w:val="22"/>
    </w:rPr>
  </w:style>
  <w:style w:type="paragraph" w:styleId="45">
    <w:name w:val="Body Text Indent 3"/>
    <w:basedOn w:val="1"/>
    <w:link w:val="266"/>
    <w:qFormat/>
    <w:uiPriority w:val="99"/>
    <w:pPr>
      <w:widowControl/>
      <w:spacing w:after="120"/>
      <w:ind w:left="420" w:leftChars="200"/>
      <w:jc w:val="left"/>
    </w:pPr>
    <w:rPr>
      <w:kern w:val="0"/>
      <w:sz w:val="16"/>
      <w:szCs w:val="16"/>
    </w:rPr>
  </w:style>
  <w:style w:type="paragraph" w:styleId="46">
    <w:name w:val="table of figures"/>
    <w:basedOn w:val="1"/>
    <w:next w:val="1"/>
    <w:unhideWhenUsed/>
    <w:qFormat/>
    <w:uiPriority w:val="99"/>
    <w:pPr>
      <w:ind w:left="200" w:leftChars="200" w:hanging="200" w:hangingChars="200"/>
    </w:pPr>
    <w:rPr>
      <w:szCs w:val="24"/>
    </w:rPr>
  </w:style>
  <w:style w:type="paragraph" w:styleId="47">
    <w:name w:val="toc 2"/>
    <w:basedOn w:val="1"/>
    <w:next w:val="1"/>
    <w:qFormat/>
    <w:uiPriority w:val="39"/>
    <w:pPr>
      <w:ind w:left="420" w:leftChars="200"/>
    </w:pPr>
  </w:style>
  <w:style w:type="paragraph" w:styleId="48">
    <w:name w:val="toc 9"/>
    <w:basedOn w:val="1"/>
    <w:next w:val="1"/>
    <w:qFormat/>
    <w:uiPriority w:val="39"/>
    <w:pPr>
      <w:tabs>
        <w:tab w:val="right" w:pos="8306"/>
      </w:tabs>
      <w:spacing w:beforeLines="50" w:line="300" w:lineRule="atLeast"/>
      <w:jc w:val="center"/>
    </w:pPr>
    <w:rPr>
      <w:rFonts w:ascii="宋体" w:hAnsi="宋体"/>
      <w:szCs w:val="24"/>
    </w:rPr>
  </w:style>
  <w:style w:type="paragraph" w:styleId="49">
    <w:name w:val="Body Text 2"/>
    <w:basedOn w:val="1"/>
    <w:link w:val="267"/>
    <w:qFormat/>
    <w:uiPriority w:val="0"/>
    <w:pPr>
      <w:widowControl/>
      <w:spacing w:after="120" w:line="480" w:lineRule="auto"/>
      <w:jc w:val="left"/>
    </w:pPr>
    <w:rPr>
      <w:kern w:val="0"/>
      <w:sz w:val="20"/>
    </w:rPr>
  </w:style>
  <w:style w:type="paragraph" w:styleId="50">
    <w:name w:val="HTML Preformatted"/>
    <w:basedOn w:val="1"/>
    <w:link w:val="268"/>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kern w:val="0"/>
      <w:sz w:val="20"/>
    </w:rPr>
  </w:style>
  <w:style w:type="paragraph" w:styleId="51">
    <w:name w:val="Normal (Web)"/>
    <w:basedOn w:val="1"/>
    <w:link w:val="269"/>
    <w:qFormat/>
    <w:uiPriority w:val="0"/>
    <w:pPr>
      <w:widowControl/>
      <w:spacing w:before="100" w:beforeAutospacing="1" w:after="100" w:afterAutospacing="1"/>
      <w:jc w:val="left"/>
    </w:pPr>
    <w:rPr>
      <w:rFonts w:ascii="宋体" w:hAnsi="宋体"/>
      <w:kern w:val="0"/>
      <w:sz w:val="24"/>
      <w:szCs w:val="24"/>
    </w:rPr>
  </w:style>
  <w:style w:type="paragraph" w:styleId="52">
    <w:name w:val="index 1"/>
    <w:basedOn w:val="1"/>
    <w:next w:val="1"/>
    <w:qFormat/>
    <w:uiPriority w:val="0"/>
    <w:pPr>
      <w:ind w:firstLine="480" w:firstLineChars="200"/>
      <w:jc w:val="center"/>
    </w:pPr>
    <w:rPr>
      <w:sz w:val="24"/>
      <w:szCs w:val="24"/>
    </w:rPr>
  </w:style>
  <w:style w:type="paragraph" w:styleId="53">
    <w:name w:val="Title"/>
    <w:basedOn w:val="1"/>
    <w:next w:val="1"/>
    <w:link w:val="270"/>
    <w:qFormat/>
    <w:uiPriority w:val="0"/>
    <w:pPr>
      <w:spacing w:before="240" w:after="60"/>
      <w:jc w:val="center"/>
      <w:outlineLvl w:val="0"/>
    </w:pPr>
    <w:rPr>
      <w:rFonts w:ascii="Cambria" w:hAnsi="Cambria"/>
      <w:b/>
      <w:bCs/>
      <w:kern w:val="0"/>
      <w:sz w:val="32"/>
      <w:szCs w:val="32"/>
    </w:rPr>
  </w:style>
  <w:style w:type="paragraph" w:styleId="54">
    <w:name w:val="annotation subject"/>
    <w:basedOn w:val="20"/>
    <w:next w:val="20"/>
    <w:link w:val="271"/>
    <w:qFormat/>
    <w:uiPriority w:val="0"/>
    <w:rPr>
      <w:b/>
      <w:bCs/>
    </w:rPr>
  </w:style>
  <w:style w:type="paragraph" w:styleId="55">
    <w:name w:val="Body Text First Indent"/>
    <w:basedOn w:val="24"/>
    <w:next w:val="1"/>
    <w:link w:val="272"/>
    <w:qFormat/>
    <w:uiPriority w:val="0"/>
    <w:pPr>
      <w:ind w:firstLine="420" w:firstLineChars="100"/>
    </w:pPr>
    <w:rPr>
      <w:szCs w:val="20"/>
    </w:rPr>
  </w:style>
  <w:style w:type="paragraph" w:styleId="56">
    <w:name w:val="Body Text First Indent 2"/>
    <w:basedOn w:val="25"/>
    <w:next w:val="35"/>
    <w:qFormat/>
    <w:uiPriority w:val="0"/>
    <w:pPr>
      <w:ind w:firstLine="420"/>
    </w:pPr>
  </w:style>
  <w:style w:type="table" w:styleId="58">
    <w:name w:val="Table Grid"/>
    <w:basedOn w:val="57"/>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0">
    <w:name w:val="Strong"/>
    <w:qFormat/>
    <w:uiPriority w:val="22"/>
    <w:rPr>
      <w:b/>
      <w:bCs/>
    </w:rPr>
  </w:style>
  <w:style w:type="character" w:styleId="61">
    <w:name w:val="page number"/>
    <w:qFormat/>
    <w:uiPriority w:val="0"/>
  </w:style>
  <w:style w:type="character" w:styleId="62">
    <w:name w:val="FollowedHyperlink"/>
    <w:unhideWhenUsed/>
    <w:qFormat/>
    <w:uiPriority w:val="99"/>
    <w:rPr>
      <w:color w:val="000084"/>
      <w:u w:val="none"/>
    </w:rPr>
  </w:style>
  <w:style w:type="character" w:styleId="63">
    <w:name w:val="Emphasis"/>
    <w:qFormat/>
    <w:uiPriority w:val="0"/>
    <w:rPr>
      <w:i/>
      <w:iCs/>
    </w:rPr>
  </w:style>
  <w:style w:type="character" w:styleId="64">
    <w:name w:val="HTML Definition"/>
    <w:unhideWhenUsed/>
    <w:qFormat/>
    <w:uiPriority w:val="99"/>
  </w:style>
  <w:style w:type="character" w:styleId="65">
    <w:name w:val="HTML Variable"/>
    <w:unhideWhenUsed/>
    <w:qFormat/>
    <w:uiPriority w:val="99"/>
  </w:style>
  <w:style w:type="character" w:styleId="66">
    <w:name w:val="Hyperlink"/>
    <w:basedOn w:val="59"/>
    <w:qFormat/>
    <w:uiPriority w:val="99"/>
    <w:rPr>
      <w:color w:val="000084"/>
      <w:u w:val="none"/>
    </w:rPr>
  </w:style>
  <w:style w:type="character" w:styleId="67">
    <w:name w:val="HTML Code"/>
    <w:unhideWhenUsed/>
    <w:qFormat/>
    <w:uiPriority w:val="99"/>
    <w:rPr>
      <w:rFonts w:ascii="Courier New" w:hAnsi="Courier New" w:eastAsia="Courier New" w:cs="Courier New"/>
      <w:sz w:val="20"/>
    </w:rPr>
  </w:style>
  <w:style w:type="character" w:styleId="68">
    <w:name w:val="annotation reference"/>
    <w:qFormat/>
    <w:uiPriority w:val="0"/>
    <w:rPr>
      <w:sz w:val="21"/>
      <w:szCs w:val="21"/>
    </w:rPr>
  </w:style>
  <w:style w:type="character" w:styleId="69">
    <w:name w:val="HTML Cite"/>
    <w:unhideWhenUsed/>
    <w:qFormat/>
    <w:uiPriority w:val="99"/>
  </w:style>
  <w:style w:type="character" w:styleId="70">
    <w:name w:val="footnote reference"/>
    <w:qFormat/>
    <w:uiPriority w:val="0"/>
    <w:rPr>
      <w:vertAlign w:val="superscript"/>
    </w:rPr>
  </w:style>
  <w:style w:type="character" w:styleId="71">
    <w:name w:val="HTML Keyboard"/>
    <w:unhideWhenUsed/>
    <w:qFormat/>
    <w:uiPriority w:val="99"/>
    <w:rPr>
      <w:rFonts w:hint="default" w:ascii="Courier New" w:hAnsi="Courier New" w:eastAsia="Courier New" w:cs="Courier New"/>
      <w:sz w:val="20"/>
    </w:rPr>
  </w:style>
  <w:style w:type="character" w:styleId="72">
    <w:name w:val="HTML Sample"/>
    <w:unhideWhenUsed/>
    <w:qFormat/>
    <w:uiPriority w:val="99"/>
    <w:rPr>
      <w:rFonts w:hint="default" w:ascii="Courier New" w:hAnsi="Courier New" w:eastAsia="Courier New" w:cs="Courier New"/>
    </w:rPr>
  </w:style>
  <w:style w:type="paragraph" w:styleId="73">
    <w:name w:val="Quote"/>
    <w:basedOn w:val="1"/>
    <w:next w:val="1"/>
    <w:link w:val="357"/>
    <w:qFormat/>
    <w:uiPriority w:val="0"/>
    <w:rPr>
      <w:i/>
      <w:iCs/>
      <w:color w:val="000000"/>
      <w:szCs w:val="22"/>
    </w:rPr>
  </w:style>
  <w:style w:type="paragraph" w:customStyle="1" w:styleId="74">
    <w:name w:val="Default"/>
    <w:link w:val="239"/>
    <w:qFormat/>
    <w:uiPriority w:val="0"/>
    <w:pPr>
      <w:widowControl w:val="0"/>
      <w:autoSpaceDE w:val="0"/>
      <w:autoSpaceDN w:val="0"/>
      <w:adjustRightInd w:val="0"/>
    </w:pPr>
    <w:rPr>
      <w:rFonts w:ascii="黑体" w:hAnsi="Times New Roman" w:eastAsia="黑体" w:cs="Times New Roman"/>
      <w:color w:val="000000"/>
      <w:sz w:val="24"/>
      <w:szCs w:val="24"/>
      <w:lang w:val="en-US" w:eastAsia="zh-CN" w:bidi="ar-SA"/>
    </w:rPr>
  </w:style>
  <w:style w:type="paragraph" w:customStyle="1" w:styleId="75">
    <w:name w:val="正文（标准）"/>
    <w:basedOn w:val="76"/>
    <w:next w:val="1"/>
    <w:semiHidden/>
    <w:qFormat/>
    <w:uiPriority w:val="0"/>
    <w:pPr>
      <w:spacing w:line="560" w:lineRule="exact"/>
      <w:ind w:firstLine="525" w:firstLineChars="200"/>
    </w:pPr>
    <w:rPr>
      <w:rFonts w:ascii="宋体" w:hAnsi="宋体" w:eastAsia="仿宋_GB2312" w:cs="宋体"/>
      <w:sz w:val="28"/>
      <w:szCs w:val="28"/>
    </w:rPr>
  </w:style>
  <w:style w:type="paragraph" w:customStyle="1" w:styleId="76">
    <w:name w:val="Normal_0"/>
    <w:basedOn w:val="77"/>
    <w:qFormat/>
    <w:uiPriority w:val="0"/>
    <w:rPr>
      <w:kern w:val="2"/>
      <w:sz w:val="21"/>
    </w:rPr>
  </w:style>
  <w:style w:type="paragraph" w:customStyle="1" w:styleId="77">
    <w:name w:val="Normal_2"/>
    <w:qFormat/>
    <w:uiPriority w:val="0"/>
    <w:pPr>
      <w:widowControl w:val="0"/>
      <w:jc w:val="both"/>
    </w:pPr>
    <w:rPr>
      <w:rFonts w:ascii="Times New Roman" w:hAnsi="Times New Roman" w:eastAsia="宋体" w:cs="Times New Roman"/>
      <w:lang w:val="en-US" w:eastAsia="zh-CN" w:bidi="ar-SA"/>
    </w:rPr>
  </w:style>
  <w:style w:type="character" w:customStyle="1" w:styleId="78">
    <w:name w:val="标题 1 字符"/>
    <w:qFormat/>
    <w:uiPriority w:val="0"/>
    <w:rPr>
      <w:rFonts w:ascii="Times New Roman" w:hAnsi="Times New Roman" w:eastAsia="宋体" w:cs="Times New Roman"/>
      <w:b/>
      <w:bCs/>
      <w:kern w:val="44"/>
      <w:sz w:val="44"/>
      <w:szCs w:val="44"/>
    </w:rPr>
  </w:style>
  <w:style w:type="character" w:customStyle="1" w:styleId="79">
    <w:name w:val="标题 2 字符"/>
    <w:qFormat/>
    <w:uiPriority w:val="0"/>
    <w:rPr>
      <w:rFonts w:ascii="Arial" w:hAnsi="Arial" w:eastAsia="黑体" w:cs="Times New Roman"/>
      <w:b/>
      <w:bCs/>
      <w:kern w:val="0"/>
      <w:sz w:val="32"/>
      <w:szCs w:val="32"/>
    </w:rPr>
  </w:style>
  <w:style w:type="paragraph" w:customStyle="1" w:styleId="80">
    <w:name w:val="样式"/>
    <w:link w:val="276"/>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81">
    <w:name w:val="No Spacing"/>
    <w:link w:val="278"/>
    <w:qFormat/>
    <w:uiPriority w:val="0"/>
    <w:rPr>
      <w:rFonts w:ascii="Times New Roman" w:hAnsi="Times New Roman" w:eastAsia="宋体" w:cs="Times New Roman"/>
      <w:sz w:val="22"/>
      <w:szCs w:val="22"/>
      <w:lang w:val="en-US" w:eastAsia="zh-CN" w:bidi="ar-SA"/>
    </w:rPr>
  </w:style>
  <w:style w:type="paragraph" w:customStyle="1" w:styleId="82">
    <w:name w:val="报告正文"/>
    <w:basedOn w:val="1"/>
    <w:link w:val="299"/>
    <w:qFormat/>
    <w:uiPriority w:val="0"/>
    <w:pPr>
      <w:tabs>
        <w:tab w:val="left" w:pos="4080"/>
      </w:tabs>
      <w:topLinePunct/>
      <w:spacing w:line="360" w:lineRule="auto"/>
      <w:ind w:firstLine="200" w:firstLineChars="200"/>
      <w:jc w:val="left"/>
    </w:pPr>
    <w:rPr>
      <w:rFonts w:eastAsia="楷体_GB2312"/>
      <w:bCs/>
      <w:spacing w:val="14"/>
      <w:sz w:val="24"/>
      <w:szCs w:val="24"/>
    </w:rPr>
  </w:style>
  <w:style w:type="paragraph" w:customStyle="1" w:styleId="83">
    <w:name w:val="样式3-1"/>
    <w:basedOn w:val="1"/>
    <w:link w:val="302"/>
    <w:qFormat/>
    <w:uiPriority w:val="0"/>
    <w:pPr>
      <w:adjustRightInd w:val="0"/>
      <w:snapToGrid w:val="0"/>
      <w:spacing w:beforeLines="50" w:line="360" w:lineRule="auto"/>
      <w:jc w:val="center"/>
      <w:outlineLvl w:val="2"/>
    </w:pPr>
    <w:rPr>
      <w:rFonts w:ascii="宋体" w:hAnsi="宋体"/>
      <w:b/>
      <w:bCs/>
      <w:sz w:val="32"/>
      <w:szCs w:val="24"/>
    </w:rPr>
  </w:style>
  <w:style w:type="paragraph" w:styleId="84">
    <w:name w:val="Intense Quote"/>
    <w:basedOn w:val="1"/>
    <w:next w:val="1"/>
    <w:link w:val="306"/>
    <w:qFormat/>
    <w:uiPriority w:val="0"/>
    <w:pPr>
      <w:pBdr>
        <w:bottom w:val="single" w:color="4F81BD" w:sz="4" w:space="4"/>
      </w:pBdr>
      <w:spacing w:before="200" w:after="280"/>
      <w:ind w:left="936" w:right="936"/>
    </w:pPr>
    <w:rPr>
      <w:b/>
      <w:bCs/>
      <w:i/>
      <w:iCs/>
      <w:color w:val="4F81BD"/>
      <w:szCs w:val="22"/>
    </w:rPr>
  </w:style>
  <w:style w:type="paragraph" w:customStyle="1" w:styleId="85">
    <w:name w:val="标题5"/>
    <w:basedOn w:val="1"/>
    <w:link w:val="317"/>
    <w:qFormat/>
    <w:uiPriority w:val="0"/>
    <w:pPr>
      <w:tabs>
        <w:tab w:val="left" w:pos="900"/>
      </w:tabs>
      <w:spacing w:line="360" w:lineRule="auto"/>
      <w:ind w:left="900" w:right="31" w:rightChars="13" w:hanging="420" w:firstLineChars="200"/>
    </w:pPr>
    <w:rPr>
      <w:bCs/>
      <w:sz w:val="24"/>
      <w:szCs w:val="32"/>
    </w:rPr>
  </w:style>
  <w:style w:type="paragraph" w:customStyle="1" w:styleId="86">
    <w:name w:val="可研正文"/>
    <w:basedOn w:val="1"/>
    <w:link w:val="338"/>
    <w:qFormat/>
    <w:uiPriority w:val="0"/>
    <w:pPr>
      <w:widowControl/>
      <w:spacing w:line="500" w:lineRule="exact"/>
      <w:ind w:firstLine="200" w:firstLineChars="200"/>
    </w:pPr>
    <w:rPr>
      <w:kern w:val="0"/>
      <w:sz w:val="24"/>
      <w:szCs w:val="21"/>
    </w:rPr>
  </w:style>
  <w:style w:type="paragraph" w:customStyle="1" w:styleId="87">
    <w:name w:val="样式4-1"/>
    <w:basedOn w:val="1"/>
    <w:link w:val="339"/>
    <w:qFormat/>
    <w:uiPriority w:val="0"/>
    <w:pPr>
      <w:spacing w:line="360" w:lineRule="auto"/>
      <w:ind w:firstLine="420" w:firstLineChars="200"/>
      <w:outlineLvl w:val="3"/>
    </w:pPr>
    <w:rPr>
      <w:rFonts w:ascii="宋体" w:hAnsi="宋体"/>
      <w:b/>
      <w:szCs w:val="21"/>
    </w:rPr>
  </w:style>
  <w:style w:type="paragraph" w:customStyle="1" w:styleId="88">
    <w:name w:val="Char Char Char Char Char Char Char Char Char Char Char Char Char Char Char Char Char Char Char Char Char Char"/>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89">
    <w:name w:val="正文2"/>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90">
    <w:name w:val="font9"/>
    <w:basedOn w:val="1"/>
    <w:qFormat/>
    <w:uiPriority w:val="0"/>
    <w:pPr>
      <w:widowControl/>
      <w:spacing w:before="100" w:beforeAutospacing="1" w:after="100" w:afterAutospacing="1"/>
      <w:jc w:val="left"/>
    </w:pPr>
    <w:rPr>
      <w:rFonts w:eastAsia="楷体_GB2312"/>
      <w:kern w:val="0"/>
      <w:sz w:val="24"/>
      <w:szCs w:val="24"/>
    </w:rPr>
  </w:style>
  <w:style w:type="paragraph" w:customStyle="1" w:styleId="91">
    <w:name w:val="7"/>
    <w:basedOn w:val="1"/>
    <w:qFormat/>
    <w:uiPriority w:val="0"/>
    <w:pPr>
      <w:widowControl/>
      <w:tabs>
        <w:tab w:val="left" w:pos="425"/>
      </w:tabs>
      <w:spacing w:beforeLines="100" w:after="160" w:line="240" w:lineRule="exact"/>
      <w:ind w:left="425" w:hanging="425"/>
      <w:jc w:val="left"/>
    </w:pPr>
    <w:rPr>
      <w:rFonts w:ascii="Verdana" w:hAnsi="Verdana" w:eastAsia="黑体"/>
      <w:kern w:val="0"/>
      <w:sz w:val="20"/>
      <w:lang w:eastAsia="en-US"/>
    </w:rPr>
  </w:style>
  <w:style w:type="paragraph" w:customStyle="1" w:styleId="92">
    <w:name w:val="font7"/>
    <w:basedOn w:val="1"/>
    <w:qFormat/>
    <w:uiPriority w:val="0"/>
    <w:pPr>
      <w:widowControl/>
      <w:spacing w:before="100" w:beforeAutospacing="1" w:after="100" w:afterAutospacing="1"/>
      <w:jc w:val="left"/>
    </w:pPr>
    <w:rPr>
      <w:rFonts w:eastAsia="楷体_GB2312"/>
      <w:b/>
      <w:bCs/>
      <w:kern w:val="0"/>
      <w:sz w:val="40"/>
      <w:szCs w:val="40"/>
    </w:rPr>
  </w:style>
  <w:style w:type="paragraph" w:customStyle="1" w:styleId="93">
    <w:name w:val="Char Char Char Char Char Char Char Char Char Char Char Char1"/>
    <w:basedOn w:val="1"/>
    <w:qFormat/>
    <w:uiPriority w:val="0"/>
    <w:pPr>
      <w:spacing w:line="240" w:lineRule="atLeast"/>
      <w:ind w:left="420" w:firstLine="420"/>
    </w:pPr>
    <w:rPr>
      <w:kern w:val="0"/>
      <w:szCs w:val="21"/>
    </w:rPr>
  </w:style>
  <w:style w:type="paragraph" w:customStyle="1" w:styleId="94">
    <w:name w:val="样式 目录 3 + 左侧:  4 字符 首行缩进:  2 字符1"/>
    <w:basedOn w:val="30"/>
    <w:qFormat/>
    <w:uiPriority w:val="0"/>
    <w:pPr>
      <w:tabs>
        <w:tab w:val="left" w:pos="2520"/>
        <w:tab w:val="right" w:leader="dot" w:pos="9060"/>
      </w:tabs>
      <w:ind w:left="960" w:firstLine="480" w:firstLineChars="200"/>
    </w:pPr>
    <w:rPr>
      <w:rFonts w:cs="宋体"/>
      <w:kern w:val="28"/>
      <w:sz w:val="24"/>
      <w:szCs w:val="24"/>
    </w:rPr>
  </w:style>
  <w:style w:type="paragraph" w:customStyle="1" w:styleId="95">
    <w:name w:val="Char Char1"/>
    <w:basedOn w:val="1"/>
    <w:qFormat/>
    <w:uiPriority w:val="0"/>
    <w:pPr>
      <w:tabs>
        <w:tab w:val="left" w:pos="794"/>
        <w:tab w:val="left" w:pos="1191"/>
        <w:tab w:val="left" w:pos="1588"/>
        <w:tab w:val="left" w:pos="1985"/>
      </w:tabs>
      <w:autoSpaceDE w:val="0"/>
      <w:autoSpaceDN w:val="0"/>
      <w:adjustRightInd w:val="0"/>
      <w:spacing w:before="136"/>
    </w:pPr>
    <w:rPr>
      <w:rFonts w:eastAsia="楷体_GB2312"/>
    </w:rPr>
  </w:style>
  <w:style w:type="paragraph" w:customStyle="1" w:styleId="96">
    <w:name w:val="样式 样式 标题 1 + 黑体 + 居中 段前: 0 磅 段后: 0 磅"/>
    <w:basedOn w:val="1"/>
    <w:qFormat/>
    <w:uiPriority w:val="0"/>
    <w:pPr>
      <w:keepNext/>
      <w:keepLines/>
      <w:autoSpaceDE w:val="0"/>
      <w:autoSpaceDN w:val="0"/>
      <w:adjustRightInd w:val="0"/>
      <w:spacing w:beforeLines="50" w:afterLines="50"/>
      <w:jc w:val="center"/>
      <w:outlineLvl w:val="0"/>
    </w:pPr>
    <w:rPr>
      <w:rFonts w:ascii="黑体" w:hAnsi="黑体" w:eastAsia="黑体" w:cs="宋体"/>
      <w:b/>
      <w:bCs/>
      <w:kern w:val="44"/>
      <w:sz w:val="32"/>
    </w:rPr>
  </w:style>
  <w:style w:type="paragraph" w:customStyle="1" w:styleId="97">
    <w:name w:val="Blockquote"/>
    <w:basedOn w:val="1"/>
    <w:qFormat/>
    <w:uiPriority w:val="0"/>
    <w:pPr>
      <w:autoSpaceDE w:val="0"/>
      <w:autoSpaceDN w:val="0"/>
      <w:adjustRightInd w:val="0"/>
      <w:spacing w:before="100" w:after="100"/>
      <w:ind w:left="360" w:right="360"/>
      <w:jc w:val="left"/>
    </w:pPr>
    <w:rPr>
      <w:kern w:val="0"/>
      <w:sz w:val="24"/>
    </w:rPr>
  </w:style>
  <w:style w:type="paragraph" w:customStyle="1" w:styleId="98">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楷体_GB2312"/>
      <w:kern w:val="0"/>
      <w:sz w:val="24"/>
      <w:szCs w:val="24"/>
    </w:rPr>
  </w:style>
  <w:style w:type="paragraph" w:customStyle="1" w:styleId="99">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楷体_GB2312"/>
      <w:kern w:val="0"/>
      <w:sz w:val="24"/>
      <w:szCs w:val="24"/>
    </w:rPr>
  </w:style>
  <w:style w:type="paragraph" w:customStyle="1" w:styleId="100">
    <w:name w:val="pa-2"/>
    <w:basedOn w:val="1"/>
    <w:qFormat/>
    <w:uiPriority w:val="0"/>
    <w:pPr>
      <w:widowControl/>
      <w:spacing w:before="150" w:after="150"/>
      <w:jc w:val="left"/>
    </w:pPr>
    <w:rPr>
      <w:rFonts w:ascii="宋体" w:hAnsi="宋体" w:cs="宋体"/>
      <w:kern w:val="0"/>
      <w:sz w:val="24"/>
      <w:szCs w:val="24"/>
    </w:rPr>
  </w:style>
  <w:style w:type="paragraph" w:customStyle="1" w:styleId="101">
    <w:name w:val="xl56"/>
    <w:basedOn w:val="1"/>
    <w:qFormat/>
    <w:uiPriority w:val="0"/>
    <w:pPr>
      <w:widowControl/>
      <w:spacing w:before="100" w:beforeAutospacing="1" w:after="100" w:afterAutospacing="1"/>
      <w:jc w:val="left"/>
    </w:pPr>
    <w:rPr>
      <w:rFonts w:ascii="宋体" w:hAnsi="宋体" w:eastAsia="楷体_GB2312"/>
      <w:b/>
      <w:bCs/>
      <w:kern w:val="0"/>
      <w:sz w:val="40"/>
      <w:szCs w:val="40"/>
    </w:rPr>
  </w:style>
  <w:style w:type="paragraph" w:customStyle="1" w:styleId="102">
    <w:name w:val="空半行"/>
    <w:basedOn w:val="1"/>
    <w:qFormat/>
    <w:uiPriority w:val="0"/>
    <w:pPr>
      <w:adjustRightInd w:val="0"/>
      <w:spacing w:line="120" w:lineRule="exact"/>
      <w:textAlignment w:val="baseline"/>
    </w:pPr>
    <w:rPr>
      <w:rFonts w:eastAsia="仿宋_GB2312"/>
      <w:color w:val="FFFFFF"/>
      <w:kern w:val="0"/>
      <w:sz w:val="30"/>
    </w:rPr>
  </w:style>
  <w:style w:type="paragraph" w:customStyle="1" w:styleId="103">
    <w:name w:val="_Style 96"/>
    <w:qFormat/>
    <w:uiPriority w:val="0"/>
    <w:rPr>
      <w:rFonts w:ascii="Times New Roman" w:hAnsi="Times New Roman" w:eastAsia="宋体" w:cs="Times New Roman"/>
      <w:kern w:val="2"/>
      <w:sz w:val="21"/>
      <w:lang w:val="en-US" w:eastAsia="zh-CN" w:bidi="ar-SA"/>
    </w:rPr>
  </w:style>
  <w:style w:type="paragraph" w:customStyle="1" w:styleId="104">
    <w:name w:val="font5"/>
    <w:basedOn w:val="1"/>
    <w:qFormat/>
    <w:uiPriority w:val="0"/>
    <w:pPr>
      <w:widowControl/>
      <w:spacing w:before="100" w:beforeAutospacing="1" w:after="100" w:afterAutospacing="1"/>
      <w:jc w:val="left"/>
    </w:pPr>
    <w:rPr>
      <w:rFonts w:hint="eastAsia" w:ascii="宋体" w:hAnsi="宋体" w:eastAsia="楷体_GB2312"/>
      <w:kern w:val="0"/>
      <w:sz w:val="18"/>
      <w:szCs w:val="18"/>
    </w:rPr>
  </w:style>
  <w:style w:type="paragraph" w:customStyle="1" w:styleId="105">
    <w:name w:val="样式 标题 4 + 段前: 1 行"/>
    <w:basedOn w:val="6"/>
    <w:qFormat/>
    <w:uiPriority w:val="0"/>
    <w:pPr>
      <w:adjustRightInd w:val="0"/>
      <w:snapToGrid w:val="0"/>
      <w:spacing w:before="280" w:beforeLines="100" w:line="240" w:lineRule="auto"/>
    </w:pPr>
    <w:rPr>
      <w:rFonts w:cs="宋体"/>
      <w:bCs/>
      <w:kern w:val="28"/>
      <w:sz w:val="28"/>
    </w:rPr>
  </w:style>
  <w:style w:type="paragraph" w:customStyle="1" w:styleId="106">
    <w:name w:val="reader-word-layer reader-word-s1-6"/>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107">
    <w:name w:val="表格"/>
    <w:basedOn w:val="1"/>
    <w:qFormat/>
    <w:uiPriority w:val="0"/>
    <w:pPr>
      <w:jc w:val="center"/>
      <w:textAlignment w:val="center"/>
    </w:pPr>
    <w:rPr>
      <w:rFonts w:ascii="华文细黑" w:hAnsi="华文细黑"/>
      <w:kern w:val="0"/>
    </w:rPr>
  </w:style>
  <w:style w:type="paragraph" w:customStyle="1" w:styleId="108">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楷体_GB2312"/>
      <w:kern w:val="0"/>
      <w:sz w:val="24"/>
      <w:szCs w:val="24"/>
    </w:rPr>
  </w:style>
  <w:style w:type="paragraph" w:customStyle="1" w:styleId="109">
    <w:name w:val="样式3"/>
    <w:basedOn w:val="5"/>
    <w:qFormat/>
    <w:uiPriority w:val="99"/>
    <w:pPr>
      <w:spacing w:before="260" w:after="260" w:line="412" w:lineRule="auto"/>
    </w:pPr>
    <w:rPr>
      <w:rFonts w:eastAsia="Arial"/>
      <w:bCs/>
      <w:kern w:val="2"/>
      <w:sz w:val="32"/>
      <w:szCs w:val="32"/>
    </w:rPr>
  </w:style>
  <w:style w:type="paragraph" w:customStyle="1" w:styleId="110">
    <w:name w:val="样式 标题 3 + (中文) 黑体 小四 非加粗 段前: 7.8 磅 段后: 0 磅 行距: 固定值 20 磅"/>
    <w:basedOn w:val="5"/>
    <w:qFormat/>
    <w:uiPriority w:val="0"/>
    <w:pPr>
      <w:tabs>
        <w:tab w:val="left" w:pos="720"/>
      </w:tabs>
      <w:spacing w:line="400" w:lineRule="exact"/>
    </w:pPr>
    <w:rPr>
      <w:rFonts w:ascii="Calibri" w:hAnsi="Calibri" w:eastAsia="黑体" w:cs="宋体"/>
      <w:b w:val="0"/>
    </w:rPr>
  </w:style>
  <w:style w:type="paragraph" w:customStyle="1" w:styleId="111">
    <w:name w:val="xl39"/>
    <w:basedOn w:val="1"/>
    <w:qFormat/>
    <w:uiPriority w:val="0"/>
    <w:pPr>
      <w:widowControl/>
      <w:pBdr>
        <w:top w:val="single" w:color="auto" w:sz="8" w:space="0"/>
        <w:left w:val="single" w:color="auto" w:sz="4" w:space="0"/>
        <w:bottom w:val="single" w:color="auto" w:sz="4" w:space="0"/>
        <w:right w:val="single" w:color="auto" w:sz="4" w:space="0"/>
      </w:pBdr>
      <w:spacing w:before="100" w:beforeAutospacing="1" w:after="100" w:afterAutospacing="1"/>
      <w:jc w:val="left"/>
    </w:pPr>
    <w:rPr>
      <w:rFonts w:eastAsia="楷体_GB2312"/>
      <w:kern w:val="0"/>
      <w:sz w:val="24"/>
      <w:szCs w:val="24"/>
    </w:rPr>
  </w:style>
  <w:style w:type="paragraph" w:customStyle="1" w:styleId="112">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rPr>
  </w:style>
  <w:style w:type="paragraph" w:customStyle="1" w:styleId="113">
    <w:name w:val="reader-word-layer reader-word-s19-1"/>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114">
    <w:name w:val="样式 标题 1 + 黑体 三号 非加粗 居中 段前: 6 磅 段后: 6 磅 行距: 固定值 20 磅"/>
    <w:basedOn w:val="3"/>
    <w:qFormat/>
    <w:uiPriority w:val="99"/>
    <w:pPr>
      <w:spacing w:before="120" w:after="120" w:line="400" w:lineRule="exact"/>
      <w:jc w:val="center"/>
    </w:pPr>
    <w:rPr>
      <w:rFonts w:ascii="黑体" w:hAnsi="黑体" w:eastAsia="黑体" w:cs="宋体"/>
      <w:b w:val="0"/>
    </w:rPr>
  </w:style>
  <w:style w:type="paragraph" w:customStyle="1" w:styleId="115">
    <w:name w:val="样式 bszw + 首行缩进:  2 字符"/>
    <w:basedOn w:val="1"/>
    <w:qFormat/>
    <w:uiPriority w:val="0"/>
    <w:pPr>
      <w:spacing w:line="360" w:lineRule="auto"/>
      <w:ind w:firstLine="420" w:firstLineChars="200"/>
    </w:pPr>
    <w:rPr>
      <w:rFonts w:eastAsia="楷体_GB2312" w:cs="宋体"/>
      <w:kern w:val="0"/>
      <w:sz w:val="24"/>
      <w:szCs w:val="24"/>
    </w:rPr>
  </w:style>
  <w:style w:type="paragraph" w:customStyle="1" w:styleId="116">
    <w:name w:val="xl41"/>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宋体" w:hAnsi="宋体" w:eastAsia="楷体_GB2312"/>
      <w:kern w:val="0"/>
      <w:sz w:val="24"/>
      <w:szCs w:val="24"/>
    </w:rPr>
  </w:style>
  <w:style w:type="paragraph" w:customStyle="1" w:styleId="117">
    <w:name w:val="6'"/>
    <w:basedOn w:val="1"/>
    <w:qFormat/>
    <w:uiPriority w:val="99"/>
    <w:pPr>
      <w:autoSpaceDE w:val="0"/>
      <w:autoSpaceDN w:val="0"/>
      <w:adjustRightInd w:val="0"/>
      <w:snapToGrid w:val="0"/>
      <w:spacing w:line="320" w:lineRule="exact"/>
      <w:jc w:val="center"/>
      <w:textAlignment w:val="baseline"/>
    </w:pPr>
    <w:rPr>
      <w:spacing w:val="20"/>
      <w:kern w:val="28"/>
    </w:rPr>
  </w:style>
  <w:style w:type="paragraph" w:customStyle="1" w:styleId="118">
    <w:name w:val="1"/>
    <w:basedOn w:val="1"/>
    <w:next w:val="27"/>
    <w:qFormat/>
    <w:uiPriority w:val="99"/>
    <w:pPr>
      <w:adjustRightInd w:val="0"/>
      <w:ind w:left="420" w:right="33"/>
      <w:jc w:val="left"/>
      <w:textAlignment w:val="baseline"/>
    </w:pPr>
    <w:rPr>
      <w:kern w:val="0"/>
      <w:sz w:val="24"/>
    </w:rPr>
  </w:style>
  <w:style w:type="paragraph" w:customStyle="1" w:styleId="119">
    <w:name w:val="样式 正文段 + 段后: 0.5 行 首行缩进:  0 字符"/>
    <w:basedOn w:val="120"/>
    <w:qFormat/>
    <w:uiPriority w:val="0"/>
    <w:pPr>
      <w:spacing w:afterLines="0"/>
      <w:ind w:firstLine="0" w:firstLineChars="0"/>
    </w:pPr>
    <w:rPr>
      <w:rFonts w:cs="宋体"/>
    </w:rPr>
  </w:style>
  <w:style w:type="paragraph" w:customStyle="1" w:styleId="120">
    <w:name w:val="正文段"/>
    <w:basedOn w:val="1"/>
    <w:qFormat/>
    <w:uiPriority w:val="0"/>
    <w:pPr>
      <w:widowControl/>
      <w:snapToGrid w:val="0"/>
      <w:spacing w:afterLines="50"/>
      <w:ind w:firstLine="200" w:firstLineChars="200"/>
    </w:pPr>
    <w:rPr>
      <w:rFonts w:eastAsia="楷体_GB2312"/>
      <w:kern w:val="0"/>
      <w:sz w:val="24"/>
    </w:rPr>
  </w:style>
  <w:style w:type="paragraph" w:customStyle="1" w:styleId="121">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楷体_GB2312"/>
      <w:kern w:val="0"/>
      <w:sz w:val="20"/>
    </w:rPr>
  </w:style>
  <w:style w:type="paragraph" w:customStyle="1" w:styleId="122">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楷体_GB2312"/>
      <w:kern w:val="0"/>
      <w:sz w:val="24"/>
      <w:szCs w:val="24"/>
    </w:rPr>
  </w:style>
  <w:style w:type="paragraph" w:customStyle="1" w:styleId="123">
    <w:name w:val="Char"/>
    <w:basedOn w:val="1"/>
    <w:qFormat/>
    <w:uiPriority w:val="99"/>
    <w:pPr>
      <w:widowControl/>
      <w:tabs>
        <w:tab w:val="left" w:pos="425"/>
      </w:tabs>
      <w:spacing w:beforeLines="100" w:after="160" w:line="240" w:lineRule="exact"/>
      <w:ind w:left="425" w:hanging="425"/>
      <w:jc w:val="left"/>
    </w:pPr>
    <w:rPr>
      <w:rFonts w:ascii="Verdana" w:hAnsi="Verdana" w:eastAsia="黑体"/>
      <w:kern w:val="0"/>
      <w:sz w:val="20"/>
      <w:lang w:eastAsia="en-US"/>
    </w:rPr>
  </w:style>
  <w:style w:type="paragraph" w:customStyle="1" w:styleId="124">
    <w:name w:val="Char11"/>
    <w:basedOn w:val="1"/>
    <w:qFormat/>
    <w:uiPriority w:val="0"/>
    <w:pPr>
      <w:widowControl/>
      <w:tabs>
        <w:tab w:val="left" w:pos="425"/>
      </w:tabs>
      <w:spacing w:before="312" w:beforeLines="100" w:after="160" w:line="240" w:lineRule="exact"/>
      <w:ind w:left="425" w:hanging="425"/>
      <w:jc w:val="left"/>
    </w:pPr>
    <w:rPr>
      <w:rFonts w:ascii="Verdana" w:hAnsi="Verdana" w:eastAsia="黑体"/>
      <w:kern w:val="0"/>
      <w:sz w:val="20"/>
      <w:lang w:eastAsia="en-US"/>
    </w:rPr>
  </w:style>
  <w:style w:type="paragraph" w:customStyle="1" w:styleId="125">
    <w:name w:val="xl55"/>
    <w:basedOn w:val="1"/>
    <w:qFormat/>
    <w:uiPriority w:val="0"/>
    <w:pPr>
      <w:widowControl/>
      <w:spacing w:before="100" w:beforeAutospacing="1" w:after="100" w:afterAutospacing="1"/>
      <w:jc w:val="left"/>
    </w:pPr>
    <w:rPr>
      <w:rFonts w:eastAsia="楷体_GB2312"/>
      <w:b/>
      <w:bCs/>
      <w:kern w:val="0"/>
      <w:sz w:val="40"/>
      <w:szCs w:val="40"/>
    </w:rPr>
  </w:style>
  <w:style w:type="paragraph" w:customStyle="1" w:styleId="126">
    <w:name w:val="_Style 16"/>
    <w:basedOn w:val="1"/>
    <w:next w:val="31"/>
    <w:qFormat/>
    <w:uiPriority w:val="0"/>
    <w:rPr>
      <w:rFonts w:ascii="宋体" w:hAnsi="Courier New"/>
      <w:sz w:val="24"/>
    </w:rPr>
  </w:style>
  <w:style w:type="paragraph" w:customStyle="1" w:styleId="127">
    <w:name w:val="pa-4"/>
    <w:basedOn w:val="1"/>
    <w:qFormat/>
    <w:uiPriority w:val="0"/>
    <w:pPr>
      <w:widowControl/>
      <w:spacing w:before="150" w:after="150"/>
      <w:jc w:val="left"/>
    </w:pPr>
    <w:rPr>
      <w:rFonts w:ascii="宋体" w:hAnsi="宋体" w:cs="宋体"/>
      <w:kern w:val="0"/>
      <w:sz w:val="24"/>
      <w:szCs w:val="24"/>
    </w:rPr>
  </w:style>
  <w:style w:type="paragraph" w:customStyle="1" w:styleId="128">
    <w:name w:val="表格内文字"/>
    <w:basedOn w:val="1"/>
    <w:qFormat/>
    <w:uiPriority w:val="0"/>
    <w:pPr>
      <w:adjustRightInd w:val="0"/>
      <w:snapToGrid w:val="0"/>
      <w:spacing w:line="240" w:lineRule="atLeast"/>
      <w:jc w:val="center"/>
    </w:pPr>
    <w:rPr>
      <w:kern w:val="28"/>
      <w:sz w:val="24"/>
    </w:rPr>
  </w:style>
  <w:style w:type="paragraph" w:customStyle="1" w:styleId="129">
    <w:name w:val="Char Char Char Char1 Char Char Char Char Char1 Char"/>
    <w:basedOn w:val="1"/>
    <w:qFormat/>
    <w:uiPriority w:val="0"/>
    <w:pPr>
      <w:spacing w:line="240" w:lineRule="atLeast"/>
      <w:ind w:left="420" w:firstLine="420"/>
    </w:pPr>
    <w:rPr>
      <w:kern w:val="0"/>
      <w:szCs w:val="21"/>
    </w:rPr>
  </w:style>
  <w:style w:type="paragraph" w:customStyle="1" w:styleId="130">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楷体_GB2312"/>
      <w:kern w:val="0"/>
      <w:sz w:val="20"/>
    </w:rPr>
  </w:style>
  <w:style w:type="paragraph" w:customStyle="1" w:styleId="131">
    <w:name w:val="pa-1"/>
    <w:basedOn w:val="1"/>
    <w:qFormat/>
    <w:uiPriority w:val="0"/>
    <w:pPr>
      <w:widowControl/>
      <w:spacing w:before="150" w:after="150"/>
      <w:jc w:val="left"/>
    </w:pPr>
    <w:rPr>
      <w:rFonts w:ascii="宋体" w:hAnsi="宋体" w:cs="宋体"/>
      <w:kern w:val="0"/>
      <w:sz w:val="24"/>
      <w:szCs w:val="24"/>
    </w:rPr>
  </w:style>
  <w:style w:type="paragraph" w:customStyle="1" w:styleId="132">
    <w:name w:val="3"/>
    <w:basedOn w:val="1"/>
    <w:next w:val="31"/>
    <w:qFormat/>
    <w:uiPriority w:val="0"/>
    <w:rPr>
      <w:rFonts w:ascii="宋体" w:hAnsi="Courier New" w:eastAsia="楷体_GB2312"/>
    </w:rPr>
  </w:style>
  <w:style w:type="paragraph" w:customStyle="1" w:styleId="133">
    <w:name w:val="font13"/>
    <w:basedOn w:val="1"/>
    <w:qFormat/>
    <w:uiPriority w:val="0"/>
    <w:pPr>
      <w:widowControl/>
      <w:spacing w:before="100" w:beforeAutospacing="1" w:after="100" w:afterAutospacing="1"/>
      <w:jc w:val="left"/>
    </w:pPr>
    <w:rPr>
      <w:rFonts w:hint="eastAsia" w:ascii="宋体" w:hAnsi="宋体" w:eastAsia="楷体_GB2312"/>
      <w:kern w:val="0"/>
      <w:sz w:val="24"/>
      <w:szCs w:val="24"/>
    </w:rPr>
  </w:style>
  <w:style w:type="paragraph" w:customStyle="1" w:styleId="134">
    <w:name w:val="xl52"/>
    <w:basedOn w:val="1"/>
    <w:qFormat/>
    <w:uiPriority w:val="0"/>
    <w:pPr>
      <w:widowControl/>
      <w:spacing w:before="100" w:beforeAutospacing="1" w:after="100" w:afterAutospacing="1"/>
      <w:jc w:val="left"/>
    </w:pPr>
    <w:rPr>
      <w:rFonts w:eastAsia="楷体_GB2312"/>
      <w:b/>
      <w:bCs/>
      <w:kern w:val="0"/>
      <w:sz w:val="40"/>
      <w:szCs w:val="40"/>
    </w:rPr>
  </w:style>
  <w:style w:type="paragraph" w:customStyle="1" w:styleId="135">
    <w:name w:val="flNote"/>
    <w:basedOn w:val="1"/>
    <w:qFormat/>
    <w:uiPriority w:val="0"/>
    <w:pPr>
      <w:adjustRightInd w:val="0"/>
      <w:spacing w:before="320" w:after="160" w:line="360" w:lineRule="atLeast"/>
      <w:jc w:val="center"/>
      <w:textAlignment w:val="baseline"/>
    </w:pPr>
    <w:rPr>
      <w:rFonts w:ascii="Arial" w:eastAsia="黑体"/>
      <w:kern w:val="0"/>
      <w:sz w:val="30"/>
    </w:rPr>
  </w:style>
  <w:style w:type="paragraph" w:customStyle="1" w:styleId="136">
    <w:name w:val="正文_3"/>
    <w:qFormat/>
    <w:uiPriority w:val="0"/>
    <w:pPr>
      <w:widowControl w:val="0"/>
      <w:jc w:val="both"/>
    </w:pPr>
    <w:rPr>
      <w:rFonts w:ascii="Calibri" w:hAnsi="Calibri" w:eastAsia="宋体" w:cs="Times New Roman"/>
      <w:kern w:val="2"/>
      <w:sz w:val="21"/>
      <w:szCs w:val="22"/>
      <w:lang w:val="en-US" w:eastAsia="zh-CN" w:bidi="ar-SA"/>
    </w:rPr>
  </w:style>
  <w:style w:type="paragraph" w:customStyle="1" w:styleId="137">
    <w:name w:val="xl40"/>
    <w:basedOn w:val="1"/>
    <w:qFormat/>
    <w:uiPriority w:val="0"/>
    <w:pPr>
      <w:widowControl/>
      <w:pBdr>
        <w:top w:val="single" w:color="auto" w:sz="8" w:space="0"/>
        <w:left w:val="single" w:color="auto" w:sz="4" w:space="0"/>
        <w:bottom w:val="single" w:color="auto" w:sz="4" w:space="0"/>
        <w:right w:val="single" w:color="auto" w:sz="8" w:space="0"/>
      </w:pBdr>
      <w:spacing w:before="100" w:beforeAutospacing="1" w:after="100" w:afterAutospacing="1"/>
      <w:jc w:val="left"/>
    </w:pPr>
    <w:rPr>
      <w:rFonts w:eastAsia="楷体_GB2312"/>
      <w:kern w:val="0"/>
      <w:sz w:val="24"/>
      <w:szCs w:val="24"/>
    </w:rPr>
  </w:style>
  <w:style w:type="paragraph" w:customStyle="1" w:styleId="138">
    <w:name w:val="xl42"/>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left"/>
    </w:pPr>
    <w:rPr>
      <w:rFonts w:ascii="宋体" w:hAnsi="宋体" w:eastAsia="楷体_GB2312"/>
      <w:kern w:val="0"/>
      <w:sz w:val="24"/>
      <w:szCs w:val="24"/>
    </w:rPr>
  </w:style>
  <w:style w:type="paragraph" w:customStyle="1" w:styleId="139">
    <w:name w:val="CM99"/>
    <w:basedOn w:val="74"/>
    <w:next w:val="74"/>
    <w:qFormat/>
    <w:uiPriority w:val="0"/>
    <w:pPr>
      <w:spacing w:after="443"/>
    </w:pPr>
    <w:rPr>
      <w:rFonts w:ascii="宋体" w:eastAsia="宋体"/>
      <w:color w:val="auto"/>
    </w:rPr>
  </w:style>
  <w:style w:type="paragraph" w:customStyle="1" w:styleId="140">
    <w:name w:val="Normal_1"/>
    <w:qFormat/>
    <w:uiPriority w:val="0"/>
    <w:pPr>
      <w:widowControl w:val="0"/>
      <w:jc w:val="both"/>
    </w:pPr>
    <w:rPr>
      <w:rFonts w:ascii="Times New Roman" w:hAnsi="Times New Roman" w:eastAsia="宋体" w:cs="Times New Roman"/>
      <w:lang w:val="en-US" w:eastAsia="zh-CN" w:bidi="ar-SA"/>
    </w:rPr>
  </w:style>
  <w:style w:type="paragraph" w:customStyle="1" w:styleId="141">
    <w:name w:val="样式 标题 3 + 居中 左侧:  0 厘米 首行缩进:  1.18 厘米 段前: 1.5 行 段后: 6 磅 行距:..."/>
    <w:basedOn w:val="5"/>
    <w:qFormat/>
    <w:uiPriority w:val="0"/>
    <w:pPr>
      <w:tabs>
        <w:tab w:val="left" w:pos="360"/>
        <w:tab w:val="left" w:pos="720"/>
      </w:tabs>
      <w:adjustRightInd w:val="0"/>
      <w:snapToGrid w:val="0"/>
      <w:spacing w:before="260" w:beforeLines="150" w:after="120" w:line="413" w:lineRule="auto"/>
      <w:jc w:val="center"/>
    </w:pPr>
    <w:rPr>
      <w:rFonts w:ascii="Arial" w:hAnsi="Arial" w:cs="宋体"/>
      <w:bCs/>
      <w:kern w:val="28"/>
    </w:rPr>
  </w:style>
  <w:style w:type="paragraph" w:customStyle="1" w:styleId="142">
    <w:name w:val="样式 样式 样式 宋体 小四 黑色 两端对齐 + 首行缩进:  2 字符 + 五号 首行缩进:  2 字符"/>
    <w:basedOn w:val="1"/>
    <w:qFormat/>
    <w:uiPriority w:val="0"/>
    <w:pPr>
      <w:widowControl/>
      <w:spacing w:line="340" w:lineRule="exact"/>
      <w:ind w:firstLine="200" w:firstLineChars="200"/>
    </w:pPr>
    <w:rPr>
      <w:rFonts w:ascii="宋体" w:hAnsi="宋体"/>
      <w:color w:val="000000"/>
      <w:kern w:val="0"/>
    </w:rPr>
  </w:style>
  <w:style w:type="paragraph" w:customStyle="1" w:styleId="143">
    <w:name w:val="标题4"/>
    <w:basedOn w:val="1"/>
    <w:next w:val="6"/>
    <w:qFormat/>
    <w:uiPriority w:val="0"/>
    <w:pPr>
      <w:widowControl/>
      <w:jc w:val="left"/>
    </w:pPr>
    <w:rPr>
      <w:rFonts w:ascii="黑体" w:eastAsia="黑体"/>
      <w:kern w:val="0"/>
      <w:sz w:val="24"/>
      <w:szCs w:val="30"/>
    </w:rPr>
  </w:style>
  <w:style w:type="paragraph" w:customStyle="1" w:styleId="144">
    <w:name w:val="Char1"/>
    <w:basedOn w:val="1"/>
    <w:qFormat/>
    <w:uiPriority w:val="0"/>
    <w:rPr>
      <w:rFonts w:ascii="仿宋_GB2312" w:eastAsia="仿宋_GB2312"/>
      <w:b/>
      <w:sz w:val="32"/>
      <w:szCs w:val="32"/>
    </w:rPr>
  </w:style>
  <w:style w:type="paragraph" w:customStyle="1" w:styleId="145">
    <w:name w:val="xl49"/>
    <w:basedOn w:val="1"/>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jc w:val="left"/>
    </w:pPr>
    <w:rPr>
      <w:rFonts w:eastAsia="楷体_GB2312"/>
      <w:kern w:val="0"/>
      <w:sz w:val="24"/>
      <w:szCs w:val="24"/>
    </w:rPr>
  </w:style>
  <w:style w:type="paragraph" w:customStyle="1" w:styleId="146">
    <w:name w:val="Normal_4"/>
    <w:qFormat/>
    <w:uiPriority w:val="0"/>
    <w:pPr>
      <w:widowControl w:val="0"/>
      <w:jc w:val="both"/>
    </w:pPr>
    <w:rPr>
      <w:rFonts w:ascii="Times New Roman" w:hAnsi="Times New Roman" w:eastAsia="宋体" w:cs="Times New Roman"/>
      <w:lang w:val="en-US" w:eastAsia="zh-CN" w:bidi="ar-SA"/>
    </w:rPr>
  </w:style>
  <w:style w:type="paragraph" w:customStyle="1" w:styleId="147">
    <w:name w:val="默认段落字体 Para Char Char Char Char"/>
    <w:basedOn w:val="1"/>
    <w:qFormat/>
    <w:uiPriority w:val="0"/>
    <w:pPr>
      <w:spacing w:line="240" w:lineRule="atLeast"/>
      <w:ind w:left="420" w:firstLine="420"/>
    </w:pPr>
    <w:rPr>
      <w:kern w:val="0"/>
      <w:szCs w:val="21"/>
    </w:rPr>
  </w:style>
  <w:style w:type="paragraph" w:customStyle="1" w:styleId="148">
    <w:name w:val="样式 样式 标题 3 + 居中 左侧:  3.06 厘米 首行缩进:  1.18 厘米 段前: 1.5 行 段后: 6 磅 .....1"/>
    <w:basedOn w:val="149"/>
    <w:qFormat/>
    <w:uiPriority w:val="0"/>
    <w:pPr>
      <w:tabs>
        <w:tab w:val="left" w:pos="360"/>
        <w:tab w:val="left" w:pos="720"/>
      </w:tabs>
      <w:spacing w:beforeLines="0"/>
    </w:pPr>
  </w:style>
  <w:style w:type="paragraph" w:customStyle="1" w:styleId="149">
    <w:name w:val="样式 标题 3 + 居中 左侧:  3.06 厘米 首行缩进:  1.18 厘米 段前: 1.5 行 段后: 6 磅 ..."/>
    <w:basedOn w:val="5"/>
    <w:qFormat/>
    <w:uiPriority w:val="0"/>
    <w:pPr>
      <w:tabs>
        <w:tab w:val="left" w:pos="360"/>
      </w:tabs>
      <w:adjustRightInd w:val="0"/>
      <w:snapToGrid w:val="0"/>
      <w:spacing w:before="260" w:beforeLines="150" w:after="120" w:line="413" w:lineRule="auto"/>
      <w:jc w:val="center"/>
    </w:pPr>
    <w:rPr>
      <w:rFonts w:ascii="Arial" w:hAnsi="Arial" w:cs="宋体"/>
      <w:bCs/>
      <w:kern w:val="28"/>
    </w:rPr>
  </w:style>
  <w:style w:type="paragraph" w:customStyle="1" w:styleId="150">
    <w:name w:val="unnamed11"/>
    <w:basedOn w:val="1"/>
    <w:qFormat/>
    <w:uiPriority w:val="0"/>
    <w:pPr>
      <w:widowControl/>
      <w:spacing w:before="100" w:beforeAutospacing="1" w:after="100" w:afterAutospacing="1"/>
      <w:jc w:val="left"/>
    </w:pPr>
    <w:rPr>
      <w:rFonts w:ascii="宋体" w:hAnsi="宋体" w:eastAsia="楷体_GB2312"/>
      <w:kern w:val="0"/>
      <w:sz w:val="24"/>
      <w:szCs w:val="24"/>
    </w:rPr>
  </w:style>
  <w:style w:type="paragraph" w:customStyle="1" w:styleId="151">
    <w:name w:val="xl43"/>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left"/>
    </w:pPr>
    <w:rPr>
      <w:rFonts w:ascii="宋体" w:hAnsi="宋体" w:eastAsia="楷体_GB2312"/>
      <w:kern w:val="0"/>
      <w:sz w:val="24"/>
      <w:szCs w:val="24"/>
    </w:rPr>
  </w:style>
  <w:style w:type="paragraph" w:customStyle="1" w:styleId="152">
    <w:name w:val="Char Char Char Char Char Char Char Char Char Char Char"/>
    <w:qFormat/>
    <w:uiPriority w:val="0"/>
    <w:pPr>
      <w:widowControl w:val="0"/>
      <w:spacing w:line="300" w:lineRule="auto"/>
      <w:ind w:firstLine="480" w:firstLineChars="200"/>
      <w:jc w:val="both"/>
    </w:pPr>
    <w:rPr>
      <w:rFonts w:ascii="Times New Roman" w:hAnsi="Times New Roman" w:eastAsia="宋体" w:cs="Times New Roman"/>
      <w:kern w:val="2"/>
      <w:sz w:val="21"/>
      <w:szCs w:val="24"/>
      <w:lang w:val="en-US" w:eastAsia="zh-CN" w:bidi="ar-SA"/>
    </w:rPr>
  </w:style>
  <w:style w:type="paragraph" w:customStyle="1" w:styleId="153">
    <w:name w:val="4"/>
    <w:basedOn w:val="1"/>
    <w:next w:val="31"/>
    <w:qFormat/>
    <w:uiPriority w:val="0"/>
    <w:rPr>
      <w:rFonts w:ascii="宋体" w:hAnsi="Courier New" w:eastAsia="楷体_GB2312"/>
    </w:rPr>
  </w:style>
  <w:style w:type="paragraph" w:customStyle="1" w:styleId="154">
    <w:name w:val="Char3"/>
    <w:basedOn w:val="1"/>
    <w:qFormat/>
    <w:uiPriority w:val="0"/>
    <w:pPr>
      <w:tabs>
        <w:tab w:val="left" w:pos="794"/>
        <w:tab w:val="left" w:pos="1191"/>
        <w:tab w:val="left" w:pos="1588"/>
        <w:tab w:val="left" w:pos="1985"/>
      </w:tabs>
      <w:autoSpaceDE w:val="0"/>
      <w:autoSpaceDN w:val="0"/>
      <w:adjustRightInd w:val="0"/>
      <w:spacing w:before="136"/>
    </w:pPr>
    <w:rPr>
      <w:rFonts w:ascii="Tahoma" w:hAnsi="Tahoma"/>
      <w:kern w:val="0"/>
      <w:sz w:val="24"/>
      <w:lang w:val="en-GB"/>
    </w:rPr>
  </w:style>
  <w:style w:type="paragraph" w:customStyle="1" w:styleId="155">
    <w:name w:val="Char Char Char Char1 Char Char Char"/>
    <w:basedOn w:val="1"/>
    <w:qFormat/>
    <w:uiPriority w:val="0"/>
    <w:pPr>
      <w:spacing w:line="240" w:lineRule="atLeast"/>
      <w:ind w:left="420" w:firstLine="420"/>
    </w:pPr>
    <w:rPr>
      <w:rFonts w:eastAsia="楷体_GB2312"/>
      <w:kern w:val="0"/>
      <w:szCs w:val="21"/>
    </w:rPr>
  </w:style>
  <w:style w:type="paragraph" w:customStyle="1" w:styleId="156">
    <w:name w:val="Normal_3"/>
    <w:qFormat/>
    <w:uiPriority w:val="0"/>
    <w:pPr>
      <w:widowControl w:val="0"/>
      <w:jc w:val="both"/>
    </w:pPr>
    <w:rPr>
      <w:rFonts w:ascii="Times New Roman" w:hAnsi="Times New Roman" w:eastAsia="宋体" w:cs="Times New Roman"/>
      <w:lang w:val="en-US" w:eastAsia="zh-CN" w:bidi="ar-SA"/>
    </w:rPr>
  </w:style>
  <w:style w:type="paragraph" w:customStyle="1" w:styleId="157">
    <w:name w:val="xl37"/>
    <w:basedOn w:val="1"/>
    <w:qFormat/>
    <w:uiPriority w:val="0"/>
    <w:pPr>
      <w:widowControl/>
      <w:spacing w:before="100" w:beforeAutospacing="1" w:after="100" w:afterAutospacing="1"/>
      <w:jc w:val="center"/>
    </w:pPr>
    <w:rPr>
      <w:rFonts w:eastAsia="楷体_GB2312"/>
      <w:b/>
      <w:bCs/>
      <w:kern w:val="0"/>
      <w:sz w:val="40"/>
      <w:szCs w:val="40"/>
    </w:rPr>
  </w:style>
  <w:style w:type="paragraph" w:customStyle="1" w:styleId="158">
    <w:name w:val="pa-3"/>
    <w:basedOn w:val="1"/>
    <w:qFormat/>
    <w:uiPriority w:val="0"/>
    <w:pPr>
      <w:widowControl/>
      <w:spacing w:before="150" w:after="150"/>
      <w:jc w:val="left"/>
    </w:pPr>
    <w:rPr>
      <w:rFonts w:ascii="宋体" w:hAnsi="宋体" w:cs="宋体"/>
      <w:kern w:val="0"/>
      <w:sz w:val="24"/>
      <w:szCs w:val="24"/>
    </w:rPr>
  </w:style>
  <w:style w:type="paragraph" w:styleId="159">
    <w:name w:val="List Paragraph"/>
    <w:basedOn w:val="1"/>
    <w:qFormat/>
    <w:uiPriority w:val="34"/>
    <w:pPr>
      <w:ind w:firstLine="420" w:firstLineChars="200"/>
    </w:pPr>
    <w:rPr>
      <w:rFonts w:ascii="Calibri" w:hAnsi="Calibri"/>
      <w:szCs w:val="22"/>
    </w:rPr>
  </w:style>
  <w:style w:type="paragraph" w:customStyle="1" w:styleId="160">
    <w:name w:val="xl54"/>
    <w:basedOn w:val="1"/>
    <w:qFormat/>
    <w:uiPriority w:val="0"/>
    <w:pPr>
      <w:widowControl/>
      <w:pBdr>
        <w:top w:val="single" w:color="auto" w:sz="4" w:space="0"/>
        <w:left w:val="single" w:color="auto" w:sz="4" w:space="0"/>
        <w:bottom w:val="single" w:color="auto" w:sz="8" w:space="0"/>
        <w:right w:val="single" w:color="auto" w:sz="8" w:space="0"/>
      </w:pBdr>
      <w:spacing w:before="100" w:beforeAutospacing="1" w:after="100" w:afterAutospacing="1"/>
      <w:jc w:val="left"/>
    </w:pPr>
    <w:rPr>
      <w:rFonts w:ascii="宋体" w:hAnsi="宋体" w:eastAsia="楷体_GB2312"/>
      <w:kern w:val="0"/>
      <w:sz w:val="24"/>
      <w:szCs w:val="24"/>
    </w:rPr>
  </w:style>
  <w:style w:type="paragraph" w:customStyle="1" w:styleId="161">
    <w:name w:val="Char Char Char Char Char Char Char Char Char Char Char Char Char Char Char Char Char Char Char Char Char Char1"/>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162">
    <w:name w:val="rr"/>
    <w:basedOn w:val="1"/>
    <w:qFormat/>
    <w:uiPriority w:val="0"/>
    <w:pPr>
      <w:widowControl/>
      <w:spacing w:before="100" w:beforeAutospacing="1" w:after="100" w:afterAutospacing="1"/>
      <w:jc w:val="left"/>
    </w:pPr>
    <w:rPr>
      <w:rFonts w:hint="eastAsia" w:ascii="宋体" w:hAnsi="宋体"/>
      <w:kern w:val="0"/>
      <w:szCs w:val="21"/>
    </w:rPr>
  </w:style>
  <w:style w:type="paragraph" w:customStyle="1" w:styleId="163">
    <w:name w:val="Char Char"/>
    <w:basedOn w:val="1"/>
    <w:qFormat/>
    <w:uiPriority w:val="0"/>
    <w:rPr>
      <w:rFonts w:ascii="Tahoma" w:hAnsi="Tahoma" w:eastAsia="楷体_GB2312"/>
      <w:sz w:val="24"/>
    </w:rPr>
  </w:style>
  <w:style w:type="paragraph" w:customStyle="1" w:styleId="164">
    <w:name w:val="xl44"/>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eastAsia="楷体_GB2312"/>
      <w:kern w:val="0"/>
      <w:sz w:val="24"/>
      <w:szCs w:val="24"/>
    </w:rPr>
  </w:style>
  <w:style w:type="paragraph" w:customStyle="1" w:styleId="165">
    <w:name w:val="Char Char Char Char"/>
    <w:basedOn w:val="1"/>
    <w:qFormat/>
    <w:uiPriority w:val="0"/>
    <w:pPr>
      <w:spacing w:line="240" w:lineRule="atLeast"/>
      <w:ind w:left="420" w:firstLine="420"/>
    </w:pPr>
    <w:rPr>
      <w:kern w:val="0"/>
      <w:szCs w:val="21"/>
    </w:rPr>
  </w:style>
  <w:style w:type="paragraph" w:customStyle="1" w:styleId="166">
    <w:name w:val="xl24"/>
    <w:basedOn w:val="1"/>
    <w:qFormat/>
    <w:uiPriority w:val="0"/>
    <w:pPr>
      <w:widowControl/>
      <w:spacing w:before="100" w:beforeAutospacing="1" w:after="100" w:afterAutospacing="1"/>
      <w:jc w:val="left"/>
    </w:pPr>
    <w:rPr>
      <w:rFonts w:ascii="宋体" w:hAnsi="宋体" w:eastAsia="楷体_GB2312"/>
      <w:kern w:val="0"/>
      <w:sz w:val="36"/>
      <w:szCs w:val="36"/>
    </w:rPr>
  </w:style>
  <w:style w:type="paragraph" w:customStyle="1" w:styleId="167">
    <w:name w:val="列出段落1"/>
    <w:basedOn w:val="1"/>
    <w:qFormat/>
    <w:uiPriority w:val="34"/>
    <w:pPr>
      <w:widowControl/>
      <w:spacing w:beforeLines="50"/>
      <w:contextualSpacing/>
      <w:jc w:val="center"/>
    </w:pPr>
    <w:rPr>
      <w:b/>
      <w:kern w:val="0"/>
      <w:sz w:val="24"/>
      <w:szCs w:val="24"/>
      <w:lang w:eastAsia="en-US" w:bidi="en-US"/>
    </w:rPr>
  </w:style>
  <w:style w:type="paragraph" w:customStyle="1" w:styleId="168">
    <w:name w:val="font11"/>
    <w:basedOn w:val="1"/>
    <w:qFormat/>
    <w:uiPriority w:val="0"/>
    <w:pPr>
      <w:widowControl/>
      <w:spacing w:before="100" w:beforeAutospacing="1" w:after="100" w:afterAutospacing="1"/>
      <w:jc w:val="left"/>
    </w:pPr>
    <w:rPr>
      <w:rFonts w:eastAsia="楷体_GB2312"/>
      <w:kern w:val="0"/>
      <w:sz w:val="18"/>
      <w:szCs w:val="18"/>
    </w:rPr>
  </w:style>
  <w:style w:type="paragraph" w:customStyle="1" w:styleId="169">
    <w:name w:val="Char Char Char Char Char Char Char Char Char Char1"/>
    <w:basedOn w:val="1"/>
    <w:qFormat/>
    <w:uiPriority w:val="0"/>
    <w:pPr>
      <w:tabs>
        <w:tab w:val="left" w:pos="425"/>
      </w:tabs>
      <w:ind w:left="425" w:hanging="425"/>
    </w:pPr>
    <w:rPr>
      <w:rFonts w:ascii="Arial" w:hAnsi="Arial" w:eastAsia="黑体" w:cs="宋体"/>
      <w:b/>
      <w:bCs/>
      <w:sz w:val="32"/>
      <w:szCs w:val="32"/>
    </w:rPr>
  </w:style>
  <w:style w:type="paragraph" w:customStyle="1" w:styleId="170">
    <w:name w:val="样式2"/>
    <w:basedOn w:val="6"/>
    <w:next w:val="6"/>
    <w:qFormat/>
    <w:uiPriority w:val="0"/>
    <w:pPr>
      <w:widowControl/>
      <w:spacing w:before="280" w:after="290" w:line="372" w:lineRule="auto"/>
      <w:jc w:val="left"/>
    </w:pPr>
    <w:rPr>
      <w:rFonts w:ascii="黑体" w:eastAsia="黑体"/>
      <w:bCs/>
      <w:sz w:val="24"/>
      <w:szCs w:val="30"/>
    </w:rPr>
  </w:style>
  <w:style w:type="paragraph" w:customStyle="1" w:styleId="171">
    <w:name w:val="CM91"/>
    <w:basedOn w:val="74"/>
    <w:next w:val="74"/>
    <w:qFormat/>
    <w:uiPriority w:val="0"/>
    <w:pPr>
      <w:spacing w:after="160"/>
    </w:pPr>
    <w:rPr>
      <w:rFonts w:ascii="宋体" w:eastAsia="宋体"/>
      <w:color w:val="auto"/>
    </w:rPr>
  </w:style>
  <w:style w:type="paragraph" w:customStyle="1" w:styleId="172">
    <w:name w:val="font6"/>
    <w:basedOn w:val="1"/>
    <w:qFormat/>
    <w:uiPriority w:val="0"/>
    <w:pPr>
      <w:widowControl/>
      <w:spacing w:before="100" w:beforeAutospacing="1" w:after="100" w:afterAutospacing="1"/>
      <w:jc w:val="left"/>
    </w:pPr>
    <w:rPr>
      <w:rFonts w:eastAsia="楷体_GB2312"/>
      <w:kern w:val="0"/>
      <w:sz w:val="24"/>
      <w:szCs w:val="24"/>
    </w:rPr>
  </w:style>
  <w:style w:type="paragraph" w:customStyle="1" w:styleId="173">
    <w:name w:val="xl23"/>
    <w:basedOn w:val="1"/>
    <w:qFormat/>
    <w:uiPriority w:val="0"/>
    <w:pPr>
      <w:widowControl/>
      <w:spacing w:before="100" w:beforeAutospacing="1" w:after="100" w:afterAutospacing="1"/>
      <w:jc w:val="center"/>
    </w:pPr>
    <w:rPr>
      <w:rFonts w:ascii="Arial Unicode MS" w:hAnsi="Arial Unicode MS" w:eastAsia="Arial Unicode MS"/>
      <w:kern w:val="0"/>
      <w:sz w:val="24"/>
      <w:szCs w:val="24"/>
    </w:rPr>
  </w:style>
  <w:style w:type="paragraph" w:customStyle="1" w:styleId="174">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楷体_GB2312"/>
      <w:kern w:val="0"/>
      <w:sz w:val="24"/>
      <w:szCs w:val="24"/>
    </w:rPr>
  </w:style>
  <w:style w:type="paragraph" w:customStyle="1" w:styleId="175">
    <w:name w:val="Char Char Char Char Char Char Char Char Char Char Char Char Char Char Char Char Char Char Char Char Char Char Char Char Char Char Char Char Char Char"/>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176">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楷体_GB2312"/>
      <w:kern w:val="0"/>
      <w:sz w:val="24"/>
      <w:szCs w:val="24"/>
    </w:rPr>
  </w:style>
  <w:style w:type="paragraph" w:customStyle="1" w:styleId="177">
    <w:name w:val="xl50"/>
    <w:basedOn w:val="1"/>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jc w:val="center"/>
    </w:pPr>
    <w:rPr>
      <w:rFonts w:ascii="宋体" w:hAnsi="宋体" w:eastAsia="楷体_GB2312"/>
      <w:kern w:val="0"/>
      <w:sz w:val="24"/>
      <w:szCs w:val="24"/>
    </w:rPr>
  </w:style>
  <w:style w:type="paragraph" w:customStyle="1" w:styleId="178">
    <w:name w:val="xl51"/>
    <w:basedOn w:val="1"/>
    <w:qFormat/>
    <w:uiPriority w:val="0"/>
    <w:pPr>
      <w:widowControl/>
      <w:pBdr>
        <w:bottom w:val="single" w:color="auto" w:sz="4" w:space="0"/>
      </w:pBdr>
      <w:spacing w:before="100" w:beforeAutospacing="1" w:after="100" w:afterAutospacing="1"/>
      <w:jc w:val="center"/>
      <w:textAlignment w:val="center"/>
    </w:pPr>
    <w:rPr>
      <w:rFonts w:ascii="宋体" w:hAnsi="宋体"/>
      <w:b/>
      <w:bCs/>
      <w:kern w:val="0"/>
      <w:sz w:val="32"/>
      <w:szCs w:val="32"/>
    </w:rPr>
  </w:style>
  <w:style w:type="paragraph" w:customStyle="1" w:styleId="179">
    <w:name w:val="默认段落字体 Para Char"/>
    <w:basedOn w:val="1"/>
    <w:qFormat/>
    <w:uiPriority w:val="0"/>
    <w:pPr>
      <w:snapToGrid w:val="0"/>
      <w:spacing w:line="360" w:lineRule="auto"/>
      <w:ind w:firstLine="200" w:firstLineChars="200"/>
    </w:pPr>
    <w:rPr>
      <w:rFonts w:eastAsia="仿宋_GB2312"/>
      <w:sz w:val="24"/>
      <w:szCs w:val="24"/>
    </w:rPr>
  </w:style>
  <w:style w:type="paragraph" w:customStyle="1" w:styleId="180">
    <w:name w:val="xl47"/>
    <w:basedOn w:val="1"/>
    <w:qFormat/>
    <w:uiPriority w:val="0"/>
    <w:pPr>
      <w:widowControl/>
      <w:pBdr>
        <w:top w:val="single" w:color="auto" w:sz="4" w:space="0"/>
        <w:left w:val="single" w:color="auto" w:sz="8" w:space="0"/>
        <w:bottom w:val="single" w:color="auto" w:sz="8" w:space="0"/>
        <w:right w:val="single" w:color="auto" w:sz="4" w:space="0"/>
      </w:pBdr>
      <w:spacing w:before="100" w:beforeAutospacing="1" w:after="100" w:afterAutospacing="1"/>
      <w:jc w:val="center"/>
    </w:pPr>
    <w:rPr>
      <w:rFonts w:ascii="宋体" w:hAnsi="宋体" w:eastAsia="楷体_GB2312"/>
      <w:kern w:val="0"/>
      <w:sz w:val="24"/>
      <w:szCs w:val="24"/>
    </w:rPr>
  </w:style>
  <w:style w:type="paragraph" w:customStyle="1" w:styleId="181">
    <w:name w:val="font10"/>
    <w:basedOn w:val="1"/>
    <w:qFormat/>
    <w:uiPriority w:val="0"/>
    <w:pPr>
      <w:widowControl/>
      <w:spacing w:before="100" w:beforeAutospacing="1" w:after="100" w:afterAutospacing="1"/>
      <w:jc w:val="left"/>
    </w:pPr>
    <w:rPr>
      <w:rFonts w:eastAsia="楷体_GB2312"/>
      <w:kern w:val="0"/>
      <w:sz w:val="20"/>
    </w:rPr>
  </w:style>
  <w:style w:type="paragraph" w:customStyle="1" w:styleId="182">
    <w:name w:val="opening2"/>
    <w:basedOn w:val="1"/>
    <w:qFormat/>
    <w:uiPriority w:val="0"/>
    <w:pPr>
      <w:widowControl/>
      <w:spacing w:before="100" w:beforeAutospacing="1" w:after="100" w:afterAutospacing="1"/>
      <w:jc w:val="left"/>
    </w:pPr>
    <w:rPr>
      <w:rFonts w:ascii="宋体" w:hAnsi="宋体" w:cs="宋体"/>
      <w:color w:val="000000"/>
      <w:kern w:val="0"/>
      <w:sz w:val="23"/>
      <w:szCs w:val="23"/>
    </w:rPr>
  </w:style>
  <w:style w:type="paragraph" w:customStyle="1" w:styleId="183">
    <w:name w:val="Char Char Char Char Char Char Char Char Char Char Char Char"/>
    <w:basedOn w:val="1"/>
    <w:qFormat/>
    <w:uiPriority w:val="0"/>
    <w:pPr>
      <w:spacing w:line="240" w:lineRule="atLeast"/>
      <w:ind w:left="420" w:firstLine="420"/>
    </w:pPr>
    <w:rPr>
      <w:kern w:val="0"/>
      <w:szCs w:val="21"/>
    </w:rPr>
  </w:style>
  <w:style w:type="paragraph" w:customStyle="1" w:styleId="184">
    <w:name w:val="xl32"/>
    <w:basedOn w:val="1"/>
    <w:qFormat/>
    <w:uiPriority w:val="0"/>
    <w:pPr>
      <w:widowControl/>
      <w:spacing w:before="100" w:beforeAutospacing="1" w:after="100" w:afterAutospacing="1"/>
      <w:jc w:val="center"/>
    </w:pPr>
    <w:rPr>
      <w:rFonts w:ascii="宋体" w:hAnsi="宋体" w:eastAsia="楷体_GB2312"/>
      <w:kern w:val="0"/>
      <w:sz w:val="36"/>
      <w:szCs w:val="36"/>
    </w:rPr>
  </w:style>
  <w:style w:type="paragraph" w:customStyle="1" w:styleId="185">
    <w:name w:val="样式 表格文字 + 首行缩进:  2 字符"/>
    <w:basedOn w:val="2"/>
    <w:qFormat/>
    <w:uiPriority w:val="0"/>
    <w:pPr>
      <w:ind w:firstLine="0"/>
      <w:jc w:val="center"/>
    </w:pPr>
    <w:rPr>
      <w:rFonts w:ascii="宋体" w:cs="宋体"/>
      <w:kern w:val="11"/>
      <w:sz w:val="24"/>
      <w:szCs w:val="24"/>
    </w:rPr>
  </w:style>
  <w:style w:type="paragraph" w:customStyle="1" w:styleId="186">
    <w:name w:val="_Style 27"/>
    <w:basedOn w:val="1"/>
    <w:next w:val="27"/>
    <w:qFormat/>
    <w:uiPriority w:val="0"/>
    <w:pPr>
      <w:adjustRightInd w:val="0"/>
      <w:ind w:left="420" w:right="33"/>
      <w:jc w:val="left"/>
      <w:textAlignment w:val="baseline"/>
    </w:pPr>
    <w:rPr>
      <w:kern w:val="0"/>
      <w:sz w:val="24"/>
    </w:rPr>
  </w:style>
  <w:style w:type="paragraph" w:customStyle="1" w:styleId="187">
    <w:name w:val="Char31"/>
    <w:basedOn w:val="1"/>
    <w:qFormat/>
    <w:uiPriority w:val="0"/>
    <w:pPr>
      <w:tabs>
        <w:tab w:val="left" w:pos="794"/>
        <w:tab w:val="left" w:pos="1191"/>
        <w:tab w:val="left" w:pos="1588"/>
        <w:tab w:val="left" w:pos="1985"/>
      </w:tabs>
      <w:autoSpaceDE w:val="0"/>
      <w:autoSpaceDN w:val="0"/>
      <w:adjustRightInd w:val="0"/>
      <w:spacing w:before="136"/>
    </w:pPr>
    <w:rPr>
      <w:rFonts w:ascii="Tahoma" w:hAnsi="Tahoma"/>
      <w:kern w:val="0"/>
      <w:sz w:val="24"/>
      <w:lang w:val="en-GB"/>
    </w:rPr>
  </w:style>
  <w:style w:type="paragraph" w:customStyle="1" w:styleId="188">
    <w:name w:val="font0"/>
    <w:basedOn w:val="1"/>
    <w:qFormat/>
    <w:uiPriority w:val="0"/>
    <w:pPr>
      <w:widowControl/>
      <w:spacing w:before="100" w:beforeAutospacing="1" w:after="100" w:afterAutospacing="1"/>
      <w:jc w:val="left"/>
    </w:pPr>
    <w:rPr>
      <w:rFonts w:hint="eastAsia" w:ascii="宋体" w:hAnsi="宋体" w:eastAsia="楷体_GB2312"/>
      <w:kern w:val="0"/>
      <w:sz w:val="24"/>
      <w:szCs w:val="24"/>
    </w:rPr>
  </w:style>
  <w:style w:type="paragraph" w:customStyle="1" w:styleId="189">
    <w:name w:val="样式 标题 2 + Times New Roman 四号 非加粗 段前: 5 磅 段后: 0 磅 行距: 固定值 20..."/>
    <w:basedOn w:val="4"/>
    <w:qFormat/>
    <w:uiPriority w:val="0"/>
    <w:pPr>
      <w:spacing w:before="100" w:after="0" w:line="400" w:lineRule="exact"/>
    </w:pPr>
    <w:rPr>
      <w:rFonts w:ascii="Times New Roman" w:hAnsi="Times New Roman" w:cs="宋体"/>
      <w:b w:val="0"/>
      <w:sz w:val="28"/>
    </w:rPr>
  </w:style>
  <w:style w:type="paragraph" w:customStyle="1" w:styleId="190">
    <w:name w:val="font1"/>
    <w:basedOn w:val="1"/>
    <w:qFormat/>
    <w:uiPriority w:val="0"/>
    <w:pPr>
      <w:widowControl/>
      <w:spacing w:before="100" w:beforeAutospacing="1" w:after="100" w:afterAutospacing="1"/>
      <w:jc w:val="left"/>
    </w:pPr>
    <w:rPr>
      <w:rFonts w:hint="eastAsia" w:ascii="宋体" w:hAnsi="宋体" w:eastAsia="楷体_GB2312"/>
      <w:kern w:val="0"/>
      <w:sz w:val="24"/>
      <w:szCs w:val="24"/>
    </w:rPr>
  </w:style>
  <w:style w:type="paragraph" w:customStyle="1" w:styleId="191">
    <w:name w:val="xl38"/>
    <w:basedOn w:val="1"/>
    <w:qFormat/>
    <w:uiPriority w:val="0"/>
    <w:pPr>
      <w:widowControl/>
      <w:spacing w:before="100" w:beforeAutospacing="1" w:after="100" w:afterAutospacing="1"/>
      <w:jc w:val="center"/>
    </w:pPr>
    <w:rPr>
      <w:rFonts w:ascii="宋体" w:hAnsi="宋体" w:eastAsia="楷体_GB2312"/>
      <w:b/>
      <w:bCs/>
      <w:kern w:val="0"/>
      <w:sz w:val="40"/>
      <w:szCs w:val="40"/>
    </w:rPr>
  </w:style>
  <w:style w:type="paragraph" w:customStyle="1" w:styleId="192">
    <w:name w:val="Char Char Char Char Char Char Char"/>
    <w:basedOn w:val="1"/>
    <w:qFormat/>
    <w:uiPriority w:val="0"/>
    <w:rPr>
      <w:rFonts w:ascii="Tahoma" w:hAnsi="Tahoma" w:eastAsia="楷体_GB2312"/>
      <w:sz w:val="24"/>
    </w:rPr>
  </w:style>
  <w:style w:type="paragraph" w:customStyle="1" w:styleId="193">
    <w:name w:val="Normal_5"/>
    <w:qFormat/>
    <w:uiPriority w:val="0"/>
    <w:pPr>
      <w:widowControl w:val="0"/>
      <w:jc w:val="both"/>
    </w:pPr>
    <w:rPr>
      <w:rFonts w:ascii="Calibri" w:hAnsi="Calibri" w:eastAsia="宋体" w:cs="Times New Roman"/>
      <w:lang w:val="en-US" w:eastAsia="zh-CN" w:bidi="ar-SA"/>
    </w:rPr>
  </w:style>
  <w:style w:type="paragraph" w:customStyle="1" w:styleId="194">
    <w:name w:val="noindent"/>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195">
    <w:name w:val="Body Text(ch)"/>
    <w:basedOn w:val="1"/>
    <w:next w:val="24"/>
    <w:qFormat/>
    <w:uiPriority w:val="0"/>
    <w:pPr>
      <w:spacing w:line="500" w:lineRule="exact"/>
      <w:jc w:val="center"/>
    </w:pPr>
    <w:rPr>
      <w:rFonts w:eastAsia="楷体_GB2312"/>
      <w:szCs w:val="24"/>
    </w:rPr>
  </w:style>
  <w:style w:type="paragraph" w:customStyle="1" w:styleId="196">
    <w:name w:val="reader-word-layer"/>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97">
    <w:name w:val="Char Char Char Char Char Char Char Char Char Char Char Char Char Char Char Char Char Char Char Char Char Char Char Char Char Char Char Char"/>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198">
    <w:name w:val="xl45"/>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eastAsia="楷体_GB2312"/>
      <w:kern w:val="0"/>
      <w:sz w:val="24"/>
      <w:szCs w:val="24"/>
    </w:rPr>
  </w:style>
  <w:style w:type="paragraph" w:customStyle="1" w:styleId="199">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楷体_GB2312"/>
      <w:kern w:val="0"/>
      <w:sz w:val="20"/>
    </w:rPr>
  </w:style>
  <w:style w:type="paragraph" w:customStyle="1" w:styleId="200">
    <w:name w:val="目录文字"/>
    <w:basedOn w:val="1"/>
    <w:qFormat/>
    <w:uiPriority w:val="0"/>
    <w:pPr>
      <w:widowControl/>
      <w:spacing w:line="480" w:lineRule="auto"/>
      <w:jc w:val="left"/>
    </w:pPr>
    <w:rPr>
      <w:rFonts w:ascii="宋体" w:hAnsi="宋体"/>
      <w:kern w:val="0"/>
      <w:sz w:val="24"/>
    </w:rPr>
  </w:style>
  <w:style w:type="paragraph" w:customStyle="1" w:styleId="201">
    <w:name w:val="reader-word-layer reader-word-s1-5"/>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202">
    <w:name w:val="pa-10"/>
    <w:basedOn w:val="1"/>
    <w:qFormat/>
    <w:uiPriority w:val="0"/>
    <w:pPr>
      <w:widowControl/>
      <w:spacing w:before="150" w:after="150"/>
      <w:jc w:val="left"/>
    </w:pPr>
    <w:rPr>
      <w:rFonts w:ascii="宋体" w:hAnsi="宋体" w:cs="宋体"/>
      <w:kern w:val="0"/>
      <w:sz w:val="24"/>
      <w:szCs w:val="24"/>
    </w:rPr>
  </w:style>
  <w:style w:type="paragraph" w:customStyle="1" w:styleId="203">
    <w:name w:val="xl31"/>
    <w:basedOn w:val="1"/>
    <w:qFormat/>
    <w:uiPriority w:val="0"/>
    <w:pPr>
      <w:widowControl/>
      <w:spacing w:before="100" w:beforeAutospacing="1" w:after="100" w:afterAutospacing="1"/>
      <w:jc w:val="left"/>
    </w:pPr>
    <w:rPr>
      <w:rFonts w:ascii="宋体" w:hAnsi="宋体" w:eastAsia="楷体_GB2312"/>
      <w:kern w:val="0"/>
      <w:sz w:val="24"/>
      <w:szCs w:val="24"/>
    </w:rPr>
  </w:style>
  <w:style w:type="paragraph" w:customStyle="1" w:styleId="204">
    <w:name w:val="pa-5"/>
    <w:basedOn w:val="1"/>
    <w:qFormat/>
    <w:uiPriority w:val="0"/>
    <w:pPr>
      <w:widowControl/>
      <w:spacing w:before="150" w:after="150"/>
      <w:jc w:val="left"/>
    </w:pPr>
    <w:rPr>
      <w:rFonts w:ascii="宋体" w:hAnsi="宋体" w:cs="宋体"/>
      <w:kern w:val="0"/>
      <w:sz w:val="24"/>
      <w:szCs w:val="24"/>
    </w:rPr>
  </w:style>
  <w:style w:type="paragraph" w:customStyle="1" w:styleId="205">
    <w:name w:val="样式 标题 2"/>
    <w:basedOn w:val="1"/>
    <w:next w:val="5"/>
    <w:qFormat/>
    <w:uiPriority w:val="0"/>
    <w:pPr>
      <w:snapToGrid w:val="0"/>
      <w:spacing w:line="360" w:lineRule="auto"/>
      <w:ind w:firstLine="200" w:firstLineChars="200"/>
    </w:pPr>
    <w:rPr>
      <w:rFonts w:eastAsia="仿宋_GB2312"/>
      <w:sz w:val="32"/>
      <w:szCs w:val="32"/>
    </w:rPr>
  </w:style>
  <w:style w:type="paragraph" w:customStyle="1" w:styleId="206">
    <w:name w:val="无间隔1"/>
    <w:basedOn w:val="207"/>
    <w:next w:val="207"/>
    <w:qFormat/>
    <w:uiPriority w:val="1"/>
    <w:pPr>
      <w:widowControl/>
      <w:jc w:val="left"/>
    </w:pPr>
    <w:rPr>
      <w:sz w:val="24"/>
      <w:szCs w:val="32"/>
    </w:rPr>
  </w:style>
  <w:style w:type="paragraph" w:customStyle="1" w:styleId="207">
    <w:name w:val="正文 New New New"/>
    <w:next w:val="206"/>
    <w:qFormat/>
    <w:uiPriority w:val="0"/>
    <w:pPr>
      <w:widowControl w:val="0"/>
      <w:jc w:val="both"/>
    </w:pPr>
    <w:rPr>
      <w:rFonts w:ascii="Calibri" w:hAnsi="Calibri" w:eastAsia="宋体" w:cs="Times New Roman"/>
      <w:kern w:val="2"/>
      <w:sz w:val="21"/>
      <w:szCs w:val="24"/>
      <w:lang w:val="en-US" w:eastAsia="zh-CN" w:bidi="ar-SA"/>
    </w:rPr>
  </w:style>
  <w:style w:type="paragraph" w:customStyle="1" w:styleId="208">
    <w:name w:val="表格cacc"/>
    <w:basedOn w:val="1"/>
    <w:qFormat/>
    <w:uiPriority w:val="0"/>
    <w:pPr>
      <w:spacing w:line="240" w:lineRule="atLeast"/>
      <w:jc w:val="left"/>
    </w:pPr>
    <w:rPr>
      <w:szCs w:val="21"/>
    </w:rPr>
  </w:style>
  <w:style w:type="paragraph" w:customStyle="1" w:styleId="209">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10">
    <w:name w:val="样式 首行缩进:  2 字符 Char"/>
    <w:basedOn w:val="1"/>
    <w:qFormat/>
    <w:uiPriority w:val="0"/>
    <w:pPr>
      <w:spacing w:before="120" w:after="120" w:line="348" w:lineRule="auto"/>
      <w:ind w:firstLine="200" w:firstLineChars="200"/>
    </w:pPr>
    <w:rPr>
      <w:kern w:val="11"/>
      <w:sz w:val="24"/>
      <w:szCs w:val="28"/>
    </w:rPr>
  </w:style>
  <w:style w:type="paragraph" w:customStyle="1" w:styleId="211">
    <w:name w:val="xl46"/>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eastAsia="楷体_GB2312"/>
      <w:kern w:val="0"/>
      <w:sz w:val="24"/>
      <w:szCs w:val="24"/>
    </w:rPr>
  </w:style>
  <w:style w:type="paragraph" w:customStyle="1" w:styleId="212">
    <w:name w:val="p2"/>
    <w:basedOn w:val="1"/>
    <w:qFormat/>
    <w:uiPriority w:val="0"/>
    <w:pPr>
      <w:widowControl/>
      <w:spacing w:line="480" w:lineRule="auto"/>
      <w:ind w:firstLine="420"/>
      <w:jc w:val="left"/>
    </w:pPr>
    <w:rPr>
      <w:rFonts w:ascii="宋体" w:hAnsi="宋体" w:cs="宋体"/>
      <w:kern w:val="0"/>
      <w:szCs w:val="21"/>
    </w:rPr>
  </w:style>
  <w:style w:type="paragraph" w:customStyle="1" w:styleId="213">
    <w:name w:val="Char6 Char Char Char"/>
    <w:basedOn w:val="1"/>
    <w:qFormat/>
    <w:uiPriority w:val="0"/>
    <w:pPr>
      <w:tabs>
        <w:tab w:val="left" w:pos="794"/>
        <w:tab w:val="left" w:pos="1191"/>
        <w:tab w:val="left" w:pos="1588"/>
        <w:tab w:val="left" w:pos="1985"/>
      </w:tabs>
      <w:autoSpaceDE w:val="0"/>
      <w:autoSpaceDN w:val="0"/>
      <w:adjustRightInd w:val="0"/>
      <w:spacing w:before="136"/>
    </w:pPr>
    <w:rPr>
      <w:rFonts w:ascii="Tahoma" w:hAnsi="Tahoma"/>
      <w:kern w:val="0"/>
      <w:sz w:val="24"/>
      <w:lang w:val="en-GB"/>
    </w:rPr>
  </w:style>
  <w:style w:type="paragraph" w:customStyle="1" w:styleId="214">
    <w:name w:val="_Style 208"/>
    <w:basedOn w:val="3"/>
    <w:next w:val="1"/>
    <w:qFormat/>
    <w:uiPriority w:val="39"/>
    <w:pPr>
      <w:widowControl/>
      <w:spacing w:before="340" w:after="330" w:line="578" w:lineRule="auto"/>
      <w:jc w:val="left"/>
      <w:outlineLvl w:val="9"/>
    </w:pPr>
    <w:rPr>
      <w:bCs/>
      <w:sz w:val="44"/>
      <w:szCs w:val="44"/>
    </w:rPr>
  </w:style>
  <w:style w:type="paragraph" w:customStyle="1" w:styleId="215">
    <w:name w:val="xl53"/>
    <w:basedOn w:val="1"/>
    <w:qFormat/>
    <w:uiPriority w:val="0"/>
    <w:pPr>
      <w:widowControl/>
      <w:spacing w:before="100" w:beforeAutospacing="1" w:after="100" w:afterAutospacing="1"/>
      <w:jc w:val="left"/>
    </w:pPr>
    <w:rPr>
      <w:rFonts w:ascii="宋体" w:hAnsi="宋体" w:eastAsia="楷体_GB2312"/>
      <w:b/>
      <w:bCs/>
      <w:kern w:val="0"/>
      <w:sz w:val="40"/>
      <w:szCs w:val="40"/>
    </w:rPr>
  </w:style>
  <w:style w:type="paragraph" w:customStyle="1" w:styleId="216">
    <w:name w:val="font8"/>
    <w:basedOn w:val="1"/>
    <w:qFormat/>
    <w:uiPriority w:val="0"/>
    <w:pPr>
      <w:widowControl/>
      <w:spacing w:before="100" w:beforeAutospacing="1" w:after="100" w:afterAutospacing="1"/>
      <w:jc w:val="left"/>
    </w:pPr>
    <w:rPr>
      <w:rFonts w:hint="eastAsia" w:ascii="宋体" w:hAnsi="宋体" w:eastAsia="楷体_GB2312"/>
      <w:b/>
      <w:bCs/>
      <w:kern w:val="0"/>
      <w:sz w:val="40"/>
      <w:szCs w:val="40"/>
    </w:rPr>
  </w:style>
  <w:style w:type="paragraph" w:customStyle="1" w:styleId="217">
    <w:name w:val="p0"/>
    <w:basedOn w:val="1"/>
    <w:qFormat/>
    <w:uiPriority w:val="0"/>
    <w:pPr>
      <w:widowControl/>
    </w:pPr>
    <w:rPr>
      <w:kern w:val="0"/>
      <w:szCs w:val="21"/>
    </w:rPr>
  </w:style>
  <w:style w:type="paragraph" w:customStyle="1" w:styleId="218">
    <w:name w:val="默认段落字体 Para Char Char Char Char Char Char Char"/>
    <w:basedOn w:val="1"/>
    <w:qFormat/>
    <w:uiPriority w:val="0"/>
    <w:rPr>
      <w:szCs w:val="24"/>
    </w:rPr>
  </w:style>
  <w:style w:type="paragraph" w:customStyle="1" w:styleId="219">
    <w:name w:val="pa-7"/>
    <w:basedOn w:val="1"/>
    <w:qFormat/>
    <w:uiPriority w:val="0"/>
    <w:pPr>
      <w:widowControl/>
      <w:spacing w:before="150" w:after="150"/>
      <w:jc w:val="left"/>
    </w:pPr>
    <w:rPr>
      <w:rFonts w:ascii="宋体" w:hAnsi="宋体" w:cs="宋体"/>
      <w:kern w:val="0"/>
      <w:sz w:val="24"/>
      <w:szCs w:val="24"/>
    </w:rPr>
  </w:style>
  <w:style w:type="paragraph" w:customStyle="1" w:styleId="220">
    <w:name w:val="样式1"/>
    <w:basedOn w:val="1"/>
    <w:next w:val="6"/>
    <w:qFormat/>
    <w:uiPriority w:val="0"/>
    <w:pPr>
      <w:spacing w:line="360" w:lineRule="auto"/>
      <w:ind w:firstLine="420" w:firstLineChars="200"/>
    </w:pPr>
    <w:rPr>
      <w:rFonts w:ascii="宋体" w:hAnsi="宋体"/>
    </w:rPr>
  </w:style>
  <w:style w:type="paragraph" w:customStyle="1" w:styleId="221">
    <w:name w:val="pa-15"/>
    <w:basedOn w:val="1"/>
    <w:qFormat/>
    <w:uiPriority w:val="0"/>
    <w:pPr>
      <w:widowControl/>
      <w:spacing w:line="320" w:lineRule="atLeast"/>
    </w:pPr>
    <w:rPr>
      <w:rFonts w:ascii="宋体" w:hAnsi="宋体" w:cs="宋体"/>
      <w:kern w:val="0"/>
      <w:sz w:val="24"/>
      <w:szCs w:val="24"/>
    </w:rPr>
  </w:style>
  <w:style w:type="paragraph" w:customStyle="1" w:styleId="222">
    <w:name w:val="列出段落2"/>
    <w:basedOn w:val="1"/>
    <w:qFormat/>
    <w:uiPriority w:val="34"/>
    <w:pPr>
      <w:ind w:firstLine="420" w:firstLineChars="200"/>
    </w:pPr>
    <w:rPr>
      <w:rFonts w:ascii="Calibri" w:hAnsi="Calibri"/>
      <w:szCs w:val="22"/>
    </w:rPr>
  </w:style>
  <w:style w:type="paragraph" w:customStyle="1" w:styleId="223">
    <w:name w:val="xl48"/>
    <w:basedOn w:val="1"/>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jc w:val="left"/>
    </w:pPr>
    <w:rPr>
      <w:rFonts w:ascii="宋体" w:hAnsi="宋体" w:eastAsia="楷体_GB2312"/>
      <w:kern w:val="0"/>
      <w:sz w:val="24"/>
      <w:szCs w:val="24"/>
    </w:rPr>
  </w:style>
  <w:style w:type="paragraph" w:customStyle="1" w:styleId="224">
    <w:name w:val="Char Char Char Char Char Char"/>
    <w:basedOn w:val="1"/>
    <w:qFormat/>
    <w:uiPriority w:val="0"/>
    <w:rPr>
      <w:rFonts w:ascii="Tahoma" w:hAnsi="Tahoma" w:eastAsia="楷体_GB2312"/>
      <w:sz w:val="24"/>
    </w:rPr>
  </w:style>
  <w:style w:type="paragraph" w:customStyle="1" w:styleId="225">
    <w:name w:val="Char6 Char Char Char1"/>
    <w:basedOn w:val="1"/>
    <w:qFormat/>
    <w:uiPriority w:val="0"/>
    <w:pPr>
      <w:tabs>
        <w:tab w:val="left" w:pos="794"/>
        <w:tab w:val="left" w:pos="1191"/>
        <w:tab w:val="left" w:pos="1588"/>
        <w:tab w:val="left" w:pos="1985"/>
      </w:tabs>
      <w:autoSpaceDE w:val="0"/>
      <w:autoSpaceDN w:val="0"/>
      <w:adjustRightInd w:val="0"/>
      <w:spacing w:before="136"/>
    </w:pPr>
    <w:rPr>
      <w:rFonts w:ascii="Tahoma" w:hAnsi="Tahoma"/>
      <w:kern w:val="0"/>
      <w:sz w:val="24"/>
      <w:lang w:val="en-GB"/>
    </w:rPr>
  </w:style>
  <w:style w:type="paragraph" w:customStyle="1" w:styleId="226">
    <w:name w:val="样式4"/>
    <w:basedOn w:val="5"/>
    <w:qFormat/>
    <w:uiPriority w:val="99"/>
    <w:pPr>
      <w:spacing w:before="260" w:after="260" w:line="412" w:lineRule="auto"/>
    </w:pPr>
    <w:rPr>
      <w:rFonts w:eastAsia="Arial"/>
      <w:bCs/>
      <w:kern w:val="2"/>
      <w:sz w:val="32"/>
      <w:szCs w:val="32"/>
    </w:rPr>
  </w:style>
  <w:style w:type="paragraph" w:customStyle="1" w:styleId="227">
    <w:name w:val="font12"/>
    <w:basedOn w:val="1"/>
    <w:qFormat/>
    <w:uiPriority w:val="0"/>
    <w:pPr>
      <w:widowControl/>
      <w:spacing w:before="100" w:beforeAutospacing="1" w:after="100" w:afterAutospacing="1"/>
      <w:jc w:val="left"/>
    </w:pPr>
    <w:rPr>
      <w:rFonts w:hint="eastAsia" w:ascii="宋体" w:hAnsi="宋体" w:eastAsia="楷体_GB2312"/>
      <w:kern w:val="0"/>
      <w:sz w:val="24"/>
      <w:szCs w:val="24"/>
    </w:rPr>
  </w:style>
  <w:style w:type="paragraph" w:customStyle="1" w:styleId="228">
    <w:name w:val="样式 首行缩进:  2 字符2"/>
    <w:basedOn w:val="1"/>
    <w:qFormat/>
    <w:uiPriority w:val="0"/>
    <w:pPr>
      <w:spacing w:line="300" w:lineRule="auto"/>
      <w:ind w:firstLine="200" w:firstLineChars="200"/>
    </w:pPr>
    <w:rPr>
      <w:rFonts w:cs="宋体"/>
      <w:kern w:val="28"/>
      <w:sz w:val="24"/>
      <w:szCs w:val="24"/>
    </w:rPr>
  </w:style>
  <w:style w:type="paragraph" w:customStyle="1" w:styleId="229">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楷体_GB2312"/>
      <w:kern w:val="0"/>
      <w:sz w:val="24"/>
      <w:szCs w:val="24"/>
    </w:rPr>
  </w:style>
  <w:style w:type="paragraph" w:customStyle="1" w:styleId="230">
    <w:name w:val="geshi1"/>
    <w:basedOn w:val="1"/>
    <w:qFormat/>
    <w:uiPriority w:val="0"/>
    <w:pPr>
      <w:spacing w:before="100" w:beforeAutospacing="1" w:after="100" w:afterAutospacing="1"/>
    </w:pPr>
    <w:rPr>
      <w:rFonts w:ascii="宋体" w:hAnsi="宋体" w:cs="宋体"/>
      <w:sz w:val="24"/>
      <w:szCs w:val="24"/>
    </w:rPr>
  </w:style>
  <w:style w:type="paragraph" w:customStyle="1" w:styleId="231">
    <w:name w:val="Char Char Char Char Char Char Char Char Char Char Char Char Char Char Char Char Char Char Char Char Char Char Char Char Char Char Char Char Char Char Char"/>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232">
    <w:name w:val="样式 样式 标题 3 + 居中 左侧:  0 厘米 首行缩进:  1.18 厘米 段前: 1.5 行 段后: 6 磅 行距:....."/>
    <w:basedOn w:val="141"/>
    <w:qFormat/>
    <w:uiPriority w:val="0"/>
    <w:pPr>
      <w:spacing w:beforeLines="0"/>
    </w:pPr>
  </w:style>
  <w:style w:type="paragraph" w:customStyle="1" w:styleId="233">
    <w:name w:val="CM44"/>
    <w:basedOn w:val="74"/>
    <w:next w:val="74"/>
    <w:qFormat/>
    <w:uiPriority w:val="0"/>
    <w:pPr>
      <w:spacing w:line="440" w:lineRule="atLeast"/>
    </w:pPr>
    <w:rPr>
      <w:rFonts w:ascii="宋体" w:eastAsia="宋体"/>
      <w:color w:val="auto"/>
    </w:rPr>
  </w:style>
  <w:style w:type="paragraph" w:customStyle="1" w:styleId="234">
    <w:name w:val="Char Char Char Char1"/>
    <w:basedOn w:val="1"/>
    <w:qFormat/>
    <w:uiPriority w:val="0"/>
    <w:rPr>
      <w:szCs w:val="24"/>
    </w:rPr>
  </w:style>
  <w:style w:type="paragraph" w:customStyle="1" w:styleId="235">
    <w:name w:val="Heading #4|1"/>
    <w:basedOn w:val="1"/>
    <w:link w:val="359"/>
    <w:qFormat/>
    <w:uiPriority w:val="0"/>
    <w:pPr>
      <w:spacing w:after="280"/>
      <w:ind w:firstLine="460"/>
      <w:jc w:val="left"/>
      <w:outlineLvl w:val="3"/>
    </w:pPr>
    <w:rPr>
      <w:rFonts w:ascii="宋体" w:hAnsi="宋体" w:cs="宋体"/>
      <w:b/>
      <w:bCs/>
      <w:kern w:val="0"/>
      <w:sz w:val="20"/>
      <w:lang w:val="zh-TW" w:eastAsia="zh-TW" w:bidi="zh-TW"/>
    </w:rPr>
  </w:style>
  <w:style w:type="paragraph" w:customStyle="1" w:styleId="236">
    <w:name w:val="Body text|1"/>
    <w:basedOn w:val="1"/>
    <w:link w:val="360"/>
    <w:qFormat/>
    <w:uiPriority w:val="0"/>
    <w:pPr>
      <w:spacing w:after="260"/>
      <w:ind w:firstLine="400"/>
      <w:jc w:val="left"/>
    </w:pPr>
    <w:rPr>
      <w:rFonts w:ascii="宋体" w:hAnsi="宋体" w:cs="宋体"/>
      <w:color w:val="171717"/>
      <w:kern w:val="0"/>
      <w:sz w:val="20"/>
      <w:lang w:val="zh-TW" w:eastAsia="zh-TW" w:bidi="zh-TW"/>
    </w:rPr>
  </w:style>
  <w:style w:type="paragraph" w:customStyle="1" w:styleId="237">
    <w:name w:val="Heading #2|1"/>
    <w:basedOn w:val="1"/>
    <w:link w:val="361"/>
    <w:qFormat/>
    <w:uiPriority w:val="0"/>
    <w:pPr>
      <w:spacing w:after="130"/>
      <w:ind w:firstLine="800"/>
      <w:jc w:val="left"/>
      <w:outlineLvl w:val="1"/>
    </w:pPr>
    <w:rPr>
      <w:kern w:val="0"/>
      <w:sz w:val="30"/>
      <w:szCs w:val="30"/>
      <w:lang w:val="zh-TW" w:eastAsia="zh-TW" w:bidi="zh-TW"/>
    </w:rPr>
  </w:style>
  <w:style w:type="paragraph" w:customStyle="1" w:styleId="238">
    <w:name w:val="表格样式2"/>
    <w:basedOn w:val="1"/>
    <w:qFormat/>
    <w:uiPriority w:val="99"/>
    <w:pPr>
      <w:widowControl/>
      <w:spacing w:line="276" w:lineRule="auto"/>
      <w:jc w:val="left"/>
    </w:pPr>
    <w:rPr>
      <w:rFonts w:ascii="仿宋_GB2312" w:hAnsi="宋体" w:eastAsia="仿宋_GB2312" w:cs="仿宋_GB2312"/>
      <w:kern w:val="0"/>
      <w:sz w:val="18"/>
      <w:szCs w:val="18"/>
      <w:lang w:val="zh-CN"/>
    </w:rPr>
  </w:style>
  <w:style w:type="character" w:customStyle="1" w:styleId="239">
    <w:name w:val="Default Char"/>
    <w:link w:val="74"/>
    <w:qFormat/>
    <w:uiPriority w:val="0"/>
    <w:rPr>
      <w:rFonts w:ascii="黑体" w:eastAsia="黑体"/>
      <w:color w:val="000000"/>
      <w:sz w:val="24"/>
      <w:szCs w:val="24"/>
      <w:lang w:val="en-US" w:eastAsia="zh-CN" w:bidi="ar-SA"/>
    </w:rPr>
  </w:style>
  <w:style w:type="character" w:customStyle="1" w:styleId="240">
    <w:name w:val="标题 1 字符1"/>
    <w:link w:val="3"/>
    <w:qFormat/>
    <w:uiPriority w:val="0"/>
    <w:rPr>
      <w:rFonts w:ascii="Times New Roman" w:hAnsi="Times New Roman" w:eastAsia="宋体" w:cs="Times New Roman"/>
      <w:b/>
      <w:kern w:val="44"/>
      <w:sz w:val="32"/>
      <w:szCs w:val="20"/>
    </w:rPr>
  </w:style>
  <w:style w:type="character" w:customStyle="1" w:styleId="241">
    <w:name w:val="标题 2 字符1"/>
    <w:link w:val="4"/>
    <w:qFormat/>
    <w:uiPriority w:val="0"/>
    <w:rPr>
      <w:rFonts w:ascii="Arial" w:hAnsi="Arial" w:eastAsia="黑体" w:cs="Times New Roman"/>
      <w:b/>
      <w:sz w:val="32"/>
      <w:szCs w:val="20"/>
    </w:rPr>
  </w:style>
  <w:style w:type="character" w:customStyle="1" w:styleId="242">
    <w:name w:val="标题 3 字符1"/>
    <w:link w:val="5"/>
    <w:qFormat/>
    <w:uiPriority w:val="0"/>
    <w:rPr>
      <w:rFonts w:ascii="Times New Roman" w:hAnsi="Times New Roman" w:eastAsia="宋体" w:cs="Times New Roman"/>
      <w:b/>
      <w:sz w:val="24"/>
      <w:szCs w:val="20"/>
    </w:rPr>
  </w:style>
  <w:style w:type="character" w:customStyle="1" w:styleId="243">
    <w:name w:val="标题 4 字符1"/>
    <w:link w:val="6"/>
    <w:qFormat/>
    <w:uiPriority w:val="0"/>
    <w:rPr>
      <w:rFonts w:ascii="Arial" w:hAnsi="Arial" w:eastAsia="宋体" w:cs="Times New Roman"/>
      <w:b/>
      <w:szCs w:val="20"/>
    </w:rPr>
  </w:style>
  <w:style w:type="character" w:customStyle="1" w:styleId="244">
    <w:name w:val="标题 5 字符1"/>
    <w:link w:val="7"/>
    <w:qFormat/>
    <w:uiPriority w:val="0"/>
    <w:rPr>
      <w:rFonts w:ascii="Times New Roman" w:hAnsi="Times New Roman" w:eastAsia="楷体_GB2312" w:cs="Times New Roman"/>
      <w:b/>
      <w:kern w:val="0"/>
      <w:sz w:val="30"/>
      <w:szCs w:val="20"/>
    </w:rPr>
  </w:style>
  <w:style w:type="character" w:customStyle="1" w:styleId="245">
    <w:name w:val="标题 6 字符"/>
    <w:link w:val="8"/>
    <w:qFormat/>
    <w:uiPriority w:val="0"/>
    <w:rPr>
      <w:rFonts w:ascii="Arial" w:hAnsi="Arial" w:eastAsia="黑体" w:cs="Times New Roman"/>
      <w:b/>
      <w:bCs/>
      <w:kern w:val="0"/>
      <w:sz w:val="24"/>
      <w:szCs w:val="24"/>
    </w:rPr>
  </w:style>
  <w:style w:type="character" w:customStyle="1" w:styleId="246">
    <w:name w:val="标题 7 字符"/>
    <w:link w:val="9"/>
    <w:qFormat/>
    <w:uiPriority w:val="0"/>
    <w:rPr>
      <w:rFonts w:ascii="Times New Roman" w:hAnsi="Times New Roman" w:eastAsia="宋体" w:cs="Times New Roman"/>
      <w:b/>
      <w:bCs/>
      <w:kern w:val="0"/>
      <w:sz w:val="24"/>
      <w:szCs w:val="24"/>
    </w:rPr>
  </w:style>
  <w:style w:type="character" w:customStyle="1" w:styleId="247">
    <w:name w:val="标题 8 字符"/>
    <w:link w:val="10"/>
    <w:qFormat/>
    <w:uiPriority w:val="0"/>
    <w:rPr>
      <w:rFonts w:ascii="Arial" w:hAnsi="Arial" w:eastAsia="黑体" w:cs="Times New Roman"/>
      <w:kern w:val="0"/>
      <w:sz w:val="24"/>
      <w:szCs w:val="24"/>
    </w:rPr>
  </w:style>
  <w:style w:type="character" w:customStyle="1" w:styleId="248">
    <w:name w:val="标题 9 字符"/>
    <w:link w:val="11"/>
    <w:qFormat/>
    <w:uiPriority w:val="0"/>
    <w:rPr>
      <w:rFonts w:ascii="Arial" w:hAnsi="Arial" w:eastAsia="黑体" w:cs="Times New Roman"/>
      <w:kern w:val="0"/>
      <w:szCs w:val="21"/>
    </w:rPr>
  </w:style>
  <w:style w:type="character" w:customStyle="1" w:styleId="249">
    <w:name w:val="正文缩进 字符1"/>
    <w:link w:val="2"/>
    <w:qFormat/>
    <w:uiPriority w:val="0"/>
    <w:rPr>
      <w:rFonts w:ascii="Times New Roman" w:hAnsi="Times New Roman" w:eastAsia="宋体" w:cs="Times New Roman"/>
      <w:szCs w:val="20"/>
    </w:rPr>
  </w:style>
  <w:style w:type="character" w:customStyle="1" w:styleId="250">
    <w:name w:val="文档结构图 字符1"/>
    <w:link w:val="18"/>
    <w:qFormat/>
    <w:uiPriority w:val="0"/>
    <w:rPr>
      <w:rFonts w:ascii="Times New Roman" w:hAnsi="Times New Roman" w:eastAsia="宋体" w:cs="Times New Roman"/>
      <w:szCs w:val="20"/>
      <w:shd w:val="clear" w:color="auto" w:fill="000080"/>
    </w:rPr>
  </w:style>
  <w:style w:type="character" w:customStyle="1" w:styleId="251">
    <w:name w:val="批注文字 字符1"/>
    <w:link w:val="20"/>
    <w:qFormat/>
    <w:uiPriority w:val="0"/>
    <w:rPr>
      <w:szCs w:val="24"/>
    </w:rPr>
  </w:style>
  <w:style w:type="character" w:customStyle="1" w:styleId="252">
    <w:name w:val="称呼 字符"/>
    <w:link w:val="21"/>
    <w:qFormat/>
    <w:uiPriority w:val="0"/>
    <w:rPr>
      <w:rFonts w:ascii="Times New Roman" w:hAnsi="Times New Roman" w:eastAsia="楷体_GB2312"/>
      <w:kern w:val="2"/>
      <w:sz w:val="24"/>
    </w:rPr>
  </w:style>
  <w:style w:type="character" w:customStyle="1" w:styleId="253">
    <w:name w:val="正文文本 3 字符"/>
    <w:link w:val="22"/>
    <w:qFormat/>
    <w:uiPriority w:val="99"/>
    <w:rPr>
      <w:sz w:val="16"/>
      <w:szCs w:val="16"/>
    </w:rPr>
  </w:style>
  <w:style w:type="character" w:customStyle="1" w:styleId="254">
    <w:name w:val="结束语 字符"/>
    <w:link w:val="23"/>
    <w:qFormat/>
    <w:uiPriority w:val="0"/>
    <w:rPr>
      <w:rFonts w:ascii="Times New Roman" w:hAnsi="Times New Roman" w:eastAsia="楷体_GB2312"/>
      <w:kern w:val="2"/>
      <w:sz w:val="24"/>
    </w:rPr>
  </w:style>
  <w:style w:type="character" w:customStyle="1" w:styleId="255">
    <w:name w:val="正文文本 字符1"/>
    <w:link w:val="24"/>
    <w:qFormat/>
    <w:uiPriority w:val="0"/>
    <w:rPr>
      <w:rFonts w:ascii="Times New Roman" w:hAnsi="Times New Roman" w:eastAsia="宋体" w:cs="Times New Roman"/>
      <w:szCs w:val="24"/>
    </w:rPr>
  </w:style>
  <w:style w:type="character" w:customStyle="1" w:styleId="256">
    <w:name w:val="正文文本缩进 字符1"/>
    <w:link w:val="25"/>
    <w:qFormat/>
    <w:uiPriority w:val="99"/>
    <w:rPr>
      <w:rFonts w:ascii="Times New Roman" w:hAnsi="Times New Roman" w:eastAsia="宋体" w:cs="Times New Roman"/>
      <w:szCs w:val="20"/>
    </w:rPr>
  </w:style>
  <w:style w:type="character" w:customStyle="1" w:styleId="257">
    <w:name w:val="纯文本 字符1"/>
    <w:link w:val="31"/>
    <w:qFormat/>
    <w:uiPriority w:val="0"/>
    <w:rPr>
      <w:rFonts w:ascii="宋体" w:hAnsi="Courier New" w:eastAsia="宋体" w:cs="Times New Roman"/>
      <w:szCs w:val="20"/>
    </w:rPr>
  </w:style>
  <w:style w:type="character" w:customStyle="1" w:styleId="258">
    <w:name w:val="日期 字符1"/>
    <w:link w:val="33"/>
    <w:qFormat/>
    <w:uiPriority w:val="0"/>
    <w:rPr>
      <w:rFonts w:ascii="宋体" w:hAnsi="宋体" w:eastAsia="宋体" w:cs="Times New Roman"/>
      <w:sz w:val="32"/>
      <w:szCs w:val="20"/>
    </w:rPr>
  </w:style>
  <w:style w:type="character" w:customStyle="1" w:styleId="259">
    <w:name w:val="正文文本缩进 2 字符"/>
    <w:link w:val="34"/>
    <w:qFormat/>
    <w:uiPriority w:val="0"/>
    <w:rPr>
      <w:rFonts w:ascii="Times New Roman" w:hAnsi="Times New Roman" w:eastAsia="宋体" w:cs="Times New Roman"/>
      <w:szCs w:val="20"/>
    </w:rPr>
  </w:style>
  <w:style w:type="character" w:customStyle="1" w:styleId="260">
    <w:name w:val="尾注文本 字符"/>
    <w:link w:val="35"/>
    <w:qFormat/>
    <w:uiPriority w:val="0"/>
    <w:rPr>
      <w:rFonts w:ascii="Times New Roman" w:hAnsi="Times New Roman" w:eastAsia="楷体_GB2312"/>
      <w:kern w:val="2"/>
      <w:sz w:val="21"/>
      <w:szCs w:val="24"/>
    </w:rPr>
  </w:style>
  <w:style w:type="character" w:customStyle="1" w:styleId="261">
    <w:name w:val="批注框文本 字符1"/>
    <w:link w:val="36"/>
    <w:qFormat/>
    <w:uiPriority w:val="0"/>
    <w:rPr>
      <w:rFonts w:ascii="Times New Roman" w:hAnsi="Times New Roman" w:eastAsia="宋体" w:cs="Times New Roman"/>
      <w:sz w:val="18"/>
      <w:szCs w:val="20"/>
    </w:rPr>
  </w:style>
  <w:style w:type="character" w:customStyle="1" w:styleId="262">
    <w:name w:val="页脚 字符1"/>
    <w:link w:val="37"/>
    <w:qFormat/>
    <w:uiPriority w:val="0"/>
    <w:rPr>
      <w:rFonts w:ascii="Times New Roman" w:hAnsi="Times New Roman" w:eastAsia="宋体" w:cs="Times New Roman"/>
      <w:sz w:val="18"/>
      <w:szCs w:val="20"/>
    </w:rPr>
  </w:style>
  <w:style w:type="character" w:customStyle="1" w:styleId="263">
    <w:name w:val="页眉 字符1"/>
    <w:link w:val="38"/>
    <w:qFormat/>
    <w:uiPriority w:val="0"/>
    <w:rPr>
      <w:rFonts w:ascii="Times New Roman" w:hAnsi="Times New Roman" w:eastAsia="宋体" w:cs="Times New Roman"/>
      <w:sz w:val="18"/>
      <w:szCs w:val="20"/>
    </w:rPr>
  </w:style>
  <w:style w:type="character" w:customStyle="1" w:styleId="264">
    <w:name w:val="副标题 字符"/>
    <w:link w:val="41"/>
    <w:qFormat/>
    <w:uiPriority w:val="0"/>
    <w:rPr>
      <w:rFonts w:ascii="Cambria" w:hAnsi="Cambria"/>
      <w:b/>
      <w:bCs/>
      <w:kern w:val="28"/>
      <w:sz w:val="32"/>
      <w:szCs w:val="32"/>
    </w:rPr>
  </w:style>
  <w:style w:type="character" w:customStyle="1" w:styleId="265">
    <w:name w:val="脚注文本 字符"/>
    <w:link w:val="43"/>
    <w:qFormat/>
    <w:uiPriority w:val="99"/>
    <w:rPr>
      <w:sz w:val="18"/>
    </w:rPr>
  </w:style>
  <w:style w:type="character" w:customStyle="1" w:styleId="266">
    <w:name w:val="正文文本缩进 3 字符1"/>
    <w:link w:val="45"/>
    <w:qFormat/>
    <w:uiPriority w:val="99"/>
    <w:rPr>
      <w:rFonts w:ascii="Times New Roman" w:hAnsi="Times New Roman" w:eastAsia="宋体" w:cs="Times New Roman"/>
      <w:kern w:val="0"/>
      <w:sz w:val="16"/>
      <w:szCs w:val="16"/>
    </w:rPr>
  </w:style>
  <w:style w:type="character" w:customStyle="1" w:styleId="267">
    <w:name w:val="正文文本 2 字符"/>
    <w:link w:val="49"/>
    <w:qFormat/>
    <w:uiPriority w:val="0"/>
    <w:rPr>
      <w:rFonts w:ascii="Times New Roman" w:hAnsi="Times New Roman" w:eastAsia="宋体" w:cs="Times New Roman"/>
      <w:kern w:val="0"/>
      <w:sz w:val="20"/>
      <w:szCs w:val="20"/>
    </w:rPr>
  </w:style>
  <w:style w:type="character" w:customStyle="1" w:styleId="268">
    <w:name w:val="HTML 预设格式 字符"/>
    <w:link w:val="50"/>
    <w:qFormat/>
    <w:uiPriority w:val="0"/>
    <w:rPr>
      <w:rFonts w:ascii="黑体" w:hAnsi="Courier New" w:eastAsia="黑体"/>
    </w:rPr>
  </w:style>
  <w:style w:type="character" w:customStyle="1" w:styleId="269">
    <w:name w:val="普通(网站) 字符"/>
    <w:link w:val="51"/>
    <w:qFormat/>
    <w:uiPriority w:val="0"/>
    <w:rPr>
      <w:rFonts w:ascii="宋体" w:hAnsi="宋体" w:cs="宋体"/>
      <w:sz w:val="24"/>
      <w:szCs w:val="24"/>
    </w:rPr>
  </w:style>
  <w:style w:type="character" w:customStyle="1" w:styleId="270">
    <w:name w:val="标题 字符"/>
    <w:link w:val="53"/>
    <w:qFormat/>
    <w:uiPriority w:val="0"/>
    <w:rPr>
      <w:rFonts w:ascii="Cambria" w:hAnsi="Cambria" w:eastAsia="宋体" w:cs="Times New Roman"/>
      <w:b/>
      <w:bCs/>
      <w:sz w:val="32"/>
      <w:szCs w:val="32"/>
    </w:rPr>
  </w:style>
  <w:style w:type="character" w:customStyle="1" w:styleId="271">
    <w:name w:val="批注主题 字符1"/>
    <w:link w:val="54"/>
    <w:qFormat/>
    <w:uiPriority w:val="0"/>
    <w:rPr>
      <w:b/>
      <w:bCs/>
      <w:szCs w:val="24"/>
    </w:rPr>
  </w:style>
  <w:style w:type="character" w:customStyle="1" w:styleId="272">
    <w:name w:val="正文文本首行缩进 字符"/>
    <w:link w:val="55"/>
    <w:qFormat/>
    <w:uiPriority w:val="0"/>
    <w:rPr>
      <w:rFonts w:ascii="Times New Roman" w:hAnsi="Times New Roman"/>
    </w:rPr>
  </w:style>
  <w:style w:type="character" w:customStyle="1" w:styleId="273">
    <w:name w:val="正文文本 Char1"/>
    <w:qFormat/>
    <w:uiPriority w:val="0"/>
    <w:rPr>
      <w:sz w:val="24"/>
    </w:rPr>
  </w:style>
  <w:style w:type="character" w:customStyle="1" w:styleId="274">
    <w:name w:val="标题 Char1"/>
    <w:qFormat/>
    <w:uiPriority w:val="0"/>
    <w:rPr>
      <w:rFonts w:ascii="Cambria" w:hAnsi="Cambria" w:cs="Times New Roman"/>
      <w:b/>
      <w:bCs/>
      <w:sz w:val="32"/>
      <w:szCs w:val="32"/>
    </w:rPr>
  </w:style>
  <w:style w:type="character" w:customStyle="1" w:styleId="275">
    <w:name w:val="正文缩进 字符"/>
    <w:qFormat/>
    <w:uiPriority w:val="0"/>
    <w:rPr>
      <w:rFonts w:ascii="Times New Roman" w:hAnsi="Times New Roman" w:eastAsia="宋体" w:cs="Times New Roman"/>
      <w:kern w:val="0"/>
      <w:sz w:val="20"/>
      <w:szCs w:val="20"/>
    </w:rPr>
  </w:style>
  <w:style w:type="character" w:customStyle="1" w:styleId="276">
    <w:name w:val="样式 Char"/>
    <w:link w:val="80"/>
    <w:qFormat/>
    <w:uiPriority w:val="0"/>
    <w:rPr>
      <w:rFonts w:ascii="宋体" w:hAnsi="宋体" w:cs="宋体"/>
      <w:sz w:val="24"/>
      <w:szCs w:val="24"/>
      <w:lang w:val="en-US" w:eastAsia="zh-CN" w:bidi="ar-SA"/>
    </w:rPr>
  </w:style>
  <w:style w:type="character" w:customStyle="1" w:styleId="277">
    <w:name w:val="_Style 271"/>
    <w:qFormat/>
    <w:uiPriority w:val="0"/>
    <w:rPr>
      <w:smallCaps/>
      <w:color w:val="C0504D"/>
      <w:u w:val="single"/>
    </w:rPr>
  </w:style>
  <w:style w:type="character" w:customStyle="1" w:styleId="278">
    <w:name w:val="无间隔 字符"/>
    <w:link w:val="81"/>
    <w:qFormat/>
    <w:uiPriority w:val="0"/>
    <w:rPr>
      <w:sz w:val="22"/>
      <w:szCs w:val="22"/>
      <w:lang w:val="en-US" w:eastAsia="zh-CN" w:bidi="ar-SA"/>
    </w:rPr>
  </w:style>
  <w:style w:type="character" w:customStyle="1" w:styleId="279">
    <w:name w:val="标题 3 字符"/>
    <w:qFormat/>
    <w:uiPriority w:val="0"/>
    <w:rPr>
      <w:rFonts w:ascii="Times New Roman" w:hAnsi="Times New Roman" w:eastAsia="宋体" w:cs="Times New Roman"/>
      <w:b/>
      <w:bCs/>
      <w:kern w:val="0"/>
      <w:sz w:val="32"/>
      <w:szCs w:val="32"/>
    </w:rPr>
  </w:style>
  <w:style w:type="character" w:customStyle="1" w:styleId="280">
    <w:name w:val="_Style 274"/>
    <w:qFormat/>
    <w:uiPriority w:val="0"/>
    <w:rPr>
      <w:b/>
      <w:bCs/>
      <w:smallCaps/>
      <w:color w:val="C0504D"/>
      <w:spacing w:val="5"/>
      <w:u w:val="single"/>
    </w:rPr>
  </w:style>
  <w:style w:type="character" w:customStyle="1" w:styleId="281">
    <w:name w:val="Char Char8"/>
    <w:qFormat/>
    <w:uiPriority w:val="0"/>
    <w:rPr>
      <w:rFonts w:hint="default" w:ascii="Arial" w:hAnsi="Arial" w:eastAsia="黑体" w:cs="Arial"/>
      <w:b/>
      <w:bCs/>
      <w:kern w:val="2"/>
      <w:sz w:val="32"/>
      <w:szCs w:val="32"/>
      <w:lang w:val="en-US" w:eastAsia="zh-CN" w:bidi="ar-SA"/>
    </w:rPr>
  </w:style>
  <w:style w:type="character" w:customStyle="1" w:styleId="282">
    <w:name w:val="ca-9"/>
    <w:qFormat/>
    <w:uiPriority w:val="0"/>
  </w:style>
  <w:style w:type="character" w:customStyle="1" w:styleId="283">
    <w:name w:val="_Style 278"/>
    <w:qFormat/>
    <w:uiPriority w:val="0"/>
    <w:rPr>
      <w:b/>
      <w:bCs/>
      <w:smallCaps/>
      <w:spacing w:val="5"/>
    </w:rPr>
  </w:style>
  <w:style w:type="character" w:customStyle="1" w:styleId="284">
    <w:name w:val="标题 5 字符"/>
    <w:qFormat/>
    <w:uiPriority w:val="0"/>
    <w:rPr>
      <w:rFonts w:ascii="Times New Roman" w:hAnsi="Times New Roman" w:eastAsia="宋体" w:cs="Times New Roman"/>
      <w:b/>
      <w:bCs/>
      <w:kern w:val="0"/>
      <w:sz w:val="28"/>
      <w:szCs w:val="28"/>
    </w:rPr>
  </w:style>
  <w:style w:type="character" w:customStyle="1" w:styleId="285">
    <w:name w:val="标题 2XW Char2"/>
    <w:semiHidden/>
    <w:qFormat/>
    <w:uiPriority w:val="9"/>
    <w:rPr>
      <w:rFonts w:ascii="Cambria" w:hAnsi="Cambria" w:eastAsia="宋体" w:cs="Times New Roman"/>
      <w:b/>
      <w:bCs/>
      <w:sz w:val="32"/>
      <w:szCs w:val="32"/>
    </w:rPr>
  </w:style>
  <w:style w:type="character" w:customStyle="1" w:styleId="286">
    <w:name w:val="style2"/>
    <w:qFormat/>
    <w:uiPriority w:val="0"/>
  </w:style>
  <w:style w:type="character" w:customStyle="1" w:styleId="287">
    <w:name w:val="g1"/>
    <w:qFormat/>
    <w:uiPriority w:val="0"/>
    <w:rPr>
      <w:color w:val="008000"/>
    </w:rPr>
  </w:style>
  <w:style w:type="character" w:customStyle="1" w:styleId="288">
    <w:name w:val="正文首行缩进 Char1"/>
    <w:qFormat/>
    <w:uiPriority w:val="99"/>
    <w:rPr>
      <w:rFonts w:ascii="Times New Roman" w:hAnsi="Times New Roman" w:eastAsia="宋体" w:cs="Times New Roman"/>
      <w:kern w:val="2"/>
      <w:sz w:val="21"/>
      <w:szCs w:val="24"/>
    </w:rPr>
  </w:style>
  <w:style w:type="character" w:customStyle="1" w:styleId="289">
    <w:name w:val="Char Char10"/>
    <w:qFormat/>
    <w:uiPriority w:val="0"/>
    <w:rPr>
      <w:rFonts w:ascii="宋体" w:hAnsi="Courier New" w:eastAsia="宋体"/>
      <w:kern w:val="2"/>
      <w:sz w:val="24"/>
      <w:szCs w:val="24"/>
      <w:lang w:val="en-US" w:eastAsia="zh-CN" w:bidi="ar-SA"/>
    </w:rPr>
  </w:style>
  <w:style w:type="character" w:customStyle="1" w:styleId="290">
    <w:name w:val="脚注文本 Char1"/>
    <w:qFormat/>
    <w:uiPriority w:val="99"/>
    <w:rPr>
      <w:rFonts w:ascii="Times New Roman" w:hAnsi="Times New Roman"/>
      <w:kern w:val="2"/>
      <w:sz w:val="18"/>
      <w:szCs w:val="18"/>
    </w:rPr>
  </w:style>
  <w:style w:type="character" w:customStyle="1" w:styleId="291">
    <w:name w:val="页脚 Char1"/>
    <w:semiHidden/>
    <w:qFormat/>
    <w:uiPriority w:val="99"/>
    <w:rPr>
      <w:sz w:val="18"/>
      <w:szCs w:val="18"/>
    </w:rPr>
  </w:style>
  <w:style w:type="character" w:customStyle="1" w:styleId="292">
    <w:name w:val="Char Char Char"/>
    <w:qFormat/>
    <w:locked/>
    <w:uiPriority w:val="0"/>
    <w:rPr>
      <w:rFonts w:eastAsia="宋体"/>
      <w:b/>
      <w:bCs/>
      <w:kern w:val="44"/>
      <w:sz w:val="44"/>
      <w:szCs w:val="44"/>
      <w:lang w:val="en-US" w:eastAsia="zh-CN" w:bidi="ar-SA"/>
    </w:rPr>
  </w:style>
  <w:style w:type="character" w:customStyle="1" w:styleId="293">
    <w:name w:val="apple-style-span"/>
    <w:qFormat/>
    <w:uiPriority w:val="0"/>
  </w:style>
  <w:style w:type="character" w:customStyle="1" w:styleId="294">
    <w:name w:val="正文文本缩进 3 字符"/>
    <w:qFormat/>
    <w:uiPriority w:val="0"/>
    <w:rPr>
      <w:rFonts w:ascii="Times New Roman" w:hAnsi="Times New Roman" w:eastAsia="宋体" w:cs="Times New Roman"/>
      <w:kern w:val="0"/>
      <w:sz w:val="16"/>
      <w:szCs w:val="16"/>
    </w:rPr>
  </w:style>
  <w:style w:type="character" w:customStyle="1" w:styleId="295">
    <w:name w:val="ca-1"/>
    <w:qFormat/>
    <w:uiPriority w:val="0"/>
  </w:style>
  <w:style w:type="character" w:customStyle="1" w:styleId="296">
    <w:name w:val="纯文本 Char2"/>
    <w:qFormat/>
    <w:locked/>
    <w:uiPriority w:val="0"/>
    <w:rPr>
      <w:rFonts w:ascii="宋体" w:hAnsi="Courier New" w:cs="Courier New"/>
      <w:kern w:val="2"/>
      <w:sz w:val="21"/>
      <w:szCs w:val="21"/>
    </w:rPr>
  </w:style>
  <w:style w:type="character" w:customStyle="1" w:styleId="297">
    <w:name w:val="Para head"/>
    <w:qFormat/>
    <w:uiPriority w:val="0"/>
    <w:rPr>
      <w:rFonts w:ascii="Arial" w:hAnsi="Arial" w:eastAsia="Times New Roman"/>
      <w:sz w:val="20"/>
    </w:rPr>
  </w:style>
  <w:style w:type="character" w:customStyle="1" w:styleId="298">
    <w:name w:val="正文文本 3 Char1"/>
    <w:qFormat/>
    <w:uiPriority w:val="99"/>
    <w:rPr>
      <w:rFonts w:ascii="Times New Roman" w:hAnsi="Times New Roman"/>
      <w:kern w:val="2"/>
      <w:sz w:val="16"/>
      <w:szCs w:val="16"/>
    </w:rPr>
  </w:style>
  <w:style w:type="character" w:customStyle="1" w:styleId="299">
    <w:name w:val="报告正文 Char"/>
    <w:link w:val="82"/>
    <w:qFormat/>
    <w:uiPriority w:val="0"/>
    <w:rPr>
      <w:rFonts w:ascii="Times New Roman" w:hAnsi="Times New Roman" w:eastAsia="楷体_GB2312"/>
      <w:bCs/>
      <w:spacing w:val="14"/>
      <w:kern w:val="2"/>
      <w:sz w:val="24"/>
      <w:szCs w:val="24"/>
    </w:rPr>
  </w:style>
  <w:style w:type="character" w:customStyle="1" w:styleId="300">
    <w:name w:val="标题 4 字符"/>
    <w:qFormat/>
    <w:uiPriority w:val="0"/>
    <w:rPr>
      <w:rFonts w:ascii="Arial" w:hAnsi="Arial" w:eastAsia="黑体" w:cs="Times New Roman"/>
      <w:b/>
      <w:bCs/>
      <w:kern w:val="0"/>
      <w:sz w:val="28"/>
      <w:szCs w:val="28"/>
    </w:rPr>
  </w:style>
  <w:style w:type="character" w:customStyle="1" w:styleId="301">
    <w:name w:val="unnamed1"/>
    <w:qFormat/>
    <w:uiPriority w:val="0"/>
    <w:rPr>
      <w:rFonts w:ascii="Tahoma" w:hAnsi="Tahoma" w:eastAsia="宋体"/>
      <w:kern w:val="2"/>
      <w:sz w:val="24"/>
      <w:lang w:val="en-US" w:eastAsia="zh-CN" w:bidi="ar-SA"/>
    </w:rPr>
  </w:style>
  <w:style w:type="character" w:customStyle="1" w:styleId="302">
    <w:name w:val="样式3-1 Char"/>
    <w:link w:val="83"/>
    <w:qFormat/>
    <w:uiPriority w:val="0"/>
    <w:rPr>
      <w:rFonts w:ascii="宋体" w:hAnsi="宋体"/>
      <w:b/>
      <w:bCs/>
      <w:kern w:val="2"/>
      <w:sz w:val="32"/>
      <w:szCs w:val="24"/>
    </w:rPr>
  </w:style>
  <w:style w:type="character" w:styleId="303">
    <w:name w:val="Placeholder Text"/>
    <w:semiHidden/>
    <w:qFormat/>
    <w:uiPriority w:val="99"/>
    <w:rPr>
      <w:color w:val="808080"/>
    </w:rPr>
  </w:style>
  <w:style w:type="character" w:customStyle="1" w:styleId="304">
    <w:name w:val="textcontents"/>
    <w:qFormat/>
    <w:uiPriority w:val="0"/>
    <w:rPr>
      <w:rFonts w:cs="Times New Roman"/>
    </w:rPr>
  </w:style>
  <w:style w:type="character" w:customStyle="1" w:styleId="305">
    <w:name w:val="文档结构图 Char1"/>
    <w:qFormat/>
    <w:uiPriority w:val="0"/>
    <w:rPr>
      <w:rFonts w:ascii="宋体" w:hAnsi="Times New Roman" w:eastAsia="宋体" w:cs="Times New Roman"/>
      <w:kern w:val="0"/>
      <w:sz w:val="18"/>
      <w:szCs w:val="18"/>
    </w:rPr>
  </w:style>
  <w:style w:type="character" w:customStyle="1" w:styleId="306">
    <w:name w:val="明显引用 字符"/>
    <w:link w:val="84"/>
    <w:qFormat/>
    <w:uiPriority w:val="0"/>
    <w:rPr>
      <w:b/>
      <w:bCs/>
      <w:i/>
      <w:iCs/>
      <w:color w:val="4F81BD"/>
      <w:kern w:val="2"/>
      <w:sz w:val="21"/>
      <w:szCs w:val="22"/>
    </w:rPr>
  </w:style>
  <w:style w:type="character" w:customStyle="1" w:styleId="307">
    <w:name w:val="标题 2 Char Char"/>
    <w:qFormat/>
    <w:uiPriority w:val="0"/>
    <w:rPr>
      <w:sz w:val="28"/>
    </w:rPr>
  </w:style>
  <w:style w:type="character" w:customStyle="1" w:styleId="308">
    <w:name w:val="样式 批注引用 + 绿色"/>
    <w:qFormat/>
    <w:uiPriority w:val="0"/>
    <w:rPr>
      <w:rFonts w:ascii="Tahoma" w:hAnsi="Tahoma" w:eastAsia="宋体"/>
      <w:color w:val="FF0000"/>
      <w:kern w:val="2"/>
      <w:sz w:val="21"/>
      <w:szCs w:val="21"/>
      <w:lang w:val="en-US" w:eastAsia="zh-CN" w:bidi="ar-SA"/>
    </w:rPr>
  </w:style>
  <w:style w:type="character" w:customStyle="1" w:styleId="309">
    <w:name w:val="标题 3 Char Char"/>
    <w:qFormat/>
    <w:uiPriority w:val="0"/>
    <w:rPr>
      <w:rFonts w:eastAsia="宋体"/>
      <w:b/>
      <w:bCs/>
      <w:kern w:val="2"/>
      <w:sz w:val="32"/>
      <w:szCs w:val="32"/>
      <w:lang w:val="en-US" w:eastAsia="zh-CN" w:bidi="ar-SA"/>
    </w:rPr>
  </w:style>
  <w:style w:type="character" w:customStyle="1" w:styleId="310">
    <w:name w:val="批注框文本 Char1"/>
    <w:qFormat/>
    <w:uiPriority w:val="0"/>
    <w:rPr>
      <w:kern w:val="2"/>
      <w:sz w:val="18"/>
      <w:szCs w:val="18"/>
    </w:rPr>
  </w:style>
  <w:style w:type="character" w:customStyle="1" w:styleId="311">
    <w:name w:val="正文文本缩进 字符"/>
    <w:qFormat/>
    <w:uiPriority w:val="0"/>
    <w:rPr>
      <w:rFonts w:ascii="Times New Roman" w:hAnsi="Times New Roman" w:eastAsia="宋体" w:cs="Times New Roman"/>
      <w:kern w:val="0"/>
      <w:sz w:val="20"/>
      <w:szCs w:val="20"/>
    </w:rPr>
  </w:style>
  <w:style w:type="character" w:customStyle="1" w:styleId="312">
    <w:name w:val="fw2"/>
    <w:qFormat/>
    <w:uiPriority w:val="0"/>
  </w:style>
  <w:style w:type="character" w:customStyle="1" w:styleId="313">
    <w:name w:val="批注文字 Char Char"/>
    <w:qFormat/>
    <w:uiPriority w:val="0"/>
    <w:rPr>
      <w:rFonts w:ascii="宋体" w:hAnsi="Times New Roman" w:eastAsia="宋体" w:cs="Times New Roman"/>
      <w:sz w:val="28"/>
      <w:szCs w:val="20"/>
    </w:rPr>
  </w:style>
  <w:style w:type="character" w:customStyle="1" w:styleId="314">
    <w:name w:val="ca-2"/>
    <w:qFormat/>
    <w:uiPriority w:val="0"/>
  </w:style>
  <w:style w:type="character" w:customStyle="1" w:styleId="315">
    <w:name w:val="纯文本 字符"/>
    <w:qFormat/>
    <w:uiPriority w:val="0"/>
    <w:rPr>
      <w:rFonts w:ascii="宋体" w:hAnsi="Courier New" w:eastAsia="宋体" w:cs="Courier New"/>
      <w:szCs w:val="21"/>
    </w:rPr>
  </w:style>
  <w:style w:type="character" w:customStyle="1" w:styleId="316">
    <w:name w:val="批注框文本 字符"/>
    <w:semiHidden/>
    <w:qFormat/>
    <w:uiPriority w:val="0"/>
    <w:rPr>
      <w:rFonts w:ascii="Times New Roman" w:hAnsi="Times New Roman" w:eastAsia="宋体" w:cs="Times New Roman"/>
      <w:kern w:val="0"/>
      <w:sz w:val="18"/>
      <w:szCs w:val="18"/>
    </w:rPr>
  </w:style>
  <w:style w:type="character" w:customStyle="1" w:styleId="317">
    <w:name w:val="标题5 Char Char"/>
    <w:link w:val="85"/>
    <w:qFormat/>
    <w:uiPriority w:val="0"/>
    <w:rPr>
      <w:rFonts w:ascii="Times New Roman" w:hAnsi="Times New Roman"/>
      <w:bCs/>
      <w:kern w:val="2"/>
      <w:sz w:val="24"/>
      <w:szCs w:val="32"/>
    </w:rPr>
  </w:style>
  <w:style w:type="character" w:customStyle="1" w:styleId="318">
    <w:name w:val="Char Char7"/>
    <w:qFormat/>
    <w:uiPriority w:val="0"/>
    <w:rPr>
      <w:rFonts w:hint="default" w:ascii="Arial" w:hAnsi="Arial" w:eastAsia="黑体" w:cs="Arial"/>
      <w:b/>
      <w:bCs/>
      <w:kern w:val="2"/>
      <w:sz w:val="32"/>
      <w:szCs w:val="32"/>
      <w:lang w:val="en-US" w:eastAsia="zh-CN" w:bidi="ar-SA"/>
    </w:rPr>
  </w:style>
  <w:style w:type="character" w:customStyle="1" w:styleId="319">
    <w:name w:val="副标题 Char1"/>
    <w:qFormat/>
    <w:uiPriority w:val="11"/>
    <w:rPr>
      <w:rFonts w:ascii="Cambria" w:hAnsi="Cambria" w:cs="Times New Roman"/>
      <w:b/>
      <w:bCs/>
      <w:kern w:val="28"/>
      <w:sz w:val="32"/>
      <w:szCs w:val="32"/>
    </w:rPr>
  </w:style>
  <w:style w:type="character" w:customStyle="1" w:styleId="320">
    <w:name w:val="页脚 字符"/>
    <w:qFormat/>
    <w:uiPriority w:val="0"/>
    <w:rPr>
      <w:rFonts w:ascii="Times New Roman" w:hAnsi="Times New Roman" w:eastAsia="宋体" w:cs="Times New Roman"/>
      <w:kern w:val="0"/>
      <w:sz w:val="18"/>
      <w:szCs w:val="18"/>
    </w:rPr>
  </w:style>
  <w:style w:type="character" w:customStyle="1" w:styleId="321">
    <w:name w:val="批注主题 Char1"/>
    <w:qFormat/>
    <w:uiPriority w:val="0"/>
    <w:rPr>
      <w:rFonts w:ascii="Times New Roman" w:hAnsi="Times New Roman" w:eastAsia="宋体" w:cs="Times New Roman"/>
      <w:b/>
      <w:bCs/>
      <w:szCs w:val="20"/>
    </w:rPr>
  </w:style>
  <w:style w:type="character" w:customStyle="1" w:styleId="322">
    <w:name w:val="正文文本 Char2"/>
    <w:qFormat/>
    <w:uiPriority w:val="0"/>
  </w:style>
  <w:style w:type="character" w:customStyle="1" w:styleId="323">
    <w:name w:val="明显引用 Char1"/>
    <w:qFormat/>
    <w:uiPriority w:val="30"/>
    <w:rPr>
      <w:rFonts w:ascii="Times New Roman" w:hAnsi="Times New Roman"/>
      <w:b/>
      <w:bCs/>
      <w:i/>
      <w:iCs/>
      <w:color w:val="4F81BD"/>
      <w:kern w:val="2"/>
      <w:sz w:val="21"/>
    </w:rPr>
  </w:style>
  <w:style w:type="character" w:customStyle="1" w:styleId="324">
    <w:name w:val="norows7"/>
    <w:qFormat/>
    <w:uiPriority w:val="0"/>
  </w:style>
  <w:style w:type="character" w:customStyle="1" w:styleId="325">
    <w:name w:val="ca-5"/>
    <w:qFormat/>
    <w:uiPriority w:val="0"/>
  </w:style>
  <w:style w:type="character" w:customStyle="1" w:styleId="326">
    <w:name w:val="日期 Char1"/>
    <w:qFormat/>
    <w:uiPriority w:val="0"/>
    <w:rPr>
      <w:kern w:val="2"/>
      <w:sz w:val="21"/>
      <w:szCs w:val="22"/>
    </w:rPr>
  </w:style>
  <w:style w:type="character" w:customStyle="1" w:styleId="327">
    <w:name w:val="javascript"/>
    <w:qFormat/>
    <w:uiPriority w:val="0"/>
  </w:style>
  <w:style w:type="character" w:customStyle="1" w:styleId="328">
    <w:name w:val="zbggmain style9"/>
    <w:qFormat/>
    <w:uiPriority w:val="0"/>
  </w:style>
  <w:style w:type="character" w:customStyle="1" w:styleId="329">
    <w:name w:val="biaoti1"/>
    <w:qFormat/>
    <w:uiPriority w:val="0"/>
    <w:rPr>
      <w:rFonts w:hint="eastAsia" w:ascii="宋体" w:hAnsi="宋体" w:eastAsia="宋体"/>
      <w:sz w:val="32"/>
      <w:szCs w:val="32"/>
      <w:u w:val="none"/>
    </w:rPr>
  </w:style>
  <w:style w:type="character" w:customStyle="1" w:styleId="330">
    <w:name w:val="lemmatitleh11"/>
    <w:qFormat/>
    <w:uiPriority w:val="0"/>
  </w:style>
  <w:style w:type="character" w:customStyle="1" w:styleId="331">
    <w:name w:val="文档结构图 字符"/>
    <w:qFormat/>
    <w:uiPriority w:val="0"/>
    <w:rPr>
      <w:rFonts w:ascii="宋体" w:hAnsi="Times New Roman" w:eastAsia="宋体" w:cs="Times New Roman"/>
      <w:kern w:val="0"/>
      <w:sz w:val="18"/>
      <w:szCs w:val="18"/>
    </w:rPr>
  </w:style>
  <w:style w:type="character" w:customStyle="1" w:styleId="332">
    <w:name w:val="ca-3"/>
    <w:qFormat/>
    <w:uiPriority w:val="0"/>
  </w:style>
  <w:style w:type="character" w:customStyle="1" w:styleId="333">
    <w:name w:val="apple-converted-space"/>
    <w:qFormat/>
    <w:uiPriority w:val="0"/>
  </w:style>
  <w:style w:type="character" w:customStyle="1" w:styleId="334">
    <w:name w:val="HTML Markup"/>
    <w:qFormat/>
    <w:uiPriority w:val="0"/>
    <w:rPr>
      <w:vanish/>
      <w:color w:val="FF0000"/>
    </w:rPr>
  </w:style>
  <w:style w:type="character" w:customStyle="1" w:styleId="335">
    <w:name w:val="_Style 330"/>
    <w:unhideWhenUsed/>
    <w:qFormat/>
    <w:uiPriority w:val="99"/>
    <w:rPr>
      <w:color w:val="605E5C"/>
      <w:shd w:val="clear" w:color="auto" w:fill="E1DFDD"/>
    </w:rPr>
  </w:style>
  <w:style w:type="character" w:customStyle="1" w:styleId="336">
    <w:name w:val="批注文字 字符"/>
    <w:semiHidden/>
    <w:qFormat/>
    <w:uiPriority w:val="0"/>
    <w:rPr>
      <w:rFonts w:ascii="Times New Roman" w:hAnsi="Times New Roman" w:eastAsia="宋体" w:cs="Times New Roman"/>
      <w:kern w:val="0"/>
      <w:sz w:val="24"/>
      <w:szCs w:val="20"/>
    </w:rPr>
  </w:style>
  <w:style w:type="character" w:customStyle="1" w:styleId="337">
    <w:name w:val="Char Char18"/>
    <w:qFormat/>
    <w:uiPriority w:val="0"/>
    <w:rPr>
      <w:rFonts w:ascii="Cambria" w:hAnsi="Cambria" w:eastAsia="宋体" w:cs="Times New Roman"/>
      <w:b/>
      <w:bCs/>
      <w:kern w:val="2"/>
      <w:sz w:val="32"/>
      <w:szCs w:val="32"/>
    </w:rPr>
  </w:style>
  <w:style w:type="character" w:customStyle="1" w:styleId="338">
    <w:name w:val="可研正文 Char"/>
    <w:link w:val="86"/>
    <w:qFormat/>
    <w:locked/>
    <w:uiPriority w:val="0"/>
    <w:rPr>
      <w:rFonts w:ascii="Times New Roman" w:hAnsi="Times New Roman"/>
      <w:sz w:val="24"/>
      <w:szCs w:val="21"/>
    </w:rPr>
  </w:style>
  <w:style w:type="character" w:customStyle="1" w:styleId="339">
    <w:name w:val="样式4-1 Char"/>
    <w:link w:val="87"/>
    <w:qFormat/>
    <w:uiPriority w:val="0"/>
    <w:rPr>
      <w:rFonts w:ascii="宋体" w:hAnsi="宋体"/>
      <w:b/>
      <w:kern w:val="2"/>
      <w:sz w:val="21"/>
      <w:szCs w:val="21"/>
    </w:rPr>
  </w:style>
  <w:style w:type="character" w:customStyle="1" w:styleId="340">
    <w:name w:val="Char Char3"/>
    <w:qFormat/>
    <w:uiPriority w:val="0"/>
    <w:rPr>
      <w:sz w:val="18"/>
    </w:rPr>
  </w:style>
  <w:style w:type="character" w:customStyle="1" w:styleId="341">
    <w:name w:val="text1"/>
    <w:qFormat/>
    <w:uiPriority w:val="0"/>
    <w:rPr>
      <w:rFonts w:hint="default" w:ascii="Arial" w:hAnsi="Arial" w:eastAsia="宋体" w:cs="Arial"/>
      <w:color w:val="666666"/>
      <w:kern w:val="2"/>
      <w:sz w:val="22"/>
      <w:szCs w:val="22"/>
      <w:u w:val="none"/>
      <w:lang w:val="en-US" w:eastAsia="zh-CN" w:bidi="ar-SA"/>
    </w:rPr>
  </w:style>
  <w:style w:type="character" w:customStyle="1" w:styleId="342">
    <w:name w:val="style11"/>
    <w:qFormat/>
    <w:uiPriority w:val="0"/>
    <w:rPr>
      <w:b/>
      <w:bCs/>
    </w:rPr>
  </w:style>
  <w:style w:type="character" w:customStyle="1" w:styleId="343">
    <w:name w:val="more"/>
    <w:qFormat/>
    <w:uiPriority w:val="0"/>
  </w:style>
  <w:style w:type="character" w:customStyle="1" w:styleId="344">
    <w:name w:val="纯文本 Char1"/>
    <w:qFormat/>
    <w:uiPriority w:val="0"/>
    <w:rPr>
      <w:rFonts w:ascii="宋体" w:hAnsi="Courier New" w:cs="Courier New"/>
      <w:sz w:val="21"/>
      <w:szCs w:val="21"/>
    </w:rPr>
  </w:style>
  <w:style w:type="character" w:customStyle="1" w:styleId="345">
    <w:name w:val="ca-4"/>
    <w:qFormat/>
    <w:uiPriority w:val="0"/>
  </w:style>
  <w:style w:type="character" w:customStyle="1" w:styleId="346">
    <w:name w:val="批注主题 字符"/>
    <w:qFormat/>
    <w:uiPriority w:val="0"/>
    <w:rPr>
      <w:rFonts w:ascii="Times New Roman" w:hAnsi="Times New Roman" w:eastAsia="宋体" w:cs="Times New Roman"/>
      <w:b/>
      <w:bCs/>
      <w:kern w:val="0"/>
      <w:sz w:val="20"/>
      <w:szCs w:val="20"/>
    </w:rPr>
  </w:style>
  <w:style w:type="character" w:customStyle="1" w:styleId="347">
    <w:name w:val="页眉 字符"/>
    <w:qFormat/>
    <w:uiPriority w:val="0"/>
    <w:rPr>
      <w:rFonts w:ascii="Times New Roman" w:hAnsi="Times New Roman" w:eastAsia="宋体" w:cs="Times New Roman"/>
      <w:kern w:val="0"/>
      <w:sz w:val="18"/>
      <w:szCs w:val="18"/>
    </w:rPr>
  </w:style>
  <w:style w:type="character" w:customStyle="1" w:styleId="348">
    <w:name w:val="批注文字 Char1"/>
    <w:qFormat/>
    <w:uiPriority w:val="99"/>
    <w:rPr>
      <w:rFonts w:ascii="Times New Roman" w:hAnsi="Times New Roman" w:eastAsia="宋体" w:cs="Times New Roman"/>
      <w:szCs w:val="20"/>
    </w:rPr>
  </w:style>
  <w:style w:type="character" w:customStyle="1" w:styleId="349">
    <w:name w:val="Char Char2"/>
    <w:qFormat/>
    <w:uiPriority w:val="0"/>
    <w:rPr>
      <w:rFonts w:eastAsia="宋体"/>
      <w:b/>
      <w:bCs/>
      <w:kern w:val="44"/>
      <w:sz w:val="32"/>
      <w:szCs w:val="44"/>
      <w:lang w:val="en-US" w:eastAsia="zh-CN" w:bidi="ar-SA"/>
    </w:rPr>
  </w:style>
  <w:style w:type="character" w:customStyle="1" w:styleId="350">
    <w:name w:val="dash6b63_6587__char1"/>
    <w:qFormat/>
    <w:uiPriority w:val="0"/>
    <w:rPr>
      <w:rFonts w:hint="default" w:ascii="Calibri" w:hAnsi="Calibri" w:cs="Calibri"/>
      <w:sz w:val="20"/>
      <w:szCs w:val="20"/>
    </w:rPr>
  </w:style>
  <w:style w:type="character" w:customStyle="1" w:styleId="351">
    <w:name w:val="_Style 347"/>
    <w:qFormat/>
    <w:uiPriority w:val="0"/>
    <w:rPr>
      <w:b/>
      <w:bCs/>
      <w:i/>
      <w:iCs/>
      <w:color w:val="4F81BD"/>
    </w:rPr>
  </w:style>
  <w:style w:type="character" w:customStyle="1" w:styleId="352">
    <w:name w:val="_Style 348"/>
    <w:qFormat/>
    <w:uiPriority w:val="0"/>
    <w:rPr>
      <w:i/>
      <w:iCs/>
      <w:color w:val="808080"/>
    </w:rPr>
  </w:style>
  <w:style w:type="character" w:customStyle="1" w:styleId="353">
    <w:name w:val="font161"/>
    <w:qFormat/>
    <w:uiPriority w:val="0"/>
    <w:rPr>
      <w:b/>
      <w:bCs/>
      <w:sz w:val="32"/>
      <w:szCs w:val="32"/>
    </w:rPr>
  </w:style>
  <w:style w:type="character" w:customStyle="1" w:styleId="354">
    <w:name w:val="日期 字符"/>
    <w:qFormat/>
    <w:uiPriority w:val="0"/>
    <w:rPr>
      <w:rFonts w:ascii="Times New Roman" w:hAnsi="Times New Roman" w:eastAsia="宋体" w:cs="Times New Roman"/>
      <w:kern w:val="0"/>
      <w:sz w:val="20"/>
      <w:szCs w:val="20"/>
    </w:rPr>
  </w:style>
  <w:style w:type="character" w:customStyle="1" w:styleId="355">
    <w:name w:val="正文文本 字符"/>
    <w:qFormat/>
    <w:uiPriority w:val="0"/>
    <w:rPr>
      <w:rFonts w:ascii="Times New Roman" w:hAnsi="Times New Roman" w:eastAsia="宋体" w:cs="Times New Roman"/>
      <w:kern w:val="0"/>
      <w:sz w:val="20"/>
      <w:szCs w:val="20"/>
    </w:rPr>
  </w:style>
  <w:style w:type="character" w:customStyle="1" w:styleId="356">
    <w:name w:val="正文文本缩进 2 Char1"/>
    <w:qFormat/>
    <w:uiPriority w:val="0"/>
    <w:rPr>
      <w:rFonts w:ascii="Times New Roman" w:hAnsi="Times New Roman" w:eastAsia="宋体" w:cs="Times New Roman"/>
      <w:szCs w:val="20"/>
    </w:rPr>
  </w:style>
  <w:style w:type="character" w:customStyle="1" w:styleId="357">
    <w:name w:val="引用 字符"/>
    <w:link w:val="73"/>
    <w:qFormat/>
    <w:uiPriority w:val="0"/>
    <w:rPr>
      <w:i/>
      <w:iCs/>
      <w:color w:val="000000"/>
      <w:kern w:val="2"/>
      <w:sz w:val="21"/>
      <w:szCs w:val="22"/>
    </w:rPr>
  </w:style>
  <w:style w:type="character" w:customStyle="1" w:styleId="358">
    <w:name w:val="引用 Char1"/>
    <w:qFormat/>
    <w:uiPriority w:val="29"/>
    <w:rPr>
      <w:rFonts w:ascii="Times New Roman" w:hAnsi="Times New Roman"/>
      <w:i/>
      <w:iCs/>
      <w:color w:val="000000"/>
      <w:kern w:val="2"/>
      <w:sz w:val="21"/>
    </w:rPr>
  </w:style>
  <w:style w:type="character" w:customStyle="1" w:styleId="359">
    <w:name w:val="Heading #4|1_"/>
    <w:link w:val="235"/>
    <w:qFormat/>
    <w:uiPriority w:val="0"/>
    <w:rPr>
      <w:rFonts w:ascii="宋体" w:hAnsi="宋体" w:cs="宋体"/>
      <w:b/>
      <w:bCs/>
      <w:lang w:val="zh-TW" w:eastAsia="zh-TW" w:bidi="zh-TW"/>
    </w:rPr>
  </w:style>
  <w:style w:type="character" w:customStyle="1" w:styleId="360">
    <w:name w:val="Body text|1_"/>
    <w:link w:val="236"/>
    <w:qFormat/>
    <w:uiPriority w:val="0"/>
    <w:rPr>
      <w:rFonts w:ascii="宋体" w:hAnsi="宋体" w:cs="宋体"/>
      <w:color w:val="171717"/>
      <w:lang w:val="zh-TW" w:eastAsia="zh-TW" w:bidi="zh-TW"/>
    </w:rPr>
  </w:style>
  <w:style w:type="character" w:customStyle="1" w:styleId="361">
    <w:name w:val="Heading #2|1_"/>
    <w:link w:val="237"/>
    <w:qFormat/>
    <w:uiPriority w:val="0"/>
    <w:rPr>
      <w:sz w:val="30"/>
      <w:szCs w:val="30"/>
      <w:lang w:val="zh-TW" w:eastAsia="zh-TW" w:bidi="zh-TW"/>
    </w:rPr>
  </w:style>
  <w:style w:type="paragraph" w:customStyle="1" w:styleId="36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63">
    <w:name w:val="副标题1"/>
    <w:basedOn w:val="1"/>
    <w:qFormat/>
    <w:uiPriority w:val="0"/>
    <w:pPr>
      <w:numPr>
        <w:ilvl w:val="1"/>
        <w:numId w:val="4"/>
      </w:numPr>
    </w:pPr>
  </w:style>
  <w:style w:type="character" w:customStyle="1" w:styleId="364">
    <w:name w:val="10"/>
    <w:basedOn w:val="59"/>
    <w:qFormat/>
    <w:uiPriority w:val="99"/>
    <w:rPr>
      <w:rFonts w:hint="default" w:ascii="Calibri" w:hAnsi="Calibri" w:eastAsia="宋体" w:cs="Times New Roman"/>
    </w:rPr>
  </w:style>
  <w:style w:type="paragraph" w:customStyle="1" w:styleId="365">
    <w:name w:val="Normal_0_0_0"/>
    <w:basedOn w:val="146"/>
    <w:qFormat/>
    <w:uiPriority w:val="0"/>
    <w:pPr>
      <w:jc w:val="left"/>
    </w:pPr>
    <w:rPr>
      <w:rFonts w:ascii="Calibri" w:hAnsi="Calibri" w:cs="宋体"/>
      <w:sz w:val="24"/>
      <w:szCs w:val="24"/>
    </w:rPr>
  </w:style>
  <w:style w:type="paragraph" w:customStyle="1" w:styleId="366">
    <w:name w:val="Normal_0_1"/>
    <w:basedOn w:val="146"/>
    <w:qFormat/>
    <w:uiPriority w:val="0"/>
    <w:pPr>
      <w:jc w:val="left"/>
    </w:pPr>
    <w:rPr>
      <w:sz w:val="24"/>
      <w:szCs w:val="24"/>
    </w:rPr>
  </w:style>
  <w:style w:type="paragraph" w:customStyle="1" w:styleId="367">
    <w:name w:val="Table Paragraph"/>
    <w:basedOn w:val="368"/>
    <w:qFormat/>
    <w:uiPriority w:val="99"/>
    <w:pPr>
      <w:autoSpaceDE w:val="0"/>
      <w:autoSpaceDN w:val="0"/>
      <w:adjustRightInd w:val="0"/>
      <w:spacing w:after="200" w:line="276" w:lineRule="auto"/>
      <w:jc w:val="left"/>
    </w:pPr>
    <w:rPr>
      <w:kern w:val="0"/>
      <w:sz w:val="24"/>
    </w:rPr>
  </w:style>
  <w:style w:type="paragraph" w:customStyle="1" w:styleId="368">
    <w:name w:val="正文11"/>
    <w:next w:val="369"/>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69">
    <w:name w:val="正文缩进1"/>
    <w:basedOn w:val="1"/>
    <w:qFormat/>
    <w:uiPriority w:val="0"/>
    <w:pPr>
      <w:widowControl/>
      <w:ind w:firstLine="420" w:firstLineChars="200"/>
      <w:jc w:val="left"/>
    </w:pPr>
    <w:rPr>
      <w:kern w:val="0"/>
      <w:sz w:val="20"/>
    </w:rPr>
  </w:style>
  <w:style w:type="paragraph" w:customStyle="1" w:styleId="370">
    <w:name w:val="副标题2"/>
    <w:basedOn w:val="1"/>
    <w:qFormat/>
    <w:uiPriority w:val="0"/>
    <w:pPr>
      <w:numPr>
        <w:ilvl w:val="2"/>
        <w:numId w:val="4"/>
      </w:numPr>
    </w:pPr>
  </w:style>
  <w:style w:type="table" w:customStyle="1" w:styleId="371">
    <w:name w:val="Table Normal_0"/>
    <w:semiHidden/>
    <w:unhideWhenUsed/>
    <w:qFormat/>
    <w:uiPriority w:val="0"/>
    <w:tblPr>
      <w:tblCellMar>
        <w:top w:w="0" w:type="dxa"/>
        <w:left w:w="0" w:type="dxa"/>
        <w:bottom w:w="0" w:type="dxa"/>
        <w:right w:w="0" w:type="dxa"/>
      </w:tblCellMar>
    </w:tblPr>
  </w:style>
  <w:style w:type="character" w:customStyle="1" w:styleId="372">
    <w:name w:val="NormalCharacter"/>
    <w:qFormat/>
    <w:uiPriority w:val="0"/>
  </w:style>
  <w:style w:type="paragraph" w:customStyle="1" w:styleId="373">
    <w:name w:val="UserStyle_0"/>
    <w:basedOn w:val="1"/>
    <w:qFormat/>
    <w:uiPriority w:val="0"/>
    <w:pPr>
      <w:spacing w:line="396" w:lineRule="auto"/>
      <w:ind w:firstLine="200"/>
      <w:textAlignment w:val="baseline"/>
    </w:pPr>
    <w:rPr>
      <w:rFonts w:ascii="宋体" w:hAnsi="宋体"/>
      <w:color w:val="000000"/>
      <w:sz w:val="28"/>
      <w:szCs w:val="28"/>
      <w:lang w:val="zh-TW" w:eastAsia="zh-TW" w:bidi="zh-TW"/>
    </w:rPr>
  </w:style>
  <w:style w:type="paragraph" w:customStyle="1" w:styleId="374">
    <w:name w:val="节标题"/>
    <w:basedOn w:val="1"/>
    <w:qFormat/>
    <w:uiPriority w:val="0"/>
    <w:pPr>
      <w:widowControl/>
      <w:spacing w:line="289" w:lineRule="atLeast"/>
      <w:jc w:val="center"/>
      <w:textAlignment w:val="baseline"/>
    </w:pPr>
    <w:rPr>
      <w:color w:val="000000"/>
      <w:sz w:val="28"/>
      <w:szCs w:val="28"/>
      <w:u w:color="000000"/>
    </w:rPr>
  </w:style>
  <w:style w:type="paragraph" w:customStyle="1" w:styleId="375">
    <w:name w:val="Revision"/>
    <w:hidden/>
    <w:unhideWhenUsed/>
    <w:qFormat/>
    <w:uiPriority w:val="99"/>
    <w:rPr>
      <w:rFonts w:ascii="Times New Roman" w:hAnsi="Times New Roman" w:eastAsia="宋体" w:cs="Times New Roman"/>
      <w:kern w:val="2"/>
      <w:sz w:val="21"/>
      <w:lang w:val="en-US" w:eastAsia="zh-CN" w:bidi="ar-SA"/>
    </w:rPr>
  </w:style>
  <w:style w:type="character" w:customStyle="1" w:styleId="376">
    <w:name w:val="fontstyle01"/>
    <w:basedOn w:val="59"/>
    <w:qFormat/>
    <w:uiPriority w:val="0"/>
    <w:rPr>
      <w:rFonts w:hint="eastAsia" w:ascii="宋体" w:hAnsi="宋体" w:eastAsia="宋体"/>
      <w:color w:val="000000"/>
      <w:sz w:val="24"/>
      <w:szCs w:val="24"/>
    </w:rPr>
  </w:style>
  <w:style w:type="paragraph" w:customStyle="1" w:styleId="377">
    <w:name w:val="正文样式"/>
    <w:basedOn w:val="1"/>
    <w:qFormat/>
    <w:uiPriority w:val="0"/>
    <w:pPr>
      <w:spacing w:line="360" w:lineRule="auto"/>
      <w:ind w:firstLine="567"/>
    </w:pPr>
    <w:rPr>
      <w:rFonts w:ascii="宋体" w:hAnsi="宋体"/>
    </w:rPr>
  </w:style>
  <w:style w:type="paragraph" w:customStyle="1" w:styleId="378">
    <w:name w:val="协议书标题2"/>
    <w:basedOn w:val="4"/>
    <w:next w:val="1"/>
    <w:qFormat/>
    <w:uiPriority w:val="0"/>
    <w:pPr>
      <w:keepNext w:val="0"/>
      <w:keepLines w:val="0"/>
      <w:numPr>
        <w:ilvl w:val="0"/>
        <w:numId w:val="5"/>
      </w:numPr>
      <w:tabs>
        <w:tab w:val="left" w:pos="567"/>
      </w:tabs>
      <w:spacing w:line="360" w:lineRule="auto"/>
      <w:ind w:firstLine="0" w:firstLineChars="0"/>
      <w:jc w:val="left"/>
    </w:pPr>
    <w:rPr>
      <w:rFonts w:ascii="宋体" w:hAnsi="宋体" w:eastAsia="宋体"/>
      <w:sz w:val="24"/>
    </w:rPr>
  </w:style>
  <w:style w:type="paragraph" w:customStyle="1" w:styleId="379">
    <w:name w:val="table"/>
    <w:qFormat/>
    <w:uiPriority w:val="0"/>
    <w:pPr>
      <w:framePr w:hSpace="180" w:wrap="around" w:vAnchor="text" w:hAnchor="margin" w:y="1418"/>
      <w:adjustRightInd w:val="0"/>
      <w:snapToGrid w:val="0"/>
    </w:pPr>
    <w:rPr>
      <w:rFonts w:ascii="宋体" w:hAnsi="Calibri" w:eastAsia="宋体" w:cs="Times New Roman"/>
      <w:kern w:val="2"/>
      <w:sz w:val="24"/>
      <w:szCs w:val="22"/>
      <w:lang w:val="en-US" w:eastAsia="zh-CN" w:bidi="ar-SA"/>
    </w:rPr>
  </w:style>
  <w:style w:type="paragraph" w:customStyle="1" w:styleId="380">
    <w:name w:val="TOC 标题2"/>
    <w:basedOn w:val="3"/>
    <w:next w:val="1"/>
    <w:qFormat/>
    <w:uiPriority w:val="0"/>
    <w:pPr>
      <w:spacing w:beforeLines="0" w:afterLines="0" w:line="576" w:lineRule="auto"/>
      <w:ind w:left="0"/>
      <w:jc w:val="both"/>
      <w:outlineLvl w:val="9"/>
    </w:pPr>
    <w:rPr>
      <w:rFonts w:ascii="Times New Roman" w:hAnsi="Times New Roman"/>
      <w:bCs/>
      <w:sz w:val="44"/>
      <w:szCs w:val="44"/>
    </w:rPr>
  </w:style>
  <w:style w:type="paragraph" w:customStyle="1" w:styleId="381">
    <w:name w:val="附件标题"/>
    <w:basedOn w:val="4"/>
    <w:next w:val="1"/>
    <w:qFormat/>
    <w:uiPriority w:val="0"/>
    <w:pPr>
      <w:widowControl/>
      <w:numPr>
        <w:ilvl w:val="0"/>
        <w:numId w:val="6"/>
      </w:numPr>
      <w:tabs>
        <w:tab w:val="left" w:pos="1134"/>
      </w:tabs>
      <w:wordWrap w:val="0"/>
      <w:topLinePunct/>
      <w:adjustRightInd w:val="0"/>
      <w:snapToGrid w:val="0"/>
      <w:spacing w:before="0" w:afterLines="50" w:line="360" w:lineRule="auto"/>
      <w:ind w:left="0" w:firstLine="0"/>
      <w:jc w:val="center"/>
    </w:pPr>
    <w:rPr>
      <w:rFonts w:ascii="黑体" w:hAnsi="黑体" w:eastAsia="黑体"/>
      <w:sz w:val="30"/>
      <w:szCs w:val="30"/>
      <w:lang w:eastAsia="zh-CN"/>
    </w:rPr>
  </w:style>
  <w:style w:type="paragraph" w:customStyle="1" w:styleId="382">
    <w:name w:val="缩进2字符"/>
    <w:basedOn w:val="1"/>
    <w:qFormat/>
    <w:uiPriority w:val="0"/>
    <w:pPr>
      <w:snapToGrid w:val="0"/>
      <w:spacing w:line="360" w:lineRule="auto"/>
      <w:ind w:firstLine="640" w:firstLineChars="200"/>
      <w:jc w:val="left"/>
    </w:pPr>
    <w:rPr>
      <w:rFonts w:ascii="宋体" w:hAnsi="宋体" w:cs="宋体"/>
      <w:kern w:val="0"/>
      <w:sz w:val="30"/>
      <w:szCs w:val="20"/>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header" Target="header2.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1.jpeg"/><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65</Pages>
  <Words>34313</Words>
  <Characters>37832</Characters>
  <Lines>729</Lines>
  <Paragraphs>205</Paragraphs>
  <TotalTime>1</TotalTime>
  <ScaleCrop>false</ScaleCrop>
  <LinksUpToDate>false</LinksUpToDate>
  <CharactersWithSpaces>39793</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2022-08-01T10:11:00Z</dcterms:created>
  <dc:creator>微软用户</dc:creator>
  <cp:lastModifiedBy>国义招标-赵进军</cp:lastModifiedBy>
  <cp:lastPrinted>2022-08-01T14:14:00Z</cp:lastPrinted>
  <dcterms:modified xsi:type="dcterms:W3CDTF">2025-04-21T09:44:53Z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373E7D25CEC441008CD3A6F0C0AAA1B7</vt:lpwstr>
  </property>
  <property fmtid="{D5CDD505-2E9C-101B-9397-08002B2CF9AE}" pid="3" name="KSOProductBuildVer">
    <vt:lpwstr>2052-12.1.0.20784</vt:lpwstr>
  </property>
  <property fmtid="{D5CDD505-2E9C-101B-9397-08002B2CF9AE}" pid="4" name="KSOTemplateDocerSaveRecord">
    <vt:lpwstr>eyJoZGlkIjoiMjcyNDU2MjQwZGUyYzEyODQzMzRjODRmODc1MWZkMjkifQ==</vt:lpwstr>
  </property>
</Properties>
</file>