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440" w:lineRule="exact"/>
        <w:jc w:val="center"/>
        <w:rPr>
          <w:rFonts w:eastAsia="黑体"/>
          <w:color w:val="auto"/>
          <w:sz w:val="28"/>
          <w:szCs w:val="28"/>
          <w:highlight w:val="none"/>
        </w:rPr>
      </w:pPr>
      <w:r>
        <w:rPr>
          <w:rFonts w:hint="eastAsia" w:eastAsia="黑体"/>
          <w:color w:val="auto"/>
          <w:sz w:val="28"/>
          <w:szCs w:val="28"/>
          <w:highlight w:val="none"/>
          <w:u w:val="none"/>
        </w:rPr>
        <w:t>宣威至富源高速公路涉铁项目施工总价承包</w:t>
      </w:r>
      <w:r>
        <w:rPr>
          <w:rFonts w:eastAsia="黑体"/>
          <w:color w:val="auto"/>
          <w:sz w:val="28"/>
          <w:szCs w:val="28"/>
          <w:highlight w:val="none"/>
        </w:rPr>
        <w:t>招标公告</w:t>
      </w:r>
    </w:p>
    <w:p>
      <w:pPr>
        <w:wordWrap w:val="0"/>
        <w:spacing w:line="440" w:lineRule="exact"/>
        <w:ind w:firstLine="400"/>
        <w:jc w:val="center"/>
        <w:rPr>
          <w:rFonts w:hint="eastAsia" w:eastAsia="黑体"/>
          <w:color w:val="auto"/>
          <w:sz w:val="24"/>
          <w:highlight w:val="none"/>
          <w:lang w:eastAsia="zh-CN"/>
        </w:rPr>
      </w:pPr>
      <w:r>
        <w:rPr>
          <w:rFonts w:eastAsia="黑体"/>
          <w:color w:val="auto"/>
          <w:sz w:val="24"/>
          <w:highlight w:val="none"/>
        </w:rPr>
        <w:t>招标编号：</w:t>
      </w:r>
      <w:r>
        <w:rPr>
          <w:rFonts w:hint="eastAsia" w:eastAsia="黑体"/>
          <w:color w:val="auto"/>
          <w:sz w:val="24"/>
          <w:highlight w:val="none"/>
          <w:lang w:eastAsia="zh-CN"/>
        </w:rPr>
        <w:t>GC530000202220420001</w:t>
      </w:r>
    </w:p>
    <w:p>
      <w:pPr>
        <w:pStyle w:val="9"/>
        <w:pageBreakBefore w:val="0"/>
        <w:kinsoku/>
        <w:wordWrap w:val="0"/>
        <w:overflowPunct/>
        <w:topLinePunct w:val="0"/>
        <w:bidi w:val="0"/>
        <w:adjustRightInd w:val="0"/>
        <w:snapToGrid w:val="0"/>
        <w:spacing w:line="440" w:lineRule="exact"/>
        <w:rPr>
          <w:rFonts w:cs="Times New Roman"/>
          <w:color w:val="auto"/>
          <w:highlight w:val="none"/>
        </w:rPr>
      </w:pPr>
      <w:bookmarkStart w:id="0" w:name="_Toc152042288"/>
      <w:bookmarkStart w:id="1" w:name="_Toc1423015042"/>
      <w:bookmarkStart w:id="2" w:name="_Toc152045512"/>
      <w:bookmarkStart w:id="3" w:name="_Toc928536700"/>
      <w:bookmarkStart w:id="4" w:name="_Toc144974480"/>
      <w:bookmarkStart w:id="5" w:name="_Toc1301416167"/>
      <w:bookmarkStart w:id="6" w:name="_Toc491460820"/>
      <w:bookmarkStart w:id="7" w:name="_Toc960353301"/>
      <w:bookmarkStart w:id="8" w:name="_Toc66441275"/>
      <w:bookmarkStart w:id="9" w:name="_Toc2004449577"/>
      <w:bookmarkStart w:id="10" w:name="_Toc66439736"/>
      <w:bookmarkStart w:id="11" w:name="_Toc17360"/>
      <w:bookmarkStart w:id="12" w:name="_Toc1594802682"/>
      <w:bookmarkStart w:id="13" w:name="_Toc179632528"/>
      <w:bookmarkStart w:id="14" w:name="_Toc10487"/>
      <w:bookmarkStart w:id="15" w:name="_Toc716163937"/>
      <w:bookmarkStart w:id="16" w:name="_Toc66438791"/>
      <w:bookmarkStart w:id="17" w:name="_Toc13737"/>
      <w:bookmarkStart w:id="18" w:name="_Toc66269423"/>
      <w:bookmarkStart w:id="19" w:name="_Toc43750015"/>
      <w:r>
        <w:rPr>
          <w:rFonts w:cs="Times New Roman"/>
          <w:color w:val="auto"/>
          <w:highlight w:val="none"/>
        </w:rPr>
        <w:t>1. 招标条件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rFonts w:hint="eastAsia"/>
          <w:color w:val="auto"/>
          <w:highlight w:val="none"/>
        </w:rPr>
        <w:t>本招标项目已由《云南省发展和改革委员会关于宣威至富源高速公路工程可行性研究报告的批复》（云发改基础〔2021〕782号）、《云南省交通运输厅关于宣威至富源高速公路初步设计的批复》（云交审批〔2021〕24号）批准建设，项目业主为曲靖市宣富高速公路投资建设开发有限公司，建设资金来源地方自筹和银行贷款，项目出资比例为：地方自筹20%，银行贷款80%，</w:t>
      </w:r>
      <w:r>
        <w:rPr>
          <w:color w:val="auto"/>
          <w:highlight w:val="none"/>
        </w:rPr>
        <w:t>资金已落实，施工图设计文件完备，招标人为</w:t>
      </w:r>
      <w:r>
        <w:rPr>
          <w:rFonts w:hint="eastAsia" w:ascii="宋体" w:hAnsi="宋体"/>
          <w:color w:val="auto"/>
          <w:szCs w:val="21"/>
          <w:highlight w:val="none"/>
          <w:u w:val="single"/>
        </w:rPr>
        <w:t>云南铁路工程项目管理有限责任公司</w:t>
      </w:r>
      <w:r>
        <w:rPr>
          <w:color w:val="auto"/>
          <w:highlight w:val="none"/>
        </w:rPr>
        <w:t>。本次招标项目已具备法定招标条件，现进行公开招标，</w:t>
      </w:r>
      <w:r>
        <w:rPr>
          <w:color w:val="auto"/>
          <w:szCs w:val="21"/>
          <w:highlight w:val="none"/>
        </w:rPr>
        <w:t>特邀请有意向的投标人参加投标。</w:t>
      </w:r>
    </w:p>
    <w:p>
      <w:pPr>
        <w:pStyle w:val="9"/>
        <w:pageBreakBefore w:val="0"/>
        <w:kinsoku/>
        <w:wordWrap w:val="0"/>
        <w:overflowPunct/>
        <w:topLinePunct w:val="0"/>
        <w:bidi w:val="0"/>
        <w:adjustRightInd w:val="0"/>
        <w:snapToGrid w:val="0"/>
        <w:spacing w:line="440" w:lineRule="exact"/>
        <w:rPr>
          <w:rFonts w:cs="Times New Roman"/>
          <w:color w:val="auto"/>
          <w:highlight w:val="none"/>
        </w:rPr>
      </w:pPr>
      <w:bookmarkStart w:id="20" w:name="_Toc14197"/>
      <w:bookmarkStart w:id="21" w:name="_Toc176426324"/>
      <w:bookmarkStart w:id="22" w:name="_Toc669701609"/>
      <w:bookmarkStart w:id="23" w:name="_Toc1802410341"/>
      <w:bookmarkStart w:id="24" w:name="_Toc1659096020"/>
      <w:bookmarkStart w:id="25" w:name="_Toc144974481"/>
      <w:bookmarkStart w:id="26" w:name="_Toc66438792"/>
      <w:bookmarkStart w:id="27" w:name="_Toc1435085497"/>
      <w:bookmarkStart w:id="28" w:name="_Toc609349072"/>
      <w:bookmarkStart w:id="29" w:name="_Toc66269424"/>
      <w:bookmarkStart w:id="30" w:name="_Toc66441276"/>
      <w:bookmarkStart w:id="31" w:name="_Toc1542305413"/>
      <w:bookmarkStart w:id="32" w:name="_Toc11119"/>
      <w:bookmarkStart w:id="33" w:name="_Toc179632529"/>
      <w:bookmarkStart w:id="34" w:name="_Toc388048432"/>
      <w:bookmarkStart w:id="35" w:name="_Toc152042289"/>
      <w:bookmarkStart w:id="36" w:name="_Toc1880918770"/>
      <w:bookmarkStart w:id="37" w:name="_Toc152045513"/>
      <w:bookmarkStart w:id="38" w:name="_Toc27063"/>
      <w:bookmarkStart w:id="39" w:name="_Toc66439737"/>
      <w:r>
        <w:rPr>
          <w:rFonts w:cs="Times New Roman"/>
          <w:color w:val="auto"/>
          <w:highlight w:val="none"/>
        </w:rPr>
        <w:t>2. 项目概况与招标范围</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bookmarkStart w:id="40" w:name="_Toc1552066492"/>
      <w:bookmarkStart w:id="41" w:name="_Toc252231810"/>
      <w:bookmarkStart w:id="42" w:name="_Toc25796014"/>
      <w:bookmarkStart w:id="43" w:name="_Toc66441277"/>
      <w:bookmarkStart w:id="44" w:name="_Toc468833139"/>
      <w:bookmarkStart w:id="45" w:name="_Toc152045514"/>
      <w:bookmarkStart w:id="46" w:name="_Toc1332988351"/>
      <w:bookmarkStart w:id="47" w:name="_Toc152042290"/>
      <w:bookmarkStart w:id="48" w:name="_Toc409537788"/>
      <w:bookmarkStart w:id="49" w:name="_Toc487856954"/>
      <w:bookmarkStart w:id="50" w:name="_Toc1736531438"/>
      <w:bookmarkStart w:id="51" w:name="_Toc66438793"/>
      <w:bookmarkStart w:id="52" w:name="_Toc22297"/>
      <w:bookmarkStart w:id="53" w:name="_Toc179632530"/>
      <w:bookmarkStart w:id="54" w:name="_Toc66439738"/>
      <w:bookmarkStart w:id="55" w:name="_Toc14073"/>
      <w:bookmarkStart w:id="56" w:name="_Toc1355408547"/>
      <w:bookmarkStart w:id="57" w:name="_Toc2439"/>
      <w:bookmarkStart w:id="58" w:name="_Toc66269425"/>
      <w:bookmarkStart w:id="59" w:name="_Toc144974482"/>
      <w:r>
        <w:rPr>
          <w:color w:val="auto"/>
          <w:szCs w:val="21"/>
          <w:highlight w:val="none"/>
        </w:rPr>
        <w:t>2.1 项目概况</w:t>
      </w:r>
    </w:p>
    <w:p>
      <w:pPr>
        <w:pageBreakBefore w:val="0"/>
        <w:kinsoku/>
        <w:wordWrap w:val="0"/>
        <w:overflowPunct/>
        <w:topLinePunct w:val="0"/>
        <w:bidi w:val="0"/>
        <w:adjustRightInd w:val="0"/>
        <w:snapToGrid w:val="0"/>
        <w:spacing w:line="440" w:lineRule="exact"/>
        <w:ind w:firstLine="420" w:firstLineChars="200"/>
        <w:rPr>
          <w:color w:val="auto"/>
          <w:szCs w:val="21"/>
          <w:highlight w:val="none"/>
          <w:u w:val="single"/>
        </w:rPr>
      </w:pPr>
      <w:r>
        <w:rPr>
          <w:color w:val="auto"/>
          <w:szCs w:val="21"/>
          <w:highlight w:val="none"/>
        </w:rPr>
        <w:t>建设地点：</w:t>
      </w:r>
      <w:r>
        <w:rPr>
          <w:rFonts w:hint="eastAsia"/>
          <w:color w:val="auto"/>
          <w:szCs w:val="21"/>
          <w:highlight w:val="none"/>
        </w:rPr>
        <w:t>曲靖市宣威市、沾益区、富源县。</w:t>
      </w:r>
    </w:p>
    <w:p>
      <w:pPr>
        <w:pageBreakBefore w:val="0"/>
        <w:kinsoku/>
        <w:wordWrap w:val="0"/>
        <w:overflowPunct/>
        <w:topLinePunct w:val="0"/>
        <w:bidi w:val="0"/>
        <w:adjustRightInd w:val="0"/>
        <w:snapToGrid w:val="0"/>
        <w:spacing w:line="440" w:lineRule="exact"/>
        <w:ind w:firstLine="420" w:firstLineChars="200"/>
        <w:rPr>
          <w:rFonts w:hint="eastAsia" w:eastAsia="宋体"/>
          <w:color w:val="auto"/>
          <w:szCs w:val="21"/>
          <w:highlight w:val="none"/>
          <w:lang w:eastAsia="zh-CN"/>
        </w:rPr>
      </w:pPr>
      <w:r>
        <w:rPr>
          <w:color w:val="auto"/>
          <w:szCs w:val="21"/>
          <w:highlight w:val="none"/>
        </w:rPr>
        <w:t>建设规模：</w:t>
      </w:r>
      <w:r>
        <w:rPr>
          <w:rFonts w:hint="eastAsia"/>
          <w:color w:val="auto"/>
          <w:szCs w:val="21"/>
          <w:highlight w:val="none"/>
        </w:rPr>
        <w:t>主线采用双向四车道高速公路标准建设，设计速度80公里/小时，路基宽度25.5米，桥涵设计汽车荷载等级为公路-I级。工程范围为上跨盘西铁路立交桥工程、上跨羊场支线立交桥工程、上跨沪昆铁路歌乐隧道立交桥工程、上跨沪昆高铁多乐铺隧道立交桥工程、杨二冲枢纽互通式立交I匝道、杨二冲枢纽互通式立交F匝道，及K0+174.0（铁路里程K2408+949）、K0+616.88（铁路里程K3+950.4）、K0+523.1（对应铁路里程K52+677.8）三处施工便道。具体工程规模和范围以审批通过的施工图为准</w:t>
      </w:r>
      <w:r>
        <w:rPr>
          <w:rFonts w:hint="eastAsia"/>
          <w:color w:val="auto"/>
          <w:szCs w:val="21"/>
          <w:highlight w:val="none"/>
          <w:lang w:eastAsia="zh-CN"/>
        </w:rPr>
        <w:t>。</w:t>
      </w:r>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color w:val="auto"/>
          <w:szCs w:val="21"/>
          <w:highlight w:val="none"/>
        </w:rPr>
        <w:t>2.2 招标范围</w:t>
      </w:r>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color w:val="auto"/>
          <w:szCs w:val="21"/>
          <w:highlight w:val="none"/>
        </w:rPr>
        <w:t>招标范围：</w:t>
      </w:r>
      <w:r>
        <w:rPr>
          <w:rFonts w:hint="eastAsia"/>
          <w:color w:val="auto"/>
          <w:szCs w:val="21"/>
          <w:highlight w:val="none"/>
        </w:rPr>
        <w:t>宣富高速公路上跨盘西铁路立交桥工程、上跨羊场支线立交桥工程、上跨沪昆铁路歌乐隧道立交桥工程、上跨沪昆高铁多乐铺隧道立交桥工程、杨二冲枢纽互通式立交I匝道、杨二冲枢纽互通式立交F匝道，及K0+174.0（铁路里程K2408+949）、K0+616.88（铁路里程K3+950.4）、K0+523.1（对应铁路里程K52+677.8）三处施工便道施工图包含的全部施工内容。</w:t>
      </w:r>
    </w:p>
    <w:p>
      <w:pPr>
        <w:pageBreakBefore w:val="0"/>
        <w:kinsoku/>
        <w:overflowPunct/>
        <w:topLinePunct w:val="0"/>
        <w:bidi w:val="0"/>
        <w:spacing w:line="440" w:lineRule="exact"/>
        <w:ind w:firstLine="420" w:firstLineChars="200"/>
        <w:rPr>
          <w:rFonts w:ascii="宋体" w:hAnsi="宋体" w:cs="宋体"/>
          <w:color w:val="auto"/>
          <w:kern w:val="20"/>
          <w:szCs w:val="21"/>
          <w:highlight w:val="none"/>
        </w:rPr>
      </w:pPr>
      <w:r>
        <w:rPr>
          <w:color w:val="auto"/>
          <w:szCs w:val="21"/>
          <w:highlight w:val="none"/>
        </w:rPr>
        <w:t>标段划分：</w:t>
      </w:r>
      <w:r>
        <w:rPr>
          <w:rFonts w:hint="eastAsia" w:ascii="宋体" w:hAnsi="宋体" w:cs="宋体"/>
          <w:color w:val="auto"/>
          <w:kern w:val="20"/>
          <w:szCs w:val="21"/>
          <w:highlight w:val="none"/>
          <w:u w:val="single"/>
        </w:rPr>
        <w:t>划分为4个标段</w:t>
      </w:r>
      <w:r>
        <w:rPr>
          <w:rFonts w:hint="eastAsia" w:ascii="宋体" w:hAnsi="宋体" w:cs="宋体"/>
          <w:color w:val="auto"/>
          <w:kern w:val="20"/>
          <w:szCs w:val="21"/>
          <w:highlight w:val="none"/>
        </w:rPr>
        <w:t>。</w:t>
      </w:r>
    </w:p>
    <w:p>
      <w:pPr>
        <w:pageBreakBefore w:val="0"/>
        <w:kinsoku/>
        <w:overflowPunct/>
        <w:topLinePunct w:val="0"/>
        <w:bidi w:val="0"/>
        <w:spacing w:line="440" w:lineRule="exact"/>
        <w:ind w:firstLine="420" w:firstLineChars="200"/>
        <w:rPr>
          <w:rFonts w:ascii="宋体" w:hAnsi="宋体" w:cs="宋体"/>
          <w:color w:val="auto"/>
          <w:kern w:val="20"/>
          <w:szCs w:val="21"/>
          <w:highlight w:val="none"/>
        </w:rPr>
      </w:pPr>
      <w:r>
        <w:rPr>
          <w:rFonts w:hint="eastAsia" w:ascii="宋体" w:hAnsi="宋体" w:cs="宋体"/>
          <w:color w:val="auto"/>
          <w:kern w:val="20"/>
          <w:szCs w:val="21"/>
          <w:highlight w:val="none"/>
          <w:u w:val="single"/>
        </w:rPr>
        <w:t>一标段</w:t>
      </w:r>
      <w:r>
        <w:rPr>
          <w:rFonts w:hint="eastAsia" w:ascii="宋体" w:hAnsi="宋体" w:cs="宋体"/>
          <w:color w:val="auto"/>
          <w:kern w:val="20"/>
          <w:szCs w:val="21"/>
          <w:highlight w:val="none"/>
        </w:rPr>
        <w:t>：宣富高速公路上跨盘西铁路立交桥工程、杨二冲枢纽互通式立交I匝道、杨二冲枢纽互通式立交F匝道、K0+523.1（对应铁路里程K52+677.8）施工便道施工图包含的全部施工内容。难点工程：2×90m预应力混凝土T构箱梁转体施工。</w:t>
      </w:r>
    </w:p>
    <w:p>
      <w:pPr>
        <w:pageBreakBefore w:val="0"/>
        <w:kinsoku/>
        <w:wordWrap w:val="0"/>
        <w:overflowPunct/>
        <w:topLinePunct w:val="0"/>
        <w:bidi w:val="0"/>
        <w:adjustRightInd w:val="0"/>
        <w:snapToGrid w:val="0"/>
        <w:spacing w:line="440" w:lineRule="exact"/>
        <w:ind w:firstLine="420" w:firstLineChars="200"/>
        <w:jc w:val="left"/>
        <w:rPr>
          <w:color w:val="auto"/>
          <w:szCs w:val="21"/>
          <w:highlight w:val="none"/>
        </w:rPr>
      </w:pPr>
      <w:r>
        <w:rPr>
          <w:rFonts w:hint="eastAsia"/>
          <w:color w:val="auto"/>
          <w:szCs w:val="21"/>
          <w:highlight w:val="none"/>
          <w:u w:val="single"/>
        </w:rPr>
        <w:t>二标段</w:t>
      </w:r>
      <w:r>
        <w:rPr>
          <w:rFonts w:hint="eastAsia"/>
          <w:color w:val="auto"/>
          <w:szCs w:val="21"/>
          <w:highlight w:val="none"/>
        </w:rPr>
        <w:t>：宣富高速公路上跨羊场支线立交桥工程、K0+616.88（铁路里程K3+950.4）施工便道施工图包含的全部施工内容。</w:t>
      </w:r>
      <w:r>
        <w:rPr>
          <w:rFonts w:hint="eastAsia" w:ascii="宋体" w:hAnsi="宋体" w:cs="宋体"/>
          <w:color w:val="auto"/>
          <w:kern w:val="20"/>
          <w:szCs w:val="21"/>
          <w:highlight w:val="none"/>
        </w:rPr>
        <w:t>难点工程：</w:t>
      </w:r>
      <w:r>
        <w:rPr>
          <w:rFonts w:hint="eastAsia"/>
          <w:color w:val="auto"/>
          <w:szCs w:val="21"/>
          <w:highlight w:val="none"/>
        </w:rPr>
        <w:t>第三联3×40m先简支后连续T梁上跨羊场支线铁路施工。</w:t>
      </w:r>
    </w:p>
    <w:p>
      <w:pPr>
        <w:pageBreakBefore w:val="0"/>
        <w:kinsoku/>
        <w:wordWrap w:val="0"/>
        <w:overflowPunct/>
        <w:topLinePunct w:val="0"/>
        <w:bidi w:val="0"/>
        <w:adjustRightInd w:val="0"/>
        <w:snapToGrid w:val="0"/>
        <w:spacing w:line="440" w:lineRule="exact"/>
        <w:ind w:firstLine="420" w:firstLineChars="200"/>
        <w:jc w:val="left"/>
        <w:rPr>
          <w:color w:val="auto"/>
          <w:szCs w:val="21"/>
          <w:highlight w:val="none"/>
        </w:rPr>
      </w:pPr>
      <w:r>
        <w:rPr>
          <w:rFonts w:hint="eastAsia"/>
          <w:color w:val="auto"/>
          <w:szCs w:val="21"/>
          <w:highlight w:val="none"/>
          <w:u w:val="single"/>
        </w:rPr>
        <w:t>三标段</w:t>
      </w:r>
      <w:r>
        <w:rPr>
          <w:rFonts w:hint="eastAsia"/>
          <w:color w:val="auto"/>
          <w:szCs w:val="21"/>
          <w:highlight w:val="none"/>
        </w:rPr>
        <w:t>：宣富高速公路上跨沪昆铁路歌乐隧道立交桥工程、K0+174.0（铁路里程K2408+949）施工便道施工图包含的全部施工内容。难点工程：（35+60+35）预应力混凝土连续箱梁施工。</w:t>
      </w:r>
    </w:p>
    <w:p>
      <w:pPr>
        <w:pageBreakBefore w:val="0"/>
        <w:kinsoku/>
        <w:wordWrap w:val="0"/>
        <w:overflowPunct/>
        <w:topLinePunct w:val="0"/>
        <w:bidi w:val="0"/>
        <w:adjustRightInd w:val="0"/>
        <w:snapToGrid w:val="0"/>
        <w:spacing w:line="440" w:lineRule="exact"/>
        <w:ind w:firstLine="420" w:firstLineChars="200"/>
        <w:jc w:val="left"/>
        <w:rPr>
          <w:color w:val="auto"/>
          <w:szCs w:val="21"/>
          <w:highlight w:val="none"/>
        </w:rPr>
      </w:pPr>
      <w:r>
        <w:rPr>
          <w:rFonts w:hint="eastAsia"/>
          <w:color w:val="auto"/>
          <w:szCs w:val="21"/>
          <w:highlight w:val="none"/>
          <w:u w:val="single"/>
        </w:rPr>
        <w:t>四标段</w:t>
      </w:r>
      <w:r>
        <w:rPr>
          <w:rFonts w:hint="eastAsia"/>
          <w:color w:val="auto"/>
          <w:szCs w:val="21"/>
          <w:highlight w:val="none"/>
        </w:rPr>
        <w:t>：宣富高速公路上跨沪昆高铁多乐铺隧道立交桥工程施工图包含的全部施工内容。难点工程：（60+90+50）m预应力混凝土连续箱梁施工。</w:t>
      </w:r>
    </w:p>
    <w:p>
      <w:pPr>
        <w:pageBreakBefore w:val="0"/>
        <w:kinsoku/>
        <w:wordWrap w:val="0"/>
        <w:overflowPunct/>
        <w:topLinePunct w:val="0"/>
        <w:bidi w:val="0"/>
        <w:adjustRightInd w:val="0"/>
        <w:snapToGrid w:val="0"/>
        <w:spacing w:line="440" w:lineRule="exact"/>
        <w:ind w:firstLine="420" w:firstLineChars="200"/>
        <w:jc w:val="left"/>
        <w:rPr>
          <w:color w:val="auto"/>
          <w:szCs w:val="21"/>
          <w:highlight w:val="none"/>
        </w:rPr>
      </w:pPr>
      <w:r>
        <w:rPr>
          <w:color w:val="auto"/>
          <w:szCs w:val="21"/>
          <w:highlight w:val="none"/>
        </w:rPr>
        <w:t>计划工期：</w:t>
      </w:r>
      <w:r>
        <w:rPr>
          <w:rFonts w:hint="eastAsia"/>
          <w:color w:val="auto"/>
          <w:szCs w:val="21"/>
          <w:highlight w:val="none"/>
        </w:rPr>
        <w:t>上跨盘西铁路立交桥工程计划工期</w:t>
      </w:r>
      <w:r>
        <w:rPr>
          <w:rFonts w:hint="eastAsia"/>
          <w:color w:val="auto"/>
          <w:szCs w:val="21"/>
          <w:highlight w:val="none"/>
          <w:u w:val="single"/>
        </w:rPr>
        <w:t>570</w:t>
      </w:r>
      <w:r>
        <w:rPr>
          <w:rFonts w:hint="eastAsia"/>
          <w:color w:val="auto"/>
          <w:szCs w:val="21"/>
          <w:highlight w:val="none"/>
        </w:rPr>
        <w:t>日历天，</w:t>
      </w:r>
      <w:r>
        <w:rPr>
          <w:color w:val="auto"/>
          <w:szCs w:val="21"/>
          <w:highlight w:val="none"/>
        </w:rPr>
        <w:t>计划开工日期</w:t>
      </w:r>
      <w:r>
        <w:rPr>
          <w:rFonts w:hint="eastAsia"/>
          <w:color w:val="auto"/>
          <w:szCs w:val="21"/>
          <w:highlight w:val="none"/>
        </w:rPr>
        <w:t>2022年11月1日</w:t>
      </w:r>
      <w:r>
        <w:rPr>
          <w:color w:val="auto"/>
          <w:szCs w:val="21"/>
          <w:highlight w:val="none"/>
        </w:rPr>
        <w:t>，计划竣工日期</w:t>
      </w:r>
      <w:r>
        <w:rPr>
          <w:rFonts w:hint="eastAsia"/>
          <w:color w:val="auto"/>
          <w:szCs w:val="21"/>
          <w:highlight w:val="none"/>
        </w:rPr>
        <w:t>2024年5月23日。</w:t>
      </w:r>
    </w:p>
    <w:p>
      <w:pPr>
        <w:pageBreakBefore w:val="0"/>
        <w:kinsoku/>
        <w:wordWrap w:val="0"/>
        <w:overflowPunct/>
        <w:topLinePunct w:val="0"/>
        <w:bidi w:val="0"/>
        <w:adjustRightInd w:val="0"/>
        <w:snapToGrid w:val="0"/>
        <w:spacing w:line="440" w:lineRule="exact"/>
        <w:ind w:firstLine="420" w:firstLineChars="200"/>
        <w:jc w:val="left"/>
        <w:rPr>
          <w:color w:val="auto"/>
          <w:highlight w:val="none"/>
        </w:rPr>
      </w:pPr>
      <w:r>
        <w:rPr>
          <w:rFonts w:hint="eastAsia"/>
          <w:color w:val="auto"/>
          <w:szCs w:val="21"/>
          <w:highlight w:val="none"/>
        </w:rPr>
        <w:t>其余工点计划工期为：</w:t>
      </w:r>
      <w:r>
        <w:rPr>
          <w:rFonts w:hint="eastAsia"/>
          <w:color w:val="auto"/>
          <w:szCs w:val="21"/>
          <w:highlight w:val="none"/>
          <w:u w:val="single"/>
        </w:rPr>
        <w:t>330</w:t>
      </w:r>
      <w:r>
        <w:rPr>
          <w:rFonts w:hint="eastAsia"/>
          <w:color w:val="auto"/>
          <w:szCs w:val="21"/>
          <w:highlight w:val="none"/>
        </w:rPr>
        <w:t>日历天；</w:t>
      </w:r>
      <w:r>
        <w:rPr>
          <w:color w:val="auto"/>
          <w:szCs w:val="21"/>
          <w:highlight w:val="none"/>
        </w:rPr>
        <w:t>计划开工日期</w:t>
      </w:r>
      <w:r>
        <w:rPr>
          <w:rFonts w:hint="eastAsia"/>
          <w:color w:val="auto"/>
          <w:szCs w:val="21"/>
          <w:highlight w:val="none"/>
        </w:rPr>
        <w:t>2022年11月1日</w:t>
      </w:r>
      <w:r>
        <w:rPr>
          <w:color w:val="auto"/>
          <w:szCs w:val="21"/>
          <w:highlight w:val="none"/>
        </w:rPr>
        <w:t>，计划竣工日期</w:t>
      </w:r>
      <w:r>
        <w:rPr>
          <w:rFonts w:hint="eastAsia"/>
          <w:color w:val="auto"/>
          <w:szCs w:val="21"/>
          <w:highlight w:val="none"/>
        </w:rPr>
        <w:t>2023年9月27日</w:t>
      </w:r>
      <w:r>
        <w:rPr>
          <w:color w:val="auto"/>
          <w:szCs w:val="21"/>
          <w:highlight w:val="none"/>
        </w:rPr>
        <w:t>。</w:t>
      </w:r>
    </w:p>
    <w:p>
      <w:pPr>
        <w:pageBreakBefore w:val="0"/>
        <w:kinsoku/>
        <w:wordWrap w:val="0"/>
        <w:overflowPunct/>
        <w:topLinePunct w:val="0"/>
        <w:bidi w:val="0"/>
        <w:adjustRightInd w:val="0"/>
        <w:snapToGrid w:val="0"/>
        <w:spacing w:line="440" w:lineRule="exact"/>
        <w:ind w:firstLine="420" w:firstLineChars="200"/>
        <w:rPr>
          <w:color w:val="auto"/>
          <w:szCs w:val="21"/>
          <w:highlight w:val="none"/>
          <w:u w:val="single"/>
        </w:rPr>
      </w:pPr>
      <w:r>
        <w:rPr>
          <w:color w:val="auto"/>
          <w:szCs w:val="21"/>
          <w:highlight w:val="none"/>
        </w:rPr>
        <w:t>2.3 其他说明：</w:t>
      </w:r>
      <w:r>
        <w:rPr>
          <w:rFonts w:hint="eastAsia"/>
          <w:color w:val="auto"/>
          <w:szCs w:val="21"/>
          <w:highlight w:val="none"/>
          <w:u w:val="single"/>
        </w:rPr>
        <w:t>无</w:t>
      </w:r>
      <w:r>
        <w:rPr>
          <w:color w:val="auto"/>
          <w:szCs w:val="21"/>
          <w:highlight w:val="none"/>
        </w:rPr>
        <w:t>。</w:t>
      </w:r>
    </w:p>
    <w:p>
      <w:pPr>
        <w:pStyle w:val="9"/>
        <w:pageBreakBefore w:val="0"/>
        <w:kinsoku/>
        <w:wordWrap w:val="0"/>
        <w:overflowPunct/>
        <w:topLinePunct w:val="0"/>
        <w:bidi w:val="0"/>
        <w:adjustRightInd w:val="0"/>
        <w:snapToGrid w:val="0"/>
        <w:spacing w:line="440" w:lineRule="exact"/>
        <w:rPr>
          <w:rFonts w:cs="Times New Roman"/>
          <w:color w:val="auto"/>
          <w:highlight w:val="none"/>
        </w:rPr>
      </w:pPr>
      <w:r>
        <w:rPr>
          <w:rFonts w:cs="Times New Roman"/>
          <w:color w:val="auto"/>
          <w:highlight w:val="none"/>
        </w:rPr>
        <w:t>3. 投标人资格要求</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pPr>
        <w:pageBreakBefore w:val="0"/>
        <w:kinsoku/>
        <w:wordWrap w:val="0"/>
        <w:overflowPunct/>
        <w:topLinePunct w:val="0"/>
        <w:bidi w:val="0"/>
        <w:spacing w:line="440" w:lineRule="exact"/>
        <w:ind w:firstLine="420" w:firstLineChars="200"/>
        <w:rPr>
          <w:color w:val="auto"/>
          <w:szCs w:val="21"/>
          <w:highlight w:val="none"/>
        </w:rPr>
      </w:pPr>
      <w:bookmarkStart w:id="60" w:name="_Toc144974397"/>
      <w:bookmarkStart w:id="61" w:name="_Toc152042291"/>
      <w:bookmarkStart w:id="62" w:name="_Toc152045515"/>
      <w:bookmarkStart w:id="63" w:name="_Toc144974483"/>
      <w:bookmarkStart w:id="64" w:name="_Toc179632531"/>
      <w:r>
        <w:rPr>
          <w:color w:val="auto"/>
          <w:szCs w:val="21"/>
          <w:highlight w:val="none"/>
        </w:rPr>
        <w:t>3.1</w:t>
      </w:r>
      <w:bookmarkEnd w:id="60"/>
      <w:r>
        <w:rPr>
          <w:color w:val="auto"/>
          <w:szCs w:val="21"/>
          <w:highlight w:val="none"/>
        </w:rPr>
        <w:t>本次招标要求投标人为在中华人民共和国境内合法注册的独立法人，具备有效的营业执照、施工企业资质和安全生产许可证等，并在人员、设备、资金等方面具备相应的施工能力。资格要求如下：</w:t>
      </w:r>
    </w:p>
    <w:p>
      <w:pPr>
        <w:pStyle w:val="5"/>
        <w:pageBreakBefore w:val="0"/>
        <w:widowControl/>
        <w:kinsoku/>
        <w:wordWrap w:val="0"/>
        <w:overflowPunct/>
        <w:topLinePunct w:val="0"/>
        <w:bidi w:val="0"/>
        <w:adjustRightInd/>
        <w:spacing w:line="440" w:lineRule="exact"/>
        <w:ind w:left="0" w:firstLine="420" w:firstLineChars="200"/>
        <w:jc w:val="both"/>
        <w:rPr>
          <w:rFonts w:ascii="宋体" w:hAnsi="宋体"/>
          <w:color w:val="auto"/>
          <w:kern w:val="2"/>
          <w:sz w:val="21"/>
          <w:szCs w:val="21"/>
          <w:highlight w:val="none"/>
        </w:rPr>
      </w:pPr>
      <w:r>
        <w:rPr>
          <w:rFonts w:hint="eastAsia" w:ascii="宋体" w:hAnsi="宋体"/>
          <w:color w:val="auto"/>
          <w:kern w:val="2"/>
          <w:sz w:val="21"/>
          <w:szCs w:val="21"/>
          <w:highlight w:val="none"/>
        </w:rPr>
        <w:t>（1）资质要求：投标人须同时具备公路工程施工总承包一级及以上资质和铁路工程施工总承包二级及以上资质。</w:t>
      </w:r>
    </w:p>
    <w:p>
      <w:pPr>
        <w:pStyle w:val="5"/>
        <w:pageBreakBefore w:val="0"/>
        <w:widowControl/>
        <w:kinsoku/>
        <w:wordWrap w:val="0"/>
        <w:overflowPunct/>
        <w:topLinePunct w:val="0"/>
        <w:bidi w:val="0"/>
        <w:adjustRightInd/>
        <w:spacing w:line="440" w:lineRule="exact"/>
        <w:ind w:left="0" w:firstLine="420" w:firstLineChars="200"/>
        <w:jc w:val="both"/>
        <w:rPr>
          <w:rFonts w:ascii="宋体" w:hAnsi="宋体"/>
          <w:color w:val="auto"/>
          <w:kern w:val="2"/>
          <w:sz w:val="21"/>
          <w:szCs w:val="21"/>
          <w:highlight w:val="none"/>
        </w:rPr>
      </w:pPr>
      <w:r>
        <w:rPr>
          <w:rFonts w:hint="eastAsia" w:ascii="宋体" w:hAnsi="宋体"/>
          <w:color w:val="auto"/>
          <w:kern w:val="2"/>
          <w:sz w:val="21"/>
          <w:szCs w:val="21"/>
          <w:highlight w:val="none"/>
        </w:rPr>
        <w:t>（2）业绩要求：</w:t>
      </w:r>
      <w:r>
        <w:rPr>
          <w:rFonts w:hint="eastAsia" w:ascii="宋体" w:hAnsi="宋体"/>
          <w:color w:val="auto"/>
          <w:kern w:val="2"/>
          <w:sz w:val="21"/>
          <w:szCs w:val="21"/>
          <w:highlight w:val="none"/>
          <w:u w:val="single"/>
        </w:rPr>
        <w:t>一标段</w:t>
      </w:r>
      <w:r>
        <w:rPr>
          <w:rFonts w:hint="eastAsia" w:ascii="宋体" w:hAnsi="宋体"/>
          <w:color w:val="auto"/>
          <w:kern w:val="2"/>
          <w:sz w:val="21"/>
          <w:szCs w:val="21"/>
          <w:highlight w:val="none"/>
        </w:rPr>
        <w:t>：近五年具备至少1项跨度不小于90m预应力混凝土T构箱梁转体施工业绩、具备至少1项铁路营业线工程施工业绩。</w:t>
      </w:r>
      <w:r>
        <w:rPr>
          <w:rFonts w:hint="eastAsia" w:ascii="宋体" w:hAnsi="宋体"/>
          <w:color w:val="auto"/>
          <w:kern w:val="2"/>
          <w:sz w:val="21"/>
          <w:szCs w:val="21"/>
          <w:highlight w:val="none"/>
          <w:u w:val="single"/>
        </w:rPr>
        <w:t>二标段</w:t>
      </w:r>
      <w:r>
        <w:rPr>
          <w:rFonts w:hint="eastAsia" w:ascii="宋体" w:hAnsi="宋体"/>
          <w:color w:val="auto"/>
          <w:kern w:val="2"/>
          <w:sz w:val="21"/>
          <w:szCs w:val="21"/>
          <w:highlight w:val="none"/>
        </w:rPr>
        <w:t>：近五年具备至少1项跨度不小于40mT梁施工业绩和至少1项铁路营业线工程施工业绩。</w:t>
      </w:r>
      <w:r>
        <w:rPr>
          <w:rFonts w:hint="eastAsia" w:ascii="宋体" w:hAnsi="宋体"/>
          <w:color w:val="auto"/>
          <w:kern w:val="2"/>
          <w:sz w:val="21"/>
          <w:szCs w:val="21"/>
          <w:highlight w:val="none"/>
          <w:u w:val="single"/>
        </w:rPr>
        <w:t>三标段</w:t>
      </w:r>
      <w:r>
        <w:rPr>
          <w:rFonts w:hint="eastAsia" w:ascii="宋体" w:hAnsi="宋体"/>
          <w:color w:val="auto"/>
          <w:kern w:val="2"/>
          <w:sz w:val="21"/>
          <w:szCs w:val="21"/>
          <w:highlight w:val="none"/>
        </w:rPr>
        <w:t>：近五年具备至少1项跨度不小于60m预应力混凝土连续箱梁施工业绩和至少1项铁路营业线工程施工业绩。</w:t>
      </w:r>
      <w:r>
        <w:rPr>
          <w:rFonts w:hint="eastAsia" w:ascii="宋体" w:hAnsi="宋体"/>
          <w:color w:val="auto"/>
          <w:kern w:val="2"/>
          <w:sz w:val="21"/>
          <w:szCs w:val="21"/>
          <w:highlight w:val="none"/>
          <w:u w:val="single"/>
        </w:rPr>
        <w:t>四标段</w:t>
      </w:r>
      <w:r>
        <w:rPr>
          <w:rFonts w:hint="eastAsia" w:ascii="宋体" w:hAnsi="宋体"/>
          <w:color w:val="auto"/>
          <w:kern w:val="2"/>
          <w:sz w:val="21"/>
          <w:szCs w:val="21"/>
          <w:highlight w:val="none"/>
        </w:rPr>
        <w:t>：近五年具备至少1项跨度不小于90m预应力混凝土连续箱梁施工业绩和至少1项铁路营业线工程施工业绩。</w:t>
      </w:r>
    </w:p>
    <w:p>
      <w:pPr>
        <w:pStyle w:val="5"/>
        <w:pageBreakBefore w:val="0"/>
        <w:widowControl/>
        <w:kinsoku/>
        <w:wordWrap w:val="0"/>
        <w:overflowPunct/>
        <w:topLinePunct w:val="0"/>
        <w:bidi w:val="0"/>
        <w:adjustRightInd/>
        <w:spacing w:line="440" w:lineRule="exact"/>
        <w:ind w:left="0" w:firstLine="420" w:firstLineChars="200"/>
        <w:jc w:val="both"/>
        <w:rPr>
          <w:rFonts w:ascii="宋体" w:hAnsi="宋体"/>
          <w:color w:val="auto"/>
          <w:kern w:val="2"/>
          <w:sz w:val="21"/>
          <w:szCs w:val="21"/>
          <w:highlight w:val="none"/>
        </w:rPr>
      </w:pPr>
      <w:r>
        <w:rPr>
          <w:rFonts w:hint="eastAsia" w:ascii="宋体" w:hAnsi="宋体"/>
          <w:color w:val="auto"/>
          <w:kern w:val="2"/>
          <w:sz w:val="21"/>
          <w:szCs w:val="21"/>
          <w:highlight w:val="none"/>
        </w:rPr>
        <w:t>（3）项目经理：投标人拟派项目经理须具备铁路工程专业或公路工程专业一级注册建造师执业资格证书，有效的安全生产考核合格证书，与投标人具有有效的劳动和社保关系。</w:t>
      </w:r>
    </w:p>
    <w:p>
      <w:pPr>
        <w:pStyle w:val="5"/>
        <w:pageBreakBefore w:val="0"/>
        <w:widowControl/>
        <w:kinsoku/>
        <w:wordWrap w:val="0"/>
        <w:overflowPunct/>
        <w:topLinePunct w:val="0"/>
        <w:bidi w:val="0"/>
        <w:adjustRightInd/>
        <w:spacing w:line="440" w:lineRule="exact"/>
        <w:ind w:left="0" w:firstLine="420" w:firstLineChars="200"/>
        <w:jc w:val="both"/>
        <w:rPr>
          <w:rFonts w:ascii="宋体" w:hAnsi="宋体"/>
          <w:color w:val="auto"/>
          <w:kern w:val="2"/>
          <w:sz w:val="21"/>
          <w:szCs w:val="21"/>
          <w:highlight w:val="none"/>
        </w:rPr>
      </w:pPr>
      <w:r>
        <w:rPr>
          <w:rFonts w:hint="eastAsia" w:ascii="宋体" w:hAnsi="宋体"/>
          <w:color w:val="auto"/>
          <w:kern w:val="2"/>
          <w:sz w:val="21"/>
          <w:szCs w:val="21"/>
          <w:highlight w:val="none"/>
        </w:rPr>
        <w:t>（4）在2019年～2021年（近三年）平均营业收入：</w:t>
      </w:r>
      <w:r>
        <w:rPr>
          <w:rFonts w:hint="eastAsia" w:ascii="宋体" w:hAnsi="宋体"/>
          <w:color w:val="auto"/>
          <w:kern w:val="2"/>
          <w:sz w:val="21"/>
          <w:szCs w:val="21"/>
          <w:highlight w:val="none"/>
          <w:u w:val="single"/>
        </w:rPr>
        <w:t>一标段</w:t>
      </w:r>
      <w:r>
        <w:rPr>
          <w:rFonts w:hint="eastAsia" w:ascii="宋体" w:hAnsi="宋体"/>
          <w:color w:val="auto"/>
          <w:kern w:val="2"/>
          <w:sz w:val="21"/>
          <w:szCs w:val="21"/>
          <w:highlight w:val="none"/>
        </w:rPr>
        <w:t>不应小于20000万元；</w:t>
      </w:r>
      <w:r>
        <w:rPr>
          <w:rFonts w:hint="eastAsia" w:ascii="宋体" w:hAnsi="宋体"/>
          <w:color w:val="auto"/>
          <w:kern w:val="2"/>
          <w:sz w:val="21"/>
          <w:szCs w:val="21"/>
          <w:highlight w:val="none"/>
          <w:u w:val="single"/>
        </w:rPr>
        <w:t>二标段</w:t>
      </w:r>
      <w:r>
        <w:rPr>
          <w:rFonts w:hint="eastAsia" w:ascii="宋体" w:hAnsi="宋体"/>
          <w:color w:val="auto"/>
          <w:kern w:val="2"/>
          <w:sz w:val="21"/>
          <w:szCs w:val="21"/>
          <w:highlight w:val="none"/>
        </w:rPr>
        <w:t>不应小于12000万元；三</w:t>
      </w:r>
      <w:r>
        <w:rPr>
          <w:rFonts w:hint="eastAsia" w:ascii="宋体" w:hAnsi="宋体"/>
          <w:color w:val="auto"/>
          <w:kern w:val="2"/>
          <w:sz w:val="21"/>
          <w:szCs w:val="21"/>
          <w:highlight w:val="none"/>
          <w:u w:val="single"/>
        </w:rPr>
        <w:t>标段</w:t>
      </w:r>
      <w:r>
        <w:rPr>
          <w:rFonts w:hint="eastAsia" w:ascii="宋体" w:hAnsi="宋体"/>
          <w:color w:val="auto"/>
          <w:kern w:val="2"/>
          <w:sz w:val="21"/>
          <w:szCs w:val="21"/>
          <w:highlight w:val="none"/>
        </w:rPr>
        <w:t>不应小于8000万元；四</w:t>
      </w:r>
      <w:r>
        <w:rPr>
          <w:rFonts w:hint="eastAsia" w:ascii="宋体" w:hAnsi="宋体"/>
          <w:color w:val="auto"/>
          <w:kern w:val="2"/>
          <w:sz w:val="21"/>
          <w:szCs w:val="21"/>
          <w:highlight w:val="none"/>
          <w:u w:val="single"/>
        </w:rPr>
        <w:t>标段</w:t>
      </w:r>
      <w:r>
        <w:rPr>
          <w:rFonts w:hint="eastAsia" w:ascii="宋体" w:hAnsi="宋体"/>
          <w:color w:val="auto"/>
          <w:kern w:val="2"/>
          <w:sz w:val="21"/>
          <w:szCs w:val="21"/>
          <w:highlight w:val="none"/>
        </w:rPr>
        <w:t>不应小于15000万元。</w:t>
      </w:r>
    </w:p>
    <w:p>
      <w:pPr>
        <w:pStyle w:val="5"/>
        <w:pageBreakBefore w:val="0"/>
        <w:widowControl/>
        <w:kinsoku/>
        <w:wordWrap w:val="0"/>
        <w:overflowPunct/>
        <w:topLinePunct w:val="0"/>
        <w:bidi w:val="0"/>
        <w:adjustRightInd/>
        <w:spacing w:line="440" w:lineRule="exact"/>
        <w:ind w:left="0" w:firstLine="400" w:firstLineChars="200"/>
        <w:jc w:val="both"/>
        <w:rPr>
          <w:color w:val="auto"/>
          <w:sz w:val="21"/>
          <w:szCs w:val="21"/>
          <w:highlight w:val="none"/>
        </w:rPr>
      </w:pPr>
      <w:r>
        <w:rPr>
          <w:color w:val="auto"/>
          <w:szCs w:val="21"/>
          <w:highlight w:val="none"/>
        </w:rPr>
        <w:t>（</w:t>
      </w:r>
      <w:r>
        <w:rPr>
          <w:rFonts w:hint="eastAsia"/>
          <w:color w:val="auto"/>
          <w:szCs w:val="21"/>
          <w:highlight w:val="none"/>
        </w:rPr>
        <w:t>5</w:t>
      </w:r>
      <w:r>
        <w:rPr>
          <w:color w:val="auto"/>
          <w:szCs w:val="21"/>
          <w:highlight w:val="none"/>
        </w:rPr>
        <w:t>）本</w:t>
      </w:r>
      <w:r>
        <w:rPr>
          <w:rFonts w:hint="eastAsia"/>
          <w:color w:val="auto"/>
          <w:szCs w:val="21"/>
          <w:highlight w:val="none"/>
        </w:rPr>
        <w:t>次招</w:t>
      </w:r>
      <w:r>
        <w:rPr>
          <w:color w:val="auto"/>
          <w:szCs w:val="21"/>
          <w:highlight w:val="none"/>
        </w:rPr>
        <w:t>标不</w:t>
      </w:r>
      <w:r>
        <w:rPr>
          <w:rFonts w:hint="eastAsia"/>
          <w:color w:val="auto"/>
          <w:szCs w:val="21"/>
          <w:highlight w:val="none"/>
          <w:u w:val="single"/>
        </w:rPr>
        <w:t>接受</w:t>
      </w:r>
      <w:r>
        <w:rPr>
          <w:color w:val="auto"/>
          <w:szCs w:val="21"/>
          <w:highlight w:val="none"/>
        </w:rPr>
        <w:t>联合体投标申请</w:t>
      </w:r>
      <w:r>
        <w:rPr>
          <w:rFonts w:hint="eastAsia"/>
          <w:color w:val="auto"/>
          <w:szCs w:val="21"/>
          <w:highlight w:val="none"/>
        </w:rPr>
        <w:t>。</w:t>
      </w:r>
    </w:p>
    <w:p>
      <w:pPr>
        <w:pageBreakBefore w:val="0"/>
        <w:kinsoku/>
        <w:wordWrap w:val="0"/>
        <w:overflowPunct/>
        <w:topLinePunct w:val="0"/>
        <w:bidi w:val="0"/>
        <w:spacing w:line="440" w:lineRule="exact"/>
        <w:ind w:firstLine="420" w:firstLineChars="200"/>
        <w:rPr>
          <w:color w:val="auto"/>
          <w:szCs w:val="21"/>
          <w:highlight w:val="none"/>
        </w:rPr>
      </w:pPr>
      <w:r>
        <w:rPr>
          <w:color w:val="auto"/>
          <w:szCs w:val="21"/>
          <w:highlight w:val="none"/>
        </w:rPr>
        <w:t>3.2 各投标人可就上述标段进行投标。</w:t>
      </w:r>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color w:val="auto"/>
          <w:szCs w:val="21"/>
          <w:highlight w:val="none"/>
        </w:rPr>
        <w:t>3.3</w:t>
      </w:r>
      <w:r>
        <w:rPr>
          <w:rFonts w:hint="eastAsia"/>
          <w:color w:val="auto"/>
          <w:szCs w:val="21"/>
          <w:highlight w:val="none"/>
        </w:rPr>
        <w:t>投标人未在“信用中国”网站（www.creditchina.gov.cn）中被列入失信被执行人名单，投标人未在国家企业信用信息公示系统（www.gsxt.gov.cn）中被列入严重违法失信企业名单，投标人未被列入铁路工程建设失信行为“黑名单”，投标人及其法定代表人、拟委派的项目经理在近3年不曾有行贿犯罪记录；</w:t>
      </w:r>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color w:val="auto"/>
          <w:szCs w:val="21"/>
          <w:highlight w:val="none"/>
        </w:rPr>
        <w:t>其他信誉要求：未被取消或暂停投标资格</w:t>
      </w:r>
      <w:r>
        <w:rPr>
          <w:rFonts w:hint="eastAsia"/>
          <w:color w:val="auto"/>
          <w:szCs w:val="21"/>
          <w:highlight w:val="none"/>
        </w:rPr>
        <w:t>。</w:t>
      </w:r>
    </w:p>
    <w:p>
      <w:pPr>
        <w:pStyle w:val="9"/>
        <w:pageBreakBefore w:val="0"/>
        <w:kinsoku/>
        <w:wordWrap w:val="0"/>
        <w:overflowPunct/>
        <w:topLinePunct w:val="0"/>
        <w:bidi w:val="0"/>
        <w:adjustRightInd w:val="0"/>
        <w:snapToGrid w:val="0"/>
        <w:spacing w:line="440" w:lineRule="exact"/>
        <w:rPr>
          <w:rFonts w:cs="Times New Roman"/>
          <w:color w:val="auto"/>
          <w:highlight w:val="none"/>
        </w:rPr>
      </w:pPr>
      <w:bookmarkStart w:id="65" w:name="_Toc66441278"/>
      <w:bookmarkStart w:id="66" w:name="_Toc66269426"/>
      <w:bookmarkStart w:id="67" w:name="_Toc1089438409"/>
      <w:bookmarkStart w:id="68" w:name="_Toc1957177284"/>
      <w:bookmarkStart w:id="69" w:name="_Toc1730314659"/>
      <w:bookmarkStart w:id="70" w:name="_Toc66439739"/>
      <w:bookmarkStart w:id="71" w:name="_Toc580895992"/>
      <w:bookmarkStart w:id="72" w:name="_Toc1929654026"/>
      <w:bookmarkStart w:id="73" w:name="_Toc21352"/>
      <w:bookmarkStart w:id="74" w:name="_Toc1303510898"/>
      <w:bookmarkStart w:id="75" w:name="_Toc1473978681"/>
      <w:bookmarkStart w:id="76" w:name="_Toc6841"/>
      <w:bookmarkStart w:id="77" w:name="_Toc66438794"/>
      <w:bookmarkStart w:id="78" w:name="_Toc1486089267"/>
      <w:bookmarkStart w:id="79" w:name="_Toc16732"/>
      <w:bookmarkStart w:id="80" w:name="_Toc162239679"/>
      <w:r>
        <w:rPr>
          <w:rFonts w:cs="Times New Roman"/>
          <w:color w:val="auto"/>
          <w:highlight w:val="none"/>
        </w:rPr>
        <w:t>4. 招标文件的获取</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ageBreakBefore w:val="0"/>
        <w:kinsoku/>
        <w:overflowPunct/>
        <w:topLinePunct w:val="0"/>
        <w:bidi w:val="0"/>
        <w:spacing w:line="440" w:lineRule="exact"/>
        <w:ind w:firstLine="420" w:firstLineChars="200"/>
        <w:rPr>
          <w:color w:val="auto"/>
          <w:szCs w:val="21"/>
          <w:highlight w:val="none"/>
        </w:rPr>
      </w:pPr>
      <w:r>
        <w:rPr>
          <w:rFonts w:hint="eastAsia"/>
          <w:color w:val="auto"/>
          <w:szCs w:val="21"/>
          <w:highlight w:val="none"/>
        </w:rPr>
        <w:t>4.1凡有意参加投标者，请于</w:t>
      </w:r>
      <w:r>
        <w:rPr>
          <w:rFonts w:hint="eastAsia"/>
          <w:color w:val="auto"/>
          <w:szCs w:val="21"/>
          <w:highlight w:val="none"/>
        </w:rPr>
        <w:t>2022年</w:t>
      </w:r>
      <w:r>
        <w:rPr>
          <w:rFonts w:hint="eastAsia"/>
          <w:color w:val="auto"/>
          <w:szCs w:val="21"/>
          <w:highlight w:val="none"/>
          <w:lang w:val="en-US" w:eastAsia="zh-CN"/>
        </w:rPr>
        <w:t>9</w:t>
      </w:r>
      <w:r>
        <w:rPr>
          <w:rFonts w:hint="eastAsia"/>
          <w:color w:val="auto"/>
          <w:szCs w:val="21"/>
          <w:highlight w:val="none"/>
        </w:rPr>
        <w:t>月1</w:t>
      </w:r>
      <w:r>
        <w:rPr>
          <w:rFonts w:hint="eastAsia"/>
          <w:color w:val="auto"/>
          <w:szCs w:val="21"/>
          <w:highlight w:val="none"/>
          <w:lang w:val="en-US" w:eastAsia="zh-CN"/>
        </w:rPr>
        <w:t>9</w:t>
      </w:r>
      <w:r>
        <w:rPr>
          <w:rFonts w:hint="eastAsia"/>
          <w:color w:val="auto"/>
          <w:szCs w:val="21"/>
          <w:highlight w:val="none"/>
        </w:rPr>
        <w:t>日9:00时至2022年</w:t>
      </w:r>
      <w:r>
        <w:rPr>
          <w:rFonts w:hint="eastAsia"/>
          <w:color w:val="auto"/>
          <w:szCs w:val="21"/>
          <w:highlight w:val="none"/>
          <w:lang w:val="en-US" w:eastAsia="zh-CN"/>
        </w:rPr>
        <w:t>9</w:t>
      </w:r>
      <w:r>
        <w:rPr>
          <w:rFonts w:hint="eastAsia"/>
          <w:color w:val="auto"/>
          <w:szCs w:val="21"/>
          <w:highlight w:val="none"/>
        </w:rPr>
        <w:t>月23日 17:00时</w:t>
      </w:r>
      <w:r>
        <w:rPr>
          <w:rFonts w:hint="eastAsia"/>
          <w:color w:val="auto"/>
          <w:szCs w:val="21"/>
          <w:highlight w:val="none"/>
        </w:rPr>
        <w:t>(北京时间，下同)，进入云南省公共资源交易中心（网址：https://ggzy.yn.gov.cn/#/homePage），凭企业数字证书（CA）在网上获取招标文件及其它招标资料（电子招标文件，格式为*.BZBJ），未办理企业数字证书（CA）的企业请在文件获取截止时间前现场登录云南省公共资源交易中心（网址：https://ggzy.yn.gov.cn/#/homePage）进行注册并在网上申请办理证书，以便获取招标文件。（CA数字证书办理流程详见云南省公共资源交易中心网站通知，技术操作咨询：北京筑龙信息技术有限责任公司，服务热线：010-86483801）。</w:t>
      </w:r>
    </w:p>
    <w:p>
      <w:pPr>
        <w:pStyle w:val="4"/>
        <w:pageBreakBefore w:val="0"/>
        <w:kinsoku/>
        <w:overflowPunct/>
        <w:topLinePunct w:val="0"/>
        <w:bidi w:val="0"/>
        <w:spacing w:line="440" w:lineRule="exact"/>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4.2本次招标不出售纸质招标文件，投标人请登录云南省公共资源交易中心（网址：https://ggzy.yn.gov.cn/#/homePage）自行下载招标文件。</w:t>
      </w:r>
    </w:p>
    <w:p>
      <w:pPr>
        <w:pStyle w:val="9"/>
        <w:pageBreakBefore w:val="0"/>
        <w:kinsoku/>
        <w:wordWrap w:val="0"/>
        <w:overflowPunct/>
        <w:topLinePunct w:val="0"/>
        <w:bidi w:val="0"/>
        <w:adjustRightInd w:val="0"/>
        <w:snapToGrid w:val="0"/>
        <w:spacing w:line="440" w:lineRule="exact"/>
        <w:rPr>
          <w:rFonts w:cs="Times New Roman"/>
          <w:color w:val="auto"/>
          <w:highlight w:val="none"/>
        </w:rPr>
      </w:pPr>
      <w:bookmarkStart w:id="81" w:name="_Toc66438795"/>
      <w:bookmarkStart w:id="82" w:name="_Toc9077"/>
      <w:bookmarkStart w:id="83" w:name="_Toc1294429020"/>
      <w:bookmarkStart w:id="84" w:name="_Toc1774787865"/>
      <w:bookmarkStart w:id="85" w:name="_Toc555279108"/>
      <w:bookmarkStart w:id="86" w:name="_Toc672965703"/>
      <w:bookmarkStart w:id="87" w:name="_Toc152042292"/>
      <w:bookmarkStart w:id="88" w:name="_Toc66439740"/>
      <w:bookmarkStart w:id="89" w:name="_Toc66269427"/>
      <w:bookmarkStart w:id="90" w:name="_Toc1865951158"/>
      <w:bookmarkStart w:id="91" w:name="_Toc152045516"/>
      <w:bookmarkStart w:id="92" w:name="_Toc681797235"/>
      <w:bookmarkStart w:id="93" w:name="_Toc144974484"/>
      <w:bookmarkStart w:id="94" w:name="_Toc179632532"/>
      <w:bookmarkStart w:id="95" w:name="_Toc2076329608"/>
      <w:bookmarkStart w:id="96" w:name="_Toc66441279"/>
      <w:bookmarkStart w:id="97" w:name="_Toc1872246134"/>
      <w:bookmarkStart w:id="98" w:name="_Toc12927"/>
      <w:bookmarkStart w:id="99" w:name="_Toc29039"/>
      <w:bookmarkStart w:id="100" w:name="_Toc690665922"/>
      <w:r>
        <w:rPr>
          <w:rFonts w:cs="Times New Roman"/>
          <w:color w:val="auto"/>
          <w:highlight w:val="none"/>
        </w:rPr>
        <w:t>5. 投标文件的递交</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ageBreakBefore w:val="0"/>
        <w:kinsoku/>
        <w:wordWrap w:val="0"/>
        <w:overflowPunct/>
        <w:topLinePunct w:val="0"/>
        <w:bidi w:val="0"/>
        <w:adjustRightInd w:val="0"/>
        <w:snapToGrid w:val="0"/>
        <w:spacing w:line="440" w:lineRule="exact"/>
        <w:ind w:firstLine="420" w:firstLineChars="200"/>
        <w:jc w:val="left"/>
        <w:rPr>
          <w:color w:val="auto"/>
          <w:szCs w:val="21"/>
          <w:highlight w:val="none"/>
        </w:rPr>
      </w:pPr>
      <w:r>
        <w:rPr>
          <w:color w:val="auto"/>
          <w:szCs w:val="21"/>
          <w:highlight w:val="none"/>
        </w:rPr>
        <w:t>5.1（A）投标文件递交的时间为</w:t>
      </w:r>
      <w:r>
        <w:rPr>
          <w:rFonts w:hint="eastAsia"/>
          <w:color w:val="auto"/>
          <w:highlight w:val="none"/>
          <w:u w:val="single"/>
        </w:rPr>
        <w:t>2022</w:t>
      </w:r>
      <w:r>
        <w:rPr>
          <w:color w:val="auto"/>
          <w:highlight w:val="none"/>
        </w:rPr>
        <w:t>年</w:t>
      </w:r>
      <w:r>
        <w:rPr>
          <w:rFonts w:hint="eastAsia"/>
          <w:color w:val="auto"/>
          <w:highlight w:val="none"/>
          <w:u w:val="single"/>
          <w:lang w:val="en-US" w:eastAsia="zh-CN"/>
        </w:rPr>
        <w:t>10</w:t>
      </w:r>
      <w:r>
        <w:rPr>
          <w:color w:val="auto"/>
          <w:highlight w:val="none"/>
        </w:rPr>
        <w:t>月</w:t>
      </w:r>
      <w:r>
        <w:rPr>
          <w:rFonts w:hint="eastAsia"/>
          <w:color w:val="auto"/>
          <w:highlight w:val="none"/>
          <w:u w:val="single"/>
        </w:rPr>
        <w:t>1</w:t>
      </w:r>
      <w:r>
        <w:rPr>
          <w:rFonts w:hint="eastAsia"/>
          <w:color w:val="auto"/>
          <w:highlight w:val="none"/>
          <w:u w:val="single"/>
          <w:lang w:val="en-US" w:eastAsia="zh-CN"/>
        </w:rPr>
        <w:t>3</w:t>
      </w:r>
      <w:r>
        <w:rPr>
          <w:color w:val="auto"/>
          <w:highlight w:val="none"/>
        </w:rPr>
        <w:t>日</w:t>
      </w:r>
      <w:r>
        <w:rPr>
          <w:rFonts w:hint="eastAsia"/>
          <w:color w:val="auto"/>
          <w:highlight w:val="none"/>
          <w:u w:val="single"/>
        </w:rPr>
        <w:t>8:30</w:t>
      </w:r>
      <w:r>
        <w:rPr>
          <w:color w:val="auto"/>
          <w:highlight w:val="none"/>
        </w:rPr>
        <w:t>时至</w:t>
      </w:r>
      <w:r>
        <w:rPr>
          <w:rFonts w:hint="eastAsia"/>
          <w:color w:val="auto"/>
          <w:highlight w:val="none"/>
        </w:rPr>
        <w:t>2022</w:t>
      </w:r>
      <w:r>
        <w:rPr>
          <w:color w:val="auto"/>
          <w:highlight w:val="none"/>
        </w:rPr>
        <w:t>年</w:t>
      </w:r>
      <w:r>
        <w:rPr>
          <w:rFonts w:hint="eastAsia"/>
          <w:color w:val="auto"/>
          <w:highlight w:val="none"/>
          <w:u w:val="single"/>
          <w:lang w:val="en-US" w:eastAsia="zh-CN"/>
        </w:rPr>
        <w:t>10</w:t>
      </w:r>
      <w:r>
        <w:rPr>
          <w:color w:val="auto"/>
          <w:highlight w:val="none"/>
        </w:rPr>
        <w:t>月</w:t>
      </w:r>
      <w:r>
        <w:rPr>
          <w:rFonts w:hint="eastAsia"/>
          <w:color w:val="auto"/>
          <w:highlight w:val="none"/>
          <w:u w:val="single"/>
        </w:rPr>
        <w:t>1</w:t>
      </w:r>
      <w:r>
        <w:rPr>
          <w:rFonts w:hint="eastAsia"/>
          <w:color w:val="auto"/>
          <w:highlight w:val="none"/>
          <w:u w:val="single"/>
          <w:lang w:val="en-US" w:eastAsia="zh-CN"/>
        </w:rPr>
        <w:t>3</w:t>
      </w:r>
      <w:r>
        <w:rPr>
          <w:color w:val="auto"/>
          <w:highlight w:val="none"/>
        </w:rPr>
        <w:t>日</w:t>
      </w:r>
      <w:r>
        <w:rPr>
          <w:rFonts w:hint="eastAsia"/>
          <w:color w:val="auto"/>
          <w:highlight w:val="none"/>
          <w:u w:val="single"/>
        </w:rPr>
        <w:t>9</w:t>
      </w:r>
      <w:r>
        <w:rPr>
          <w:color w:val="auto"/>
          <w:highlight w:val="none"/>
        </w:rPr>
        <w:t>时</w:t>
      </w:r>
      <w:r>
        <w:rPr>
          <w:color w:val="auto"/>
          <w:highlight w:val="none"/>
        </w:rPr>
        <w:t>，</w:t>
      </w:r>
      <w:r>
        <w:rPr>
          <w:color w:val="auto"/>
          <w:szCs w:val="21"/>
          <w:highlight w:val="none"/>
        </w:rPr>
        <w:t>递交的截止时间</w:t>
      </w:r>
      <w:r>
        <w:rPr>
          <w:color w:val="auto"/>
          <w:highlight w:val="none"/>
        </w:rPr>
        <w:t>为</w:t>
      </w:r>
      <w:r>
        <w:rPr>
          <w:rFonts w:hint="eastAsia"/>
          <w:color w:val="auto"/>
          <w:highlight w:val="none"/>
          <w:u w:val="single"/>
        </w:rPr>
        <w:t>2022</w:t>
      </w:r>
      <w:r>
        <w:rPr>
          <w:color w:val="auto"/>
          <w:highlight w:val="none"/>
        </w:rPr>
        <w:t>年</w:t>
      </w:r>
      <w:r>
        <w:rPr>
          <w:rFonts w:hint="eastAsia"/>
          <w:color w:val="auto"/>
          <w:highlight w:val="none"/>
          <w:u w:val="single"/>
          <w:lang w:val="en-US" w:eastAsia="zh-CN"/>
        </w:rPr>
        <w:t>10</w:t>
      </w:r>
      <w:r>
        <w:rPr>
          <w:color w:val="auto"/>
          <w:highlight w:val="none"/>
        </w:rPr>
        <w:t>月</w:t>
      </w:r>
      <w:r>
        <w:rPr>
          <w:rFonts w:hint="eastAsia"/>
          <w:color w:val="auto"/>
          <w:highlight w:val="none"/>
          <w:u w:val="single"/>
        </w:rPr>
        <w:t>1</w:t>
      </w:r>
      <w:r>
        <w:rPr>
          <w:rFonts w:hint="eastAsia"/>
          <w:color w:val="auto"/>
          <w:highlight w:val="none"/>
          <w:u w:val="single"/>
          <w:lang w:val="en-US" w:eastAsia="zh-CN"/>
        </w:rPr>
        <w:t>3</w:t>
      </w:r>
      <w:r>
        <w:rPr>
          <w:color w:val="auto"/>
          <w:highlight w:val="none"/>
        </w:rPr>
        <w:t>日</w:t>
      </w:r>
      <w:r>
        <w:rPr>
          <w:rFonts w:hint="eastAsia"/>
          <w:color w:val="auto"/>
          <w:highlight w:val="none"/>
          <w:u w:val="single"/>
        </w:rPr>
        <w:t>9</w:t>
      </w:r>
      <w:r>
        <w:rPr>
          <w:color w:val="auto"/>
          <w:highlight w:val="none"/>
        </w:rPr>
        <w:t>时</w:t>
      </w:r>
      <w:r>
        <w:rPr>
          <w:rFonts w:hint="eastAsia"/>
          <w:color w:val="auto"/>
          <w:highlight w:val="none"/>
        </w:rPr>
        <w:t>00</w:t>
      </w:r>
      <w:r>
        <w:rPr>
          <w:color w:val="auto"/>
          <w:highlight w:val="none"/>
        </w:rPr>
        <w:t>分，地点为</w:t>
      </w:r>
      <w:r>
        <w:rPr>
          <w:rFonts w:hint="eastAsia"/>
          <w:color w:val="auto"/>
          <w:highlight w:val="none"/>
          <w:u w:val="single"/>
        </w:rPr>
        <w:t>云南省公共资源交易中心二楼</w:t>
      </w:r>
      <w:r>
        <w:rPr>
          <w:rFonts w:hint="eastAsia"/>
          <w:color w:val="auto"/>
          <w:highlight w:val="none"/>
          <w:u w:val="single"/>
          <w:lang w:eastAsia="zh-CN"/>
        </w:rPr>
        <w:t>4号开标厅</w:t>
      </w:r>
      <w:r>
        <w:rPr>
          <w:rFonts w:hint="eastAsia"/>
          <w:color w:val="auto"/>
          <w:highlight w:val="none"/>
          <w:u w:val="single"/>
        </w:rPr>
        <w:t>（昆明市高新区科发路269号，黄土坡小屯汽车城对面）</w:t>
      </w:r>
      <w:r>
        <w:rPr>
          <w:color w:val="auto"/>
          <w:szCs w:val="21"/>
          <w:highlight w:val="none"/>
        </w:rPr>
        <w:t>。</w:t>
      </w:r>
    </w:p>
    <w:p>
      <w:pPr>
        <w:pageBreakBefore w:val="0"/>
        <w:kinsoku/>
        <w:wordWrap w:val="0"/>
        <w:overflowPunct/>
        <w:topLinePunct w:val="0"/>
        <w:bidi w:val="0"/>
        <w:adjustRightInd w:val="0"/>
        <w:snapToGrid w:val="0"/>
        <w:spacing w:line="440" w:lineRule="exact"/>
        <w:ind w:firstLine="420" w:firstLineChars="200"/>
        <w:rPr>
          <w:color w:val="auto"/>
          <w:highlight w:val="none"/>
        </w:rPr>
      </w:pPr>
      <w:r>
        <w:rPr>
          <w:color w:val="auto"/>
          <w:szCs w:val="21"/>
          <w:highlight w:val="none"/>
        </w:rPr>
        <w:t>5.1（B）</w:t>
      </w:r>
      <w:r>
        <w:rPr>
          <w:rFonts w:hint="eastAsia"/>
          <w:color w:val="auto"/>
          <w:highlight w:val="none"/>
        </w:rPr>
        <w:t>投标</w:t>
      </w:r>
      <w:r>
        <w:rPr>
          <w:color w:val="auto"/>
          <w:highlight w:val="none"/>
        </w:rPr>
        <w:t>文件提交的</w:t>
      </w:r>
      <w:r>
        <w:rPr>
          <w:rFonts w:hint="eastAsia"/>
          <w:color w:val="auto"/>
          <w:highlight w:val="none"/>
        </w:rPr>
        <w:t>截止</w:t>
      </w:r>
      <w:r>
        <w:rPr>
          <w:color w:val="auto"/>
          <w:highlight w:val="none"/>
        </w:rPr>
        <w:t>时间为</w:t>
      </w:r>
      <w:r>
        <w:rPr>
          <w:rFonts w:hint="eastAsia"/>
          <w:color w:val="auto"/>
          <w:highlight w:val="none"/>
        </w:rPr>
        <w:t>:</w:t>
      </w:r>
      <w:r>
        <w:rPr>
          <w:color w:val="auto"/>
          <w:highlight w:val="none"/>
          <w:u w:val="single"/>
        </w:rPr>
        <w:t xml:space="preserve"> 2022 </w:t>
      </w:r>
      <w:r>
        <w:rPr>
          <w:color w:val="auto"/>
          <w:highlight w:val="none"/>
        </w:rPr>
        <w:t>年</w:t>
      </w:r>
      <w:r>
        <w:rPr>
          <w:rFonts w:hint="eastAsia"/>
          <w:color w:val="auto"/>
          <w:highlight w:val="none"/>
          <w:u w:val="single"/>
        </w:rPr>
        <w:t xml:space="preserve"> </w:t>
      </w:r>
      <w:r>
        <w:rPr>
          <w:rFonts w:hint="eastAsia"/>
          <w:color w:val="auto"/>
          <w:highlight w:val="none"/>
          <w:u w:val="single"/>
          <w:lang w:val="en-US" w:eastAsia="zh-CN"/>
        </w:rPr>
        <w:t>10</w:t>
      </w:r>
      <w:r>
        <w:rPr>
          <w:color w:val="auto"/>
          <w:highlight w:val="none"/>
        </w:rPr>
        <w:t>月</w:t>
      </w:r>
      <w:r>
        <w:rPr>
          <w:rFonts w:hint="eastAsia"/>
          <w:color w:val="auto"/>
          <w:highlight w:val="none"/>
          <w:u w:val="single"/>
        </w:rPr>
        <w:t xml:space="preserve"> 1</w:t>
      </w:r>
      <w:r>
        <w:rPr>
          <w:rFonts w:hint="eastAsia"/>
          <w:color w:val="auto"/>
          <w:highlight w:val="none"/>
          <w:u w:val="single"/>
          <w:lang w:val="en-US" w:eastAsia="zh-CN"/>
        </w:rPr>
        <w:t>3</w:t>
      </w:r>
      <w:r>
        <w:rPr>
          <w:color w:val="auto"/>
          <w:highlight w:val="none"/>
        </w:rPr>
        <w:t>日</w:t>
      </w:r>
      <w:r>
        <w:rPr>
          <w:rFonts w:hint="eastAsia"/>
          <w:color w:val="auto"/>
          <w:highlight w:val="none"/>
          <w:u w:val="single"/>
        </w:rPr>
        <w:t xml:space="preserve"> </w:t>
      </w:r>
      <w:r>
        <w:rPr>
          <w:color w:val="auto"/>
          <w:highlight w:val="none"/>
          <w:u w:val="single"/>
        </w:rPr>
        <w:t xml:space="preserve">9 </w:t>
      </w:r>
      <w:r>
        <w:rPr>
          <w:color w:val="auto"/>
          <w:highlight w:val="none"/>
        </w:rPr>
        <w:t>时</w:t>
      </w:r>
      <w:r>
        <w:rPr>
          <w:rFonts w:hint="eastAsia"/>
          <w:color w:val="auto"/>
          <w:highlight w:val="none"/>
          <w:u w:val="single"/>
        </w:rPr>
        <w:t xml:space="preserve"> </w:t>
      </w:r>
      <w:r>
        <w:rPr>
          <w:color w:val="auto"/>
          <w:highlight w:val="none"/>
          <w:u w:val="single"/>
        </w:rPr>
        <w:t xml:space="preserve">00 </w:t>
      </w:r>
      <w:r>
        <w:rPr>
          <w:color w:val="auto"/>
          <w:highlight w:val="none"/>
        </w:rPr>
        <w:t>分</w:t>
      </w:r>
      <w:r>
        <w:rPr>
          <w:rFonts w:hint="eastAsia"/>
          <w:color w:val="auto"/>
          <w:highlight w:val="none"/>
        </w:rPr>
        <w:t>。网上递交需登录云南省公共资源交易中心（网址：https://ggzy.yn.gov.cn/#/homePage），投标人须在投标文件递交截止时间前完成所有电子投标文件的上传，网上确认电子签名，并打印“上传投标文件回执”，投标文件递交截止时间前未完成投标文件传输的，视为撤回投标文件。</w:t>
      </w:r>
    </w:p>
    <w:p>
      <w:pPr>
        <w:pageBreakBefore w:val="0"/>
        <w:kinsoku/>
        <w:wordWrap w:val="0"/>
        <w:overflowPunct/>
        <w:topLinePunct w:val="0"/>
        <w:bidi w:val="0"/>
        <w:adjustRightInd w:val="0"/>
        <w:snapToGrid w:val="0"/>
        <w:spacing w:line="440" w:lineRule="exact"/>
        <w:ind w:firstLine="422" w:firstLineChars="200"/>
        <w:rPr>
          <w:color w:val="auto"/>
          <w:highlight w:val="none"/>
        </w:rPr>
      </w:pPr>
      <w:r>
        <w:rPr>
          <w:rFonts w:hint="eastAsia"/>
          <w:b/>
          <w:bCs/>
          <w:color w:val="auto"/>
          <w:szCs w:val="21"/>
          <w:highlight w:val="none"/>
        </w:rPr>
        <w:t>网上递交投标文件后，还须将投标文件电子版分别存储在U盘和光盘内，U盘和光盘分别单独密封后与纸质投标文件一起递交。</w:t>
      </w:r>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color w:val="auto"/>
          <w:szCs w:val="21"/>
          <w:highlight w:val="none"/>
        </w:rPr>
        <w:t>5.2（A）逾期送达的、未送达指定地点的或者不按照招标文件要求密封的投标文件，招标人将予以拒收。</w:t>
      </w:r>
    </w:p>
    <w:p>
      <w:pPr>
        <w:pageBreakBefore w:val="0"/>
        <w:tabs>
          <w:tab w:val="left" w:pos="360"/>
        </w:tabs>
        <w:kinsoku/>
        <w:wordWrap w:val="0"/>
        <w:overflowPunct/>
        <w:topLinePunct w:val="0"/>
        <w:bidi w:val="0"/>
        <w:adjustRightInd w:val="0"/>
        <w:snapToGrid w:val="0"/>
        <w:spacing w:line="440" w:lineRule="exact"/>
        <w:ind w:firstLine="420" w:firstLineChars="200"/>
        <w:rPr>
          <w:color w:val="auto"/>
          <w:highlight w:val="none"/>
        </w:rPr>
      </w:pPr>
      <w:r>
        <w:rPr>
          <w:color w:val="auto"/>
          <w:szCs w:val="21"/>
          <w:highlight w:val="none"/>
        </w:rPr>
        <w:t>5.2（B）逾期提交的或未按照招标文件要求加密的电子投标文件，招标人（电子招标投标交易平台）将予以拒收。</w:t>
      </w:r>
      <w:r>
        <w:rPr>
          <w:rFonts w:hint="eastAsia"/>
          <w:color w:val="auto"/>
          <w:szCs w:val="21"/>
          <w:highlight w:val="none"/>
        </w:rPr>
        <w:t xml:space="preserve">   </w:t>
      </w:r>
    </w:p>
    <w:p>
      <w:pPr>
        <w:pageBreakBefore w:val="0"/>
        <w:kinsoku/>
        <w:overflowPunct/>
        <w:topLinePunct w:val="0"/>
        <w:bidi w:val="0"/>
        <w:spacing w:line="440" w:lineRule="exact"/>
        <w:rPr>
          <w:color w:val="auto"/>
          <w:highlight w:val="none"/>
        </w:rPr>
      </w:pPr>
      <w:bookmarkStart w:id="101" w:name="_Toc16014018"/>
      <w:bookmarkStart w:id="102" w:name="_Toc567027036"/>
      <w:bookmarkStart w:id="103" w:name="_Toc2113171051"/>
      <w:bookmarkStart w:id="104" w:name="_Toc626803975"/>
      <w:bookmarkStart w:id="105" w:name="_Toc451531518"/>
      <w:bookmarkStart w:id="106" w:name="_Toc66441280"/>
      <w:bookmarkStart w:id="107" w:name="_Toc14819"/>
      <w:bookmarkStart w:id="108" w:name="_Toc26686"/>
      <w:bookmarkStart w:id="109" w:name="_Toc1344960447"/>
      <w:bookmarkStart w:id="110" w:name="_Toc157499355"/>
      <w:bookmarkStart w:id="111" w:name="_Toc66439741"/>
      <w:bookmarkStart w:id="112" w:name="_Toc66269428"/>
      <w:bookmarkStart w:id="113" w:name="_Toc1995357144"/>
      <w:bookmarkStart w:id="114" w:name="_Toc1239968030"/>
      <w:bookmarkStart w:id="115" w:name="_Toc66438796"/>
      <w:bookmarkStart w:id="116" w:name="_Toc11458476"/>
      <w:bookmarkStart w:id="117" w:name="_Toc4925"/>
      <w:bookmarkStart w:id="118" w:name="_Toc179632533"/>
      <w:r>
        <w:rPr>
          <w:rFonts w:hint="eastAsia"/>
          <w:color w:val="auto"/>
          <w:highlight w:val="none"/>
        </w:rPr>
        <w:t>　　以上(A)、</w:t>
      </w:r>
      <w:r>
        <w:rPr>
          <w:color w:val="auto"/>
          <w:szCs w:val="21"/>
          <w:highlight w:val="none"/>
        </w:rPr>
        <w:t>（B）</w:t>
      </w:r>
      <w:r>
        <w:rPr>
          <w:rFonts w:hint="eastAsia"/>
          <w:color w:val="auto"/>
          <w:szCs w:val="21"/>
          <w:highlight w:val="none"/>
        </w:rPr>
        <w:t>须同时满足。</w:t>
      </w:r>
    </w:p>
    <w:p>
      <w:pPr>
        <w:pStyle w:val="9"/>
        <w:pageBreakBefore w:val="0"/>
        <w:kinsoku/>
        <w:wordWrap w:val="0"/>
        <w:overflowPunct/>
        <w:topLinePunct w:val="0"/>
        <w:bidi w:val="0"/>
        <w:adjustRightInd w:val="0"/>
        <w:snapToGrid w:val="0"/>
        <w:spacing w:line="440" w:lineRule="exact"/>
        <w:rPr>
          <w:rFonts w:cs="Times New Roman"/>
          <w:color w:val="auto"/>
          <w:highlight w:val="none"/>
        </w:rPr>
      </w:pPr>
      <w:r>
        <w:rPr>
          <w:rFonts w:cs="Times New Roman"/>
          <w:color w:val="auto"/>
          <w:highlight w:val="none"/>
        </w:rPr>
        <w:t>6. 发布公告的媒介</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ageBreakBefore w:val="0"/>
        <w:kinsoku/>
        <w:wordWrap w:val="0"/>
        <w:overflowPunct/>
        <w:topLinePunct w:val="0"/>
        <w:bidi w:val="0"/>
        <w:adjustRightInd w:val="0"/>
        <w:snapToGrid w:val="0"/>
        <w:spacing w:line="440" w:lineRule="exact"/>
        <w:ind w:firstLine="420" w:firstLineChars="200"/>
        <w:rPr>
          <w:color w:val="auto"/>
          <w:szCs w:val="21"/>
          <w:highlight w:val="none"/>
        </w:rPr>
      </w:pPr>
      <w:r>
        <w:rPr>
          <w:color w:val="auto"/>
          <w:highlight w:val="none"/>
        </w:rPr>
        <w:t>本次招标公告在</w:t>
      </w:r>
      <w:r>
        <w:rPr>
          <w:rFonts w:hint="eastAsia" w:ascii="宋体" w:hAnsi="宋体"/>
          <w:color w:val="auto"/>
          <w:szCs w:val="21"/>
          <w:highlight w:val="none"/>
          <w:u w:val="single"/>
        </w:rPr>
        <w:t>云南省公共资源交易中心网</w:t>
      </w:r>
      <w:r>
        <w:rPr>
          <w:color w:val="auto"/>
          <w:highlight w:val="none"/>
        </w:rPr>
        <w:t>上发布。</w:t>
      </w:r>
    </w:p>
    <w:p>
      <w:pPr>
        <w:pStyle w:val="9"/>
        <w:pageBreakBefore w:val="0"/>
        <w:kinsoku/>
        <w:wordWrap w:val="0"/>
        <w:overflowPunct/>
        <w:topLinePunct w:val="0"/>
        <w:bidi w:val="0"/>
        <w:adjustRightInd w:val="0"/>
        <w:snapToGrid w:val="0"/>
        <w:spacing w:line="440" w:lineRule="exact"/>
        <w:rPr>
          <w:rFonts w:cs="Times New Roman"/>
          <w:color w:val="auto"/>
          <w:highlight w:val="none"/>
        </w:rPr>
      </w:pPr>
      <w:bookmarkStart w:id="119" w:name="_Toc1757486165"/>
      <w:bookmarkStart w:id="120" w:name="_Toc66438797"/>
      <w:bookmarkStart w:id="121" w:name="_Toc144974485"/>
      <w:bookmarkStart w:id="122" w:name="_Toc1025287148"/>
      <w:bookmarkStart w:id="123" w:name="_Toc1720106537"/>
      <w:bookmarkStart w:id="124" w:name="_Toc307725014"/>
      <w:bookmarkStart w:id="125" w:name="_Toc25922"/>
      <w:bookmarkStart w:id="126" w:name="_Toc491668154"/>
      <w:bookmarkStart w:id="127" w:name="_Toc13287"/>
      <w:bookmarkStart w:id="128" w:name="_Toc179632534"/>
      <w:bookmarkStart w:id="129" w:name="_Toc152045517"/>
      <w:bookmarkStart w:id="130" w:name="_Toc152042293"/>
      <w:bookmarkStart w:id="131" w:name="_Toc12231"/>
      <w:bookmarkStart w:id="132" w:name="_Toc66439742"/>
      <w:bookmarkStart w:id="133" w:name="_Toc23691524"/>
      <w:bookmarkStart w:id="134" w:name="_Toc199097565"/>
      <w:bookmarkStart w:id="135" w:name="_Toc66269429"/>
      <w:bookmarkStart w:id="136" w:name="_Toc395484269"/>
      <w:bookmarkStart w:id="137" w:name="_Toc892776856"/>
      <w:bookmarkStart w:id="138" w:name="_Toc66441281"/>
      <w:r>
        <w:rPr>
          <w:rFonts w:cs="Times New Roman"/>
          <w:color w:val="auto"/>
          <w:highlight w:val="none"/>
        </w:rPr>
        <w:t>7. 联系方式</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Style w:val="7"/>
        <w:tblW w:w="61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招标人：</w:t>
            </w:r>
            <w:r>
              <w:rPr>
                <w:rFonts w:hint="eastAsia" w:ascii="宋体" w:hAnsi="宋体" w:cs="宋体"/>
                <w:color w:val="auto"/>
                <w:szCs w:val="21"/>
                <w:highlight w:val="none"/>
                <w:u w:val="single"/>
              </w:rPr>
              <w:t>云南铁路工程项目管理有限责任公司</w:t>
            </w:r>
            <w:r>
              <w:rPr>
                <w:rFonts w:hint="eastAsia" w:ascii="宋体" w:hAnsi="宋体" w:cs="宋体"/>
                <w:color w:val="auto"/>
                <w:szCs w:val="21"/>
                <w:highlight w:val="none"/>
              </w:rPr>
              <w:t>（盖单位公章）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kern w:val="0"/>
                <w:szCs w:val="21"/>
                <w:highlight w:val="none"/>
                <w:u w:val="single"/>
              </w:rPr>
              <w:t>云南省昆明市官渡区南站新村42栋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trPr>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邮编：</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u w:val="single"/>
              </w:rPr>
              <w:t>650000</w:t>
            </w:r>
            <w:r>
              <w:rPr>
                <w:rFonts w:hint="eastAsia" w:ascii="宋体" w:hAnsi="宋体" w:cs="宋体"/>
                <w:color w:val="auto"/>
                <w:szCs w:val="21"/>
                <w:highlight w:val="none"/>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侯明坤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李家发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0871-6</w:t>
            </w:r>
            <w:r>
              <w:rPr>
                <w:rFonts w:hint="eastAsia" w:ascii="宋体" w:hAnsi="宋体" w:cs="宋体"/>
                <w:color w:val="auto"/>
                <w:szCs w:val="21"/>
                <w:highlight w:val="none"/>
                <w:u w:val="single"/>
                <w:lang w:val="en-US" w:eastAsia="zh-CN"/>
              </w:rPr>
              <w:t>4882621</w:t>
            </w:r>
            <w:r>
              <w:rPr>
                <w:rFonts w:hint="eastAsia" w:ascii="宋体" w:hAnsi="宋体" w:cs="宋体"/>
                <w:color w:val="auto"/>
                <w:szCs w:val="21"/>
                <w:highlight w:val="none"/>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u w:val="singl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电子邮箱：</w:t>
            </w:r>
            <w:r>
              <w:rPr>
                <w:rFonts w:hint="eastAsia" w:ascii="宋体" w:hAnsi="宋体" w:cs="宋体"/>
                <w:color w:val="auto"/>
                <w:szCs w:val="21"/>
                <w:highlight w:val="none"/>
                <w:u w:val="single"/>
              </w:rPr>
              <w:t xml:space="preserve">sckfbztb@163.com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网址： </w:t>
            </w:r>
            <w:r>
              <w:rPr>
                <w:rFonts w:hint="eastAsia" w:ascii="宋体" w:hAnsi="宋体" w:cs="宋体"/>
                <w:color w:val="auto"/>
                <w:szCs w:val="21"/>
                <w:highlight w:val="none"/>
                <w:u w:val="single"/>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kern w:val="0"/>
                <w:szCs w:val="21"/>
                <w:highlight w:val="none"/>
                <w:u w:val="single"/>
              </w:rPr>
              <w:t>中国建设银行昆明祥云支行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119" w:type="dxa"/>
            <w:tcBorders>
              <w:tl2br w:val="nil"/>
              <w:tr2bl w:val="nil"/>
            </w:tcBorders>
          </w:tcPr>
          <w:p>
            <w:pPr>
              <w:pageBreakBefore w:val="0"/>
              <w:kinsoku/>
              <w:wordWrap w:val="0"/>
              <w:overflowPunct/>
              <w:topLinePunct w:val="0"/>
              <w:bidi w:val="0"/>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账号：</w:t>
            </w:r>
            <w:r>
              <w:rPr>
                <w:rFonts w:hint="eastAsia" w:ascii="宋体" w:hAnsi="宋体" w:cs="宋体"/>
                <w:color w:val="auto"/>
                <w:kern w:val="0"/>
                <w:szCs w:val="21"/>
                <w:highlight w:val="none"/>
                <w:u w:val="single"/>
              </w:rPr>
              <w:t xml:space="preserve">53001875036051006762   </w:t>
            </w:r>
          </w:p>
        </w:tc>
      </w:tr>
    </w:tbl>
    <w:p>
      <w:pPr>
        <w:pageBreakBefore w:val="0"/>
        <w:kinsoku/>
        <w:wordWrap w:val="0"/>
        <w:overflowPunct/>
        <w:topLinePunct w:val="0"/>
        <w:bidi w:val="0"/>
        <w:spacing w:line="440" w:lineRule="exact"/>
        <w:ind w:right="420" w:firstLine="3990" w:firstLineChars="1900"/>
        <w:rPr>
          <w:color w:val="auto"/>
          <w:highlight w:val="none"/>
        </w:rPr>
      </w:pPr>
      <w:r>
        <w:rPr>
          <w:rFonts w:hint="eastAsia"/>
          <w:color w:val="auto"/>
          <w:highlight w:val="none"/>
        </w:rPr>
        <w:t>2022</w:t>
      </w:r>
      <w:r>
        <w:rPr>
          <w:color w:val="auto"/>
          <w:highlight w:val="none"/>
        </w:rPr>
        <w:t>年</w:t>
      </w:r>
      <w:r>
        <w:rPr>
          <w:rFonts w:hint="eastAsia"/>
          <w:color w:val="auto"/>
          <w:highlight w:val="none"/>
          <w:u w:val="single"/>
        </w:rPr>
        <w:t>9</w:t>
      </w:r>
      <w:r>
        <w:rPr>
          <w:color w:val="auto"/>
          <w:highlight w:val="none"/>
        </w:rPr>
        <w:t>月</w:t>
      </w:r>
    </w:p>
    <w:p>
      <w:pPr>
        <w:pageBreakBefore w:val="0"/>
        <w:kinsoku/>
        <w:overflowPunct/>
        <w:topLinePunct w:val="0"/>
        <w:bidi w:val="0"/>
        <w:spacing w:line="440" w:lineRule="exact"/>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jYjg3YTY1ZDFlZDRmODgyMDMzMWYyZTlmNDk3NTIifQ=="/>
  </w:docVars>
  <w:rsids>
    <w:rsidRoot w:val="00000000"/>
    <w:rsid w:val="196B0D42"/>
    <w:rsid w:val="19C54E3C"/>
    <w:rsid w:val="23802E53"/>
    <w:rsid w:val="3B533783"/>
    <w:rsid w:val="3E927A23"/>
    <w:rsid w:val="45806690"/>
    <w:rsid w:val="5160707C"/>
    <w:rsid w:val="6A946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9"/>
    <w:pPr>
      <w:keepNext/>
      <w:keepLines/>
      <w:spacing w:before="260" w:after="260" w:line="416" w:lineRule="auto"/>
      <w:outlineLvl w:val="1"/>
    </w:pPr>
    <w:rPr>
      <w:rFonts w:ascii="等线 Light" w:hAnsi="等线 Light" w:eastAsia="等线 Light"/>
      <w:b/>
      <w:bCs/>
      <w:sz w:val="32"/>
      <w:szCs w:val="32"/>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rPr>
      <w:rFonts w:ascii="仿宋_GB2312" w:hAnsi="宋体" w:eastAsia="仿宋_GB2312"/>
      <w:sz w:val="32"/>
      <w:szCs w:val="28"/>
    </w:rPr>
  </w:style>
  <w:style w:type="paragraph" w:styleId="5">
    <w:name w:val="List"/>
    <w:basedOn w:val="1"/>
    <w:qFormat/>
    <w:uiPriority w:val="0"/>
    <w:pPr>
      <w:autoSpaceDE w:val="0"/>
      <w:autoSpaceDN w:val="0"/>
      <w:adjustRightInd w:val="0"/>
      <w:ind w:left="360" w:hanging="360"/>
      <w:jc w:val="left"/>
      <w:textAlignment w:val="baseline"/>
    </w:pPr>
    <w:rPr>
      <w:kern w:val="0"/>
      <w:sz w:val="20"/>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2572</Words>
  <Characters>3107</Characters>
  <Lines>0</Lines>
  <Paragraphs>0</Paragraphs>
  <TotalTime>1</TotalTime>
  <ScaleCrop>false</ScaleCrop>
  <LinksUpToDate>false</LinksUpToDate>
  <CharactersWithSpaces>3242</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2022-09-05T09:26:00Z</dcterms:created>
  <dc:creator>001</dc:creator>
  <cp:lastModifiedBy>软脚猫</cp:lastModifiedBy>
  <cp:lastPrinted>2022-09-14T07:23:00Z</cp:lastPrinted>
  <dcterms:modified xsi:type="dcterms:W3CDTF">2022-09-16T00:42:07Z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5A8D2719E7944B65B123F76ABB6A456A</vt:lpwstr>
  </property>
</Properties>
</file>