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4FEBCB">
      <w:pPr>
        <w:spacing w:line="440" w:lineRule="exact"/>
        <w:jc w:val="center"/>
        <w:rPr>
          <w:rFonts w:ascii="Times New Roman" w:hAnsi="Times New Roman" w:eastAsia="黑体"/>
          <w:color w:val="auto"/>
          <w:sz w:val="28"/>
          <w:szCs w:val="28"/>
          <w:highlight w:val="none"/>
        </w:rPr>
      </w:pPr>
      <w:r>
        <w:rPr>
          <w:rFonts w:hint="eastAsia" w:eastAsia="黑体"/>
          <w:color w:val="auto"/>
          <w:sz w:val="28"/>
          <w:szCs w:val="28"/>
          <w:highlight w:val="none"/>
          <w:lang w:eastAsia="zh-CN"/>
        </w:rPr>
        <w:t>鲁甸至巧家高速公路投资人</w:t>
      </w:r>
      <w:r>
        <w:rPr>
          <w:rFonts w:ascii="Times New Roman" w:hAnsi="Times New Roman" w:eastAsia="黑体"/>
          <w:color w:val="auto"/>
          <w:sz w:val="28"/>
          <w:szCs w:val="28"/>
          <w:highlight w:val="none"/>
        </w:rPr>
        <w:t>招标公告</w:t>
      </w:r>
    </w:p>
    <w:p w14:paraId="3221148B">
      <w:pPr>
        <w:spacing w:line="400" w:lineRule="atLeast"/>
        <w:jc w:val="center"/>
        <w:rPr>
          <w:rFonts w:ascii="Times New Roman" w:hAnsi="Times New Roman"/>
          <w:color w:val="auto"/>
          <w:sz w:val="24"/>
          <w:highlight w:val="none"/>
        </w:rPr>
      </w:pPr>
    </w:p>
    <w:p w14:paraId="77CC7D57">
      <w:pPr>
        <w:topLinePunct/>
        <w:spacing w:line="400" w:lineRule="atLeast"/>
        <w:rPr>
          <w:rFonts w:ascii="Times New Roman" w:hAnsi="Times New Roman" w:eastAsia="黑体"/>
          <w:bCs/>
          <w:color w:val="auto"/>
          <w:sz w:val="24"/>
          <w:highlight w:val="none"/>
        </w:rPr>
      </w:pPr>
      <w:r>
        <w:rPr>
          <w:rFonts w:hint="eastAsia" w:eastAsia="黑体"/>
          <w:bCs/>
          <w:color w:val="auto"/>
          <w:sz w:val="24"/>
          <w:highlight w:val="none"/>
          <w:lang w:eastAsia="zh-CN"/>
        </w:rPr>
        <w:t>1.</w:t>
      </w:r>
      <w:r>
        <w:rPr>
          <w:rFonts w:ascii="Times New Roman" w:hAnsi="Times New Roman" w:eastAsia="黑体"/>
          <w:bCs/>
          <w:color w:val="auto"/>
          <w:sz w:val="24"/>
          <w:highlight w:val="none"/>
        </w:rPr>
        <w:t>招标条件</w:t>
      </w:r>
    </w:p>
    <w:p w14:paraId="3E1C4EE9">
      <w:pPr>
        <w:tabs>
          <w:tab w:val="left" w:pos="3240"/>
        </w:tabs>
        <w:spacing w:line="400" w:lineRule="atLeast"/>
        <w:ind w:right="31" w:rightChars="15" w:firstLine="489" w:firstLineChars="204"/>
        <w:rPr>
          <w:rFonts w:ascii="Times New Roman" w:hAnsi="Times New Roman"/>
          <w:color w:val="auto"/>
          <w:sz w:val="24"/>
          <w:highlight w:val="none"/>
        </w:rPr>
      </w:pPr>
      <w:r>
        <w:rPr>
          <w:rFonts w:ascii="Times New Roman" w:hAnsi="Times New Roman"/>
          <w:color w:val="auto"/>
          <w:sz w:val="24"/>
          <w:highlight w:val="none"/>
        </w:rPr>
        <w:t>本招标项目</w:t>
      </w:r>
      <w:r>
        <w:rPr>
          <w:rFonts w:hint="eastAsia"/>
          <w:color w:val="auto"/>
          <w:sz w:val="24"/>
          <w:highlight w:val="none"/>
          <w:lang w:eastAsia="zh-CN"/>
        </w:rPr>
        <w:t>鲁甸至巧家高速公路</w:t>
      </w:r>
      <w:r>
        <w:rPr>
          <w:rFonts w:ascii="Times New Roman" w:hAnsi="Times New Roman"/>
          <w:color w:val="auto"/>
          <w:sz w:val="24"/>
          <w:highlight w:val="none"/>
        </w:rPr>
        <w:t>（以下简称“本项目”）</w:t>
      </w:r>
      <w:r>
        <w:rPr>
          <w:rFonts w:hint="eastAsia"/>
          <w:color w:val="auto"/>
          <w:sz w:val="24"/>
          <w:highlight w:val="none"/>
        </w:rPr>
        <w:t>工程可行性研究报告已由云南省发展和改革委员会以（云发改基础〔2020〕988号）文批准</w:t>
      </w:r>
      <w:r>
        <w:rPr>
          <w:rFonts w:ascii="Times New Roman" w:hAnsi="Times New Roman"/>
          <w:color w:val="auto"/>
          <w:sz w:val="24"/>
          <w:highlight w:val="none"/>
        </w:rPr>
        <w:t>。招标人为</w:t>
      </w:r>
      <w:r>
        <w:rPr>
          <w:rFonts w:hint="eastAsia"/>
          <w:color w:val="auto"/>
          <w:sz w:val="24"/>
          <w:highlight w:val="none"/>
          <w:lang w:eastAsia="zh-CN"/>
        </w:rPr>
        <w:t>昭通市交通运输局</w:t>
      </w:r>
      <w:r>
        <w:rPr>
          <w:rFonts w:ascii="Times New Roman" w:hAnsi="Times New Roman"/>
          <w:color w:val="auto"/>
          <w:sz w:val="24"/>
          <w:highlight w:val="none"/>
        </w:rPr>
        <w:t>，招标代理单位为华杰工程咨询有限公司。项目已具备招标条件，现对本项目的投资人进行公开招标，实行资格后审。</w:t>
      </w:r>
    </w:p>
    <w:p w14:paraId="5BC39312">
      <w:pPr>
        <w:tabs>
          <w:tab w:val="left" w:pos="480"/>
        </w:tabs>
        <w:spacing w:line="400" w:lineRule="atLeast"/>
        <w:ind w:right="-55" w:rightChars="-26"/>
        <w:rPr>
          <w:rFonts w:ascii="Times New Roman" w:hAnsi="Times New Roman"/>
          <w:color w:val="auto"/>
          <w:sz w:val="24"/>
          <w:highlight w:val="none"/>
        </w:rPr>
      </w:pPr>
    </w:p>
    <w:p w14:paraId="3CDFE96A">
      <w:pPr>
        <w:topLinePunct/>
        <w:spacing w:line="400" w:lineRule="atLeast"/>
        <w:rPr>
          <w:rFonts w:ascii="Times New Roman" w:hAnsi="Times New Roman" w:eastAsia="黑体"/>
          <w:bCs/>
          <w:color w:val="auto"/>
          <w:sz w:val="24"/>
          <w:highlight w:val="none"/>
        </w:rPr>
      </w:pPr>
      <w:r>
        <w:rPr>
          <w:rFonts w:hint="eastAsia" w:eastAsia="黑体"/>
          <w:bCs/>
          <w:color w:val="auto"/>
          <w:sz w:val="24"/>
          <w:highlight w:val="none"/>
          <w:lang w:eastAsia="zh-CN"/>
        </w:rPr>
        <w:t>2.</w:t>
      </w:r>
      <w:r>
        <w:rPr>
          <w:rFonts w:ascii="Times New Roman" w:hAnsi="Times New Roman" w:eastAsia="黑体"/>
          <w:bCs/>
          <w:color w:val="auto"/>
          <w:sz w:val="24"/>
          <w:highlight w:val="none"/>
        </w:rPr>
        <w:t>项目概况与招标范围</w:t>
      </w:r>
    </w:p>
    <w:p w14:paraId="71C1FD20">
      <w:pPr>
        <w:spacing w:line="400" w:lineRule="atLeast"/>
        <w:rPr>
          <w:rFonts w:ascii="Times New Roman" w:hAnsi="Times New Roman"/>
          <w:color w:val="auto"/>
          <w:sz w:val="24"/>
          <w:highlight w:val="none"/>
        </w:rPr>
      </w:pPr>
      <w:r>
        <w:rPr>
          <w:rFonts w:ascii="Times New Roman" w:hAnsi="Times New Roman"/>
          <w:color w:val="auto"/>
          <w:sz w:val="24"/>
          <w:highlight w:val="none"/>
        </w:rPr>
        <w:t>2.1项目概况</w:t>
      </w:r>
    </w:p>
    <w:p w14:paraId="52E87DD1">
      <w:pPr>
        <w:spacing w:line="400" w:lineRule="atLeast"/>
        <w:ind w:firstLine="480" w:firstLineChars="200"/>
        <w:rPr>
          <w:rFonts w:hint="eastAsia" w:ascii="Times New Roman" w:hAnsi="Times New Roman"/>
          <w:color w:val="auto"/>
          <w:sz w:val="24"/>
          <w:highlight w:val="none"/>
          <w:lang w:val="en-US" w:eastAsia="zh-CN"/>
        </w:rPr>
      </w:pPr>
      <w:r>
        <w:rPr>
          <w:rFonts w:hint="eastAsia"/>
          <w:color w:val="auto"/>
          <w:sz w:val="24"/>
          <w:highlight w:val="none"/>
          <w:lang w:val="en-US" w:eastAsia="zh-CN"/>
        </w:rPr>
        <w:t>（1）</w:t>
      </w:r>
      <w:r>
        <w:rPr>
          <w:rFonts w:hint="eastAsia" w:ascii="Times New Roman" w:hAnsi="Times New Roman"/>
          <w:color w:val="auto"/>
          <w:sz w:val="24"/>
          <w:highlight w:val="none"/>
          <w:lang w:val="en-US" w:eastAsia="zh-CN"/>
        </w:rPr>
        <w:t>鲁甸至巧家高速公路（以下简称“鲁巧高速”）起于昭通市鲁甸县龙头山镇东侧，接G7611都香高速公路昭金段K38+585.27处，设龙头山枢纽互通立交实现交通转换，止于昭通市巧家县城郊迤博溪，与云南省高速公路S23昆明至巧家高速公路格勒至巧家段 K55+086. 08处相接，设巧家枢纽互通立交实现交通转换。主线全长71.767公里（鲁甸县境内13. 078公里，巧家县境内58. 689公里）。全线设置龙头山（枢纽）、</w:t>
      </w:r>
      <w:r>
        <w:rPr>
          <w:rFonts w:hint="eastAsia"/>
          <w:color w:val="auto"/>
          <w:sz w:val="24"/>
          <w:highlight w:val="none"/>
          <w:lang w:val="en-US" w:eastAsia="zh-CN"/>
        </w:rPr>
        <w:t>苞谷</w:t>
      </w:r>
      <w:r>
        <w:rPr>
          <w:rFonts w:hint="eastAsia" w:ascii="Times New Roman" w:hAnsi="Times New Roman"/>
          <w:color w:val="auto"/>
          <w:sz w:val="24"/>
          <w:highlight w:val="none"/>
          <w:lang w:val="en-US" w:eastAsia="zh-CN"/>
        </w:rPr>
        <w:t>垴、老店、崇溪、中寨、巧家（枢纽）共6处互通式立交。同步建设中寨立交连接线4.104公里。主线采用双向四车道高速公路标准建设，设计速度 80公里/小时，路基宽度25.5米，桥涵设计汽车荷载等级采用 公路-I级。中寨立交连接线采用三级公路标准建设，设计速度40公里/小时，路基宽度8.5米。</w:t>
      </w:r>
    </w:p>
    <w:p w14:paraId="0AE8EF1E">
      <w:pPr>
        <w:spacing w:line="400" w:lineRule="atLeast"/>
        <w:ind w:firstLine="480" w:firstLineChars="200"/>
        <w:rPr>
          <w:rFonts w:hint="default" w:eastAsia="宋体"/>
          <w:color w:val="auto"/>
          <w:sz w:val="24"/>
          <w:highlight w:val="none"/>
          <w:lang w:val="en-US" w:eastAsia="zh-CN"/>
        </w:rPr>
      </w:pPr>
      <w:r>
        <w:rPr>
          <w:rFonts w:hint="eastAsia" w:ascii="Times New Roman" w:hAnsi="Times New Roman"/>
          <w:color w:val="auto"/>
          <w:sz w:val="24"/>
          <w:highlight w:val="none"/>
          <w:lang w:val="en-US" w:eastAsia="zh-CN"/>
        </w:rPr>
        <w:t>项目概算批复总投资为1684549.6671万元。</w:t>
      </w:r>
    </w:p>
    <w:p w14:paraId="3524E554">
      <w:pPr>
        <w:spacing w:line="400" w:lineRule="atLeast"/>
        <w:ind w:firstLine="480" w:firstLineChars="200"/>
        <w:rPr>
          <w:rFonts w:hint="default"/>
          <w:color w:val="auto"/>
          <w:sz w:val="24"/>
          <w:highlight w:val="none"/>
          <w:lang w:val="en-US" w:eastAsia="zh-CN"/>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）项目</w:t>
      </w:r>
      <w:r>
        <w:rPr>
          <w:rFonts w:hint="eastAsia"/>
          <w:color w:val="auto"/>
          <w:sz w:val="24"/>
          <w:highlight w:val="none"/>
          <w:lang w:val="en-US" w:eastAsia="zh-CN"/>
        </w:rPr>
        <w:t>原</w:t>
      </w:r>
      <w:r>
        <w:rPr>
          <w:rFonts w:hint="eastAsia"/>
          <w:color w:val="auto"/>
          <w:sz w:val="24"/>
          <w:highlight w:val="none"/>
          <w:lang w:eastAsia="zh-CN"/>
        </w:rPr>
        <w:t>由昭通市高速公路投资发展有限责任公司作为业主，采用“投资人暨合作承包建设者”模式实施，组建鲁巧项目公司负责投融资、建设、运营。</w:t>
      </w:r>
      <w:r>
        <w:rPr>
          <w:rFonts w:hint="eastAsia"/>
          <w:color w:val="auto"/>
          <w:sz w:val="24"/>
          <w:highlight w:val="none"/>
          <w:lang w:val="en-US" w:eastAsia="zh-CN"/>
        </w:rPr>
        <w:t>原</w:t>
      </w:r>
      <w:r>
        <w:rPr>
          <w:rFonts w:hint="eastAsia"/>
          <w:color w:val="auto"/>
          <w:sz w:val="24"/>
          <w:highlight w:val="none"/>
          <w:lang w:eastAsia="zh-CN"/>
        </w:rPr>
        <w:t xml:space="preserve">项目资金构成为：政府出资 25.35 亿元（省级补助资金 15.76 亿元、市级补助资金 7.18 亿元、县级征地拆迁资金 2.41 亿元），发行专项债 50 亿元和银行贷款 67.1 亿元，社会投资人出资 26 亿元（承接 125 亿元项目施工任务，建成通车 5 年后可原价转让股权，昭通市高速公路投资发展有限责任公司享有优先购买权）。项目自 2022 年 12 月开工建设以来，已累计到位资金 </w:t>
      </w:r>
      <w:r>
        <w:rPr>
          <w:rFonts w:hint="eastAsia"/>
          <w:color w:val="auto"/>
          <w:sz w:val="24"/>
          <w:highlight w:val="none"/>
          <w:lang w:val="en-US" w:eastAsia="zh-CN"/>
        </w:rPr>
        <w:t>69.33</w:t>
      </w:r>
      <w:r>
        <w:rPr>
          <w:rFonts w:hint="eastAsia"/>
          <w:color w:val="auto"/>
          <w:sz w:val="24"/>
          <w:highlight w:val="none"/>
          <w:lang w:eastAsia="zh-CN"/>
        </w:rPr>
        <w:t>亿元，其中：专项债</w:t>
      </w:r>
      <w:r>
        <w:rPr>
          <w:rFonts w:hint="eastAsia"/>
          <w:color w:val="auto"/>
          <w:sz w:val="24"/>
          <w:highlight w:val="none"/>
          <w:lang w:val="en-US" w:eastAsia="zh-CN"/>
        </w:rPr>
        <w:t>及其他资金</w:t>
      </w:r>
      <w:r>
        <w:rPr>
          <w:rFonts w:hint="eastAsia"/>
          <w:color w:val="auto"/>
          <w:sz w:val="24"/>
          <w:highlight w:val="none"/>
          <w:lang w:eastAsia="zh-CN"/>
        </w:rPr>
        <w:t xml:space="preserve"> 25.86 亿元、项目资本金32</w:t>
      </w:r>
      <w:r>
        <w:rPr>
          <w:rFonts w:hint="eastAsia"/>
          <w:color w:val="auto"/>
          <w:sz w:val="24"/>
          <w:highlight w:val="none"/>
          <w:lang w:val="en-US" w:eastAsia="zh-CN"/>
        </w:rPr>
        <w:t>.</w:t>
      </w:r>
      <w:r>
        <w:rPr>
          <w:rFonts w:hint="eastAsia"/>
          <w:color w:val="auto"/>
          <w:sz w:val="24"/>
          <w:highlight w:val="none"/>
          <w:lang w:eastAsia="zh-CN"/>
        </w:rPr>
        <w:t>97</w:t>
      </w:r>
      <w:r>
        <w:rPr>
          <w:rFonts w:hint="eastAsia"/>
          <w:color w:val="auto"/>
          <w:sz w:val="24"/>
          <w:highlight w:val="none"/>
          <w:lang w:val="en-US" w:eastAsia="zh-CN"/>
        </w:rPr>
        <w:t>亿元</w:t>
      </w:r>
      <w:r>
        <w:rPr>
          <w:rFonts w:hint="eastAsia"/>
          <w:color w:val="auto"/>
          <w:sz w:val="24"/>
          <w:highlight w:val="none"/>
          <w:lang w:eastAsia="zh-CN"/>
        </w:rPr>
        <w:t>、农发行贷款 10.5 亿元；累计完成投资</w:t>
      </w:r>
      <w:r>
        <w:rPr>
          <w:rFonts w:hint="eastAsia"/>
          <w:color w:val="auto"/>
          <w:sz w:val="24"/>
          <w:highlight w:val="none"/>
          <w:lang w:val="en-US" w:eastAsia="zh-CN"/>
        </w:rPr>
        <w:t>54.65</w:t>
      </w:r>
      <w:r>
        <w:rPr>
          <w:rFonts w:hint="eastAsia"/>
          <w:color w:val="auto"/>
          <w:sz w:val="24"/>
          <w:highlight w:val="none"/>
          <w:lang w:eastAsia="zh-CN"/>
        </w:rPr>
        <w:t>亿元，占概算总投资 3</w:t>
      </w:r>
      <w:r>
        <w:rPr>
          <w:rFonts w:hint="eastAsia"/>
          <w:color w:val="auto"/>
          <w:sz w:val="24"/>
          <w:highlight w:val="none"/>
          <w:lang w:val="en-US" w:eastAsia="zh-CN"/>
        </w:rPr>
        <w:t>2</w:t>
      </w:r>
      <w:r>
        <w:rPr>
          <w:rFonts w:hint="eastAsia"/>
          <w:color w:val="auto"/>
          <w:sz w:val="24"/>
          <w:highlight w:val="none"/>
          <w:lang w:eastAsia="zh-CN"/>
        </w:rPr>
        <w:t>.</w:t>
      </w:r>
      <w:r>
        <w:rPr>
          <w:rFonts w:hint="eastAsia"/>
          <w:color w:val="auto"/>
          <w:sz w:val="24"/>
          <w:highlight w:val="none"/>
          <w:lang w:val="en-US" w:eastAsia="zh-CN"/>
        </w:rPr>
        <w:t>44</w:t>
      </w:r>
      <w:r>
        <w:rPr>
          <w:rFonts w:hint="eastAsia"/>
          <w:color w:val="auto"/>
          <w:sz w:val="24"/>
          <w:highlight w:val="none"/>
          <w:lang w:eastAsia="zh-CN"/>
        </w:rPr>
        <w:t>%。</w:t>
      </w:r>
    </w:p>
    <w:p w14:paraId="3D82199A">
      <w:pPr>
        <w:spacing w:line="400" w:lineRule="atLeast"/>
        <w:ind w:firstLine="480" w:firstLineChars="200"/>
        <w:rPr>
          <w:rFonts w:ascii="Times New Roman" w:hAnsi="Times New Roman"/>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lang w:eastAsia="zh-CN"/>
        </w:rPr>
        <w:t>）</w:t>
      </w:r>
      <w:r>
        <w:rPr>
          <w:rFonts w:hint="eastAsia" w:ascii="Times New Roman" w:hAnsi="Times New Roman"/>
          <w:color w:val="auto"/>
          <w:sz w:val="24"/>
          <w:highlight w:val="none"/>
        </w:rPr>
        <w:t>项目经营期分为建设期和运营期两个阶段，其中建设期3年，自行业主管部门同意起算日期</w:t>
      </w:r>
      <w:r>
        <w:rPr>
          <w:rFonts w:hint="eastAsia"/>
          <w:color w:val="auto"/>
          <w:sz w:val="24"/>
          <w:highlight w:val="none"/>
          <w:lang w:val="en-US" w:eastAsia="zh-CN"/>
        </w:rPr>
        <w:t>起</w:t>
      </w:r>
      <w:r>
        <w:rPr>
          <w:rFonts w:hint="eastAsia" w:ascii="Times New Roman" w:hAnsi="Times New Roman"/>
          <w:color w:val="auto"/>
          <w:sz w:val="24"/>
          <w:highlight w:val="none"/>
        </w:rPr>
        <w:t>至交工日止；运营期（含收费期）：</w:t>
      </w:r>
      <w:r>
        <w:rPr>
          <w:rFonts w:hint="eastAsia"/>
          <w:color w:val="auto"/>
          <w:sz w:val="24"/>
          <w:highlight w:val="none"/>
          <w:lang w:eastAsia="zh-CN"/>
        </w:rPr>
        <w:t>自项目交工日起</w:t>
      </w:r>
      <w:r>
        <w:rPr>
          <w:rFonts w:hint="eastAsia" w:ascii="Times New Roman" w:hAnsi="Times New Roman"/>
          <w:color w:val="auto"/>
          <w:sz w:val="24"/>
          <w:highlight w:val="none"/>
        </w:rPr>
        <w:t>至项目移交日止，其中收费期30年，自本项目收费许可批复的开始收费时间起至项目移交日止。</w:t>
      </w:r>
    </w:p>
    <w:p w14:paraId="537779D4">
      <w:pPr>
        <w:spacing w:line="400" w:lineRule="atLeast"/>
        <w:rPr>
          <w:rFonts w:ascii="Times New Roman" w:hAnsi="Times New Roman"/>
          <w:color w:val="auto"/>
          <w:sz w:val="24"/>
          <w:highlight w:val="none"/>
        </w:rPr>
      </w:pPr>
      <w:r>
        <w:rPr>
          <w:rFonts w:ascii="Times New Roman" w:hAnsi="Times New Roman"/>
          <w:color w:val="auto"/>
          <w:sz w:val="24"/>
          <w:highlight w:val="none"/>
        </w:rPr>
        <w:t>2.2</w:t>
      </w:r>
      <w:r>
        <w:rPr>
          <w:rFonts w:hint="eastAsia" w:ascii="Times New Roman" w:hAnsi="Times New Roman"/>
          <w:color w:val="auto"/>
          <w:sz w:val="24"/>
          <w:highlight w:val="none"/>
          <w:lang w:val="en-US" w:eastAsia="zh-CN"/>
        </w:rPr>
        <w:t>标段划分及</w:t>
      </w:r>
      <w:r>
        <w:rPr>
          <w:rFonts w:ascii="Times New Roman" w:hAnsi="Times New Roman"/>
          <w:color w:val="auto"/>
          <w:sz w:val="24"/>
          <w:highlight w:val="none"/>
        </w:rPr>
        <w:t>招标范围</w:t>
      </w:r>
    </w:p>
    <w:p w14:paraId="711FF2B3">
      <w:pPr>
        <w:tabs>
          <w:tab w:val="left" w:pos="3240"/>
        </w:tabs>
        <w:spacing w:line="400" w:lineRule="atLeast"/>
        <w:ind w:right="31" w:rightChars="15" w:firstLine="489" w:firstLineChars="204"/>
        <w:rPr>
          <w:rFonts w:hint="eastAsia"/>
          <w:color w:val="auto"/>
          <w:sz w:val="24"/>
          <w:highlight w:val="none"/>
          <w:lang w:val="en-US" w:eastAsia="zh-CN"/>
        </w:rPr>
      </w:pPr>
      <w:r>
        <w:rPr>
          <w:rFonts w:hint="eastAsia"/>
          <w:color w:val="auto"/>
          <w:sz w:val="24"/>
          <w:highlight w:val="none"/>
          <w:lang w:val="en-US" w:eastAsia="zh-CN"/>
        </w:rPr>
        <w:t>（1）本项目招标划分为1个标段，</w:t>
      </w:r>
      <w:r>
        <w:rPr>
          <w:rFonts w:hint="eastAsia" w:hAnsi="宋体"/>
          <w:color w:val="auto"/>
          <w:sz w:val="24"/>
          <w:highlight w:val="none"/>
          <w:lang w:val="en-US" w:eastAsia="zh-CN"/>
        </w:rPr>
        <w:t>即TZR-1标段</w:t>
      </w:r>
      <w:r>
        <w:rPr>
          <w:rFonts w:hint="eastAsia"/>
          <w:color w:val="auto"/>
          <w:sz w:val="24"/>
          <w:highlight w:val="none"/>
          <w:lang w:val="en-US" w:eastAsia="zh-CN"/>
        </w:rPr>
        <w:t>。</w:t>
      </w:r>
    </w:p>
    <w:p w14:paraId="3A36F553">
      <w:pPr>
        <w:tabs>
          <w:tab w:val="left" w:pos="3240"/>
        </w:tabs>
        <w:spacing w:line="400" w:lineRule="atLeast"/>
        <w:ind w:right="31" w:rightChars="15" w:firstLine="489" w:firstLineChars="204"/>
        <w:rPr>
          <w:rFonts w:hint="eastAsia"/>
          <w:color w:val="auto"/>
          <w:sz w:val="24"/>
          <w:highlight w:val="none"/>
          <w:lang w:val="en-US" w:eastAsia="zh-CN"/>
        </w:rPr>
      </w:pPr>
      <w:r>
        <w:rPr>
          <w:rFonts w:hint="eastAsia"/>
          <w:color w:val="auto"/>
          <w:sz w:val="24"/>
          <w:highlight w:val="none"/>
          <w:lang w:val="en-US" w:eastAsia="zh-CN"/>
        </w:rPr>
        <w:t>（2）招标范围</w:t>
      </w:r>
    </w:p>
    <w:p w14:paraId="7F0D793E">
      <w:pPr>
        <w:tabs>
          <w:tab w:val="left" w:pos="3240"/>
        </w:tabs>
        <w:spacing w:line="400" w:lineRule="atLeast"/>
        <w:ind w:right="31" w:rightChars="15" w:firstLine="489" w:firstLineChars="204"/>
        <w:rPr>
          <w:rFonts w:hint="eastAsia"/>
          <w:color w:val="auto"/>
          <w:sz w:val="24"/>
          <w:highlight w:val="none"/>
          <w:lang w:val="en-US" w:eastAsia="zh-CN"/>
        </w:rPr>
      </w:pPr>
      <w:r>
        <w:rPr>
          <w:rFonts w:hint="eastAsia"/>
          <w:color w:val="auto"/>
          <w:sz w:val="24"/>
          <w:highlight w:val="none"/>
          <w:lang w:val="en-US" w:eastAsia="zh-CN"/>
        </w:rPr>
        <w:t>选择鲁甸至巧家高速公路的投资人。</w:t>
      </w:r>
    </w:p>
    <w:p w14:paraId="43A02018">
      <w:pPr>
        <w:tabs>
          <w:tab w:val="left" w:pos="3240"/>
        </w:tabs>
        <w:spacing w:line="400" w:lineRule="atLeast"/>
        <w:ind w:right="0" w:rightChars="0" w:firstLine="0" w:firstLineChars="0"/>
        <w:rPr>
          <w:rFonts w:hint="eastAsia"/>
          <w:color w:val="auto"/>
          <w:sz w:val="24"/>
          <w:highlight w:val="none"/>
          <w:lang w:val="en-US" w:eastAsia="zh-CN"/>
        </w:rPr>
      </w:pPr>
      <w:r>
        <w:rPr>
          <w:rFonts w:ascii="Times New Roman" w:hAnsi="Times New Roman"/>
          <w:color w:val="auto"/>
          <w:sz w:val="24"/>
          <w:highlight w:val="none"/>
        </w:rPr>
        <w:t>2.</w:t>
      </w:r>
      <w:r>
        <w:rPr>
          <w:rFonts w:hint="eastAsia" w:ascii="Times New Roman" w:hAnsi="Times New Roman"/>
          <w:color w:val="auto"/>
          <w:sz w:val="24"/>
          <w:highlight w:val="none"/>
          <w:lang w:val="en-US" w:eastAsia="zh-CN"/>
        </w:rPr>
        <w:t>3</w:t>
      </w:r>
      <w:r>
        <w:rPr>
          <w:rFonts w:hint="eastAsia"/>
          <w:color w:val="auto"/>
          <w:sz w:val="24"/>
          <w:highlight w:val="none"/>
          <w:lang w:val="en-US" w:eastAsia="zh-CN"/>
        </w:rPr>
        <w:t>项目运作模式：</w:t>
      </w:r>
    </w:p>
    <w:p w14:paraId="2822FF1F">
      <w:pPr>
        <w:tabs>
          <w:tab w:val="left" w:pos="3240"/>
        </w:tabs>
        <w:spacing w:line="400" w:lineRule="atLeast"/>
        <w:ind w:right="31" w:rightChars="15" w:firstLine="489" w:firstLineChars="204"/>
        <w:rPr>
          <w:rFonts w:hint="eastAsia" w:eastAsia="宋体"/>
          <w:color w:val="auto"/>
          <w:sz w:val="24"/>
          <w:highlight w:val="none"/>
          <w:lang w:val="en-US" w:eastAsia="zh-CN"/>
        </w:rPr>
      </w:pPr>
      <w:r>
        <w:rPr>
          <w:rFonts w:hint="eastAsia"/>
          <w:color w:val="auto"/>
          <w:sz w:val="24"/>
          <w:highlight w:val="none"/>
          <w:lang w:val="en-US" w:eastAsia="zh-CN"/>
        </w:rPr>
        <w:t>中标人通过</w:t>
      </w:r>
      <w:r>
        <w:rPr>
          <w:rFonts w:hint="default"/>
          <w:color w:val="auto"/>
          <w:sz w:val="24"/>
          <w:highlight w:val="none"/>
          <w:lang w:val="en-US" w:eastAsia="zh-CN"/>
        </w:rPr>
        <w:t>增资扩股或收购股权</w:t>
      </w:r>
      <w:r>
        <w:rPr>
          <w:rFonts w:hint="eastAsia"/>
          <w:color w:val="auto"/>
          <w:sz w:val="24"/>
          <w:highlight w:val="none"/>
          <w:lang w:val="en-US" w:eastAsia="zh-CN"/>
        </w:rPr>
        <w:t>的形式获得项目公司股权（社会投资人持股67%，实现绝对控股；政府方合计持股33%，其中昭通市高速公路投资发展有限责任公司代持28%，省交发公司持股5%），由项目公司对项目筹划、资金筹措、建设实施、运营管理、债务偿还和资产管理等全过程负责，自主经营，自负盈亏。在经营协议规定的经营期满后，项目公司按照经营协议的约定将公路（含土地使用权）、公路附属设施及相关资料无偿移交给招标人或其指定机构。</w:t>
      </w:r>
    </w:p>
    <w:p w14:paraId="76EC68D1">
      <w:pPr>
        <w:tabs>
          <w:tab w:val="left" w:pos="3240"/>
        </w:tabs>
        <w:spacing w:line="400" w:lineRule="atLeast"/>
        <w:ind w:right="31" w:rightChars="15" w:firstLine="489" w:firstLineChars="204"/>
        <w:rPr>
          <w:rFonts w:hint="eastAsia"/>
          <w:color w:val="auto"/>
          <w:sz w:val="24"/>
          <w:highlight w:val="none"/>
        </w:rPr>
      </w:pPr>
      <w:r>
        <w:rPr>
          <w:rFonts w:hint="eastAsia"/>
          <w:color w:val="auto"/>
          <w:sz w:val="24"/>
          <w:highlight w:val="none"/>
        </w:rPr>
        <w:t>项目资金结构为：①项目资本金。项目总投资168.45亿元，本项目资本金暂定为项目总投资的40.14%（具体以金融机构要求为准），金额暂定67.62亿元，包括政府方出资义务范围的41.62亿元，占项目总投资的24.71%（其中：省补资金15.76亿元，已发行专项债中作为项目资本金的19.72亿元，其他资金6.14亿元）；投资人出资26亿元，占项目总投资的15.43%，投资人出资的项目资本金必须全部为其自有资金</w:t>
      </w:r>
      <w:r>
        <w:rPr>
          <w:rFonts w:hint="eastAsia"/>
          <w:color w:val="auto"/>
          <w:sz w:val="24"/>
          <w:highlight w:val="none"/>
          <w:lang w:eastAsia="zh-CN"/>
        </w:rPr>
        <w:t>（</w:t>
      </w:r>
      <w:r>
        <w:rPr>
          <w:rFonts w:hint="eastAsia"/>
          <w:color w:val="auto"/>
          <w:sz w:val="24"/>
          <w:highlight w:val="none"/>
        </w:rPr>
        <w:t>除国家相关规定外，不得为银行贷款或其他拆借资金），项目公司不承担这部分资金的任何利息和债务。</w:t>
      </w:r>
    </w:p>
    <w:p w14:paraId="1D37FF3F">
      <w:pPr>
        <w:tabs>
          <w:tab w:val="left" w:pos="3240"/>
        </w:tabs>
        <w:spacing w:line="400" w:lineRule="atLeast"/>
        <w:ind w:right="31" w:rightChars="15" w:firstLine="489" w:firstLineChars="204"/>
        <w:rPr>
          <w:rFonts w:hint="eastAsia"/>
          <w:color w:val="auto"/>
          <w:sz w:val="24"/>
          <w:highlight w:val="none"/>
        </w:rPr>
      </w:pPr>
      <w:r>
        <w:rPr>
          <w:rFonts w:hint="eastAsia"/>
          <w:color w:val="auto"/>
          <w:sz w:val="24"/>
          <w:highlight w:val="none"/>
        </w:rPr>
        <w:t>②政府其余配套资金。除项目资本金外，政府方还需出资17.34亿元，占项目总投资的10.</w:t>
      </w:r>
      <w:r>
        <w:rPr>
          <w:rFonts w:hint="eastAsia"/>
          <w:color w:val="auto"/>
          <w:sz w:val="24"/>
          <w:highlight w:val="none"/>
          <w:lang w:val="en-US" w:eastAsia="zh-CN"/>
        </w:rPr>
        <w:t>30</w:t>
      </w:r>
      <w:r>
        <w:rPr>
          <w:rFonts w:hint="eastAsia"/>
          <w:color w:val="auto"/>
          <w:sz w:val="24"/>
          <w:highlight w:val="none"/>
        </w:rPr>
        <w:t>%（政府承担政府方出资资金责任）。</w:t>
      </w:r>
    </w:p>
    <w:p w14:paraId="0C07D0B1">
      <w:pPr>
        <w:tabs>
          <w:tab w:val="left" w:pos="3240"/>
        </w:tabs>
        <w:spacing w:line="400" w:lineRule="atLeast"/>
        <w:ind w:right="31" w:rightChars="15" w:firstLine="489" w:firstLineChars="204"/>
        <w:rPr>
          <w:color w:val="auto"/>
          <w:sz w:val="24"/>
          <w:highlight w:val="none"/>
        </w:rPr>
      </w:pPr>
      <w:r>
        <w:rPr>
          <w:rFonts w:hint="eastAsia"/>
          <w:color w:val="auto"/>
          <w:sz w:val="24"/>
          <w:highlight w:val="none"/>
        </w:rPr>
        <w:t>③债务融资资金。除项目资本金和政府方其余配套资金外的83.49亿元，占项目总投资的49.56%，通过债务融资解决（其中：政府根据政策争取继续发行16.39亿元专项债资金，使用期间本息由项目公司承担；项目公司通过银行融资解决67.1亿元）。</w:t>
      </w:r>
    </w:p>
    <w:p w14:paraId="20B5E46A">
      <w:pPr>
        <w:topLinePunct/>
        <w:spacing w:line="400" w:lineRule="atLeast"/>
        <w:rPr>
          <w:rFonts w:ascii="Times New Roman" w:hAnsi="Times New Roman" w:eastAsia="黑体"/>
          <w:bCs/>
          <w:color w:val="auto"/>
          <w:sz w:val="24"/>
          <w:highlight w:val="none"/>
        </w:rPr>
      </w:pPr>
      <w:bookmarkStart w:id="0" w:name="_Hlk22983742"/>
      <w:bookmarkStart w:id="1" w:name="_Hlk23424489"/>
      <w:r>
        <w:rPr>
          <w:rFonts w:hint="eastAsia" w:eastAsia="黑体"/>
          <w:bCs/>
          <w:color w:val="auto"/>
          <w:sz w:val="24"/>
          <w:highlight w:val="none"/>
          <w:lang w:eastAsia="zh-CN"/>
        </w:rPr>
        <w:t>3.</w:t>
      </w:r>
      <w:r>
        <w:rPr>
          <w:rFonts w:ascii="Times New Roman" w:hAnsi="Times New Roman" w:eastAsia="黑体"/>
          <w:bCs/>
          <w:color w:val="auto"/>
          <w:sz w:val="24"/>
          <w:highlight w:val="none"/>
        </w:rPr>
        <w:t>投标人资格要求</w:t>
      </w:r>
    </w:p>
    <w:p w14:paraId="085BF984">
      <w:pPr>
        <w:spacing w:line="400" w:lineRule="atLeast"/>
        <w:rPr>
          <w:rFonts w:ascii="Times New Roman" w:hAnsi="Times New Roman"/>
          <w:color w:val="auto"/>
          <w:sz w:val="24"/>
          <w:highlight w:val="none"/>
        </w:rPr>
      </w:pPr>
      <w:r>
        <w:rPr>
          <w:rFonts w:ascii="Times New Roman" w:hAnsi="Times New Roman"/>
          <w:color w:val="auto"/>
          <w:sz w:val="24"/>
          <w:highlight w:val="none"/>
        </w:rPr>
        <w:t>3.1本次招标要求投标人具备的资格条件包括：</w:t>
      </w:r>
    </w:p>
    <w:p w14:paraId="5F792BD7">
      <w:pPr>
        <w:tabs>
          <w:tab w:val="left" w:pos="3240"/>
        </w:tabs>
        <w:spacing w:line="400" w:lineRule="atLeast"/>
        <w:ind w:right="31" w:rightChars="15" w:firstLine="489" w:firstLineChars="204"/>
        <w:rPr>
          <w:rFonts w:ascii="Times New Roman" w:hAnsi="Times New Roman"/>
          <w:color w:val="auto"/>
          <w:sz w:val="24"/>
          <w:highlight w:val="none"/>
        </w:rPr>
      </w:pPr>
      <w:r>
        <w:rPr>
          <w:rFonts w:hint="eastAsia"/>
          <w:color w:val="auto"/>
          <w:sz w:val="24"/>
          <w:highlight w:val="none"/>
          <w:lang w:eastAsia="zh-CN"/>
        </w:rPr>
        <w:t>（1）</w:t>
      </w:r>
      <w:r>
        <w:rPr>
          <w:rFonts w:ascii="Times New Roman" w:hAnsi="Times New Roman"/>
          <w:color w:val="auto"/>
          <w:sz w:val="24"/>
          <w:highlight w:val="none"/>
        </w:rPr>
        <w:t xml:space="preserve"> 在中国境内依法注册的企业法人，且合法存续，没有处于被吊销营业执照、责令关闭或者被撤销等不良状态；</w:t>
      </w:r>
    </w:p>
    <w:p w14:paraId="2F176F0F">
      <w:pPr>
        <w:tabs>
          <w:tab w:val="left" w:pos="3240"/>
        </w:tabs>
        <w:spacing w:line="400" w:lineRule="atLeast"/>
        <w:ind w:right="31" w:rightChars="15" w:firstLine="489" w:firstLineChars="204"/>
        <w:rPr>
          <w:rFonts w:ascii="Times New Roman" w:hAnsi="Times New Roman"/>
          <w:color w:val="auto"/>
          <w:sz w:val="24"/>
          <w:highlight w:val="none"/>
        </w:rPr>
      </w:pPr>
      <w:r>
        <w:rPr>
          <w:rFonts w:hint="eastAsia"/>
          <w:color w:val="auto"/>
          <w:sz w:val="24"/>
          <w:highlight w:val="none"/>
          <w:lang w:eastAsia="zh-CN"/>
        </w:rPr>
        <w:t>（2）</w:t>
      </w:r>
      <w:r>
        <w:rPr>
          <w:rFonts w:ascii="Times New Roman" w:hAnsi="Times New Roman"/>
          <w:color w:val="auto"/>
          <w:sz w:val="24"/>
          <w:highlight w:val="none"/>
        </w:rPr>
        <w:t xml:space="preserve"> 20</w:t>
      </w:r>
      <w:r>
        <w:rPr>
          <w:rFonts w:hint="eastAsia" w:ascii="Times New Roman" w:hAnsi="Times New Roman"/>
          <w:color w:val="auto"/>
          <w:sz w:val="24"/>
          <w:highlight w:val="none"/>
          <w:lang w:val="en-US" w:eastAsia="zh-CN"/>
        </w:rPr>
        <w:t>25</w:t>
      </w:r>
      <w:r>
        <w:rPr>
          <w:rFonts w:ascii="Times New Roman" w:hAnsi="Times New Roman"/>
          <w:color w:val="auto"/>
          <w:sz w:val="24"/>
          <w:highlight w:val="none"/>
        </w:rPr>
        <w:t>年年末总资产</w:t>
      </w:r>
      <w:r>
        <w:rPr>
          <w:rFonts w:hint="eastAsia"/>
          <w:color w:val="auto"/>
          <w:sz w:val="24"/>
          <w:highlight w:val="none"/>
          <w:lang w:val="en-US" w:eastAsia="zh-CN"/>
        </w:rPr>
        <w:t>150</w:t>
      </w:r>
      <w:r>
        <w:rPr>
          <w:rFonts w:ascii="Times New Roman" w:hAnsi="Times New Roman"/>
          <w:color w:val="auto"/>
          <w:sz w:val="24"/>
          <w:highlight w:val="none"/>
        </w:rPr>
        <w:t>亿元人民币以上</w:t>
      </w:r>
      <w:r>
        <w:rPr>
          <w:rFonts w:hint="eastAsia"/>
          <w:color w:val="auto"/>
          <w:sz w:val="24"/>
          <w:highlight w:val="none"/>
          <w:lang w:eastAsia="zh-CN"/>
        </w:rPr>
        <w:t>（</w:t>
      </w:r>
      <w:r>
        <w:rPr>
          <w:rFonts w:hint="eastAsia" w:ascii="Times New Roman" w:hAnsi="Times New Roman"/>
          <w:color w:val="auto"/>
          <w:sz w:val="24"/>
          <w:highlight w:val="none"/>
        </w:rPr>
        <w:t>或等值货币</w:t>
      </w:r>
      <w:r>
        <w:rPr>
          <w:rFonts w:hint="eastAsia"/>
          <w:color w:val="auto"/>
          <w:sz w:val="24"/>
          <w:highlight w:val="none"/>
          <w:lang w:eastAsia="zh-CN"/>
        </w:rPr>
        <w:t>）</w:t>
      </w:r>
      <w:r>
        <w:rPr>
          <w:rFonts w:ascii="Times New Roman" w:hAnsi="Times New Roman"/>
          <w:color w:val="auto"/>
          <w:sz w:val="24"/>
          <w:highlight w:val="none"/>
        </w:rPr>
        <w:t>；</w:t>
      </w:r>
    </w:p>
    <w:p w14:paraId="44796294">
      <w:pPr>
        <w:spacing w:line="400" w:lineRule="atLeast"/>
        <w:ind w:firstLine="480" w:firstLineChars="200"/>
        <w:rPr>
          <w:color w:val="auto"/>
          <w:sz w:val="24"/>
          <w:highlight w:val="none"/>
        </w:rPr>
      </w:pPr>
      <w:r>
        <w:rPr>
          <w:rFonts w:hint="eastAsia"/>
          <w:color w:val="auto"/>
          <w:sz w:val="24"/>
          <w:highlight w:val="none"/>
          <w:lang w:eastAsia="zh-CN"/>
        </w:rPr>
        <w:t>（3）</w:t>
      </w:r>
      <w:r>
        <w:rPr>
          <w:rFonts w:ascii="Times New Roman" w:hAnsi="Times New Roman"/>
          <w:color w:val="auto"/>
          <w:sz w:val="24"/>
          <w:highlight w:val="none"/>
        </w:rPr>
        <w:t xml:space="preserve"> 最近连续三年（20</w:t>
      </w:r>
      <w:r>
        <w:rPr>
          <w:rFonts w:hint="eastAsia"/>
          <w:color w:val="auto"/>
          <w:sz w:val="24"/>
          <w:highlight w:val="none"/>
          <w:lang w:val="en-US" w:eastAsia="zh-CN"/>
        </w:rPr>
        <w:t>23</w:t>
      </w:r>
      <w:r>
        <w:rPr>
          <w:rFonts w:ascii="Times New Roman" w:hAnsi="Times New Roman"/>
          <w:color w:val="auto"/>
          <w:sz w:val="24"/>
          <w:highlight w:val="none"/>
        </w:rPr>
        <w:t>年至20</w:t>
      </w:r>
      <w:r>
        <w:rPr>
          <w:rFonts w:hint="eastAsia"/>
          <w:color w:val="auto"/>
          <w:sz w:val="24"/>
          <w:highlight w:val="none"/>
          <w:lang w:val="en-US" w:eastAsia="zh-CN"/>
        </w:rPr>
        <w:t>25</w:t>
      </w:r>
      <w:r>
        <w:rPr>
          <w:rFonts w:ascii="Times New Roman" w:hAnsi="Times New Roman"/>
          <w:color w:val="auto"/>
          <w:sz w:val="24"/>
          <w:highlight w:val="none"/>
        </w:rPr>
        <w:t>年，如投标人成立不足三年，则自成立之日以来）每年均为盈利，且年度财务报告应当经具有法定资格的中介机构审计</w:t>
      </w:r>
      <w:r>
        <w:rPr>
          <w:rFonts w:hint="eastAsia" w:ascii="Times New Roman" w:hAnsi="Times New Roman"/>
          <w:color w:val="auto"/>
          <w:sz w:val="24"/>
          <w:highlight w:val="none"/>
        </w:rPr>
        <w:t>（如投标人成立时间不足一年，则财务</w:t>
      </w:r>
      <w:r>
        <w:rPr>
          <w:rFonts w:hint="eastAsia" w:ascii="Times New Roman" w:hAnsi="Times New Roman"/>
          <w:color w:val="auto"/>
          <w:sz w:val="24"/>
          <w:highlight w:val="none"/>
          <w:lang w:val="en-US" w:eastAsia="zh-CN"/>
        </w:rPr>
        <w:t>报表</w:t>
      </w:r>
      <w:r>
        <w:rPr>
          <w:rFonts w:hint="eastAsia" w:ascii="Times New Roman" w:hAnsi="Times New Roman"/>
          <w:color w:val="auto"/>
          <w:sz w:val="24"/>
          <w:highlight w:val="none"/>
        </w:rPr>
        <w:t>可不经审计，但投标人须对其提供的财务</w:t>
      </w:r>
      <w:r>
        <w:rPr>
          <w:rFonts w:hint="eastAsia" w:ascii="Times New Roman" w:hAnsi="Times New Roman"/>
          <w:color w:val="auto"/>
          <w:sz w:val="24"/>
          <w:highlight w:val="none"/>
          <w:lang w:val="en-US" w:eastAsia="zh-CN"/>
        </w:rPr>
        <w:t>报表</w:t>
      </w:r>
      <w:r>
        <w:rPr>
          <w:rFonts w:hint="eastAsia" w:ascii="Times New Roman" w:hAnsi="Times New Roman"/>
          <w:color w:val="auto"/>
          <w:sz w:val="24"/>
          <w:highlight w:val="none"/>
        </w:rPr>
        <w:t>的真实性负责）</w:t>
      </w:r>
      <w:r>
        <w:rPr>
          <w:rFonts w:ascii="Times New Roman" w:hAnsi="Times New Roman"/>
          <w:color w:val="auto"/>
          <w:sz w:val="24"/>
          <w:highlight w:val="none"/>
        </w:rPr>
        <w:t>；</w:t>
      </w:r>
      <w:r>
        <w:rPr>
          <w:rFonts w:hint="eastAsia"/>
          <w:color w:val="auto"/>
          <w:sz w:val="24"/>
          <w:highlight w:val="none"/>
        </w:rPr>
        <w:t>近三年</w:t>
      </w:r>
      <w:r>
        <w:rPr>
          <w:rFonts w:ascii="Times New Roman" w:hAnsi="Times New Roman"/>
          <w:color w:val="auto"/>
          <w:sz w:val="24"/>
          <w:highlight w:val="none"/>
        </w:rPr>
        <w:t>（20</w:t>
      </w:r>
      <w:r>
        <w:rPr>
          <w:rFonts w:hint="eastAsia" w:ascii="Times New Roman" w:hAnsi="Times New Roman"/>
          <w:color w:val="auto"/>
          <w:sz w:val="24"/>
          <w:highlight w:val="none"/>
          <w:lang w:val="en-US" w:eastAsia="zh-CN"/>
        </w:rPr>
        <w:t>23</w:t>
      </w:r>
      <w:r>
        <w:rPr>
          <w:rFonts w:ascii="Times New Roman" w:hAnsi="Times New Roman"/>
          <w:color w:val="auto"/>
          <w:sz w:val="24"/>
          <w:highlight w:val="none"/>
        </w:rPr>
        <w:t>年至20</w:t>
      </w:r>
      <w:r>
        <w:rPr>
          <w:rFonts w:hint="eastAsia" w:ascii="Times New Roman" w:hAnsi="Times New Roman"/>
          <w:color w:val="auto"/>
          <w:sz w:val="24"/>
          <w:highlight w:val="none"/>
          <w:lang w:val="en-US" w:eastAsia="zh-CN"/>
        </w:rPr>
        <w:t>25</w:t>
      </w:r>
      <w:r>
        <w:rPr>
          <w:rFonts w:ascii="Times New Roman" w:hAnsi="Times New Roman"/>
          <w:color w:val="auto"/>
          <w:sz w:val="24"/>
          <w:highlight w:val="none"/>
        </w:rPr>
        <w:t>年，如投标人成立不足三年，则其自成立之日以来）</w:t>
      </w:r>
      <w:r>
        <w:rPr>
          <w:rFonts w:hint="eastAsia"/>
          <w:color w:val="auto"/>
          <w:sz w:val="24"/>
          <w:highlight w:val="none"/>
        </w:rPr>
        <w:t>经营性现金净流量均为正值，</w:t>
      </w:r>
      <w:r>
        <w:rPr>
          <w:color w:val="auto"/>
          <w:sz w:val="24"/>
          <w:highlight w:val="none"/>
        </w:rPr>
        <w:t>没有处于财产被接管、</w:t>
      </w:r>
      <w:r>
        <w:rPr>
          <w:rFonts w:hint="eastAsia"/>
          <w:color w:val="auto"/>
          <w:sz w:val="24"/>
          <w:highlight w:val="none"/>
        </w:rPr>
        <w:t>冻结、</w:t>
      </w:r>
      <w:r>
        <w:rPr>
          <w:color w:val="auto"/>
          <w:sz w:val="24"/>
          <w:highlight w:val="none"/>
        </w:rPr>
        <w:t>破产或其他不良状态、无重大不良资产或不良投资项目；</w:t>
      </w:r>
    </w:p>
    <w:p w14:paraId="417C1E4E">
      <w:pPr>
        <w:tabs>
          <w:tab w:val="left" w:pos="3240"/>
        </w:tabs>
        <w:spacing w:line="400" w:lineRule="atLeast"/>
        <w:ind w:right="31" w:rightChars="15" w:firstLine="489" w:firstLineChars="204"/>
        <w:rPr>
          <w:rFonts w:ascii="Times New Roman" w:hAnsi="Times New Roman"/>
          <w:color w:val="auto"/>
          <w:sz w:val="24"/>
          <w:highlight w:val="none"/>
        </w:rPr>
      </w:pPr>
      <w:r>
        <w:rPr>
          <w:rFonts w:hint="eastAsia"/>
          <w:color w:val="auto"/>
          <w:sz w:val="24"/>
          <w:highlight w:val="none"/>
          <w:lang w:eastAsia="zh-CN"/>
        </w:rPr>
        <w:t>（4）</w:t>
      </w:r>
      <w:r>
        <w:rPr>
          <w:rFonts w:ascii="Times New Roman" w:hAnsi="Times New Roman"/>
          <w:color w:val="auto"/>
          <w:sz w:val="24"/>
          <w:highlight w:val="none"/>
        </w:rPr>
        <w:t xml:space="preserve"> 具有不低于项目总投资的投、融资能力，其中，20</w:t>
      </w:r>
      <w:r>
        <w:rPr>
          <w:rFonts w:hint="eastAsia" w:ascii="Times New Roman" w:hAnsi="Times New Roman"/>
          <w:color w:val="auto"/>
          <w:sz w:val="24"/>
          <w:highlight w:val="none"/>
          <w:lang w:val="en-US" w:eastAsia="zh-CN"/>
        </w:rPr>
        <w:t>25</w:t>
      </w:r>
      <w:r>
        <w:rPr>
          <w:rFonts w:ascii="Times New Roman" w:hAnsi="Times New Roman"/>
          <w:color w:val="auto"/>
          <w:sz w:val="24"/>
          <w:highlight w:val="none"/>
        </w:rPr>
        <w:t>年年末</w:t>
      </w:r>
      <w:r>
        <w:rPr>
          <w:rFonts w:hint="eastAsia"/>
          <w:color w:val="auto"/>
          <w:sz w:val="24"/>
          <w:highlight w:val="none"/>
        </w:rPr>
        <w:t>净资产不低于项目</w:t>
      </w:r>
      <w:r>
        <w:rPr>
          <w:rFonts w:hint="eastAsia"/>
          <w:color w:val="auto"/>
          <w:sz w:val="24"/>
          <w:highlight w:val="none"/>
          <w:lang w:val="en-US" w:eastAsia="zh-CN"/>
        </w:rPr>
        <w:t>概算总投资</w:t>
      </w:r>
      <w:r>
        <w:rPr>
          <w:rFonts w:hint="eastAsia"/>
          <w:color w:val="auto"/>
          <w:sz w:val="24"/>
          <w:highlight w:val="none"/>
        </w:rPr>
        <w:t>的百分之三十五</w:t>
      </w:r>
      <w:r>
        <w:rPr>
          <w:rFonts w:hint="eastAsia"/>
          <w:color w:val="auto"/>
          <w:sz w:val="24"/>
          <w:highlight w:val="none"/>
          <w:lang w:eastAsia="zh-CN"/>
        </w:rPr>
        <w:t>（</w:t>
      </w:r>
      <w:r>
        <w:rPr>
          <w:rFonts w:hint="eastAsia"/>
          <w:color w:val="auto"/>
          <w:sz w:val="24"/>
          <w:highlight w:val="none"/>
          <w:lang w:val="en-US" w:eastAsia="zh-CN"/>
        </w:rPr>
        <w:t>即58.96亿元</w:t>
      </w:r>
      <w:r>
        <w:rPr>
          <w:rFonts w:hint="eastAsia"/>
          <w:color w:val="auto"/>
          <w:sz w:val="24"/>
          <w:highlight w:val="none"/>
          <w:lang w:eastAsia="zh-CN"/>
        </w:rPr>
        <w:t>），</w:t>
      </w:r>
      <w:r>
        <w:rPr>
          <w:rFonts w:ascii="Times New Roman" w:hAnsi="Times New Roman"/>
          <w:color w:val="auto"/>
          <w:sz w:val="24"/>
          <w:highlight w:val="none"/>
        </w:rPr>
        <w:t>信贷能力（指截至投标截止日，投标人</w:t>
      </w:r>
      <w:r>
        <w:rPr>
          <w:rFonts w:hint="eastAsia"/>
          <w:color w:val="auto"/>
          <w:sz w:val="24"/>
          <w:highlight w:val="none"/>
          <w:lang w:val="en-US" w:eastAsia="zh-CN"/>
        </w:rPr>
        <w:t>任一</w:t>
      </w:r>
      <w:r>
        <w:rPr>
          <w:rFonts w:ascii="Times New Roman" w:hAnsi="Times New Roman"/>
          <w:color w:val="auto"/>
          <w:sz w:val="24"/>
          <w:highlight w:val="none"/>
        </w:rPr>
        <w:t>银行授信中贷款额度总额及</w:t>
      </w:r>
      <w:r>
        <w:rPr>
          <w:rFonts w:hint="eastAsia"/>
          <w:color w:val="auto"/>
          <w:sz w:val="24"/>
          <w:highlight w:val="none"/>
          <w:lang w:val="en-US" w:eastAsia="zh-CN"/>
        </w:rPr>
        <w:t>任一</w:t>
      </w:r>
      <w:r>
        <w:rPr>
          <w:rFonts w:ascii="Times New Roman" w:hAnsi="Times New Roman"/>
          <w:color w:val="auto"/>
          <w:sz w:val="24"/>
          <w:highlight w:val="none"/>
        </w:rPr>
        <w:t>银行贷款意向书中银行的</w:t>
      </w:r>
      <w:r>
        <w:rPr>
          <w:rFonts w:hint="eastAsia" w:ascii="Times New Roman" w:hAnsi="Times New Roman"/>
          <w:color w:val="auto"/>
          <w:sz w:val="24"/>
          <w:highlight w:val="none"/>
        </w:rPr>
        <w:t>意向</w:t>
      </w:r>
      <w:r>
        <w:rPr>
          <w:rFonts w:ascii="Times New Roman" w:hAnsi="Times New Roman"/>
          <w:color w:val="auto"/>
          <w:sz w:val="24"/>
          <w:highlight w:val="none"/>
        </w:rPr>
        <w:t>贷款额的合计金额）不低于</w:t>
      </w:r>
      <w:r>
        <w:rPr>
          <w:rFonts w:hint="eastAsia"/>
          <w:color w:val="auto"/>
          <w:sz w:val="24"/>
          <w:highlight w:val="none"/>
          <w:lang w:val="en-US" w:eastAsia="zh-CN"/>
        </w:rPr>
        <w:t>83.49</w:t>
      </w:r>
      <w:r>
        <w:rPr>
          <w:rFonts w:ascii="Times New Roman" w:hAnsi="Times New Roman"/>
          <w:color w:val="auto"/>
          <w:sz w:val="24"/>
          <w:highlight w:val="none"/>
        </w:rPr>
        <w:t>亿元；</w:t>
      </w:r>
    </w:p>
    <w:p w14:paraId="5C7495D7">
      <w:pPr>
        <w:tabs>
          <w:tab w:val="left" w:pos="3240"/>
        </w:tabs>
        <w:spacing w:line="400" w:lineRule="atLeast"/>
        <w:ind w:right="31" w:rightChars="15" w:firstLine="489" w:firstLineChars="204"/>
        <w:rPr>
          <w:rFonts w:ascii="Times New Roman" w:hAnsi="Times New Roman"/>
          <w:color w:val="auto"/>
          <w:sz w:val="24"/>
          <w:highlight w:val="none"/>
        </w:rPr>
      </w:pPr>
      <w:r>
        <w:rPr>
          <w:rFonts w:hint="eastAsia"/>
          <w:color w:val="auto"/>
          <w:sz w:val="24"/>
          <w:highlight w:val="none"/>
          <w:lang w:eastAsia="zh-CN"/>
        </w:rPr>
        <w:t>（5）</w:t>
      </w:r>
      <w:r>
        <w:rPr>
          <w:rFonts w:ascii="Times New Roman" w:hAnsi="Times New Roman"/>
          <w:color w:val="auto"/>
          <w:sz w:val="24"/>
          <w:highlight w:val="none"/>
        </w:rPr>
        <w:t xml:space="preserve"> </w:t>
      </w:r>
      <w:r>
        <w:rPr>
          <w:color w:val="auto"/>
          <w:sz w:val="24"/>
          <w:highlight w:val="none"/>
        </w:rPr>
        <w:t>商业信誉良好，</w:t>
      </w:r>
      <w:r>
        <w:rPr>
          <w:rFonts w:hint="eastAsia"/>
          <w:color w:val="auto"/>
          <w:sz w:val="24"/>
          <w:highlight w:val="none"/>
        </w:rPr>
        <w:t>在经济活动中无重大违法违规行为，近三年内财务会计资料无虚假记载、银行和税务信用评价系统或企业信用系统中无不良记录，且未被省级及以上交通运输主管部门取消项目所在地的投标资格或禁止进入该区域公路建设市场且处罚期未满的。</w:t>
      </w:r>
    </w:p>
    <w:p w14:paraId="663F1EF4">
      <w:pPr>
        <w:tabs>
          <w:tab w:val="left" w:pos="3240"/>
        </w:tabs>
        <w:spacing w:line="400" w:lineRule="atLeast"/>
        <w:ind w:right="31" w:rightChars="15" w:firstLine="489" w:firstLineChars="204"/>
        <w:rPr>
          <w:rFonts w:ascii="Times New Roman" w:hAnsi="Times New Roman"/>
          <w:color w:val="auto"/>
          <w:sz w:val="24"/>
          <w:highlight w:val="none"/>
        </w:rPr>
      </w:pPr>
      <w:r>
        <w:rPr>
          <w:rFonts w:hint="eastAsia"/>
          <w:color w:val="auto"/>
          <w:sz w:val="24"/>
          <w:highlight w:val="none"/>
          <w:lang w:eastAsia="zh-CN"/>
        </w:rPr>
        <w:t>（6）</w:t>
      </w:r>
      <w:r>
        <w:rPr>
          <w:rFonts w:ascii="Times New Roman" w:hAnsi="Times New Roman"/>
          <w:color w:val="auto"/>
          <w:sz w:val="24"/>
          <w:highlight w:val="none"/>
        </w:rPr>
        <w:t xml:space="preserve"> 在国家企业信用信息公示系统（http:// www.gsxt.gov.cn</w:t>
      </w:r>
      <w:r>
        <w:rPr>
          <w:rFonts w:hint="eastAsia"/>
          <w:color w:val="auto"/>
          <w:sz w:val="24"/>
          <w:highlight w:val="none"/>
          <w:lang w:eastAsia="zh-CN"/>
        </w:rPr>
        <w:t>）</w:t>
      </w:r>
      <w:r>
        <w:rPr>
          <w:rFonts w:ascii="Times New Roman" w:hAnsi="Times New Roman"/>
          <w:color w:val="auto"/>
          <w:sz w:val="24"/>
          <w:highlight w:val="none"/>
        </w:rPr>
        <w:t>中未被列入严重违法失信企业名单、在“信用中国”网站（http://www.creditchina.gov.cn</w:t>
      </w:r>
      <w:r>
        <w:rPr>
          <w:rFonts w:hint="eastAsia"/>
          <w:color w:val="auto"/>
          <w:sz w:val="24"/>
          <w:highlight w:val="none"/>
          <w:lang w:eastAsia="zh-CN"/>
        </w:rPr>
        <w:t>）</w:t>
      </w:r>
      <w:r>
        <w:rPr>
          <w:rFonts w:ascii="Times New Roman" w:hAnsi="Times New Roman"/>
          <w:color w:val="auto"/>
          <w:sz w:val="24"/>
          <w:highlight w:val="none"/>
        </w:rPr>
        <w:t>中未被列入失信被执行人名单。</w:t>
      </w:r>
    </w:p>
    <w:p w14:paraId="38B1E2C3">
      <w:pPr>
        <w:spacing w:line="400" w:lineRule="atLeast"/>
        <w:ind w:right="-55" w:rightChars="-26"/>
        <w:rPr>
          <w:rFonts w:hint="default" w:ascii="Times New Roman" w:hAnsi="Times New Roman" w:eastAsia="宋体"/>
          <w:color w:val="auto"/>
          <w:sz w:val="24"/>
          <w:highlight w:val="none"/>
          <w:lang w:val="en-US" w:eastAsia="zh-CN"/>
        </w:rPr>
      </w:pPr>
      <w:r>
        <w:rPr>
          <w:rFonts w:ascii="Times New Roman" w:hAnsi="Times New Roman"/>
          <w:color w:val="auto"/>
          <w:sz w:val="24"/>
          <w:highlight w:val="none"/>
        </w:rPr>
        <w:t>3.2 本次招标接受联合体投标</w:t>
      </w:r>
      <w:r>
        <w:rPr>
          <w:rFonts w:hint="eastAsia"/>
          <w:color w:val="auto"/>
          <w:sz w:val="24"/>
          <w:highlight w:val="none"/>
          <w:lang w:eastAsia="zh-CN"/>
        </w:rPr>
        <w:t>，</w:t>
      </w:r>
      <w:r>
        <w:rPr>
          <w:rFonts w:hint="eastAsia"/>
          <w:color w:val="auto"/>
          <w:sz w:val="24"/>
          <w:highlight w:val="none"/>
          <w:lang w:val="en-US" w:eastAsia="zh-CN"/>
        </w:rPr>
        <w:t>若为联合体投标，需满足以下要求：</w:t>
      </w:r>
    </w:p>
    <w:p w14:paraId="1DC038BB">
      <w:pPr>
        <w:tabs>
          <w:tab w:val="left" w:pos="3240"/>
        </w:tabs>
        <w:spacing w:line="400" w:lineRule="atLeast"/>
        <w:ind w:right="31" w:rightChars="15" w:firstLine="489" w:firstLineChars="204"/>
        <w:jc w:val="left"/>
        <w:rPr>
          <w:rFonts w:ascii="Times New Roman" w:hAnsi="Times New Roman"/>
          <w:color w:val="auto"/>
          <w:sz w:val="24"/>
          <w:highlight w:val="none"/>
        </w:rPr>
      </w:pPr>
      <w:r>
        <w:rPr>
          <w:rFonts w:hint="eastAsia"/>
          <w:color w:val="auto"/>
          <w:sz w:val="24"/>
          <w:highlight w:val="none"/>
          <w:lang w:eastAsia="zh-CN"/>
        </w:rPr>
        <w:t>（1）</w:t>
      </w:r>
      <w:r>
        <w:rPr>
          <w:rFonts w:ascii="Times New Roman" w:hAnsi="Times New Roman"/>
          <w:color w:val="auto"/>
          <w:sz w:val="24"/>
          <w:highlight w:val="none"/>
        </w:rPr>
        <w:t xml:space="preserve"> 联合体各成员均</w:t>
      </w:r>
      <w:r>
        <w:rPr>
          <w:rFonts w:hint="eastAsia"/>
          <w:color w:val="auto"/>
          <w:sz w:val="24"/>
          <w:highlight w:val="none"/>
          <w:lang w:val="en-US" w:eastAsia="zh-CN"/>
        </w:rPr>
        <w:t>须</w:t>
      </w:r>
      <w:r>
        <w:rPr>
          <w:rFonts w:ascii="Times New Roman" w:hAnsi="Times New Roman"/>
          <w:color w:val="auto"/>
          <w:sz w:val="24"/>
          <w:highlight w:val="none"/>
        </w:rPr>
        <w:t>满足3.1款的第</w:t>
      </w:r>
      <w:r>
        <w:rPr>
          <w:rFonts w:hint="eastAsia"/>
          <w:color w:val="auto"/>
          <w:sz w:val="24"/>
          <w:highlight w:val="none"/>
          <w:lang w:eastAsia="zh-CN"/>
        </w:rPr>
        <w:t>（</w:t>
      </w:r>
      <w:r>
        <w:rPr>
          <w:rFonts w:ascii="Times New Roman" w:hAnsi="Times New Roman"/>
          <w:color w:val="auto"/>
          <w:sz w:val="24"/>
          <w:highlight w:val="none"/>
        </w:rPr>
        <w:t>1</w:t>
      </w:r>
      <w:r>
        <w:rPr>
          <w:rFonts w:hint="eastAsia"/>
          <w:color w:val="auto"/>
          <w:sz w:val="24"/>
          <w:highlight w:val="none"/>
          <w:lang w:eastAsia="zh-CN"/>
        </w:rPr>
        <w:t>）</w:t>
      </w:r>
      <w:r>
        <w:rPr>
          <w:rFonts w:ascii="Times New Roman" w:hAnsi="Times New Roman"/>
          <w:color w:val="auto"/>
          <w:sz w:val="24"/>
          <w:highlight w:val="none"/>
        </w:rPr>
        <w:t>、</w:t>
      </w:r>
      <w:r>
        <w:rPr>
          <w:rFonts w:hint="eastAsia"/>
          <w:color w:val="auto"/>
          <w:sz w:val="24"/>
          <w:highlight w:val="none"/>
          <w:lang w:eastAsia="zh-CN"/>
        </w:rPr>
        <w:t>（3）、（5）、（</w:t>
      </w:r>
      <w:r>
        <w:rPr>
          <w:rFonts w:hint="eastAsia"/>
          <w:color w:val="auto"/>
          <w:sz w:val="24"/>
          <w:highlight w:val="none"/>
          <w:lang w:val="en-US" w:eastAsia="zh-CN"/>
        </w:rPr>
        <w:t>6）</w:t>
      </w:r>
      <w:r>
        <w:rPr>
          <w:rFonts w:ascii="Times New Roman" w:hAnsi="Times New Roman"/>
          <w:color w:val="auto"/>
          <w:sz w:val="24"/>
          <w:highlight w:val="none"/>
        </w:rPr>
        <w:t>项的要求；</w:t>
      </w:r>
    </w:p>
    <w:p w14:paraId="3573FF24">
      <w:pPr>
        <w:tabs>
          <w:tab w:val="left" w:pos="3240"/>
        </w:tabs>
        <w:spacing w:line="400" w:lineRule="atLeast"/>
        <w:ind w:right="31" w:rightChars="15" w:firstLine="489" w:firstLineChars="204"/>
        <w:rPr>
          <w:rFonts w:ascii="Times New Roman" w:hAnsi="Times New Roman"/>
          <w:color w:val="auto"/>
          <w:sz w:val="24"/>
          <w:highlight w:val="none"/>
        </w:rPr>
      </w:pPr>
      <w:r>
        <w:rPr>
          <w:rFonts w:hint="eastAsia"/>
          <w:color w:val="auto"/>
          <w:sz w:val="24"/>
          <w:highlight w:val="none"/>
          <w:lang w:eastAsia="zh-CN"/>
        </w:rPr>
        <w:t>（2）</w:t>
      </w:r>
      <w:r>
        <w:rPr>
          <w:rFonts w:ascii="Times New Roman" w:hAnsi="Times New Roman"/>
          <w:color w:val="auto"/>
          <w:sz w:val="24"/>
          <w:highlight w:val="none"/>
        </w:rPr>
        <w:t xml:space="preserve"> 联合体</w:t>
      </w:r>
      <w:r>
        <w:rPr>
          <w:rFonts w:hint="eastAsia"/>
          <w:color w:val="auto"/>
          <w:sz w:val="24"/>
          <w:highlight w:val="none"/>
          <w:lang w:val="en-US" w:eastAsia="zh-CN"/>
        </w:rPr>
        <w:t>牵头人须</w:t>
      </w:r>
      <w:r>
        <w:rPr>
          <w:rFonts w:ascii="Times New Roman" w:hAnsi="Times New Roman"/>
          <w:color w:val="auto"/>
          <w:sz w:val="24"/>
          <w:highlight w:val="none"/>
        </w:rPr>
        <w:t>满足3.1款</w:t>
      </w:r>
      <w:r>
        <w:rPr>
          <w:rFonts w:hint="eastAsia"/>
          <w:color w:val="auto"/>
          <w:sz w:val="24"/>
          <w:highlight w:val="none"/>
          <w:lang w:val="en-US" w:eastAsia="zh-CN"/>
        </w:rPr>
        <w:t>各</w:t>
      </w:r>
      <w:r>
        <w:rPr>
          <w:rFonts w:ascii="Times New Roman" w:hAnsi="Times New Roman"/>
          <w:color w:val="auto"/>
          <w:sz w:val="24"/>
          <w:highlight w:val="none"/>
        </w:rPr>
        <w:t>项的要求；</w:t>
      </w:r>
    </w:p>
    <w:p w14:paraId="5AF0F0E4">
      <w:pPr>
        <w:tabs>
          <w:tab w:val="left" w:pos="3240"/>
        </w:tabs>
        <w:spacing w:line="400" w:lineRule="atLeast"/>
        <w:ind w:right="31" w:rightChars="15" w:firstLine="489" w:firstLineChars="204"/>
        <w:rPr>
          <w:rFonts w:ascii="Times New Roman" w:hAnsi="Times New Roman"/>
          <w:color w:val="auto"/>
          <w:sz w:val="24"/>
          <w:highlight w:val="none"/>
        </w:rPr>
      </w:pPr>
      <w:r>
        <w:rPr>
          <w:rFonts w:hint="eastAsia"/>
          <w:color w:val="auto"/>
          <w:sz w:val="24"/>
          <w:highlight w:val="none"/>
          <w:lang w:eastAsia="zh-CN"/>
        </w:rPr>
        <w:t>（3）</w:t>
      </w:r>
      <w:r>
        <w:rPr>
          <w:rFonts w:ascii="Times New Roman" w:hAnsi="Times New Roman"/>
          <w:color w:val="auto"/>
          <w:sz w:val="24"/>
          <w:highlight w:val="none"/>
        </w:rPr>
        <w:t xml:space="preserve"> 联合体所有成员数量不得超过</w:t>
      </w:r>
      <w:r>
        <w:rPr>
          <w:rFonts w:hint="eastAsia"/>
          <w:color w:val="auto"/>
          <w:sz w:val="24"/>
          <w:highlight w:val="none"/>
          <w:lang w:val="en-US" w:eastAsia="zh-CN"/>
        </w:rPr>
        <w:t>5</w:t>
      </w:r>
      <w:r>
        <w:rPr>
          <w:rFonts w:ascii="Times New Roman" w:hAnsi="Times New Roman"/>
          <w:color w:val="auto"/>
          <w:sz w:val="24"/>
          <w:highlight w:val="none"/>
        </w:rPr>
        <w:t>家。</w:t>
      </w:r>
    </w:p>
    <w:p w14:paraId="48E51AA3">
      <w:pPr>
        <w:tabs>
          <w:tab w:val="left" w:pos="3240"/>
        </w:tabs>
        <w:spacing w:line="400" w:lineRule="atLeast"/>
        <w:ind w:right="31" w:rightChars="15"/>
        <w:rPr>
          <w:rFonts w:ascii="Times New Roman" w:hAnsi="Times New Roman"/>
          <w:color w:val="auto"/>
          <w:sz w:val="24"/>
          <w:highlight w:val="none"/>
        </w:rPr>
      </w:pPr>
      <w:r>
        <w:rPr>
          <w:rFonts w:ascii="Times New Roman" w:hAnsi="Times New Roman"/>
          <w:color w:val="auto"/>
          <w:sz w:val="24"/>
          <w:highlight w:val="none"/>
        </w:rPr>
        <w:t>3.3 单位负责人为同一人或者存在控股、管理关系的不同单位，不得同时参加本项目投标，否则，相关投标将均被否决。</w:t>
      </w:r>
    </w:p>
    <w:bookmarkEnd w:id="0"/>
    <w:bookmarkEnd w:id="1"/>
    <w:p w14:paraId="6133C0D4">
      <w:pPr>
        <w:pStyle w:val="3"/>
        <w:topLinePunct/>
        <w:spacing w:line="400" w:lineRule="atLeast"/>
        <w:rPr>
          <w:rFonts w:ascii="Times New Roman" w:hAnsi="Times New Roman" w:eastAsia="黑体"/>
          <w:color w:val="auto"/>
          <w:szCs w:val="24"/>
          <w:highlight w:val="none"/>
        </w:rPr>
      </w:pPr>
      <w:r>
        <w:rPr>
          <w:rFonts w:hint="eastAsia" w:ascii="Times New Roman"/>
          <w:bCs/>
          <w:color w:val="auto"/>
          <w:szCs w:val="24"/>
          <w:highlight w:val="none"/>
          <w:lang w:eastAsia="zh-CN"/>
        </w:rPr>
        <w:t>4.</w:t>
      </w:r>
      <w:r>
        <w:rPr>
          <w:rFonts w:ascii="Times New Roman" w:hAnsi="Times New Roman" w:eastAsia="黑体"/>
          <w:color w:val="auto"/>
          <w:szCs w:val="24"/>
          <w:highlight w:val="none"/>
        </w:rPr>
        <w:t>招标文件的获取</w:t>
      </w:r>
    </w:p>
    <w:p w14:paraId="3A82496D">
      <w:pPr>
        <w:topLinePunct/>
        <w:spacing w:line="400" w:lineRule="atLeast"/>
        <w:ind w:firstLine="480" w:firstLineChars="200"/>
        <w:rPr>
          <w:color w:val="auto"/>
          <w:sz w:val="24"/>
          <w:highlight w:val="none"/>
        </w:rPr>
      </w:pP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凡有意参加投标者，请于</w:t>
      </w:r>
      <w:r>
        <w:rPr>
          <w:rFonts w:hint="eastAsia" w:ascii="Times New Roman" w:hAnsi="Times New Roman"/>
          <w:color w:val="auto"/>
          <w:sz w:val="24"/>
          <w:highlight w:val="none"/>
          <w:lang w:val="en-US" w:eastAsia="zh-CN"/>
        </w:rPr>
        <w:t>20</w:t>
      </w:r>
      <w:r>
        <w:rPr>
          <w:rFonts w:hint="eastAsia"/>
          <w:color w:val="auto"/>
          <w:sz w:val="24"/>
          <w:highlight w:val="none"/>
          <w:lang w:val="en-US" w:eastAsia="zh-CN"/>
        </w:rPr>
        <w:t>26</w:t>
      </w:r>
      <w:r>
        <w:rPr>
          <w:rFonts w:hint="eastAsia" w:ascii="Times New Roman" w:hAnsi="Times New Roman"/>
          <w:color w:val="auto"/>
          <w:sz w:val="24"/>
          <w:highlight w:val="none"/>
        </w:rPr>
        <w:t>年</w:t>
      </w:r>
      <w:r>
        <w:rPr>
          <w:rFonts w:hint="eastAsia"/>
          <w:color w:val="auto"/>
          <w:sz w:val="24"/>
          <w:highlight w:val="none"/>
          <w:lang w:val="en-US" w:eastAsia="zh-CN"/>
        </w:rPr>
        <w:t>6</w:t>
      </w:r>
      <w:r>
        <w:rPr>
          <w:rFonts w:hint="eastAsia" w:ascii="Times New Roman" w:hAnsi="Times New Roman"/>
          <w:color w:val="auto"/>
          <w:sz w:val="24"/>
          <w:highlight w:val="none"/>
        </w:rPr>
        <w:t>月</w:t>
      </w:r>
      <w:r>
        <w:rPr>
          <w:rFonts w:hint="eastAsia"/>
          <w:color w:val="auto"/>
          <w:sz w:val="24"/>
          <w:highlight w:val="none"/>
          <w:lang w:val="en-US" w:eastAsia="zh-CN"/>
        </w:rPr>
        <w:t>25</w:t>
      </w:r>
      <w:r>
        <w:rPr>
          <w:rFonts w:hint="eastAsia" w:ascii="Times New Roman" w:hAnsi="Times New Roman"/>
          <w:color w:val="auto"/>
          <w:sz w:val="24"/>
          <w:highlight w:val="none"/>
        </w:rPr>
        <w:t>日</w:t>
      </w:r>
      <w:r>
        <w:rPr>
          <w:rFonts w:hint="eastAsia"/>
          <w:color w:val="auto"/>
          <w:sz w:val="24"/>
          <w:highlight w:val="none"/>
          <w:lang w:val="en-US" w:eastAsia="zh-CN"/>
        </w:rPr>
        <w:t>17</w:t>
      </w:r>
      <w:r>
        <w:rPr>
          <w:rFonts w:hint="eastAsia" w:ascii="Times New Roman" w:hAnsi="Times New Roman"/>
          <w:color w:val="auto"/>
          <w:sz w:val="24"/>
          <w:highlight w:val="none"/>
        </w:rPr>
        <w:t>时</w:t>
      </w:r>
      <w:r>
        <w:rPr>
          <w:rFonts w:hint="eastAsia"/>
          <w:color w:val="auto"/>
          <w:sz w:val="24"/>
          <w:highlight w:val="none"/>
          <w:lang w:val="en-US" w:eastAsia="zh-CN"/>
        </w:rPr>
        <w:t>00分</w:t>
      </w:r>
      <w:r>
        <w:rPr>
          <w:rFonts w:hint="eastAsia" w:ascii="Times New Roman" w:hAnsi="Times New Roman"/>
          <w:color w:val="auto"/>
          <w:sz w:val="24"/>
          <w:highlight w:val="none"/>
        </w:rPr>
        <w:t xml:space="preserve">至 </w:t>
      </w:r>
      <w:r>
        <w:rPr>
          <w:rFonts w:hint="eastAsia" w:ascii="Times New Roman" w:hAnsi="Times New Roman"/>
          <w:color w:val="auto"/>
          <w:sz w:val="24"/>
          <w:highlight w:val="none"/>
          <w:lang w:val="en-US" w:eastAsia="zh-CN"/>
        </w:rPr>
        <w:t>20</w:t>
      </w:r>
      <w:r>
        <w:rPr>
          <w:rFonts w:hint="eastAsia"/>
          <w:color w:val="auto"/>
          <w:sz w:val="24"/>
          <w:highlight w:val="none"/>
          <w:lang w:val="en-US" w:eastAsia="zh-CN"/>
        </w:rPr>
        <w:t>26</w:t>
      </w:r>
      <w:r>
        <w:rPr>
          <w:rFonts w:hint="eastAsia" w:ascii="Times New Roman" w:hAnsi="Times New Roman"/>
          <w:color w:val="auto"/>
          <w:sz w:val="24"/>
          <w:highlight w:val="none"/>
        </w:rPr>
        <w:t>年</w:t>
      </w:r>
      <w:r>
        <w:rPr>
          <w:rFonts w:hint="eastAsia"/>
          <w:color w:val="auto"/>
          <w:sz w:val="24"/>
          <w:highlight w:val="none"/>
          <w:lang w:val="en-US" w:eastAsia="zh-CN"/>
        </w:rPr>
        <w:t>7</w:t>
      </w:r>
      <w:r>
        <w:rPr>
          <w:rFonts w:hint="eastAsia" w:ascii="Times New Roman" w:hAnsi="Times New Roman"/>
          <w:color w:val="auto"/>
          <w:sz w:val="24"/>
          <w:highlight w:val="none"/>
        </w:rPr>
        <w:t>月</w:t>
      </w:r>
      <w:r>
        <w:rPr>
          <w:rFonts w:hint="eastAsia"/>
          <w:color w:val="auto"/>
          <w:sz w:val="24"/>
          <w:highlight w:val="none"/>
          <w:lang w:val="en-US" w:eastAsia="zh-CN"/>
        </w:rPr>
        <w:t>1</w:t>
      </w:r>
      <w:r>
        <w:rPr>
          <w:rFonts w:hint="eastAsia" w:ascii="Times New Roman" w:hAnsi="Times New Roman"/>
          <w:color w:val="auto"/>
          <w:sz w:val="24"/>
          <w:highlight w:val="none"/>
        </w:rPr>
        <w:t>日</w:t>
      </w:r>
      <w:r>
        <w:rPr>
          <w:rFonts w:hint="eastAsia"/>
          <w:color w:val="auto"/>
          <w:sz w:val="24"/>
          <w:highlight w:val="none"/>
          <w:lang w:val="en-US" w:eastAsia="zh-CN"/>
        </w:rPr>
        <w:t>23</w:t>
      </w:r>
      <w:r>
        <w:rPr>
          <w:rFonts w:hint="eastAsia" w:ascii="Times New Roman" w:hAnsi="Times New Roman"/>
          <w:color w:val="auto"/>
          <w:sz w:val="24"/>
          <w:highlight w:val="none"/>
        </w:rPr>
        <w:t>时</w:t>
      </w:r>
      <w:r>
        <w:rPr>
          <w:rFonts w:hint="eastAsia"/>
          <w:color w:val="auto"/>
          <w:sz w:val="24"/>
          <w:highlight w:val="none"/>
          <w:lang w:val="en-US" w:eastAsia="zh-CN"/>
        </w:rPr>
        <w:t>59分</w:t>
      </w:r>
      <w:r>
        <w:rPr>
          <w:rFonts w:hint="eastAsia" w:ascii="Times New Roman" w:hAnsi="Times New Roman"/>
          <w:color w:val="auto"/>
          <w:sz w:val="24"/>
          <w:highlight w:val="none"/>
        </w:rPr>
        <w:t>（北京时间，下同） ，</w:t>
      </w:r>
      <w:r>
        <w:rPr>
          <w:rFonts w:hint="eastAsia"/>
          <w:color w:val="auto"/>
          <w:sz w:val="24"/>
          <w:highlight w:val="none"/>
        </w:rPr>
        <w:t>登录云南省公共资源交易信息网（网址：http://ggzy.yn.gov.cn），选择“昭通市”，</w:t>
      </w:r>
      <w:r>
        <w:rPr>
          <w:color w:val="auto"/>
          <w:sz w:val="24"/>
          <w:highlight w:val="none"/>
        </w:rPr>
        <w:t>凭企业数字证书（CA）在网上获取电子招标文件及其它招标资料</w:t>
      </w:r>
      <w:r>
        <w:rPr>
          <w:rFonts w:hint="eastAsia"/>
          <w:color w:val="auto"/>
          <w:sz w:val="24"/>
          <w:highlight w:val="none"/>
        </w:rPr>
        <w:t>，电子招标文件格式为*.BZBJ</w:t>
      </w:r>
      <w:r>
        <w:rPr>
          <w:color w:val="auto"/>
          <w:sz w:val="24"/>
          <w:highlight w:val="none"/>
        </w:rPr>
        <w:t>；未办理企业数字证书（CA）的企业需要按照云南省公共资源交易电子认证的要求，办理企业数字证书（CA），并在</w:t>
      </w:r>
      <w:r>
        <w:rPr>
          <w:rFonts w:hint="eastAsia"/>
          <w:color w:val="auto"/>
          <w:sz w:val="24"/>
          <w:highlight w:val="none"/>
        </w:rPr>
        <w:t>云南省公共资源交易信息网（网址：http://ggzy.yn.gov.cn），选择“昭通市”</w:t>
      </w:r>
      <w:r>
        <w:rPr>
          <w:color w:val="auto"/>
          <w:sz w:val="24"/>
          <w:highlight w:val="none"/>
        </w:rPr>
        <w:t>（CA</w:t>
      </w:r>
      <w:r>
        <w:rPr>
          <w:rFonts w:hint="eastAsia"/>
          <w:color w:val="auto"/>
          <w:sz w:val="24"/>
          <w:highlight w:val="none"/>
        </w:rPr>
        <w:t>办理</w:t>
      </w:r>
      <w:r>
        <w:rPr>
          <w:color w:val="auto"/>
          <w:sz w:val="24"/>
          <w:highlight w:val="none"/>
        </w:rPr>
        <w:t>）完成注册通过后，获取招标文件。</w:t>
      </w:r>
      <w:r>
        <w:rPr>
          <w:b/>
          <w:bCs/>
          <w:color w:val="auto"/>
          <w:sz w:val="24"/>
          <w:highlight w:val="none"/>
        </w:rPr>
        <w:t>注：此为获取招标文件的唯一途径。</w:t>
      </w:r>
    </w:p>
    <w:p w14:paraId="32402947">
      <w:pPr>
        <w:spacing w:line="400" w:lineRule="atLeast"/>
        <w:rPr>
          <w:rFonts w:ascii="Times New Roman" w:hAnsi="Times New Roman" w:eastAsia="黑体"/>
          <w:color w:val="auto"/>
          <w:sz w:val="24"/>
          <w:highlight w:val="none"/>
        </w:rPr>
      </w:pPr>
      <w:r>
        <w:rPr>
          <w:rFonts w:hint="eastAsia"/>
          <w:color w:val="auto"/>
          <w:sz w:val="24"/>
          <w:highlight w:val="none"/>
          <w:lang w:eastAsia="zh-CN"/>
        </w:rPr>
        <w:t>5.</w:t>
      </w:r>
      <w:r>
        <w:rPr>
          <w:rFonts w:ascii="Times New Roman" w:hAnsi="Times New Roman" w:eastAsia="黑体"/>
          <w:color w:val="auto"/>
          <w:sz w:val="24"/>
          <w:highlight w:val="none"/>
        </w:rPr>
        <w:t>投标文件的递交及相关事宜</w:t>
      </w:r>
    </w:p>
    <w:p w14:paraId="09FAFF75">
      <w:pPr>
        <w:spacing w:line="400" w:lineRule="atLeast"/>
        <w:rPr>
          <w:rFonts w:ascii="Times New Roman" w:hAnsi="Times New Roman"/>
          <w:color w:val="auto"/>
          <w:sz w:val="24"/>
          <w:highlight w:val="none"/>
        </w:rPr>
      </w:pPr>
      <w:r>
        <w:rPr>
          <w:rFonts w:ascii="Times New Roman" w:hAnsi="Times New Roman"/>
          <w:color w:val="auto"/>
          <w:sz w:val="24"/>
          <w:highlight w:val="none"/>
        </w:rPr>
        <w:t>5.1招标人不组织投标人进行工程现场踏勘，不组织召开投标预备会。</w:t>
      </w:r>
    </w:p>
    <w:p w14:paraId="18839C37">
      <w:pPr>
        <w:topLinePunct/>
        <w:spacing w:line="400" w:lineRule="atLeast"/>
        <w:rPr>
          <w:rFonts w:ascii="Times New Roman" w:hAnsi="Times New Roman"/>
          <w:color w:val="auto"/>
          <w:sz w:val="24"/>
          <w:highlight w:val="none"/>
        </w:rPr>
      </w:pPr>
      <w:r>
        <w:rPr>
          <w:rFonts w:ascii="Times New Roman" w:hAnsi="Times New Roman"/>
          <w:color w:val="auto"/>
          <w:sz w:val="24"/>
          <w:highlight w:val="none"/>
        </w:rPr>
        <w:t>5.2 投标文件递交的截止时间（投标截止时间，下同）为20</w:t>
      </w:r>
      <w:r>
        <w:rPr>
          <w:rFonts w:hint="eastAsia"/>
          <w:color w:val="auto"/>
          <w:sz w:val="24"/>
          <w:highlight w:val="none"/>
          <w:lang w:val="en-US" w:eastAsia="zh-CN"/>
        </w:rPr>
        <w:t>26</w:t>
      </w:r>
      <w:r>
        <w:rPr>
          <w:rFonts w:ascii="Times New Roman" w:hAnsi="Times New Roman"/>
          <w:color w:val="auto"/>
          <w:sz w:val="24"/>
          <w:highlight w:val="none"/>
        </w:rPr>
        <w:t>年</w:t>
      </w:r>
      <w:r>
        <w:rPr>
          <w:rFonts w:hint="eastAsia"/>
          <w:color w:val="auto"/>
          <w:sz w:val="24"/>
          <w:highlight w:val="none"/>
          <w:lang w:val="en-US" w:eastAsia="zh-CN"/>
        </w:rPr>
        <w:t>8</w:t>
      </w:r>
      <w:r>
        <w:rPr>
          <w:rFonts w:ascii="Times New Roman" w:hAnsi="Times New Roman"/>
          <w:color w:val="auto"/>
          <w:sz w:val="24"/>
          <w:highlight w:val="none"/>
        </w:rPr>
        <w:t>月</w:t>
      </w:r>
      <w:r>
        <w:rPr>
          <w:rFonts w:hint="eastAsia"/>
          <w:color w:val="auto"/>
          <w:sz w:val="24"/>
          <w:highlight w:val="none"/>
          <w:lang w:val="en-US" w:eastAsia="zh-CN"/>
        </w:rPr>
        <w:t>28</w:t>
      </w:r>
      <w:r>
        <w:rPr>
          <w:rFonts w:ascii="Times New Roman" w:hAnsi="Times New Roman"/>
          <w:color w:val="auto"/>
          <w:sz w:val="24"/>
          <w:highlight w:val="none"/>
        </w:rPr>
        <w:t>日09时</w:t>
      </w:r>
      <w:r>
        <w:rPr>
          <w:rFonts w:hint="eastAsia"/>
          <w:color w:val="auto"/>
          <w:sz w:val="24"/>
          <w:highlight w:val="none"/>
          <w:lang w:val="en-US" w:eastAsia="zh-CN"/>
        </w:rPr>
        <w:t>30</w:t>
      </w:r>
      <w:r>
        <w:rPr>
          <w:rFonts w:ascii="Times New Roman" w:hAnsi="Times New Roman"/>
          <w:color w:val="auto"/>
          <w:sz w:val="24"/>
          <w:highlight w:val="none"/>
        </w:rPr>
        <w:t>分。</w:t>
      </w:r>
    </w:p>
    <w:p w14:paraId="3FBD9DF9">
      <w:pPr>
        <w:topLinePunct/>
        <w:spacing w:line="400" w:lineRule="atLeast"/>
        <w:ind w:firstLine="480" w:firstLineChars="200"/>
        <w:rPr>
          <w:rFonts w:hint="default" w:ascii="Times New Roman" w:hAnsi="Times New Roman"/>
          <w:color w:val="auto"/>
          <w:sz w:val="24"/>
          <w:highlight w:val="none"/>
        </w:rPr>
      </w:pPr>
      <w:r>
        <w:rPr>
          <w:rFonts w:hint="default" w:ascii="Times New Roman" w:hAnsi="Times New Roman" w:eastAsia="宋体" w:cs="Times New Roman"/>
          <w:color w:val="auto"/>
          <w:sz w:val="24"/>
          <w:highlight w:val="none"/>
        </w:rPr>
        <w:t>网上递交：递交网址：</w:t>
      </w:r>
      <w:r>
        <w:rPr>
          <w:rFonts w:hint="default" w:ascii="Times New Roman" w:hAnsi="Times New Roman" w:eastAsia="宋体" w:cs="Times New Roman"/>
          <w:color w:val="auto"/>
          <w:sz w:val="24"/>
          <w:highlight w:val="none"/>
          <w:lang w:val="en-US" w:eastAsia="zh-CN"/>
        </w:rPr>
        <w:t>云南省公共资源交易信息网（网址</w:t>
      </w:r>
      <w:r>
        <w:rPr>
          <w:rFonts w:hint="default" w:ascii="Times New Roman" w:hAnsi="Times New Roman" w:eastAsia="宋体" w:cs="Times New Roman"/>
          <w:color w:val="auto"/>
          <w:sz w:val="24"/>
          <w:highlight w:val="none"/>
          <w:u w:val="none"/>
          <w:lang w:val="en-US" w:eastAsia="zh-CN"/>
        </w:rPr>
        <w:t>：</w:t>
      </w:r>
      <w:r>
        <w:rPr>
          <w:rFonts w:hint="default" w:ascii="Times New Roman" w:hAnsi="Times New Roman" w:eastAsia="宋体" w:cs="Times New Roman"/>
          <w:color w:val="auto"/>
          <w:sz w:val="24"/>
          <w:highlight w:val="none"/>
          <w:u w:val="none"/>
          <w:lang w:val="en-US" w:eastAsia="zh-CN"/>
        </w:rPr>
        <w:fldChar w:fldCharType="begin"/>
      </w:r>
      <w:r>
        <w:rPr>
          <w:rFonts w:hint="default" w:ascii="Times New Roman" w:hAnsi="Times New Roman" w:eastAsia="宋体" w:cs="Times New Roman"/>
          <w:color w:val="auto"/>
          <w:sz w:val="24"/>
          <w:highlight w:val="none"/>
          <w:u w:val="none"/>
          <w:lang w:val="en-US" w:eastAsia="zh-CN"/>
        </w:rPr>
        <w:instrText xml:space="preserve"> HYPERLINK "http://ggzy.yn.gov.cn，选择" </w:instrText>
      </w:r>
      <w:r>
        <w:rPr>
          <w:rFonts w:hint="default" w:ascii="Times New Roman" w:hAnsi="Times New Roman" w:eastAsia="宋体" w:cs="Times New Roman"/>
          <w:color w:val="auto"/>
          <w:sz w:val="24"/>
          <w:highlight w:val="none"/>
          <w:u w:val="none"/>
          <w:lang w:val="en-US" w:eastAsia="zh-CN"/>
        </w:rPr>
        <w:fldChar w:fldCharType="separate"/>
      </w:r>
      <w:r>
        <w:rPr>
          <w:rFonts w:hint="default" w:ascii="Times New Roman" w:hAnsi="Times New Roman" w:eastAsia="宋体" w:cs="Times New Roman"/>
          <w:color w:val="auto"/>
          <w:sz w:val="24"/>
          <w:highlight w:val="none"/>
          <w:u w:val="none"/>
          <w:lang w:val="en-US" w:eastAsia="zh-CN"/>
        </w:rPr>
        <w:t>http://ggzy.yn.gov.cn，选择</w:t>
      </w:r>
      <w:r>
        <w:rPr>
          <w:rFonts w:hint="default" w:ascii="Times New Roman" w:hAnsi="Times New Roman" w:eastAsia="宋体" w:cs="Times New Roman"/>
          <w:color w:val="auto"/>
          <w:sz w:val="24"/>
          <w:highlight w:val="none"/>
          <w:u w:val="none"/>
          <w:lang w:val="en-US" w:eastAsia="zh-CN"/>
        </w:rPr>
        <w:fldChar w:fldCharType="end"/>
      </w:r>
      <w:r>
        <w:rPr>
          <w:rFonts w:hint="default" w:ascii="Times New Roman" w:hAnsi="Times New Roman" w:eastAsia="宋体" w:cs="Times New Roman"/>
          <w:color w:val="auto"/>
          <w:sz w:val="24"/>
          <w:highlight w:val="none"/>
          <w:u w:val="none"/>
          <w:lang w:val="en-US" w:eastAsia="zh-CN"/>
        </w:rPr>
        <w:t>“</w:t>
      </w:r>
      <w:r>
        <w:rPr>
          <w:rFonts w:hint="default" w:ascii="Times New Roman" w:hAnsi="Times New Roman" w:eastAsia="宋体" w:cs="Times New Roman"/>
          <w:color w:val="auto"/>
          <w:sz w:val="24"/>
          <w:highlight w:val="none"/>
          <w:lang w:val="en-US" w:eastAsia="zh-CN"/>
        </w:rPr>
        <w:t>昭通市”）</w:t>
      </w:r>
      <w:r>
        <w:rPr>
          <w:rFonts w:hint="default" w:ascii="Times New Roman" w:hAnsi="Times New Roman" w:eastAsia="宋体" w:cs="Times New Roman"/>
          <w:color w:val="auto"/>
          <w:sz w:val="24"/>
          <w:highlight w:val="none"/>
        </w:rPr>
        <w:t>，投标人须在投标截止时间前完成所有投标文件的上传，网上确认电子签名，并打印“上传投标文件回执”，投标截止时间前未完成投标文件传输的，视为撤回投标文件（如因修改重新上传投标文件后，需再次确认并打印回执）。</w:t>
      </w:r>
      <w:r>
        <w:rPr>
          <w:rFonts w:hint="default" w:ascii="Times New Roman" w:hAnsi="Times New Roman"/>
          <w:color w:val="auto"/>
          <w:sz w:val="24"/>
          <w:highlight w:val="none"/>
        </w:rPr>
        <w:t xml:space="preserve"> </w:t>
      </w:r>
    </w:p>
    <w:p w14:paraId="336EFE6B">
      <w:pPr>
        <w:spacing w:line="400" w:lineRule="atLeast"/>
        <w:rPr>
          <w:rFonts w:hint="eastAsia" w:ascii="Times New Roman" w:hAnsi="Times New Roman"/>
          <w:color w:val="auto"/>
          <w:sz w:val="24"/>
          <w:highlight w:val="none"/>
        </w:rPr>
      </w:pPr>
      <w:r>
        <w:rPr>
          <w:rFonts w:hint="eastAsia" w:ascii="Times New Roman" w:hAnsi="Times New Roman"/>
          <w:color w:val="auto"/>
          <w:sz w:val="24"/>
          <w:highlight w:val="none"/>
        </w:rPr>
        <w:t>5.3网上递交电子投标文件后，不再递交</w:t>
      </w:r>
      <w:r>
        <w:rPr>
          <w:rFonts w:hint="eastAsia" w:ascii="Times New Roman" w:hAnsi="Times New Roman"/>
          <w:color w:val="auto"/>
          <w:sz w:val="24"/>
          <w:highlight w:val="none"/>
          <w:lang w:val="en-US" w:eastAsia="zh-CN"/>
        </w:rPr>
        <w:t>任何其他形式的投标文件</w:t>
      </w:r>
      <w:r>
        <w:rPr>
          <w:rFonts w:hint="eastAsia" w:ascii="Times New Roman" w:hAnsi="Times New Roman"/>
          <w:color w:val="auto"/>
          <w:sz w:val="24"/>
          <w:highlight w:val="none"/>
        </w:rPr>
        <w:t>。</w:t>
      </w:r>
    </w:p>
    <w:p w14:paraId="56047293">
      <w:pPr>
        <w:spacing w:line="400" w:lineRule="atLeast"/>
        <w:rPr>
          <w:rFonts w:hint="eastAsia" w:ascii="Times New Roman" w:hAnsi="Times New Roman"/>
          <w:color w:val="auto"/>
          <w:sz w:val="24"/>
          <w:highlight w:val="none"/>
        </w:rPr>
      </w:pPr>
      <w:r>
        <w:rPr>
          <w:rFonts w:hint="eastAsia" w:ascii="Times New Roman" w:hAnsi="Times New Roman"/>
          <w:color w:val="auto"/>
          <w:sz w:val="24"/>
          <w:highlight w:val="none"/>
        </w:rPr>
        <w:t>5.4开标方式：网上远程开标。</w:t>
      </w:r>
    </w:p>
    <w:p w14:paraId="7B2A0F3A">
      <w:pPr>
        <w:spacing w:line="400" w:lineRule="atLeast"/>
        <w:rPr>
          <w:rFonts w:hint="eastAsia" w:ascii="Times New Roman" w:hAnsi="Times New Roman"/>
          <w:color w:val="auto"/>
          <w:sz w:val="24"/>
          <w:highlight w:val="none"/>
        </w:rPr>
      </w:pPr>
      <w:r>
        <w:rPr>
          <w:rFonts w:hint="eastAsia" w:ascii="Times New Roman" w:hAnsi="Times New Roman"/>
          <w:color w:val="auto"/>
          <w:sz w:val="24"/>
          <w:highlight w:val="none"/>
        </w:rPr>
        <w:t>投标人登录云南省公共资源交易信息网（网址：http://ggzy.yn.gov.cn），选择“昭通市”，按照办事指南中《云南省公共资源交易电子化平台智能开标系统培训教材》（适用投标人和供应商），在截标时间前提前</w:t>
      </w:r>
      <w:r>
        <w:rPr>
          <w:rFonts w:hint="eastAsia"/>
          <w:color w:val="auto"/>
          <w:sz w:val="24"/>
          <w:highlight w:val="none"/>
          <w:lang w:eastAsia="zh-CN"/>
        </w:rPr>
        <w:t>进入</w:t>
      </w:r>
      <w:r>
        <w:rPr>
          <w:rFonts w:hint="eastAsia" w:ascii="Times New Roman" w:hAnsi="Times New Roman"/>
          <w:color w:val="auto"/>
          <w:sz w:val="24"/>
          <w:highlight w:val="none"/>
        </w:rPr>
        <w:t>“网上开标室”，根据网上远程解密、开标要求，在下达投标文件解密指令后30分钟内完成远程解密、查看开标一览表等相关操作。若投标人因自身原因没有在规定时</w:t>
      </w:r>
      <w:r>
        <w:rPr>
          <w:rFonts w:hint="eastAsia"/>
          <w:color w:val="auto"/>
          <w:sz w:val="24"/>
          <w:highlight w:val="none"/>
          <w:lang w:eastAsia="zh-CN"/>
        </w:rPr>
        <w:t>间内</w:t>
      </w:r>
      <w:r>
        <w:rPr>
          <w:rFonts w:hint="eastAsia" w:ascii="Times New Roman" w:hAnsi="Times New Roman"/>
          <w:color w:val="auto"/>
          <w:sz w:val="24"/>
          <w:highlight w:val="none"/>
        </w:rPr>
        <w:t>完成以上相关操作，则视为其撤销投标文件，放弃投标。开标过程中如有疑问，可以在线提出异议，由代理机构（招标人）回复。在规定的签名确认时间内不进行开标一览表确认的，视为对开标结果无异议。</w:t>
      </w:r>
    </w:p>
    <w:p w14:paraId="0ADAD019">
      <w:pPr>
        <w:spacing w:line="400" w:lineRule="atLeast"/>
        <w:rPr>
          <w:rFonts w:hint="eastAsia" w:ascii="Times New Roman" w:hAnsi="Times New Roman"/>
          <w:color w:val="auto"/>
          <w:sz w:val="24"/>
          <w:highlight w:val="none"/>
        </w:rPr>
      </w:pPr>
      <w:r>
        <w:rPr>
          <w:rFonts w:hint="eastAsia" w:ascii="Times New Roman" w:hAnsi="Times New Roman"/>
          <w:color w:val="auto"/>
          <w:sz w:val="24"/>
          <w:highlight w:val="none"/>
        </w:rPr>
        <w:t>技术服务咨询：北京筑龙信息技术有限责任公司</w:t>
      </w:r>
    </w:p>
    <w:p w14:paraId="0412D5FF">
      <w:pPr>
        <w:spacing w:line="400" w:lineRule="atLeast"/>
        <w:rPr>
          <w:rFonts w:hint="eastAsia" w:ascii="Times New Roman" w:hAnsi="Times New Roman"/>
          <w:color w:val="auto"/>
          <w:sz w:val="24"/>
          <w:highlight w:val="none"/>
        </w:rPr>
      </w:pPr>
      <w:r>
        <w:rPr>
          <w:rFonts w:hint="eastAsia" w:ascii="Times New Roman" w:hAnsi="Times New Roman"/>
          <w:color w:val="auto"/>
          <w:sz w:val="24"/>
          <w:highlight w:val="none"/>
        </w:rPr>
        <w:t>服务热线：010-86483801。</w:t>
      </w:r>
    </w:p>
    <w:p w14:paraId="17CA539F">
      <w:pPr>
        <w:spacing w:line="400" w:lineRule="atLeast"/>
        <w:rPr>
          <w:rFonts w:hint="eastAsia" w:ascii="Times New Roman" w:hAnsi="Times New Roman"/>
          <w:color w:val="auto"/>
          <w:sz w:val="24"/>
          <w:highlight w:val="none"/>
        </w:rPr>
      </w:pPr>
      <w:r>
        <w:rPr>
          <w:rFonts w:hint="eastAsia" w:ascii="Times New Roman" w:hAnsi="Times New Roman"/>
          <w:color w:val="auto"/>
          <w:sz w:val="24"/>
          <w:highlight w:val="none"/>
        </w:rPr>
        <w:t>注：上传投标文件时加密使用的CA数字证书是开标时对投标文件进行解密的必要工具，否则将不能解密。因投标人自身原因导致所递交的投标文件无法解密、导入失败的，均视为其撤销投标文件，后果及责任由投标人自行承担。</w:t>
      </w:r>
    </w:p>
    <w:p w14:paraId="25860EB8">
      <w:pPr>
        <w:pStyle w:val="2"/>
        <w:rPr>
          <w:rFonts w:hint="eastAsia"/>
          <w:color w:val="auto"/>
          <w:sz w:val="24"/>
          <w:highlight w:val="none"/>
          <w:lang w:val="en-US" w:eastAsia="zh-CN"/>
        </w:rPr>
      </w:pPr>
      <w:r>
        <w:rPr>
          <w:rFonts w:hint="eastAsia"/>
          <w:color w:val="auto"/>
          <w:sz w:val="24"/>
          <w:highlight w:val="none"/>
          <w:lang w:val="en-US" w:eastAsia="zh-CN"/>
        </w:rPr>
        <w:t>5.5投标保证金缴纳</w:t>
      </w:r>
    </w:p>
    <w:p w14:paraId="059F3B63">
      <w:pPr>
        <w:keepNext w:val="0"/>
        <w:keepLines w:val="0"/>
        <w:widowControl/>
        <w:suppressLineNumbers w:val="0"/>
        <w:spacing w:before="0" w:beforeAutospacing="0" w:after="0" w:afterAutospacing="0" w:line="240" w:lineRule="auto"/>
        <w:ind w:left="0" w:right="0" w:firstLine="480" w:firstLineChars="200"/>
        <w:jc w:val="left"/>
        <w:rPr>
          <w:rFonts w:hint="default"/>
          <w:color w:val="auto"/>
          <w:sz w:val="24"/>
          <w:highlight w:val="none"/>
          <w:lang w:val="en-US" w:eastAsia="zh-CN"/>
        </w:rPr>
      </w:pPr>
      <w:r>
        <w:rPr>
          <w:rFonts w:hint="default" w:ascii="Times New Roman" w:hAnsi="Times New Roman" w:cs="Times New Roman"/>
          <w:color w:val="auto"/>
          <w:sz w:val="24"/>
          <w:highlight w:val="none"/>
        </w:rPr>
        <w:t>按照《中华人民共和国招标投标法实施条例》规定，</w:t>
      </w:r>
      <w:r>
        <w:rPr>
          <w:rFonts w:hint="eastAsia" w:ascii="宋体" w:hAnsi="宋体" w:eastAsia="宋体" w:cs="宋体"/>
          <w:color w:val="auto"/>
          <w:kern w:val="0"/>
          <w:sz w:val="24"/>
          <w:szCs w:val="24"/>
          <w:highlight w:val="none"/>
          <w:lang w:val="en-US" w:eastAsia="zh-CN"/>
        </w:rPr>
        <w:t>投标保证金不得超过招标项目估算价的2%</w:t>
      </w:r>
      <w:r>
        <w:rPr>
          <w:rFonts w:hint="eastAsia" w:ascii="宋体" w:hAnsi="宋体" w:cs="宋体"/>
          <w:color w:val="auto"/>
          <w:kern w:val="0"/>
          <w:sz w:val="24"/>
          <w:szCs w:val="24"/>
          <w:highlight w:val="none"/>
          <w:lang w:val="en-US" w:eastAsia="zh-CN"/>
        </w:rPr>
        <w:t>。</w:t>
      </w:r>
      <w:r>
        <w:rPr>
          <w:rFonts w:hint="default" w:ascii="Times New Roman" w:hAnsi="Times New Roman" w:cs="Times New Roman"/>
          <w:color w:val="auto"/>
          <w:sz w:val="24"/>
          <w:highlight w:val="none"/>
        </w:rPr>
        <w:t>本项目</w:t>
      </w:r>
      <w:r>
        <w:rPr>
          <w:rFonts w:hint="eastAsia" w:cs="Times New Roman"/>
          <w:color w:val="auto"/>
          <w:sz w:val="24"/>
          <w:highlight w:val="none"/>
          <w:lang w:val="en-US" w:eastAsia="zh-CN"/>
        </w:rPr>
        <w:t>为投资人招标，投资额168亿元，</w:t>
      </w:r>
      <w:r>
        <w:rPr>
          <w:rFonts w:hint="default" w:ascii="Times New Roman" w:hAnsi="Times New Roman" w:cs="Times New Roman"/>
          <w:color w:val="auto"/>
          <w:sz w:val="24"/>
          <w:highlight w:val="none"/>
        </w:rPr>
        <w:t>投标保证金</w:t>
      </w:r>
      <w:r>
        <w:rPr>
          <w:rFonts w:hint="eastAsia" w:cs="Times New Roman"/>
          <w:color w:val="auto"/>
          <w:sz w:val="24"/>
          <w:highlight w:val="none"/>
          <w:lang w:eastAsia="zh-CN"/>
        </w:rPr>
        <w:t>缴纳</w:t>
      </w:r>
      <w:r>
        <w:rPr>
          <w:rFonts w:hint="default" w:ascii="Times New Roman" w:hAnsi="Times New Roman" w:cs="Times New Roman"/>
          <w:color w:val="auto"/>
          <w:sz w:val="24"/>
          <w:highlight w:val="none"/>
        </w:rPr>
        <w:t>金额</w:t>
      </w:r>
      <w:r>
        <w:rPr>
          <w:rFonts w:hint="eastAsia" w:cs="Times New Roman"/>
          <w:color w:val="auto"/>
          <w:sz w:val="24"/>
          <w:highlight w:val="none"/>
          <w:lang w:eastAsia="zh-CN"/>
        </w:rPr>
        <w:t>较高</w:t>
      </w:r>
      <w:r>
        <w:rPr>
          <w:rFonts w:hint="default" w:ascii="Times New Roman" w:hAnsi="Times New Roman" w:cs="Times New Roman"/>
          <w:color w:val="auto"/>
          <w:sz w:val="24"/>
          <w:highlight w:val="none"/>
        </w:rPr>
        <w:t>。根据《国家发展改革委等部门关于完善招标投标交易担保制度进一步降低招标投标交易成本的通知》</w:t>
      </w:r>
      <w:r>
        <w:rPr>
          <w:rFonts w:hint="default" w:ascii="Times New Roman" w:hAnsi="Times New Roman" w:cs="Times New Roman"/>
          <w:color w:val="auto"/>
          <w:sz w:val="24"/>
          <w:highlight w:val="none"/>
          <w:lang w:val="en-US" w:eastAsia="zh-CN"/>
        </w:rPr>
        <w:t>（</w:t>
      </w:r>
      <w:r>
        <w:rPr>
          <w:rFonts w:hint="default" w:ascii="Times New Roman" w:hAnsi="Times New Roman" w:cs="Times New Roman"/>
          <w:color w:val="auto"/>
          <w:sz w:val="24"/>
          <w:highlight w:val="none"/>
        </w:rPr>
        <w:t>发改法规〔2023〕27号</w:t>
      </w:r>
      <w:r>
        <w:rPr>
          <w:rFonts w:hint="default" w:ascii="Times New Roman" w:hAnsi="Times New Roman" w:cs="Times New Roman"/>
          <w:color w:val="auto"/>
          <w:sz w:val="24"/>
          <w:highlight w:val="none"/>
          <w:lang w:eastAsia="zh-CN"/>
        </w:rPr>
        <w:t>）</w:t>
      </w:r>
      <w:r>
        <w:rPr>
          <w:rFonts w:hint="default" w:ascii="Times New Roman" w:hAnsi="Times New Roman" w:cs="Times New Roman"/>
          <w:color w:val="auto"/>
          <w:sz w:val="24"/>
          <w:highlight w:val="none"/>
        </w:rPr>
        <w:t>和《云南省发展和改革委员会等部门关于鼓励减免政府投资项目投标保证金的通知》</w:t>
      </w:r>
      <w:r>
        <w:rPr>
          <w:rFonts w:hint="default" w:ascii="Times New Roman" w:hAnsi="Times New Roman" w:cs="Times New Roman"/>
          <w:color w:val="auto"/>
          <w:sz w:val="24"/>
          <w:highlight w:val="none"/>
          <w:lang w:eastAsia="zh-CN"/>
        </w:rPr>
        <w:t>（</w:t>
      </w:r>
      <w:r>
        <w:rPr>
          <w:rFonts w:hint="default" w:ascii="Times New Roman" w:hAnsi="Times New Roman" w:cs="Times New Roman"/>
          <w:color w:val="auto"/>
          <w:sz w:val="24"/>
          <w:highlight w:val="none"/>
        </w:rPr>
        <w:t>云发改交易管理〔2023〕397号</w:t>
      </w:r>
      <w:r>
        <w:rPr>
          <w:rFonts w:hint="default" w:ascii="Times New Roman" w:hAnsi="Times New Roman" w:cs="Times New Roman"/>
          <w:color w:val="auto"/>
          <w:sz w:val="24"/>
          <w:highlight w:val="none"/>
          <w:lang w:eastAsia="zh-CN"/>
        </w:rPr>
        <w:t>）</w:t>
      </w:r>
      <w:r>
        <w:rPr>
          <w:rFonts w:hint="default" w:ascii="Times New Roman" w:hAnsi="Times New Roman" w:cs="Times New Roman"/>
          <w:color w:val="auto"/>
          <w:sz w:val="24"/>
          <w:highlight w:val="none"/>
        </w:rPr>
        <w:t>文件要求，政府投资项目进行招标投标活动时，</w:t>
      </w:r>
      <w:r>
        <w:rPr>
          <w:rFonts w:hint="eastAsia" w:cs="Times New Roman"/>
          <w:color w:val="auto"/>
          <w:sz w:val="24"/>
          <w:highlight w:val="none"/>
          <w:lang w:eastAsia="zh-CN"/>
        </w:rPr>
        <w:t>应减免</w:t>
      </w:r>
      <w:r>
        <w:rPr>
          <w:rFonts w:hint="default" w:ascii="Times New Roman" w:hAnsi="Times New Roman" w:cs="Times New Roman"/>
          <w:color w:val="auto"/>
          <w:sz w:val="24"/>
          <w:highlight w:val="none"/>
        </w:rPr>
        <w:t>投标保证金，降幅不得低于现收取数额的50%；本项目投标保证金降幅</w:t>
      </w:r>
      <w:r>
        <w:rPr>
          <w:rFonts w:hint="eastAsia" w:cs="Times New Roman"/>
          <w:color w:val="auto"/>
          <w:sz w:val="24"/>
          <w:highlight w:val="none"/>
          <w:lang w:val="en-US" w:eastAsia="zh-CN"/>
        </w:rPr>
        <w:t>超过50%</w:t>
      </w:r>
      <w:r>
        <w:rPr>
          <w:rFonts w:hint="default" w:ascii="Times New Roman" w:hAnsi="Times New Roman" w:cs="Times New Roman"/>
          <w:color w:val="auto"/>
          <w:sz w:val="24"/>
          <w:highlight w:val="none"/>
        </w:rPr>
        <w:t>，本次招标实际</w:t>
      </w:r>
      <w:r>
        <w:rPr>
          <w:rFonts w:hint="eastAsia" w:cs="Times New Roman"/>
          <w:color w:val="auto"/>
          <w:sz w:val="24"/>
          <w:highlight w:val="none"/>
          <w:lang w:eastAsia="zh-CN"/>
        </w:rPr>
        <w:t>缴纳</w:t>
      </w:r>
      <w:r>
        <w:rPr>
          <w:rFonts w:hint="default" w:ascii="Times New Roman" w:hAnsi="Times New Roman" w:cs="Times New Roman"/>
          <w:color w:val="auto"/>
          <w:sz w:val="24"/>
          <w:highlight w:val="none"/>
        </w:rPr>
        <w:t>投标保证金为</w:t>
      </w:r>
      <w:r>
        <w:rPr>
          <w:rFonts w:hint="eastAsia" w:cs="Times New Roman"/>
          <w:color w:val="auto"/>
          <w:sz w:val="24"/>
          <w:highlight w:val="none"/>
          <w:lang w:val="en-US" w:eastAsia="zh-CN"/>
        </w:rPr>
        <w:t>40</w:t>
      </w:r>
      <w:r>
        <w:rPr>
          <w:rFonts w:hint="default" w:ascii="Times New Roman" w:hAnsi="Times New Roman" w:cs="Times New Roman"/>
          <w:color w:val="auto"/>
          <w:sz w:val="24"/>
          <w:highlight w:val="none"/>
        </w:rPr>
        <w:t>万元。</w:t>
      </w:r>
    </w:p>
    <w:p w14:paraId="4E817EEB">
      <w:pPr>
        <w:topLinePunct/>
        <w:spacing w:line="400" w:lineRule="atLeast"/>
        <w:rPr>
          <w:rFonts w:ascii="Times New Roman" w:hAnsi="Times New Roman"/>
          <w:color w:val="auto"/>
          <w:sz w:val="24"/>
          <w:highlight w:val="none"/>
        </w:rPr>
      </w:pPr>
      <w:r>
        <w:rPr>
          <w:rFonts w:hint="eastAsia" w:eastAsia="黑体"/>
          <w:bCs/>
          <w:color w:val="auto"/>
          <w:sz w:val="24"/>
          <w:highlight w:val="none"/>
          <w:lang w:eastAsia="zh-CN"/>
        </w:rPr>
        <w:t>6.</w:t>
      </w:r>
      <w:r>
        <w:rPr>
          <w:rFonts w:ascii="Times New Roman" w:hAnsi="Times New Roman" w:eastAsia="黑体"/>
          <w:color w:val="auto"/>
          <w:sz w:val="24"/>
          <w:highlight w:val="none"/>
        </w:rPr>
        <w:t>发布公告的媒介</w:t>
      </w:r>
    </w:p>
    <w:p w14:paraId="7D4EFEB0">
      <w:pPr>
        <w:topLinePunct/>
        <w:ind w:firstLine="480" w:firstLineChars="200"/>
      </w:pPr>
      <w:r>
        <w:rPr>
          <w:rFonts w:ascii="Times New Roman" w:hAnsi="Times New Roman"/>
          <w:bCs/>
          <w:color w:val="auto"/>
          <w:sz w:val="24"/>
          <w:highlight w:val="none"/>
        </w:rPr>
        <w:t>本次招标公告在云南省公共资源交易信息网（ggzy.yn.gov.cn）上发布。</w:t>
      </w:r>
    </w:p>
    <w:p w14:paraId="4C27EBFA">
      <w:pPr>
        <w:topLinePunct/>
        <w:spacing w:line="400" w:lineRule="atLeast"/>
        <w:rPr>
          <w:rFonts w:ascii="Times New Roman" w:hAnsi="Times New Roman" w:eastAsia="黑体"/>
          <w:bCs/>
          <w:color w:val="auto"/>
          <w:sz w:val="24"/>
          <w:highlight w:val="none"/>
        </w:rPr>
      </w:pPr>
      <w:r>
        <w:rPr>
          <w:rFonts w:hint="eastAsia" w:eastAsia="黑体"/>
          <w:bCs/>
          <w:color w:val="auto"/>
          <w:sz w:val="24"/>
          <w:highlight w:val="none"/>
          <w:lang w:eastAsia="zh-CN"/>
        </w:rPr>
        <w:t>7.</w:t>
      </w:r>
      <w:r>
        <w:rPr>
          <w:rFonts w:ascii="Times New Roman" w:hAnsi="Times New Roman" w:eastAsia="黑体"/>
          <w:bCs/>
          <w:color w:val="auto"/>
          <w:sz w:val="24"/>
          <w:highlight w:val="none"/>
        </w:rPr>
        <w:t>联系方式</w:t>
      </w:r>
    </w:p>
    <w:p w14:paraId="664BFC16">
      <w:pPr>
        <w:topLinePunct/>
        <w:spacing w:line="400" w:lineRule="atLeast"/>
        <w:rPr>
          <w:rFonts w:hint="eastAsia" w:ascii="Times New Roman" w:hAnsi="Times New Roman" w:eastAsia="宋体"/>
          <w:color w:val="auto"/>
          <w:sz w:val="24"/>
          <w:highlight w:val="none"/>
          <w:lang w:eastAsia="zh-CN"/>
        </w:rPr>
      </w:pPr>
      <w:r>
        <w:rPr>
          <w:rFonts w:ascii="Times New Roman" w:hAnsi="Times New Roman"/>
          <w:color w:val="auto"/>
          <w:sz w:val="24"/>
          <w:highlight w:val="none"/>
        </w:rPr>
        <w:t>招 标 人：</w:t>
      </w:r>
      <w:r>
        <w:rPr>
          <w:rFonts w:hint="eastAsia"/>
          <w:color w:val="auto"/>
          <w:sz w:val="24"/>
          <w:highlight w:val="none"/>
          <w:lang w:eastAsia="zh-CN"/>
        </w:rPr>
        <w:t>昭通市交通运输局</w:t>
      </w:r>
    </w:p>
    <w:p w14:paraId="7CA21324">
      <w:pPr>
        <w:spacing w:line="372" w:lineRule="atLeast"/>
        <w:rPr>
          <w:rFonts w:hint="eastAsia" w:ascii="Times New Roman" w:hAnsi="Times New Roman" w:eastAsia="宋体"/>
          <w:color w:val="auto"/>
          <w:sz w:val="24"/>
          <w:highlight w:val="none"/>
          <w:lang w:eastAsia="zh-CN"/>
        </w:rPr>
      </w:pPr>
      <w:r>
        <w:rPr>
          <w:rFonts w:ascii="Times New Roman" w:hAnsi="Times New Roman"/>
          <w:color w:val="auto"/>
          <w:sz w:val="24"/>
          <w:highlight w:val="none"/>
        </w:rPr>
        <w:t>地    址：</w:t>
      </w:r>
      <w:r>
        <w:rPr>
          <w:rFonts w:hint="eastAsia"/>
          <w:color w:val="auto"/>
          <w:sz w:val="24"/>
          <w:highlight w:val="none"/>
          <w:lang w:eastAsia="zh-CN"/>
        </w:rPr>
        <w:t>昭通市昭阳大道194号</w:t>
      </w:r>
    </w:p>
    <w:p w14:paraId="351322E7">
      <w:pPr>
        <w:spacing w:line="372" w:lineRule="atLeast"/>
        <w:rPr>
          <w:rFonts w:ascii="Times New Roman" w:hAnsi="Times New Roman"/>
          <w:color w:val="auto"/>
          <w:sz w:val="24"/>
          <w:highlight w:val="none"/>
        </w:rPr>
      </w:pPr>
      <w:r>
        <w:rPr>
          <w:rFonts w:ascii="Times New Roman" w:hAnsi="Times New Roman"/>
          <w:color w:val="auto"/>
          <w:sz w:val="24"/>
          <w:highlight w:val="none"/>
        </w:rPr>
        <w:t xml:space="preserve">邮    编：657000            </w:t>
      </w:r>
    </w:p>
    <w:p w14:paraId="59FA32BC">
      <w:pPr>
        <w:spacing w:line="372" w:lineRule="atLeast"/>
        <w:rPr>
          <w:rFonts w:ascii="Times New Roman" w:hAnsi="Times New Roman"/>
          <w:color w:val="auto"/>
          <w:sz w:val="24"/>
          <w:highlight w:val="none"/>
        </w:rPr>
      </w:pPr>
      <w:r>
        <w:rPr>
          <w:rFonts w:ascii="Times New Roman" w:hAnsi="Times New Roman"/>
          <w:color w:val="auto"/>
          <w:sz w:val="24"/>
          <w:highlight w:val="none"/>
        </w:rPr>
        <w:t>电    话：</w:t>
      </w:r>
      <w:r>
        <w:rPr>
          <w:rFonts w:hint="eastAsia" w:cs="Times New Roman"/>
          <w:color w:val="auto"/>
          <w:sz w:val="24"/>
          <w:highlight w:val="none"/>
          <w:lang w:val="en-US" w:eastAsia="zh-CN"/>
        </w:rPr>
        <w:t>18788134579</w:t>
      </w:r>
    </w:p>
    <w:p w14:paraId="62EB659D">
      <w:pPr>
        <w:spacing w:line="372" w:lineRule="atLeast"/>
        <w:rPr>
          <w:rFonts w:ascii="Times New Roman" w:hAnsi="Times New Roman"/>
          <w:color w:val="auto"/>
          <w:sz w:val="24"/>
          <w:highlight w:val="none"/>
        </w:rPr>
      </w:pPr>
      <w:r>
        <w:rPr>
          <w:rFonts w:ascii="Times New Roman" w:hAnsi="Times New Roman"/>
          <w:color w:val="auto"/>
          <w:sz w:val="24"/>
          <w:highlight w:val="none"/>
        </w:rPr>
        <w:t>联 系 人：</w:t>
      </w:r>
      <w:r>
        <w:rPr>
          <w:rFonts w:hint="eastAsia"/>
          <w:color w:val="auto"/>
          <w:sz w:val="24"/>
          <w:highlight w:val="none"/>
          <w:lang w:val="en-US" w:eastAsia="zh-CN"/>
        </w:rPr>
        <w:t>饶黎</w:t>
      </w:r>
    </w:p>
    <w:p w14:paraId="33CC780E">
      <w:pPr>
        <w:spacing w:line="372" w:lineRule="atLeast"/>
        <w:rPr>
          <w:rFonts w:ascii="Times New Roman" w:hAnsi="Times New Roman"/>
          <w:color w:val="auto"/>
          <w:sz w:val="24"/>
          <w:highlight w:val="none"/>
        </w:rPr>
      </w:pPr>
    </w:p>
    <w:p w14:paraId="2C8E2827">
      <w:pPr>
        <w:topLinePunct/>
        <w:spacing w:line="400" w:lineRule="atLeast"/>
        <w:rPr>
          <w:rFonts w:ascii="Times New Roman" w:hAnsi="Times New Roman"/>
          <w:color w:val="auto"/>
          <w:sz w:val="24"/>
          <w:highlight w:val="none"/>
        </w:rPr>
      </w:pPr>
      <w:r>
        <w:rPr>
          <w:rFonts w:ascii="Times New Roman" w:hAnsi="Times New Roman"/>
          <w:color w:val="auto"/>
          <w:sz w:val="24"/>
          <w:highlight w:val="none"/>
        </w:rPr>
        <w:t>招标代理：华杰工程咨询有限公司</w:t>
      </w:r>
    </w:p>
    <w:p w14:paraId="0104508C">
      <w:pPr>
        <w:topLinePunct/>
        <w:spacing w:line="400" w:lineRule="atLeast"/>
        <w:rPr>
          <w:rFonts w:ascii="Times New Roman" w:hAnsi="Times New Roman"/>
          <w:color w:val="auto"/>
          <w:sz w:val="24"/>
          <w:highlight w:val="none"/>
        </w:rPr>
      </w:pPr>
      <w:r>
        <w:rPr>
          <w:rFonts w:ascii="Times New Roman" w:hAnsi="Times New Roman"/>
          <w:color w:val="auto"/>
          <w:sz w:val="24"/>
          <w:highlight w:val="none"/>
        </w:rPr>
        <w:t>地    址：</w:t>
      </w:r>
      <w:r>
        <w:rPr>
          <w:rFonts w:hint="eastAsia" w:ascii="Times New Roman" w:hAnsi="Times New Roman"/>
          <w:color w:val="auto"/>
          <w:sz w:val="24"/>
          <w:highlight w:val="none"/>
        </w:rPr>
        <w:t>云南省昆明市西山区坤盛路66号金地中心711室</w:t>
      </w:r>
    </w:p>
    <w:p w14:paraId="1236DC2B">
      <w:pPr>
        <w:topLinePunct/>
        <w:spacing w:line="400" w:lineRule="atLeast"/>
        <w:rPr>
          <w:rFonts w:ascii="Times New Roman" w:hAnsi="Times New Roman"/>
          <w:color w:val="auto"/>
          <w:sz w:val="24"/>
          <w:highlight w:val="none"/>
        </w:rPr>
      </w:pPr>
      <w:r>
        <w:rPr>
          <w:rFonts w:hint="eastAsia"/>
          <w:color w:val="auto"/>
          <w:sz w:val="24"/>
          <w:highlight w:val="none"/>
          <w:lang w:eastAsia="zh-CN"/>
        </w:rPr>
        <w:t>邮政编码：650000</w:t>
      </w:r>
    </w:p>
    <w:p w14:paraId="2BCCE047">
      <w:pPr>
        <w:topLinePunct/>
        <w:spacing w:line="400" w:lineRule="atLeast"/>
        <w:rPr>
          <w:rFonts w:hint="eastAsia" w:ascii="Times New Roman" w:hAnsi="Times New Roman" w:eastAsia="宋体"/>
          <w:color w:val="auto"/>
          <w:sz w:val="24"/>
          <w:highlight w:val="none"/>
          <w:lang w:val="en-US" w:eastAsia="zh-CN"/>
        </w:rPr>
      </w:pPr>
      <w:r>
        <w:rPr>
          <w:rFonts w:ascii="Times New Roman" w:hAnsi="Times New Roman"/>
          <w:color w:val="auto"/>
          <w:sz w:val="24"/>
          <w:highlight w:val="none"/>
        </w:rPr>
        <w:t>联 系 人：</w:t>
      </w:r>
      <w:r>
        <w:rPr>
          <w:rFonts w:hint="eastAsia" w:ascii="Times New Roman" w:hAnsi="Times New Roman"/>
          <w:color w:val="auto"/>
          <w:sz w:val="24"/>
          <w:highlight w:val="none"/>
          <w:lang w:val="en-US" w:eastAsia="zh-CN"/>
        </w:rPr>
        <w:t>郭蝉锋</w:t>
      </w:r>
      <w:r>
        <w:rPr>
          <w:rFonts w:hint="eastAsia"/>
          <w:color w:val="auto"/>
          <w:sz w:val="24"/>
          <w:highlight w:val="none"/>
          <w:lang w:val="en-US" w:eastAsia="zh-CN"/>
        </w:rPr>
        <w:t>（项目负责人）</w:t>
      </w:r>
      <w:r>
        <w:rPr>
          <w:rFonts w:hint="eastAsia" w:ascii="Times New Roman" w:hAnsi="Times New Roman"/>
          <w:color w:val="auto"/>
          <w:sz w:val="24"/>
          <w:highlight w:val="none"/>
          <w:lang w:val="en-US" w:eastAsia="zh-CN"/>
        </w:rPr>
        <w:t>、李伟雄、郑岱山</w:t>
      </w:r>
    </w:p>
    <w:p w14:paraId="1C0C7C14">
      <w:pPr>
        <w:topLinePunct/>
        <w:spacing w:line="400" w:lineRule="atLeast"/>
        <w:rPr>
          <w:rFonts w:ascii="Times New Roman" w:hAnsi="Times New Roman"/>
          <w:color w:val="auto"/>
          <w:sz w:val="24"/>
          <w:highlight w:val="none"/>
        </w:rPr>
      </w:pPr>
      <w:r>
        <w:rPr>
          <w:rFonts w:ascii="Times New Roman" w:hAnsi="Times New Roman"/>
          <w:color w:val="auto"/>
          <w:sz w:val="24"/>
          <w:highlight w:val="none"/>
        </w:rPr>
        <w:t>电    话：</w:t>
      </w:r>
      <w:r>
        <w:rPr>
          <w:rFonts w:hint="eastAsia" w:ascii="Times New Roman" w:hAnsi="Times New Roman"/>
          <w:color w:val="auto"/>
          <w:sz w:val="24"/>
          <w:highlight w:val="none"/>
          <w:lang w:val="en-US" w:eastAsia="zh-CN"/>
        </w:rPr>
        <w:t>0871-63531198</w:t>
      </w:r>
    </w:p>
    <w:p w14:paraId="7DED92A2">
      <w:pPr>
        <w:spacing w:line="372" w:lineRule="atLeast"/>
        <w:rPr>
          <w:rFonts w:ascii="Times New Roman" w:hAnsi="Times New Roman"/>
          <w:color w:val="auto"/>
          <w:sz w:val="24"/>
          <w:highlight w:val="none"/>
        </w:rPr>
      </w:pPr>
    </w:p>
    <w:p w14:paraId="17DD1484">
      <w:pPr>
        <w:spacing w:line="372" w:lineRule="atLeast"/>
        <w:rPr>
          <w:rFonts w:ascii="Times New Roman" w:hAnsi="Times New Roman"/>
          <w:color w:val="auto"/>
          <w:sz w:val="24"/>
          <w:highlight w:val="none"/>
        </w:rPr>
      </w:pPr>
    </w:p>
    <w:p w14:paraId="04D42689">
      <w:pPr>
        <w:spacing w:line="372" w:lineRule="atLeast"/>
        <w:jc w:val="right"/>
        <w:rPr>
          <w:rFonts w:hint="default" w:ascii="Times New Roman" w:hAnsi="Times New Roman" w:eastAsia="宋体"/>
          <w:color w:val="auto"/>
          <w:sz w:val="24"/>
          <w:highlight w:val="none"/>
          <w:lang w:val="en-US" w:eastAsia="zh-CN"/>
        </w:rPr>
      </w:pPr>
      <w:r>
        <w:rPr>
          <w:rFonts w:ascii="Times New Roman" w:hAnsi="Times New Roman"/>
          <w:color w:val="auto"/>
          <w:sz w:val="24"/>
          <w:highlight w:val="none"/>
        </w:rPr>
        <w:t>20</w:t>
      </w:r>
      <w:r>
        <w:rPr>
          <w:rFonts w:hint="eastAsia"/>
          <w:color w:val="auto"/>
          <w:sz w:val="24"/>
          <w:highlight w:val="none"/>
          <w:lang w:val="en-US" w:eastAsia="zh-CN"/>
        </w:rPr>
        <w:t>26</w:t>
      </w:r>
      <w:r>
        <w:rPr>
          <w:rFonts w:ascii="Times New Roman" w:hAnsi="Times New Roman"/>
          <w:color w:val="auto"/>
          <w:sz w:val="24"/>
          <w:highlight w:val="none"/>
        </w:rPr>
        <w:t>年</w:t>
      </w:r>
      <w:r>
        <w:rPr>
          <w:rFonts w:hint="eastAsia"/>
          <w:color w:val="auto"/>
          <w:sz w:val="24"/>
          <w:highlight w:val="none"/>
          <w:lang w:val="en-US" w:eastAsia="zh-CN"/>
        </w:rPr>
        <w:t>6</w:t>
      </w:r>
      <w:r>
        <w:rPr>
          <w:rFonts w:ascii="Times New Roman" w:hAnsi="Times New Roman"/>
          <w:color w:val="auto"/>
          <w:sz w:val="24"/>
          <w:highlight w:val="none"/>
        </w:rPr>
        <w:t>月</w:t>
      </w:r>
      <w:r>
        <w:rPr>
          <w:rFonts w:hint="eastAsia"/>
          <w:color w:val="auto"/>
          <w:sz w:val="24"/>
          <w:highlight w:val="none"/>
          <w:lang w:val="en-US" w:eastAsia="zh-CN"/>
        </w:rPr>
        <w:t>25</w:t>
      </w:r>
      <w:bookmarkStart w:id="2" w:name="_GoBack"/>
      <w:bookmarkEnd w:id="2"/>
      <w:r>
        <w:rPr>
          <w:rFonts w:hint="eastAsia"/>
          <w:color w:val="auto"/>
          <w:sz w:val="24"/>
          <w:highlight w:val="none"/>
          <w:lang w:val="en-US" w:eastAsia="zh-CN"/>
        </w:rPr>
        <w:t>日</w:t>
      </w:r>
    </w:p>
    <w:p w14:paraId="41EABA6B"/>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2B195">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01C678">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201C678">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0A0B5D"/>
    <w:rsid w:val="0D0A0B5D"/>
    <w:rsid w:val="0E705317"/>
    <w:rsid w:val="121038F0"/>
    <w:rsid w:val="1B655440"/>
    <w:rsid w:val="22D06534"/>
    <w:rsid w:val="256D3E84"/>
    <w:rsid w:val="2C4E607A"/>
    <w:rsid w:val="2FAD5606"/>
    <w:rsid w:val="2FFC2013"/>
    <w:rsid w:val="3293102B"/>
    <w:rsid w:val="34266311"/>
    <w:rsid w:val="34C07384"/>
    <w:rsid w:val="38614B60"/>
    <w:rsid w:val="4B5F2B26"/>
    <w:rsid w:val="50F0474B"/>
    <w:rsid w:val="53981CA6"/>
    <w:rsid w:val="63716145"/>
    <w:rsid w:val="6AB60DDF"/>
    <w:rsid w:val="6BD751EC"/>
    <w:rsid w:val="6C404D30"/>
    <w:rsid w:val="72FE501D"/>
    <w:rsid w:val="7D0512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Body Text 3"/>
    <w:basedOn w:val="1"/>
    <w:qFormat/>
    <w:uiPriority w:val="0"/>
    <w:rPr>
      <w:rFonts w:ascii="宋体"/>
      <w:sz w:val="24"/>
      <w:szCs w:val="20"/>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3272</Words>
  <Characters>3742</Characters>
  <Lines>0</Lines>
  <Paragraphs>0</Paragraphs>
  <TotalTime>0</TotalTime>
  <ScaleCrop>false</ScaleCrop>
  <LinksUpToDate>false</LinksUpToDate>
  <CharactersWithSpaces>3832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2026-06-23T06:04:00Z</dcterms:created>
  <dc:creator>SHI</dc:creator>
  <cp:lastModifiedBy>SHI</cp:lastModifiedBy>
  <dcterms:modified xsi:type="dcterms:W3CDTF">2026-06-25T03:00:27Z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F7671D4FEE444F859D72C1E15E88494F_11</vt:lpwstr>
  </property>
  <property fmtid="{D5CDD505-2E9C-101B-9397-08002B2CF9AE}" pid="4" name="KSOTemplateDocerSaveRecord">
    <vt:lpwstr>eyJoZGlkIjoiMzUzNTQ1ZGQ3Yzk4MjZhNGMyZjFlZDdlYTY0YTgxNGMiLCJ1c2VySWQiOiIzMDg1MzM1MjkifQ==</vt:lpwstr>
  </property>
</Properties>
</file>