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overflowPunct/>
        <w:topLinePunct w:val="0"/>
        <w:bidi w:val="0"/>
        <w:spacing w:line="360" w:lineRule="auto"/>
        <w:textAlignment w:val="auto"/>
        <w:rPr>
          <w:rFonts w:hint="eastAsia" w:ascii="仿宋" w:hAnsi="仿宋" w:eastAsia="仿宋" w:cs="仿宋"/>
          <w:color w:val="auto"/>
          <w:sz w:val="24"/>
          <w:szCs w:val="24"/>
          <w:highlight w:val="none"/>
        </w:rPr>
      </w:pP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color w:val="auto"/>
          <w:w w:val="90"/>
          <w:sz w:val="44"/>
          <w:szCs w:val="44"/>
          <w:highlight w:val="none"/>
          <w:lang w:eastAsia="zh-CN"/>
        </w:rPr>
        <w:t>牟定县2024年高标准农田建设（专债项目）耕地质量提升采购商品有机肥项目</w:t>
      </w: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rPr>
      </w:pP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rPr>
      </w:pP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rPr>
      </w:pP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rPr>
      </w:pP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rPr>
      </w:pP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rPr>
      </w:pP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rPr>
      </w:pPr>
    </w:p>
    <w:p>
      <w:pPr>
        <w:pageBreakBefore w:val="0"/>
        <w:kinsoku/>
        <w:overflowPunct/>
        <w:topLinePunct w:val="0"/>
        <w:bidi w:val="0"/>
        <w:spacing w:line="360" w:lineRule="auto"/>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84"/>
          <w:szCs w:val="84"/>
          <w:highlight w:val="none"/>
        </w:rPr>
        <w:t>招 标 文 件</w:t>
      </w: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32"/>
          <w:szCs w:val="32"/>
          <w:highlight w:val="none"/>
        </w:rPr>
        <w:t>项目编号：</w:t>
      </w:r>
      <w:r>
        <w:rPr>
          <w:rFonts w:hint="eastAsia" w:ascii="仿宋" w:hAnsi="仿宋" w:eastAsia="仿宋" w:cs="仿宋"/>
          <w:b/>
          <w:color w:val="auto"/>
          <w:sz w:val="28"/>
          <w:szCs w:val="24"/>
          <w:highlight w:val="none"/>
          <w:lang w:eastAsia="zh-CN"/>
        </w:rPr>
        <w:t>YNQY-ZB-2026-01</w:t>
      </w: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rPr>
      </w:pP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rPr>
      </w:pP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rPr>
      </w:pPr>
    </w:p>
    <w:p>
      <w:pPr>
        <w:pageBreakBefore w:val="0"/>
        <w:kinsoku/>
        <w:overflowPunct/>
        <w:topLinePunct w:val="0"/>
        <w:bidi w:val="0"/>
        <w:spacing w:line="360" w:lineRule="auto"/>
        <w:jc w:val="both"/>
        <w:textAlignment w:val="auto"/>
        <w:rPr>
          <w:rFonts w:hint="eastAsia" w:ascii="仿宋" w:hAnsi="仿宋" w:eastAsia="仿宋" w:cs="仿宋"/>
          <w:color w:val="auto"/>
          <w:sz w:val="24"/>
          <w:szCs w:val="24"/>
          <w:highlight w:val="none"/>
        </w:rPr>
      </w:pPr>
    </w:p>
    <w:p>
      <w:pPr>
        <w:pStyle w:val="58"/>
        <w:pageBreakBefore w:val="0"/>
        <w:kinsoku/>
        <w:overflowPunct/>
        <w:topLinePunct w:val="0"/>
        <w:bidi w:val="0"/>
        <w:spacing w:line="360" w:lineRule="auto"/>
        <w:ind w:firstLine="400"/>
        <w:textAlignment w:val="auto"/>
        <w:rPr>
          <w:rFonts w:hint="eastAsia" w:ascii="仿宋" w:hAnsi="仿宋" w:eastAsia="仿宋" w:cs="仿宋"/>
          <w:color w:val="auto"/>
          <w:highlight w:val="none"/>
        </w:rPr>
      </w:pPr>
    </w:p>
    <w:p>
      <w:pPr>
        <w:pStyle w:val="58"/>
        <w:pageBreakBefore w:val="0"/>
        <w:kinsoku/>
        <w:overflowPunct/>
        <w:topLinePunct w:val="0"/>
        <w:bidi w:val="0"/>
        <w:spacing w:line="360" w:lineRule="auto"/>
        <w:ind w:firstLine="400"/>
        <w:textAlignment w:val="auto"/>
        <w:rPr>
          <w:rFonts w:hint="eastAsia" w:ascii="仿宋" w:hAnsi="仿宋" w:eastAsia="仿宋" w:cs="仿宋"/>
          <w:color w:val="auto"/>
          <w:highlight w:val="none"/>
        </w:rPr>
      </w:pPr>
    </w:p>
    <w:p>
      <w:pPr>
        <w:pageBreakBefore w:val="0"/>
        <w:kinsoku/>
        <w:overflowPunct/>
        <w:topLinePunct w:val="0"/>
        <w:bidi w:val="0"/>
        <w:snapToGrid w:val="0"/>
        <w:spacing w:line="360" w:lineRule="auto"/>
        <w:jc w:val="both"/>
        <w:textAlignment w:val="auto"/>
        <w:rPr>
          <w:rFonts w:hint="eastAsia" w:ascii="仿宋" w:hAnsi="仿宋" w:eastAsia="仿宋" w:cs="仿宋"/>
          <w:b/>
          <w:color w:val="auto"/>
          <w:sz w:val="32"/>
          <w:szCs w:val="32"/>
          <w:highlight w:val="none"/>
        </w:rPr>
      </w:pPr>
    </w:p>
    <w:p>
      <w:pPr>
        <w:pStyle w:val="21"/>
        <w:rPr>
          <w:rFonts w:hint="eastAsia" w:ascii="仿宋" w:hAnsi="仿宋" w:eastAsia="仿宋" w:cs="仿宋"/>
          <w:b/>
          <w:color w:val="auto"/>
          <w:sz w:val="32"/>
          <w:szCs w:val="32"/>
          <w:highlight w:val="none"/>
        </w:rPr>
      </w:pPr>
    </w:p>
    <w:p>
      <w:pPr>
        <w:pStyle w:val="25"/>
        <w:ind w:left="0" w:leftChars="0" w:firstLine="0" w:firstLineChars="0"/>
        <w:rPr>
          <w:rFonts w:hint="eastAsia"/>
          <w:color w:val="auto"/>
          <w:highlight w:val="none"/>
        </w:rPr>
      </w:pPr>
    </w:p>
    <w:p>
      <w:pPr>
        <w:keepNext w:val="0"/>
        <w:keepLines w:val="0"/>
        <w:pageBreakBefore w:val="0"/>
        <w:widowControl/>
        <w:kinsoku/>
        <w:wordWrap/>
        <w:overflowPunct/>
        <w:topLinePunct w:val="0"/>
        <w:autoSpaceDE/>
        <w:autoSpaceDN/>
        <w:bidi w:val="0"/>
        <w:adjustRightInd/>
        <w:snapToGrid w:val="0"/>
        <w:spacing w:line="360" w:lineRule="auto"/>
        <w:ind w:left="0" w:leftChars="0" w:firstLine="1404" w:firstLineChars="437"/>
        <w:jc w:val="both"/>
        <w:textAlignment w:val="auto"/>
        <w:rPr>
          <w:rFonts w:hint="eastAsia" w:ascii="仿宋" w:hAnsi="仿宋" w:eastAsia="仿宋" w:cs="仿宋"/>
          <w:b/>
          <w:color w:val="auto"/>
          <w:sz w:val="32"/>
          <w:szCs w:val="32"/>
          <w:highlight w:val="none"/>
          <w:u w:val="single"/>
          <w:lang w:val="en-US"/>
        </w:rPr>
      </w:pPr>
      <w:r>
        <w:rPr>
          <w:rFonts w:hint="eastAsia" w:ascii="仿宋" w:hAnsi="仿宋" w:eastAsia="仿宋" w:cs="仿宋"/>
          <w:b/>
          <w:color w:val="auto"/>
          <w:sz w:val="32"/>
          <w:szCs w:val="32"/>
          <w:highlight w:val="none"/>
        </w:rPr>
        <w:t xml:space="preserve">招   标  </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人：</w:t>
      </w:r>
      <w:r>
        <w:rPr>
          <w:rFonts w:hint="eastAsia" w:ascii="仿宋" w:hAnsi="仿宋" w:eastAsia="仿宋" w:cs="仿宋"/>
          <w:b/>
          <w:color w:val="auto"/>
          <w:sz w:val="32"/>
          <w:szCs w:val="32"/>
          <w:highlight w:val="none"/>
          <w:u w:val="single"/>
          <w:lang w:eastAsia="zh-CN"/>
        </w:rPr>
        <w:t>牟定县农业农村局</w:t>
      </w:r>
    </w:p>
    <w:p>
      <w:pPr>
        <w:keepNext w:val="0"/>
        <w:keepLines w:val="0"/>
        <w:pageBreakBefore w:val="0"/>
        <w:widowControl/>
        <w:kinsoku/>
        <w:wordWrap/>
        <w:overflowPunct/>
        <w:topLinePunct w:val="0"/>
        <w:autoSpaceDE/>
        <w:autoSpaceDN/>
        <w:bidi w:val="0"/>
        <w:adjustRightInd/>
        <w:snapToGrid w:val="0"/>
        <w:spacing w:line="360" w:lineRule="auto"/>
        <w:ind w:left="0" w:leftChars="0" w:firstLine="1404" w:firstLineChars="437"/>
        <w:jc w:val="both"/>
        <w:textAlignment w:val="auto"/>
        <w:rPr>
          <w:rFonts w:hint="eastAsia" w:ascii="仿宋" w:hAnsi="仿宋" w:eastAsia="仿宋" w:cs="仿宋"/>
          <w:b/>
          <w:color w:val="auto"/>
          <w:sz w:val="32"/>
          <w:szCs w:val="32"/>
          <w:highlight w:val="none"/>
          <w:u w:val="single"/>
          <w:lang w:val="en-US"/>
        </w:rPr>
      </w:pPr>
      <w:r>
        <w:rPr>
          <w:rFonts w:hint="eastAsia" w:ascii="仿宋" w:hAnsi="仿宋" w:eastAsia="仿宋" w:cs="仿宋"/>
          <w:b/>
          <w:color w:val="auto"/>
          <w:sz w:val="32"/>
          <w:szCs w:val="32"/>
          <w:highlight w:val="none"/>
        </w:rPr>
        <w:t>招标代理机构：</w:t>
      </w:r>
      <w:r>
        <w:rPr>
          <w:rFonts w:hint="eastAsia" w:ascii="仿宋" w:hAnsi="仿宋" w:eastAsia="仿宋" w:cs="仿宋"/>
          <w:b/>
          <w:color w:val="auto"/>
          <w:sz w:val="32"/>
          <w:szCs w:val="32"/>
          <w:highlight w:val="none"/>
          <w:u w:val="single"/>
          <w:lang w:eastAsia="zh-CN"/>
        </w:rPr>
        <w:t>云南谦亚工程项目管理有限公司</w:t>
      </w:r>
    </w:p>
    <w:p>
      <w:pPr>
        <w:keepNext w:val="0"/>
        <w:keepLines w:val="0"/>
        <w:pageBreakBefore w:val="0"/>
        <w:widowControl/>
        <w:kinsoku/>
        <w:wordWrap/>
        <w:overflowPunct/>
        <w:topLinePunct w:val="0"/>
        <w:autoSpaceDE/>
        <w:autoSpaceDN/>
        <w:bidi w:val="0"/>
        <w:adjustRightInd/>
        <w:snapToGrid w:val="0"/>
        <w:spacing w:line="360" w:lineRule="auto"/>
        <w:ind w:left="0" w:leftChars="0" w:firstLine="1404" w:firstLineChars="437"/>
        <w:jc w:val="both"/>
        <w:textAlignment w:val="auto"/>
        <w:rPr>
          <w:rFonts w:hint="eastAsia" w:ascii="仿宋" w:hAnsi="仿宋" w:eastAsia="仿宋" w:cs="仿宋"/>
          <w:b/>
          <w:bCs/>
          <w:color w:val="auto"/>
          <w:sz w:val="44"/>
          <w:szCs w:val="44"/>
          <w:highlight w:val="none"/>
          <w:lang w:eastAsia="zh-CN"/>
        </w:rPr>
      </w:pPr>
      <w:r>
        <w:rPr>
          <w:rFonts w:hint="eastAsia" w:ascii="仿宋" w:hAnsi="仿宋" w:eastAsia="仿宋" w:cs="仿宋"/>
          <w:b/>
          <w:color w:val="auto"/>
          <w:sz w:val="32"/>
          <w:szCs w:val="32"/>
          <w:highlight w:val="none"/>
        </w:rPr>
        <w:t>日        期：</w:t>
      </w:r>
      <w:r>
        <w:rPr>
          <w:rFonts w:hint="eastAsia" w:ascii="仿宋" w:hAnsi="仿宋" w:eastAsia="仿宋" w:cs="仿宋"/>
          <w:b/>
          <w:color w:val="auto"/>
          <w:sz w:val="32"/>
          <w:szCs w:val="32"/>
          <w:highlight w:val="none"/>
          <w:u w:val="single"/>
        </w:rPr>
        <w:t>202</w:t>
      </w:r>
      <w:r>
        <w:rPr>
          <w:rFonts w:hint="eastAsia" w:ascii="仿宋" w:hAnsi="仿宋" w:eastAsia="仿宋" w:cs="仿宋"/>
          <w:b/>
          <w:color w:val="auto"/>
          <w:sz w:val="32"/>
          <w:szCs w:val="32"/>
          <w:highlight w:val="none"/>
          <w:u w:val="single"/>
          <w:lang w:val="en-US" w:eastAsia="zh-CN"/>
        </w:rPr>
        <w:t>6</w:t>
      </w:r>
      <w:r>
        <w:rPr>
          <w:rFonts w:hint="eastAsia" w:ascii="仿宋" w:hAnsi="仿宋" w:eastAsia="仿宋" w:cs="仿宋"/>
          <w:b/>
          <w:color w:val="auto"/>
          <w:sz w:val="32"/>
          <w:szCs w:val="32"/>
          <w:highlight w:val="none"/>
          <w:u w:val="single"/>
        </w:rPr>
        <w:t>年</w:t>
      </w:r>
      <w:r>
        <w:rPr>
          <w:rFonts w:hint="eastAsia" w:ascii="仿宋" w:hAnsi="仿宋" w:eastAsia="仿宋" w:cs="仿宋"/>
          <w:b/>
          <w:color w:val="auto"/>
          <w:sz w:val="32"/>
          <w:szCs w:val="32"/>
          <w:highlight w:val="none"/>
          <w:u w:val="single"/>
          <w:lang w:val="en-US" w:eastAsia="zh-CN"/>
        </w:rPr>
        <w:t>03</w:t>
      </w:r>
      <w:r>
        <w:rPr>
          <w:rFonts w:hint="eastAsia" w:ascii="仿宋" w:hAnsi="仿宋" w:eastAsia="仿宋" w:cs="仿宋"/>
          <w:b/>
          <w:color w:val="auto"/>
          <w:sz w:val="32"/>
          <w:szCs w:val="32"/>
          <w:highlight w:val="none"/>
          <w:u w:val="single"/>
        </w:rPr>
        <w:t>月</w:t>
      </w:r>
    </w:p>
    <w:p>
      <w:pPr>
        <w:pageBreakBefore w:val="0"/>
        <w:kinsoku/>
        <w:overflowPunct/>
        <w:topLinePunct w:val="0"/>
        <w:bidi w:val="0"/>
        <w:snapToGrid w:val="0"/>
        <w:spacing w:line="360" w:lineRule="auto"/>
        <w:ind w:left="1604" w:leftChars="27" w:hanging="1550" w:hangingChars="351"/>
        <w:jc w:val="center"/>
        <w:textAlignment w:val="auto"/>
        <w:rPr>
          <w:rFonts w:hint="eastAsia" w:ascii="仿宋" w:hAnsi="仿宋" w:eastAsia="仿宋" w:cs="仿宋"/>
          <w:b/>
          <w:bCs/>
          <w:color w:val="auto"/>
          <w:sz w:val="44"/>
          <w:szCs w:val="44"/>
          <w:highlight w:val="none"/>
          <w:lang w:eastAsia="zh-CN"/>
        </w:rPr>
      </w:pPr>
    </w:p>
    <w:p>
      <w:pPr>
        <w:pageBreakBefore w:val="0"/>
        <w:kinsoku/>
        <w:overflowPunct/>
        <w:topLinePunct w:val="0"/>
        <w:bidi w:val="0"/>
        <w:snapToGrid w:val="0"/>
        <w:spacing w:line="360" w:lineRule="auto"/>
        <w:ind w:left="1604" w:leftChars="27" w:hanging="1550" w:hangingChars="351"/>
        <w:jc w:val="center"/>
        <w:textAlignment w:val="auto"/>
        <w:rPr>
          <w:rFonts w:hint="eastAsia" w:ascii="仿宋" w:hAnsi="仿宋" w:eastAsia="仿宋" w:cs="仿宋"/>
          <w:b/>
          <w:bCs/>
          <w:color w:val="auto"/>
          <w:sz w:val="44"/>
          <w:szCs w:val="44"/>
          <w:highlight w:val="none"/>
          <w:lang w:eastAsia="zh-CN"/>
        </w:rPr>
        <w:sectPr>
          <w:headerReference r:id="rId4" w:type="first"/>
          <w:footerReference r:id="rId6" w:type="first"/>
          <w:headerReference r:id="rId3" w:type="default"/>
          <w:footerReference r:id="rId5" w:type="default"/>
          <w:pgSz w:w="11906" w:h="16838"/>
          <w:pgMar w:top="1134" w:right="1418" w:bottom="1134" w:left="1418" w:header="850" w:footer="850" w:gutter="0"/>
          <w:pgBorders>
            <w:top w:val="none" w:color="auto" w:sz="0" w:space="0"/>
            <w:left w:val="none" w:color="auto" w:sz="0" w:space="0"/>
            <w:bottom w:val="none" w:color="auto" w:sz="0" w:space="0"/>
            <w:right w:val="none" w:color="auto" w:sz="0" w:space="0"/>
          </w:pgBorders>
          <w:pgNumType w:fmt="decimal"/>
          <w:cols w:space="720" w:num="1"/>
          <w:titlePg/>
          <w:docGrid w:linePitch="312" w:charSpace="0"/>
        </w:sectPr>
      </w:pPr>
    </w:p>
    <w:p>
      <w:pPr>
        <w:pageBreakBefore w:val="0"/>
        <w:kinsoku/>
        <w:overflowPunct/>
        <w:topLinePunct w:val="0"/>
        <w:bidi w:val="0"/>
        <w:snapToGrid w:val="0"/>
        <w:spacing w:line="360" w:lineRule="auto"/>
        <w:ind w:left="1544" w:leftChars="284" w:hanging="976" w:hangingChars="221"/>
        <w:jc w:val="center"/>
        <w:textAlignment w:val="auto"/>
        <w:rPr>
          <w:rFonts w:hint="eastAsia" w:ascii="仿宋" w:hAnsi="仿宋" w:eastAsia="仿宋" w:cs="仿宋"/>
          <w:b/>
          <w:color w:val="auto"/>
          <w:szCs w:val="21"/>
          <w:highlight w:val="none"/>
        </w:rPr>
      </w:pPr>
      <w:r>
        <w:rPr>
          <w:rFonts w:hint="eastAsia" w:ascii="仿宋" w:hAnsi="仿宋" w:eastAsia="仿宋" w:cs="仿宋"/>
          <w:b/>
          <w:bCs/>
          <w:color w:val="auto"/>
          <w:sz w:val="44"/>
          <w:szCs w:val="44"/>
          <w:highlight w:val="none"/>
        </w:rPr>
        <w:t>★★★ 注意事项 ★★★</w:t>
      </w:r>
    </w:p>
    <w:p>
      <w:pPr>
        <w:pageBreakBefore w:val="0"/>
        <w:kinsoku/>
        <w:overflowPunct/>
        <w:topLinePunct w:val="0"/>
        <w:bidi w:val="0"/>
        <w:spacing w:line="360" w:lineRule="auto"/>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各投标人：</w:t>
      </w:r>
    </w:p>
    <w:p>
      <w:pPr>
        <w:pageBreakBefore w:val="0"/>
        <w:kinsoku/>
        <w:overflowPunct/>
        <w:topLinePunct w:val="0"/>
        <w:bidi w:val="0"/>
        <w:spacing w:line="360" w:lineRule="auto"/>
        <w:ind w:firstLine="572" w:firstLineChars="26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本项目采用网上开标远程网上解密方式进行开标，具体注意事项如下：</w:t>
      </w:r>
    </w:p>
    <w:p>
      <w:pPr>
        <w:pageBreakBefore w:val="0"/>
        <w:kinsoku/>
        <w:overflowPunct/>
        <w:topLinePunct w:val="0"/>
        <w:bidi w:val="0"/>
        <w:spacing w:line="360" w:lineRule="auto"/>
        <w:ind w:firstLine="572" w:firstLineChars="26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投标人登录“云南省公共资源交易信息网（https://ggzy.yn.gov.cn），在【网上办事】专栏-点击【在线开标】进入网上开标大厅，完成远程解密、查看开标一览表和签名确认等相关操作。本项目解密时间为30分钟（时间根据投标人数量、项目大小、网络情况在开标时设定），对同一投标人的延长解密时间次数不超过二次，若投标人未在规定时间完成以上解密，则视为撤销其投标文件，不再进入评标阶段。开标过程中如有问题，可以在线提出异议，由招标代理机构给予对应的回复。</w:t>
      </w:r>
    </w:p>
    <w:p>
      <w:pPr>
        <w:pageBreakBefore w:val="0"/>
        <w:kinsoku/>
        <w:overflowPunct/>
        <w:topLinePunct w:val="0"/>
        <w:bidi w:val="0"/>
        <w:spacing w:line="360" w:lineRule="auto"/>
        <w:ind w:firstLine="572" w:firstLineChars="26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2、本项目提出开标异议时间为</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rPr>
        <w:t>分钟，在规定的异议确认时间内不进行确认或提出异议的，则视为对开标结果无异议。到规定解密截止时间后已解密的投标人不足三家的，按规定重新招标。</w:t>
      </w:r>
    </w:p>
    <w:p>
      <w:pPr>
        <w:pageBreakBefore w:val="0"/>
        <w:kinsoku/>
        <w:overflowPunct/>
        <w:topLinePunct w:val="0"/>
        <w:bidi w:val="0"/>
        <w:spacing w:line="360" w:lineRule="auto"/>
        <w:ind w:firstLine="572" w:firstLineChars="26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3、投标人应在招标文件约定的投标文件提交时间内进行网上开标室，并随时关注，等待网上解密指令的下达。</w:t>
      </w:r>
    </w:p>
    <w:p>
      <w:pPr>
        <w:pageBreakBefore w:val="0"/>
        <w:kinsoku/>
        <w:overflowPunct/>
        <w:topLinePunct w:val="0"/>
        <w:bidi w:val="0"/>
        <w:spacing w:line="360" w:lineRule="auto"/>
        <w:textAlignment w:val="auto"/>
        <w:rPr>
          <w:rFonts w:hint="eastAsia" w:ascii="仿宋" w:hAnsi="仿宋" w:eastAsia="仿宋" w:cs="仿宋"/>
          <w:color w:val="auto"/>
          <w:sz w:val="22"/>
          <w:szCs w:val="22"/>
          <w:highlight w:val="none"/>
        </w:rPr>
      </w:pPr>
    </w:p>
    <w:p>
      <w:pPr>
        <w:pageBreakBefore w:val="0"/>
        <w:kinsoku/>
        <w:overflowPunct/>
        <w:topLinePunct w:val="0"/>
        <w:bidi w:val="0"/>
        <w:spacing w:line="360" w:lineRule="auto"/>
        <w:textAlignment w:val="auto"/>
        <w:rPr>
          <w:rFonts w:hint="eastAsia" w:ascii="仿宋" w:hAnsi="仿宋" w:eastAsia="仿宋" w:cs="仿宋"/>
          <w:color w:val="auto"/>
          <w:sz w:val="22"/>
          <w:szCs w:val="22"/>
          <w:highlight w:val="none"/>
        </w:rPr>
      </w:pPr>
    </w:p>
    <w:p>
      <w:pPr>
        <w:pageBreakBefore w:val="0"/>
        <w:kinsoku/>
        <w:overflowPunct/>
        <w:topLinePunct w:val="0"/>
        <w:bidi w:val="0"/>
        <w:spacing w:line="360" w:lineRule="auto"/>
        <w:ind w:firstLine="572" w:firstLineChars="260"/>
        <w:textAlignment w:val="auto"/>
        <w:rPr>
          <w:rFonts w:hint="eastAsia" w:ascii="仿宋" w:hAnsi="仿宋" w:eastAsia="仿宋" w:cs="仿宋"/>
          <w:color w:val="auto"/>
          <w:sz w:val="22"/>
          <w:szCs w:val="22"/>
          <w:highlight w:val="none"/>
        </w:rPr>
        <w:sectPr>
          <w:footerReference r:id="rId9" w:type="first"/>
          <w:headerReference r:id="rId7" w:type="default"/>
          <w:footerReference r:id="rId8" w:type="default"/>
          <w:pgSz w:w="11906" w:h="16838"/>
          <w:pgMar w:top="1134" w:right="1418" w:bottom="1134" w:left="1418" w:header="850" w:footer="850" w:gutter="0"/>
          <w:pgBorders>
            <w:top w:val="none" w:color="auto" w:sz="0" w:space="0"/>
            <w:left w:val="none" w:color="auto" w:sz="0" w:space="0"/>
            <w:bottom w:val="none" w:color="auto" w:sz="0" w:space="0"/>
            <w:right w:val="none" w:color="auto" w:sz="0" w:space="0"/>
          </w:pgBorders>
          <w:pgNumType w:fmt="decimal" w:start="1"/>
          <w:cols w:space="720" w:num="1"/>
          <w:docGrid w:linePitch="312" w:charSpace="0"/>
        </w:sectPr>
      </w:pPr>
    </w:p>
    <w:p>
      <w:pPr>
        <w:pageBreakBefore w:val="0"/>
        <w:kinsoku/>
        <w:overflowPunct/>
        <w:topLinePunct w:val="0"/>
        <w:bidi w:val="0"/>
        <w:spacing w:line="360" w:lineRule="auto"/>
        <w:ind w:firstLine="1148" w:firstLineChars="260"/>
        <w:jc w:val="center"/>
        <w:textAlignment w:val="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目   录</w:t>
      </w:r>
    </w:p>
    <w:p>
      <w:pPr>
        <w:pStyle w:val="35"/>
        <w:tabs>
          <w:tab w:val="right" w:leader="dot" w:pos="9070"/>
          <w:tab w:val="clear" w:pos="9639"/>
        </w:tabs>
        <w:spacing w:line="360" w:lineRule="auto"/>
        <w:rPr>
          <w:color w:val="auto"/>
          <w:highlight w:val="none"/>
        </w:rPr>
      </w:pPr>
      <w:r>
        <w:rPr>
          <w:rFonts w:hint="eastAsia" w:ascii="仿宋" w:hAnsi="仿宋" w:eastAsia="仿宋" w:cs="仿宋"/>
          <w:b w:val="0"/>
          <w:color w:val="auto"/>
          <w:sz w:val="21"/>
          <w:szCs w:val="21"/>
          <w:highlight w:val="none"/>
        </w:rPr>
        <w:fldChar w:fldCharType="begin"/>
      </w:r>
      <w:r>
        <w:rPr>
          <w:rFonts w:hint="eastAsia" w:ascii="仿宋" w:hAnsi="仿宋" w:eastAsia="仿宋" w:cs="仿宋"/>
          <w:b w:val="0"/>
          <w:color w:val="auto"/>
          <w:sz w:val="21"/>
          <w:szCs w:val="21"/>
          <w:highlight w:val="none"/>
        </w:rPr>
        <w:instrText xml:space="preserve"> TOC \o "1-4" \h \z \u </w:instrText>
      </w:r>
      <w:r>
        <w:rPr>
          <w:rFonts w:hint="eastAsia" w:ascii="仿宋" w:hAnsi="仿宋" w:eastAsia="仿宋" w:cs="仿宋"/>
          <w:b w:val="0"/>
          <w:color w:val="auto"/>
          <w:sz w:val="21"/>
          <w:szCs w:val="21"/>
          <w:highlight w:val="none"/>
        </w:rPr>
        <w:fldChar w:fldCharType="separate"/>
      </w:r>
      <w:r>
        <w:rPr>
          <w:color w:val="auto"/>
          <w:highlight w:val="none"/>
        </w:rPr>
        <w:fldChar w:fldCharType="begin"/>
      </w:r>
      <w:r>
        <w:rPr>
          <w:color w:val="auto"/>
          <w:highlight w:val="none"/>
        </w:rPr>
        <w:instrText xml:space="preserve"> HYPERLINK \l "_Toc5141" </w:instrText>
      </w:r>
      <w:r>
        <w:rPr>
          <w:color w:val="auto"/>
          <w:highlight w:val="none"/>
        </w:rPr>
        <w:fldChar w:fldCharType="separate"/>
      </w:r>
      <w:r>
        <w:rPr>
          <w:rFonts w:hint="eastAsia" w:ascii="仿宋" w:hAnsi="仿宋" w:eastAsia="仿宋" w:cs="仿宋"/>
          <w:color w:val="auto"/>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_Toc5141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"_Toc16050" </w:instrText>
      </w:r>
      <w:r>
        <w:rPr>
          <w:color w:val="auto"/>
          <w:highlight w:val="none"/>
        </w:rPr>
        <w:fldChar w:fldCharType="separate"/>
      </w:r>
      <w:r>
        <w:rPr>
          <w:rFonts w:hint="eastAsia" w:ascii="仿宋" w:hAnsi="仿宋" w:eastAsia="仿宋" w:cs="仿宋"/>
          <w:color w:val="auto"/>
          <w:szCs w:val="21"/>
          <w:highlight w:val="none"/>
        </w:rPr>
        <w:t>1.招标条件</w:t>
      </w:r>
      <w:r>
        <w:rPr>
          <w:color w:val="auto"/>
          <w:highlight w:val="none"/>
        </w:rPr>
        <w:tab/>
      </w:r>
      <w:r>
        <w:rPr>
          <w:color w:val="auto"/>
          <w:highlight w:val="none"/>
        </w:rPr>
        <w:fldChar w:fldCharType="begin"/>
      </w:r>
      <w:r>
        <w:rPr>
          <w:color w:val="auto"/>
          <w:highlight w:val="none"/>
        </w:rPr>
        <w:instrText xml:space="preserve"> PAGEREF _Toc16050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"_Toc26127" </w:instrText>
      </w:r>
      <w:r>
        <w:rPr>
          <w:color w:val="auto"/>
          <w:highlight w:val="none"/>
        </w:rPr>
        <w:fldChar w:fldCharType="separate"/>
      </w: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val="en-US" w:eastAsia="zh-CN"/>
        </w:rPr>
        <w:t>项目概况</w:t>
      </w:r>
      <w:r>
        <w:rPr>
          <w:color w:val="auto"/>
          <w:highlight w:val="none"/>
        </w:rPr>
        <w:tab/>
      </w:r>
      <w:r>
        <w:rPr>
          <w:color w:val="auto"/>
          <w:highlight w:val="none"/>
        </w:rPr>
        <w:fldChar w:fldCharType="begin"/>
      </w:r>
      <w:r>
        <w:rPr>
          <w:color w:val="auto"/>
          <w:highlight w:val="none"/>
        </w:rPr>
        <w:instrText xml:space="preserve"> PAGEREF _Toc26127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"_Toc21710" </w:instrText>
      </w:r>
      <w:r>
        <w:rPr>
          <w:color w:val="auto"/>
          <w:highlight w:val="none"/>
        </w:rPr>
        <w:fldChar w:fldCharType="separate"/>
      </w:r>
      <w:r>
        <w:rPr>
          <w:rFonts w:hint="eastAsia" w:ascii="仿宋" w:hAnsi="仿宋" w:eastAsia="仿宋" w:cs="仿宋"/>
          <w:color w:val="auto"/>
          <w:szCs w:val="21"/>
          <w:highlight w:val="none"/>
        </w:rPr>
        <w:t>3.投标人资格要求</w:t>
      </w:r>
      <w:r>
        <w:rPr>
          <w:color w:val="auto"/>
          <w:highlight w:val="none"/>
        </w:rPr>
        <w:tab/>
      </w:r>
      <w:r>
        <w:rPr>
          <w:color w:val="auto"/>
          <w:highlight w:val="none"/>
        </w:rPr>
        <w:fldChar w:fldCharType="begin"/>
      </w:r>
      <w:r>
        <w:rPr>
          <w:color w:val="auto"/>
          <w:highlight w:val="none"/>
        </w:rPr>
        <w:instrText xml:space="preserve"> PAGEREF _Toc21710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"_Toc2755" </w:instrText>
      </w:r>
      <w:r>
        <w:rPr>
          <w:color w:val="auto"/>
          <w:highlight w:val="none"/>
        </w:rPr>
        <w:fldChar w:fldCharType="separate"/>
      </w:r>
      <w:r>
        <w:rPr>
          <w:rFonts w:hint="eastAsia" w:ascii="仿宋" w:hAnsi="仿宋" w:eastAsia="仿宋" w:cs="仿宋"/>
          <w:color w:val="auto"/>
          <w:szCs w:val="21"/>
          <w:highlight w:val="none"/>
        </w:rPr>
        <w:t>4.资格审查方式</w:t>
      </w:r>
      <w:r>
        <w:rPr>
          <w:color w:val="auto"/>
          <w:highlight w:val="none"/>
        </w:rPr>
        <w:tab/>
      </w:r>
      <w:r>
        <w:rPr>
          <w:color w:val="auto"/>
          <w:highlight w:val="none"/>
        </w:rPr>
        <w:fldChar w:fldCharType="begin"/>
      </w:r>
      <w:r>
        <w:rPr>
          <w:color w:val="auto"/>
          <w:highlight w:val="none"/>
        </w:rPr>
        <w:instrText xml:space="preserve"> PAGEREF _Toc2755 \h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"_Toc4154" </w:instrText>
      </w:r>
      <w:r>
        <w:rPr>
          <w:color w:val="auto"/>
          <w:highlight w:val="none"/>
        </w:rPr>
        <w:fldChar w:fldCharType="separate"/>
      </w:r>
      <w:r>
        <w:rPr>
          <w:rFonts w:hint="eastAsia" w:ascii="仿宋" w:hAnsi="仿宋" w:eastAsia="仿宋" w:cs="仿宋"/>
          <w:color w:val="auto"/>
          <w:szCs w:val="21"/>
          <w:highlight w:val="none"/>
        </w:rPr>
        <w:t>5.招标文件的获取</w:t>
      </w:r>
      <w:r>
        <w:rPr>
          <w:color w:val="auto"/>
          <w:highlight w:val="none"/>
        </w:rPr>
        <w:tab/>
      </w:r>
      <w:r>
        <w:rPr>
          <w:color w:val="auto"/>
          <w:highlight w:val="none"/>
        </w:rPr>
        <w:fldChar w:fldCharType="begin"/>
      </w:r>
      <w:r>
        <w:rPr>
          <w:color w:val="auto"/>
          <w:highlight w:val="none"/>
        </w:rPr>
        <w:instrText xml:space="preserve"> PAGEREF _Toc4154 \h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"_Toc16381" </w:instrText>
      </w:r>
      <w:r>
        <w:rPr>
          <w:color w:val="auto"/>
          <w:highlight w:val="none"/>
        </w:rPr>
        <w:fldChar w:fldCharType="separate"/>
      </w:r>
      <w:r>
        <w:rPr>
          <w:rFonts w:hint="eastAsia" w:ascii="仿宋" w:hAnsi="仿宋" w:eastAsia="仿宋" w:cs="仿宋"/>
          <w:color w:val="auto"/>
          <w:szCs w:val="21"/>
          <w:highlight w:val="none"/>
        </w:rPr>
        <w:t>6.投标文件的递交</w:t>
      </w:r>
      <w:r>
        <w:rPr>
          <w:color w:val="auto"/>
          <w:highlight w:val="none"/>
        </w:rPr>
        <w:tab/>
      </w:r>
      <w:r>
        <w:rPr>
          <w:color w:val="auto"/>
          <w:highlight w:val="none"/>
        </w:rPr>
        <w:fldChar w:fldCharType="begin"/>
      </w:r>
      <w:r>
        <w:rPr>
          <w:color w:val="auto"/>
          <w:highlight w:val="none"/>
        </w:rPr>
        <w:instrText xml:space="preserve"> PAGEREF _Toc16381 \h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"_Toc3499" </w:instrText>
      </w:r>
      <w:r>
        <w:rPr>
          <w:color w:val="auto"/>
          <w:highlight w:val="none"/>
        </w:rPr>
        <w:fldChar w:fldCharType="separate"/>
      </w:r>
      <w:r>
        <w:rPr>
          <w:rFonts w:hint="eastAsia" w:ascii="仿宋" w:hAnsi="仿宋" w:eastAsia="仿宋" w:cs="仿宋"/>
          <w:color w:val="auto"/>
          <w:szCs w:val="21"/>
          <w:highlight w:val="none"/>
        </w:rPr>
        <w:t>7.招标公告发布媒体</w:t>
      </w:r>
      <w:r>
        <w:rPr>
          <w:color w:val="auto"/>
          <w:highlight w:val="none"/>
        </w:rPr>
        <w:tab/>
      </w:r>
      <w:r>
        <w:rPr>
          <w:color w:val="auto"/>
          <w:highlight w:val="none"/>
        </w:rPr>
        <w:fldChar w:fldCharType="begin"/>
      </w:r>
      <w:r>
        <w:rPr>
          <w:color w:val="auto"/>
          <w:highlight w:val="none"/>
        </w:rPr>
        <w:instrText xml:space="preserve"> PAGEREF _Toc3499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"_Toc30061" </w:instrText>
      </w:r>
      <w:r>
        <w:rPr>
          <w:color w:val="auto"/>
          <w:highlight w:val="none"/>
        </w:rPr>
        <w:fldChar w:fldCharType="separate"/>
      </w:r>
      <w:r>
        <w:rPr>
          <w:rFonts w:hint="eastAsia" w:ascii="仿宋" w:hAnsi="仿宋" w:eastAsia="仿宋" w:cs="仿宋"/>
          <w:color w:val="auto"/>
          <w:szCs w:val="21"/>
          <w:highlight w:val="none"/>
        </w:rPr>
        <w:t>8.联系方式</w:t>
      </w:r>
      <w:r>
        <w:rPr>
          <w:color w:val="auto"/>
          <w:highlight w:val="none"/>
        </w:rPr>
        <w:tab/>
      </w:r>
      <w:r>
        <w:rPr>
          <w:color w:val="auto"/>
          <w:highlight w:val="none"/>
        </w:rPr>
        <w:fldChar w:fldCharType="begin"/>
      </w:r>
      <w:r>
        <w:rPr>
          <w:color w:val="auto"/>
          <w:highlight w:val="none"/>
        </w:rPr>
        <w:instrText xml:space="preserve"> PAGEREF _Toc30061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pPr>
        <w:pStyle w:val="35"/>
        <w:tabs>
          <w:tab w:val="right" w:leader="dot" w:pos="9070"/>
          <w:tab w:val="clear" w:pos="9639"/>
        </w:tabs>
        <w:spacing w:line="360" w:lineRule="auto"/>
        <w:rPr>
          <w:color w:val="auto"/>
          <w:highlight w:val="none"/>
        </w:rPr>
      </w:pPr>
      <w:r>
        <w:rPr>
          <w:color w:val="auto"/>
          <w:highlight w:val="none"/>
        </w:rPr>
        <w:fldChar w:fldCharType="begin"/>
      </w:r>
      <w:r>
        <w:rPr>
          <w:color w:val="auto"/>
          <w:highlight w:val="none"/>
        </w:rPr>
        <w:instrText xml:space="preserve"> HYPERLINK \l "_Toc21679" </w:instrText>
      </w:r>
      <w:r>
        <w:rPr>
          <w:color w:val="auto"/>
          <w:highlight w:val="none"/>
        </w:rPr>
        <w:fldChar w:fldCharType="separate"/>
      </w:r>
      <w:r>
        <w:rPr>
          <w:rFonts w:hint="eastAsia" w:ascii="仿宋" w:hAnsi="仿宋" w:eastAsia="仿宋" w:cs="仿宋"/>
          <w:color w:val="auto"/>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_Toc21679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pPr>
        <w:pStyle w:val="42"/>
        <w:keepNext w:val="0"/>
        <w:keepLines w:val="0"/>
        <w:pageBreakBefore w:val="0"/>
        <w:widowControl/>
        <w:tabs>
          <w:tab w:val="right" w:leader="dot" w:pos="9070"/>
          <w:tab w:val="clear" w:pos="9628"/>
        </w:tabs>
        <w:kinsoku/>
        <w:wordWrap/>
        <w:overflowPunct/>
        <w:topLinePunct w:val="0"/>
        <w:autoSpaceDE/>
        <w:autoSpaceDN/>
        <w:bidi w:val="0"/>
        <w:adjustRightInd/>
        <w:snapToGrid/>
        <w:spacing w:line="360" w:lineRule="auto"/>
        <w:ind w:left="598" w:leftChars="100"/>
        <w:textAlignment w:val="auto"/>
        <w:rPr>
          <w:color w:val="auto"/>
          <w:highlight w:val="none"/>
        </w:rPr>
      </w:pPr>
      <w:r>
        <w:rPr>
          <w:color w:val="auto"/>
          <w:highlight w:val="none"/>
        </w:rPr>
        <w:fldChar w:fldCharType="begin"/>
      </w:r>
      <w:r>
        <w:rPr>
          <w:color w:val="auto"/>
          <w:highlight w:val="none"/>
        </w:rPr>
        <w:instrText xml:space="preserve"> HYPERLINK \l "_Toc6276" </w:instrText>
      </w:r>
      <w:r>
        <w:rPr>
          <w:color w:val="auto"/>
          <w:highlight w:val="none"/>
        </w:rPr>
        <w:fldChar w:fldCharType="separate"/>
      </w:r>
      <w:r>
        <w:rPr>
          <w:rFonts w:hint="eastAsia" w:ascii="仿宋" w:hAnsi="仿宋" w:eastAsia="仿宋" w:cs="仿宋"/>
          <w:color w:val="auto"/>
          <w:szCs w:val="30"/>
          <w:highlight w:val="none"/>
        </w:rPr>
        <w:t>投标须知前附表</w:t>
      </w:r>
      <w:r>
        <w:rPr>
          <w:color w:val="auto"/>
          <w:highlight w:val="none"/>
        </w:rPr>
        <w:tab/>
      </w:r>
      <w:r>
        <w:rPr>
          <w:color w:val="auto"/>
          <w:highlight w:val="none"/>
        </w:rPr>
        <w:fldChar w:fldCharType="begin"/>
      </w:r>
      <w:r>
        <w:rPr>
          <w:color w:val="auto"/>
          <w:highlight w:val="none"/>
        </w:rPr>
        <w:instrText xml:space="preserve"> PAGEREF _Toc6276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pPr>
        <w:pStyle w:val="42"/>
        <w:keepNext w:val="0"/>
        <w:keepLines w:val="0"/>
        <w:pageBreakBefore w:val="0"/>
        <w:widowControl/>
        <w:tabs>
          <w:tab w:val="right" w:leader="dot" w:pos="9070"/>
          <w:tab w:val="clear" w:pos="9628"/>
        </w:tabs>
        <w:kinsoku/>
        <w:wordWrap/>
        <w:overflowPunct/>
        <w:topLinePunct w:val="0"/>
        <w:autoSpaceDE/>
        <w:autoSpaceDN/>
        <w:bidi w:val="0"/>
        <w:adjustRightInd/>
        <w:snapToGrid/>
        <w:spacing w:line="360" w:lineRule="auto"/>
        <w:ind w:left="798" w:leftChars="200"/>
        <w:textAlignment w:val="auto"/>
        <w:rPr>
          <w:color w:val="auto"/>
          <w:highlight w:val="none"/>
        </w:rPr>
      </w:pPr>
      <w:r>
        <w:rPr>
          <w:color w:val="auto"/>
          <w:highlight w:val="none"/>
        </w:rPr>
        <w:fldChar w:fldCharType="begin"/>
      </w:r>
      <w:r>
        <w:rPr>
          <w:color w:val="auto"/>
          <w:highlight w:val="none"/>
        </w:rPr>
        <w:instrText xml:space="preserve"> HYPERLINK \l "_Toc30889" </w:instrText>
      </w:r>
      <w:r>
        <w:rPr>
          <w:color w:val="auto"/>
          <w:highlight w:val="none"/>
        </w:rPr>
        <w:fldChar w:fldCharType="separate"/>
      </w:r>
      <w:r>
        <w:rPr>
          <w:rFonts w:hint="eastAsia" w:ascii="仿宋" w:hAnsi="仿宋" w:eastAsia="仿宋" w:cs="仿宋"/>
          <w:color w:val="auto"/>
          <w:highlight w:val="none"/>
        </w:rPr>
        <w:t>1.总   则</w:t>
      </w:r>
      <w:r>
        <w:rPr>
          <w:color w:val="auto"/>
          <w:highlight w:val="none"/>
        </w:rPr>
        <w:tab/>
      </w:r>
      <w:r>
        <w:rPr>
          <w:color w:val="auto"/>
          <w:highlight w:val="none"/>
        </w:rPr>
        <w:fldChar w:fldCharType="begin"/>
      </w:r>
      <w:r>
        <w:rPr>
          <w:color w:val="auto"/>
          <w:highlight w:val="none"/>
        </w:rPr>
        <w:instrText xml:space="preserve"> PAGEREF _Toc30889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pPr>
        <w:pStyle w:val="42"/>
        <w:keepNext w:val="0"/>
        <w:keepLines w:val="0"/>
        <w:pageBreakBefore w:val="0"/>
        <w:widowControl/>
        <w:tabs>
          <w:tab w:val="right" w:leader="dot" w:pos="9070"/>
          <w:tab w:val="clear" w:pos="9628"/>
        </w:tabs>
        <w:kinsoku/>
        <w:wordWrap/>
        <w:overflowPunct/>
        <w:topLinePunct w:val="0"/>
        <w:autoSpaceDE/>
        <w:autoSpaceDN/>
        <w:bidi w:val="0"/>
        <w:adjustRightInd/>
        <w:snapToGrid/>
        <w:spacing w:line="360" w:lineRule="auto"/>
        <w:ind w:left="798" w:leftChars="200"/>
        <w:textAlignment w:val="auto"/>
        <w:rPr>
          <w:color w:val="auto"/>
          <w:highlight w:val="none"/>
        </w:rPr>
      </w:pPr>
      <w:r>
        <w:rPr>
          <w:color w:val="auto"/>
          <w:highlight w:val="none"/>
        </w:rPr>
        <w:fldChar w:fldCharType="begin"/>
      </w:r>
      <w:r>
        <w:rPr>
          <w:color w:val="auto"/>
          <w:highlight w:val="none"/>
        </w:rPr>
        <w:instrText xml:space="preserve"> HYPERLINK \l "_Toc9214" </w:instrText>
      </w:r>
      <w:r>
        <w:rPr>
          <w:color w:val="auto"/>
          <w:highlight w:val="none"/>
        </w:rPr>
        <w:fldChar w:fldCharType="separate"/>
      </w:r>
      <w:r>
        <w:rPr>
          <w:rFonts w:hint="eastAsia" w:ascii="仿宋" w:hAnsi="仿宋" w:eastAsia="仿宋" w:cs="仿宋"/>
          <w:color w:val="auto"/>
          <w:highlight w:val="none"/>
        </w:rPr>
        <w:t>2.招标文件</w:t>
      </w:r>
      <w:r>
        <w:rPr>
          <w:color w:val="auto"/>
          <w:highlight w:val="none"/>
        </w:rPr>
        <w:tab/>
      </w:r>
      <w:r>
        <w:rPr>
          <w:color w:val="auto"/>
          <w:highlight w:val="none"/>
        </w:rPr>
        <w:fldChar w:fldCharType="begin"/>
      </w:r>
      <w:r>
        <w:rPr>
          <w:color w:val="auto"/>
          <w:highlight w:val="none"/>
        </w:rPr>
        <w:instrText xml:space="preserve"> PAGEREF _Toc9214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pPr>
        <w:pStyle w:val="42"/>
        <w:keepNext w:val="0"/>
        <w:keepLines w:val="0"/>
        <w:pageBreakBefore w:val="0"/>
        <w:widowControl/>
        <w:tabs>
          <w:tab w:val="right" w:leader="dot" w:pos="9070"/>
          <w:tab w:val="clear" w:pos="9628"/>
        </w:tabs>
        <w:kinsoku/>
        <w:wordWrap/>
        <w:overflowPunct/>
        <w:topLinePunct w:val="0"/>
        <w:autoSpaceDE/>
        <w:autoSpaceDN/>
        <w:bidi w:val="0"/>
        <w:adjustRightInd/>
        <w:snapToGrid/>
        <w:spacing w:line="360" w:lineRule="auto"/>
        <w:ind w:left="798" w:leftChars="200"/>
        <w:textAlignment w:val="auto"/>
        <w:rPr>
          <w:color w:val="auto"/>
          <w:highlight w:val="none"/>
        </w:rPr>
      </w:pPr>
      <w:r>
        <w:rPr>
          <w:color w:val="auto"/>
          <w:highlight w:val="none"/>
        </w:rPr>
        <w:fldChar w:fldCharType="begin"/>
      </w:r>
      <w:r>
        <w:rPr>
          <w:color w:val="auto"/>
          <w:highlight w:val="none"/>
        </w:rPr>
        <w:instrText xml:space="preserve"> HYPERLINK \l "_Toc4772" </w:instrText>
      </w:r>
      <w:r>
        <w:rPr>
          <w:color w:val="auto"/>
          <w:highlight w:val="none"/>
        </w:rPr>
        <w:fldChar w:fldCharType="separate"/>
      </w:r>
      <w:r>
        <w:rPr>
          <w:rFonts w:hint="eastAsia" w:ascii="仿宋" w:hAnsi="仿宋" w:eastAsia="仿宋" w:cs="仿宋"/>
          <w:color w:val="auto"/>
          <w:highlight w:val="none"/>
        </w:rPr>
        <w:t>3.投标文件的编制</w:t>
      </w:r>
      <w:r>
        <w:rPr>
          <w:color w:val="auto"/>
          <w:highlight w:val="none"/>
        </w:rPr>
        <w:tab/>
      </w:r>
      <w:r>
        <w:rPr>
          <w:color w:val="auto"/>
          <w:highlight w:val="none"/>
        </w:rPr>
        <w:fldChar w:fldCharType="begin"/>
      </w:r>
      <w:r>
        <w:rPr>
          <w:color w:val="auto"/>
          <w:highlight w:val="none"/>
        </w:rPr>
        <w:instrText xml:space="preserve"> PAGEREF _Toc4772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pPr>
        <w:pStyle w:val="42"/>
        <w:keepNext w:val="0"/>
        <w:keepLines w:val="0"/>
        <w:pageBreakBefore w:val="0"/>
        <w:widowControl/>
        <w:tabs>
          <w:tab w:val="right" w:leader="dot" w:pos="9070"/>
          <w:tab w:val="clear" w:pos="9628"/>
        </w:tabs>
        <w:kinsoku/>
        <w:wordWrap/>
        <w:overflowPunct/>
        <w:topLinePunct w:val="0"/>
        <w:autoSpaceDE/>
        <w:autoSpaceDN/>
        <w:bidi w:val="0"/>
        <w:adjustRightInd/>
        <w:snapToGrid/>
        <w:spacing w:line="360" w:lineRule="auto"/>
        <w:ind w:left="798" w:leftChars="200"/>
        <w:textAlignment w:val="auto"/>
        <w:rPr>
          <w:color w:val="auto"/>
          <w:highlight w:val="none"/>
        </w:rPr>
      </w:pPr>
      <w:r>
        <w:rPr>
          <w:color w:val="auto"/>
          <w:highlight w:val="none"/>
        </w:rPr>
        <w:fldChar w:fldCharType="begin"/>
      </w:r>
      <w:r>
        <w:rPr>
          <w:color w:val="auto"/>
          <w:highlight w:val="none"/>
        </w:rPr>
        <w:instrText xml:space="preserve"> HYPERLINK \l "_Toc14583" </w:instrText>
      </w:r>
      <w:r>
        <w:rPr>
          <w:color w:val="auto"/>
          <w:highlight w:val="none"/>
        </w:rPr>
        <w:fldChar w:fldCharType="separate"/>
      </w:r>
      <w:r>
        <w:rPr>
          <w:rFonts w:hint="eastAsia" w:ascii="仿宋" w:hAnsi="仿宋" w:eastAsia="仿宋" w:cs="仿宋"/>
          <w:color w:val="auto"/>
          <w:highlight w:val="none"/>
        </w:rPr>
        <w:t>4.投标</w:t>
      </w:r>
      <w:r>
        <w:rPr>
          <w:color w:val="auto"/>
          <w:highlight w:val="none"/>
        </w:rPr>
        <w:tab/>
      </w:r>
      <w:r>
        <w:rPr>
          <w:color w:val="auto"/>
          <w:highlight w:val="none"/>
        </w:rPr>
        <w:fldChar w:fldCharType="begin"/>
      </w:r>
      <w:r>
        <w:rPr>
          <w:color w:val="auto"/>
          <w:highlight w:val="none"/>
        </w:rPr>
        <w:instrText xml:space="preserve"> PAGEREF _Toc14583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pPr>
        <w:pStyle w:val="42"/>
        <w:keepNext w:val="0"/>
        <w:keepLines w:val="0"/>
        <w:pageBreakBefore w:val="0"/>
        <w:widowControl/>
        <w:tabs>
          <w:tab w:val="right" w:leader="dot" w:pos="9070"/>
          <w:tab w:val="clear" w:pos="9628"/>
        </w:tabs>
        <w:kinsoku/>
        <w:wordWrap/>
        <w:overflowPunct/>
        <w:topLinePunct w:val="0"/>
        <w:autoSpaceDE/>
        <w:autoSpaceDN/>
        <w:bidi w:val="0"/>
        <w:adjustRightInd/>
        <w:snapToGrid/>
        <w:spacing w:line="360" w:lineRule="auto"/>
        <w:ind w:left="798" w:leftChars="200"/>
        <w:textAlignment w:val="auto"/>
        <w:rPr>
          <w:color w:val="auto"/>
          <w:highlight w:val="none"/>
        </w:rPr>
      </w:pPr>
      <w:r>
        <w:rPr>
          <w:color w:val="auto"/>
          <w:highlight w:val="none"/>
        </w:rPr>
        <w:fldChar w:fldCharType="begin"/>
      </w:r>
      <w:r>
        <w:rPr>
          <w:color w:val="auto"/>
          <w:highlight w:val="none"/>
        </w:rPr>
        <w:instrText xml:space="preserve"> HYPERLINK \l "_Toc25243" </w:instrText>
      </w:r>
      <w:r>
        <w:rPr>
          <w:color w:val="auto"/>
          <w:highlight w:val="none"/>
        </w:rPr>
        <w:fldChar w:fldCharType="separate"/>
      </w:r>
      <w:r>
        <w:rPr>
          <w:rFonts w:hint="eastAsia" w:ascii="仿宋" w:hAnsi="仿宋" w:eastAsia="仿宋" w:cs="仿宋"/>
          <w:color w:val="auto"/>
          <w:highlight w:val="none"/>
        </w:rPr>
        <w:t>5.开   标</w:t>
      </w:r>
      <w:r>
        <w:rPr>
          <w:color w:val="auto"/>
          <w:highlight w:val="none"/>
        </w:rPr>
        <w:tab/>
      </w:r>
      <w:r>
        <w:rPr>
          <w:color w:val="auto"/>
          <w:highlight w:val="none"/>
        </w:rPr>
        <w:fldChar w:fldCharType="begin"/>
      </w:r>
      <w:r>
        <w:rPr>
          <w:color w:val="auto"/>
          <w:highlight w:val="none"/>
        </w:rPr>
        <w:instrText xml:space="preserve"> PAGEREF _Toc25243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pPr>
        <w:pStyle w:val="42"/>
        <w:keepNext w:val="0"/>
        <w:keepLines w:val="0"/>
        <w:pageBreakBefore w:val="0"/>
        <w:widowControl/>
        <w:tabs>
          <w:tab w:val="right" w:leader="dot" w:pos="9070"/>
          <w:tab w:val="clear" w:pos="9628"/>
        </w:tabs>
        <w:kinsoku/>
        <w:wordWrap/>
        <w:overflowPunct/>
        <w:topLinePunct w:val="0"/>
        <w:autoSpaceDE/>
        <w:autoSpaceDN/>
        <w:bidi w:val="0"/>
        <w:adjustRightInd/>
        <w:snapToGrid/>
        <w:spacing w:line="360" w:lineRule="auto"/>
        <w:ind w:left="798" w:leftChars="200"/>
        <w:textAlignment w:val="auto"/>
        <w:rPr>
          <w:color w:val="auto"/>
          <w:highlight w:val="none"/>
        </w:rPr>
      </w:pPr>
      <w:r>
        <w:rPr>
          <w:color w:val="auto"/>
          <w:highlight w:val="none"/>
        </w:rPr>
        <w:fldChar w:fldCharType="begin"/>
      </w:r>
      <w:r>
        <w:rPr>
          <w:color w:val="auto"/>
          <w:highlight w:val="none"/>
        </w:rPr>
        <w:instrText xml:space="preserve"> HYPERLINK \l "_Toc30087" </w:instrText>
      </w:r>
      <w:r>
        <w:rPr>
          <w:color w:val="auto"/>
          <w:highlight w:val="none"/>
        </w:rPr>
        <w:fldChar w:fldCharType="separate"/>
      </w:r>
      <w:r>
        <w:rPr>
          <w:rFonts w:hint="eastAsia" w:ascii="仿宋" w:hAnsi="仿宋" w:eastAsia="仿宋" w:cs="仿宋"/>
          <w:color w:val="auto"/>
          <w:highlight w:val="none"/>
        </w:rPr>
        <w:t>6.评   标</w:t>
      </w:r>
      <w:r>
        <w:rPr>
          <w:color w:val="auto"/>
          <w:highlight w:val="none"/>
        </w:rPr>
        <w:tab/>
      </w:r>
      <w:r>
        <w:rPr>
          <w:color w:val="auto"/>
          <w:highlight w:val="none"/>
        </w:rPr>
        <w:fldChar w:fldCharType="begin"/>
      </w:r>
      <w:r>
        <w:rPr>
          <w:color w:val="auto"/>
          <w:highlight w:val="none"/>
        </w:rPr>
        <w:instrText xml:space="preserve"> PAGEREF _Toc30087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pPr>
        <w:pStyle w:val="42"/>
        <w:keepNext w:val="0"/>
        <w:keepLines w:val="0"/>
        <w:pageBreakBefore w:val="0"/>
        <w:widowControl/>
        <w:tabs>
          <w:tab w:val="right" w:leader="dot" w:pos="9070"/>
          <w:tab w:val="clear" w:pos="9628"/>
        </w:tabs>
        <w:kinsoku/>
        <w:wordWrap/>
        <w:overflowPunct/>
        <w:topLinePunct w:val="0"/>
        <w:autoSpaceDE/>
        <w:autoSpaceDN/>
        <w:bidi w:val="0"/>
        <w:adjustRightInd/>
        <w:snapToGrid/>
        <w:spacing w:line="360" w:lineRule="auto"/>
        <w:ind w:left="798" w:leftChars="200"/>
        <w:textAlignment w:val="auto"/>
        <w:rPr>
          <w:color w:val="auto"/>
          <w:highlight w:val="none"/>
        </w:rPr>
      </w:pPr>
      <w:r>
        <w:rPr>
          <w:color w:val="auto"/>
          <w:highlight w:val="none"/>
        </w:rPr>
        <w:fldChar w:fldCharType="begin"/>
      </w:r>
      <w:r>
        <w:rPr>
          <w:color w:val="auto"/>
          <w:highlight w:val="none"/>
        </w:rPr>
        <w:instrText xml:space="preserve"> HYPERLINK \l "_Toc7214" </w:instrText>
      </w:r>
      <w:r>
        <w:rPr>
          <w:color w:val="auto"/>
          <w:highlight w:val="none"/>
        </w:rPr>
        <w:fldChar w:fldCharType="separate"/>
      </w:r>
      <w:r>
        <w:rPr>
          <w:rFonts w:hint="eastAsia" w:ascii="仿宋" w:hAnsi="仿宋" w:eastAsia="仿宋" w:cs="仿宋"/>
          <w:color w:val="auto"/>
          <w:highlight w:val="none"/>
        </w:rPr>
        <w:t>7.合同授予</w:t>
      </w:r>
      <w:r>
        <w:rPr>
          <w:color w:val="auto"/>
          <w:highlight w:val="none"/>
        </w:rPr>
        <w:tab/>
      </w:r>
      <w:r>
        <w:rPr>
          <w:color w:val="auto"/>
          <w:highlight w:val="none"/>
        </w:rPr>
        <w:fldChar w:fldCharType="begin"/>
      </w:r>
      <w:r>
        <w:rPr>
          <w:color w:val="auto"/>
          <w:highlight w:val="none"/>
        </w:rPr>
        <w:instrText xml:space="preserve"> PAGEREF _Toc7214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pPr>
        <w:pStyle w:val="42"/>
        <w:keepNext w:val="0"/>
        <w:keepLines w:val="0"/>
        <w:pageBreakBefore w:val="0"/>
        <w:widowControl/>
        <w:tabs>
          <w:tab w:val="right" w:leader="dot" w:pos="9070"/>
          <w:tab w:val="clear" w:pos="9628"/>
        </w:tabs>
        <w:kinsoku/>
        <w:wordWrap/>
        <w:overflowPunct/>
        <w:topLinePunct w:val="0"/>
        <w:autoSpaceDE/>
        <w:autoSpaceDN/>
        <w:bidi w:val="0"/>
        <w:adjustRightInd/>
        <w:snapToGrid/>
        <w:spacing w:line="360" w:lineRule="auto"/>
        <w:ind w:left="798" w:leftChars="200"/>
        <w:textAlignment w:val="auto"/>
        <w:rPr>
          <w:color w:val="auto"/>
          <w:highlight w:val="none"/>
        </w:rPr>
      </w:pPr>
      <w:r>
        <w:rPr>
          <w:color w:val="auto"/>
          <w:highlight w:val="none"/>
        </w:rPr>
        <w:fldChar w:fldCharType="begin"/>
      </w:r>
      <w:r>
        <w:rPr>
          <w:color w:val="auto"/>
          <w:highlight w:val="none"/>
        </w:rPr>
        <w:instrText xml:space="preserve"> HYPERLINK \l "_Toc7463" </w:instrText>
      </w:r>
      <w:r>
        <w:rPr>
          <w:color w:val="auto"/>
          <w:highlight w:val="none"/>
        </w:rPr>
        <w:fldChar w:fldCharType="separate"/>
      </w:r>
      <w:r>
        <w:rPr>
          <w:rFonts w:hint="eastAsia" w:ascii="仿宋" w:hAnsi="仿宋" w:eastAsia="仿宋" w:cs="仿宋"/>
          <w:color w:val="auto"/>
          <w:highlight w:val="none"/>
        </w:rPr>
        <w:t>8.重新招标和不再招标</w:t>
      </w:r>
      <w:r>
        <w:rPr>
          <w:color w:val="auto"/>
          <w:highlight w:val="none"/>
        </w:rPr>
        <w:tab/>
      </w:r>
      <w:r>
        <w:rPr>
          <w:color w:val="auto"/>
          <w:highlight w:val="none"/>
        </w:rPr>
        <w:fldChar w:fldCharType="begin"/>
      </w:r>
      <w:r>
        <w:rPr>
          <w:color w:val="auto"/>
          <w:highlight w:val="none"/>
        </w:rPr>
        <w:instrText xml:space="preserve"> PAGEREF _Toc7463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pPr>
        <w:pStyle w:val="42"/>
        <w:keepNext w:val="0"/>
        <w:keepLines w:val="0"/>
        <w:pageBreakBefore w:val="0"/>
        <w:widowControl/>
        <w:tabs>
          <w:tab w:val="right" w:leader="dot" w:pos="9070"/>
          <w:tab w:val="clear" w:pos="9628"/>
        </w:tabs>
        <w:kinsoku/>
        <w:wordWrap/>
        <w:overflowPunct/>
        <w:topLinePunct w:val="0"/>
        <w:autoSpaceDE/>
        <w:autoSpaceDN/>
        <w:bidi w:val="0"/>
        <w:adjustRightInd/>
        <w:snapToGrid/>
        <w:spacing w:line="360" w:lineRule="auto"/>
        <w:ind w:left="798" w:leftChars="200"/>
        <w:textAlignment w:val="auto"/>
        <w:rPr>
          <w:color w:val="auto"/>
          <w:highlight w:val="none"/>
        </w:rPr>
      </w:pPr>
      <w:r>
        <w:rPr>
          <w:color w:val="auto"/>
          <w:highlight w:val="none"/>
        </w:rPr>
        <w:fldChar w:fldCharType="begin"/>
      </w:r>
      <w:r>
        <w:rPr>
          <w:color w:val="auto"/>
          <w:highlight w:val="none"/>
        </w:rPr>
        <w:instrText xml:space="preserve"> HYPERLINK \l "_Toc16864" </w:instrText>
      </w:r>
      <w:r>
        <w:rPr>
          <w:color w:val="auto"/>
          <w:highlight w:val="none"/>
        </w:rPr>
        <w:fldChar w:fldCharType="separate"/>
      </w:r>
      <w:r>
        <w:rPr>
          <w:rFonts w:hint="eastAsia" w:ascii="仿宋" w:hAnsi="仿宋" w:eastAsia="仿宋" w:cs="仿宋"/>
          <w:color w:val="auto"/>
          <w:highlight w:val="none"/>
        </w:rPr>
        <w:t>9.纪律和监督</w:t>
      </w:r>
      <w:r>
        <w:rPr>
          <w:color w:val="auto"/>
          <w:highlight w:val="none"/>
        </w:rPr>
        <w:tab/>
      </w:r>
      <w:r>
        <w:rPr>
          <w:color w:val="auto"/>
          <w:highlight w:val="none"/>
        </w:rPr>
        <w:fldChar w:fldCharType="begin"/>
      </w:r>
      <w:r>
        <w:rPr>
          <w:color w:val="auto"/>
          <w:highlight w:val="none"/>
        </w:rPr>
        <w:instrText xml:space="preserve"> PAGEREF _Toc16864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pPr>
        <w:pStyle w:val="42"/>
        <w:keepNext w:val="0"/>
        <w:keepLines w:val="0"/>
        <w:pageBreakBefore w:val="0"/>
        <w:widowControl/>
        <w:tabs>
          <w:tab w:val="right" w:leader="dot" w:pos="9070"/>
          <w:tab w:val="clear" w:pos="9628"/>
        </w:tabs>
        <w:kinsoku/>
        <w:wordWrap/>
        <w:overflowPunct/>
        <w:topLinePunct w:val="0"/>
        <w:autoSpaceDE/>
        <w:autoSpaceDN/>
        <w:bidi w:val="0"/>
        <w:adjustRightInd/>
        <w:snapToGrid/>
        <w:spacing w:line="360" w:lineRule="auto"/>
        <w:ind w:left="798" w:leftChars="200"/>
        <w:textAlignment w:val="auto"/>
        <w:rPr>
          <w:color w:val="auto"/>
          <w:highlight w:val="none"/>
        </w:rPr>
      </w:pPr>
      <w:r>
        <w:rPr>
          <w:color w:val="auto"/>
          <w:highlight w:val="none"/>
        </w:rPr>
        <w:fldChar w:fldCharType="begin"/>
      </w:r>
      <w:r>
        <w:rPr>
          <w:color w:val="auto"/>
          <w:highlight w:val="none"/>
        </w:rPr>
        <w:instrText xml:space="preserve"> HYPERLINK \l "_Toc2427" </w:instrText>
      </w:r>
      <w:r>
        <w:rPr>
          <w:color w:val="auto"/>
          <w:highlight w:val="none"/>
        </w:rPr>
        <w:fldChar w:fldCharType="separate"/>
      </w:r>
      <w:r>
        <w:rPr>
          <w:rFonts w:hint="eastAsia" w:ascii="仿宋" w:hAnsi="仿宋" w:eastAsia="仿宋" w:cs="仿宋"/>
          <w:color w:val="auto"/>
          <w:highlight w:val="none"/>
        </w:rPr>
        <w:t>10.需要补充的其他内容</w:t>
      </w:r>
      <w:r>
        <w:rPr>
          <w:color w:val="auto"/>
          <w:highlight w:val="none"/>
        </w:rPr>
        <w:tab/>
      </w:r>
      <w:r>
        <w:rPr>
          <w:color w:val="auto"/>
          <w:highlight w:val="none"/>
        </w:rPr>
        <w:fldChar w:fldCharType="begin"/>
      </w:r>
      <w:r>
        <w:rPr>
          <w:color w:val="auto"/>
          <w:highlight w:val="none"/>
        </w:rPr>
        <w:instrText xml:space="preserve"> PAGEREF _Toc2427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pPr>
        <w:pStyle w:val="35"/>
        <w:tabs>
          <w:tab w:val="right" w:leader="dot" w:pos="9070"/>
          <w:tab w:val="clear" w:pos="9639"/>
        </w:tabs>
        <w:spacing w:line="360" w:lineRule="auto"/>
        <w:rPr>
          <w:color w:val="auto"/>
          <w:highlight w:val="none"/>
        </w:rPr>
      </w:pPr>
      <w:r>
        <w:rPr>
          <w:color w:val="auto"/>
          <w:highlight w:val="none"/>
        </w:rPr>
        <w:fldChar w:fldCharType="begin"/>
      </w:r>
      <w:r>
        <w:rPr>
          <w:color w:val="auto"/>
          <w:highlight w:val="none"/>
        </w:rPr>
        <w:instrText xml:space="preserve"> HYPERLINK \l "_Toc19272" </w:instrText>
      </w:r>
      <w:r>
        <w:rPr>
          <w:color w:val="auto"/>
          <w:highlight w:val="none"/>
        </w:rPr>
        <w:fldChar w:fldCharType="separate"/>
      </w:r>
      <w:r>
        <w:rPr>
          <w:rFonts w:hint="eastAsia" w:ascii="仿宋" w:hAnsi="仿宋" w:eastAsia="仿宋" w:cs="仿宋"/>
          <w:color w:val="auto"/>
          <w:highlight w:val="none"/>
        </w:rPr>
        <w:t>第三章  评标办法</w:t>
      </w:r>
      <w:r>
        <w:rPr>
          <w:color w:val="auto"/>
          <w:highlight w:val="none"/>
        </w:rPr>
        <w:tab/>
      </w:r>
      <w:r>
        <w:rPr>
          <w:color w:val="auto"/>
          <w:highlight w:val="none"/>
        </w:rPr>
        <w:fldChar w:fldCharType="begin"/>
      </w:r>
      <w:r>
        <w:rPr>
          <w:color w:val="auto"/>
          <w:highlight w:val="none"/>
        </w:rPr>
        <w:instrText xml:space="preserve"> PAGEREF _Toc19272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pPr>
        <w:pStyle w:val="42"/>
        <w:keepNext w:val="0"/>
        <w:keepLines w:val="0"/>
        <w:pageBreakBefore w:val="0"/>
        <w:widowControl/>
        <w:tabs>
          <w:tab w:val="right" w:leader="dot" w:pos="9070"/>
          <w:tab w:val="clear" w:pos="9628"/>
        </w:tabs>
        <w:kinsoku/>
        <w:wordWrap/>
        <w:overflowPunct/>
        <w:topLinePunct w:val="0"/>
        <w:autoSpaceDE/>
        <w:autoSpaceDN/>
        <w:bidi w:val="0"/>
        <w:adjustRightInd/>
        <w:snapToGrid/>
        <w:spacing w:line="360" w:lineRule="auto"/>
        <w:ind w:left="598" w:leftChars="100"/>
        <w:textAlignment w:val="auto"/>
        <w:rPr>
          <w:color w:val="auto"/>
          <w:highlight w:val="none"/>
        </w:rPr>
      </w:pPr>
      <w:r>
        <w:rPr>
          <w:color w:val="auto"/>
          <w:highlight w:val="none"/>
        </w:rPr>
        <w:fldChar w:fldCharType="begin"/>
      </w:r>
      <w:r>
        <w:rPr>
          <w:color w:val="auto"/>
          <w:highlight w:val="none"/>
        </w:rPr>
        <w:instrText xml:space="preserve"> HYPERLINK \l "_Toc20020" </w:instrText>
      </w:r>
      <w:r>
        <w:rPr>
          <w:color w:val="auto"/>
          <w:highlight w:val="none"/>
        </w:rPr>
        <w:fldChar w:fldCharType="separate"/>
      </w:r>
      <w:r>
        <w:rPr>
          <w:rFonts w:hint="eastAsia" w:ascii="仿宋" w:hAnsi="仿宋" w:eastAsia="仿宋" w:cs="仿宋"/>
          <w:color w:val="auto"/>
          <w:szCs w:val="30"/>
          <w:highlight w:val="none"/>
        </w:rPr>
        <w:t>一、评标方法</w:t>
      </w:r>
      <w:r>
        <w:rPr>
          <w:color w:val="auto"/>
          <w:highlight w:val="none"/>
        </w:rPr>
        <w:tab/>
      </w:r>
      <w:r>
        <w:rPr>
          <w:color w:val="auto"/>
          <w:highlight w:val="none"/>
        </w:rPr>
        <w:fldChar w:fldCharType="begin"/>
      </w:r>
      <w:r>
        <w:rPr>
          <w:color w:val="auto"/>
          <w:highlight w:val="none"/>
        </w:rPr>
        <w:instrText xml:space="preserve"> PAGEREF _Toc20020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pPr>
        <w:pStyle w:val="42"/>
        <w:keepNext w:val="0"/>
        <w:keepLines w:val="0"/>
        <w:pageBreakBefore w:val="0"/>
        <w:widowControl/>
        <w:tabs>
          <w:tab w:val="right" w:leader="dot" w:pos="9070"/>
          <w:tab w:val="clear" w:pos="9628"/>
        </w:tabs>
        <w:kinsoku/>
        <w:wordWrap/>
        <w:overflowPunct/>
        <w:topLinePunct w:val="0"/>
        <w:autoSpaceDE/>
        <w:autoSpaceDN/>
        <w:bidi w:val="0"/>
        <w:adjustRightInd/>
        <w:snapToGrid/>
        <w:spacing w:line="360" w:lineRule="auto"/>
        <w:ind w:left="598" w:leftChars="100"/>
        <w:textAlignment w:val="auto"/>
        <w:rPr>
          <w:color w:val="auto"/>
          <w:highlight w:val="none"/>
        </w:rPr>
      </w:pPr>
      <w:r>
        <w:rPr>
          <w:color w:val="auto"/>
          <w:highlight w:val="none"/>
        </w:rPr>
        <w:fldChar w:fldCharType="begin"/>
      </w:r>
      <w:r>
        <w:rPr>
          <w:color w:val="auto"/>
          <w:highlight w:val="none"/>
        </w:rPr>
        <w:instrText xml:space="preserve"> HYPERLINK \l "_Toc30183" </w:instrText>
      </w:r>
      <w:r>
        <w:rPr>
          <w:color w:val="auto"/>
          <w:highlight w:val="none"/>
        </w:rPr>
        <w:fldChar w:fldCharType="separate"/>
      </w:r>
      <w:r>
        <w:rPr>
          <w:rFonts w:hint="eastAsia" w:ascii="仿宋" w:hAnsi="仿宋" w:eastAsia="仿宋" w:cs="仿宋"/>
          <w:color w:val="auto"/>
          <w:szCs w:val="30"/>
          <w:highlight w:val="none"/>
        </w:rPr>
        <w:t>二、初步评审</w:t>
      </w:r>
      <w:r>
        <w:rPr>
          <w:color w:val="auto"/>
          <w:highlight w:val="none"/>
        </w:rPr>
        <w:tab/>
      </w:r>
      <w:r>
        <w:rPr>
          <w:color w:val="auto"/>
          <w:highlight w:val="none"/>
        </w:rPr>
        <w:fldChar w:fldCharType="begin"/>
      </w:r>
      <w:r>
        <w:rPr>
          <w:color w:val="auto"/>
          <w:highlight w:val="none"/>
        </w:rPr>
        <w:instrText xml:space="preserve"> PAGEREF _Toc30183 \h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pPr>
        <w:pStyle w:val="42"/>
        <w:keepNext w:val="0"/>
        <w:keepLines w:val="0"/>
        <w:pageBreakBefore w:val="0"/>
        <w:widowControl/>
        <w:tabs>
          <w:tab w:val="right" w:leader="dot" w:pos="9070"/>
          <w:tab w:val="clear" w:pos="9628"/>
        </w:tabs>
        <w:kinsoku/>
        <w:wordWrap/>
        <w:overflowPunct/>
        <w:topLinePunct w:val="0"/>
        <w:autoSpaceDE/>
        <w:autoSpaceDN/>
        <w:bidi w:val="0"/>
        <w:adjustRightInd/>
        <w:snapToGrid/>
        <w:spacing w:line="360" w:lineRule="auto"/>
        <w:ind w:left="598" w:leftChars="100"/>
        <w:textAlignment w:val="auto"/>
        <w:rPr>
          <w:color w:val="auto"/>
          <w:highlight w:val="none"/>
        </w:rPr>
      </w:pPr>
      <w:r>
        <w:rPr>
          <w:color w:val="auto"/>
          <w:highlight w:val="none"/>
        </w:rPr>
        <w:fldChar w:fldCharType="begin"/>
      </w:r>
      <w:r>
        <w:rPr>
          <w:color w:val="auto"/>
          <w:highlight w:val="none"/>
        </w:rPr>
        <w:instrText xml:space="preserve"> HYPERLINK \l "_Toc4382" </w:instrText>
      </w:r>
      <w:r>
        <w:rPr>
          <w:color w:val="auto"/>
          <w:highlight w:val="none"/>
        </w:rPr>
        <w:fldChar w:fldCharType="separate"/>
      </w:r>
      <w:r>
        <w:rPr>
          <w:rFonts w:hint="eastAsia" w:ascii="仿宋" w:hAnsi="仿宋" w:eastAsia="仿宋" w:cs="仿宋"/>
          <w:color w:val="auto"/>
          <w:szCs w:val="30"/>
          <w:highlight w:val="none"/>
        </w:rPr>
        <w:t>三、详细评审</w:t>
      </w:r>
      <w:r>
        <w:rPr>
          <w:color w:val="auto"/>
          <w:highlight w:val="none"/>
        </w:rPr>
        <w:tab/>
      </w:r>
      <w:r>
        <w:rPr>
          <w:color w:val="auto"/>
          <w:highlight w:val="none"/>
        </w:rPr>
        <w:fldChar w:fldCharType="begin"/>
      </w:r>
      <w:r>
        <w:rPr>
          <w:color w:val="auto"/>
          <w:highlight w:val="none"/>
        </w:rPr>
        <w:instrText xml:space="preserve"> PAGEREF _Toc4382 \h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pPr>
        <w:pStyle w:val="42"/>
        <w:keepNext w:val="0"/>
        <w:keepLines w:val="0"/>
        <w:pageBreakBefore w:val="0"/>
        <w:widowControl/>
        <w:tabs>
          <w:tab w:val="right" w:leader="dot" w:pos="9070"/>
          <w:tab w:val="clear" w:pos="9628"/>
        </w:tabs>
        <w:kinsoku/>
        <w:wordWrap/>
        <w:overflowPunct/>
        <w:topLinePunct w:val="0"/>
        <w:autoSpaceDE/>
        <w:autoSpaceDN/>
        <w:bidi w:val="0"/>
        <w:adjustRightInd/>
        <w:snapToGrid/>
        <w:spacing w:line="360" w:lineRule="auto"/>
        <w:ind w:left="598" w:leftChars="100"/>
        <w:textAlignment w:val="auto"/>
        <w:rPr>
          <w:color w:val="auto"/>
          <w:highlight w:val="none"/>
        </w:rPr>
      </w:pPr>
      <w:r>
        <w:rPr>
          <w:color w:val="auto"/>
          <w:highlight w:val="none"/>
        </w:rPr>
        <w:fldChar w:fldCharType="begin"/>
      </w:r>
      <w:r>
        <w:rPr>
          <w:color w:val="auto"/>
          <w:highlight w:val="none"/>
        </w:rPr>
        <w:instrText xml:space="preserve"> HYPERLINK \l "_Toc23926" </w:instrText>
      </w:r>
      <w:r>
        <w:rPr>
          <w:color w:val="auto"/>
          <w:highlight w:val="none"/>
        </w:rPr>
        <w:fldChar w:fldCharType="separate"/>
      </w:r>
      <w:r>
        <w:rPr>
          <w:rFonts w:hint="eastAsia" w:ascii="仿宋" w:hAnsi="仿宋" w:eastAsia="仿宋" w:cs="仿宋"/>
          <w:color w:val="auto"/>
          <w:szCs w:val="30"/>
          <w:highlight w:val="none"/>
        </w:rPr>
        <w:t>四、评标报告</w:t>
      </w:r>
      <w:r>
        <w:rPr>
          <w:color w:val="auto"/>
          <w:highlight w:val="none"/>
        </w:rPr>
        <w:tab/>
      </w:r>
      <w:r>
        <w:rPr>
          <w:color w:val="auto"/>
          <w:highlight w:val="none"/>
        </w:rPr>
        <w:fldChar w:fldCharType="begin"/>
      </w:r>
      <w:r>
        <w:rPr>
          <w:color w:val="auto"/>
          <w:highlight w:val="none"/>
        </w:rPr>
        <w:instrText xml:space="preserve"> PAGEREF _Toc23926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pPr>
        <w:pStyle w:val="35"/>
        <w:tabs>
          <w:tab w:val="right" w:leader="dot" w:pos="9070"/>
          <w:tab w:val="clear" w:pos="9639"/>
        </w:tabs>
        <w:spacing w:line="360" w:lineRule="auto"/>
        <w:rPr>
          <w:color w:val="auto"/>
          <w:highlight w:val="none"/>
        </w:rPr>
      </w:pPr>
      <w:r>
        <w:rPr>
          <w:color w:val="auto"/>
          <w:highlight w:val="none"/>
        </w:rPr>
        <w:fldChar w:fldCharType="begin"/>
      </w:r>
      <w:r>
        <w:rPr>
          <w:color w:val="auto"/>
          <w:highlight w:val="none"/>
        </w:rPr>
        <w:instrText xml:space="preserve"> HYPERLINK \l "_Toc24482" </w:instrText>
      </w:r>
      <w:r>
        <w:rPr>
          <w:color w:val="auto"/>
          <w:highlight w:val="none"/>
        </w:rPr>
        <w:fldChar w:fldCharType="separate"/>
      </w:r>
      <w:r>
        <w:rPr>
          <w:rFonts w:hint="eastAsia" w:ascii="仿宋" w:hAnsi="仿宋" w:eastAsia="仿宋" w:cs="仿宋"/>
          <w:color w:val="auto"/>
          <w:highlight w:val="none"/>
        </w:rPr>
        <w:t>第四章  合同条款及格式</w:t>
      </w:r>
      <w:r>
        <w:rPr>
          <w:color w:val="auto"/>
          <w:highlight w:val="none"/>
        </w:rPr>
        <w:tab/>
      </w:r>
      <w:r>
        <w:rPr>
          <w:color w:val="auto"/>
          <w:highlight w:val="none"/>
        </w:rPr>
        <w:fldChar w:fldCharType="begin"/>
      </w:r>
      <w:r>
        <w:rPr>
          <w:color w:val="auto"/>
          <w:highlight w:val="none"/>
        </w:rPr>
        <w:instrText xml:space="preserve"> PAGEREF _Toc24482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pPr>
        <w:pStyle w:val="35"/>
        <w:tabs>
          <w:tab w:val="right" w:leader="dot" w:pos="9070"/>
          <w:tab w:val="clear" w:pos="9639"/>
        </w:tabs>
        <w:spacing w:line="360" w:lineRule="auto"/>
        <w:rPr>
          <w:color w:val="auto"/>
          <w:highlight w:val="none"/>
        </w:rPr>
      </w:pPr>
      <w:r>
        <w:rPr>
          <w:color w:val="auto"/>
          <w:highlight w:val="none"/>
        </w:rPr>
        <w:fldChar w:fldCharType="begin"/>
      </w:r>
      <w:r>
        <w:rPr>
          <w:color w:val="auto"/>
          <w:highlight w:val="none"/>
        </w:rPr>
        <w:instrText xml:space="preserve"> HYPERLINK \l "_Toc31001" </w:instrText>
      </w:r>
      <w:r>
        <w:rPr>
          <w:color w:val="auto"/>
          <w:highlight w:val="none"/>
        </w:rPr>
        <w:fldChar w:fldCharType="separate"/>
      </w:r>
      <w:r>
        <w:rPr>
          <w:rFonts w:hint="eastAsia" w:ascii="仿宋" w:hAnsi="仿宋" w:eastAsia="仿宋" w:cs="仿宋"/>
          <w:color w:val="auto"/>
          <w:highlight w:val="none"/>
        </w:rPr>
        <w:t>第五章  招标人要求</w:t>
      </w:r>
      <w:r>
        <w:rPr>
          <w:color w:val="auto"/>
          <w:highlight w:val="none"/>
        </w:rPr>
        <w:tab/>
      </w:r>
      <w:r>
        <w:rPr>
          <w:color w:val="auto"/>
          <w:highlight w:val="none"/>
        </w:rPr>
        <w:fldChar w:fldCharType="begin"/>
      </w:r>
      <w:r>
        <w:rPr>
          <w:color w:val="auto"/>
          <w:highlight w:val="none"/>
        </w:rPr>
        <w:instrText xml:space="preserve"> PAGEREF _Toc31001 \h </w:instrText>
      </w:r>
      <w:r>
        <w:rPr>
          <w:color w:val="auto"/>
          <w:highlight w:val="none"/>
        </w:rPr>
        <w:fldChar w:fldCharType="separate"/>
      </w:r>
      <w:r>
        <w:rPr>
          <w:color w:val="auto"/>
          <w:highlight w:val="none"/>
        </w:rPr>
        <w:t>36</w:t>
      </w:r>
      <w:r>
        <w:rPr>
          <w:color w:val="auto"/>
          <w:highlight w:val="none"/>
        </w:rPr>
        <w:fldChar w:fldCharType="end"/>
      </w:r>
      <w:r>
        <w:rPr>
          <w:color w:val="auto"/>
          <w:highlight w:val="none"/>
        </w:rPr>
        <w:fldChar w:fldCharType="end"/>
      </w:r>
    </w:p>
    <w:p>
      <w:pPr>
        <w:pStyle w:val="35"/>
        <w:tabs>
          <w:tab w:val="right" w:leader="dot" w:pos="9070"/>
          <w:tab w:val="clear" w:pos="9639"/>
        </w:tabs>
        <w:spacing w:line="360" w:lineRule="auto"/>
        <w:rPr>
          <w:color w:val="auto"/>
          <w:highlight w:val="none"/>
        </w:rPr>
      </w:pPr>
      <w:r>
        <w:rPr>
          <w:color w:val="auto"/>
          <w:highlight w:val="none"/>
        </w:rPr>
        <w:fldChar w:fldCharType="begin"/>
      </w:r>
      <w:r>
        <w:rPr>
          <w:color w:val="auto"/>
          <w:highlight w:val="none"/>
        </w:rPr>
        <w:instrText xml:space="preserve"> HYPERLINK \l "_Toc18155" </w:instrText>
      </w:r>
      <w:r>
        <w:rPr>
          <w:color w:val="auto"/>
          <w:highlight w:val="none"/>
        </w:rPr>
        <w:fldChar w:fldCharType="separate"/>
      </w:r>
      <w:r>
        <w:rPr>
          <w:rFonts w:hint="eastAsia" w:ascii="仿宋" w:hAnsi="仿宋" w:eastAsia="仿宋" w:cs="仿宋"/>
          <w:color w:val="auto"/>
          <w:highlight w:val="none"/>
        </w:rPr>
        <w:t>第六章  投标文件格式</w:t>
      </w:r>
      <w:r>
        <w:rPr>
          <w:color w:val="auto"/>
          <w:highlight w:val="none"/>
        </w:rPr>
        <w:tab/>
      </w:r>
      <w:r>
        <w:rPr>
          <w:color w:val="auto"/>
          <w:highlight w:val="none"/>
        </w:rPr>
        <w:fldChar w:fldCharType="begin"/>
      </w:r>
      <w:r>
        <w:rPr>
          <w:color w:val="auto"/>
          <w:highlight w:val="none"/>
        </w:rPr>
        <w:instrText xml:space="preserve"> PAGEREF _Toc18155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pPr>
        <w:pStyle w:val="42"/>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"_Toc25905" </w:instrText>
      </w:r>
      <w:r>
        <w:rPr>
          <w:color w:val="auto"/>
          <w:highlight w:val="none"/>
        </w:rPr>
        <w:fldChar w:fldCharType="separate"/>
      </w:r>
      <w:r>
        <w:rPr>
          <w:rFonts w:hint="eastAsia" w:ascii="仿宋" w:hAnsi="仿宋" w:eastAsia="仿宋" w:cs="仿宋"/>
          <w:bCs w:val="0"/>
          <w:color w:val="auto"/>
          <w:szCs w:val="30"/>
          <w:highlight w:val="none"/>
        </w:rPr>
        <w:t>第一部分  投标函部分格式</w:t>
      </w:r>
      <w:r>
        <w:rPr>
          <w:color w:val="auto"/>
          <w:highlight w:val="none"/>
        </w:rPr>
        <w:tab/>
      </w:r>
      <w:r>
        <w:rPr>
          <w:color w:val="auto"/>
          <w:highlight w:val="none"/>
        </w:rPr>
        <w:fldChar w:fldCharType="begin"/>
      </w:r>
      <w:r>
        <w:rPr>
          <w:color w:val="auto"/>
          <w:highlight w:val="none"/>
        </w:rPr>
        <w:instrText xml:space="preserve"> PAGEREF _Toc25905 \h </w:instrText>
      </w:r>
      <w:r>
        <w:rPr>
          <w:color w:val="auto"/>
          <w:highlight w:val="none"/>
        </w:rPr>
        <w:fldChar w:fldCharType="separate"/>
      </w:r>
      <w:r>
        <w:rPr>
          <w:color w:val="auto"/>
          <w:highlight w:val="none"/>
        </w:rPr>
        <w:t>39</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"_Toc1010" </w:instrText>
      </w:r>
      <w:r>
        <w:rPr>
          <w:color w:val="auto"/>
          <w:highlight w:val="none"/>
        </w:rPr>
        <w:fldChar w:fldCharType="separate"/>
      </w:r>
      <w:r>
        <w:rPr>
          <w:rFonts w:hint="eastAsia" w:ascii="仿宋" w:hAnsi="仿宋" w:eastAsia="仿宋" w:cs="仿宋"/>
          <w:color w:val="auto"/>
          <w:szCs w:val="24"/>
          <w:highlight w:val="none"/>
        </w:rPr>
        <w:t>一、投标函</w:t>
      </w:r>
      <w:r>
        <w:rPr>
          <w:color w:val="auto"/>
          <w:highlight w:val="none"/>
        </w:rPr>
        <w:tab/>
      </w:r>
      <w:r>
        <w:rPr>
          <w:color w:val="auto"/>
          <w:highlight w:val="none"/>
        </w:rPr>
        <w:fldChar w:fldCharType="begin"/>
      </w:r>
      <w:r>
        <w:rPr>
          <w:color w:val="auto"/>
          <w:highlight w:val="none"/>
        </w:rPr>
        <w:instrText xml:space="preserve"> PAGEREF _Toc1010 \h </w:instrText>
      </w:r>
      <w:r>
        <w:rPr>
          <w:color w:val="auto"/>
          <w:highlight w:val="none"/>
        </w:rPr>
        <w:fldChar w:fldCharType="separate"/>
      </w:r>
      <w:r>
        <w:rPr>
          <w:color w:val="auto"/>
          <w:highlight w:val="none"/>
        </w:rPr>
        <w:t>39</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"_Toc23523" </w:instrText>
      </w:r>
      <w:r>
        <w:rPr>
          <w:color w:val="auto"/>
          <w:highlight w:val="none"/>
        </w:rPr>
        <w:fldChar w:fldCharType="separate"/>
      </w:r>
      <w:r>
        <w:rPr>
          <w:rFonts w:hint="eastAsia" w:ascii="仿宋" w:hAnsi="仿宋" w:eastAsia="仿宋" w:cs="仿宋"/>
          <w:color w:val="auto"/>
          <w:szCs w:val="24"/>
          <w:highlight w:val="none"/>
        </w:rPr>
        <w:t>二、法定代表人身份证明书</w:t>
      </w:r>
      <w:r>
        <w:rPr>
          <w:color w:val="auto"/>
          <w:highlight w:val="none"/>
        </w:rPr>
        <w:tab/>
      </w:r>
      <w:r>
        <w:rPr>
          <w:color w:val="auto"/>
          <w:highlight w:val="none"/>
        </w:rPr>
        <w:fldChar w:fldCharType="begin"/>
      </w:r>
      <w:r>
        <w:rPr>
          <w:color w:val="auto"/>
          <w:highlight w:val="none"/>
        </w:rPr>
        <w:instrText xml:space="preserve"> PAGEREF _Toc23523 \h </w:instrText>
      </w:r>
      <w:r>
        <w:rPr>
          <w:color w:val="auto"/>
          <w:highlight w:val="none"/>
        </w:rPr>
        <w:fldChar w:fldCharType="separate"/>
      </w:r>
      <w:r>
        <w:rPr>
          <w:color w:val="auto"/>
          <w:highlight w:val="none"/>
        </w:rPr>
        <w:t>40</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"_Toc5280" </w:instrText>
      </w:r>
      <w:r>
        <w:rPr>
          <w:color w:val="auto"/>
          <w:highlight w:val="none"/>
        </w:rPr>
        <w:fldChar w:fldCharType="separate"/>
      </w:r>
      <w:r>
        <w:rPr>
          <w:rFonts w:hint="eastAsia" w:ascii="仿宋" w:hAnsi="仿宋" w:eastAsia="仿宋" w:cs="仿宋"/>
          <w:color w:val="auto"/>
          <w:szCs w:val="24"/>
          <w:highlight w:val="none"/>
        </w:rPr>
        <w:t>三、投标文件签署授权委托书</w:t>
      </w:r>
      <w:r>
        <w:rPr>
          <w:color w:val="auto"/>
          <w:highlight w:val="none"/>
        </w:rPr>
        <w:tab/>
      </w:r>
      <w:r>
        <w:rPr>
          <w:color w:val="auto"/>
          <w:highlight w:val="none"/>
        </w:rPr>
        <w:fldChar w:fldCharType="begin"/>
      </w:r>
      <w:r>
        <w:rPr>
          <w:color w:val="auto"/>
          <w:highlight w:val="none"/>
        </w:rPr>
        <w:instrText xml:space="preserve"> PAGEREF _Toc5280 \h </w:instrText>
      </w:r>
      <w:r>
        <w:rPr>
          <w:color w:val="auto"/>
          <w:highlight w:val="none"/>
        </w:rPr>
        <w:fldChar w:fldCharType="separate"/>
      </w:r>
      <w:r>
        <w:rPr>
          <w:color w:val="auto"/>
          <w:highlight w:val="none"/>
        </w:rPr>
        <w:t>41</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"_Toc20779" </w:instrText>
      </w:r>
      <w:r>
        <w:rPr>
          <w:color w:val="auto"/>
          <w:highlight w:val="none"/>
        </w:rPr>
        <w:fldChar w:fldCharType="separate"/>
      </w:r>
      <w:r>
        <w:rPr>
          <w:rFonts w:hint="eastAsia" w:ascii="仿宋" w:hAnsi="仿宋" w:eastAsia="仿宋" w:cs="仿宋"/>
          <w:color w:val="auto"/>
          <w:szCs w:val="24"/>
          <w:highlight w:val="none"/>
        </w:rPr>
        <w:t>四、投标保证金交纳凭证</w:t>
      </w:r>
      <w:r>
        <w:rPr>
          <w:color w:val="auto"/>
          <w:highlight w:val="none"/>
        </w:rPr>
        <w:tab/>
      </w:r>
      <w:r>
        <w:rPr>
          <w:color w:val="auto"/>
          <w:highlight w:val="none"/>
        </w:rPr>
        <w:fldChar w:fldCharType="begin"/>
      </w:r>
      <w:r>
        <w:rPr>
          <w:color w:val="auto"/>
          <w:highlight w:val="none"/>
        </w:rPr>
        <w:instrText xml:space="preserve"> PAGEREF _Toc20779 \h </w:instrText>
      </w:r>
      <w:r>
        <w:rPr>
          <w:color w:val="auto"/>
          <w:highlight w:val="none"/>
        </w:rPr>
        <w:fldChar w:fldCharType="separate"/>
      </w:r>
      <w:r>
        <w:rPr>
          <w:color w:val="auto"/>
          <w:highlight w:val="none"/>
        </w:rPr>
        <w:t>42</w:t>
      </w:r>
      <w:r>
        <w:rPr>
          <w:color w:val="auto"/>
          <w:highlight w:val="none"/>
        </w:rPr>
        <w:fldChar w:fldCharType="end"/>
      </w:r>
      <w:r>
        <w:rPr>
          <w:color w:val="auto"/>
          <w:highlight w:val="none"/>
        </w:rPr>
        <w:fldChar w:fldCharType="end"/>
      </w:r>
    </w:p>
    <w:p>
      <w:pPr>
        <w:pStyle w:val="42"/>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"_Toc11765" </w:instrText>
      </w:r>
      <w:r>
        <w:rPr>
          <w:color w:val="auto"/>
          <w:highlight w:val="none"/>
        </w:rPr>
        <w:fldChar w:fldCharType="separate"/>
      </w:r>
      <w:r>
        <w:rPr>
          <w:rFonts w:hint="eastAsia" w:ascii="仿宋" w:hAnsi="仿宋" w:eastAsia="仿宋" w:cs="仿宋"/>
          <w:bCs/>
          <w:color w:val="auto"/>
          <w:szCs w:val="30"/>
          <w:highlight w:val="none"/>
        </w:rPr>
        <w:t>第二部分  投标文件商务部分格式</w:t>
      </w:r>
      <w:r>
        <w:rPr>
          <w:color w:val="auto"/>
          <w:highlight w:val="none"/>
        </w:rPr>
        <w:tab/>
      </w:r>
      <w:r>
        <w:rPr>
          <w:color w:val="auto"/>
          <w:highlight w:val="none"/>
        </w:rPr>
        <w:fldChar w:fldCharType="begin"/>
      </w:r>
      <w:r>
        <w:rPr>
          <w:color w:val="auto"/>
          <w:highlight w:val="none"/>
        </w:rPr>
        <w:instrText xml:space="preserve"> PAGEREF _Toc11765 \h </w:instrText>
      </w:r>
      <w:r>
        <w:rPr>
          <w:color w:val="auto"/>
          <w:highlight w:val="none"/>
        </w:rPr>
        <w:fldChar w:fldCharType="separate"/>
      </w:r>
      <w:r>
        <w:rPr>
          <w:color w:val="auto"/>
          <w:highlight w:val="none"/>
        </w:rPr>
        <w:t>43</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"_Toc19528" </w:instrText>
      </w:r>
      <w:r>
        <w:rPr>
          <w:color w:val="auto"/>
          <w:highlight w:val="none"/>
        </w:rPr>
        <w:fldChar w:fldCharType="separate"/>
      </w:r>
      <w:r>
        <w:rPr>
          <w:rFonts w:hint="eastAsia" w:ascii="仿宋" w:hAnsi="仿宋" w:eastAsia="仿宋" w:cs="仿宋"/>
          <w:color w:val="auto"/>
          <w:szCs w:val="24"/>
          <w:highlight w:val="none"/>
          <w:lang w:eastAsia="zh-CN"/>
        </w:rPr>
        <w:t>（</w:t>
      </w:r>
      <w:r>
        <w:rPr>
          <w:rFonts w:hint="eastAsia" w:ascii="仿宋" w:hAnsi="仿宋" w:eastAsia="仿宋" w:cs="仿宋"/>
          <w:color w:val="auto"/>
          <w:szCs w:val="24"/>
          <w:highlight w:val="none"/>
          <w:lang w:val="en-US" w:eastAsia="zh-CN"/>
        </w:rPr>
        <w:t>一</w:t>
      </w:r>
      <w:r>
        <w:rPr>
          <w:rFonts w:hint="eastAsia" w:ascii="仿宋" w:hAnsi="仿宋" w:eastAsia="仿宋" w:cs="仿宋"/>
          <w:color w:val="auto"/>
          <w:szCs w:val="24"/>
          <w:highlight w:val="none"/>
          <w:lang w:eastAsia="zh-CN"/>
        </w:rPr>
        <w:t>）</w:t>
      </w:r>
      <w:r>
        <w:rPr>
          <w:rFonts w:hint="eastAsia" w:ascii="仿宋" w:hAnsi="仿宋" w:eastAsia="仿宋" w:cs="仿宋"/>
          <w:color w:val="auto"/>
          <w:szCs w:val="24"/>
          <w:highlight w:val="none"/>
        </w:rPr>
        <w:t>投标报价（唱标）一览表</w:t>
      </w:r>
      <w:r>
        <w:rPr>
          <w:color w:val="auto"/>
          <w:highlight w:val="none"/>
        </w:rPr>
        <w:tab/>
      </w:r>
      <w:r>
        <w:rPr>
          <w:color w:val="auto"/>
          <w:highlight w:val="none"/>
        </w:rPr>
        <w:fldChar w:fldCharType="begin"/>
      </w:r>
      <w:r>
        <w:rPr>
          <w:color w:val="auto"/>
          <w:highlight w:val="none"/>
        </w:rPr>
        <w:instrText xml:space="preserve"> PAGEREF _Toc19528 \h </w:instrText>
      </w:r>
      <w:r>
        <w:rPr>
          <w:color w:val="auto"/>
          <w:highlight w:val="none"/>
        </w:rPr>
        <w:fldChar w:fldCharType="separate"/>
      </w:r>
      <w:r>
        <w:rPr>
          <w:color w:val="auto"/>
          <w:highlight w:val="none"/>
        </w:rPr>
        <w:t>43</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"_Toc20330" </w:instrText>
      </w:r>
      <w:r>
        <w:rPr>
          <w:color w:val="auto"/>
          <w:highlight w:val="none"/>
        </w:rPr>
        <w:fldChar w:fldCharType="separate"/>
      </w:r>
      <w:r>
        <w:rPr>
          <w:rFonts w:hint="eastAsia" w:ascii="仿宋" w:hAnsi="仿宋" w:eastAsia="仿宋" w:cs="仿宋"/>
          <w:color w:val="auto"/>
          <w:szCs w:val="24"/>
          <w:highlight w:val="none"/>
          <w:lang w:val="en-US" w:eastAsia="zh-CN"/>
        </w:rPr>
        <w:t>（二）分项价格表</w:t>
      </w:r>
      <w:r>
        <w:rPr>
          <w:color w:val="auto"/>
          <w:highlight w:val="none"/>
        </w:rPr>
        <w:tab/>
      </w:r>
      <w:r>
        <w:rPr>
          <w:color w:val="auto"/>
          <w:highlight w:val="none"/>
        </w:rPr>
        <w:fldChar w:fldCharType="begin"/>
      </w:r>
      <w:r>
        <w:rPr>
          <w:color w:val="auto"/>
          <w:highlight w:val="none"/>
        </w:rPr>
        <w:instrText xml:space="preserve"> PAGEREF _Toc20330 \h </w:instrText>
      </w:r>
      <w:r>
        <w:rPr>
          <w:color w:val="auto"/>
          <w:highlight w:val="none"/>
        </w:rPr>
        <w:fldChar w:fldCharType="separate"/>
      </w:r>
      <w:r>
        <w:rPr>
          <w:color w:val="auto"/>
          <w:highlight w:val="none"/>
        </w:rPr>
        <w:t>44</w:t>
      </w:r>
      <w:r>
        <w:rPr>
          <w:color w:val="auto"/>
          <w:highlight w:val="none"/>
        </w:rPr>
        <w:fldChar w:fldCharType="end"/>
      </w:r>
      <w:r>
        <w:rPr>
          <w:color w:val="auto"/>
          <w:highlight w:val="none"/>
        </w:rPr>
        <w:fldChar w:fldCharType="end"/>
      </w:r>
    </w:p>
    <w:p>
      <w:pPr>
        <w:pStyle w:val="42"/>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"_Toc30495" </w:instrText>
      </w:r>
      <w:r>
        <w:rPr>
          <w:color w:val="auto"/>
          <w:highlight w:val="none"/>
        </w:rPr>
        <w:fldChar w:fldCharType="separate"/>
      </w:r>
      <w:r>
        <w:rPr>
          <w:rFonts w:hint="eastAsia" w:ascii="仿宋" w:hAnsi="仿宋" w:eastAsia="仿宋" w:cs="仿宋"/>
          <w:bCs/>
          <w:color w:val="auto"/>
          <w:szCs w:val="30"/>
          <w:highlight w:val="none"/>
        </w:rPr>
        <w:t>第三部分 投标文件技术部分格式</w:t>
      </w:r>
      <w:r>
        <w:rPr>
          <w:color w:val="auto"/>
          <w:highlight w:val="none"/>
        </w:rPr>
        <w:tab/>
      </w:r>
      <w:r>
        <w:rPr>
          <w:color w:val="auto"/>
          <w:highlight w:val="none"/>
        </w:rPr>
        <w:fldChar w:fldCharType="begin"/>
      </w:r>
      <w:r>
        <w:rPr>
          <w:color w:val="auto"/>
          <w:highlight w:val="none"/>
        </w:rPr>
        <w:instrText xml:space="preserve"> PAGEREF _Toc30495 \h </w:instrText>
      </w:r>
      <w:r>
        <w:rPr>
          <w:color w:val="auto"/>
          <w:highlight w:val="none"/>
        </w:rPr>
        <w:fldChar w:fldCharType="separate"/>
      </w:r>
      <w:r>
        <w:rPr>
          <w:color w:val="auto"/>
          <w:highlight w:val="none"/>
        </w:rPr>
        <w:t>45</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"_Toc19038" </w:instrText>
      </w:r>
      <w:r>
        <w:rPr>
          <w:color w:val="auto"/>
          <w:highlight w:val="none"/>
        </w:rPr>
        <w:fldChar w:fldCharType="separate"/>
      </w:r>
      <w:r>
        <w:rPr>
          <w:rFonts w:hint="eastAsia" w:ascii="仿宋" w:hAnsi="仿宋" w:eastAsia="仿宋" w:cs="仿宋"/>
          <w:color w:val="auto"/>
          <w:szCs w:val="24"/>
          <w:highlight w:val="none"/>
          <w:lang w:val="en-US" w:eastAsia="zh-CN"/>
        </w:rPr>
        <w:t>（一）技术规格偏离表</w:t>
      </w:r>
      <w:r>
        <w:rPr>
          <w:color w:val="auto"/>
          <w:highlight w:val="none"/>
        </w:rPr>
        <w:tab/>
      </w:r>
      <w:r>
        <w:rPr>
          <w:color w:val="auto"/>
          <w:highlight w:val="none"/>
        </w:rPr>
        <w:fldChar w:fldCharType="begin"/>
      </w:r>
      <w:r>
        <w:rPr>
          <w:color w:val="auto"/>
          <w:highlight w:val="none"/>
        </w:rPr>
        <w:instrText xml:space="preserve"> PAGEREF _Toc19038 \h </w:instrText>
      </w:r>
      <w:r>
        <w:rPr>
          <w:color w:val="auto"/>
          <w:highlight w:val="none"/>
        </w:rPr>
        <w:fldChar w:fldCharType="separate"/>
      </w:r>
      <w:r>
        <w:rPr>
          <w:color w:val="auto"/>
          <w:highlight w:val="none"/>
        </w:rPr>
        <w:t>45</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"_Toc6266" </w:instrText>
      </w:r>
      <w:r>
        <w:rPr>
          <w:color w:val="auto"/>
          <w:highlight w:val="none"/>
        </w:rPr>
        <w:fldChar w:fldCharType="separate"/>
      </w:r>
      <w:r>
        <w:rPr>
          <w:rFonts w:hint="eastAsia" w:ascii="仿宋" w:hAnsi="仿宋" w:eastAsia="仿宋" w:cs="仿宋"/>
          <w:color w:val="auto"/>
          <w:szCs w:val="24"/>
          <w:highlight w:val="none"/>
          <w:lang w:val="en-US" w:eastAsia="zh-CN"/>
        </w:rPr>
        <w:t>（二）其他说明</w:t>
      </w:r>
      <w:r>
        <w:rPr>
          <w:color w:val="auto"/>
          <w:highlight w:val="none"/>
        </w:rPr>
        <w:tab/>
      </w:r>
      <w:r>
        <w:rPr>
          <w:color w:val="auto"/>
          <w:highlight w:val="none"/>
        </w:rPr>
        <w:fldChar w:fldCharType="begin"/>
      </w:r>
      <w:r>
        <w:rPr>
          <w:color w:val="auto"/>
          <w:highlight w:val="none"/>
        </w:rPr>
        <w:instrText xml:space="preserve"> PAGEREF _Toc6266 \h </w:instrText>
      </w:r>
      <w:r>
        <w:rPr>
          <w:color w:val="auto"/>
          <w:highlight w:val="none"/>
        </w:rPr>
        <w:fldChar w:fldCharType="separate"/>
      </w:r>
      <w:r>
        <w:rPr>
          <w:color w:val="auto"/>
          <w:highlight w:val="none"/>
        </w:rPr>
        <w:t>46</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"_Toc8652" </w:instrText>
      </w:r>
      <w:r>
        <w:rPr>
          <w:color w:val="auto"/>
          <w:highlight w:val="none"/>
        </w:rPr>
        <w:fldChar w:fldCharType="separate"/>
      </w:r>
      <w:r>
        <w:rPr>
          <w:rFonts w:hint="eastAsia" w:ascii="仿宋" w:hAnsi="仿宋" w:eastAsia="仿宋" w:cs="仿宋"/>
          <w:color w:val="auto"/>
          <w:szCs w:val="24"/>
          <w:highlight w:val="none"/>
          <w:lang w:val="en-US" w:eastAsia="zh-CN"/>
        </w:rPr>
        <w:t>（三）项目评审方案</w:t>
      </w:r>
      <w:r>
        <w:rPr>
          <w:color w:val="auto"/>
          <w:highlight w:val="none"/>
        </w:rPr>
        <w:tab/>
      </w:r>
      <w:r>
        <w:rPr>
          <w:color w:val="auto"/>
          <w:highlight w:val="none"/>
        </w:rPr>
        <w:fldChar w:fldCharType="begin"/>
      </w:r>
      <w:r>
        <w:rPr>
          <w:color w:val="auto"/>
          <w:highlight w:val="none"/>
        </w:rPr>
        <w:instrText xml:space="preserve"> PAGEREF _Toc8652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pPr>
        <w:pStyle w:val="42"/>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"_Toc2391" </w:instrText>
      </w:r>
      <w:r>
        <w:rPr>
          <w:color w:val="auto"/>
          <w:highlight w:val="none"/>
        </w:rPr>
        <w:fldChar w:fldCharType="separate"/>
      </w:r>
      <w:r>
        <w:rPr>
          <w:rFonts w:hint="eastAsia" w:ascii="仿宋" w:hAnsi="仿宋" w:eastAsia="仿宋" w:cs="仿宋"/>
          <w:bCs w:val="0"/>
          <w:color w:val="auto"/>
          <w:szCs w:val="30"/>
          <w:highlight w:val="none"/>
        </w:rPr>
        <w:t>第四部分  资格审查部分格式</w:t>
      </w:r>
      <w:r>
        <w:rPr>
          <w:color w:val="auto"/>
          <w:highlight w:val="none"/>
        </w:rPr>
        <w:tab/>
      </w:r>
      <w:r>
        <w:rPr>
          <w:color w:val="auto"/>
          <w:highlight w:val="none"/>
        </w:rPr>
        <w:fldChar w:fldCharType="begin"/>
      </w:r>
      <w:r>
        <w:rPr>
          <w:color w:val="auto"/>
          <w:highlight w:val="none"/>
        </w:rPr>
        <w:instrText xml:space="preserve"> PAGEREF _Toc2391 \h </w:instrText>
      </w:r>
      <w:r>
        <w:rPr>
          <w:color w:val="auto"/>
          <w:highlight w:val="none"/>
        </w:rPr>
        <w:fldChar w:fldCharType="separate"/>
      </w:r>
      <w:r>
        <w:rPr>
          <w:color w:val="auto"/>
          <w:highlight w:val="none"/>
        </w:rPr>
        <w:t>48</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"_Toc27874" </w:instrText>
      </w:r>
      <w:r>
        <w:rPr>
          <w:color w:val="auto"/>
          <w:highlight w:val="none"/>
        </w:rPr>
        <w:fldChar w:fldCharType="separate"/>
      </w:r>
      <w:r>
        <w:rPr>
          <w:rFonts w:hint="eastAsia" w:ascii="仿宋" w:hAnsi="仿宋" w:eastAsia="仿宋" w:cs="仿宋"/>
          <w:color w:val="auto"/>
          <w:szCs w:val="28"/>
          <w:highlight w:val="none"/>
        </w:rPr>
        <w:t>一、投标人基本情况表</w:t>
      </w:r>
      <w:r>
        <w:rPr>
          <w:color w:val="auto"/>
          <w:highlight w:val="none"/>
        </w:rPr>
        <w:tab/>
      </w:r>
      <w:r>
        <w:rPr>
          <w:color w:val="auto"/>
          <w:highlight w:val="none"/>
        </w:rPr>
        <w:fldChar w:fldCharType="begin"/>
      </w:r>
      <w:r>
        <w:rPr>
          <w:color w:val="auto"/>
          <w:highlight w:val="none"/>
        </w:rPr>
        <w:instrText xml:space="preserve"> PAGEREF _Toc27874 \h </w:instrText>
      </w:r>
      <w:r>
        <w:rPr>
          <w:color w:val="auto"/>
          <w:highlight w:val="none"/>
        </w:rPr>
        <w:fldChar w:fldCharType="separate"/>
      </w:r>
      <w:r>
        <w:rPr>
          <w:color w:val="auto"/>
          <w:highlight w:val="none"/>
        </w:rPr>
        <w:t>48</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"_Toc17837" </w:instrText>
      </w:r>
      <w:r>
        <w:rPr>
          <w:color w:val="auto"/>
          <w:highlight w:val="none"/>
        </w:rPr>
        <w:fldChar w:fldCharType="separate"/>
      </w:r>
      <w:r>
        <w:rPr>
          <w:rFonts w:hint="eastAsia" w:ascii="仿宋" w:hAnsi="仿宋" w:eastAsia="仿宋" w:cs="仿宋"/>
          <w:color w:val="auto"/>
          <w:szCs w:val="28"/>
          <w:highlight w:val="none"/>
        </w:rPr>
        <w:t>二、财务状况</w:t>
      </w:r>
      <w:r>
        <w:rPr>
          <w:color w:val="auto"/>
          <w:highlight w:val="none"/>
        </w:rPr>
        <w:tab/>
      </w:r>
      <w:r>
        <w:rPr>
          <w:color w:val="auto"/>
          <w:highlight w:val="none"/>
        </w:rPr>
        <w:fldChar w:fldCharType="begin"/>
      </w:r>
      <w:r>
        <w:rPr>
          <w:color w:val="auto"/>
          <w:highlight w:val="none"/>
        </w:rPr>
        <w:instrText xml:space="preserve"> PAGEREF _Toc17837 \h </w:instrText>
      </w:r>
      <w:r>
        <w:rPr>
          <w:color w:val="auto"/>
          <w:highlight w:val="none"/>
        </w:rPr>
        <w:fldChar w:fldCharType="separate"/>
      </w:r>
      <w:r>
        <w:rPr>
          <w:color w:val="auto"/>
          <w:highlight w:val="none"/>
        </w:rPr>
        <w:t>49</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"_Toc31543" </w:instrText>
      </w:r>
      <w:r>
        <w:rPr>
          <w:color w:val="auto"/>
          <w:highlight w:val="none"/>
        </w:rPr>
        <w:fldChar w:fldCharType="separate"/>
      </w:r>
      <w:r>
        <w:rPr>
          <w:rFonts w:hint="eastAsia" w:ascii="仿宋" w:hAnsi="仿宋" w:eastAsia="仿宋" w:cs="仿宋"/>
          <w:color w:val="auto"/>
          <w:szCs w:val="28"/>
          <w:highlight w:val="none"/>
        </w:rPr>
        <w:t>三、企业类似业绩情况</w:t>
      </w:r>
      <w:r>
        <w:rPr>
          <w:color w:val="auto"/>
          <w:highlight w:val="none"/>
        </w:rPr>
        <w:tab/>
      </w:r>
      <w:r>
        <w:rPr>
          <w:color w:val="auto"/>
          <w:highlight w:val="none"/>
        </w:rPr>
        <w:fldChar w:fldCharType="begin"/>
      </w:r>
      <w:r>
        <w:rPr>
          <w:color w:val="auto"/>
          <w:highlight w:val="none"/>
        </w:rPr>
        <w:instrText xml:space="preserve"> PAGEREF _Toc31543 \h </w:instrText>
      </w:r>
      <w:r>
        <w:rPr>
          <w:color w:val="auto"/>
          <w:highlight w:val="none"/>
        </w:rPr>
        <w:fldChar w:fldCharType="separate"/>
      </w:r>
      <w:r>
        <w:rPr>
          <w:color w:val="auto"/>
          <w:highlight w:val="none"/>
        </w:rPr>
        <w:t>50</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"_Toc31819" </w:instrText>
      </w:r>
      <w:r>
        <w:rPr>
          <w:color w:val="auto"/>
          <w:highlight w:val="none"/>
        </w:rPr>
        <w:fldChar w:fldCharType="separate"/>
      </w:r>
      <w:r>
        <w:rPr>
          <w:rFonts w:hint="eastAsia" w:ascii="仿宋" w:hAnsi="仿宋" w:eastAsia="仿宋" w:cs="仿宋"/>
          <w:color w:val="auto"/>
          <w:szCs w:val="28"/>
          <w:highlight w:val="none"/>
          <w:lang w:val="en-US" w:eastAsia="zh-CN"/>
        </w:rPr>
        <w:t>四</w:t>
      </w:r>
      <w:r>
        <w:rPr>
          <w:rFonts w:hint="eastAsia" w:ascii="仿宋" w:hAnsi="仿宋" w:eastAsia="仿宋" w:cs="仿宋"/>
          <w:color w:val="auto"/>
          <w:szCs w:val="28"/>
          <w:highlight w:val="none"/>
        </w:rPr>
        <w:t>、投标人承诺书</w:t>
      </w:r>
      <w:r>
        <w:rPr>
          <w:color w:val="auto"/>
          <w:highlight w:val="none"/>
        </w:rPr>
        <w:tab/>
      </w:r>
      <w:r>
        <w:rPr>
          <w:color w:val="auto"/>
          <w:highlight w:val="none"/>
        </w:rPr>
        <w:fldChar w:fldCharType="begin"/>
      </w:r>
      <w:r>
        <w:rPr>
          <w:color w:val="auto"/>
          <w:highlight w:val="none"/>
        </w:rPr>
        <w:instrText xml:space="preserve"> PAGEREF _Toc31819 \h </w:instrText>
      </w:r>
      <w:r>
        <w:rPr>
          <w:color w:val="auto"/>
          <w:highlight w:val="none"/>
        </w:rPr>
        <w:fldChar w:fldCharType="separate"/>
      </w:r>
      <w:r>
        <w:rPr>
          <w:color w:val="auto"/>
          <w:highlight w:val="none"/>
        </w:rPr>
        <w:t>51</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"_Toc12199" </w:instrText>
      </w:r>
      <w:r>
        <w:rPr>
          <w:color w:val="auto"/>
          <w:highlight w:val="none"/>
        </w:rPr>
        <w:fldChar w:fldCharType="separate"/>
      </w:r>
      <w:r>
        <w:rPr>
          <w:rFonts w:hint="eastAsia" w:ascii="仿宋" w:hAnsi="仿宋" w:eastAsia="仿宋" w:cs="仿宋"/>
          <w:color w:val="auto"/>
          <w:szCs w:val="28"/>
          <w:highlight w:val="none"/>
          <w:lang w:val="en-US" w:eastAsia="zh-CN"/>
        </w:rPr>
        <w:t>五</w:t>
      </w:r>
      <w:r>
        <w:rPr>
          <w:rFonts w:hint="eastAsia" w:ascii="仿宋" w:hAnsi="仿宋" w:eastAsia="仿宋" w:cs="仿宋"/>
          <w:color w:val="auto"/>
          <w:szCs w:val="28"/>
          <w:highlight w:val="none"/>
        </w:rPr>
        <w:t>、投标人信誉、履约情况、投标资格说明</w:t>
      </w:r>
      <w:r>
        <w:rPr>
          <w:color w:val="auto"/>
          <w:highlight w:val="none"/>
        </w:rPr>
        <w:tab/>
      </w:r>
      <w:r>
        <w:rPr>
          <w:color w:val="auto"/>
          <w:highlight w:val="none"/>
        </w:rPr>
        <w:fldChar w:fldCharType="begin"/>
      </w:r>
      <w:r>
        <w:rPr>
          <w:color w:val="auto"/>
          <w:highlight w:val="none"/>
        </w:rPr>
        <w:instrText xml:space="preserve"> PAGEREF _Toc12199 \h </w:instrText>
      </w:r>
      <w:r>
        <w:rPr>
          <w:color w:val="auto"/>
          <w:highlight w:val="none"/>
        </w:rPr>
        <w:fldChar w:fldCharType="separate"/>
      </w:r>
      <w:r>
        <w:rPr>
          <w:color w:val="auto"/>
          <w:highlight w:val="none"/>
        </w:rPr>
        <w:t>52</w:t>
      </w:r>
      <w:r>
        <w:rPr>
          <w:color w:val="auto"/>
          <w:highlight w:val="none"/>
        </w:rPr>
        <w:fldChar w:fldCharType="end"/>
      </w:r>
      <w:r>
        <w:rPr>
          <w:color w:val="auto"/>
          <w:highlight w:val="none"/>
        </w:rPr>
        <w:fldChar w:fldCharType="end"/>
      </w:r>
    </w:p>
    <w:p>
      <w:pPr>
        <w:pStyle w:val="26"/>
        <w:tabs>
          <w:tab w:val="right" w:leader="dot" w:pos="9070"/>
          <w:tab w:val="clear" w:pos="9628"/>
        </w:tabs>
        <w:spacing w:line="360" w:lineRule="auto"/>
        <w:rPr>
          <w:color w:val="auto"/>
          <w:highlight w:val="none"/>
        </w:rPr>
      </w:pPr>
      <w:r>
        <w:rPr>
          <w:color w:val="auto"/>
          <w:highlight w:val="none"/>
        </w:rPr>
        <w:fldChar w:fldCharType="begin"/>
      </w:r>
      <w:r>
        <w:rPr>
          <w:color w:val="auto"/>
          <w:highlight w:val="none"/>
        </w:rPr>
        <w:instrText xml:space="preserve"> HYPERLINK \l "_Toc24254" </w:instrText>
      </w:r>
      <w:r>
        <w:rPr>
          <w:color w:val="auto"/>
          <w:highlight w:val="none"/>
        </w:rPr>
        <w:fldChar w:fldCharType="separate"/>
      </w:r>
      <w:r>
        <w:rPr>
          <w:rFonts w:hint="eastAsia" w:ascii="仿宋" w:hAnsi="仿宋" w:eastAsia="仿宋" w:cs="仿宋"/>
          <w:color w:val="auto"/>
          <w:szCs w:val="28"/>
          <w:highlight w:val="none"/>
          <w:lang w:val="en-US" w:eastAsia="zh-CN"/>
        </w:rPr>
        <w:t>六</w:t>
      </w:r>
      <w:r>
        <w:rPr>
          <w:rFonts w:hint="eastAsia" w:ascii="仿宋" w:hAnsi="仿宋" w:eastAsia="仿宋" w:cs="仿宋"/>
          <w:color w:val="auto"/>
          <w:szCs w:val="28"/>
          <w:highlight w:val="none"/>
        </w:rPr>
        <w:t>、招标文件中要求提交的其它资料或其他投标人认为有必要提交的资料</w:t>
      </w:r>
      <w:r>
        <w:rPr>
          <w:color w:val="auto"/>
          <w:highlight w:val="none"/>
        </w:rPr>
        <w:tab/>
      </w:r>
      <w:r>
        <w:rPr>
          <w:color w:val="auto"/>
          <w:highlight w:val="none"/>
        </w:rPr>
        <w:fldChar w:fldCharType="begin"/>
      </w:r>
      <w:r>
        <w:rPr>
          <w:color w:val="auto"/>
          <w:highlight w:val="none"/>
        </w:rPr>
        <w:instrText xml:space="preserve"> PAGEREF _Toc24254 \h </w:instrText>
      </w:r>
      <w:r>
        <w:rPr>
          <w:color w:val="auto"/>
          <w:highlight w:val="none"/>
        </w:rPr>
        <w:fldChar w:fldCharType="separate"/>
      </w:r>
      <w:r>
        <w:rPr>
          <w:color w:val="auto"/>
          <w:highlight w:val="none"/>
        </w:rPr>
        <w:t>53</w:t>
      </w:r>
      <w:r>
        <w:rPr>
          <w:color w:val="auto"/>
          <w:highlight w:val="none"/>
        </w:rPr>
        <w:fldChar w:fldCharType="end"/>
      </w:r>
      <w:r>
        <w:rPr>
          <w:color w:val="auto"/>
          <w:highlight w:val="none"/>
        </w:rPr>
        <w:fldChar w:fldCharType="end"/>
      </w:r>
    </w:p>
    <w:p>
      <w:pPr>
        <w:pageBreakBefore w:val="0"/>
        <w:tabs>
          <w:tab w:val="left" w:pos="1728"/>
          <w:tab w:val="right" w:leader="dot" w:pos="8788"/>
        </w:tabs>
        <w:kinsoku/>
        <w:overflowPunct/>
        <w:topLinePunct w:val="0"/>
        <w:bidi w:val="0"/>
        <w:spacing w:line="360" w:lineRule="auto"/>
        <w:textAlignment w:val="auto"/>
        <w:rPr>
          <w:rFonts w:hint="eastAsia" w:ascii="仿宋" w:hAnsi="仿宋" w:eastAsia="仿宋" w:cs="仿宋"/>
          <w:color w:val="auto"/>
          <w:szCs w:val="21"/>
          <w:highlight w:val="none"/>
        </w:rPr>
        <w:sectPr>
          <w:footerReference r:id="rId11" w:type="first"/>
          <w:footerReference r:id="rId10" w:type="default"/>
          <w:pgSz w:w="11906" w:h="16838"/>
          <w:pgMar w:top="1134" w:right="1418" w:bottom="1134" w:left="1418" w:header="850" w:footer="850" w:gutter="0"/>
          <w:pgBorders>
            <w:top w:val="none" w:color="auto" w:sz="0" w:space="0"/>
            <w:left w:val="none" w:color="auto" w:sz="0" w:space="0"/>
            <w:bottom w:val="none" w:color="auto" w:sz="0" w:space="0"/>
            <w:right w:val="none" w:color="auto" w:sz="0" w:space="0"/>
          </w:pgBorders>
          <w:pgNumType w:fmt="decimal" w:start="1"/>
          <w:cols w:space="720" w:num="1"/>
          <w:titlePg/>
          <w:docGrid w:linePitch="312" w:charSpace="0"/>
        </w:sectPr>
      </w:pPr>
      <w:r>
        <w:rPr>
          <w:rFonts w:hint="eastAsia" w:ascii="仿宋" w:hAnsi="仿宋" w:eastAsia="仿宋" w:cs="仿宋"/>
          <w:color w:val="auto"/>
          <w:szCs w:val="21"/>
          <w:highlight w:val="none"/>
        </w:rPr>
        <w:fldChar w:fldCharType="end"/>
      </w:r>
    </w:p>
    <w:p>
      <w:pPr>
        <w:pStyle w:val="3"/>
        <w:pageBreakBefore w:val="0"/>
        <w:numPr>
          <w:ilvl w:val="0"/>
          <w:numId w:val="11"/>
        </w:numPr>
        <w:kinsoku/>
        <w:overflowPunct/>
        <w:topLinePunct w:val="0"/>
        <w:bidi w:val="0"/>
        <w:spacing w:before="360" w:beforeLines="150" w:after="120" w:afterLines="50" w:line="360" w:lineRule="auto"/>
        <w:jc w:val="center"/>
        <w:textAlignment w:val="auto"/>
        <w:rPr>
          <w:rFonts w:hint="eastAsia" w:ascii="仿宋" w:hAnsi="仿宋" w:eastAsia="仿宋" w:cs="仿宋"/>
          <w:color w:val="auto"/>
          <w:highlight w:val="none"/>
        </w:rPr>
      </w:pPr>
      <w:bookmarkStart w:id="0" w:name="_Toc3885"/>
      <w:bookmarkStart w:id="1" w:name="_Toc429155358"/>
      <w:bookmarkStart w:id="2" w:name="_Toc5141"/>
      <w:bookmarkStart w:id="3" w:name="_Hlk55757335"/>
      <w:bookmarkStart w:id="4" w:name="_Hlk60912802"/>
      <w:r>
        <w:rPr>
          <w:rFonts w:hint="eastAsia" w:ascii="仿宋" w:hAnsi="仿宋" w:eastAsia="仿宋" w:cs="仿宋"/>
          <w:color w:val="auto"/>
          <w:highlight w:val="none"/>
        </w:rPr>
        <w:t>招标公告</w:t>
      </w:r>
      <w:bookmarkEnd w:id="0"/>
      <w:bookmarkEnd w:id="1"/>
      <w:bookmarkEnd w:id="2"/>
    </w:p>
    <w:p>
      <w:pPr>
        <w:numPr>
          <w:ilvl w:val="0"/>
          <w:numId w:val="0"/>
        </w:numPr>
        <w:jc w:val="center"/>
        <w:rPr>
          <w:rFonts w:hint="default"/>
          <w:b/>
          <w:bCs/>
          <w:color w:val="auto"/>
          <w:sz w:val="28"/>
          <w:szCs w:val="28"/>
          <w:highlight w:val="none"/>
          <w:lang w:val="en-US"/>
        </w:rPr>
      </w:pPr>
      <w:r>
        <w:rPr>
          <w:rFonts w:hint="eastAsia" w:ascii="仿宋" w:hAnsi="仿宋" w:eastAsia="仿宋" w:cs="仿宋"/>
          <w:b/>
          <w:bCs/>
          <w:color w:val="auto"/>
          <w:sz w:val="28"/>
          <w:szCs w:val="28"/>
          <w:highlight w:val="none"/>
          <w:lang w:eastAsia="zh-CN"/>
        </w:rPr>
        <w:t>牟定县2024年高标准农田建设（专债项目）耕地质量提升采购商品有机肥项目</w:t>
      </w:r>
      <w:r>
        <w:rPr>
          <w:rFonts w:hint="eastAsia" w:ascii="仿宋" w:hAnsi="仿宋" w:eastAsia="仿宋" w:cs="仿宋"/>
          <w:b/>
          <w:bCs/>
          <w:color w:val="auto"/>
          <w:sz w:val="28"/>
          <w:szCs w:val="28"/>
          <w:highlight w:val="none"/>
          <w:lang w:val="en-US" w:eastAsia="zh-CN"/>
        </w:rPr>
        <w:t>招标公告</w:t>
      </w:r>
    </w:p>
    <w:bookmarkEnd w:id="3"/>
    <w:p>
      <w:pPr>
        <w:pStyle w:val="4"/>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bookmarkStart w:id="5" w:name="_Toc246735387"/>
      <w:bookmarkStart w:id="6" w:name="_Toc16050"/>
      <w:bookmarkStart w:id="7" w:name="_Toc118890974"/>
      <w:bookmarkStart w:id="8" w:name="_Toc28318"/>
      <w:bookmarkStart w:id="9" w:name="_Toc290995649"/>
      <w:bookmarkStart w:id="10" w:name="_Hlk130566093"/>
      <w:bookmarkStart w:id="11" w:name="_Toc429155359"/>
      <w:bookmarkStart w:id="12" w:name="_Toc229583198"/>
      <w:r>
        <w:rPr>
          <w:rFonts w:hint="eastAsia" w:ascii="仿宋" w:hAnsi="仿宋" w:eastAsia="仿宋" w:cs="仿宋"/>
          <w:color w:val="auto"/>
          <w:sz w:val="21"/>
          <w:szCs w:val="21"/>
          <w:highlight w:val="none"/>
        </w:rPr>
        <w:t>1.招标条件</w:t>
      </w:r>
      <w:bookmarkEnd w:id="5"/>
      <w:bookmarkEnd w:id="6"/>
      <w:bookmarkEnd w:id="7"/>
      <w:bookmarkEnd w:id="8"/>
      <w:bookmarkEnd w:id="9"/>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牟定县2024年高标准农田建设（专债项目）耕地质量提升采购商品有机肥项目已具备招标条件，项目资金已落实。代理机构为云南谦亚工程项目管理有限公司</w:t>
      </w:r>
      <w:r>
        <w:rPr>
          <w:rFonts w:hint="eastAsia" w:ascii="仿宋" w:hAnsi="仿宋" w:eastAsia="仿宋" w:cs="仿宋"/>
          <w:color w:val="auto"/>
          <w:sz w:val="21"/>
          <w:szCs w:val="21"/>
          <w:highlight w:val="none"/>
        </w:rPr>
        <w:t>，招标人为</w:t>
      </w:r>
      <w:r>
        <w:rPr>
          <w:rFonts w:hint="eastAsia" w:ascii="仿宋" w:hAnsi="仿宋" w:eastAsia="仿宋" w:cs="仿宋"/>
          <w:color w:val="auto"/>
          <w:sz w:val="21"/>
          <w:szCs w:val="21"/>
          <w:highlight w:val="none"/>
          <w:u w:val="single"/>
          <w:lang w:eastAsia="zh-CN"/>
        </w:rPr>
        <w:t>牟定县农业农村局</w:t>
      </w:r>
      <w:r>
        <w:rPr>
          <w:rFonts w:hint="eastAsia" w:ascii="仿宋" w:hAnsi="仿宋" w:eastAsia="仿宋" w:cs="仿宋"/>
          <w:color w:val="auto"/>
          <w:sz w:val="21"/>
          <w:szCs w:val="21"/>
          <w:highlight w:val="none"/>
        </w:rPr>
        <w:t>，现对本项目进行公开招标。</w:t>
      </w:r>
    </w:p>
    <w:p>
      <w:pPr>
        <w:pStyle w:val="4"/>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bookmarkStart w:id="13" w:name="_Toc9583"/>
      <w:bookmarkStart w:id="14" w:name="_Toc118890975"/>
      <w:bookmarkStart w:id="15" w:name="_Toc246735388"/>
      <w:bookmarkStart w:id="16" w:name="_Toc290995650"/>
      <w:bookmarkStart w:id="17" w:name="_Toc26127"/>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项目概况</w:t>
      </w:r>
      <w:bookmarkEnd w:id="13"/>
      <w:bookmarkEnd w:id="14"/>
      <w:bookmarkEnd w:id="15"/>
      <w:bookmarkEnd w:id="16"/>
      <w:bookmarkEnd w:id="17"/>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2.1</w:t>
      </w:r>
      <w:r>
        <w:rPr>
          <w:rFonts w:hint="eastAsia" w:ascii="仿宋" w:hAnsi="仿宋" w:eastAsia="仿宋" w:cs="仿宋"/>
          <w:b/>
          <w:bCs/>
          <w:color w:val="auto"/>
          <w:sz w:val="21"/>
          <w:szCs w:val="21"/>
          <w:highlight w:val="none"/>
        </w:rPr>
        <w:t>项目名称</w:t>
      </w:r>
      <w:r>
        <w:rPr>
          <w:rFonts w:hint="eastAsia" w:ascii="仿宋" w:hAnsi="仿宋" w:eastAsia="仿宋" w:cs="仿宋"/>
          <w:color w:val="auto"/>
          <w:sz w:val="21"/>
          <w:szCs w:val="21"/>
          <w:highlight w:val="none"/>
        </w:rPr>
        <w:t>：</w:t>
      </w:r>
      <w:r>
        <w:rPr>
          <w:rFonts w:hint="eastAsia" w:ascii="仿宋" w:hAnsi="仿宋" w:eastAsia="仿宋" w:cs="仿宋"/>
          <w:bCs/>
          <w:color w:val="auto"/>
          <w:sz w:val="21"/>
          <w:szCs w:val="21"/>
          <w:highlight w:val="none"/>
          <w:lang w:eastAsia="zh-CN"/>
        </w:rPr>
        <w:t>牟定县2024年高标准农田建设（专债项目）耕地质量提升采购商品有机肥项目</w:t>
      </w:r>
    </w:p>
    <w:p>
      <w:pPr>
        <w:pageBreakBefore w:val="0"/>
        <w:kinsoku/>
        <w:overflowPunct/>
        <w:topLinePunct w:val="0"/>
        <w:bidi w:val="0"/>
        <w:snapToGrid w:val="0"/>
        <w:spacing w:line="360" w:lineRule="auto"/>
        <w:ind w:firstLine="420" w:firstLineChars="200"/>
        <w:textAlignment w:val="auto"/>
        <w:rPr>
          <w:rFonts w:hint="eastAsia" w:ascii="仿宋" w:hAnsi="仿宋" w:eastAsia="仿宋" w:cs="仿宋"/>
          <w:color w:val="auto"/>
          <w:sz w:val="21"/>
          <w:szCs w:val="21"/>
          <w:highlight w:val="none"/>
          <w:lang w:eastAsia="zh-CN"/>
        </w:rPr>
      </w:pPr>
      <w:bookmarkStart w:id="18" w:name="_Hlk53661903"/>
      <w:r>
        <w:rPr>
          <w:rFonts w:hint="eastAsia" w:ascii="仿宋" w:hAnsi="仿宋" w:eastAsia="仿宋" w:cs="仿宋"/>
          <w:color w:val="auto"/>
          <w:sz w:val="21"/>
          <w:szCs w:val="21"/>
          <w:highlight w:val="none"/>
        </w:rPr>
        <w:t>2.2</w:t>
      </w:r>
      <w:r>
        <w:rPr>
          <w:rFonts w:hint="eastAsia" w:ascii="仿宋" w:hAnsi="仿宋" w:eastAsia="仿宋" w:cs="仿宋"/>
          <w:b/>
          <w:bCs/>
          <w:color w:val="auto"/>
          <w:sz w:val="21"/>
          <w:szCs w:val="21"/>
          <w:highlight w:val="none"/>
          <w:lang w:val="en-US" w:eastAsia="zh-CN"/>
        </w:rPr>
        <w:t>供货</w:t>
      </w:r>
      <w:r>
        <w:rPr>
          <w:rFonts w:hint="eastAsia" w:ascii="仿宋" w:hAnsi="仿宋" w:eastAsia="仿宋" w:cs="仿宋"/>
          <w:b/>
          <w:bCs/>
          <w:color w:val="auto"/>
          <w:sz w:val="21"/>
          <w:szCs w:val="21"/>
          <w:highlight w:val="none"/>
          <w:lang w:eastAsia="zh-CN"/>
        </w:rPr>
        <w:t>地点</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招标人指定地点</w:t>
      </w:r>
      <w:r>
        <w:rPr>
          <w:rFonts w:hint="eastAsia" w:ascii="仿宋" w:hAnsi="仿宋" w:eastAsia="仿宋" w:cs="仿宋"/>
          <w:color w:val="auto"/>
          <w:sz w:val="21"/>
          <w:szCs w:val="21"/>
          <w:highlight w:val="none"/>
          <w:lang w:eastAsia="zh-CN"/>
        </w:rPr>
        <w:t>。</w:t>
      </w:r>
    </w:p>
    <w:p>
      <w:pPr>
        <w:pageBreakBefore w:val="0"/>
        <w:kinsoku/>
        <w:overflowPunct/>
        <w:topLinePunct w:val="0"/>
        <w:bidi w:val="0"/>
        <w:snapToGrid w:val="0"/>
        <w:spacing w:line="360" w:lineRule="auto"/>
        <w:ind w:firstLine="420" w:firstLineChars="200"/>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2.3</w:t>
      </w:r>
      <w:r>
        <w:rPr>
          <w:rFonts w:hint="eastAsia" w:ascii="仿宋" w:hAnsi="仿宋" w:eastAsia="仿宋" w:cs="仿宋"/>
          <w:b/>
          <w:bCs/>
          <w:color w:val="auto"/>
          <w:sz w:val="21"/>
          <w:szCs w:val="21"/>
          <w:highlight w:val="none"/>
          <w:lang w:val="en-US" w:eastAsia="zh-CN"/>
        </w:rPr>
        <w:t>采购预算价（最高限价）：</w:t>
      </w:r>
      <w:r>
        <w:rPr>
          <w:rFonts w:hint="eastAsia" w:ascii="仿宋" w:hAnsi="仿宋" w:eastAsia="仿宋" w:cs="仿宋"/>
          <w:b w:val="0"/>
          <w:bCs w:val="0"/>
          <w:color w:val="auto"/>
          <w:sz w:val="21"/>
          <w:szCs w:val="21"/>
          <w:highlight w:val="none"/>
          <w:lang w:val="en-US" w:eastAsia="zh-CN"/>
        </w:rPr>
        <w:t>149.94万元</w:t>
      </w:r>
      <w:r>
        <w:rPr>
          <w:rFonts w:hint="eastAsia" w:ascii="仿宋" w:hAnsi="仿宋" w:eastAsia="仿宋" w:cs="仿宋"/>
          <w:color w:val="auto"/>
          <w:sz w:val="21"/>
          <w:szCs w:val="21"/>
          <w:highlight w:val="none"/>
          <w:lang w:val="en-US" w:eastAsia="zh-CN"/>
        </w:rPr>
        <w:t>。</w:t>
      </w:r>
    </w:p>
    <w:p>
      <w:pPr>
        <w:pageBreakBefore w:val="0"/>
        <w:kinsoku/>
        <w:overflowPunct/>
        <w:topLinePunct w:val="0"/>
        <w:bidi w:val="0"/>
        <w:snapToGrid w:val="0"/>
        <w:spacing w:line="360" w:lineRule="auto"/>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2.4</w:t>
      </w:r>
      <w:r>
        <w:rPr>
          <w:rFonts w:hint="eastAsia" w:ascii="仿宋" w:hAnsi="仿宋" w:eastAsia="仿宋" w:cs="仿宋"/>
          <w:b/>
          <w:bCs/>
          <w:color w:val="auto"/>
          <w:sz w:val="21"/>
          <w:szCs w:val="21"/>
          <w:highlight w:val="none"/>
        </w:rPr>
        <w:t>资金来源：</w:t>
      </w:r>
      <w:bookmarkStart w:id="19" w:name="_Hlk79418345"/>
      <w:r>
        <w:rPr>
          <w:rFonts w:hint="eastAsia" w:ascii="仿宋" w:hAnsi="仿宋" w:eastAsia="仿宋" w:cs="仿宋"/>
          <w:color w:val="auto"/>
          <w:sz w:val="21"/>
          <w:szCs w:val="21"/>
          <w:highlight w:val="none"/>
          <w:lang w:val="en-US" w:eastAsia="zh-CN"/>
        </w:rPr>
        <w:t>财政资金，已落实</w:t>
      </w:r>
      <w:r>
        <w:rPr>
          <w:rFonts w:hint="eastAsia" w:ascii="仿宋" w:hAnsi="仿宋" w:eastAsia="仿宋" w:cs="仿宋"/>
          <w:color w:val="auto"/>
          <w:sz w:val="21"/>
          <w:szCs w:val="21"/>
          <w:highlight w:val="none"/>
        </w:rPr>
        <w:t>。</w:t>
      </w:r>
      <w:bookmarkEnd w:id="18"/>
      <w:bookmarkEnd w:id="19"/>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2.5</w:t>
      </w:r>
      <w:r>
        <w:rPr>
          <w:rFonts w:hint="eastAsia" w:ascii="仿宋" w:hAnsi="仿宋" w:eastAsia="仿宋" w:cs="仿宋"/>
          <w:b/>
          <w:bCs/>
          <w:color w:val="auto"/>
          <w:sz w:val="21"/>
          <w:szCs w:val="21"/>
          <w:highlight w:val="none"/>
          <w:lang w:val="en-US" w:eastAsia="zh-CN"/>
        </w:rPr>
        <w:t>采购需求：</w:t>
      </w:r>
    </w:p>
    <w:tbl>
      <w:tblPr>
        <w:tblStyle w:val="56"/>
        <w:tblW w:w="8846"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2"/>
        <w:gridCol w:w="2559"/>
        <w:gridCol w:w="3061"/>
        <w:gridCol w:w="23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94" w:hRule="atLeast"/>
          <w:jc w:val="center"/>
        </w:trPr>
        <w:tc>
          <w:tcPr>
            <w:tcW w:w="89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序号</w:t>
            </w:r>
          </w:p>
        </w:tc>
        <w:tc>
          <w:tcPr>
            <w:tcW w:w="255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项目实施地点</w:t>
            </w:r>
          </w:p>
        </w:tc>
        <w:tc>
          <w:tcPr>
            <w:tcW w:w="306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有机肥参数及规格</w:t>
            </w:r>
          </w:p>
        </w:tc>
        <w:tc>
          <w:tcPr>
            <w:tcW w:w="233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最高限价（单价）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851" w:hRule="atLeast"/>
          <w:jc w:val="center"/>
        </w:trPr>
        <w:tc>
          <w:tcPr>
            <w:tcW w:w="89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1</w:t>
            </w:r>
          </w:p>
        </w:tc>
        <w:tc>
          <w:tcPr>
            <w:tcW w:w="255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以采购人实际要求交货地点为准。</w:t>
            </w:r>
          </w:p>
        </w:tc>
        <w:tc>
          <w:tcPr>
            <w:tcW w:w="3061" w:type="dxa"/>
            <w:tcBorders>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有机质含量≧50%</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氮磷钾总养分含量≧10%</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有效活菌数≧0.2亿/克</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水分含量≦30%</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剂型：颗粒</w:t>
            </w:r>
          </w:p>
        </w:tc>
        <w:tc>
          <w:tcPr>
            <w:tcW w:w="233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980.00元/吨</w:t>
            </w:r>
          </w:p>
        </w:tc>
      </w:tr>
    </w:tbl>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lang w:val="en-US" w:eastAsia="zh-CN"/>
        </w:rPr>
      </w:pPr>
    </w:p>
    <w:p>
      <w:pPr>
        <w:pageBreakBefore w:val="0"/>
        <w:kinsoku/>
        <w:overflowPunct/>
        <w:topLinePunct w:val="0"/>
        <w:bidi w:val="0"/>
        <w:spacing w:line="360" w:lineRule="auto"/>
        <w:ind w:firstLine="424" w:firstLineChars="202"/>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w:t>
      </w:r>
      <w:r>
        <w:rPr>
          <w:rFonts w:hint="eastAsia" w:ascii="仿宋" w:hAnsi="仿宋" w:eastAsia="仿宋" w:cs="仿宋"/>
          <w:b w:val="0"/>
          <w:bCs w:val="0"/>
          <w:color w:val="auto"/>
          <w:sz w:val="21"/>
          <w:szCs w:val="21"/>
          <w:highlight w:val="none"/>
          <w:lang w:val="en-US" w:eastAsia="zh-CN"/>
        </w:rPr>
        <w:t>6</w:t>
      </w:r>
      <w:r>
        <w:rPr>
          <w:rFonts w:hint="eastAsia" w:ascii="仿宋" w:hAnsi="仿宋" w:eastAsia="仿宋" w:cs="仿宋"/>
          <w:b/>
          <w:bCs/>
          <w:color w:val="auto"/>
          <w:sz w:val="21"/>
          <w:szCs w:val="21"/>
          <w:highlight w:val="none"/>
          <w:lang w:eastAsia="zh-CN"/>
        </w:rPr>
        <w:t>供货周期</w:t>
      </w:r>
      <w:r>
        <w:rPr>
          <w:rFonts w:hint="eastAsia" w:ascii="仿宋" w:hAnsi="仿宋" w:eastAsia="仿宋" w:cs="仿宋"/>
          <w:b/>
          <w:bCs/>
          <w:color w:val="auto"/>
          <w:sz w:val="21"/>
          <w:szCs w:val="21"/>
          <w:highlight w:val="none"/>
        </w:rPr>
        <w:t>：</w:t>
      </w:r>
      <w:r>
        <w:rPr>
          <w:rFonts w:hint="eastAsia" w:ascii="仿宋" w:hAnsi="仿宋" w:eastAsia="仿宋" w:cs="仿宋"/>
          <w:b w:val="0"/>
          <w:bCs w:val="0"/>
          <w:color w:val="auto"/>
          <w:sz w:val="21"/>
          <w:szCs w:val="21"/>
          <w:highlight w:val="none"/>
          <w:shd w:val="clear" w:color="auto" w:fill="auto"/>
          <w:lang w:val="en-US" w:eastAsia="zh-CN"/>
        </w:rPr>
        <w:t>具体以采购人下达的书面供货通知为准，中标人应当在收到供货通知后20日历天内交货。</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7</w:t>
      </w:r>
      <w:r>
        <w:rPr>
          <w:rFonts w:hint="eastAsia" w:ascii="仿宋" w:hAnsi="仿宋" w:eastAsia="仿宋" w:cs="仿宋"/>
          <w:b/>
          <w:bCs/>
          <w:color w:val="auto"/>
          <w:sz w:val="21"/>
          <w:szCs w:val="21"/>
          <w:highlight w:val="none"/>
        </w:rPr>
        <w:t>质量要求：</w:t>
      </w:r>
      <w:r>
        <w:rPr>
          <w:rFonts w:hint="eastAsia" w:ascii="仿宋" w:hAnsi="仿宋" w:eastAsia="仿宋" w:cs="仿宋"/>
          <w:b w:val="0"/>
          <w:bCs w:val="0"/>
          <w:color w:val="auto"/>
          <w:sz w:val="21"/>
          <w:szCs w:val="21"/>
          <w:highlight w:val="none"/>
          <w:lang w:val="en-US" w:eastAsia="zh-CN"/>
        </w:rPr>
        <w:t>符合NY884-2012标准及其他国家相关标准、规范，一次性验收合格，有机质含量≥50%、氮磷钾总养分含量≥10%、有效活菌数≥0.2亿/克、水分含量≤30%、颗粒状袋装40kg/袋</w:t>
      </w:r>
      <w:r>
        <w:rPr>
          <w:rFonts w:hint="eastAsia" w:ascii="仿宋" w:hAnsi="仿宋" w:eastAsia="仿宋" w:cs="仿宋"/>
          <w:b w:val="0"/>
          <w:bCs w:val="0"/>
          <w:color w:val="auto"/>
          <w:sz w:val="21"/>
          <w:szCs w:val="21"/>
          <w:highlight w:val="none"/>
        </w:rPr>
        <w:t>。</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8</w:t>
      </w:r>
      <w:r>
        <w:rPr>
          <w:rFonts w:hint="eastAsia" w:ascii="仿宋" w:hAnsi="仿宋" w:eastAsia="仿宋" w:cs="仿宋"/>
          <w:b/>
          <w:bCs/>
          <w:color w:val="auto"/>
          <w:sz w:val="21"/>
          <w:szCs w:val="21"/>
          <w:highlight w:val="none"/>
        </w:rPr>
        <w:t>标段划分</w:t>
      </w:r>
      <w:r>
        <w:rPr>
          <w:rFonts w:hint="eastAsia" w:ascii="仿宋" w:hAnsi="仿宋" w:eastAsia="仿宋" w:cs="仿宋"/>
          <w:color w:val="auto"/>
          <w:sz w:val="21"/>
          <w:szCs w:val="21"/>
          <w:highlight w:val="none"/>
        </w:rPr>
        <w:t>：本次招标项目只设一个标段。</w:t>
      </w:r>
    </w:p>
    <w:p>
      <w:pPr>
        <w:pStyle w:val="4"/>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bookmarkStart w:id="20" w:name="_Toc5296"/>
      <w:bookmarkStart w:id="21" w:name="_Toc290995651"/>
      <w:bookmarkStart w:id="22" w:name="_Toc21710"/>
      <w:bookmarkStart w:id="23" w:name="_Toc118890976"/>
      <w:bookmarkStart w:id="24" w:name="_Toc246735389"/>
      <w:r>
        <w:rPr>
          <w:rFonts w:hint="eastAsia" w:ascii="仿宋" w:hAnsi="仿宋" w:eastAsia="仿宋" w:cs="仿宋"/>
          <w:color w:val="auto"/>
          <w:sz w:val="21"/>
          <w:szCs w:val="21"/>
          <w:highlight w:val="none"/>
        </w:rPr>
        <w:t>3.投标人资格要求</w:t>
      </w:r>
      <w:bookmarkEnd w:id="20"/>
      <w:bookmarkEnd w:id="21"/>
      <w:bookmarkEnd w:id="22"/>
      <w:bookmarkEnd w:id="23"/>
      <w:bookmarkEnd w:id="24"/>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3.1 </w:t>
      </w:r>
      <w:r>
        <w:rPr>
          <w:rFonts w:hint="eastAsia" w:ascii="仿宋" w:hAnsi="仿宋" w:eastAsia="仿宋" w:cs="仿宋"/>
          <w:color w:val="auto"/>
          <w:sz w:val="21"/>
          <w:szCs w:val="21"/>
          <w:highlight w:val="none"/>
          <w:lang w:eastAsia="zh-CN"/>
        </w:rPr>
        <w:t>具有独立承担民事责任的能力，提供有效的营业执照或者其他主体资格证明文件</w:t>
      </w:r>
      <w:r>
        <w:rPr>
          <w:rFonts w:hint="eastAsia" w:ascii="仿宋" w:hAnsi="仿宋" w:eastAsia="仿宋" w:cs="仿宋"/>
          <w:color w:val="auto"/>
          <w:sz w:val="21"/>
          <w:szCs w:val="21"/>
          <w:highlight w:val="none"/>
        </w:rPr>
        <w:t>；</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 </w:t>
      </w:r>
      <w:r>
        <w:rPr>
          <w:rFonts w:hint="eastAsia" w:ascii="仿宋" w:hAnsi="仿宋" w:eastAsia="仿宋" w:cs="仿宋"/>
          <w:color w:val="auto"/>
          <w:sz w:val="21"/>
          <w:szCs w:val="21"/>
          <w:highlight w:val="none"/>
          <w:lang w:eastAsia="zh-CN"/>
        </w:rPr>
        <w:t>财务要求：没有处于财产被接管、冻结、破产或其他不良状态。投标人财务状况良好，须提供202</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年</w:t>
      </w:r>
      <w:r>
        <w:rPr>
          <w:rFonts w:hint="eastAsia" w:ascii="仿宋" w:hAnsi="仿宋" w:eastAsia="仿宋" w:cs="仿宋"/>
          <w:color w:val="auto"/>
          <w:sz w:val="21"/>
          <w:szCs w:val="21"/>
          <w:highlight w:val="none"/>
          <w:lang w:val="en-US" w:eastAsia="zh-CN"/>
        </w:rPr>
        <w:t>至今任意1年</w:t>
      </w:r>
      <w:r>
        <w:rPr>
          <w:rFonts w:hint="eastAsia" w:ascii="仿宋" w:hAnsi="仿宋" w:eastAsia="仿宋" w:cs="仿宋"/>
          <w:color w:val="auto"/>
          <w:sz w:val="21"/>
          <w:szCs w:val="21"/>
          <w:highlight w:val="none"/>
          <w:lang w:eastAsia="zh-CN"/>
        </w:rPr>
        <w:t>经第三方审计机构审计的财务报表（应包括资产负债表、利润表、现金流量表）及审计报告，成立年限不足3年的按成立年份提供财务报表（应包括资产负债表、利润表、现金流量表）及审计报告；成立不足1年的企业（或新成立企业），附成立至今的财务报表（包括资产负债表、现金流量表和利润表）或相关财务证明资料或情况说明。【企业若处于特殊情况（如企业合并重组等特殊情况）不能提供其财务审计报告的须提供有效的第三方相关职能部门的书面证明材料同时提供近期企业财务报表】</w:t>
      </w:r>
      <w:r>
        <w:rPr>
          <w:rFonts w:hint="eastAsia" w:ascii="仿宋" w:hAnsi="仿宋" w:eastAsia="仿宋" w:cs="仿宋"/>
          <w:color w:val="auto"/>
          <w:sz w:val="21"/>
          <w:szCs w:val="21"/>
          <w:highlight w:val="none"/>
        </w:rPr>
        <w:t>；</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3.3 投标人为生产制造商，需提供在有效期内的肥料登记证或备案证；若投标人为代理商、经销商，须提供在有效期内生产制造商的肥料登记证或备案证；</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3.</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 xml:space="preserve"> 投标人应信誉良好，没有处于被责令停业或财产被接管、冻结、破产状态；2023年至今没有因不良纪录被行政主管部门停止在云南省行政区域内的投标资格；未被列入“中国执行信息公开网”(http</w:t>
      </w:r>
      <w:r>
        <w:rPr>
          <w:rFonts w:hint="eastAsia" w:ascii="仿宋" w:hAnsi="仿宋" w:eastAsia="仿宋" w:cs="仿宋"/>
          <w:color w:val="auto"/>
          <w:sz w:val="21"/>
          <w:szCs w:val="21"/>
          <w:highlight w:val="none"/>
          <w:lang w:val="en-US" w:eastAsia="zh-CN"/>
        </w:rPr>
        <w:t>s</w:t>
      </w:r>
      <w:r>
        <w:rPr>
          <w:rFonts w:hint="eastAsia" w:ascii="仿宋" w:hAnsi="仿宋" w:eastAsia="仿宋" w:cs="仿宋"/>
          <w:color w:val="auto"/>
          <w:sz w:val="21"/>
          <w:szCs w:val="21"/>
          <w:highlight w:val="none"/>
          <w:lang w:eastAsia="zh-CN"/>
        </w:rPr>
        <w:t>：//zxgk.court.gov.cn)失信被执行人；投标人应在“信用中国”网站(https://www.creditchina.gov.cn/)未被列入重大税收违法案件当事人；投标人未被列入“国家企业信用信息公示系统”(https://www.gsxt.gov.cn/index.html)经营异常名录和严重违法失信企业名单(黑名单)(被禁止在一定期限内参加政府采购活动但期限届满的除外)，提供查询结果截图，查询时间为招标公告发布至投标文件递交截止时间前；</w:t>
      </w:r>
      <w:r>
        <w:rPr>
          <w:rFonts w:hint="eastAsia" w:ascii="仿宋" w:hAnsi="仿宋" w:eastAsia="仿宋" w:cs="仿宋"/>
          <w:color w:val="auto"/>
          <w:sz w:val="21"/>
          <w:szCs w:val="21"/>
          <w:highlight w:val="none"/>
          <w:lang w:val="en-US" w:eastAsia="zh-CN"/>
        </w:rPr>
        <w:t>投标人须</w:t>
      </w:r>
      <w:r>
        <w:rPr>
          <w:rFonts w:hint="eastAsia" w:ascii="仿宋" w:hAnsi="仿宋" w:eastAsia="仿宋" w:cs="仿宋"/>
          <w:color w:val="auto"/>
          <w:sz w:val="21"/>
          <w:szCs w:val="21"/>
          <w:highlight w:val="none"/>
          <w:lang w:eastAsia="zh-CN"/>
        </w:rPr>
        <w:t>提供具有良好商业信誉的声明函。</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highlight w:val="none"/>
          <w:lang w:eastAsia="zh-CN"/>
        </w:rPr>
      </w:pP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 xml:space="preserve"> 本次招标</w:t>
      </w:r>
      <w:r>
        <w:rPr>
          <w:rFonts w:hint="eastAsia" w:ascii="仿宋" w:hAnsi="仿宋" w:eastAsia="仿宋" w:cs="仿宋"/>
          <w:color w:val="auto"/>
          <w:sz w:val="21"/>
          <w:szCs w:val="21"/>
          <w:highlight w:val="none"/>
          <w:lang w:val="en-US" w:eastAsia="zh-CN"/>
        </w:rPr>
        <w:t>不</w:t>
      </w:r>
      <w:r>
        <w:rPr>
          <w:rFonts w:hint="eastAsia" w:ascii="仿宋" w:hAnsi="仿宋" w:eastAsia="仿宋" w:cs="仿宋"/>
          <w:color w:val="auto"/>
          <w:sz w:val="21"/>
          <w:szCs w:val="21"/>
          <w:highlight w:val="none"/>
        </w:rPr>
        <w:t>接受联合体投标</w:t>
      </w:r>
      <w:r>
        <w:rPr>
          <w:rFonts w:hint="eastAsia" w:ascii="仿宋" w:hAnsi="仿宋" w:eastAsia="仿宋" w:cs="仿宋"/>
          <w:color w:val="auto"/>
          <w:sz w:val="21"/>
          <w:szCs w:val="21"/>
          <w:highlight w:val="none"/>
          <w:lang w:eastAsia="zh-CN"/>
        </w:rPr>
        <w:t>。</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3.6 其他：</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（1）法定代表人或单位负责人为同一人或者存在直接控股、管理关系的不同供应商，不得同时参加本项目的投标；（提供承诺书）</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（2）除单一来源采购项目外，为采购项目提供整体设计、规范编制或者项目管理、监理、检测等服务的供应商，不得再参加该采购项目的其他采购活动。（提供承诺书）</w:t>
      </w:r>
    </w:p>
    <w:p>
      <w:pPr>
        <w:pStyle w:val="4"/>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bookmarkStart w:id="25" w:name="_Toc2755"/>
      <w:bookmarkStart w:id="26" w:name="_Toc20161"/>
      <w:bookmarkStart w:id="27" w:name="_Toc118890977"/>
      <w:bookmarkStart w:id="28" w:name="_Toc246735390"/>
      <w:bookmarkStart w:id="29" w:name="_Toc290995652"/>
      <w:r>
        <w:rPr>
          <w:rFonts w:hint="eastAsia" w:ascii="仿宋" w:hAnsi="仿宋" w:eastAsia="仿宋" w:cs="仿宋"/>
          <w:color w:val="auto"/>
          <w:sz w:val="21"/>
          <w:szCs w:val="21"/>
          <w:highlight w:val="none"/>
        </w:rPr>
        <w:t>4.资格审查方式</w:t>
      </w:r>
      <w:bookmarkEnd w:id="25"/>
      <w:bookmarkEnd w:id="26"/>
      <w:bookmarkEnd w:id="27"/>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4.1本项目招标资格审查方式为：资格后审合格制。</w:t>
      </w:r>
    </w:p>
    <w:p>
      <w:pPr>
        <w:pStyle w:val="4"/>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bookmarkStart w:id="30" w:name="_Toc65"/>
      <w:bookmarkStart w:id="31" w:name="_Toc4154"/>
      <w:bookmarkStart w:id="32" w:name="_Toc118890978"/>
      <w:r>
        <w:rPr>
          <w:rFonts w:hint="eastAsia" w:ascii="仿宋" w:hAnsi="仿宋" w:eastAsia="仿宋" w:cs="仿宋"/>
          <w:color w:val="auto"/>
          <w:sz w:val="21"/>
          <w:szCs w:val="21"/>
          <w:highlight w:val="none"/>
        </w:rPr>
        <w:t>5.招标文件的获取</w:t>
      </w:r>
      <w:bookmarkEnd w:id="28"/>
      <w:bookmarkEnd w:id="29"/>
      <w:bookmarkEnd w:id="30"/>
      <w:bookmarkEnd w:id="31"/>
      <w:bookmarkEnd w:id="32"/>
    </w:p>
    <w:p>
      <w:pPr>
        <w:pageBreakBefore w:val="0"/>
        <w:kinsoku/>
        <w:overflowPunct/>
        <w:topLinePunct w:val="0"/>
        <w:bidi w:val="0"/>
        <w:snapToGrid w:val="0"/>
        <w:spacing w:line="360" w:lineRule="auto"/>
        <w:ind w:firstLine="420" w:firstLineChars="200"/>
        <w:textAlignment w:val="auto"/>
        <w:rPr>
          <w:rFonts w:hint="eastAsia" w:ascii="仿宋" w:hAnsi="仿宋" w:eastAsia="仿宋" w:cs="仿宋"/>
          <w:color w:val="auto"/>
          <w:sz w:val="21"/>
          <w:szCs w:val="21"/>
          <w:highlight w:val="none"/>
        </w:rPr>
      </w:pPr>
      <w:bookmarkStart w:id="33" w:name="_Toc246735391"/>
      <w:bookmarkStart w:id="34" w:name="_Toc290995653"/>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.1凡有意参加投标者，</w:t>
      </w:r>
      <w:r>
        <w:rPr>
          <w:rFonts w:hint="eastAsia" w:ascii="仿宋" w:hAnsi="仿宋" w:eastAsia="仿宋" w:cs="仿宋"/>
          <w:color w:val="auto"/>
          <w:sz w:val="21"/>
          <w:szCs w:val="21"/>
          <w:highlight w:val="none"/>
          <w:lang w:eastAsia="zh-CN"/>
        </w:rPr>
        <w:t>以</w:t>
      </w:r>
      <w:r>
        <w:rPr>
          <w:rFonts w:hint="eastAsia" w:ascii="仿宋" w:hAnsi="仿宋" w:eastAsia="仿宋" w:cs="仿宋"/>
          <w:color w:val="auto"/>
          <w:sz w:val="21"/>
          <w:szCs w:val="21"/>
          <w:highlight w:val="none"/>
        </w:rPr>
        <w:t>网上公布的时间内登录云南省公共资源交易信息网（地址：</w:t>
      </w:r>
      <w:r>
        <w:rPr>
          <w:rFonts w:hint="eastAsia" w:ascii="仿宋" w:hAnsi="仿宋" w:eastAsia="仿宋" w:cs="仿宋"/>
          <w:bCs/>
          <w:color w:val="auto"/>
          <w:sz w:val="21"/>
          <w:szCs w:val="21"/>
          <w:highlight w:val="none"/>
        </w:rPr>
        <w:t>https://ggzy.yn.gov.cn</w:t>
      </w:r>
      <w:r>
        <w:rPr>
          <w:rFonts w:hint="eastAsia" w:ascii="仿宋" w:hAnsi="仿宋" w:eastAsia="仿宋" w:cs="仿宋"/>
          <w:color w:val="auto"/>
          <w:sz w:val="21"/>
          <w:szCs w:val="21"/>
          <w:highlight w:val="none"/>
        </w:rPr>
        <w:t>）选择“</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”进入</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公共资源交易电子服务系统</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凭企业数字证书（CA）在网上获取电子招标文件（格式为*.BZBJ）及其他招标资料。未办理企业数字证书（CA）的企业需要按照云南省公共资源交易电子认证的要求，办理企业数字证书（CA），并在</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公共资源交易电子服务系统完成注册通过后，便可免费获取电子招标文件，此为获取招标文件的唯一途径。交易平台技术支持服务电话：010-86483801；在线服务QQ：4009618998。</w:t>
      </w:r>
    </w:p>
    <w:p>
      <w:pPr>
        <w:pageBreakBefore w:val="0"/>
        <w:kinsoku/>
        <w:overflowPunct/>
        <w:topLinePunct w:val="0"/>
        <w:bidi w:val="0"/>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.2招标文件及其它招标资料（电子招标文件格式为*.BZBJ等）供投标人下载使用。</w:t>
      </w:r>
    </w:p>
    <w:p>
      <w:pPr>
        <w:pStyle w:val="4"/>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bookmarkStart w:id="35" w:name="_Toc118890979"/>
      <w:bookmarkStart w:id="36" w:name="_Toc10005"/>
      <w:bookmarkStart w:id="37" w:name="_Toc16381"/>
      <w:r>
        <w:rPr>
          <w:rFonts w:hint="eastAsia" w:ascii="仿宋" w:hAnsi="仿宋" w:eastAsia="仿宋" w:cs="仿宋"/>
          <w:color w:val="auto"/>
          <w:sz w:val="21"/>
          <w:szCs w:val="21"/>
          <w:highlight w:val="none"/>
        </w:rPr>
        <w:t>6.投标文件的递交</w:t>
      </w:r>
      <w:bookmarkEnd w:id="33"/>
      <w:bookmarkEnd w:id="34"/>
      <w:bookmarkEnd w:id="35"/>
      <w:bookmarkEnd w:id="36"/>
      <w:bookmarkEnd w:id="37"/>
    </w:p>
    <w:p>
      <w:pPr>
        <w:pageBreakBefore w:val="0"/>
        <w:shd w:val="clear" w:color="auto" w:fill="auto"/>
        <w:kinsoku/>
        <w:overflowPunct/>
        <w:topLinePunct w:val="0"/>
        <w:autoSpaceDE/>
        <w:autoSpaceDN/>
        <w:bidi w:val="0"/>
        <w:adjustRightInd w:val="0"/>
        <w:snapToGrid w:val="0"/>
        <w:spacing w:line="360" w:lineRule="auto"/>
        <w:ind w:firstLine="422" w:firstLineChars="200"/>
        <w:textAlignment w:val="auto"/>
        <w:rPr>
          <w:rFonts w:hint="eastAsia" w:ascii="仿宋" w:hAnsi="仿宋" w:eastAsia="仿宋" w:cs="仿宋"/>
          <w:b/>
          <w:bCs/>
          <w:color w:val="auto"/>
          <w:sz w:val="21"/>
          <w:szCs w:val="21"/>
          <w:highlight w:val="none"/>
          <w:lang w:val="en-US" w:eastAsia="zh-CN"/>
        </w:rPr>
      </w:pPr>
      <w:bookmarkStart w:id="38" w:name="_Toc462233420"/>
      <w:bookmarkStart w:id="39" w:name="_Toc459149849"/>
      <w:r>
        <w:rPr>
          <w:rFonts w:hint="eastAsia" w:ascii="仿宋" w:hAnsi="仿宋" w:eastAsia="仿宋" w:cs="仿宋"/>
          <w:b/>
          <w:bCs/>
          <w:color w:val="auto"/>
          <w:sz w:val="21"/>
          <w:szCs w:val="21"/>
          <w:highlight w:val="none"/>
          <w:lang w:val="en-US" w:eastAsia="zh-CN"/>
        </w:rPr>
        <w:t>6</w:t>
      </w:r>
      <w:r>
        <w:rPr>
          <w:rFonts w:hint="eastAsia" w:ascii="仿宋" w:hAnsi="仿宋" w:eastAsia="仿宋" w:cs="仿宋"/>
          <w:b/>
          <w:bCs/>
          <w:color w:val="auto"/>
          <w:sz w:val="21"/>
          <w:szCs w:val="21"/>
          <w:highlight w:val="none"/>
        </w:rPr>
        <w:t xml:space="preserve">.1 </w:t>
      </w:r>
      <w:r>
        <w:rPr>
          <w:rFonts w:hint="eastAsia" w:ascii="仿宋" w:hAnsi="仿宋" w:eastAsia="仿宋" w:cs="仿宋"/>
          <w:b/>
          <w:bCs/>
          <w:color w:val="auto"/>
          <w:sz w:val="21"/>
          <w:szCs w:val="21"/>
          <w:highlight w:val="none"/>
          <w:lang w:val="en-US" w:eastAsia="zh-CN"/>
        </w:rPr>
        <w:t>投标文件递交截止时间</w:t>
      </w:r>
    </w:p>
    <w:p>
      <w:pPr>
        <w:pageBreakBefore w:val="0"/>
        <w:shd w:val="clear" w:color="auto" w:fill="auto"/>
        <w:kinsoku/>
        <w:overflowPunct/>
        <w:topLinePunct w:val="0"/>
        <w:autoSpaceDE/>
        <w:autoSpaceDN/>
        <w:bidi w:val="0"/>
        <w:adjustRightInd w:val="0"/>
        <w:snapToGrid w:val="0"/>
        <w:spacing w:line="360" w:lineRule="auto"/>
        <w:ind w:firstLine="422" w:firstLineChars="200"/>
        <w:textAlignment w:val="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投标文件上传的截止时间（投标截止时间，下同</w:t>
      </w:r>
      <w:r>
        <w:rPr>
          <w:rFonts w:hint="eastAsia" w:ascii="仿宋" w:hAnsi="仿宋" w:eastAsia="仿宋" w:cs="仿宋"/>
          <w:b/>
          <w:bCs/>
          <w:color w:val="auto"/>
          <w:sz w:val="21"/>
          <w:szCs w:val="21"/>
          <w:highlight w:val="none"/>
          <w:shd w:val="clear" w:color="auto" w:fill="auto"/>
        </w:rPr>
        <w:t>）：</w:t>
      </w:r>
      <w:r>
        <w:rPr>
          <w:rFonts w:hint="eastAsia" w:ascii="仿宋" w:hAnsi="仿宋" w:eastAsia="仿宋" w:cs="仿宋"/>
          <w:b/>
          <w:bCs/>
          <w:color w:val="auto"/>
          <w:sz w:val="21"/>
          <w:szCs w:val="21"/>
          <w:highlight w:val="none"/>
          <w:u w:val="none"/>
          <w:shd w:val="clear" w:color="auto" w:fill="auto"/>
          <w:lang w:eastAsia="zh-CN"/>
        </w:rPr>
        <w:t>以网上公布时间为准</w:t>
      </w:r>
      <w:r>
        <w:rPr>
          <w:rFonts w:hint="eastAsia" w:ascii="仿宋" w:hAnsi="仿宋" w:eastAsia="仿宋" w:cs="仿宋"/>
          <w:color w:val="auto"/>
          <w:sz w:val="21"/>
          <w:szCs w:val="21"/>
          <w:highlight w:val="none"/>
        </w:rPr>
        <w:t>。</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.2开标地点：</w:t>
      </w:r>
      <w:r>
        <w:rPr>
          <w:rFonts w:hint="eastAsia" w:ascii="仿宋" w:hAnsi="仿宋" w:eastAsia="仿宋" w:cs="仿宋"/>
          <w:color w:val="auto"/>
          <w:sz w:val="21"/>
          <w:szCs w:val="21"/>
          <w:highlight w:val="none"/>
          <w:lang w:eastAsia="zh-CN"/>
        </w:rPr>
        <w:t>牟定</w:t>
      </w:r>
      <w:r>
        <w:rPr>
          <w:rFonts w:hint="eastAsia" w:ascii="仿宋" w:hAnsi="仿宋" w:eastAsia="仿宋" w:cs="仿宋"/>
          <w:color w:val="auto"/>
          <w:sz w:val="21"/>
          <w:szCs w:val="21"/>
          <w:highlight w:val="none"/>
        </w:rPr>
        <w:t>县公共资源交易中心开标厅。</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.3网上递交：投标人须在投标截止时间前登录云南省公共资源交易中心（地址：</w:t>
      </w:r>
      <w:r>
        <w:rPr>
          <w:rFonts w:hint="eastAsia" w:ascii="仿宋" w:hAnsi="仿宋" w:eastAsia="仿宋" w:cs="仿宋"/>
          <w:bCs/>
          <w:color w:val="auto"/>
          <w:sz w:val="21"/>
          <w:szCs w:val="21"/>
          <w:highlight w:val="none"/>
        </w:rPr>
        <w:t>https://ggzy.yn.gov.cn</w:t>
      </w:r>
      <w:r>
        <w:rPr>
          <w:rFonts w:hint="eastAsia" w:ascii="仿宋" w:hAnsi="仿宋" w:eastAsia="仿宋" w:cs="仿宋"/>
          <w:color w:val="auto"/>
          <w:sz w:val="21"/>
          <w:szCs w:val="21"/>
          <w:highlight w:val="none"/>
        </w:rPr>
        <w:t>）选择“</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”进入</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公共资源交易电子服务系统，完成所有电子投标文件的上传，网上确认电子签名，并打印“上传投标文件回执”，投标截止时间前未完成投标文件传输的，视为撤回投标文件（如因修改重新上传投标文件后，需再次确认并打印回执）。</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 xml:space="preserve">.4 </w:t>
      </w:r>
      <w:r>
        <w:rPr>
          <w:rFonts w:hint="eastAsia" w:ascii="仿宋" w:hAnsi="仿宋" w:eastAsia="仿宋" w:cs="仿宋"/>
          <w:color w:val="auto"/>
          <w:kern w:val="0"/>
          <w:sz w:val="21"/>
          <w:szCs w:val="21"/>
          <w:u w:val="single"/>
        </w:rPr>
        <w:t>开标方式：采用网上开标远程解密方式。</w:t>
      </w:r>
    </w:p>
    <w:p>
      <w:pPr>
        <w:keepNext w:val="0"/>
        <w:keepLines w:val="0"/>
        <w:pageBreakBefore w:val="0"/>
        <w:widowControl w:val="0"/>
        <w:kinsoku/>
        <w:wordWrap/>
        <w:overflowPunct/>
        <w:topLinePunct w:val="0"/>
        <w:autoSpaceDE/>
        <w:autoSpaceDN/>
        <w:bidi w:val="0"/>
        <w:adjustRightInd/>
        <w:snapToGrid w:val="0"/>
        <w:spacing w:line="336" w:lineRule="auto"/>
        <w:ind w:firstLine="420" w:firstLineChars="200"/>
        <w:textAlignment w:val="auto"/>
        <w:rPr>
          <w:rFonts w:hint="eastAsia" w:ascii="仿宋" w:hAnsi="仿宋" w:eastAsia="仿宋" w:cs="仿宋"/>
          <w:color w:val="auto"/>
          <w:sz w:val="21"/>
          <w:szCs w:val="21"/>
          <w:lang w:val="zh-CN"/>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.4.1</w:t>
      </w:r>
      <w:r>
        <w:rPr>
          <w:rFonts w:hint="eastAsia" w:ascii="仿宋" w:hAnsi="仿宋" w:eastAsia="仿宋" w:cs="仿宋"/>
          <w:color w:val="auto"/>
          <w:sz w:val="21"/>
          <w:szCs w:val="21"/>
          <w:lang w:val="zh-CN"/>
        </w:rPr>
        <w:t>开标时投标单位无须到现场出席开标会。各投标单位对上传的相关证件及证明资料真实性负责(确保上传的相关资料清晰可辨，如评标过程中，评标委员会无法辨别影响评标的，责任由投标人自行承担），如发现提供虚假材料的，一经查实取消投标资格，并依据相关法律法规进行处罚；在到达开标时间之后投标人自行登录云南省公共资源交易信息网（网址：</w:t>
      </w:r>
      <w:r>
        <w:rPr>
          <w:rFonts w:hint="eastAsia" w:ascii="仿宋" w:hAnsi="仿宋" w:eastAsia="仿宋" w:cs="仿宋"/>
          <w:bCs/>
          <w:color w:val="auto"/>
          <w:sz w:val="21"/>
          <w:szCs w:val="21"/>
          <w:highlight w:val="none"/>
        </w:rPr>
        <w:t>https://ggzy.yn.gov.cn</w:t>
      </w:r>
      <w:r>
        <w:rPr>
          <w:rFonts w:hint="eastAsia" w:ascii="仿宋" w:hAnsi="仿宋" w:eastAsia="仿宋" w:cs="仿宋"/>
          <w:color w:val="auto"/>
          <w:sz w:val="21"/>
          <w:szCs w:val="21"/>
          <w:lang w:val="zh-CN"/>
        </w:rPr>
        <w:t>）选择“楚雄州”，点击【智能开标系统】，进入网上开标大厅，至投标截止时间后方能找到对应项目，点击项目后方的【进入】按钮进入开标室页面，进行系统自动签到(温馨提示：登录及电子签名时需要用企业CA锁，解密时需要用投标文件加密的CA锁，为了不频繁更换CA锁影响解密及签名确认，故建议投标文件加密时采用企业CA锁进行加密）；</w:t>
      </w:r>
    </w:p>
    <w:p>
      <w:pPr>
        <w:keepNext w:val="0"/>
        <w:keepLines w:val="0"/>
        <w:pageBreakBefore w:val="0"/>
        <w:widowControl w:val="0"/>
        <w:kinsoku/>
        <w:wordWrap/>
        <w:overflowPunct/>
        <w:topLinePunct w:val="0"/>
        <w:autoSpaceDE/>
        <w:autoSpaceDN/>
        <w:bidi w:val="0"/>
        <w:adjustRightInd/>
        <w:snapToGrid w:val="0"/>
        <w:spacing w:line="336" w:lineRule="auto"/>
        <w:ind w:firstLine="420" w:firstLineChars="200"/>
        <w:textAlignment w:val="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lang w:val="zh-CN"/>
        </w:rPr>
        <w:t>.</w:t>
      </w: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lang w:val="zh-CN"/>
        </w:rPr>
        <w:t>.2开标系统下达网上解密指令后，投标单位点击上方【网上解密】进入网上解密界面，各投标单位必须在系统下达的时间内完成解密工作；</w:t>
      </w:r>
    </w:p>
    <w:p>
      <w:pPr>
        <w:keepNext w:val="0"/>
        <w:keepLines w:val="0"/>
        <w:pageBreakBefore w:val="0"/>
        <w:widowControl w:val="0"/>
        <w:kinsoku/>
        <w:wordWrap/>
        <w:overflowPunct/>
        <w:topLinePunct w:val="0"/>
        <w:autoSpaceDE/>
        <w:autoSpaceDN/>
        <w:bidi w:val="0"/>
        <w:adjustRightInd/>
        <w:snapToGrid w:val="0"/>
        <w:spacing w:line="336" w:lineRule="auto"/>
        <w:ind w:firstLine="420" w:firstLineChars="200"/>
        <w:textAlignment w:val="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lang w:val="zh-CN"/>
        </w:rPr>
        <w:t>.</w:t>
      </w: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lang w:val="zh-CN"/>
        </w:rPr>
        <w:t>.3开标过程中，待全部投标单位解密成功唱标后投标单位如有问题，在系统默认3分钟内在线发起异议，点击右上角的【提出异议】按钮，填写异议详细内容之后进行提交，由招标人(招标代理机构）给予对应的回复，开标结果无须签名确认；</w:t>
      </w:r>
    </w:p>
    <w:p>
      <w:pPr>
        <w:keepNext w:val="0"/>
        <w:keepLines w:val="0"/>
        <w:pageBreakBefore w:val="0"/>
        <w:widowControl w:val="0"/>
        <w:kinsoku/>
        <w:wordWrap/>
        <w:overflowPunct/>
        <w:topLinePunct w:val="0"/>
        <w:autoSpaceDE/>
        <w:autoSpaceDN/>
        <w:bidi w:val="0"/>
        <w:adjustRightInd/>
        <w:snapToGrid w:val="0"/>
        <w:spacing w:line="336" w:lineRule="auto"/>
        <w:ind w:firstLine="420" w:firstLineChars="200"/>
        <w:textAlignment w:val="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lang w:val="zh-CN"/>
        </w:rPr>
        <w:t>.</w:t>
      </w: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lang w:val="zh-CN"/>
        </w:rPr>
        <w:t>.4各投标人应当提前熟悉和掌握网上开标远程解密详细操作，操作步骤可登录云南省公共资源交易中心在线培训与考核系统选择投标人，自行学习《云南省公共资源交易电子化平台智能开标系统培训教材》；</w:t>
      </w:r>
    </w:p>
    <w:p>
      <w:pPr>
        <w:keepNext w:val="0"/>
        <w:keepLines w:val="0"/>
        <w:pageBreakBefore w:val="0"/>
        <w:widowControl w:val="0"/>
        <w:kinsoku/>
        <w:wordWrap/>
        <w:overflowPunct/>
        <w:topLinePunct w:val="0"/>
        <w:autoSpaceDE/>
        <w:autoSpaceDN/>
        <w:bidi w:val="0"/>
        <w:adjustRightInd/>
        <w:snapToGrid w:val="0"/>
        <w:spacing w:line="336" w:lineRule="auto"/>
        <w:ind w:firstLine="420" w:firstLineChars="200"/>
        <w:textAlignment w:val="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lang w:val="zh-CN"/>
        </w:rPr>
        <w:t>.</w:t>
      </w: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lang w:val="zh-CN"/>
        </w:rPr>
        <w:t>.5开标当天投标人无法正常登录系统、无法正常解密的，应及时联系筑龙客服说明问题并请求远程协助检查确认问题，同时联系招标人(招标代理机构）说明情况；</w:t>
      </w:r>
    </w:p>
    <w:p>
      <w:pPr>
        <w:keepNext w:val="0"/>
        <w:keepLines w:val="0"/>
        <w:pageBreakBefore w:val="0"/>
        <w:widowControl w:val="0"/>
        <w:kinsoku/>
        <w:wordWrap/>
        <w:overflowPunct/>
        <w:topLinePunct w:val="0"/>
        <w:autoSpaceDE/>
        <w:autoSpaceDN/>
        <w:bidi w:val="0"/>
        <w:adjustRightInd/>
        <w:snapToGrid w:val="0"/>
        <w:spacing w:line="336" w:lineRule="auto"/>
        <w:ind w:firstLine="420" w:firstLineChars="200"/>
        <w:textAlignment w:val="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lang w:val="zh-CN"/>
        </w:rPr>
        <w:t>.</w:t>
      </w: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lang w:val="zh-CN"/>
        </w:rPr>
        <w:t>.6有关电子化远程解密网上开标未尽事宜，按照《楚雄州公共资源交易管理局关于印发楚雄州公共资源交易电子化远程解密网上开标管理制度的通知》执行。</w:t>
      </w:r>
    </w:p>
    <w:p>
      <w:pPr>
        <w:keepNext w:val="0"/>
        <w:keepLines w:val="0"/>
        <w:pageBreakBefore w:val="0"/>
        <w:widowControl w:val="0"/>
        <w:kinsoku/>
        <w:wordWrap/>
        <w:overflowPunct/>
        <w:topLinePunct w:val="0"/>
        <w:autoSpaceDE/>
        <w:autoSpaceDN/>
        <w:bidi w:val="0"/>
        <w:adjustRightInd/>
        <w:snapToGrid w:val="0"/>
        <w:spacing w:line="336"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lang w:val="en-US" w:eastAsia="zh-CN"/>
        </w:rPr>
        <w:t>6.4.7提出异议的渠道：鼓励异议及投诉通过线上方式进行，也可采用线下纸质方式进行。根据系统功能和要求，直接参与具体项目交易的投标人线上异议及投诉，使用CA数字证书通过全国公共资源交易平台（云南省)暨云南省公共资源交易信息网“投标人”模块进行提交，其他利害关系人通过全国公共资源交易平台（云南省）暨云南省公共资源交易信息网“交易监督”模块进行提交。</w:t>
      </w:r>
    </w:p>
    <w:p>
      <w:pPr>
        <w:pStyle w:val="4"/>
        <w:pageBreakBefore w:val="0"/>
        <w:kinsoku/>
        <w:overflowPunct/>
        <w:topLinePunct w:val="0"/>
        <w:bidi w:val="0"/>
        <w:spacing w:before="0" w:after="0" w:line="360" w:lineRule="auto"/>
        <w:textAlignment w:val="auto"/>
        <w:rPr>
          <w:rFonts w:hint="eastAsia" w:ascii="仿宋" w:hAnsi="仿宋" w:eastAsia="仿宋" w:cs="仿宋"/>
          <w:b w:val="0"/>
          <w:color w:val="auto"/>
          <w:sz w:val="21"/>
          <w:szCs w:val="21"/>
          <w:highlight w:val="none"/>
        </w:rPr>
      </w:pPr>
      <w:bookmarkStart w:id="40" w:name="_Toc118890980"/>
      <w:bookmarkStart w:id="41" w:name="_Toc3499"/>
      <w:bookmarkStart w:id="42" w:name="_Toc12620"/>
      <w:r>
        <w:rPr>
          <w:rFonts w:hint="eastAsia" w:ascii="仿宋" w:hAnsi="仿宋" w:eastAsia="仿宋" w:cs="仿宋"/>
          <w:color w:val="auto"/>
          <w:sz w:val="21"/>
          <w:szCs w:val="21"/>
          <w:highlight w:val="none"/>
        </w:rPr>
        <w:t>7.招标公告发布媒体</w:t>
      </w:r>
      <w:bookmarkEnd w:id="38"/>
      <w:bookmarkEnd w:id="39"/>
      <w:bookmarkEnd w:id="40"/>
      <w:bookmarkEnd w:id="41"/>
      <w:bookmarkEnd w:id="42"/>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bookmarkStart w:id="43" w:name="_Toc459149850"/>
      <w:bookmarkStart w:id="44" w:name="_Toc462233421"/>
      <w:r>
        <w:rPr>
          <w:rFonts w:hint="eastAsia" w:ascii="仿宋" w:hAnsi="仿宋" w:eastAsia="仿宋" w:cs="仿宋"/>
          <w:color w:val="auto"/>
          <w:sz w:val="21"/>
          <w:szCs w:val="21"/>
          <w:highlight w:val="none"/>
        </w:rPr>
        <w:t>本次招标公告在云南省公共资源交易信息网（https://ggzy.yn.gov.cn）上发布，招标人及招标代理机构对其他网站发布的公告内容不承担任何责任。</w:t>
      </w:r>
    </w:p>
    <w:p>
      <w:pPr>
        <w:pStyle w:val="4"/>
        <w:pageBreakBefore w:val="0"/>
        <w:kinsoku/>
        <w:overflowPunct/>
        <w:topLinePunct w:val="0"/>
        <w:bidi w:val="0"/>
        <w:spacing w:before="0" w:after="0" w:line="360" w:lineRule="auto"/>
        <w:textAlignment w:val="auto"/>
        <w:rPr>
          <w:rFonts w:hint="eastAsia" w:ascii="仿宋" w:hAnsi="仿宋" w:eastAsia="仿宋" w:cs="仿宋"/>
          <w:b w:val="0"/>
          <w:color w:val="auto"/>
          <w:sz w:val="21"/>
          <w:szCs w:val="21"/>
          <w:highlight w:val="none"/>
        </w:rPr>
      </w:pPr>
      <w:bookmarkStart w:id="45" w:name="_Toc17537"/>
      <w:bookmarkStart w:id="46" w:name="_Toc118890981"/>
      <w:bookmarkStart w:id="47" w:name="_Toc30061"/>
      <w:r>
        <w:rPr>
          <w:rFonts w:hint="eastAsia" w:ascii="仿宋" w:hAnsi="仿宋" w:eastAsia="仿宋" w:cs="仿宋"/>
          <w:color w:val="auto"/>
          <w:sz w:val="21"/>
          <w:szCs w:val="21"/>
          <w:highlight w:val="none"/>
        </w:rPr>
        <w:t>8.联系方式</w:t>
      </w:r>
      <w:bookmarkEnd w:id="43"/>
      <w:bookmarkEnd w:id="44"/>
      <w:bookmarkEnd w:id="45"/>
      <w:bookmarkEnd w:id="46"/>
      <w:bookmarkEnd w:id="47"/>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lang w:eastAsia="zh-CN"/>
        </w:rPr>
      </w:pPr>
      <w:bookmarkStart w:id="48" w:name="_Hlk106627164"/>
      <w:bookmarkStart w:id="49" w:name="_Hlk106096815"/>
      <w:r>
        <w:rPr>
          <w:rFonts w:hint="eastAsia" w:ascii="仿宋" w:hAnsi="仿宋" w:eastAsia="仿宋" w:cs="仿宋"/>
          <w:color w:val="auto"/>
          <w:sz w:val="21"/>
          <w:szCs w:val="21"/>
          <w:highlight w:val="none"/>
        </w:rPr>
        <w:t>招标人：</w:t>
      </w:r>
      <w:r>
        <w:rPr>
          <w:rFonts w:hint="eastAsia" w:ascii="仿宋" w:hAnsi="仿宋" w:eastAsia="仿宋" w:cs="仿宋"/>
          <w:color w:val="auto"/>
          <w:sz w:val="21"/>
          <w:szCs w:val="21"/>
          <w:highlight w:val="none"/>
          <w:lang w:eastAsia="zh-CN"/>
        </w:rPr>
        <w:t>牟定县农业农村局</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地  址：</w:t>
      </w:r>
      <w:r>
        <w:rPr>
          <w:rFonts w:hint="eastAsia" w:ascii="仿宋" w:hAnsi="仿宋" w:eastAsia="仿宋" w:cs="仿宋"/>
          <w:color w:val="auto"/>
          <w:sz w:val="21"/>
          <w:szCs w:val="21"/>
          <w:highlight w:val="none"/>
          <w:lang w:val="en-US" w:eastAsia="zh-CN"/>
        </w:rPr>
        <w:t>云南省楚雄彝族自治州牟定县共和镇白塔路110号</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联系人</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杨勇</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联系电话：13577816602</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招标代理机构：</w:t>
      </w:r>
      <w:r>
        <w:rPr>
          <w:rFonts w:hint="eastAsia" w:ascii="仿宋" w:hAnsi="仿宋" w:eastAsia="仿宋" w:cs="仿宋"/>
          <w:color w:val="auto"/>
          <w:sz w:val="21"/>
          <w:szCs w:val="21"/>
          <w:highlight w:val="none"/>
          <w:lang w:eastAsia="zh-CN"/>
        </w:rPr>
        <w:t>云南谦亚工程项目管理有限公司</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rPr>
        <w:t>地  址</w:t>
      </w:r>
      <w:r>
        <w:rPr>
          <w:rFonts w:hint="eastAsia" w:ascii="仿宋" w:hAnsi="仿宋" w:eastAsia="仿宋" w:cs="仿宋"/>
          <w:color w:val="auto"/>
          <w:sz w:val="21"/>
          <w:szCs w:val="21"/>
          <w:highlight w:val="none"/>
          <w:lang w:eastAsia="zh-CN"/>
        </w:rPr>
        <w:t>：昆明市五华区小康大道东侧德润春城花园16号楼23层2314号</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联系人：</w:t>
      </w:r>
      <w:r>
        <w:rPr>
          <w:rFonts w:hint="eastAsia" w:ascii="仿宋" w:hAnsi="仿宋" w:eastAsia="仿宋" w:cs="仿宋"/>
          <w:color w:val="auto"/>
          <w:sz w:val="21"/>
          <w:szCs w:val="21"/>
          <w:highlight w:val="none"/>
          <w:lang w:eastAsia="zh-CN"/>
        </w:rPr>
        <w:t>卢兴芬、陆婷、程华、金春华、余建超、李发秋、王甜</w:t>
      </w:r>
    </w:p>
    <w:p>
      <w:pPr>
        <w:pageBreakBefore w:val="0"/>
        <w:kinsoku/>
        <w:overflowPunct/>
        <w:topLinePunct w:val="0"/>
        <w:bidi w:val="0"/>
        <w:spacing w:line="360" w:lineRule="auto"/>
        <w:ind w:firstLine="420" w:firstLineChars="200"/>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联系电话：</w:t>
      </w:r>
      <w:r>
        <w:rPr>
          <w:rFonts w:hint="eastAsia" w:ascii="仿宋" w:hAnsi="仿宋" w:eastAsia="仿宋" w:cs="仿宋"/>
          <w:color w:val="auto"/>
          <w:sz w:val="21"/>
          <w:szCs w:val="21"/>
          <w:highlight w:val="none"/>
          <w:lang w:val="en-US" w:eastAsia="zh-CN"/>
        </w:rPr>
        <w:t>18288719391</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lang w:val="en-US" w:eastAsia="zh-CN"/>
        </w:rPr>
      </w:pPr>
    </w:p>
    <w:bookmarkEnd w:id="48"/>
    <w:bookmarkEnd w:id="49"/>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行政监督部门：牟定县农业农村局</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联 系  方 式：13577816602</w:t>
      </w:r>
    </w:p>
    <w:p>
      <w:pPr>
        <w:pStyle w:val="21"/>
        <w:pageBreakBefore w:val="0"/>
        <w:kinsoku/>
        <w:overflowPunct/>
        <w:topLinePunct w:val="0"/>
        <w:bidi w:val="0"/>
        <w:spacing w:line="360" w:lineRule="auto"/>
        <w:textAlignment w:val="auto"/>
        <w:rPr>
          <w:rFonts w:hint="eastAsia" w:ascii="仿宋" w:hAnsi="仿宋" w:eastAsia="仿宋" w:cs="仿宋"/>
          <w:bCs/>
          <w:color w:val="auto"/>
          <w:sz w:val="21"/>
          <w:szCs w:val="21"/>
          <w:highlight w:val="none"/>
        </w:rPr>
      </w:pPr>
    </w:p>
    <w:p>
      <w:pPr>
        <w:pStyle w:val="37"/>
        <w:pageBreakBefore w:val="0"/>
        <w:kinsoku/>
        <w:overflowPunct/>
        <w:topLinePunct w:val="0"/>
        <w:bidi w:val="0"/>
        <w:spacing w:line="360" w:lineRule="auto"/>
        <w:textAlignment w:val="auto"/>
        <w:outlineLvl w:val="9"/>
        <w:rPr>
          <w:rFonts w:hint="eastAsia" w:ascii="仿宋" w:hAnsi="仿宋" w:eastAsia="仿宋" w:cs="仿宋"/>
          <w:bCs/>
          <w:color w:val="auto"/>
          <w:sz w:val="21"/>
          <w:szCs w:val="21"/>
          <w:highlight w:val="none"/>
        </w:rPr>
      </w:pPr>
    </w:p>
    <w:p>
      <w:pPr>
        <w:pageBreakBefore w:val="0"/>
        <w:kinsoku/>
        <w:overflowPunct/>
        <w:topLinePunct w:val="0"/>
        <w:bidi w:val="0"/>
        <w:spacing w:line="360" w:lineRule="auto"/>
        <w:textAlignment w:val="auto"/>
        <w:rPr>
          <w:rFonts w:hint="eastAsia" w:ascii="仿宋" w:hAnsi="仿宋" w:eastAsia="仿宋" w:cs="仿宋"/>
          <w:color w:val="auto"/>
          <w:highlight w:val="none"/>
          <w:lang w:val="en-US" w:eastAsia="zh-CN"/>
        </w:rPr>
      </w:pPr>
    </w:p>
    <w:bookmarkEnd w:id="4"/>
    <w:bookmarkEnd w:id="10"/>
    <w:p>
      <w:pPr>
        <w:pageBreakBefore w:val="0"/>
        <w:kinsoku/>
        <w:overflowPunct/>
        <w:topLinePunct w:val="0"/>
        <w:bidi w:val="0"/>
        <w:spacing w:line="360" w:lineRule="auto"/>
        <w:textAlignment w:val="auto"/>
        <w:rPr>
          <w:rFonts w:hint="eastAsia" w:ascii="仿宋" w:hAnsi="仿宋" w:eastAsia="仿宋" w:cs="仿宋"/>
          <w:color w:val="auto"/>
          <w:highlight w:val="none"/>
        </w:rPr>
      </w:pPr>
      <w:bookmarkStart w:id="50" w:name="_Toc11243"/>
      <w:r>
        <w:rPr>
          <w:rFonts w:hint="eastAsia" w:ascii="仿宋" w:hAnsi="仿宋" w:eastAsia="仿宋" w:cs="仿宋"/>
          <w:color w:val="auto"/>
          <w:highlight w:val="none"/>
        </w:rPr>
        <w:br w:type="page"/>
      </w:r>
    </w:p>
    <w:p>
      <w:pPr>
        <w:pStyle w:val="3"/>
        <w:pageBreakBefore w:val="0"/>
        <w:kinsoku/>
        <w:overflowPunct/>
        <w:topLinePunct w:val="0"/>
        <w:bidi w:val="0"/>
        <w:spacing w:before="240" w:beforeLines="100" w:after="0" w:line="360" w:lineRule="auto"/>
        <w:jc w:val="center"/>
        <w:textAlignment w:val="auto"/>
        <w:rPr>
          <w:rFonts w:hint="eastAsia" w:ascii="仿宋" w:hAnsi="仿宋" w:eastAsia="仿宋" w:cs="仿宋"/>
          <w:color w:val="auto"/>
          <w:sz w:val="30"/>
          <w:szCs w:val="30"/>
          <w:highlight w:val="none"/>
        </w:rPr>
      </w:pPr>
      <w:bookmarkStart w:id="51" w:name="_Toc21679"/>
      <w:r>
        <w:rPr>
          <w:rFonts w:hint="eastAsia" w:ascii="仿宋" w:hAnsi="仿宋" w:eastAsia="仿宋" w:cs="仿宋"/>
          <w:color w:val="auto"/>
          <w:highlight w:val="none"/>
        </w:rPr>
        <w:t>第二章  投标人须知</w:t>
      </w:r>
      <w:bookmarkEnd w:id="11"/>
      <w:bookmarkEnd w:id="12"/>
      <w:bookmarkEnd w:id="50"/>
      <w:bookmarkEnd w:id="51"/>
    </w:p>
    <w:p>
      <w:pPr>
        <w:pStyle w:val="4"/>
        <w:pageBreakBefore w:val="0"/>
        <w:kinsoku/>
        <w:overflowPunct/>
        <w:topLinePunct w:val="0"/>
        <w:bidi w:val="0"/>
        <w:spacing w:before="120" w:beforeLines="50" w:after="0" w:line="360" w:lineRule="auto"/>
        <w:jc w:val="center"/>
        <w:textAlignment w:val="auto"/>
        <w:rPr>
          <w:rFonts w:hint="eastAsia" w:ascii="仿宋" w:hAnsi="仿宋" w:eastAsia="仿宋" w:cs="仿宋"/>
          <w:color w:val="auto"/>
          <w:sz w:val="30"/>
          <w:szCs w:val="30"/>
          <w:highlight w:val="none"/>
        </w:rPr>
      </w:pPr>
      <w:bookmarkStart w:id="52" w:name="_Toc429155360"/>
      <w:bookmarkStart w:id="53" w:name="_Toc6276"/>
      <w:bookmarkStart w:id="54" w:name="_Toc229583199"/>
      <w:bookmarkStart w:id="55" w:name="_Toc20803"/>
      <w:r>
        <w:rPr>
          <w:rFonts w:hint="eastAsia" w:ascii="仿宋" w:hAnsi="仿宋" w:eastAsia="仿宋" w:cs="仿宋"/>
          <w:color w:val="auto"/>
          <w:sz w:val="30"/>
          <w:szCs w:val="30"/>
          <w:highlight w:val="none"/>
        </w:rPr>
        <w:t>投标须知前附表</w:t>
      </w:r>
      <w:bookmarkEnd w:id="52"/>
      <w:bookmarkEnd w:id="53"/>
      <w:bookmarkEnd w:id="54"/>
      <w:bookmarkEnd w:id="55"/>
    </w:p>
    <w:tbl>
      <w:tblPr>
        <w:tblStyle w:val="56"/>
        <w:tblW w:w="952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
        <w:gridCol w:w="1538"/>
        <w:gridCol w:w="70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条款号</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条 款 名 称</w:t>
            </w:r>
          </w:p>
        </w:tc>
        <w:tc>
          <w:tcPr>
            <w:tcW w:w="7052" w:type="dxa"/>
            <w:vAlign w:val="center"/>
          </w:tcPr>
          <w:p>
            <w:pPr>
              <w:pageBreakBefore w:val="0"/>
              <w:kinsoku/>
              <w:overflowPunct/>
              <w:topLinePunct w:val="0"/>
              <w:bidi w:val="0"/>
              <w:spacing w:line="360" w:lineRule="auto"/>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9"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1.1.2</w:t>
            </w:r>
          </w:p>
        </w:tc>
        <w:tc>
          <w:tcPr>
            <w:tcW w:w="1538"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招标人</w:t>
            </w:r>
          </w:p>
        </w:tc>
        <w:tc>
          <w:tcPr>
            <w:tcW w:w="7052" w:type="dxa"/>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招标人：</w:t>
            </w:r>
            <w:r>
              <w:rPr>
                <w:rFonts w:hint="eastAsia" w:ascii="仿宋" w:hAnsi="仿宋" w:eastAsia="仿宋" w:cs="仿宋"/>
                <w:color w:val="auto"/>
                <w:sz w:val="21"/>
                <w:szCs w:val="21"/>
                <w:highlight w:val="none"/>
                <w:lang w:eastAsia="zh-CN"/>
              </w:rPr>
              <w:t>牟定县农业农村局</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地  址：</w:t>
            </w:r>
            <w:r>
              <w:rPr>
                <w:rFonts w:hint="eastAsia" w:ascii="仿宋" w:hAnsi="仿宋" w:eastAsia="仿宋" w:cs="仿宋"/>
                <w:color w:val="auto"/>
                <w:sz w:val="21"/>
                <w:szCs w:val="21"/>
                <w:highlight w:val="none"/>
                <w:lang w:val="en-US" w:eastAsia="zh-CN"/>
              </w:rPr>
              <w:t>云南省楚雄彝族自治州牟定县共和镇白塔路110号</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联系人</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杨勇</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联系电话：13577816602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9"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1.1.3</w:t>
            </w:r>
          </w:p>
        </w:tc>
        <w:tc>
          <w:tcPr>
            <w:tcW w:w="1538"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招标代理机构</w:t>
            </w:r>
          </w:p>
        </w:tc>
        <w:tc>
          <w:tcPr>
            <w:tcW w:w="7052" w:type="dxa"/>
            <w:vAlign w:val="center"/>
          </w:tcPr>
          <w:p>
            <w:pPr>
              <w:pageBreakBefore w:val="0"/>
              <w:kinsoku/>
              <w:overflowPunct/>
              <w:topLinePunct w:val="0"/>
              <w:bidi w:val="0"/>
              <w:spacing w:line="360" w:lineRule="auto"/>
              <w:textAlignment w:val="auto"/>
              <w:rPr>
                <w:rFonts w:hint="eastAsia" w:ascii="仿宋" w:hAnsi="仿宋" w:eastAsia="仿宋" w:cs="仿宋"/>
                <w:bCs/>
                <w:color w:val="auto"/>
                <w:sz w:val="21"/>
                <w:szCs w:val="21"/>
                <w:highlight w:val="none"/>
                <w:lang w:eastAsia="zh-CN"/>
              </w:rPr>
            </w:pPr>
            <w:r>
              <w:rPr>
                <w:rFonts w:hint="eastAsia" w:ascii="仿宋" w:hAnsi="仿宋" w:eastAsia="仿宋" w:cs="仿宋"/>
                <w:color w:val="auto"/>
                <w:sz w:val="21"/>
                <w:szCs w:val="21"/>
                <w:highlight w:val="none"/>
              </w:rPr>
              <w:t>招标</w:t>
            </w:r>
            <w:r>
              <w:rPr>
                <w:rFonts w:hint="eastAsia" w:ascii="仿宋" w:hAnsi="仿宋" w:eastAsia="仿宋" w:cs="仿宋"/>
                <w:bCs/>
                <w:color w:val="auto"/>
                <w:sz w:val="21"/>
                <w:szCs w:val="21"/>
                <w:highlight w:val="none"/>
                <w:lang w:eastAsia="zh-CN"/>
              </w:rPr>
              <w:t>代理机构：云南谦亚工程项目管理有限公司</w:t>
            </w:r>
          </w:p>
          <w:p>
            <w:pPr>
              <w:pageBreakBefore w:val="0"/>
              <w:kinsoku/>
              <w:overflowPunct/>
              <w:topLinePunct w:val="0"/>
              <w:bidi w:val="0"/>
              <w:spacing w:line="360" w:lineRule="auto"/>
              <w:textAlignment w:val="auto"/>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地  址：昆明市五华区小康大道东侧德润春城花园16号楼23层2314号</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联系人：</w:t>
            </w:r>
            <w:r>
              <w:rPr>
                <w:rFonts w:hint="eastAsia" w:ascii="仿宋" w:hAnsi="仿宋" w:eastAsia="仿宋" w:cs="仿宋"/>
                <w:color w:val="auto"/>
                <w:sz w:val="21"/>
                <w:szCs w:val="21"/>
                <w:highlight w:val="none"/>
                <w:lang w:eastAsia="zh-CN"/>
              </w:rPr>
              <w:t>卢兴芬、陆婷、程华、金春华、余建超、李发秋、王甜</w:t>
            </w:r>
          </w:p>
          <w:p>
            <w:pPr>
              <w:pageBreakBefore w:val="0"/>
              <w:kinsoku/>
              <w:overflowPunct/>
              <w:topLinePunct w:val="0"/>
              <w:bidi w:val="0"/>
              <w:spacing w:line="360" w:lineRule="auto"/>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电  话：</w:t>
            </w:r>
            <w:r>
              <w:rPr>
                <w:rFonts w:hint="eastAsia" w:ascii="仿宋" w:hAnsi="仿宋" w:eastAsia="仿宋" w:cs="仿宋"/>
                <w:color w:val="auto"/>
                <w:sz w:val="21"/>
                <w:szCs w:val="21"/>
                <w:highlight w:val="none"/>
                <w:lang w:val="en-US" w:eastAsia="zh-CN"/>
              </w:rPr>
              <w:t>18288719391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3" w:hRule="atLeast"/>
          <w:jc w:val="center"/>
        </w:trPr>
        <w:tc>
          <w:tcPr>
            <w:tcW w:w="9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1"/>
                <w:szCs w:val="21"/>
                <w:highlight w:val="none"/>
                <w:lang w:eastAsia="zh-CN"/>
              </w:rPr>
            </w:pPr>
            <w:bookmarkStart w:id="56" w:name="_Hlk56428985"/>
            <w:r>
              <w:rPr>
                <w:rFonts w:hint="eastAsia" w:ascii="仿宋" w:hAnsi="仿宋" w:eastAsia="仿宋" w:cs="仿宋"/>
                <w:color w:val="auto"/>
                <w:sz w:val="21"/>
                <w:szCs w:val="21"/>
                <w:highlight w:val="none"/>
                <w:lang w:eastAsia="zh-CN"/>
              </w:rPr>
              <w:t>1.1.4</w:t>
            </w:r>
          </w:p>
        </w:tc>
        <w:tc>
          <w:tcPr>
            <w:tcW w:w="1538"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项目名称</w:t>
            </w:r>
          </w:p>
        </w:tc>
        <w:tc>
          <w:tcPr>
            <w:tcW w:w="7052" w:type="dxa"/>
            <w:vAlign w:val="center"/>
          </w:tcPr>
          <w:p>
            <w:pPr>
              <w:pageBreakBefore w:val="0"/>
              <w:kinsoku/>
              <w:overflowPunct/>
              <w:topLinePunct w:val="0"/>
              <w:bidi w:val="0"/>
              <w:spacing w:line="360" w:lineRule="auto"/>
              <w:ind w:left="67" w:leftChars="0" w:hanging="67" w:hangingChars="32"/>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牟定县2024年高标准农田建设（专债项目）耕地质量提升采购商品有机肥项目</w:t>
            </w:r>
          </w:p>
        </w:tc>
      </w:tr>
      <w:bookmarkEnd w:id="5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2" w:hRule="atLeast"/>
          <w:jc w:val="center"/>
        </w:trPr>
        <w:tc>
          <w:tcPr>
            <w:tcW w:w="9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1.2.1</w:t>
            </w:r>
          </w:p>
        </w:tc>
        <w:tc>
          <w:tcPr>
            <w:tcW w:w="1538"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资金落实情况</w:t>
            </w:r>
          </w:p>
        </w:tc>
        <w:tc>
          <w:tcPr>
            <w:tcW w:w="705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财政资金，已落实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5" w:hRule="atLeast"/>
          <w:jc w:val="center"/>
        </w:trPr>
        <w:tc>
          <w:tcPr>
            <w:tcW w:w="9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1.2.2</w:t>
            </w:r>
          </w:p>
        </w:tc>
        <w:tc>
          <w:tcPr>
            <w:tcW w:w="1538"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出资比例</w:t>
            </w:r>
          </w:p>
        </w:tc>
        <w:tc>
          <w:tcPr>
            <w:tcW w:w="705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1" w:hRule="atLeast"/>
          <w:jc w:val="center"/>
        </w:trPr>
        <w:tc>
          <w:tcPr>
            <w:tcW w:w="9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1.3.1</w:t>
            </w:r>
          </w:p>
        </w:tc>
        <w:tc>
          <w:tcPr>
            <w:tcW w:w="1538"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供货范围</w:t>
            </w:r>
          </w:p>
        </w:tc>
        <w:tc>
          <w:tcPr>
            <w:tcW w:w="705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详见招标公告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4" w:hRule="atLeast"/>
          <w:jc w:val="center"/>
        </w:trPr>
        <w:tc>
          <w:tcPr>
            <w:tcW w:w="9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1.3.2</w:t>
            </w:r>
          </w:p>
        </w:tc>
        <w:tc>
          <w:tcPr>
            <w:tcW w:w="1538"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标段划分</w:t>
            </w:r>
          </w:p>
        </w:tc>
        <w:tc>
          <w:tcPr>
            <w:tcW w:w="705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本项目只设一个标段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1" w:hRule="atLeast"/>
          <w:jc w:val="center"/>
        </w:trPr>
        <w:tc>
          <w:tcPr>
            <w:tcW w:w="9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1.3.3</w:t>
            </w:r>
          </w:p>
        </w:tc>
        <w:tc>
          <w:tcPr>
            <w:tcW w:w="1538"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供货周期</w:t>
            </w:r>
          </w:p>
        </w:tc>
        <w:tc>
          <w:tcPr>
            <w:tcW w:w="705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详见《招标公告》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8" w:hRule="atLeast"/>
          <w:jc w:val="center"/>
        </w:trPr>
        <w:tc>
          <w:tcPr>
            <w:tcW w:w="9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1.3.4</w:t>
            </w:r>
          </w:p>
        </w:tc>
        <w:tc>
          <w:tcPr>
            <w:tcW w:w="1538"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质量</w:t>
            </w:r>
            <w:r>
              <w:rPr>
                <w:rFonts w:hint="eastAsia" w:ascii="仿宋" w:hAnsi="仿宋" w:eastAsia="仿宋" w:cs="仿宋"/>
                <w:color w:val="auto"/>
                <w:sz w:val="21"/>
                <w:szCs w:val="21"/>
                <w:highlight w:val="none"/>
                <w:lang w:val="en-US" w:eastAsia="zh-CN"/>
              </w:rPr>
              <w:t>要求</w:t>
            </w:r>
          </w:p>
        </w:tc>
        <w:tc>
          <w:tcPr>
            <w:tcW w:w="705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详见《招标公告》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1.4.1</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投标人资格条件</w:t>
            </w:r>
          </w:p>
        </w:tc>
        <w:tc>
          <w:tcPr>
            <w:tcW w:w="705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详见《招标公告》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8" w:hRule="atLeast"/>
          <w:jc w:val="center"/>
        </w:trPr>
        <w:tc>
          <w:tcPr>
            <w:tcW w:w="9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1.4.2</w:t>
            </w:r>
          </w:p>
        </w:tc>
        <w:tc>
          <w:tcPr>
            <w:tcW w:w="1538"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资格审查方式</w:t>
            </w:r>
          </w:p>
        </w:tc>
        <w:tc>
          <w:tcPr>
            <w:tcW w:w="705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资格后审合格制。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1.4.3</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是否接受联合体投标</w:t>
            </w:r>
          </w:p>
        </w:tc>
        <w:tc>
          <w:tcPr>
            <w:tcW w:w="705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 w:hRule="atLeast"/>
          <w:jc w:val="center"/>
        </w:trPr>
        <w:tc>
          <w:tcPr>
            <w:tcW w:w="9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1.9.1</w:t>
            </w:r>
          </w:p>
        </w:tc>
        <w:tc>
          <w:tcPr>
            <w:tcW w:w="1538"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踏勘现场</w:t>
            </w:r>
          </w:p>
        </w:tc>
        <w:tc>
          <w:tcPr>
            <w:tcW w:w="7052" w:type="dxa"/>
            <w:vAlign w:val="center"/>
          </w:tcPr>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踏勘时间：自行安排</w:t>
            </w:r>
          </w:p>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集合地点：自行踏勘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1.10.1</w:t>
            </w:r>
          </w:p>
        </w:tc>
        <w:tc>
          <w:tcPr>
            <w:tcW w:w="1538" w:type="dxa"/>
            <w:vAlign w:val="center"/>
          </w:tcPr>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投标预备会（答疑会）</w:t>
            </w:r>
          </w:p>
        </w:tc>
        <w:tc>
          <w:tcPr>
            <w:tcW w:w="7052" w:type="dxa"/>
            <w:vAlign w:val="center"/>
          </w:tcPr>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1.10.2</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投标人提出问题的截止时间</w:t>
            </w:r>
          </w:p>
        </w:tc>
        <w:tc>
          <w:tcPr>
            <w:tcW w:w="7052" w:type="dxa"/>
            <w:vAlign w:val="center"/>
          </w:tcPr>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投标截止时间</w:t>
            </w: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rPr>
              <w:t>天前所有获取了招标文件的潜在投标人凭企业数字证书（CA）登录云南省公共资源交易信息网（</w:t>
            </w:r>
            <w:r>
              <w:rPr>
                <w:rFonts w:hint="eastAsia" w:ascii="仿宋" w:hAnsi="仿宋" w:eastAsia="仿宋" w:cs="仿宋"/>
                <w:bCs/>
                <w:color w:val="auto"/>
                <w:sz w:val="21"/>
                <w:szCs w:val="21"/>
                <w:highlight w:val="none"/>
              </w:rPr>
              <w:t>https://ggzy.yn.gov.cn</w:t>
            </w:r>
            <w:r>
              <w:rPr>
                <w:rFonts w:hint="eastAsia" w:ascii="仿宋" w:hAnsi="仿宋" w:eastAsia="仿宋" w:cs="仿宋"/>
                <w:color w:val="auto"/>
                <w:sz w:val="21"/>
                <w:szCs w:val="21"/>
                <w:highlight w:val="none"/>
              </w:rPr>
              <w:t>）选择“</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”，在交易系统规定的质疑截止时间前通过在线方式进行不署名提问。如投标人对清单项包含内容未提出疑问而中标后又提出争议的结算阶段将不受理。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1.10.3</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招标人书面澄清的时间</w:t>
            </w:r>
          </w:p>
        </w:tc>
        <w:tc>
          <w:tcPr>
            <w:tcW w:w="7052" w:type="dxa"/>
            <w:vAlign w:val="center"/>
          </w:tcPr>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投标截止时间至少15日前，由招标人以补遗书方式按程序报有关主管部门备案后，提交云南省公共资源交易信息网（https://ggzy.yn.gov.cn），选择地区：“</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”，进入“</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公共资源交易电子服务系统”。使用企业数字证书（CA）在公共资源交易系统中，统一通过网络向潜在投标人发布，且投标人不须回函确认，所有获取了招标文件的潜在投标人登录云南省公共资源交易信息网（https://ggzy.yn.gov.cn），选择地区：“</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”，进入“</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公共资源交易电子服务系统”。使用企业数字证书（CA）在公共资源交易系统中，查看澄清内容。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7"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1.11</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分包</w:t>
            </w:r>
          </w:p>
        </w:tc>
        <w:tc>
          <w:tcPr>
            <w:tcW w:w="7052" w:type="dxa"/>
            <w:vAlign w:val="center"/>
          </w:tcPr>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不允许违法分包</w:t>
            </w:r>
            <w:r>
              <w:rPr>
                <w:rFonts w:hint="eastAsia" w:ascii="仿宋" w:hAnsi="仿宋" w:eastAsia="仿宋" w:cs="仿宋"/>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1.12</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偏离</w:t>
            </w:r>
          </w:p>
        </w:tc>
        <w:tc>
          <w:tcPr>
            <w:tcW w:w="7052" w:type="dxa"/>
            <w:vAlign w:val="center"/>
          </w:tcPr>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不允许</w:t>
            </w:r>
            <w:r>
              <w:rPr>
                <w:rFonts w:hint="eastAsia" w:ascii="仿宋" w:hAnsi="仿宋" w:eastAsia="仿宋" w:cs="仿宋"/>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2.1.1</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构成招标文件的其他文件</w:t>
            </w:r>
          </w:p>
        </w:tc>
        <w:tc>
          <w:tcPr>
            <w:tcW w:w="7052" w:type="dxa"/>
            <w:vAlign w:val="center"/>
          </w:tcPr>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招标人以书面形式发出的答疑书、补遗书或通知等。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8"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2.2.1</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投标人要求澄清和修改招标文件截止时间</w:t>
            </w:r>
          </w:p>
        </w:tc>
        <w:tc>
          <w:tcPr>
            <w:tcW w:w="7052" w:type="dxa"/>
            <w:vAlign w:val="center"/>
          </w:tcPr>
          <w:p>
            <w:pPr>
              <w:pageBreakBefore w:val="0"/>
              <w:widowControl w:val="0"/>
              <w:kinsoku/>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截止时间10日前，投标人应仔细阅读和检查招标文件的全部内容。如发现缺页或附件不全，应及时向招标人提出，以便补齐。如有疑问，应在投标人须知前附表规定的时间前以在线不署名提交方式登录云南省公共资源交易信息网（https://ggzy.yn.gov.cn），选择地区：“</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”，进入“</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公共资源交易电子服务系统”。使用企业数字证书（CA）在公共资源交易系统中，要求招标人对招标文件予以澄清。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8"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2.2.2</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投标截止时间</w:t>
            </w:r>
          </w:p>
        </w:tc>
        <w:tc>
          <w:tcPr>
            <w:tcW w:w="7052" w:type="dxa"/>
            <w:vAlign w:val="center"/>
          </w:tcPr>
          <w:p>
            <w:pPr>
              <w:pageBreakBefore w:val="0"/>
              <w:widowControl w:val="0"/>
              <w:kinsoku/>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详见招标公告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2.2.3</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投标人确认收到招标文件澄清（答疑或补遗）的时间</w:t>
            </w:r>
          </w:p>
        </w:tc>
        <w:tc>
          <w:tcPr>
            <w:tcW w:w="7052" w:type="dxa"/>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投标人自行登录云南省公共资源交易信息网（https://ggzy.yn.gov.cn），选择地区：“</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”，进入“</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公共资源交易电子服务系统”。使用企业数字证书（CA）在公共资源交易系统中，获取澄清，无须回复确认已收到该澄清。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2.3.2</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投标人确认收到招标文件修改的时间</w:t>
            </w:r>
          </w:p>
        </w:tc>
        <w:tc>
          <w:tcPr>
            <w:tcW w:w="7052" w:type="dxa"/>
            <w:tcBorders>
              <w:bottom w:val="single" w:color="auto" w:sz="4" w:space="0"/>
            </w:tcBorders>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投标人自行登录云南省公共资源交易信息网（https://ggzy.yn.gov.cn），选择地区：“</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”，进入“</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公共资源交易电子服务系统”。使用企业数字证书（CA）在公共资源交易系统中获取澄清，无须回复确认已收到该澄清。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1"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3.2.1</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报价方式</w:t>
            </w:r>
          </w:p>
        </w:tc>
        <w:tc>
          <w:tcPr>
            <w:tcW w:w="7052" w:type="dxa"/>
            <w:tcBorders>
              <w:bottom w:val="single" w:color="auto" w:sz="4" w:space="0"/>
            </w:tcBorders>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以</w:t>
            </w:r>
            <w:r>
              <w:rPr>
                <w:rFonts w:hint="eastAsia" w:ascii="仿宋" w:hAnsi="仿宋" w:eastAsia="仿宋" w:cs="仿宋"/>
                <w:color w:val="auto"/>
                <w:sz w:val="21"/>
                <w:szCs w:val="21"/>
                <w:highlight w:val="none"/>
                <w:lang w:val="en-US" w:eastAsia="zh-CN"/>
              </w:rPr>
              <w:t>综合单价形式</w:t>
            </w:r>
            <w:r>
              <w:rPr>
                <w:rFonts w:hint="eastAsia" w:ascii="仿宋" w:hAnsi="仿宋" w:eastAsia="仿宋" w:cs="仿宋"/>
                <w:color w:val="auto"/>
                <w:sz w:val="21"/>
                <w:szCs w:val="21"/>
                <w:highlight w:val="none"/>
              </w:rPr>
              <w:t>进行报价</w:t>
            </w:r>
            <w:r>
              <w:rPr>
                <w:rFonts w:hint="eastAsia" w:ascii="仿宋" w:hAnsi="仿宋" w:eastAsia="仿宋" w:cs="仿宋"/>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3.2.2</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报价要求</w:t>
            </w:r>
          </w:p>
        </w:tc>
        <w:tc>
          <w:tcPr>
            <w:tcW w:w="7052" w:type="dxa"/>
            <w:tcBorders>
              <w:bottom w:val="single" w:color="auto" w:sz="4" w:space="0"/>
            </w:tcBorders>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rPr>
              <w:t>本项目设有最高限价：14</w:t>
            </w:r>
            <w:r>
              <w:rPr>
                <w:rFonts w:hint="eastAsia" w:ascii="仿宋" w:hAnsi="仿宋" w:eastAsia="仿宋" w:cs="仿宋"/>
                <w:b/>
                <w:bCs/>
                <w:color w:val="auto"/>
                <w:sz w:val="21"/>
                <w:szCs w:val="21"/>
                <w:highlight w:val="none"/>
                <w:lang w:val="en-US" w:eastAsia="zh-CN"/>
              </w:rPr>
              <w:t>9</w:t>
            </w:r>
            <w:r>
              <w:rPr>
                <w:rFonts w:hint="eastAsia" w:ascii="仿宋" w:hAnsi="仿宋" w:eastAsia="仿宋" w:cs="仿宋"/>
                <w:b/>
                <w:bCs/>
                <w:color w:val="auto"/>
                <w:sz w:val="21"/>
                <w:szCs w:val="21"/>
                <w:highlight w:val="none"/>
              </w:rPr>
              <w:t>.9</w:t>
            </w:r>
            <w:r>
              <w:rPr>
                <w:rFonts w:hint="eastAsia" w:ascii="仿宋" w:hAnsi="仿宋" w:eastAsia="仿宋" w:cs="仿宋"/>
                <w:b/>
                <w:bCs/>
                <w:color w:val="auto"/>
                <w:sz w:val="21"/>
                <w:szCs w:val="21"/>
                <w:highlight w:val="none"/>
                <w:lang w:val="en-US" w:eastAsia="zh-CN"/>
              </w:rPr>
              <w:t>4</w:t>
            </w:r>
            <w:r>
              <w:rPr>
                <w:rFonts w:hint="eastAsia" w:ascii="仿宋" w:hAnsi="仿宋" w:eastAsia="仿宋" w:cs="仿宋"/>
                <w:b/>
                <w:bCs/>
                <w:color w:val="auto"/>
                <w:sz w:val="21"/>
                <w:szCs w:val="21"/>
                <w:highlight w:val="none"/>
              </w:rPr>
              <w:t>万元，采用</w:t>
            </w:r>
            <w:r>
              <w:rPr>
                <w:rFonts w:hint="eastAsia" w:ascii="仿宋" w:hAnsi="仿宋" w:eastAsia="仿宋" w:cs="仿宋"/>
                <w:b/>
                <w:bCs/>
                <w:color w:val="auto"/>
                <w:sz w:val="21"/>
                <w:szCs w:val="21"/>
                <w:highlight w:val="none"/>
                <w:lang w:eastAsia="zh-CN"/>
              </w:rPr>
              <w:t>综合单价形式</w:t>
            </w:r>
            <w:r>
              <w:rPr>
                <w:rFonts w:hint="eastAsia" w:ascii="仿宋" w:hAnsi="仿宋" w:eastAsia="仿宋" w:cs="仿宋"/>
                <w:b/>
                <w:bCs/>
                <w:color w:val="auto"/>
                <w:sz w:val="21"/>
                <w:szCs w:val="21"/>
                <w:highlight w:val="none"/>
              </w:rPr>
              <w:t>进行报价</w:t>
            </w:r>
            <w:r>
              <w:rPr>
                <w:rFonts w:hint="eastAsia" w:ascii="仿宋" w:hAnsi="仿宋" w:eastAsia="仿宋" w:cs="仿宋"/>
                <w:b/>
                <w:bCs/>
                <w:color w:val="auto"/>
                <w:sz w:val="21"/>
                <w:szCs w:val="21"/>
                <w:highlight w:val="none"/>
                <w:lang w:eastAsia="zh-CN"/>
              </w:rPr>
              <w:t>，采购数量</w:t>
            </w:r>
            <w:r>
              <w:rPr>
                <w:rFonts w:hint="eastAsia" w:ascii="仿宋" w:hAnsi="仿宋" w:eastAsia="仿宋" w:cs="仿宋"/>
                <w:b/>
                <w:bCs/>
                <w:color w:val="auto"/>
                <w:sz w:val="21"/>
                <w:szCs w:val="21"/>
                <w:highlight w:val="none"/>
                <w:lang w:val="en-US" w:eastAsia="zh-CN"/>
              </w:rPr>
              <w:t>1530吨</w:t>
            </w:r>
            <w:r>
              <w:rPr>
                <w:rFonts w:hint="eastAsia" w:ascii="仿宋" w:hAnsi="仿宋" w:eastAsia="仿宋" w:cs="仿宋"/>
                <w:b/>
                <w:bCs/>
                <w:color w:val="auto"/>
                <w:sz w:val="21"/>
                <w:szCs w:val="21"/>
                <w:highlight w:val="none"/>
              </w:rPr>
              <w:t>。投标人的报价应依据招标文件的要求及有关资料，执行国家规定的现行技术、经济标准、定额及规范，由投标人自行测算出满足采购要求的相关总价格。报价均为人民币元，投标报价应包括完成本项目所需的一切总费用，包括但不限于人工费、保险费、税费、合理利润、运输费及后续服务费用等有关全部费用等，该报价应符合国内行情并能保证</w:t>
            </w:r>
            <w:r>
              <w:rPr>
                <w:rFonts w:hint="eastAsia" w:ascii="仿宋" w:hAnsi="仿宋" w:eastAsia="仿宋" w:cs="仿宋"/>
                <w:b/>
                <w:bCs/>
                <w:color w:val="auto"/>
                <w:sz w:val="21"/>
                <w:szCs w:val="21"/>
                <w:highlight w:val="none"/>
                <w:lang w:eastAsia="zh-CN"/>
              </w:rPr>
              <w:t>投标人</w:t>
            </w:r>
            <w:r>
              <w:rPr>
                <w:rFonts w:hint="eastAsia" w:ascii="仿宋" w:hAnsi="仿宋" w:eastAsia="仿宋" w:cs="仿宋"/>
                <w:b/>
                <w:bCs/>
                <w:color w:val="auto"/>
                <w:sz w:val="21"/>
                <w:szCs w:val="21"/>
                <w:highlight w:val="none"/>
              </w:rPr>
              <w:t>完成履行合同所需的一切工作。合同一旦签订，此价格在合同实施期间将不因市场价格等的变化而调整</w:t>
            </w:r>
            <w:r>
              <w:rPr>
                <w:rFonts w:hint="eastAsia" w:ascii="仿宋" w:hAnsi="仿宋" w:eastAsia="仿宋" w:cs="仿宋"/>
                <w:b/>
                <w:bCs/>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3.3.1</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投标有效期</w:t>
            </w:r>
          </w:p>
        </w:tc>
        <w:tc>
          <w:tcPr>
            <w:tcW w:w="7052" w:type="dxa"/>
            <w:vAlign w:val="center"/>
          </w:tcPr>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为90日历天，从投标截止之日算起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3.4.1</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投标保证金</w:t>
            </w:r>
          </w:p>
        </w:tc>
        <w:tc>
          <w:tcPr>
            <w:tcW w:w="7052" w:type="dxa"/>
            <w:vAlign w:val="center"/>
          </w:tcPr>
          <w:p>
            <w:pPr>
              <w:keepNext w:val="0"/>
              <w:keepLines w:val="0"/>
              <w:pageBreakBefore w:val="0"/>
              <w:widowControl/>
              <w:shd w:val="clear" w:color="auto" w:fill="auto"/>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是否要求投标人递交投标保证金：</w:t>
            </w:r>
          </w:p>
          <w:p>
            <w:pPr>
              <w:keepNext w:val="0"/>
              <w:keepLines w:val="0"/>
              <w:pageBreakBefore w:val="0"/>
              <w:widowControl/>
              <w:shd w:val="clear" w:color="auto" w:fill="auto"/>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fldChar w:fldCharType="begin"/>
            </w:r>
            <w:r>
              <w:rPr>
                <w:rFonts w:hint="eastAsia" w:ascii="仿宋" w:hAnsi="仿宋" w:eastAsia="仿宋" w:cs="仿宋"/>
                <w:b w:val="0"/>
                <w:bCs w:val="0"/>
                <w:color w:val="auto"/>
                <w:sz w:val="21"/>
                <w:szCs w:val="21"/>
                <w:highlight w:val="none"/>
              </w:rPr>
              <w:instrText xml:space="preserve"> eq \o\ac(□,√)</w:instrText>
            </w:r>
            <w:r>
              <w:rPr>
                <w:rFonts w:hint="eastAsia" w:ascii="仿宋" w:hAnsi="仿宋" w:eastAsia="仿宋" w:cs="仿宋"/>
                <w:b w:val="0"/>
                <w:bCs w:val="0"/>
                <w:color w:val="auto"/>
                <w:sz w:val="21"/>
                <w:szCs w:val="21"/>
                <w:highlight w:val="none"/>
              </w:rPr>
              <w:fldChar w:fldCharType="end"/>
            </w:r>
            <w:r>
              <w:rPr>
                <w:rFonts w:hint="eastAsia" w:ascii="仿宋" w:hAnsi="仿宋" w:eastAsia="仿宋" w:cs="仿宋"/>
                <w:b w:val="0"/>
                <w:bCs w:val="0"/>
                <w:color w:val="auto"/>
                <w:sz w:val="21"/>
                <w:szCs w:val="21"/>
                <w:highlight w:val="none"/>
              </w:rPr>
              <w:t>要求，相关信息如下：</w:t>
            </w:r>
          </w:p>
          <w:p>
            <w:pPr>
              <w:pageBreakBefore w:val="0"/>
              <w:shd w:val="clear" w:color="auto" w:fill="auto"/>
              <w:kinsoku/>
              <w:overflowPunct/>
              <w:topLinePunct w:val="0"/>
              <w:bidi w:val="0"/>
              <w:spacing w:line="360" w:lineRule="auto"/>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一、投标保证金提交方式</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本项目为政府投资项目，招标金额为</w:t>
            </w:r>
            <w:r>
              <w:rPr>
                <w:rFonts w:hint="eastAsia" w:ascii="仿宋" w:hAnsi="仿宋" w:eastAsia="仿宋" w:cs="仿宋"/>
                <w:b w:val="0"/>
                <w:bCs w:val="0"/>
                <w:color w:val="auto"/>
                <w:sz w:val="21"/>
                <w:szCs w:val="21"/>
                <w:highlight w:val="none"/>
                <w:lang w:val="en-US" w:eastAsia="zh-CN"/>
              </w:rPr>
              <w:t>149.94</w:t>
            </w:r>
            <w:r>
              <w:rPr>
                <w:rFonts w:hint="eastAsia" w:ascii="仿宋" w:hAnsi="仿宋" w:eastAsia="仿宋" w:cs="仿宋"/>
                <w:b w:val="0"/>
                <w:bCs w:val="0"/>
                <w:color w:val="auto"/>
                <w:sz w:val="21"/>
                <w:szCs w:val="21"/>
                <w:highlight w:val="none"/>
              </w:rPr>
              <w:t>万元。根据投标保证金减免相关规定，对本项目投标保证金给予减免。投标人根据自身情况自行选择确定享受免于收取、降低收取数额等政策。选择享受降低收取数额政策的，投标人可采用保险保函、银行转账任一形式缴纳投标保证金。</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（1）降低收取金额。按照投标保证金不得超过招标项目估算价的2%的规定，本项目应收取投标保证金金额为2</w:t>
            </w:r>
            <w:r>
              <w:rPr>
                <w:rFonts w:hint="eastAsia" w:ascii="仿宋" w:hAnsi="仿宋" w:eastAsia="仿宋" w:cs="仿宋"/>
                <w:b w:val="0"/>
                <w:bCs w:val="0"/>
                <w:color w:val="auto"/>
                <w:sz w:val="21"/>
                <w:szCs w:val="21"/>
                <w:highlight w:val="none"/>
                <w:lang w:val="en-US" w:eastAsia="zh-CN"/>
              </w:rPr>
              <w:t>.</w:t>
            </w:r>
            <w:r>
              <w:rPr>
                <w:rFonts w:hint="eastAsia" w:ascii="仿宋" w:hAnsi="仿宋" w:eastAsia="仿宋" w:cs="仿宋"/>
                <w:b w:val="0"/>
                <w:bCs w:val="0"/>
                <w:color w:val="auto"/>
                <w:sz w:val="21"/>
                <w:szCs w:val="21"/>
                <w:highlight w:val="none"/>
              </w:rPr>
              <w:t>9968万元。现落实减免投标保证金降幅不得低于现收取金额的50%的政策要求，实际收取</w:t>
            </w:r>
            <w:r>
              <w:rPr>
                <w:rFonts w:hint="eastAsia" w:ascii="仿宋" w:hAnsi="仿宋" w:eastAsia="仿宋" w:cs="仿宋"/>
                <w:b w:val="0"/>
                <w:bCs w:val="0"/>
                <w:color w:val="auto"/>
                <w:sz w:val="21"/>
                <w:szCs w:val="21"/>
                <w:highlight w:val="none"/>
                <w:lang w:val="en-US" w:eastAsia="zh-CN"/>
              </w:rPr>
              <w:t>1</w:t>
            </w:r>
            <w:r>
              <w:rPr>
                <w:rFonts w:hint="eastAsia" w:ascii="仿宋" w:hAnsi="仿宋" w:eastAsia="仿宋" w:cs="仿宋"/>
                <w:b w:val="0"/>
                <w:bCs w:val="0"/>
                <w:color w:val="auto"/>
                <w:sz w:val="21"/>
                <w:szCs w:val="21"/>
                <w:highlight w:val="none"/>
              </w:rPr>
              <w:t>万元，降幅为</w:t>
            </w:r>
            <w:r>
              <w:rPr>
                <w:rFonts w:hint="eastAsia" w:ascii="仿宋" w:hAnsi="仿宋" w:eastAsia="仿宋" w:cs="仿宋"/>
                <w:b w:val="0"/>
                <w:bCs w:val="0"/>
                <w:color w:val="auto"/>
                <w:sz w:val="21"/>
                <w:szCs w:val="21"/>
                <w:highlight w:val="none"/>
                <w:lang w:val="en-US" w:eastAsia="zh-CN"/>
              </w:rPr>
              <w:t>66.63</w:t>
            </w:r>
            <w:r>
              <w:rPr>
                <w:rFonts w:hint="eastAsia" w:ascii="仿宋" w:hAnsi="仿宋" w:eastAsia="仿宋" w:cs="仿宋"/>
                <w:b w:val="0"/>
                <w:bCs w:val="0"/>
                <w:color w:val="auto"/>
                <w:sz w:val="21"/>
                <w:szCs w:val="21"/>
                <w:highlight w:val="none"/>
              </w:rPr>
              <w:t>％。</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免于收取情况。本项目免于收取无失信记录企业投标保证金。对提交无失信记录免交投标保证金的项目，投标人可在交易系统保证金缴纳页面直接获取信用报告，签名确认后即可完成无失信记录证明材料的提交工作。若无法获取信用报告，则需登录信用中国等网站，对照招标文件要求自行下载相关信用信息并按要求上传至系统。开标后，将组织对投标人提交的无失信记录信息进行核验。如发现上传信息错误、存在失信记录等情况的，将不予受理通过，相关后果将由投标人自行承担。</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（3）银行转账。投标人使用注册企业数字证书（CA）时提供的基本账户，向本项目交易保证金账户转账，收款银行及（动态）账号如下。</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户名：牟定县公共资源交易中心交易保证金专户</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银行：中国农业银行股份有限公司牟定县支行</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账号：网上自动生成</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转账成功后，登录交易服务系统，进入“我的项目—选择我确认投标的项目—缴纳保证金—确认投标保证金—保证金”，按系统指引确认绑定。绑定后打印保证金缴纳回执，将保证金缴纳回执、银行付款回单附于投标文件中。</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4）保险保函。登录交易服务系统，进入“我的项目—选择我确认投标的项目—缴纳保证金—确认投标保证金—电子保险保函—购买保险保函”，按系统指引从云南省公共资源交易电子保函服务系统购买电子保险保函。购买成功后下载保单并附于投标文件中。</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若投标人线下购买保函（保证保险），开标时开标一览表中会显示保证金未缴纳，需由招标人或其委托的招标代理机构现场通知投标人，在异议菜单栏上传纸质保函（保证保险）扫描件等相关证明材料。经招标人或其委托的招标代理机构现场确认后修改开标一览表中保证金缴纳状态。</w:t>
            </w:r>
          </w:p>
          <w:p>
            <w:pPr>
              <w:pageBreakBefore w:val="0"/>
              <w:shd w:val="clear" w:color="auto" w:fill="auto"/>
              <w:kinsoku/>
              <w:overflowPunct/>
              <w:topLinePunct w:val="0"/>
              <w:bidi w:val="0"/>
              <w:spacing w:line="360" w:lineRule="auto"/>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二</w:t>
            </w:r>
            <w:r>
              <w:rPr>
                <w:rFonts w:hint="eastAsia" w:ascii="仿宋" w:hAnsi="仿宋" w:eastAsia="仿宋" w:cs="仿宋"/>
                <w:b/>
                <w:bCs/>
                <w:color w:val="auto"/>
                <w:sz w:val="21"/>
                <w:szCs w:val="21"/>
                <w:highlight w:val="none"/>
              </w:rPr>
              <w:t xml:space="preserve">、有下列情形之一的，投标保证金将不予退还： </w:t>
            </w:r>
          </w:p>
          <w:p>
            <w:pPr>
              <w:pageBreakBefore w:val="0"/>
              <w:shd w:val="clear" w:color="auto" w:fill="auto"/>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（1）投标人在招标文件规定的投标有效期内撤回其投标文件的；</w:t>
            </w:r>
          </w:p>
          <w:p>
            <w:pPr>
              <w:pageBreakBefore w:val="0"/>
              <w:shd w:val="clear" w:color="auto" w:fill="auto"/>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（2）投标人拒绝接受修正标价的；</w:t>
            </w:r>
          </w:p>
          <w:p>
            <w:pPr>
              <w:pageBreakBefore w:val="0"/>
              <w:shd w:val="clear" w:color="auto" w:fill="auto"/>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（3）中标人未能在规定期限内签订合同的，或在签订合同时要求变更投标承诺和变更投标报价的；</w:t>
            </w:r>
          </w:p>
          <w:p>
            <w:pPr>
              <w:pageBreakBefore w:val="0"/>
              <w:shd w:val="clear" w:color="auto" w:fill="auto"/>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（4）中标人对招标文件（含合同条款等）的内容提出修改要求的；</w:t>
            </w:r>
          </w:p>
          <w:p>
            <w:pPr>
              <w:pageBreakBefore w:val="0"/>
              <w:shd w:val="clear" w:color="auto" w:fill="auto"/>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（5）投标人无故不参加投标或者出现不廉洁行为的；</w:t>
            </w:r>
          </w:p>
          <w:p>
            <w:pPr>
              <w:pageBreakBefore w:val="0"/>
              <w:shd w:val="clear" w:color="auto" w:fill="auto"/>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（6）投标人采用不正当的手段骗取中标的；</w:t>
            </w:r>
          </w:p>
          <w:p>
            <w:pPr>
              <w:pageBreakBefore w:val="0"/>
              <w:shd w:val="clear" w:color="auto" w:fill="auto"/>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（7）在合同签订时，要求变更投标承诺和变更投标报价（含单价、合价或总价的）。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3.6</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是否允许递交备选方案</w:t>
            </w:r>
          </w:p>
        </w:tc>
        <w:tc>
          <w:tcPr>
            <w:tcW w:w="7052" w:type="dxa"/>
            <w:vAlign w:val="center"/>
          </w:tcPr>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3.7.3</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签名或盖章要求</w:t>
            </w:r>
          </w:p>
        </w:tc>
        <w:tc>
          <w:tcPr>
            <w:tcW w:w="7052" w:type="dxa"/>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文件应按招标文件要求进行电子签名或电子签章。由投标人的法定代表人或其委托代理人签名（或签章），未按照招标文件规定的格式进行签名（或盖章）的投标文件将被否决；由委托代理人签名(或盖章)的，投标文件中应附有法定代表人签名(或盖章)的投标文件签署授权委托书。</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投标人在电子投标系统中利用CA锁加盖的电子签名或电子签章均予以认可。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4.1</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投标文件的上传</w:t>
            </w:r>
          </w:p>
        </w:tc>
        <w:tc>
          <w:tcPr>
            <w:tcW w:w="7052" w:type="dxa"/>
            <w:vAlign w:val="center"/>
          </w:tcPr>
          <w:p>
            <w:pPr>
              <w:pageBreakBefore w:val="0"/>
              <w:kinsoku/>
              <w:overflowPunct/>
              <w:topLinePunct w:val="0"/>
              <w:bidi w:val="0"/>
              <w:spacing w:line="360" w:lineRule="auto"/>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网上递交网址为（https://ggzy.yn.gov.cn），投标人须在投标截止时间前完成投标文件的上传（电子投标文件格式为*.BTBJ），网上确认电子签名，并打印“上传投标文件回执”，投标截止时间前未完成投标文件传输的，视为撤回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0"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4.2.3</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是否退还投标文件</w:t>
            </w:r>
          </w:p>
        </w:tc>
        <w:tc>
          <w:tcPr>
            <w:tcW w:w="7052" w:type="dxa"/>
            <w:vAlign w:val="center"/>
          </w:tcPr>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2"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5.1.1</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开标时间和地点</w:t>
            </w:r>
          </w:p>
        </w:tc>
        <w:tc>
          <w:tcPr>
            <w:tcW w:w="7052" w:type="dxa"/>
            <w:vAlign w:val="center"/>
          </w:tcPr>
          <w:p>
            <w:pPr>
              <w:pageBreakBefore w:val="0"/>
              <w:kinsoku/>
              <w:overflowPunct/>
              <w:topLinePunct w:val="0"/>
              <w:bidi w:val="0"/>
              <w:spacing w:line="360" w:lineRule="auto"/>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开标时间：同投标截止时间</w:t>
            </w:r>
          </w:p>
          <w:p>
            <w:pPr>
              <w:pageBreakBefore w:val="0"/>
              <w:kinsoku/>
              <w:overflowPunct/>
              <w:topLinePunct w:val="0"/>
              <w:bidi w:val="0"/>
              <w:adjustRightInd w:val="0"/>
              <w:snapToGrid w:val="0"/>
              <w:spacing w:line="360" w:lineRule="auto"/>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开标地点：云南省公共资源交易</w:t>
            </w:r>
            <w:r>
              <w:rPr>
                <w:rFonts w:hint="eastAsia" w:ascii="仿宋" w:hAnsi="仿宋" w:eastAsia="仿宋" w:cs="仿宋"/>
                <w:bCs/>
                <w:color w:val="auto"/>
                <w:sz w:val="21"/>
                <w:szCs w:val="21"/>
                <w:highlight w:val="none"/>
                <w:lang w:eastAsia="zh-CN"/>
              </w:rPr>
              <w:t>信息</w:t>
            </w:r>
            <w:r>
              <w:rPr>
                <w:rFonts w:hint="eastAsia" w:ascii="仿宋" w:hAnsi="仿宋" w:eastAsia="仿宋" w:cs="仿宋"/>
                <w:bCs/>
                <w:color w:val="auto"/>
                <w:sz w:val="21"/>
                <w:szCs w:val="21"/>
                <w:highlight w:val="none"/>
              </w:rPr>
              <w:t>网</w:t>
            </w:r>
            <w:r>
              <w:rPr>
                <w:rFonts w:hint="eastAsia" w:ascii="仿宋" w:hAnsi="仿宋" w:eastAsia="仿宋" w:cs="仿宋"/>
                <w:bCs/>
                <w:color w:val="auto"/>
                <w:sz w:val="21"/>
                <w:szCs w:val="21"/>
                <w:highlight w:val="none"/>
                <w:lang w:eastAsia="zh-CN"/>
              </w:rPr>
              <w:t>网</w:t>
            </w:r>
            <w:r>
              <w:rPr>
                <w:rFonts w:hint="eastAsia" w:ascii="仿宋" w:hAnsi="仿宋" w:eastAsia="仿宋" w:cs="仿宋"/>
                <w:bCs/>
                <w:color w:val="auto"/>
                <w:sz w:val="21"/>
                <w:szCs w:val="21"/>
                <w:highlight w:val="none"/>
              </w:rPr>
              <w:t>上开标大厅</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开标参与方式：登录“云南省公共资源交易信息网（https://ggzy.yn.gov.cn）</w:t>
            </w:r>
            <w:r>
              <w:rPr>
                <w:rFonts w:hint="eastAsia" w:ascii="仿宋" w:hAnsi="仿宋" w:eastAsia="仿宋" w:cs="仿宋"/>
                <w:bCs/>
                <w:color w:val="auto"/>
                <w:sz w:val="21"/>
                <w:szCs w:val="21"/>
                <w:highlight w:val="none"/>
                <w:lang w:eastAsia="zh-CN"/>
              </w:rPr>
              <w:t>选择“楚雄州”</w:t>
            </w:r>
            <w:r>
              <w:rPr>
                <w:rFonts w:hint="eastAsia" w:ascii="仿宋" w:hAnsi="仿宋" w:eastAsia="仿宋" w:cs="仿宋"/>
                <w:bCs/>
                <w:color w:val="auto"/>
                <w:sz w:val="21"/>
                <w:szCs w:val="21"/>
                <w:highlight w:val="none"/>
              </w:rPr>
              <w:t>，在【</w:t>
            </w:r>
            <w:r>
              <w:rPr>
                <w:rFonts w:hint="eastAsia" w:ascii="仿宋" w:hAnsi="仿宋" w:eastAsia="仿宋" w:cs="仿宋"/>
                <w:bCs/>
                <w:color w:val="auto"/>
                <w:sz w:val="21"/>
                <w:szCs w:val="21"/>
                <w:highlight w:val="none"/>
                <w:lang w:eastAsia="zh-CN"/>
              </w:rPr>
              <w:t>智能开标系统</w:t>
            </w:r>
            <w:r>
              <w:rPr>
                <w:rFonts w:hint="eastAsia" w:ascii="仿宋" w:hAnsi="仿宋" w:eastAsia="仿宋" w:cs="仿宋"/>
                <w:bCs/>
                <w:color w:val="auto"/>
                <w:sz w:val="21"/>
                <w:szCs w:val="21"/>
                <w:highlight w:val="none"/>
              </w:rPr>
              <w:t>】进入网上开标大厅。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2"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5.4</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开标程序</w:t>
            </w:r>
          </w:p>
        </w:tc>
        <w:tc>
          <w:tcPr>
            <w:tcW w:w="7052" w:type="dxa"/>
            <w:vAlign w:val="center"/>
          </w:tcPr>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电子化平台系统自动提取的投标文件顺序进行开标；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0"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6.1.1</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评标委员会的组建</w:t>
            </w:r>
          </w:p>
        </w:tc>
        <w:tc>
          <w:tcPr>
            <w:tcW w:w="7052" w:type="dxa"/>
            <w:vAlign w:val="center"/>
          </w:tcPr>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评标委员会构成：</w:t>
            </w:r>
            <w:r>
              <w:rPr>
                <w:rFonts w:hint="eastAsia" w:ascii="仿宋" w:hAnsi="仿宋" w:eastAsia="仿宋" w:cs="仿宋"/>
                <w:color w:val="auto"/>
                <w:kern w:val="0"/>
                <w:sz w:val="21"/>
                <w:szCs w:val="21"/>
                <w:highlight w:val="none"/>
              </w:rPr>
              <w:t>评标委员会构成须为</w:t>
            </w:r>
            <w:r>
              <w:rPr>
                <w:rFonts w:hint="eastAsia" w:ascii="仿宋" w:hAnsi="仿宋" w:eastAsia="仿宋" w:cs="仿宋"/>
                <w:color w:val="auto"/>
                <w:kern w:val="0"/>
                <w:sz w:val="21"/>
                <w:szCs w:val="21"/>
                <w:highlight w:val="none"/>
                <w:lang w:val="en-US" w:eastAsia="zh-CN"/>
              </w:rPr>
              <w:t>5</w:t>
            </w:r>
            <w:r>
              <w:rPr>
                <w:rFonts w:hint="eastAsia" w:ascii="仿宋" w:hAnsi="仿宋" w:eastAsia="仿宋" w:cs="仿宋"/>
                <w:color w:val="auto"/>
                <w:kern w:val="0"/>
                <w:sz w:val="21"/>
                <w:szCs w:val="21"/>
                <w:highlight w:val="none"/>
              </w:rPr>
              <w:t>人</w:t>
            </w:r>
            <w:r>
              <w:rPr>
                <w:rFonts w:hint="eastAsia" w:ascii="仿宋" w:hAnsi="仿宋" w:eastAsia="仿宋" w:cs="仿宋"/>
                <w:color w:val="auto"/>
                <w:sz w:val="21"/>
                <w:szCs w:val="21"/>
                <w:highlight w:val="none"/>
              </w:rPr>
              <w:t>及其以上单数</w:t>
            </w:r>
            <w:r>
              <w:rPr>
                <w:rFonts w:hint="eastAsia" w:ascii="仿宋" w:hAnsi="仿宋" w:eastAsia="仿宋" w:cs="仿宋"/>
                <w:color w:val="auto"/>
                <w:kern w:val="0"/>
                <w:sz w:val="21"/>
                <w:szCs w:val="21"/>
                <w:highlight w:val="none"/>
              </w:rPr>
              <w:t>，</w:t>
            </w:r>
            <w:r>
              <w:rPr>
                <w:rFonts w:hint="eastAsia" w:ascii="仿宋" w:hAnsi="仿宋" w:eastAsia="仿宋" w:cs="仿宋"/>
                <w:color w:val="auto"/>
                <w:sz w:val="21"/>
                <w:szCs w:val="21"/>
                <w:highlight w:val="none"/>
              </w:rPr>
              <w:t>其中</w:t>
            </w:r>
            <w:r>
              <w:rPr>
                <w:rFonts w:hint="eastAsia" w:ascii="仿宋" w:hAnsi="仿宋" w:eastAsia="仿宋" w:cs="仿宋"/>
                <w:color w:val="auto"/>
                <w:sz w:val="21"/>
                <w:szCs w:val="21"/>
                <w:highlight w:val="none"/>
                <w:lang w:eastAsia="zh-CN"/>
              </w:rPr>
              <w:t>技术、</w:t>
            </w:r>
            <w:r>
              <w:rPr>
                <w:rFonts w:hint="eastAsia" w:ascii="仿宋" w:hAnsi="仿宋" w:eastAsia="仿宋" w:cs="仿宋"/>
                <w:color w:val="auto"/>
                <w:sz w:val="21"/>
                <w:szCs w:val="21"/>
                <w:highlight w:val="none"/>
              </w:rPr>
              <w:t>经济方面的专家不得少于</w:t>
            </w:r>
            <w:r>
              <w:rPr>
                <w:rFonts w:hint="eastAsia" w:ascii="仿宋" w:hAnsi="仿宋" w:eastAsia="仿宋" w:cs="仿宋"/>
                <w:color w:val="auto"/>
                <w:kern w:val="0"/>
                <w:sz w:val="21"/>
                <w:szCs w:val="21"/>
                <w:highlight w:val="none"/>
              </w:rPr>
              <w:t>成员总数的三分之二</w:t>
            </w:r>
            <w:r>
              <w:rPr>
                <w:rFonts w:hint="eastAsia" w:ascii="仿宋" w:hAnsi="仿宋" w:eastAsia="仿宋" w:cs="仿宋"/>
                <w:color w:val="auto"/>
                <w:sz w:val="21"/>
                <w:szCs w:val="21"/>
                <w:highlight w:val="none"/>
              </w:rPr>
              <w:t>（评标委员会的组成应当符合相关规定）。</w:t>
            </w:r>
          </w:p>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kern w:val="0"/>
                <w:sz w:val="21"/>
                <w:szCs w:val="21"/>
              </w:rPr>
              <w:t>评标专家确定方式：</w:t>
            </w:r>
            <w:r>
              <w:rPr>
                <w:rFonts w:hint="eastAsia" w:ascii="仿宋" w:hAnsi="仿宋" w:eastAsia="仿宋" w:cs="仿宋"/>
                <w:color w:val="auto"/>
                <w:kern w:val="0"/>
                <w:sz w:val="21"/>
                <w:szCs w:val="21"/>
              </w:rPr>
              <w:fldChar w:fldCharType="begin"/>
            </w:r>
            <w:r>
              <w:rPr>
                <w:rFonts w:hint="eastAsia" w:ascii="仿宋" w:hAnsi="仿宋" w:eastAsia="仿宋" w:cs="仿宋"/>
                <w:color w:val="auto"/>
                <w:kern w:val="0"/>
                <w:sz w:val="21"/>
                <w:szCs w:val="21"/>
              </w:rPr>
              <w:instrText xml:space="preserve"> AUTOTEXT  input160 \* MERGEFORMAT </w:instrText>
            </w:r>
            <w:r>
              <w:rPr>
                <w:rFonts w:hint="eastAsia" w:ascii="仿宋" w:hAnsi="仿宋" w:eastAsia="仿宋" w:cs="仿宋"/>
                <w:color w:val="auto"/>
                <w:kern w:val="0"/>
                <w:sz w:val="21"/>
                <w:szCs w:val="21"/>
              </w:rPr>
              <w:fldChar w:fldCharType="separate"/>
            </w:r>
            <w:r>
              <w:rPr>
                <w:rFonts w:hint="eastAsia" w:ascii="仿宋" w:hAnsi="仿宋" w:eastAsia="仿宋" w:cs="仿宋"/>
                <w:color w:val="auto"/>
                <w:kern w:val="0"/>
                <w:sz w:val="21"/>
                <w:szCs w:val="21"/>
              </w:rPr>
              <w:t>从《云南省综合评标专家库》中随机抽取</w:t>
            </w:r>
            <w:r>
              <w:rPr>
                <w:rFonts w:hint="eastAsia" w:ascii="仿宋" w:hAnsi="仿宋" w:eastAsia="仿宋" w:cs="仿宋"/>
                <w:color w:val="auto"/>
                <w:kern w:val="0"/>
                <w:sz w:val="21"/>
                <w:szCs w:val="21"/>
              </w:rPr>
              <w:fldChar w:fldCharType="end"/>
            </w:r>
            <w:r>
              <w:rPr>
                <w:rFonts w:hint="eastAsia" w:ascii="仿宋" w:hAnsi="仿宋" w:eastAsia="仿宋" w:cs="仿宋"/>
                <w:color w:val="auto"/>
                <w:ker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9"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6.5.3</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评标办法</w:t>
            </w:r>
          </w:p>
        </w:tc>
        <w:tc>
          <w:tcPr>
            <w:tcW w:w="7052" w:type="dxa"/>
            <w:vAlign w:val="center"/>
          </w:tcPr>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综合评估法。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91"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6.6.1</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是否授权评标委员会确定中标人</w:t>
            </w:r>
          </w:p>
        </w:tc>
        <w:tc>
          <w:tcPr>
            <w:tcW w:w="7052" w:type="dxa"/>
            <w:vAlign w:val="center"/>
          </w:tcPr>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否；</w:t>
            </w:r>
          </w:p>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评标委员会按照评标办法的打分结果，并按最后得分由高到低的顺序推荐前3名作为第一、二、三中标候选人。由招标人根据相关规定确定中标人。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3"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7.3.1</w:t>
            </w:r>
          </w:p>
        </w:tc>
        <w:tc>
          <w:tcPr>
            <w:tcW w:w="1538"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履约担保</w:t>
            </w:r>
          </w:p>
        </w:tc>
        <w:tc>
          <w:tcPr>
            <w:tcW w:w="7052" w:type="dxa"/>
            <w:vAlign w:val="center"/>
          </w:tcPr>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shd w:val="clear" w:color="auto" w:fill="auto"/>
                <w:lang w:val="en-US" w:eastAsia="zh-CN"/>
              </w:rPr>
            </w:pPr>
            <w:r>
              <w:rPr>
                <w:rFonts w:hint="eastAsia" w:ascii="仿宋" w:hAnsi="仿宋" w:eastAsia="仿宋" w:cs="仿宋"/>
                <w:color w:val="auto"/>
                <w:sz w:val="21"/>
                <w:szCs w:val="21"/>
                <w:highlight w:val="none"/>
                <w:shd w:val="clear" w:color="auto" w:fill="auto"/>
                <w:lang w:val="en-US" w:eastAsia="zh-CN"/>
              </w:rPr>
              <w:t>履约担保金额：签约合同价款的5%。</w:t>
            </w:r>
          </w:p>
          <w:p>
            <w:pPr>
              <w:pStyle w:val="21"/>
              <w:pageBreakBefore w:val="0"/>
              <w:kinsoku/>
              <w:overflowPunct/>
              <w:topLinePunct w:val="0"/>
              <w:bidi w:val="0"/>
              <w:spacing w:line="360" w:lineRule="auto"/>
              <w:textAlignment w:val="auto"/>
              <w:rPr>
                <w:rFonts w:hint="eastAsia" w:ascii="仿宋" w:hAnsi="仿宋" w:eastAsia="仿宋" w:cs="仿宋"/>
                <w:color w:val="auto"/>
                <w:highlight w:val="none"/>
                <w:lang w:val="en-US" w:eastAsia="zh-CN"/>
              </w:rPr>
            </w:pPr>
            <w:r>
              <w:rPr>
                <w:rFonts w:hint="eastAsia" w:ascii="仿宋" w:hAnsi="仿宋" w:eastAsia="仿宋" w:cs="仿宋"/>
                <w:color w:val="auto"/>
                <w:sz w:val="21"/>
                <w:szCs w:val="21"/>
                <w:highlight w:val="none"/>
                <w:shd w:val="clear" w:color="auto" w:fill="auto"/>
                <w:lang w:val="en-US" w:eastAsia="zh-CN" w:bidi="ar-SA"/>
              </w:rPr>
              <w:t>履约担保的形式：现金或支票或银行汇票或银行保函或保证保险或金融机构、财务公司出具的保函等法律法规规定的形式。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w:t>
            </w:r>
          </w:p>
        </w:tc>
        <w:tc>
          <w:tcPr>
            <w:tcW w:w="8590" w:type="dxa"/>
            <w:gridSpan w:val="2"/>
            <w:vAlign w:val="center"/>
          </w:tcPr>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需要补充的其他内容</w:t>
            </w:r>
            <w:r>
              <w:rPr>
                <w:rFonts w:hint="eastAsia" w:ascii="仿宋" w:hAnsi="仿宋" w:eastAsia="仿宋" w:cs="仿宋"/>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10.1</w:t>
            </w:r>
          </w:p>
        </w:tc>
        <w:tc>
          <w:tcPr>
            <w:tcW w:w="8590" w:type="dxa"/>
            <w:gridSpan w:val="2"/>
          </w:tcPr>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shd w:val="clear" w:color="auto" w:fill="auto"/>
                <w:lang w:val="en-US" w:eastAsia="zh-CN"/>
              </w:rPr>
              <w:t>招标代理服务费：（1）招标</w:t>
            </w:r>
            <w:r>
              <w:rPr>
                <w:rFonts w:hint="eastAsia" w:ascii="仿宋" w:hAnsi="仿宋" w:eastAsia="仿宋" w:cs="仿宋"/>
                <w:color w:val="auto"/>
                <w:sz w:val="21"/>
                <w:szCs w:val="21"/>
                <w:highlight w:val="none"/>
                <w:shd w:val="clear" w:color="auto" w:fill="auto"/>
                <w:lang w:val="zh-CN" w:eastAsia="zh-CN"/>
              </w:rPr>
              <w:t>代理服务费</w:t>
            </w:r>
            <w:r>
              <w:rPr>
                <w:rFonts w:hint="eastAsia" w:ascii="仿宋" w:hAnsi="仿宋" w:eastAsia="仿宋" w:cs="仿宋"/>
                <w:color w:val="auto"/>
                <w:sz w:val="21"/>
                <w:szCs w:val="21"/>
                <w:highlight w:val="none"/>
                <w:shd w:val="clear" w:color="auto" w:fill="auto"/>
                <w:lang w:val="en-US" w:eastAsia="zh-CN"/>
              </w:rPr>
              <w:t>包干价大写：贰万壹仟叁佰元整（小写：¥21300.00元），中标人</w:t>
            </w:r>
            <w:r>
              <w:rPr>
                <w:rFonts w:hint="eastAsia" w:ascii="仿宋" w:hAnsi="仿宋" w:eastAsia="仿宋" w:cs="仿宋"/>
                <w:color w:val="auto"/>
                <w:sz w:val="21"/>
                <w:szCs w:val="21"/>
                <w:highlight w:val="none"/>
                <w:shd w:val="clear" w:color="auto" w:fill="auto"/>
                <w:lang w:val="zh-CN" w:eastAsia="zh-CN"/>
              </w:rPr>
              <w:t>在领取中标通知书时一次性支付；</w:t>
            </w:r>
            <w:r>
              <w:rPr>
                <w:rFonts w:hint="eastAsia" w:ascii="仿宋" w:hAnsi="仿宋" w:eastAsia="仿宋" w:cs="仿宋"/>
                <w:color w:val="auto"/>
                <w:sz w:val="21"/>
                <w:szCs w:val="21"/>
                <w:highlight w:val="none"/>
                <w:shd w:val="clear" w:color="auto" w:fill="auto"/>
                <w:lang w:val="en-US" w:eastAsia="zh-CN"/>
              </w:rPr>
              <w:t>（2）若发生隔夜评标或外出评标的相关费用，由中标人，另行支付</w:t>
            </w:r>
            <w:r>
              <w:rPr>
                <w:rFonts w:hint="eastAsia" w:ascii="仿宋" w:hAnsi="仿宋" w:eastAsia="仿宋" w:cs="仿宋"/>
                <w:color w:val="auto"/>
                <w:sz w:val="21"/>
                <w:szCs w:val="21"/>
                <w:highlight w:val="none"/>
                <w:shd w:val="clear" w:color="auto" w:fill="auto"/>
                <w:lang w:val="zh-CN"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10.2</w:t>
            </w:r>
          </w:p>
        </w:tc>
        <w:tc>
          <w:tcPr>
            <w:tcW w:w="8590" w:type="dxa"/>
            <w:gridSpan w:val="2"/>
          </w:tcPr>
          <w:p>
            <w:pPr>
              <w:keepNext w:val="0"/>
              <w:keepLines w:val="0"/>
              <w:pageBreakBefore w:val="0"/>
              <w:kinsoku/>
              <w:wordWrap/>
              <w:overflowPunct/>
              <w:bidi w:val="0"/>
              <w:snapToGrid w:val="0"/>
              <w:spacing w:line="360" w:lineRule="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lang w:val="en-US" w:eastAsia="zh-CN"/>
              </w:rPr>
              <w:t>异议（质疑）及投诉：</w:t>
            </w:r>
            <w:r>
              <w:rPr>
                <w:rFonts w:hint="eastAsia" w:ascii="仿宋" w:hAnsi="仿宋" w:eastAsia="仿宋" w:cs="仿宋"/>
                <w:color w:val="auto"/>
                <w:kern w:val="0"/>
                <w:sz w:val="21"/>
                <w:szCs w:val="21"/>
                <w:highlight w:val="none"/>
                <w:lang w:val="en-US" w:eastAsia="zh-CN"/>
              </w:rPr>
              <w:t>（1）潜在投标人或者其他利害关系人对资格预审文件有异议的，应当在提交资格预审申请文件截止时间2日前提出。对招标文件有异议的，应当在投标截止时间10日前提出。对开标的异议应当在开标会上当场提出。对依法必须进行招标项目的评标结果有异议的，应当在中标候选人公示期间提出。</w:t>
            </w:r>
          </w:p>
          <w:p>
            <w:pPr>
              <w:keepNext w:val="0"/>
              <w:keepLines w:val="0"/>
              <w:pageBreakBefore w:val="0"/>
              <w:kinsoku/>
              <w:wordWrap/>
              <w:overflowPunct/>
              <w:bidi w:val="0"/>
              <w:snapToGrid w:val="0"/>
              <w:spacing w:line="360" w:lineRule="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2）投标人或者其他利害关系人认为招标投标活动不符合法律、行政法规规定的，应当在知道或者应当知道其权益受到侵害之日起十日内向有关行政监督部门提出投诉。投诉应当有明确的请求和必要的证明材料。对资格预审文件、招标文件、开标和评标结果的投诉，应当以向招标人提出异议为前提，先向招标人提出异议，对招标人在规定时限内不答复或对招标人答复不满意时才能进行投诉。</w:t>
            </w:r>
          </w:p>
          <w:p>
            <w:pPr>
              <w:keepNext w:val="0"/>
              <w:keepLines w:val="0"/>
              <w:pageBreakBefore w:val="0"/>
              <w:kinsoku/>
              <w:wordWrap/>
              <w:overflowPunct/>
              <w:bidi w:val="0"/>
              <w:snapToGrid w:val="0"/>
              <w:spacing w:line="360" w:lineRule="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3）鉴于已经实行全流程电子化交易和在线监督，鼓励异议及投诉通过线上方式进行，也可采用线下纸质方式进行。根据系统功能和要求，直接参与具体项目交易的投标人线上异议及投诉，使用CA数字证书通过全国公共资源交易平台（云南省)暨云南省公共资源交易信息网“投标人”模块进行提交，其他利害关系人通过全国公共资源交易平台（云南省）暨云南省公共资源交易信息网“交易监督”模块进行提交。</w:t>
            </w:r>
          </w:p>
          <w:p>
            <w:pPr>
              <w:keepNext w:val="0"/>
              <w:keepLines w:val="0"/>
              <w:pageBreakBefore w:val="0"/>
              <w:kinsoku/>
              <w:wordWrap/>
              <w:overflowPunct/>
              <w:bidi w:val="0"/>
              <w:snapToGrid w:val="0"/>
              <w:spacing w:line="360" w:lineRule="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4）招标人及招标代理机构和行政监督部门对线上异议及投诉的，采用线上方式进行受理答复，对通过线下纸质方式进行异议及投诉的，按纸质方式进行受理答复。同一内容同时进行线上异议及投诉和提交纸质进行异议及投诉的，以线上答复为主，通过在线答复后不再进行书面答复。就同一内容同时通过两个模块提交异议及投诉的，招标人及行政监督部门只通过“投标人”模块进行受理答复，在“交易监督”模块作简要告知。</w:t>
            </w:r>
          </w:p>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shd w:val="clear" w:color="auto" w:fill="auto"/>
                <w:lang w:val="en-US" w:eastAsia="zh-CN"/>
              </w:rPr>
            </w:pPr>
            <w:r>
              <w:rPr>
                <w:rFonts w:hint="eastAsia" w:ascii="仿宋" w:hAnsi="仿宋" w:eastAsia="仿宋" w:cs="仿宋"/>
                <w:color w:val="auto"/>
                <w:kern w:val="0"/>
                <w:sz w:val="21"/>
                <w:szCs w:val="21"/>
                <w:highlight w:val="none"/>
                <w:lang w:val="en-US" w:eastAsia="zh-CN"/>
              </w:rPr>
              <w:t>（5）投诉人不得以投诉为名排挤竞争对手，不得进行虚假、恶意投诉，阻碍招标投标活动的正常进行。投诉人可以直接投诉，也可以委托代理人办理投诉事务。代理人通过线上方式办理投诉事务的，应将授权委托书连同投诉书一并扫描上传。代理人采用纸质方式办理投诉事务的，应将授权委托书连同投诉书一</w:t>
            </w:r>
            <w:bookmarkStart w:id="384" w:name="_GoBack"/>
            <w:bookmarkEnd w:id="384"/>
            <w:r>
              <w:rPr>
                <w:rFonts w:hint="eastAsia" w:ascii="仿宋" w:hAnsi="仿宋" w:eastAsia="仿宋" w:cs="仿宋"/>
                <w:color w:val="auto"/>
                <w:kern w:val="0"/>
                <w:sz w:val="21"/>
                <w:szCs w:val="21"/>
                <w:highlight w:val="none"/>
                <w:lang w:val="en-US" w:eastAsia="zh-CN"/>
              </w:rPr>
              <w:t>并提交给行政监督部门,授权委托书应当明确有关委托代理权限和事项（行政监督部门：牟定县农业农村局，联系电话：0878-6012528）。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 w:hRule="atLeast"/>
          <w:jc w:val="center"/>
        </w:trPr>
        <w:tc>
          <w:tcPr>
            <w:tcW w:w="936"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10.3</w:t>
            </w:r>
          </w:p>
        </w:tc>
        <w:tc>
          <w:tcPr>
            <w:tcW w:w="8590" w:type="dxa"/>
            <w:gridSpan w:val="2"/>
          </w:tcPr>
          <w:p>
            <w:pPr>
              <w:pageBreakBefore w:val="0"/>
              <w:kinsoku/>
              <w:overflowPunct/>
              <w:topLinePunct w:val="0"/>
              <w:bidi w:val="0"/>
              <w:spacing w:line="360" w:lineRule="auto"/>
              <w:jc w:val="both"/>
              <w:textAlignment w:val="auto"/>
              <w:rPr>
                <w:rFonts w:hint="eastAsia" w:ascii="仿宋" w:hAnsi="仿宋" w:eastAsia="仿宋" w:cs="仿宋"/>
                <w:color w:val="auto"/>
                <w:sz w:val="21"/>
                <w:szCs w:val="21"/>
                <w:highlight w:val="none"/>
                <w:shd w:val="clear" w:color="auto" w:fill="auto"/>
                <w:lang w:val="en-US" w:eastAsia="zh-CN"/>
              </w:rPr>
            </w:pPr>
            <w:r>
              <w:rPr>
                <w:rFonts w:hint="eastAsia" w:ascii="仿宋" w:hAnsi="仿宋" w:eastAsia="仿宋" w:cs="仿宋"/>
                <w:color w:val="auto"/>
                <w:kern w:val="0"/>
                <w:sz w:val="21"/>
                <w:szCs w:val="21"/>
                <w:highlight w:val="none"/>
                <w:lang w:val="en-US" w:eastAsia="zh-CN"/>
              </w:rPr>
              <w:t>中标通知书的发放与合同签订：中标通知书和合同签订以在线方式发放(布)，实施全流程电子化交易。</w:t>
            </w:r>
          </w:p>
        </w:tc>
      </w:tr>
    </w:tbl>
    <w:p>
      <w:pPr>
        <w:pageBreakBefore w:val="0"/>
        <w:kinsoku/>
        <w:overflowPunct/>
        <w:topLinePunct w:val="0"/>
        <w:bidi w:val="0"/>
        <w:spacing w:line="360" w:lineRule="auto"/>
        <w:textAlignment w:val="auto"/>
        <w:rPr>
          <w:rFonts w:hint="eastAsia" w:ascii="仿宋" w:hAnsi="仿宋" w:eastAsia="仿宋" w:cs="仿宋"/>
          <w:color w:val="auto"/>
          <w:highlight w:val="none"/>
        </w:rPr>
        <w:sectPr>
          <w:footerReference r:id="rId13" w:type="first"/>
          <w:footerReference r:id="rId12" w:type="default"/>
          <w:pgSz w:w="11906" w:h="16838"/>
          <w:pgMar w:top="1134" w:right="1418" w:bottom="1134" w:left="1418" w:header="850" w:footer="850" w:gutter="0"/>
          <w:pgBorders>
            <w:top w:val="none" w:color="auto" w:sz="0" w:space="0"/>
            <w:left w:val="none" w:color="auto" w:sz="0" w:space="0"/>
            <w:bottom w:val="none" w:color="auto" w:sz="0" w:space="0"/>
            <w:right w:val="none" w:color="auto" w:sz="0" w:space="0"/>
          </w:pgBorders>
          <w:pgNumType w:fmt="decimal" w:start="1"/>
          <w:cols w:space="720" w:num="1"/>
          <w:titlePg/>
          <w:docGrid w:linePitch="312" w:charSpace="0"/>
        </w:sectPr>
      </w:pPr>
      <w:bookmarkStart w:id="57" w:name="_Toc429155361"/>
    </w:p>
    <w:p>
      <w:pPr>
        <w:pageBreakBefore w:val="0"/>
        <w:kinsoku/>
        <w:overflowPunct/>
        <w:topLinePunct w:val="0"/>
        <w:bidi w:val="0"/>
        <w:spacing w:before="480" w:beforeLines="200" w:after="120" w:afterLines="50" w:line="360" w:lineRule="auto"/>
        <w:jc w:val="center"/>
        <w:textAlignment w:val="auto"/>
        <w:outlineLvl w:val="9"/>
        <w:rPr>
          <w:rFonts w:hint="eastAsia" w:ascii="仿宋" w:hAnsi="仿宋" w:eastAsia="仿宋" w:cs="仿宋"/>
          <w:color w:val="auto"/>
          <w:sz w:val="30"/>
          <w:szCs w:val="30"/>
          <w:highlight w:val="none"/>
        </w:rPr>
      </w:pPr>
      <w:bookmarkStart w:id="58" w:name="_Toc3952"/>
      <w:r>
        <w:rPr>
          <w:rFonts w:hint="eastAsia" w:ascii="仿宋" w:hAnsi="仿宋" w:eastAsia="仿宋" w:cs="仿宋"/>
          <w:color w:val="auto"/>
          <w:sz w:val="30"/>
          <w:szCs w:val="30"/>
          <w:highlight w:val="none"/>
        </w:rPr>
        <w:t>投标须知</w:t>
      </w:r>
      <w:bookmarkEnd w:id="57"/>
      <w:bookmarkEnd w:id="58"/>
    </w:p>
    <w:p>
      <w:pPr>
        <w:pStyle w:val="4"/>
        <w:pageBreakBefore w:val="0"/>
        <w:kinsoku/>
        <w:overflowPunct/>
        <w:topLinePunct w:val="0"/>
        <w:bidi w:val="0"/>
        <w:spacing w:before="0" w:after="0" w:line="360" w:lineRule="auto"/>
        <w:textAlignment w:val="auto"/>
        <w:rPr>
          <w:rFonts w:hint="eastAsia" w:ascii="仿宋" w:hAnsi="仿宋" w:eastAsia="仿宋" w:cs="仿宋"/>
          <w:color w:val="auto"/>
          <w:highlight w:val="none"/>
        </w:rPr>
      </w:pPr>
      <w:bookmarkStart w:id="59" w:name="_Toc30889"/>
      <w:bookmarkStart w:id="60" w:name="_Toc10104"/>
      <w:r>
        <w:rPr>
          <w:rFonts w:hint="eastAsia" w:ascii="仿宋" w:hAnsi="仿宋" w:eastAsia="仿宋" w:cs="仿宋"/>
          <w:color w:val="auto"/>
          <w:highlight w:val="none"/>
        </w:rPr>
        <w:t>1.总   则</w:t>
      </w:r>
      <w:bookmarkEnd w:id="59"/>
      <w:bookmarkEnd w:id="60"/>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1.1 </w:t>
      </w:r>
      <w:r>
        <w:rPr>
          <w:rFonts w:hint="eastAsia" w:ascii="仿宋" w:hAnsi="仿宋" w:eastAsia="仿宋" w:cs="仿宋"/>
          <w:color w:val="auto"/>
          <w:sz w:val="21"/>
          <w:szCs w:val="21"/>
          <w:highlight w:val="none"/>
          <w:lang w:eastAsia="zh-CN"/>
        </w:rPr>
        <w:t>供货范围</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1.1.1《中华人民共和国招标投标法》等有关法律、法规和规章的规定，本招标项目已具备招标条件，现对该项目的</w:t>
      </w:r>
      <w:r>
        <w:rPr>
          <w:rFonts w:hint="eastAsia" w:ascii="仿宋" w:hAnsi="仿宋" w:eastAsia="仿宋" w:cs="仿宋"/>
          <w:color w:val="auto"/>
          <w:sz w:val="21"/>
          <w:szCs w:val="21"/>
          <w:highlight w:val="none"/>
          <w:lang w:val="en-US" w:eastAsia="zh-CN"/>
        </w:rPr>
        <w:t>供货</w:t>
      </w:r>
      <w:r>
        <w:rPr>
          <w:rFonts w:hint="eastAsia" w:ascii="仿宋" w:hAnsi="仿宋" w:eastAsia="仿宋" w:cs="仿宋"/>
          <w:color w:val="auto"/>
          <w:sz w:val="21"/>
          <w:szCs w:val="21"/>
          <w:highlight w:val="none"/>
        </w:rPr>
        <w:t>单位进行招标。</w:t>
      </w:r>
    </w:p>
    <w:p>
      <w:pPr>
        <w:pageBreakBefore w:val="0"/>
        <w:kinsoku/>
        <w:overflowPunct/>
        <w:topLinePunct w:val="0"/>
        <w:bidi w:val="0"/>
        <w:spacing w:line="360" w:lineRule="auto"/>
        <w:ind w:firstLine="472" w:firstLineChars="22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1.1.2 本招标项目招标人：见投标人须知前附表。</w:t>
      </w:r>
    </w:p>
    <w:p>
      <w:pPr>
        <w:pageBreakBefore w:val="0"/>
        <w:kinsoku/>
        <w:overflowPunct/>
        <w:topLinePunct w:val="0"/>
        <w:bidi w:val="0"/>
        <w:spacing w:line="360" w:lineRule="auto"/>
        <w:ind w:firstLine="472" w:firstLineChars="22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1.1.3 本项目招标代理机构：见投标人须知前附表。</w:t>
      </w:r>
    </w:p>
    <w:p>
      <w:pPr>
        <w:pageBreakBefore w:val="0"/>
        <w:kinsoku/>
        <w:overflowPunct/>
        <w:topLinePunct w:val="0"/>
        <w:bidi w:val="0"/>
        <w:spacing w:line="360" w:lineRule="auto"/>
        <w:ind w:firstLine="472" w:firstLineChars="22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1.1.4 本招标项目名称：见投标人须知前附表。</w:t>
      </w:r>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 资金来源和落实情况</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1.2.1 本招标项目的资金落实情况：见投标人须知前附表。</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1.2.2 本招标项目的出资比例：见投标人须知前附表。</w:t>
      </w:r>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 </w:t>
      </w:r>
      <w:r>
        <w:rPr>
          <w:rFonts w:hint="eastAsia" w:ascii="仿宋" w:hAnsi="仿宋" w:eastAsia="仿宋" w:cs="仿宋"/>
          <w:color w:val="auto"/>
          <w:sz w:val="21"/>
          <w:szCs w:val="21"/>
          <w:highlight w:val="none"/>
          <w:lang w:val="en-US" w:eastAsia="zh-CN"/>
        </w:rPr>
        <w:t>供货范围</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供货周期</w:t>
      </w:r>
      <w:r>
        <w:rPr>
          <w:rFonts w:hint="eastAsia" w:ascii="仿宋" w:hAnsi="仿宋" w:eastAsia="仿宋" w:cs="仿宋"/>
          <w:color w:val="auto"/>
          <w:sz w:val="21"/>
          <w:szCs w:val="21"/>
          <w:highlight w:val="none"/>
        </w:rPr>
        <w:t>和质量要求</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1.3.1本招标项目的</w:t>
      </w:r>
      <w:r>
        <w:rPr>
          <w:rFonts w:hint="eastAsia" w:ascii="仿宋" w:hAnsi="仿宋" w:eastAsia="仿宋" w:cs="仿宋"/>
          <w:color w:val="auto"/>
          <w:sz w:val="21"/>
          <w:szCs w:val="21"/>
          <w:highlight w:val="none"/>
          <w:lang w:val="en-US" w:eastAsia="zh-CN"/>
        </w:rPr>
        <w:t>供货范围</w:t>
      </w:r>
      <w:r>
        <w:rPr>
          <w:rFonts w:hint="eastAsia" w:ascii="仿宋" w:hAnsi="仿宋" w:eastAsia="仿宋" w:cs="仿宋"/>
          <w:color w:val="auto"/>
          <w:sz w:val="21"/>
          <w:szCs w:val="21"/>
          <w:highlight w:val="none"/>
        </w:rPr>
        <w:t>：见投标人须知前附表。</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1.3.2本招标项目的标段划分：见投标人须知前附表。</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1.3.3本招标项目的</w:t>
      </w:r>
      <w:r>
        <w:rPr>
          <w:rFonts w:hint="eastAsia" w:ascii="仿宋" w:hAnsi="仿宋" w:eastAsia="仿宋" w:cs="仿宋"/>
          <w:color w:val="auto"/>
          <w:sz w:val="21"/>
          <w:szCs w:val="21"/>
          <w:highlight w:val="none"/>
          <w:lang w:eastAsia="zh-CN"/>
        </w:rPr>
        <w:t>供货周期</w:t>
      </w:r>
      <w:r>
        <w:rPr>
          <w:rFonts w:hint="eastAsia" w:ascii="仿宋" w:hAnsi="仿宋" w:eastAsia="仿宋" w:cs="仿宋"/>
          <w:color w:val="auto"/>
          <w:sz w:val="21"/>
          <w:szCs w:val="21"/>
          <w:highlight w:val="none"/>
        </w:rPr>
        <w:t>：见投标人须知前附表。</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1.3.4本招标项目的质量标准：见投标人须知前附表。</w:t>
      </w:r>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 投标人资格要求</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1.4.1投标人应具备承担本项目的资质条件、能力和信誉：</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（1）营业执照：见投标人须知前附表；</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（2）财务要求：见投标人须知前附表；</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val="en-US" w:eastAsia="zh-CN"/>
        </w:rPr>
        <w:t>资格证书</w:t>
      </w:r>
      <w:r>
        <w:rPr>
          <w:rFonts w:hint="eastAsia" w:ascii="仿宋" w:hAnsi="仿宋" w:eastAsia="仿宋" w:cs="仿宋"/>
          <w:color w:val="auto"/>
          <w:sz w:val="21"/>
          <w:szCs w:val="21"/>
          <w:highlight w:val="none"/>
        </w:rPr>
        <w:t>：见投标人须知前附表；</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（4）业绩要求：见投标人须知前附表；</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（5）信誉要求：见投标人须知前附表；</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1.4.2 本项目招标的资格审查方式：见投标人须知前附表。</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1.4.3 本项目招标是否接受联合体投标：见投标人须知前附表。</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1.4.4 投标人不得存在下列情形之一：</w:t>
      </w:r>
    </w:p>
    <w:p>
      <w:pPr>
        <w:pageBreakBefore w:val="0"/>
        <w:shd w:val="clear" w:color="auto" w:fill="auto"/>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（l）为招标人不具有独立法人资格的附属机构（单位）</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 xml:space="preserve"> </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（2）为本标段的代</w:t>
      </w:r>
      <w:r>
        <w:rPr>
          <w:rFonts w:hint="eastAsia" w:ascii="仿宋" w:hAnsi="仿宋" w:eastAsia="仿宋" w:cs="仿宋"/>
          <w:color w:val="auto"/>
          <w:sz w:val="21"/>
          <w:szCs w:val="21"/>
          <w:highlight w:val="none"/>
          <w:lang w:val="en-US" w:eastAsia="zh-CN"/>
        </w:rPr>
        <w:t>管</w:t>
      </w:r>
      <w:r>
        <w:rPr>
          <w:rFonts w:hint="eastAsia" w:ascii="仿宋" w:hAnsi="仿宋" w:eastAsia="仿宋" w:cs="仿宋"/>
          <w:color w:val="auto"/>
          <w:sz w:val="21"/>
          <w:szCs w:val="21"/>
          <w:highlight w:val="none"/>
        </w:rPr>
        <w:t>人；</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（3）为本标段提供招标代理服务的；</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（4）与本标段的代</w:t>
      </w:r>
      <w:r>
        <w:rPr>
          <w:rFonts w:hint="eastAsia" w:ascii="仿宋" w:hAnsi="仿宋" w:eastAsia="仿宋" w:cs="仿宋"/>
          <w:color w:val="auto"/>
          <w:sz w:val="21"/>
          <w:szCs w:val="21"/>
          <w:highlight w:val="none"/>
          <w:lang w:val="en-US" w:eastAsia="zh-CN"/>
        </w:rPr>
        <w:t>管</w:t>
      </w:r>
      <w:r>
        <w:rPr>
          <w:rFonts w:hint="eastAsia" w:ascii="仿宋" w:hAnsi="仿宋" w:eastAsia="仿宋" w:cs="仿宋"/>
          <w:color w:val="auto"/>
          <w:sz w:val="21"/>
          <w:szCs w:val="21"/>
          <w:highlight w:val="none"/>
        </w:rPr>
        <w:t>人或招标代理机构同为一个法定代表人的；</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（5）与本标段的代</w:t>
      </w:r>
      <w:r>
        <w:rPr>
          <w:rFonts w:hint="eastAsia" w:ascii="仿宋" w:hAnsi="仿宋" w:eastAsia="仿宋" w:cs="仿宋"/>
          <w:color w:val="auto"/>
          <w:sz w:val="21"/>
          <w:szCs w:val="21"/>
          <w:highlight w:val="none"/>
          <w:lang w:val="en-US" w:eastAsia="zh-CN"/>
        </w:rPr>
        <w:t>管</w:t>
      </w:r>
      <w:r>
        <w:rPr>
          <w:rFonts w:hint="eastAsia" w:ascii="仿宋" w:hAnsi="仿宋" w:eastAsia="仿宋" w:cs="仿宋"/>
          <w:color w:val="auto"/>
          <w:sz w:val="21"/>
          <w:szCs w:val="21"/>
          <w:highlight w:val="none"/>
        </w:rPr>
        <w:t>人或招标代理机构相互控股或参股的；</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（6）与本标段的代管人或招标代理机构相互任职或工作的；</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（7）被责令停业的；</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（8）被暂停或取消投标资格的；</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（9）财产被接管或冻结的。</w:t>
      </w:r>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 费用承担</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1.5.1 投标人承担其参加本项目招标活动自身所发生的费用。不管投标结果如何，招标人对投标费用不负任何责任。</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1.5.2本项目对未中标单位不给予经济补偿。</w:t>
      </w:r>
    </w:p>
    <w:p>
      <w:pPr>
        <w:pageBreakBefore w:val="0"/>
        <w:kinsoku/>
        <w:overflowPunct/>
        <w:topLinePunct w:val="0"/>
        <w:bidi w:val="0"/>
        <w:spacing w:line="360" w:lineRule="auto"/>
        <w:ind w:firstLine="422" w:firstLineChars="200"/>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1.5.3本项目招标代理费由中标人承担，招标代理费</w:t>
      </w:r>
      <w:r>
        <w:rPr>
          <w:rFonts w:hint="eastAsia" w:ascii="仿宋" w:hAnsi="仿宋" w:eastAsia="仿宋" w:cs="仿宋"/>
          <w:b/>
          <w:bCs/>
          <w:color w:val="auto"/>
          <w:sz w:val="21"/>
          <w:szCs w:val="21"/>
          <w:highlight w:val="none"/>
          <w:lang w:eastAsia="zh-CN"/>
        </w:rPr>
        <w:t>为包干价</w:t>
      </w:r>
      <w:r>
        <w:rPr>
          <w:rFonts w:hint="eastAsia" w:ascii="仿宋" w:hAnsi="仿宋" w:eastAsia="仿宋" w:cs="仿宋"/>
          <w:b/>
          <w:bCs/>
          <w:color w:val="auto"/>
          <w:sz w:val="21"/>
          <w:szCs w:val="21"/>
          <w:highlight w:val="none"/>
          <w:lang w:val="en-US" w:eastAsia="zh-CN"/>
        </w:rPr>
        <w:t>21300.00元，</w:t>
      </w:r>
      <w:r>
        <w:rPr>
          <w:rFonts w:hint="eastAsia" w:ascii="仿宋" w:hAnsi="仿宋" w:eastAsia="仿宋" w:cs="仿宋"/>
          <w:b/>
          <w:bCs/>
          <w:color w:val="auto"/>
          <w:sz w:val="21"/>
          <w:szCs w:val="21"/>
          <w:highlight w:val="none"/>
        </w:rPr>
        <w:t>由中标人在领取中标通知书时一次性支付。</w:t>
      </w:r>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1.6 保密</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参与招标投标活动的各方应对招标文件和投标文件中的商业和技术等秘密保密，违者应对由此造成的后果承担法律责任。</w:t>
      </w:r>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1.7 语言文字</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除专用术语外，与招标投标有关的语言均使用中文。必要时专用术语应附中文注释。</w:t>
      </w:r>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1.8 计量单位</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所有计量均采用中华人民共和国法定计量单位。</w:t>
      </w:r>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1.9 踏勘现场</w:t>
      </w:r>
    </w:p>
    <w:p>
      <w:pPr>
        <w:pageBreakBefore w:val="0"/>
        <w:kinsoku/>
        <w:overflowPunct/>
        <w:topLinePunct w:val="0"/>
        <w:bidi w:val="0"/>
        <w:spacing w:line="360" w:lineRule="auto"/>
        <w:ind w:firstLine="472" w:firstLineChars="22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1.9.1 投标人踏勘现场发生的费用自理。</w:t>
      </w:r>
    </w:p>
    <w:p>
      <w:pPr>
        <w:pageBreakBefore w:val="0"/>
        <w:kinsoku/>
        <w:overflowPunct/>
        <w:topLinePunct w:val="0"/>
        <w:bidi w:val="0"/>
        <w:spacing w:line="360" w:lineRule="auto"/>
        <w:ind w:firstLine="472" w:firstLineChars="22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1.9.2 除招标人的原因外，投标人自行负责在踏勘现场中所发生的人员伤亡和财产损失。</w:t>
      </w:r>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1.10 投标预备会</w:t>
      </w:r>
    </w:p>
    <w:p>
      <w:pPr>
        <w:pageBreakBefore w:val="0"/>
        <w:kinsoku/>
        <w:overflowPunct/>
        <w:topLinePunct w:val="0"/>
        <w:bidi w:val="0"/>
        <w:spacing w:line="360" w:lineRule="auto"/>
        <w:ind w:firstLine="472" w:firstLineChars="22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不召开投标预备会</w:t>
      </w:r>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1.11 分包</w:t>
      </w:r>
    </w:p>
    <w:p>
      <w:pPr>
        <w:pageBreakBefore w:val="0"/>
        <w:kinsoku/>
        <w:overflowPunct/>
        <w:topLinePunct w:val="0"/>
        <w:bidi w:val="0"/>
        <w:spacing w:line="360" w:lineRule="auto"/>
        <w:ind w:firstLine="472" w:firstLineChars="22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本招标项目不允许违法分包。</w:t>
      </w:r>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1.12 偏离</w:t>
      </w:r>
    </w:p>
    <w:p>
      <w:pPr>
        <w:pageBreakBefore w:val="0"/>
        <w:kinsoku/>
        <w:overflowPunct/>
        <w:topLinePunct w:val="0"/>
        <w:bidi w:val="0"/>
        <w:spacing w:line="360" w:lineRule="auto"/>
        <w:ind w:firstLine="472" w:firstLineChars="22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投标人须知前附表允许投标人偏离招标文件某些要求的，偏离应当符合招标文件规定的偏离范围和幅度，不允许偏离。</w:t>
      </w:r>
    </w:p>
    <w:p>
      <w:pPr>
        <w:pStyle w:val="4"/>
        <w:pageBreakBefore w:val="0"/>
        <w:kinsoku/>
        <w:overflowPunct/>
        <w:topLinePunct w:val="0"/>
        <w:bidi w:val="0"/>
        <w:spacing w:before="0" w:after="0" w:line="360" w:lineRule="auto"/>
        <w:textAlignment w:val="auto"/>
        <w:rPr>
          <w:rFonts w:hint="eastAsia" w:ascii="仿宋" w:hAnsi="仿宋" w:eastAsia="仿宋" w:cs="仿宋"/>
          <w:color w:val="auto"/>
          <w:highlight w:val="none"/>
        </w:rPr>
      </w:pPr>
      <w:bookmarkStart w:id="61" w:name="_Toc4131"/>
      <w:bookmarkStart w:id="62" w:name="_Toc9214"/>
      <w:r>
        <w:rPr>
          <w:rFonts w:hint="eastAsia" w:ascii="仿宋" w:hAnsi="仿宋" w:eastAsia="仿宋" w:cs="仿宋"/>
          <w:color w:val="auto"/>
          <w:highlight w:val="none"/>
        </w:rPr>
        <w:t>2.招标文件</w:t>
      </w:r>
      <w:bookmarkEnd w:id="61"/>
      <w:bookmarkEnd w:id="62"/>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 招标文件的组成</w:t>
      </w:r>
    </w:p>
    <w:p>
      <w:pPr>
        <w:pageBreakBefore w:val="0"/>
        <w:kinsoku/>
        <w:overflowPunct/>
        <w:topLinePunct w:val="0"/>
        <w:bidi w:val="0"/>
        <w:spacing w:line="360" w:lineRule="auto"/>
        <w:ind w:firstLine="472" w:firstLineChars="22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2.1.1招标文件包括下列内容：</w:t>
      </w:r>
    </w:p>
    <w:p>
      <w:pPr>
        <w:pageBreakBefore w:val="0"/>
        <w:kinsoku/>
        <w:overflowPunct/>
        <w:topLinePunct w:val="0"/>
        <w:bidi w:val="0"/>
        <w:spacing w:line="360" w:lineRule="auto"/>
        <w:ind w:firstLine="1102" w:firstLineChars="52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第一章  招标公告</w:t>
      </w:r>
    </w:p>
    <w:p>
      <w:pPr>
        <w:pageBreakBefore w:val="0"/>
        <w:kinsoku/>
        <w:overflowPunct/>
        <w:topLinePunct w:val="0"/>
        <w:bidi w:val="0"/>
        <w:spacing w:line="360" w:lineRule="auto"/>
        <w:ind w:firstLine="1102" w:firstLineChars="52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第二章  投标须知及投标须知前附表</w:t>
      </w:r>
    </w:p>
    <w:p>
      <w:pPr>
        <w:pageBreakBefore w:val="0"/>
        <w:kinsoku/>
        <w:overflowPunct/>
        <w:topLinePunct w:val="0"/>
        <w:bidi w:val="0"/>
        <w:spacing w:line="360" w:lineRule="auto"/>
        <w:ind w:firstLine="1102" w:firstLineChars="52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第三章  评标办法</w:t>
      </w:r>
    </w:p>
    <w:p>
      <w:pPr>
        <w:pageBreakBefore w:val="0"/>
        <w:kinsoku/>
        <w:overflowPunct/>
        <w:topLinePunct w:val="0"/>
        <w:bidi w:val="0"/>
        <w:spacing w:line="360" w:lineRule="auto"/>
        <w:ind w:firstLine="1102" w:firstLineChars="52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第四章  合同条款及格式</w:t>
      </w:r>
    </w:p>
    <w:p>
      <w:pPr>
        <w:pageBreakBefore w:val="0"/>
        <w:kinsoku/>
        <w:overflowPunct/>
        <w:topLinePunct w:val="0"/>
        <w:bidi w:val="0"/>
        <w:spacing w:line="360" w:lineRule="auto"/>
        <w:ind w:firstLine="1102" w:firstLineChars="52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第五章  招标人要求</w:t>
      </w:r>
    </w:p>
    <w:p>
      <w:pPr>
        <w:pageBreakBefore w:val="0"/>
        <w:kinsoku/>
        <w:overflowPunct/>
        <w:topLinePunct w:val="0"/>
        <w:bidi w:val="0"/>
        <w:spacing w:line="360" w:lineRule="auto"/>
        <w:ind w:firstLine="1102" w:firstLineChars="52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第六章  投标文件格式</w:t>
      </w:r>
    </w:p>
    <w:p>
      <w:pPr>
        <w:pageBreakBefore w:val="0"/>
        <w:kinsoku/>
        <w:overflowPunct/>
        <w:topLinePunct w:val="0"/>
        <w:bidi w:val="0"/>
        <w:spacing w:line="360" w:lineRule="auto"/>
        <w:ind w:firstLine="472" w:firstLineChars="22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根据本章第1.10款、第2.2款和2.3款对招标文件所作的澄清、修改，构成招标文件的组成部分。</w:t>
      </w:r>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 招标文件的澄清</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2.2.1投标人应仔细阅读和检查招标文件的全部内容。如发现缺项或内容不全，应在投标人须知前附表规定的截止时间前凭身份认证密匙登录云南省公共资源交易信息网（https://ggzy.yn.gov.cn），选择地区：“</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”，进入“</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公共资源交易电子服务系统”。使用企业数字证书（CA）在公共资源交易系统中，通过网络在线方式进行匿名提问。</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2.2.2投标截止时间：见投标人须知前附表。</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2.2.3招标澄清和补遗全部通过网络送达，请投标人在投标截止日前，务必查询云南省公共资源交易信息网（https://ggzy.yn.gov.cn），选择地区：“</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”，进入“</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公共资源交易电子服务系统”。使用企业数字证书（CA）在公共资源交易系统中，投标人自行云南省公共资源交易信息网（https://ggzy.yn.gov.cn），选择地区：“</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”，进入“</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公共资源交易电子服务系统”。使用企业数字证书（CA）在公共资源交易系统中，获取澄清，无须回复确认已收到该澄清，招标人不再另行通知。</w:t>
      </w:r>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2.3 招标文件的修改</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2.3.1在投标截止时间15天前，招标人确需要变更招标文件内容的，招标人可主动或在解答投标人提出的澄清问题时对招标文件进行修改。招标人无论对评标办法、评审项目等重要评审内容作何种变更，都要重新制作电子招标文件，并重新备案，同时发布补遗文件进行说明以保证各投标人都能重新下载最新的电子招标文件用于编制电子投标文件。招标文件的修改将在云南省公共资源交易信息网（https://ggzy.yn.gov.cn），选择地区：“</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”，进入“</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公共资源交易电子服务系统”。使用企业数字证书（CA）在公共资源交易系统中发布，招标文件的修改作为招标文件的组成部分，并具有约束力。如果修改招标文件的时间距投标截止时间不足15日，相应延长投标截止时间。</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2.3.2投标人自行登录云南省公共资源交易信息网（https://ggzy.yn.gov.cn），选择地区：“</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”，进入“</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公共资源交易电子服务系统”。使用企业数字证书（CA）在公共资源交易系统中，收取修改内容，无须回复确认已收到该修改。投标人应在截标时间前随时查看云南省公共资源交易信息网（https://ggzy.yn.gov.cn），选择地区：“</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”，进入“</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公共资源交易电子服务系统”。使用企业数字证书（CA）在公共资源交易系统中有关该招标文件的答疑、补遗内容。否则，由此引起的投标损失自负。</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1"/>
          <w:szCs w:val="21"/>
          <w:highlight w:val="none"/>
        </w:rPr>
        <w:t>2.3.3招标文件、招标文件澄清、招标文件修改文件内容均以网上发布的为准，当招标文件、招标文件澄清、招标文件修改文件内容相互矛盾时，以最后发出的为准。</w:t>
      </w:r>
    </w:p>
    <w:p>
      <w:pPr>
        <w:pStyle w:val="4"/>
        <w:pageBreakBefore w:val="0"/>
        <w:kinsoku/>
        <w:overflowPunct/>
        <w:topLinePunct w:val="0"/>
        <w:bidi w:val="0"/>
        <w:spacing w:before="0" w:after="0" w:line="360" w:lineRule="auto"/>
        <w:textAlignment w:val="auto"/>
        <w:rPr>
          <w:rFonts w:hint="eastAsia" w:ascii="仿宋" w:hAnsi="仿宋" w:eastAsia="仿宋" w:cs="仿宋"/>
          <w:color w:val="auto"/>
          <w:highlight w:val="none"/>
        </w:rPr>
      </w:pPr>
      <w:bookmarkStart w:id="63" w:name="_Toc229583203"/>
      <w:bookmarkStart w:id="64" w:name="_Toc4772"/>
      <w:bookmarkStart w:id="65" w:name="_Toc2700"/>
      <w:r>
        <w:rPr>
          <w:rFonts w:hint="eastAsia" w:ascii="仿宋" w:hAnsi="仿宋" w:eastAsia="仿宋" w:cs="仿宋"/>
          <w:color w:val="auto"/>
          <w:highlight w:val="none"/>
        </w:rPr>
        <w:t>3.投标文件的编制</w:t>
      </w:r>
      <w:bookmarkEnd w:id="63"/>
      <w:bookmarkEnd w:id="64"/>
      <w:bookmarkEnd w:id="65"/>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3.1 投标文件的组成</w:t>
      </w:r>
    </w:p>
    <w:p>
      <w:pPr>
        <w:pageBreakBefore w:val="0"/>
        <w:kinsoku/>
        <w:overflowPunct/>
        <w:topLinePunct w:val="0"/>
        <w:bidi w:val="0"/>
        <w:spacing w:line="360" w:lineRule="auto"/>
        <w:ind w:left="400" w:leftChars="20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3.1.1投标函部分</w:t>
      </w:r>
    </w:p>
    <w:p>
      <w:pPr>
        <w:pageBreakBefore w:val="0"/>
        <w:kinsoku/>
        <w:overflowPunct/>
        <w:topLinePunct w:val="0"/>
        <w:bidi w:val="0"/>
        <w:spacing w:line="360" w:lineRule="auto"/>
        <w:ind w:left="400" w:leftChars="20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3.1.2 投标文件商务部分</w:t>
      </w:r>
    </w:p>
    <w:p>
      <w:pPr>
        <w:pageBreakBefore w:val="0"/>
        <w:kinsoku/>
        <w:overflowPunct/>
        <w:topLinePunct w:val="0"/>
        <w:bidi w:val="0"/>
        <w:spacing w:line="360" w:lineRule="auto"/>
        <w:ind w:left="400" w:leftChars="20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3.1.3 投标文件技术部分</w:t>
      </w:r>
    </w:p>
    <w:p>
      <w:pPr>
        <w:pageBreakBefore w:val="0"/>
        <w:kinsoku/>
        <w:overflowPunct/>
        <w:topLinePunct w:val="0"/>
        <w:bidi w:val="0"/>
        <w:spacing w:line="360" w:lineRule="auto"/>
        <w:ind w:left="400" w:leftChars="200" w:firstLine="420" w:firstLineChars="200"/>
        <w:textAlignment w:val="auto"/>
        <w:rPr>
          <w:rFonts w:hint="eastAsia" w:ascii="仿宋" w:hAnsi="仿宋" w:eastAsia="仿宋" w:cs="仿宋"/>
          <w:color w:val="auto"/>
          <w:kern w:val="1"/>
          <w:sz w:val="21"/>
          <w:szCs w:val="21"/>
          <w:highlight w:val="none"/>
        </w:rPr>
      </w:pPr>
      <w:r>
        <w:rPr>
          <w:rFonts w:hint="eastAsia" w:ascii="仿宋" w:hAnsi="仿宋" w:eastAsia="仿宋" w:cs="仿宋"/>
          <w:color w:val="auto"/>
          <w:sz w:val="21"/>
          <w:szCs w:val="21"/>
          <w:highlight w:val="none"/>
        </w:rPr>
        <w:t>3.1.4 资格审查部分</w:t>
      </w:r>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 投标报价</w:t>
      </w:r>
    </w:p>
    <w:p>
      <w:pPr>
        <w:pageBreakBefore w:val="0"/>
        <w:kinsoku/>
        <w:overflowPunct/>
        <w:topLinePunct w:val="0"/>
        <w:bidi w:val="0"/>
        <w:spacing w:line="360" w:lineRule="auto"/>
        <w:ind w:left="408" w:leftChars="204" w:firstLine="211" w:firstLineChars="100"/>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3.2.1报价方式：详见投标须知前附表</w:t>
      </w:r>
    </w:p>
    <w:p>
      <w:pPr>
        <w:pageBreakBefore w:val="0"/>
        <w:kinsoku/>
        <w:overflowPunct/>
        <w:topLinePunct w:val="0"/>
        <w:bidi w:val="0"/>
        <w:spacing w:line="360" w:lineRule="auto"/>
        <w:ind w:left="200" w:leftChars="100" w:firstLine="422" w:firstLineChars="200"/>
        <w:textAlignment w:val="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val="zh-CN"/>
        </w:rPr>
        <w:t>3.2.</w:t>
      </w:r>
      <w:r>
        <w:rPr>
          <w:rFonts w:hint="eastAsia" w:ascii="仿宋" w:hAnsi="仿宋" w:eastAsia="仿宋" w:cs="仿宋"/>
          <w:b/>
          <w:bCs/>
          <w:color w:val="auto"/>
          <w:sz w:val="21"/>
          <w:szCs w:val="21"/>
          <w:highlight w:val="none"/>
        </w:rPr>
        <w:t>2报价要求：详见投标须知前附表</w:t>
      </w:r>
    </w:p>
    <w:p>
      <w:pPr>
        <w:pageBreakBefore w:val="0"/>
        <w:kinsoku/>
        <w:overflowPunct/>
        <w:topLinePunct w:val="0"/>
        <w:bidi w:val="0"/>
        <w:spacing w:line="360" w:lineRule="auto"/>
        <w:ind w:firstLine="495" w:firstLineChars="236"/>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3.2.</w:t>
      </w: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val="zh-CN"/>
        </w:rPr>
        <w:t>报价中应包括：</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val="zh-CN"/>
        </w:rPr>
        <w:t>应根据</w:t>
      </w:r>
      <w:r>
        <w:rPr>
          <w:rFonts w:hint="eastAsia" w:ascii="仿宋" w:hAnsi="仿宋" w:eastAsia="仿宋" w:cs="仿宋"/>
          <w:color w:val="auto"/>
          <w:sz w:val="21"/>
          <w:szCs w:val="21"/>
          <w:highlight w:val="none"/>
          <w:lang w:val="zh-CN" w:eastAsia="zh-CN"/>
        </w:rPr>
        <w:t>招标</w:t>
      </w:r>
      <w:r>
        <w:rPr>
          <w:rFonts w:hint="eastAsia" w:ascii="仿宋" w:hAnsi="仿宋" w:eastAsia="仿宋" w:cs="仿宋"/>
          <w:color w:val="auto"/>
          <w:sz w:val="21"/>
          <w:szCs w:val="21"/>
          <w:highlight w:val="none"/>
          <w:lang w:val="zh-CN"/>
        </w:rPr>
        <w:t>文件、企业各自情况等进行报价的编制，报价应包含</w:t>
      </w:r>
      <w:r>
        <w:rPr>
          <w:rFonts w:hint="eastAsia" w:ascii="仿宋" w:hAnsi="仿宋" w:eastAsia="仿宋" w:cs="仿宋"/>
          <w:color w:val="auto"/>
          <w:sz w:val="21"/>
          <w:szCs w:val="21"/>
          <w:highlight w:val="none"/>
          <w:lang w:val="en-US" w:eastAsia="zh-CN"/>
        </w:rPr>
        <w:t>服务</w:t>
      </w:r>
      <w:r>
        <w:rPr>
          <w:rFonts w:hint="eastAsia" w:ascii="仿宋" w:hAnsi="仿宋" w:eastAsia="仿宋" w:cs="仿宋"/>
          <w:color w:val="auto"/>
          <w:sz w:val="21"/>
          <w:szCs w:val="21"/>
          <w:highlight w:val="none"/>
          <w:lang w:val="zh-CN"/>
        </w:rPr>
        <w:t>范围（服务期限）内的全部内容：人工成本、绩效（奖金）、加班费、保险、成本、管理费、利润及税金等。</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val="zh-CN"/>
        </w:rPr>
        <w:t>应充分考虑本项目合同实施期间可能发生的一切费用，并承担由此而带来的风险。该报价应符合国内行情并能保证完成履行合同（服务期限内）所需的一切工作，恶意报价视为不能完全履行合同内容。报价一经确定为成交价，在合同实施期间将不因市场价格的变化而调整。</w:t>
      </w:r>
    </w:p>
    <w:p>
      <w:pPr>
        <w:pageBreakBefore w:val="0"/>
        <w:kinsoku/>
        <w:overflowPunct/>
        <w:topLinePunct w:val="0"/>
        <w:bidi w:val="0"/>
        <w:spacing w:line="360" w:lineRule="auto"/>
        <w:ind w:left="200" w:leftChars="10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3.2.</w:t>
      </w:r>
      <w:r>
        <w:rPr>
          <w:rFonts w:hint="eastAsia" w:ascii="仿宋" w:hAnsi="仿宋" w:eastAsia="仿宋" w:cs="仿宋"/>
          <w:color w:val="auto"/>
          <w:sz w:val="21"/>
          <w:szCs w:val="21"/>
          <w:highlight w:val="none"/>
        </w:rPr>
        <w:t>4投标报价由投标人自行考虑但不得低于企业成本价，投标报价应为投标人为完成此项目所需的全部费用，投标人不得以任何理由再收取其他费用。</w:t>
      </w:r>
    </w:p>
    <w:p>
      <w:pPr>
        <w:pageBreakBefore w:val="0"/>
        <w:kinsoku/>
        <w:overflowPunct/>
        <w:topLinePunct w:val="0"/>
        <w:bidi w:val="0"/>
        <w:spacing w:line="360" w:lineRule="auto"/>
        <w:ind w:left="200" w:leftChars="100" w:firstLine="420" w:firstLineChars="200"/>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3.2.5</w:t>
      </w:r>
      <w:r>
        <w:rPr>
          <w:rFonts w:hint="eastAsia" w:ascii="仿宋" w:hAnsi="仿宋" w:eastAsia="仿宋" w:cs="仿宋"/>
          <w:color w:val="auto"/>
          <w:sz w:val="21"/>
          <w:szCs w:val="21"/>
          <w:highlight w:val="none"/>
          <w:lang w:val="zh-CN"/>
        </w:rPr>
        <w:t>投标人若有招标文件未提及的优惠条件，可补充说明。</w:t>
      </w:r>
    </w:p>
    <w:p>
      <w:pPr>
        <w:pageBreakBefore w:val="0"/>
        <w:kinsoku/>
        <w:overflowPunct/>
        <w:topLinePunct w:val="0"/>
        <w:bidi w:val="0"/>
        <w:spacing w:line="360" w:lineRule="auto"/>
        <w:ind w:left="200" w:leftChars="10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3.2.</w:t>
      </w:r>
      <w:r>
        <w:rPr>
          <w:rFonts w:hint="eastAsia" w:ascii="仿宋" w:hAnsi="仿宋" w:eastAsia="仿宋" w:cs="仿宋"/>
          <w:color w:val="auto"/>
          <w:sz w:val="21"/>
          <w:szCs w:val="21"/>
          <w:highlight w:val="none"/>
        </w:rPr>
        <w:t>6</w:t>
      </w:r>
      <w:r>
        <w:rPr>
          <w:rFonts w:hint="eastAsia" w:ascii="仿宋" w:hAnsi="仿宋" w:eastAsia="仿宋" w:cs="仿宋"/>
          <w:color w:val="auto"/>
          <w:sz w:val="21"/>
          <w:szCs w:val="21"/>
          <w:highlight w:val="none"/>
          <w:lang w:val="zh-CN"/>
        </w:rPr>
        <w:t>招标人不承诺最低报价中标。</w:t>
      </w:r>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3.3 投标有效期</w:t>
      </w:r>
    </w:p>
    <w:p>
      <w:pPr>
        <w:pageBreakBefore w:val="0"/>
        <w:kinsoku/>
        <w:overflowPunct/>
        <w:topLinePunct w:val="0"/>
        <w:bidi w:val="0"/>
        <w:spacing w:line="360" w:lineRule="auto"/>
        <w:ind w:firstLine="472" w:firstLineChars="22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3.3.1 在投标人须知前附表规定的投标有效期内，投标人不得要求撤销或修改其投标文件。</w:t>
      </w:r>
    </w:p>
    <w:p>
      <w:pPr>
        <w:pageBreakBefore w:val="0"/>
        <w:kinsoku/>
        <w:overflowPunct/>
        <w:topLinePunct w:val="0"/>
        <w:bidi w:val="0"/>
        <w:spacing w:line="360" w:lineRule="auto"/>
        <w:ind w:firstLine="472" w:firstLineChars="22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3.3.2 出现特殊情况需要延长投标有效期的，招标人以书面形式通知所有投标人延长。投标人同意延长的，应相应延长其投标保证金的有效期，但不得要求或被允许修改或撤销其投标文件；投标人拒绝延长的，其投标失效，但投标人有权收回其投标保证金。</w:t>
      </w:r>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3.4 投标保证金</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3.4.1 投标人在递交投标文件的同时，应按投标人须知前附表规定的金额、形式、递交时间递交投标保证金，并作为其投标文件的组成部分。</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3.4.2 投标人不按本章第3.4.1项要求提交投标保证金的，其投标文件作否决投标处理。</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3.4.3 未中标投标人的投标保证金将在中标通知书发出后5工作日内退还（不计利息）；中标人的投标保证金，在中标人与招标人签订合同后5工作日内予以退还（不计利息）。</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3.4.4 有下列情形之一的，投标保证金将不予退还：</w:t>
      </w:r>
    </w:p>
    <w:p>
      <w:pPr>
        <w:pageBreakBefore w:val="0"/>
        <w:shd w:val="clear" w:color="auto" w:fill="auto"/>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（1）投标人在招标文件规定的投标有效期内撤回其投标文件的；</w:t>
      </w:r>
    </w:p>
    <w:p>
      <w:pPr>
        <w:pageBreakBefore w:val="0"/>
        <w:shd w:val="clear" w:color="auto" w:fill="auto"/>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（2）投标人拒绝接受修正标价的；</w:t>
      </w:r>
    </w:p>
    <w:p>
      <w:pPr>
        <w:pageBreakBefore w:val="0"/>
        <w:shd w:val="clear" w:color="auto" w:fill="auto"/>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（3）中标人未能在规定期限内签订合同的，或在签订合同时要求变更投标承诺和变更投标报价的；</w:t>
      </w:r>
    </w:p>
    <w:p>
      <w:pPr>
        <w:pageBreakBefore w:val="0"/>
        <w:shd w:val="clear" w:color="auto" w:fill="auto"/>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（4）中标人对招标文件（含合同条款等）的内容提出修改要求的；</w:t>
      </w:r>
    </w:p>
    <w:p>
      <w:pPr>
        <w:pageBreakBefore w:val="0"/>
        <w:shd w:val="clear" w:color="auto" w:fill="auto"/>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（5）投标人无故不参加投标或者出现不廉洁行为的；</w:t>
      </w:r>
    </w:p>
    <w:p>
      <w:pPr>
        <w:pageBreakBefore w:val="0"/>
        <w:shd w:val="clear" w:color="auto" w:fill="auto"/>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（6）投标人采用不正当的手段骗取中标的；</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（7）在合同签订时，要求变更投标承诺和变更投标报价（含单价、合价或总价的）。</w:t>
      </w:r>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3.5 资格审查资料</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kern w:val="1"/>
          <w:sz w:val="21"/>
          <w:szCs w:val="21"/>
          <w:highlight w:val="none"/>
        </w:rPr>
      </w:pPr>
      <w:r>
        <w:rPr>
          <w:rFonts w:hint="eastAsia" w:ascii="仿宋" w:hAnsi="仿宋" w:eastAsia="仿宋" w:cs="仿宋"/>
          <w:color w:val="auto"/>
          <w:kern w:val="1"/>
          <w:sz w:val="21"/>
          <w:szCs w:val="21"/>
          <w:highlight w:val="none"/>
        </w:rPr>
        <w:t>3.5.1投标人在编制投标文件时，应按招标文件要求提供资格审查资料，以证实其各项资格条件满足资格审查的要求，具备承担本项目的资格条件、能力和信誉。</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1"/>
          <w:sz w:val="21"/>
          <w:szCs w:val="21"/>
          <w:highlight w:val="none"/>
        </w:rPr>
        <w:t>3.5.</w:t>
      </w:r>
      <w:r>
        <w:rPr>
          <w:rFonts w:hint="eastAsia" w:ascii="仿宋" w:hAnsi="仿宋" w:eastAsia="仿宋" w:cs="仿宋"/>
          <w:color w:val="auto"/>
          <w:kern w:val="1"/>
          <w:sz w:val="21"/>
          <w:szCs w:val="21"/>
          <w:highlight w:val="none"/>
          <w:lang w:val="en-US" w:eastAsia="zh-CN"/>
        </w:rPr>
        <w:t>2</w:t>
      </w:r>
      <w:r>
        <w:rPr>
          <w:rFonts w:hint="eastAsia" w:ascii="仿宋" w:hAnsi="仿宋" w:eastAsia="仿宋" w:cs="仿宋"/>
          <w:color w:val="auto"/>
          <w:kern w:val="1"/>
          <w:sz w:val="21"/>
          <w:szCs w:val="21"/>
          <w:highlight w:val="none"/>
        </w:rPr>
        <w:t>本项目资格审查采用合格制审查方法。</w:t>
      </w:r>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3.6 备选投标方案</w:t>
      </w:r>
    </w:p>
    <w:p>
      <w:pPr>
        <w:pageBreakBefore w:val="0"/>
        <w:kinsoku/>
        <w:overflowPunct/>
        <w:topLinePunct w:val="0"/>
        <w:bidi w:val="0"/>
        <w:spacing w:line="360" w:lineRule="auto"/>
        <w:ind w:firstLine="480"/>
        <w:textAlignment w:val="auto"/>
        <w:rPr>
          <w:rFonts w:hint="eastAsia" w:ascii="仿宋" w:hAnsi="仿宋" w:eastAsia="仿宋" w:cs="仿宋"/>
          <w:color w:val="auto"/>
          <w:kern w:val="1"/>
          <w:sz w:val="21"/>
          <w:szCs w:val="21"/>
          <w:highlight w:val="none"/>
        </w:rPr>
      </w:pPr>
      <w:bookmarkStart w:id="66" w:name="_Toc229583204"/>
      <w:r>
        <w:rPr>
          <w:rFonts w:hint="eastAsia" w:ascii="仿宋" w:hAnsi="仿宋" w:eastAsia="仿宋" w:cs="仿宋"/>
          <w:color w:val="auto"/>
          <w:kern w:val="1"/>
          <w:sz w:val="21"/>
          <w:szCs w:val="21"/>
          <w:highlight w:val="none"/>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bookmarkStart w:id="67" w:name="_Toc247513978"/>
      <w:bookmarkEnd w:id="67"/>
      <w:bookmarkStart w:id="68" w:name="_Toc300834975"/>
      <w:bookmarkEnd w:id="68"/>
      <w:bookmarkStart w:id="69" w:name="_Toc392611657"/>
      <w:bookmarkEnd w:id="69"/>
      <w:bookmarkStart w:id="70" w:name="_Toc247527579"/>
      <w:bookmarkEnd w:id="70"/>
      <w:bookmarkStart w:id="71" w:name="_Toc392259922"/>
      <w:bookmarkEnd w:id="71"/>
      <w:bookmarkStart w:id="72" w:name="_Toc441590818"/>
      <w:bookmarkEnd w:id="72"/>
      <w:bookmarkStart w:id="73" w:name="_Toc27140"/>
      <w:r>
        <w:rPr>
          <w:rFonts w:hint="eastAsia" w:ascii="仿宋" w:hAnsi="仿宋" w:eastAsia="仿宋" w:cs="仿宋"/>
          <w:color w:val="auto"/>
          <w:sz w:val="21"/>
          <w:szCs w:val="21"/>
          <w:highlight w:val="none"/>
        </w:rPr>
        <w:t>3.7 投标文件的编制</w:t>
      </w:r>
      <w:bookmarkEnd w:id="73"/>
    </w:p>
    <w:p>
      <w:pPr>
        <w:pageBreakBefore w:val="0"/>
        <w:kinsoku/>
        <w:overflowPunct/>
        <w:topLinePunct w:val="0"/>
        <w:bidi w:val="0"/>
        <w:spacing w:line="360" w:lineRule="auto"/>
        <w:ind w:firstLine="472" w:firstLineChars="225"/>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3.7.1 投标文件应按第六章“投标文件格式”进行编写，如有必要，可以增加附页，作为投标文件的组成部分。其中，投标函附录在满足招标文件实质性要求的基础上，可以提出比招标文件要求更有利于招标人的承诺。</w:t>
      </w:r>
    </w:p>
    <w:p>
      <w:pPr>
        <w:pageBreakBefore w:val="0"/>
        <w:kinsoku/>
        <w:overflowPunct/>
        <w:topLinePunct w:val="0"/>
        <w:bidi w:val="0"/>
        <w:spacing w:line="360" w:lineRule="auto"/>
        <w:ind w:firstLine="472" w:firstLineChars="225"/>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3.7.2投标文件应当对招标文件有关</w:t>
      </w:r>
      <w:r>
        <w:rPr>
          <w:rFonts w:hint="eastAsia" w:ascii="仿宋" w:hAnsi="仿宋" w:eastAsia="仿宋" w:cs="仿宋"/>
          <w:bCs/>
          <w:color w:val="auto"/>
          <w:sz w:val="21"/>
          <w:szCs w:val="21"/>
          <w:highlight w:val="none"/>
          <w:lang w:eastAsia="zh-CN"/>
        </w:rPr>
        <w:t>供货周期</w:t>
      </w:r>
      <w:r>
        <w:rPr>
          <w:rFonts w:hint="eastAsia" w:ascii="仿宋" w:hAnsi="仿宋" w:eastAsia="仿宋" w:cs="仿宋"/>
          <w:bCs/>
          <w:color w:val="auto"/>
          <w:sz w:val="21"/>
          <w:szCs w:val="21"/>
          <w:highlight w:val="none"/>
        </w:rPr>
        <w:t>、投标有效期、质量要求、技术标准和要求、招标范围等实质性内容作出响应。</w:t>
      </w:r>
    </w:p>
    <w:p>
      <w:pPr>
        <w:pageBreakBefore w:val="0"/>
        <w:kinsoku/>
        <w:overflowPunct/>
        <w:topLinePunct w:val="0"/>
        <w:bidi w:val="0"/>
        <w:spacing w:line="360" w:lineRule="auto"/>
        <w:ind w:firstLine="472" w:firstLineChars="225"/>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3.7.3 投标文件应由投标人的法定代表人或其委托代理人签名或盖单位公章。委托代理人签名的，投标文件应附法定代表人签署的授权委托书。投标文件应尽量避免涂改、行间插字或删除。如果出现上述情况，改动之处应加盖单位公章或由投标人的法定代表人或其授权的代理人签名确认。签名或盖章的具体要求见投标人须知前附表。</w:t>
      </w:r>
    </w:p>
    <w:p>
      <w:pPr>
        <w:pStyle w:val="4"/>
        <w:pageBreakBefore w:val="0"/>
        <w:kinsoku/>
        <w:overflowPunct/>
        <w:topLinePunct w:val="0"/>
        <w:bidi w:val="0"/>
        <w:spacing w:before="0" w:after="0" w:line="360" w:lineRule="auto"/>
        <w:textAlignment w:val="auto"/>
        <w:rPr>
          <w:rFonts w:hint="eastAsia" w:ascii="仿宋" w:hAnsi="仿宋" w:eastAsia="仿宋" w:cs="仿宋"/>
          <w:color w:val="auto"/>
          <w:highlight w:val="none"/>
        </w:rPr>
      </w:pPr>
      <w:bookmarkStart w:id="74" w:name="_Toc14583"/>
      <w:bookmarkStart w:id="75" w:name="_Toc23480"/>
      <w:r>
        <w:rPr>
          <w:rFonts w:hint="eastAsia" w:ascii="仿宋" w:hAnsi="仿宋" w:eastAsia="仿宋" w:cs="仿宋"/>
          <w:color w:val="auto"/>
          <w:highlight w:val="none"/>
        </w:rPr>
        <w:t>4.投标</w:t>
      </w:r>
      <w:bookmarkEnd w:id="66"/>
      <w:bookmarkEnd w:id="74"/>
      <w:bookmarkEnd w:id="75"/>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bookmarkStart w:id="76" w:name="_Toc229583205"/>
      <w:bookmarkStart w:id="77" w:name="_Toc229583208"/>
      <w:bookmarkStart w:id="78" w:name="_Toc429155362"/>
      <w:bookmarkStart w:id="79" w:name="_Toc224363895"/>
      <w:r>
        <w:rPr>
          <w:rFonts w:hint="eastAsia" w:ascii="仿宋" w:hAnsi="仿宋" w:eastAsia="仿宋" w:cs="仿宋"/>
          <w:color w:val="auto"/>
          <w:sz w:val="21"/>
          <w:szCs w:val="21"/>
          <w:highlight w:val="none"/>
        </w:rPr>
        <w:t>4.1投标文件的上传</w:t>
      </w:r>
    </w:p>
    <w:p>
      <w:pPr>
        <w:pageBreakBefore w:val="0"/>
        <w:kinsoku/>
        <w:overflowPunct/>
        <w:topLinePunct w:val="0"/>
        <w:bidi w:val="0"/>
        <w:spacing w:line="360" w:lineRule="auto"/>
        <w:ind w:firstLine="472" w:firstLineChars="22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4.1.1 投标人应在“投标须知前附表”第 2.2.2 项规定的投标截止时间前将电子投标文件上传到云南省公共资源交易信息网（https://ggzy.yn.gov.cn），未按规定在投标截止时间前上传投标文件的，视为撤回其投标文件。 </w:t>
      </w:r>
    </w:p>
    <w:p>
      <w:pPr>
        <w:pageBreakBefore w:val="0"/>
        <w:kinsoku/>
        <w:overflowPunct/>
        <w:topLinePunct w:val="0"/>
        <w:bidi w:val="0"/>
        <w:spacing w:line="360" w:lineRule="auto"/>
        <w:ind w:firstLine="472" w:firstLineChars="22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4.1.2 除投标人须知前附表另有规定外，投标人所递交的投标文件不予退还。 </w:t>
      </w:r>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bookmarkStart w:id="80" w:name="_Toc8629"/>
      <w:bookmarkStart w:id="81" w:name="_Toc15004"/>
      <w:r>
        <w:rPr>
          <w:rFonts w:hint="eastAsia" w:ascii="仿宋" w:hAnsi="仿宋" w:eastAsia="仿宋" w:cs="仿宋"/>
          <w:color w:val="auto"/>
          <w:sz w:val="21"/>
          <w:szCs w:val="21"/>
          <w:highlight w:val="none"/>
        </w:rPr>
        <w:t>4.2 投标文件的修改与撤回</w:t>
      </w:r>
      <w:bookmarkEnd w:id="80"/>
      <w:bookmarkEnd w:id="81"/>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4.2.1 在本章“投标须知前附表”第 2.2.2 项规定的投标截止时间前，投标人可以修改或撤回已在网上上传的投标文件，无须书面形式通知招标人。</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4.2.2 投标人在本章“投标须知前附表”第 2.2.2 项规定的投标截止时间前撤回投标文件的，可在规定时间内申请退还已缴纳的投标保证金。</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4.2.3 修改的内容为投标文件的组成部分。修改的投标文件应按照本章第 3 条、第 4 条规定进行编制和上传。</w:t>
      </w:r>
    </w:p>
    <w:p>
      <w:pPr>
        <w:pStyle w:val="4"/>
        <w:pageBreakBefore w:val="0"/>
        <w:kinsoku/>
        <w:overflowPunct/>
        <w:topLinePunct w:val="0"/>
        <w:bidi w:val="0"/>
        <w:spacing w:before="0" w:after="0" w:line="360" w:lineRule="auto"/>
        <w:textAlignment w:val="auto"/>
        <w:rPr>
          <w:rFonts w:hint="eastAsia" w:ascii="仿宋" w:hAnsi="仿宋" w:eastAsia="仿宋" w:cs="仿宋"/>
          <w:color w:val="auto"/>
          <w:highlight w:val="none"/>
        </w:rPr>
      </w:pPr>
      <w:bookmarkStart w:id="82" w:name="_Toc27152"/>
      <w:bookmarkStart w:id="83" w:name="_Toc5607"/>
      <w:bookmarkStart w:id="84" w:name="_Toc5442"/>
      <w:bookmarkStart w:id="85" w:name="_Toc23579"/>
      <w:bookmarkStart w:id="86" w:name="_Toc25243"/>
      <w:bookmarkStart w:id="87" w:name="_Toc23116"/>
      <w:r>
        <w:rPr>
          <w:rFonts w:hint="eastAsia" w:ascii="仿宋" w:hAnsi="仿宋" w:eastAsia="仿宋" w:cs="仿宋"/>
          <w:color w:val="auto"/>
          <w:highlight w:val="none"/>
        </w:rPr>
        <w:t>5.开   标</w:t>
      </w:r>
      <w:bookmarkEnd w:id="76"/>
      <w:bookmarkEnd w:id="82"/>
      <w:bookmarkEnd w:id="83"/>
      <w:bookmarkEnd w:id="84"/>
      <w:bookmarkEnd w:id="85"/>
      <w:bookmarkEnd w:id="86"/>
      <w:bookmarkEnd w:id="87"/>
    </w:p>
    <w:p>
      <w:pPr>
        <w:pStyle w:val="8"/>
        <w:pageBreakBefore w:val="0"/>
        <w:kinsoku/>
        <w:overflowPunct/>
        <w:topLinePunct w:val="0"/>
        <w:bidi w:val="0"/>
        <w:spacing w:before="0" w:after="0" w:line="360" w:lineRule="auto"/>
        <w:textAlignment w:val="auto"/>
        <w:rPr>
          <w:rFonts w:hint="eastAsia" w:ascii="仿宋" w:hAnsi="仿宋" w:eastAsia="仿宋" w:cs="仿宋"/>
          <w:color w:val="auto"/>
          <w:sz w:val="21"/>
          <w:szCs w:val="21"/>
          <w:highlight w:val="none"/>
        </w:rPr>
      </w:pPr>
      <w:bookmarkStart w:id="88" w:name="_Toc11971"/>
      <w:bookmarkStart w:id="89" w:name="_Toc19267"/>
      <w:r>
        <w:rPr>
          <w:rFonts w:hint="eastAsia" w:ascii="仿宋" w:hAnsi="仿宋" w:eastAsia="仿宋" w:cs="仿宋"/>
          <w:color w:val="auto"/>
          <w:sz w:val="21"/>
          <w:szCs w:val="21"/>
          <w:highlight w:val="none"/>
        </w:rPr>
        <w:t>5.1 开标时间和地点</w:t>
      </w:r>
      <w:bookmarkEnd w:id="88"/>
      <w:bookmarkEnd w:id="89"/>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5.1.1招标人在本章投标人须知前附表</w:t>
      </w:r>
      <w:r>
        <w:rPr>
          <w:rFonts w:hint="eastAsia" w:ascii="仿宋" w:hAnsi="仿宋" w:eastAsia="仿宋" w:cs="仿宋"/>
          <w:color w:val="auto"/>
          <w:sz w:val="21"/>
          <w:szCs w:val="22"/>
          <w:highlight w:val="none"/>
        </w:rPr>
        <w:t>“投标须知前附表”</w:t>
      </w:r>
      <w:r>
        <w:rPr>
          <w:rFonts w:hint="eastAsia" w:ascii="仿宋" w:hAnsi="仿宋" w:eastAsia="仿宋" w:cs="仿宋"/>
          <w:color w:val="auto"/>
          <w:sz w:val="21"/>
          <w:szCs w:val="21"/>
          <w:highlight w:val="none"/>
        </w:rPr>
        <w:t>第2.2.2项规定的投标截止时间（开标时间）和投标人须知前附表规定的地点公开开标，</w:t>
      </w:r>
      <w:r>
        <w:rPr>
          <w:rFonts w:hint="eastAsia" w:ascii="仿宋" w:hAnsi="仿宋" w:eastAsia="仿宋" w:cs="仿宋"/>
          <w:bCs/>
          <w:color w:val="auto"/>
          <w:sz w:val="21"/>
          <w:szCs w:val="21"/>
          <w:highlight w:val="none"/>
        </w:rPr>
        <w:t>并邀请所有投标人准时参加。</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bookmarkStart w:id="90" w:name="_Toc31856"/>
      <w:bookmarkStart w:id="91" w:name="_Toc3115"/>
      <w:r>
        <w:rPr>
          <w:rFonts w:hint="eastAsia" w:ascii="仿宋" w:hAnsi="仿宋" w:eastAsia="仿宋" w:cs="仿宋"/>
          <w:color w:val="auto"/>
          <w:sz w:val="21"/>
          <w:szCs w:val="21"/>
          <w:highlight w:val="none"/>
        </w:rPr>
        <w:t>5.2 开标程序</w:t>
      </w:r>
      <w:bookmarkEnd w:id="90"/>
      <w:bookmarkEnd w:id="91"/>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主持人按下列程序进行开标：</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（l）宣布开标纪律；</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（2）公布在投标截止时间前递交投标文件的投标人名称；</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（3）宣布开标人、唱标人、记录人、监标人等有关人员姓名；</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（4）按照投标人须知前附表规定检查投标文件的密封情况；</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云南省公共资源交易信息网（https://ggzy.yn.gov.cn），在【网上办事】专栏-点击【在线开标】进入网上开标大厅，提取所有已成功上传的投标文件，由投标人对网上上传已加密的投标文件进行网上解密，解密完成后导入有效投标人的电子投标文件。所有有效投标文件导入完成后进行唱标公布投标人</w:t>
      </w:r>
      <w:r>
        <w:rPr>
          <w:rFonts w:hint="eastAsia" w:ascii="仿宋" w:hAnsi="仿宋" w:eastAsia="仿宋" w:cs="仿宋"/>
          <w:color w:val="auto"/>
          <w:sz w:val="21"/>
          <w:szCs w:val="21"/>
          <w:highlight w:val="none"/>
          <w:shd w:val="clear" w:color="auto" w:fill="auto"/>
        </w:rPr>
        <w:t>名称、投标报价、</w:t>
      </w:r>
      <w:r>
        <w:rPr>
          <w:rFonts w:hint="eastAsia" w:ascii="仿宋" w:hAnsi="仿宋" w:eastAsia="仿宋" w:cs="仿宋"/>
          <w:color w:val="auto"/>
          <w:sz w:val="21"/>
          <w:szCs w:val="21"/>
          <w:highlight w:val="none"/>
          <w:shd w:val="clear" w:color="auto" w:fill="auto"/>
          <w:lang w:val="en-US" w:eastAsia="zh-CN"/>
        </w:rPr>
        <w:t>供货周期承诺</w:t>
      </w:r>
      <w:r>
        <w:rPr>
          <w:rFonts w:hint="eastAsia" w:ascii="仿宋" w:hAnsi="仿宋" w:eastAsia="仿宋" w:cs="仿宋"/>
          <w:color w:val="auto"/>
          <w:sz w:val="21"/>
          <w:szCs w:val="21"/>
          <w:highlight w:val="none"/>
          <w:shd w:val="clear" w:color="auto" w:fill="auto"/>
        </w:rPr>
        <w:t>、</w:t>
      </w:r>
      <w:r>
        <w:rPr>
          <w:rFonts w:hint="eastAsia" w:ascii="仿宋" w:hAnsi="仿宋" w:eastAsia="仿宋" w:cs="仿宋"/>
          <w:color w:val="auto"/>
          <w:sz w:val="21"/>
          <w:szCs w:val="21"/>
          <w:highlight w:val="none"/>
          <w:shd w:val="clear" w:color="auto" w:fill="auto"/>
          <w:lang w:val="en-US" w:eastAsia="zh-CN"/>
        </w:rPr>
        <w:t>质量承诺</w:t>
      </w:r>
      <w:r>
        <w:rPr>
          <w:rFonts w:hint="eastAsia" w:ascii="仿宋" w:hAnsi="仿宋" w:eastAsia="仿宋" w:cs="仿宋"/>
          <w:color w:val="auto"/>
          <w:sz w:val="21"/>
          <w:szCs w:val="21"/>
          <w:highlight w:val="none"/>
          <w:shd w:val="clear" w:color="auto" w:fill="auto"/>
        </w:rPr>
        <w:t>及其他内容</w:t>
      </w:r>
      <w:r>
        <w:rPr>
          <w:rFonts w:hint="eastAsia" w:ascii="仿宋" w:hAnsi="仿宋" w:eastAsia="仿宋" w:cs="仿宋"/>
          <w:color w:val="auto"/>
          <w:sz w:val="21"/>
          <w:szCs w:val="21"/>
          <w:highlight w:val="none"/>
        </w:rPr>
        <w:t>，并记录在案。因投标人原因造成投标文件未解密的，视为撤销其投标文件；</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（6）投标人代表、招标人代表、监标人、记录人等有关人员在开标记录上签名确认；</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（7）开标结束。</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bookmarkStart w:id="92" w:name="_Toc6735"/>
      <w:bookmarkStart w:id="93" w:name="_Toc8427"/>
      <w:r>
        <w:rPr>
          <w:rFonts w:hint="eastAsia" w:ascii="仿宋" w:hAnsi="仿宋" w:eastAsia="仿宋" w:cs="仿宋"/>
          <w:color w:val="auto"/>
          <w:sz w:val="21"/>
          <w:szCs w:val="21"/>
          <w:highlight w:val="none"/>
        </w:rPr>
        <w:t>5.3 投标文件的有效性</w:t>
      </w:r>
      <w:bookmarkEnd w:id="92"/>
      <w:bookmarkEnd w:id="93"/>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开标时，投标文件出现下列情形之一的，应当作为无效投标文件，不得进入评标：</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（1）逾期送达的；</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（2）因投标人原因造成投标文件未解密或上传不成功的。</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bookmarkStart w:id="94" w:name="_Toc16635"/>
      <w:bookmarkStart w:id="95" w:name="_Toc12197"/>
      <w:r>
        <w:rPr>
          <w:rFonts w:hint="eastAsia" w:ascii="仿宋" w:hAnsi="仿宋" w:eastAsia="仿宋" w:cs="仿宋"/>
          <w:color w:val="auto"/>
          <w:sz w:val="21"/>
          <w:szCs w:val="21"/>
          <w:highlight w:val="none"/>
        </w:rPr>
        <w:t>5.4 文件的细微偏差</w:t>
      </w:r>
      <w:bookmarkEnd w:id="94"/>
      <w:bookmarkEnd w:id="95"/>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5.4.1投标文件的细微偏差是指投标文件在实质上响应招标文件的要求，但在个别地方存在漏项或者提供了不完整的技术信息和数据等情况，并且补正这些遗漏或者不完整不会对其他投标人造成不公平的结果。细微偏差不影响投标文件的有效性。下列情况属细微偏差：</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5.4.1.1在算术性复核中发现的算术性差错。</w:t>
      </w:r>
    </w:p>
    <w:p>
      <w:pPr>
        <w:pStyle w:val="4"/>
        <w:pageBreakBefore w:val="0"/>
        <w:kinsoku/>
        <w:overflowPunct/>
        <w:topLinePunct w:val="0"/>
        <w:bidi w:val="0"/>
        <w:spacing w:before="0" w:after="0" w:line="360" w:lineRule="auto"/>
        <w:textAlignment w:val="auto"/>
        <w:rPr>
          <w:rFonts w:hint="eastAsia" w:ascii="仿宋" w:hAnsi="仿宋" w:eastAsia="仿宋" w:cs="仿宋"/>
          <w:color w:val="auto"/>
          <w:highlight w:val="none"/>
        </w:rPr>
      </w:pPr>
      <w:bookmarkStart w:id="96" w:name="_Toc30087"/>
      <w:bookmarkStart w:id="97" w:name="_Toc24804"/>
      <w:bookmarkStart w:id="98" w:name="_Toc28196"/>
      <w:bookmarkStart w:id="99" w:name="_Toc229583206"/>
      <w:bookmarkStart w:id="100" w:name="_Toc14192"/>
      <w:bookmarkStart w:id="101" w:name="_Toc13871"/>
      <w:bookmarkStart w:id="102" w:name="_Toc32679"/>
      <w:r>
        <w:rPr>
          <w:rFonts w:hint="eastAsia" w:ascii="仿宋" w:hAnsi="仿宋" w:eastAsia="仿宋" w:cs="仿宋"/>
          <w:color w:val="auto"/>
          <w:highlight w:val="none"/>
        </w:rPr>
        <w:t>6.评   标</w:t>
      </w:r>
      <w:bookmarkEnd w:id="96"/>
      <w:bookmarkEnd w:id="97"/>
      <w:bookmarkEnd w:id="98"/>
      <w:bookmarkEnd w:id="99"/>
      <w:bookmarkEnd w:id="100"/>
      <w:bookmarkEnd w:id="101"/>
      <w:bookmarkEnd w:id="102"/>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bookmarkStart w:id="103" w:name="_Toc32529"/>
      <w:bookmarkStart w:id="104" w:name="_Toc20125"/>
      <w:r>
        <w:rPr>
          <w:rFonts w:hint="eastAsia" w:ascii="仿宋" w:hAnsi="仿宋" w:eastAsia="仿宋" w:cs="仿宋"/>
          <w:color w:val="auto"/>
          <w:sz w:val="21"/>
          <w:szCs w:val="21"/>
          <w:highlight w:val="none"/>
        </w:rPr>
        <w:t>6.1 评标委员会</w:t>
      </w:r>
      <w:bookmarkEnd w:id="103"/>
      <w:bookmarkEnd w:id="104"/>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6.1.1 评标由招标人依法组建的评标委员会负责。评标专家由专家库随机抽取的有关技术、经济等方面的专家</w:t>
      </w:r>
      <w:r>
        <w:rPr>
          <w:rFonts w:hint="eastAsia" w:ascii="仿宋" w:hAnsi="仿宋" w:eastAsia="仿宋" w:cs="仿宋"/>
          <w:color w:val="auto"/>
          <w:sz w:val="21"/>
          <w:szCs w:val="21"/>
          <w:highlight w:val="none"/>
          <w:lang w:eastAsia="zh-CN"/>
        </w:rPr>
        <w:t>和招标人代表</w:t>
      </w:r>
      <w:r>
        <w:rPr>
          <w:rFonts w:hint="eastAsia" w:ascii="仿宋" w:hAnsi="仿宋" w:eastAsia="仿宋" w:cs="仿宋"/>
          <w:color w:val="auto"/>
          <w:sz w:val="21"/>
          <w:szCs w:val="21"/>
          <w:highlight w:val="none"/>
        </w:rPr>
        <w:t>组成。评标委员会成员人数以及技术、经济等方面专家的确定方式见投标人须知前附表。</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6.1.2 评标委员会成员有下列情形之一的，应当回避：</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（1）招标人或投标人的主要负责人的近亲属。</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（2）项目主管部门或者行政监督部门的人员。</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（3）与投标人有利害关系的人不得进入本</w:t>
      </w:r>
      <w:r>
        <w:rPr>
          <w:rFonts w:hint="eastAsia" w:ascii="仿宋" w:hAnsi="仿宋" w:eastAsia="仿宋" w:cs="仿宋"/>
          <w:color w:val="auto"/>
          <w:sz w:val="21"/>
          <w:szCs w:val="21"/>
          <w:highlight w:val="none"/>
          <w:lang w:val="en-US" w:eastAsia="zh-CN"/>
        </w:rPr>
        <w:t>项目</w:t>
      </w:r>
      <w:r>
        <w:rPr>
          <w:rFonts w:hint="eastAsia" w:ascii="仿宋" w:hAnsi="仿宋" w:eastAsia="仿宋" w:cs="仿宋"/>
          <w:color w:val="auto"/>
          <w:sz w:val="21"/>
          <w:szCs w:val="21"/>
          <w:highlight w:val="none"/>
        </w:rPr>
        <w:t>的评标委员会。</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（4）曾因在招标、评标以及其他与招标投标有关活动中从事违法行为而受过行政处罚或刑事处罚的。</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bookmarkStart w:id="105" w:name="_Toc500"/>
      <w:bookmarkStart w:id="106" w:name="_Toc28733"/>
      <w:r>
        <w:rPr>
          <w:rFonts w:hint="eastAsia" w:ascii="仿宋" w:hAnsi="仿宋" w:eastAsia="仿宋" w:cs="仿宋"/>
          <w:color w:val="auto"/>
          <w:sz w:val="21"/>
          <w:szCs w:val="21"/>
          <w:highlight w:val="none"/>
        </w:rPr>
        <w:t>6.2 评标原则</w:t>
      </w:r>
      <w:bookmarkEnd w:id="105"/>
      <w:bookmarkEnd w:id="106"/>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评标活动应遵循公平、公正、科学、择优的原则，任何单位或个人不得非法干预或者影响评标过程和结果。</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bookmarkStart w:id="107" w:name="_Toc21840"/>
      <w:bookmarkStart w:id="108" w:name="_Toc28586"/>
      <w:r>
        <w:rPr>
          <w:rFonts w:hint="eastAsia" w:ascii="仿宋" w:hAnsi="仿宋" w:eastAsia="仿宋" w:cs="仿宋"/>
          <w:color w:val="auto"/>
          <w:sz w:val="21"/>
          <w:szCs w:val="21"/>
          <w:highlight w:val="none"/>
        </w:rPr>
        <w:t>6.3 评标</w:t>
      </w:r>
      <w:bookmarkEnd w:id="107"/>
      <w:bookmarkEnd w:id="108"/>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评标委员会按照第三章“评标办法”规定的方法、评审因素、标准和程序对投标文件进行评审。第三章“评标办法”没有规定的方法、评审因素和标准，不作为评标依据。</w:t>
      </w:r>
    </w:p>
    <w:p>
      <w:pPr>
        <w:pStyle w:val="4"/>
        <w:pageBreakBefore w:val="0"/>
        <w:kinsoku/>
        <w:overflowPunct/>
        <w:topLinePunct w:val="0"/>
        <w:bidi w:val="0"/>
        <w:spacing w:before="0" w:after="0" w:line="360" w:lineRule="auto"/>
        <w:textAlignment w:val="auto"/>
        <w:rPr>
          <w:rFonts w:hint="eastAsia" w:ascii="仿宋" w:hAnsi="仿宋" w:eastAsia="仿宋" w:cs="仿宋"/>
          <w:color w:val="auto"/>
          <w:highlight w:val="none"/>
        </w:rPr>
      </w:pPr>
      <w:bookmarkStart w:id="109" w:name="_Toc21234"/>
      <w:bookmarkStart w:id="110" w:name="_Toc7214"/>
      <w:bookmarkStart w:id="111" w:name="_Toc229583207"/>
      <w:bookmarkStart w:id="112" w:name="_Toc29391"/>
      <w:bookmarkStart w:id="113" w:name="_Toc1374"/>
      <w:bookmarkStart w:id="114" w:name="_Toc27883"/>
      <w:bookmarkStart w:id="115" w:name="_Toc26948"/>
      <w:r>
        <w:rPr>
          <w:rFonts w:hint="eastAsia" w:ascii="仿宋" w:hAnsi="仿宋" w:eastAsia="仿宋" w:cs="仿宋"/>
          <w:color w:val="auto"/>
          <w:highlight w:val="none"/>
        </w:rPr>
        <w:t>7.合同授予</w:t>
      </w:r>
      <w:bookmarkEnd w:id="109"/>
      <w:bookmarkEnd w:id="110"/>
      <w:bookmarkEnd w:id="111"/>
      <w:bookmarkEnd w:id="112"/>
      <w:bookmarkEnd w:id="113"/>
      <w:bookmarkEnd w:id="114"/>
      <w:bookmarkEnd w:id="115"/>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bookmarkStart w:id="116" w:name="_Toc31239"/>
      <w:bookmarkStart w:id="117" w:name="_Toc23827"/>
      <w:r>
        <w:rPr>
          <w:rFonts w:hint="eastAsia" w:ascii="仿宋" w:hAnsi="仿宋" w:eastAsia="仿宋" w:cs="仿宋"/>
          <w:color w:val="auto"/>
          <w:sz w:val="21"/>
          <w:szCs w:val="21"/>
          <w:highlight w:val="none"/>
        </w:rPr>
        <w:t>7.1 定标方式</w:t>
      </w:r>
      <w:bookmarkEnd w:id="116"/>
      <w:bookmarkEnd w:id="117"/>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除投标人须知前附表规定评标委员会直接确定中标人外，招标人依据评标委员会推荐的中标候选人确定中标人，评标委员会推荐中标候选人的人数见投标人须知前附表。</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bookmarkStart w:id="118" w:name="_Toc18199"/>
      <w:bookmarkStart w:id="119" w:name="_Toc24674"/>
      <w:r>
        <w:rPr>
          <w:rFonts w:hint="eastAsia" w:ascii="仿宋" w:hAnsi="仿宋" w:eastAsia="仿宋" w:cs="仿宋"/>
          <w:color w:val="auto"/>
          <w:sz w:val="21"/>
          <w:szCs w:val="21"/>
          <w:highlight w:val="none"/>
        </w:rPr>
        <w:t>7.2 中标通知</w:t>
      </w:r>
      <w:bookmarkEnd w:id="118"/>
      <w:bookmarkEnd w:id="119"/>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7.2.1招标人应当自接到评标委员会的评标报告之日起3工作日内，从评标委员会推荐的中标候选人中确定中标人。</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7.2.2中标人确定后，招标人应当将中标结果在发布招标公告的媒介上公示，公示期不得少于3日。公示期满无异议，或者投诉、异议不成立的，招标人应当在10日内向中标人发出中标通知书。</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7.2.3中标公示期间及中标通知书发出后，若第一中标候选人或中标人未发生人力不可抗拒的因素而无故放弃中标项目的，其投标保证金不予退还，给招标人造成损失的，由相关部门追究相应责任并进行处罚。</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依次确定其他中标候选人与招标人预期差距较大，或者对招标人明显不利的，招标人可以选择重新招标。</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bookmarkStart w:id="120" w:name="_Toc23851"/>
      <w:bookmarkStart w:id="121" w:name="_Toc31592"/>
      <w:r>
        <w:rPr>
          <w:rFonts w:hint="eastAsia" w:ascii="仿宋" w:hAnsi="仿宋" w:eastAsia="仿宋" w:cs="仿宋"/>
          <w:color w:val="auto"/>
          <w:sz w:val="21"/>
          <w:szCs w:val="21"/>
          <w:highlight w:val="none"/>
        </w:rPr>
        <w:t>7.3 履约担保</w:t>
      </w:r>
      <w:bookmarkEnd w:id="120"/>
      <w:bookmarkEnd w:id="121"/>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7.3.1 在签订合同前，中标人应按投标人须知前附表规定的担保形式和招标文件第四章“合同条款及格式”规定的或者事先经过招标人书面认可的履约担保格式向招标人提交履约担保。</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7.3.2 中标人不能按本章第7.3.1项要求提交履约担保的，视为放弃中标，其投标保证金不予退还，给招标人造成的损失超过投标保证金数额的，中标人还应当对超过部分予以赔偿。</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bookmarkStart w:id="122" w:name="_Toc32589"/>
      <w:bookmarkStart w:id="123" w:name="_Toc22196"/>
      <w:r>
        <w:rPr>
          <w:rFonts w:hint="eastAsia" w:ascii="仿宋" w:hAnsi="仿宋" w:eastAsia="仿宋" w:cs="仿宋"/>
          <w:color w:val="auto"/>
          <w:sz w:val="21"/>
          <w:szCs w:val="21"/>
          <w:highlight w:val="none"/>
        </w:rPr>
        <w:t>7.4 签订委托协议书</w:t>
      </w:r>
      <w:bookmarkEnd w:id="122"/>
      <w:bookmarkEnd w:id="123"/>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7.4.1 招标人和中标人应当自中标通知书发出之日起30 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7.4.2 发出中标通知书后，招标人无正当理由拒签合同的，招标人向中标人退还投标保证金；给中标人造成损失的，还应当赔偿损失。</w:t>
      </w:r>
    </w:p>
    <w:p>
      <w:pPr>
        <w:pStyle w:val="4"/>
        <w:pageBreakBefore w:val="0"/>
        <w:kinsoku/>
        <w:overflowPunct/>
        <w:topLinePunct w:val="0"/>
        <w:bidi w:val="0"/>
        <w:spacing w:before="0" w:after="0" w:line="360" w:lineRule="auto"/>
        <w:textAlignment w:val="auto"/>
        <w:rPr>
          <w:rFonts w:hint="eastAsia" w:ascii="仿宋" w:hAnsi="仿宋" w:eastAsia="仿宋" w:cs="仿宋"/>
          <w:color w:val="auto"/>
          <w:highlight w:val="none"/>
        </w:rPr>
      </w:pPr>
      <w:bookmarkStart w:id="124" w:name="_Toc26947"/>
      <w:bookmarkStart w:id="125" w:name="_Toc19943"/>
      <w:bookmarkStart w:id="126" w:name="_Toc20356"/>
      <w:bookmarkStart w:id="127" w:name="_Toc23837"/>
      <w:bookmarkStart w:id="128" w:name="_Toc32551"/>
      <w:bookmarkStart w:id="129" w:name="_Toc7463"/>
      <w:r>
        <w:rPr>
          <w:rFonts w:hint="eastAsia" w:ascii="仿宋" w:hAnsi="仿宋" w:eastAsia="仿宋" w:cs="仿宋"/>
          <w:color w:val="auto"/>
          <w:highlight w:val="none"/>
        </w:rPr>
        <w:t>8.重新招标和不再招标</w:t>
      </w:r>
      <w:bookmarkEnd w:id="124"/>
      <w:bookmarkEnd w:id="125"/>
      <w:bookmarkEnd w:id="126"/>
      <w:bookmarkEnd w:id="127"/>
      <w:bookmarkEnd w:id="128"/>
      <w:bookmarkEnd w:id="129"/>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bookmarkStart w:id="130" w:name="_Toc476"/>
      <w:bookmarkStart w:id="131" w:name="_Toc23581"/>
      <w:r>
        <w:rPr>
          <w:rFonts w:hint="eastAsia" w:ascii="仿宋" w:hAnsi="仿宋" w:eastAsia="仿宋" w:cs="仿宋"/>
          <w:color w:val="auto"/>
          <w:sz w:val="21"/>
          <w:szCs w:val="21"/>
          <w:highlight w:val="none"/>
        </w:rPr>
        <w:t>8.1 重新招标</w:t>
      </w:r>
      <w:bookmarkEnd w:id="130"/>
      <w:bookmarkEnd w:id="131"/>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有下列情形之一的，招标人将重新招标：</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（1）投标截止时间止，投标人少于3个的；</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（2）经评标委员会评审后否决所有投标的；</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（3）评标委员会界定为不合格标或否决投标后，因有效投标人不足</w:t>
      </w:r>
      <w:r>
        <w:rPr>
          <w:rFonts w:hint="eastAsia" w:ascii="仿宋" w:hAnsi="仿宋" w:eastAsia="仿宋" w:cs="仿宋"/>
          <w:color w:val="auto"/>
          <w:sz w:val="21"/>
          <w:szCs w:val="21"/>
          <w:highlight w:val="none"/>
          <w:lang w:val="en-US" w:eastAsia="zh-CN"/>
        </w:rPr>
        <w:t>两家</w:t>
      </w:r>
      <w:r>
        <w:rPr>
          <w:rFonts w:hint="eastAsia" w:ascii="仿宋" w:hAnsi="仿宋" w:eastAsia="仿宋" w:cs="仿宋"/>
          <w:color w:val="auto"/>
          <w:sz w:val="21"/>
          <w:szCs w:val="21"/>
          <w:highlight w:val="none"/>
        </w:rPr>
        <w:t>使得投标明显缺乏竞争，评标委员会决定否决全部投标的；</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bookmarkStart w:id="132" w:name="_Toc28875"/>
      <w:bookmarkStart w:id="133" w:name="_Toc20051"/>
      <w:r>
        <w:rPr>
          <w:rFonts w:hint="eastAsia" w:ascii="仿宋" w:hAnsi="仿宋" w:eastAsia="仿宋" w:cs="仿宋"/>
          <w:color w:val="auto"/>
          <w:sz w:val="21"/>
          <w:szCs w:val="21"/>
          <w:highlight w:val="none"/>
        </w:rPr>
        <w:t>8.2 不再招标</w:t>
      </w:r>
      <w:bookmarkEnd w:id="132"/>
      <w:bookmarkEnd w:id="133"/>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重新招标后投标人仍少于3个或者所有投标被否决的，属于必须审批或核准的工程建设项目，经原审批或核准部门批准后不再进行招标。</w:t>
      </w:r>
    </w:p>
    <w:p>
      <w:pPr>
        <w:pStyle w:val="4"/>
        <w:pageBreakBefore w:val="0"/>
        <w:kinsoku/>
        <w:overflowPunct/>
        <w:topLinePunct w:val="0"/>
        <w:bidi w:val="0"/>
        <w:spacing w:before="0" w:after="0" w:line="360" w:lineRule="auto"/>
        <w:textAlignment w:val="auto"/>
        <w:rPr>
          <w:rFonts w:hint="eastAsia" w:ascii="仿宋" w:hAnsi="仿宋" w:eastAsia="仿宋" w:cs="仿宋"/>
          <w:color w:val="auto"/>
          <w:highlight w:val="none"/>
        </w:rPr>
      </w:pPr>
      <w:bookmarkStart w:id="134" w:name="_Toc6429"/>
      <w:bookmarkStart w:id="135" w:name="_Toc16260"/>
      <w:bookmarkStart w:id="136" w:name="_Toc30650"/>
      <w:bookmarkStart w:id="137" w:name="_Toc184635079"/>
      <w:bookmarkStart w:id="138" w:name="_Toc27783"/>
      <w:bookmarkStart w:id="139" w:name="_Toc24818"/>
      <w:bookmarkStart w:id="140" w:name="_Toc16864"/>
      <w:r>
        <w:rPr>
          <w:rFonts w:hint="eastAsia" w:ascii="仿宋" w:hAnsi="仿宋" w:eastAsia="仿宋" w:cs="仿宋"/>
          <w:color w:val="auto"/>
          <w:highlight w:val="none"/>
        </w:rPr>
        <w:t>9.纪律和监督</w:t>
      </w:r>
      <w:bookmarkEnd w:id="134"/>
      <w:bookmarkEnd w:id="135"/>
      <w:bookmarkEnd w:id="136"/>
      <w:bookmarkEnd w:id="137"/>
      <w:bookmarkEnd w:id="138"/>
      <w:bookmarkEnd w:id="139"/>
      <w:bookmarkEnd w:id="140"/>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bookmarkStart w:id="141" w:name="_Toc4914"/>
      <w:bookmarkStart w:id="142" w:name="_Toc3935"/>
      <w:r>
        <w:rPr>
          <w:rFonts w:hint="eastAsia" w:ascii="仿宋" w:hAnsi="仿宋" w:eastAsia="仿宋" w:cs="仿宋"/>
          <w:color w:val="auto"/>
          <w:sz w:val="21"/>
          <w:szCs w:val="21"/>
          <w:highlight w:val="none"/>
        </w:rPr>
        <w:t>9.1 对招标人的纪律要求</w:t>
      </w:r>
      <w:bookmarkEnd w:id="141"/>
      <w:bookmarkEnd w:id="142"/>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招标人不得泄漏招标投标活动中应当保密的情况和资料，不得与投标人串通损害国家利益、社会公共利益或者他人合法权益。</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bookmarkStart w:id="143" w:name="_Toc23832"/>
      <w:bookmarkStart w:id="144" w:name="_Toc13098"/>
      <w:r>
        <w:rPr>
          <w:rFonts w:hint="eastAsia" w:ascii="仿宋" w:hAnsi="仿宋" w:eastAsia="仿宋" w:cs="仿宋"/>
          <w:color w:val="auto"/>
          <w:sz w:val="21"/>
          <w:szCs w:val="21"/>
          <w:highlight w:val="none"/>
        </w:rPr>
        <w:t>9.2 对投标人的纪律要求</w:t>
      </w:r>
      <w:bookmarkEnd w:id="143"/>
      <w:bookmarkEnd w:id="144"/>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bookmarkStart w:id="145" w:name="_Toc13511"/>
      <w:bookmarkStart w:id="146" w:name="_Toc21703"/>
      <w:r>
        <w:rPr>
          <w:rFonts w:hint="eastAsia" w:ascii="仿宋" w:hAnsi="仿宋" w:eastAsia="仿宋" w:cs="仿宋"/>
          <w:color w:val="auto"/>
          <w:sz w:val="21"/>
          <w:szCs w:val="21"/>
          <w:highlight w:val="none"/>
        </w:rPr>
        <w:t>9.3 对评标委员会成员的纪律要求</w:t>
      </w:r>
      <w:bookmarkEnd w:id="145"/>
      <w:bookmarkEnd w:id="146"/>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bookmarkStart w:id="147" w:name="_Toc29576"/>
      <w:bookmarkStart w:id="148" w:name="_Toc9956"/>
      <w:r>
        <w:rPr>
          <w:rFonts w:hint="eastAsia" w:ascii="仿宋" w:hAnsi="仿宋" w:eastAsia="仿宋" w:cs="仿宋"/>
          <w:color w:val="auto"/>
          <w:sz w:val="21"/>
          <w:szCs w:val="21"/>
          <w:highlight w:val="none"/>
        </w:rPr>
        <w:t>9.4 对与评标活动有关的工作人员的纪律要求</w:t>
      </w:r>
      <w:bookmarkEnd w:id="147"/>
      <w:bookmarkEnd w:id="148"/>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bookmarkStart w:id="149" w:name="_Toc12768"/>
      <w:bookmarkStart w:id="150" w:name="_Toc29705"/>
      <w:r>
        <w:rPr>
          <w:rFonts w:hint="eastAsia" w:ascii="仿宋" w:hAnsi="仿宋" w:eastAsia="仿宋" w:cs="仿宋"/>
          <w:color w:val="auto"/>
          <w:sz w:val="21"/>
          <w:szCs w:val="21"/>
          <w:highlight w:val="none"/>
        </w:rPr>
        <w:t>9.5 异议与投诉</w:t>
      </w:r>
      <w:bookmarkEnd w:id="149"/>
      <w:bookmarkEnd w:id="150"/>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9.5.1 异议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9.5.1.1 潜在投标人或者其他利害关系人对招标文件有异议的，应当在投标截止时间 10日前提出。招标人应当自收到异议之日起 3 日内作出答复；作出答复前，应当暂停招标投标活动。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9.5.1.2 投标人对开标有异议的，应当在开标现场提出，招标人应当当场作出答复，并制作记录。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9.5.1.3 投标人或者其他利害关系人对依法必须进行招标的项目的评标结果有异议的，应当在中标候选人公示期间提出。招标人应当自收到异议之日起 3 日内作出答复；作出答复前，应当暂停招标投标活动。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9.5.2 投诉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9.5.2.1 投标人或者其他利害关系人认为招标投标活动不符合法律、行政法规规定的，应当在知道或者应当知道其权益受到侵害之日起十日内向有关行政监督部门提出书面投诉，其他利害关系人是指投标人以外的，与招标项目或者招标活动有直接和间接利益关系的法人、其他组织和个人。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9.5.2.2 就本章 9.5.1 条规定事项投诉的，应当先向招标人提出异议，异议答复期间不计算在前款规定的期限内。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9.5.2.3 投诉人投诉时，应当提交投诉书。投诉书应当包括下列内容：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（一）投诉人的名称、地址及有效联系方式；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（二）被投诉人的名称、地址及有效联系方式；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（三）投诉事项的基本事实；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（四）相关请求及主张；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（五）有效线索和相关证明材料。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诉人是法人的，投诉书必须由其法定代表人签字并加盖单位公章；其他组织或者个人投诉的，投诉书必须由其主要负责人或者投诉人本人签字，并附有效身份证明复印件。投诉书有关材料是外文的，投诉人应当同时提供其中文译本。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9.5.2.4 投诉人不得以投诉为名排挤竞争对手，不得进行虚假、恶意投诉，阻碍招标投标活动的正常进行。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9.5.2.5 投诉人可以直接投诉，也可以委托代理人办理投诉事务。代理人办理投诉事务时，应将授权委托书连同投诉书一并提交给行政监督部门。授权委托书应当明确有关委托代理权限和事项。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9.5.2.6 有下列情形之一的投诉，不予受理；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（一）投诉人不是所投诉招标投标活动的参与者，或者与投诉项目无任何利害关系；</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（二）投诉事项不具体，且未提供有效线索，难以查证的；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（三）投诉书未署具投诉人真实姓名、签字和有效联系方式的；以法人名义投诉的，投诉书未经法定代表人签字并加盖公章的；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（四）超过投诉时效的；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（五）已经作出处理决定，并且投诉人没有提出新的证据；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（六）投诉事项已进入行政复议或者行政诉讼程序的。 </w:t>
      </w:r>
    </w:p>
    <w:p>
      <w:pPr>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9.5.2.7 未尽事宜，按国家现行有关法律法规、七部委 11号令《工程建设项目招标投标活动投诉处理办法》和《云南省招标投标活动投诉处理办法》的规定执行。</w:t>
      </w:r>
    </w:p>
    <w:p>
      <w:pPr>
        <w:pStyle w:val="4"/>
        <w:pageBreakBefore w:val="0"/>
        <w:kinsoku/>
        <w:overflowPunct/>
        <w:topLinePunct w:val="0"/>
        <w:bidi w:val="0"/>
        <w:spacing w:before="0" w:after="0" w:line="360" w:lineRule="auto"/>
        <w:textAlignment w:val="auto"/>
        <w:rPr>
          <w:rFonts w:hint="eastAsia" w:ascii="仿宋" w:hAnsi="仿宋" w:eastAsia="仿宋" w:cs="仿宋"/>
          <w:color w:val="auto"/>
          <w:highlight w:val="none"/>
        </w:rPr>
      </w:pPr>
      <w:bookmarkStart w:id="151" w:name="_Toc2077"/>
      <w:bookmarkStart w:id="152" w:name="_Toc16112"/>
      <w:bookmarkStart w:id="153" w:name="_Toc184635080"/>
      <w:bookmarkStart w:id="154" w:name="_Toc8821"/>
      <w:bookmarkStart w:id="155" w:name="_Toc1723"/>
      <w:bookmarkStart w:id="156" w:name="_Toc2427"/>
      <w:bookmarkStart w:id="157" w:name="_Toc23136"/>
      <w:r>
        <w:rPr>
          <w:rFonts w:hint="eastAsia" w:ascii="仿宋" w:hAnsi="仿宋" w:eastAsia="仿宋" w:cs="仿宋"/>
          <w:color w:val="auto"/>
          <w:highlight w:val="none"/>
        </w:rPr>
        <w:t>10.需要补充的其他内容</w:t>
      </w:r>
      <w:bookmarkEnd w:id="151"/>
      <w:bookmarkEnd w:id="152"/>
      <w:bookmarkEnd w:id="153"/>
      <w:bookmarkEnd w:id="154"/>
      <w:bookmarkEnd w:id="155"/>
      <w:bookmarkEnd w:id="156"/>
      <w:bookmarkEnd w:id="157"/>
      <w:bookmarkStart w:id="158" w:name="_Toc236170341"/>
    </w:p>
    <w:bookmarkEnd w:id="158"/>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详见投标人须知前附表。</w:t>
      </w:r>
    </w:p>
    <w:p>
      <w:pPr>
        <w:pStyle w:val="3"/>
        <w:pageBreakBefore w:val="0"/>
        <w:kinsoku/>
        <w:overflowPunct/>
        <w:topLinePunct w:val="0"/>
        <w:bidi w:val="0"/>
        <w:spacing w:before="240" w:beforeLines="100" w:after="120" w:afterLines="50" w:line="360" w:lineRule="auto"/>
        <w:jc w:val="center"/>
        <w:textAlignment w:val="auto"/>
        <w:rPr>
          <w:rFonts w:hint="eastAsia" w:ascii="仿宋" w:hAnsi="仿宋" w:eastAsia="仿宋" w:cs="仿宋"/>
          <w:color w:val="auto"/>
          <w:highlight w:val="none"/>
        </w:rPr>
      </w:pPr>
      <w:bookmarkStart w:id="159" w:name="_Toc23610"/>
      <w:r>
        <w:rPr>
          <w:rFonts w:hint="eastAsia" w:ascii="仿宋" w:hAnsi="仿宋" w:eastAsia="仿宋" w:cs="仿宋"/>
          <w:color w:val="auto"/>
          <w:highlight w:val="none"/>
        </w:rPr>
        <w:br w:type="page"/>
      </w:r>
      <w:bookmarkStart w:id="160" w:name="_Toc19272"/>
      <w:r>
        <w:rPr>
          <w:rFonts w:hint="eastAsia" w:ascii="仿宋" w:hAnsi="仿宋" w:eastAsia="仿宋" w:cs="仿宋"/>
          <w:color w:val="auto"/>
          <w:highlight w:val="none"/>
        </w:rPr>
        <w:t>第三章  评标办法</w:t>
      </w:r>
      <w:bookmarkEnd w:id="77"/>
      <w:bookmarkEnd w:id="78"/>
      <w:bookmarkEnd w:id="79"/>
      <w:bookmarkEnd w:id="159"/>
      <w:bookmarkEnd w:id="160"/>
    </w:p>
    <w:p>
      <w:pPr>
        <w:pageBreakBefore w:val="0"/>
        <w:kinsoku/>
        <w:overflowPunct/>
        <w:topLinePunct w:val="0"/>
        <w:bidi w:val="0"/>
        <w:spacing w:before="0" w:after="120" w:afterLines="50" w:line="360" w:lineRule="auto"/>
        <w:jc w:val="center"/>
        <w:textAlignment w:val="auto"/>
        <w:outlineLvl w:val="9"/>
        <w:rPr>
          <w:rFonts w:hint="eastAsia" w:ascii="仿宋" w:hAnsi="仿宋" w:eastAsia="仿宋" w:cs="仿宋"/>
          <w:color w:val="auto"/>
          <w:sz w:val="30"/>
          <w:szCs w:val="30"/>
          <w:highlight w:val="none"/>
        </w:rPr>
      </w:pPr>
      <w:bookmarkStart w:id="161" w:name="_Toc429155363"/>
      <w:bookmarkStart w:id="162" w:name="_Toc17641"/>
      <w:bookmarkStart w:id="163" w:name="_Toc7566"/>
      <w:r>
        <w:rPr>
          <w:rFonts w:hint="eastAsia" w:ascii="仿宋" w:hAnsi="仿宋" w:eastAsia="仿宋" w:cs="仿宋"/>
          <w:color w:val="auto"/>
          <w:sz w:val="30"/>
          <w:szCs w:val="30"/>
          <w:highlight w:val="none"/>
        </w:rPr>
        <w:t>评标办法前附表</w:t>
      </w:r>
      <w:bookmarkEnd w:id="161"/>
      <w:bookmarkEnd w:id="162"/>
      <w:bookmarkEnd w:id="163"/>
    </w:p>
    <w:tbl>
      <w:tblPr>
        <w:tblStyle w:val="56"/>
        <w:tblW w:w="9924"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13"/>
        <w:gridCol w:w="868"/>
        <w:gridCol w:w="567"/>
        <w:gridCol w:w="1245"/>
        <w:gridCol w:w="6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35" w:type="dxa"/>
            <w:gridSpan w:val="3"/>
            <w:vAlign w:val="center"/>
          </w:tcPr>
          <w:p>
            <w:pPr>
              <w:pageBreakBefore w:val="0"/>
              <w:kinsoku/>
              <w:overflowPunct/>
              <w:topLinePunct w:val="0"/>
              <w:bidi w:val="0"/>
              <w:spacing w:line="360" w:lineRule="auto"/>
              <w:jc w:val="center"/>
              <w:textAlignment w:val="auto"/>
              <w:rPr>
                <w:rFonts w:hint="eastAsia" w:ascii="仿宋" w:hAnsi="仿宋" w:eastAsia="仿宋" w:cs="仿宋"/>
                <w:b/>
                <w:bCs/>
                <w:color w:val="auto"/>
                <w:sz w:val="21"/>
                <w:szCs w:val="21"/>
                <w:highlight w:val="none"/>
              </w:rPr>
            </w:pPr>
            <w:bookmarkStart w:id="164" w:name="_Toc345600314"/>
            <w:bookmarkStart w:id="165" w:name="_Toc229583209"/>
            <w:r>
              <w:rPr>
                <w:rFonts w:hint="eastAsia" w:ascii="仿宋" w:hAnsi="仿宋" w:eastAsia="仿宋" w:cs="仿宋"/>
                <w:b/>
                <w:bCs/>
                <w:color w:val="auto"/>
                <w:sz w:val="21"/>
                <w:szCs w:val="21"/>
                <w:highlight w:val="none"/>
              </w:rPr>
              <w:t>条款号</w:t>
            </w: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评审因素</w:t>
            </w:r>
          </w:p>
        </w:tc>
        <w:tc>
          <w:tcPr>
            <w:tcW w:w="6377" w:type="dxa"/>
            <w:vAlign w:val="center"/>
          </w:tcPr>
          <w:p>
            <w:pPr>
              <w:pageBreakBefore w:val="0"/>
              <w:kinsoku/>
              <w:overflowPunct/>
              <w:topLinePunct w:val="0"/>
              <w:bidi w:val="0"/>
              <w:spacing w:line="360" w:lineRule="auto"/>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67" w:type="dxa"/>
            <w:gridSpan w:val="2"/>
            <w:vMerge w:val="restart"/>
            <w:vAlign w:val="center"/>
          </w:tcPr>
          <w:p>
            <w:pPr>
              <w:pageBreakBefore w:val="0"/>
              <w:kinsoku/>
              <w:overflowPunct/>
              <w:topLinePunct w:val="0"/>
              <w:bidi w:val="0"/>
              <w:spacing w:line="360" w:lineRule="auto"/>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2.1.1</w:t>
            </w:r>
          </w:p>
        </w:tc>
        <w:tc>
          <w:tcPr>
            <w:tcW w:w="868" w:type="dxa"/>
            <w:vMerge w:val="restart"/>
            <w:vAlign w:val="center"/>
          </w:tcPr>
          <w:p>
            <w:pPr>
              <w:pageBreakBefore w:val="0"/>
              <w:kinsoku/>
              <w:overflowPunct/>
              <w:topLinePunct w:val="0"/>
              <w:bidi w:val="0"/>
              <w:spacing w:line="360" w:lineRule="auto"/>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形式评审标准</w:t>
            </w: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投标人名称</w:t>
            </w:r>
          </w:p>
        </w:tc>
        <w:tc>
          <w:tcPr>
            <w:tcW w:w="6377" w:type="dxa"/>
            <w:vAlign w:val="center"/>
          </w:tcPr>
          <w:p>
            <w:pPr>
              <w:pageBreakBefore w:val="0"/>
              <w:kinsoku/>
              <w:overflowPunct/>
              <w:topLinePunct w:val="0"/>
              <w:bidi w:val="0"/>
              <w:spacing w:line="360" w:lineRule="auto"/>
              <w:jc w:val="both"/>
              <w:textAlignment w:val="auto"/>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与营业执照等主体资格证明文件一致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67" w:type="dxa"/>
            <w:gridSpan w:val="2"/>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b/>
                <w:bCs/>
                <w:color w:val="auto"/>
                <w:sz w:val="21"/>
                <w:szCs w:val="21"/>
                <w:highlight w:val="none"/>
              </w:rPr>
            </w:pPr>
          </w:p>
        </w:tc>
        <w:tc>
          <w:tcPr>
            <w:tcW w:w="868" w:type="dxa"/>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b/>
                <w:bCs/>
                <w:color w:val="auto"/>
                <w:sz w:val="21"/>
                <w:szCs w:val="21"/>
                <w:highlight w:val="none"/>
              </w:rPr>
            </w:pP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报价唯一</w:t>
            </w:r>
          </w:p>
        </w:tc>
        <w:tc>
          <w:tcPr>
            <w:tcW w:w="6377" w:type="dxa"/>
            <w:vAlign w:val="center"/>
          </w:tcPr>
          <w:p>
            <w:pPr>
              <w:pageBreakBefore w:val="0"/>
              <w:kinsoku/>
              <w:overflowPunct/>
              <w:topLinePunct w:val="0"/>
              <w:bidi w:val="0"/>
              <w:spacing w:line="360" w:lineRule="auto"/>
              <w:jc w:val="both"/>
              <w:textAlignment w:val="auto"/>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投标人递交两份或多份内容不同的投标文件,或在一份投标文件中对同一项目报有两个或多个报价,且未声</w:t>
            </w:r>
            <w:r>
              <w:rPr>
                <w:rFonts w:hint="eastAsia" w:ascii="仿宋" w:hAnsi="仿宋" w:eastAsia="仿宋" w:cs="仿宋"/>
                <w:color w:val="auto"/>
                <w:sz w:val="21"/>
                <w:szCs w:val="21"/>
                <w:highlight w:val="none"/>
                <w:lang w:eastAsia="zh-CN"/>
              </w:rPr>
              <w:t>明</w:t>
            </w:r>
            <w:r>
              <w:rPr>
                <w:rFonts w:hint="eastAsia" w:ascii="仿宋" w:hAnsi="仿宋" w:eastAsia="仿宋" w:cs="仿宋"/>
                <w:color w:val="auto"/>
                <w:sz w:val="21"/>
                <w:szCs w:val="21"/>
                <w:highlight w:val="none"/>
              </w:rPr>
              <w:t>哪一个有效的，其投标文件视为不满足形式评审标准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35" w:type="dxa"/>
            <w:gridSpan w:val="3"/>
            <w:vAlign w:val="center"/>
          </w:tcPr>
          <w:p>
            <w:pPr>
              <w:pageBreakBefore w:val="0"/>
              <w:kinsoku/>
              <w:overflowPunct/>
              <w:topLinePunct w:val="0"/>
              <w:bidi w:val="0"/>
              <w:spacing w:line="360" w:lineRule="auto"/>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条款号</w:t>
            </w: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评审因素</w:t>
            </w:r>
          </w:p>
        </w:tc>
        <w:tc>
          <w:tcPr>
            <w:tcW w:w="6377" w:type="dxa"/>
            <w:vAlign w:val="center"/>
          </w:tcPr>
          <w:p>
            <w:pPr>
              <w:pageBreakBefore w:val="0"/>
              <w:kinsoku/>
              <w:overflowPunct/>
              <w:topLinePunct w:val="0"/>
              <w:bidi w:val="0"/>
              <w:spacing w:line="360" w:lineRule="auto"/>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54" w:type="dxa"/>
            <w:vMerge w:val="restart"/>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2.1.2</w:t>
            </w:r>
          </w:p>
        </w:tc>
        <w:tc>
          <w:tcPr>
            <w:tcW w:w="881" w:type="dxa"/>
            <w:gridSpan w:val="2"/>
            <w:vMerge w:val="restart"/>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资格审查标准</w:t>
            </w: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营业执照或者其他主体资格证明文件</w:t>
            </w:r>
          </w:p>
        </w:tc>
        <w:tc>
          <w:tcPr>
            <w:tcW w:w="6377" w:type="dxa"/>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具有独立承担民事责任的能力，提供有效的营业执照或者其他主体资格证明文件</w:t>
            </w:r>
            <w:r>
              <w:rPr>
                <w:rFonts w:hint="eastAsia" w:ascii="仿宋" w:hAnsi="仿宋" w:eastAsia="仿宋" w:cs="仿宋"/>
                <w:color w:val="auto"/>
                <w:sz w:val="21"/>
                <w:szCs w:val="21"/>
                <w:highlight w:val="none"/>
              </w:rPr>
              <w:t>；</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审核材料：</w:t>
            </w:r>
            <w:r>
              <w:rPr>
                <w:rFonts w:hint="eastAsia" w:ascii="仿宋" w:hAnsi="仿宋" w:eastAsia="仿宋" w:cs="仿宋"/>
                <w:color w:val="auto"/>
                <w:sz w:val="21"/>
                <w:szCs w:val="21"/>
                <w:highlight w:val="none"/>
              </w:rPr>
              <w:t>营业执照或者其他主体资格证明文件</w:t>
            </w:r>
          </w:p>
          <w:p>
            <w:pPr>
              <w:pageBreakBefore w:val="0"/>
              <w:kinsoku/>
              <w:overflowPunct/>
              <w:topLinePunct w:val="0"/>
              <w:bidi w:val="0"/>
              <w:spacing w:line="360" w:lineRule="auto"/>
              <w:textAlignment w:val="auto"/>
              <w:rPr>
                <w:rFonts w:hint="eastAsia" w:ascii="仿宋" w:hAnsi="仿宋" w:eastAsia="仿宋" w:cs="仿宋"/>
                <w:b/>
                <w:bCs/>
                <w:color w:val="auto"/>
                <w:sz w:val="21"/>
                <w:szCs w:val="21"/>
                <w:highlight w:val="none"/>
              </w:rPr>
            </w:pPr>
            <w:r>
              <w:rPr>
                <w:rFonts w:hint="eastAsia" w:ascii="仿宋" w:hAnsi="仿宋" w:eastAsia="仿宋" w:cs="仿宋"/>
                <w:b/>
                <w:color w:val="auto"/>
                <w:sz w:val="21"/>
                <w:szCs w:val="21"/>
                <w:highlight w:val="none"/>
              </w:rPr>
              <w:t>是否审核原件：□</w:t>
            </w:r>
            <w:r>
              <w:rPr>
                <w:rFonts w:hint="eastAsia" w:ascii="仿宋" w:hAnsi="仿宋" w:eastAsia="仿宋" w:cs="仿宋"/>
                <w:color w:val="auto"/>
                <w:sz w:val="21"/>
                <w:szCs w:val="21"/>
                <w:highlight w:val="none"/>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3" w:hRule="atLeast"/>
        </w:trPr>
        <w:tc>
          <w:tcPr>
            <w:tcW w:w="854" w:type="dxa"/>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881" w:type="dxa"/>
            <w:gridSpan w:val="2"/>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财务状况</w:t>
            </w:r>
          </w:p>
        </w:tc>
        <w:tc>
          <w:tcPr>
            <w:tcW w:w="6377" w:type="dxa"/>
            <w:vAlign w:val="center"/>
          </w:tcPr>
          <w:p>
            <w:pPr>
              <w:pageBreakBefore w:val="0"/>
              <w:kinsoku/>
              <w:overflowPunct/>
              <w:topLinePunct w:val="0"/>
              <w:autoSpaceDE w:val="0"/>
              <w:autoSpaceDN w:val="0"/>
              <w:bidi w:val="0"/>
              <w:adjustRightInd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没有处于财产被接管、冻结、破产或其他不良状态。投标人财务状况良好，须提供202</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年</w:t>
            </w:r>
            <w:r>
              <w:rPr>
                <w:rFonts w:hint="eastAsia" w:ascii="仿宋" w:hAnsi="仿宋" w:eastAsia="仿宋" w:cs="仿宋"/>
                <w:color w:val="auto"/>
                <w:sz w:val="21"/>
                <w:szCs w:val="21"/>
                <w:highlight w:val="none"/>
                <w:lang w:val="en-US" w:eastAsia="zh-CN"/>
              </w:rPr>
              <w:t>至今任意1年</w:t>
            </w:r>
            <w:r>
              <w:rPr>
                <w:rFonts w:hint="eastAsia" w:ascii="仿宋" w:hAnsi="仿宋" w:eastAsia="仿宋" w:cs="仿宋"/>
                <w:color w:val="auto"/>
                <w:sz w:val="21"/>
                <w:szCs w:val="21"/>
                <w:highlight w:val="none"/>
                <w:lang w:eastAsia="zh-CN"/>
              </w:rPr>
              <w:t>经第三方审计机构审计的财务报表（应包括资产负债表、利润表、现金流量表）及审计报告，成立年限不足3年的按成立年份提供财务报表（应包括资产负债表、利润表、现金流量表）及审计报告；成立不足1年的企业（或新成立企业），附成立至今的财务报表（包括资产负债表、现金流量表和利润表）或相关财务证明资料或情况说明。【企业若处于特殊情况（如企业合并重组等特殊情况）不能提供其财务审计报告的须提供有效的第三方相关职能部门的书面证明材料同时提供近期企业财务报表】</w:t>
            </w:r>
            <w:r>
              <w:rPr>
                <w:rFonts w:hint="eastAsia" w:ascii="仿宋" w:hAnsi="仿宋" w:eastAsia="仿宋" w:cs="仿宋"/>
                <w:color w:val="auto"/>
                <w:sz w:val="21"/>
                <w:szCs w:val="21"/>
                <w:highlight w:val="none"/>
              </w:rPr>
              <w:t>。</w:t>
            </w:r>
          </w:p>
          <w:p>
            <w:pPr>
              <w:pageBreakBefore w:val="0"/>
              <w:kinsoku/>
              <w:overflowPunct/>
              <w:topLinePunct w:val="0"/>
              <w:bidi w:val="0"/>
              <w:spacing w:line="360" w:lineRule="auto"/>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审核材料：</w:t>
            </w:r>
            <w:r>
              <w:rPr>
                <w:rFonts w:hint="eastAsia" w:ascii="仿宋" w:hAnsi="仿宋" w:eastAsia="仿宋" w:cs="仿宋"/>
                <w:b w:val="0"/>
                <w:bCs/>
                <w:color w:val="auto"/>
                <w:sz w:val="21"/>
                <w:szCs w:val="21"/>
                <w:highlight w:val="none"/>
              </w:rPr>
              <w:t>202</w:t>
            </w:r>
            <w:r>
              <w:rPr>
                <w:rFonts w:hint="eastAsia" w:ascii="仿宋" w:hAnsi="仿宋" w:eastAsia="仿宋" w:cs="仿宋"/>
                <w:b w:val="0"/>
                <w:bCs/>
                <w:color w:val="auto"/>
                <w:sz w:val="21"/>
                <w:szCs w:val="21"/>
                <w:highlight w:val="none"/>
                <w:lang w:val="en-US" w:eastAsia="zh-CN"/>
              </w:rPr>
              <w:t>3</w:t>
            </w:r>
            <w:r>
              <w:rPr>
                <w:rFonts w:hint="eastAsia" w:ascii="仿宋" w:hAnsi="仿宋" w:eastAsia="仿宋" w:cs="仿宋"/>
                <w:b w:val="0"/>
                <w:bCs/>
                <w:color w:val="auto"/>
                <w:sz w:val="21"/>
                <w:szCs w:val="21"/>
                <w:highlight w:val="none"/>
              </w:rPr>
              <w:t>年</w:t>
            </w:r>
            <w:r>
              <w:rPr>
                <w:rFonts w:hint="eastAsia" w:ascii="仿宋" w:hAnsi="仿宋" w:eastAsia="仿宋" w:cs="仿宋"/>
                <w:b w:val="0"/>
                <w:bCs/>
                <w:color w:val="auto"/>
                <w:sz w:val="21"/>
                <w:szCs w:val="21"/>
                <w:highlight w:val="none"/>
                <w:lang w:eastAsia="zh-CN"/>
              </w:rPr>
              <w:t>至今</w:t>
            </w:r>
            <w:r>
              <w:rPr>
                <w:rFonts w:hint="eastAsia" w:ascii="仿宋" w:hAnsi="仿宋" w:eastAsia="仿宋" w:cs="仿宋"/>
                <w:color w:val="auto"/>
                <w:sz w:val="21"/>
                <w:szCs w:val="21"/>
                <w:highlight w:val="none"/>
                <w:lang w:val="en-US" w:eastAsia="zh-CN"/>
              </w:rPr>
              <w:t>任意1年</w:t>
            </w:r>
            <w:r>
              <w:rPr>
                <w:rFonts w:hint="eastAsia" w:ascii="仿宋" w:hAnsi="仿宋" w:eastAsia="仿宋" w:cs="仿宋"/>
                <w:b w:val="0"/>
                <w:bCs/>
                <w:color w:val="auto"/>
                <w:sz w:val="21"/>
                <w:szCs w:val="21"/>
                <w:highlight w:val="none"/>
              </w:rPr>
              <w:t>财务报表</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是否审核原件：□</w:t>
            </w:r>
            <w:r>
              <w:rPr>
                <w:rFonts w:hint="eastAsia" w:ascii="仿宋" w:hAnsi="仿宋" w:eastAsia="仿宋" w:cs="仿宋"/>
                <w:color w:val="auto"/>
                <w:sz w:val="21"/>
                <w:szCs w:val="21"/>
                <w:highlight w:val="none"/>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3" w:hRule="atLeast"/>
        </w:trPr>
        <w:tc>
          <w:tcPr>
            <w:tcW w:w="854" w:type="dxa"/>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881" w:type="dxa"/>
            <w:gridSpan w:val="2"/>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产品</w:t>
            </w:r>
            <w:r>
              <w:rPr>
                <w:rFonts w:hint="eastAsia" w:ascii="仿宋" w:hAnsi="仿宋" w:eastAsia="仿宋" w:cs="仿宋"/>
                <w:color w:val="auto"/>
                <w:sz w:val="21"/>
                <w:szCs w:val="21"/>
                <w:highlight w:val="none"/>
              </w:rPr>
              <w:t>证书</w:t>
            </w:r>
          </w:p>
        </w:tc>
        <w:tc>
          <w:tcPr>
            <w:tcW w:w="6377" w:type="dxa"/>
            <w:vAlign w:val="center"/>
          </w:tcPr>
          <w:p>
            <w:pPr>
              <w:pageBreakBefore w:val="0"/>
              <w:kinsoku/>
              <w:overflowPunct/>
              <w:topLinePunct w:val="0"/>
              <w:autoSpaceDE w:val="0"/>
              <w:autoSpaceDN w:val="0"/>
              <w:bidi w:val="0"/>
              <w:adjustRightInd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投标人为生产制造商，需提供在有效期内的肥料登记证或备案证；若投标人为代理商、经销商，须提供在有效期内生产制造商的肥料登记证或备案证；</w:t>
            </w:r>
          </w:p>
          <w:p>
            <w:pPr>
              <w:pageBreakBefore w:val="0"/>
              <w:kinsoku/>
              <w:overflowPunct/>
              <w:topLinePunct w:val="0"/>
              <w:autoSpaceDE w:val="0"/>
              <w:autoSpaceDN w:val="0"/>
              <w:bidi w:val="0"/>
              <w:adjustRightInd w:val="0"/>
              <w:spacing w:line="360" w:lineRule="auto"/>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bCs/>
                <w:color w:val="auto"/>
                <w:sz w:val="21"/>
                <w:szCs w:val="21"/>
                <w:highlight w:val="none"/>
              </w:rPr>
              <w:t>审核材料：</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lang w:val="en-US" w:eastAsia="zh-CN"/>
              </w:rPr>
              <w:t>1</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color w:val="auto"/>
                <w:sz w:val="21"/>
                <w:szCs w:val="21"/>
                <w:highlight w:val="none"/>
              </w:rPr>
              <w:t>生产制造商，提供在有效期内的肥料登记证或备案证</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代理商、经销商，须提供在有效期内生产制造商的肥料登记证或备案证</w:t>
            </w:r>
          </w:p>
          <w:p>
            <w:pPr>
              <w:pStyle w:val="222"/>
              <w:pageBreakBefore w:val="0"/>
              <w:kinsoku/>
              <w:overflowPunct/>
              <w:topLinePunct w:val="0"/>
              <w:bidi w:val="0"/>
              <w:spacing w:line="360" w:lineRule="auto"/>
              <w:textAlignment w:val="auto"/>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是否审核原件：□</w:t>
            </w:r>
            <w:r>
              <w:rPr>
                <w:rFonts w:hint="eastAsia" w:ascii="仿宋" w:hAnsi="仿宋" w:eastAsia="仿宋" w:cs="仿宋"/>
                <w:color w:val="auto"/>
                <w:szCs w:val="21"/>
                <w:highlight w:val="none"/>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4" w:hRule="atLeast"/>
        </w:trPr>
        <w:tc>
          <w:tcPr>
            <w:tcW w:w="854" w:type="dxa"/>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881" w:type="dxa"/>
            <w:gridSpan w:val="2"/>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信誉要求</w:t>
            </w:r>
          </w:p>
        </w:tc>
        <w:tc>
          <w:tcPr>
            <w:tcW w:w="6377" w:type="dxa"/>
            <w:vAlign w:val="center"/>
          </w:tcPr>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人应信誉良好，没有处于被责令停业或财产被接管、冻结、破产状态；2023年至今没有因不良纪录被行政主管部门停止在云南省行政区域内的投标资格；未被列入“中国执行信息公开网”(http：//zxgk.court.gov.cn)失信被执行人；投标人应在“信用中国”网站(www.creditchina.gov.cn)未被列入重大税收违法案件当事人；投标人未被列入“国家企业信用信息公示系统”(http：//www.gsxt.gov.cn)经营异常名录和严重违法失信企业名单(黑名单)(被禁止在一定期限内参加政府采购活动但期限届满的除外)，提供查询结果截图，查询时间为招标公告发布至投标文件递交截止时间前；</w:t>
            </w:r>
            <w:r>
              <w:rPr>
                <w:rFonts w:hint="eastAsia" w:ascii="仿宋" w:hAnsi="仿宋" w:eastAsia="仿宋" w:cs="仿宋"/>
                <w:color w:val="auto"/>
                <w:sz w:val="21"/>
                <w:szCs w:val="21"/>
                <w:highlight w:val="none"/>
                <w:lang w:val="en-US" w:eastAsia="zh-CN"/>
              </w:rPr>
              <w:t>投标人须</w:t>
            </w:r>
            <w:r>
              <w:rPr>
                <w:rFonts w:hint="eastAsia" w:ascii="仿宋" w:hAnsi="仿宋" w:eastAsia="仿宋" w:cs="仿宋"/>
                <w:color w:val="auto"/>
                <w:sz w:val="21"/>
                <w:szCs w:val="21"/>
                <w:highlight w:val="none"/>
                <w:lang w:eastAsia="zh-CN"/>
              </w:rPr>
              <w:t>提供具有良好商业信誉的声明函。</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审核材料：</w:t>
            </w:r>
            <w:r>
              <w:rPr>
                <w:rFonts w:hint="eastAsia" w:ascii="仿宋" w:hAnsi="仿宋" w:eastAsia="仿宋" w:cs="仿宋"/>
                <w:bCs/>
                <w:color w:val="auto"/>
                <w:sz w:val="21"/>
                <w:szCs w:val="21"/>
                <w:highlight w:val="none"/>
              </w:rPr>
              <w:t>网页查询截图</w:t>
            </w:r>
            <w:r>
              <w:rPr>
                <w:rFonts w:hint="eastAsia" w:ascii="仿宋" w:hAnsi="仿宋" w:eastAsia="仿宋" w:cs="仿宋"/>
                <w:bCs/>
                <w:color w:val="auto"/>
                <w:sz w:val="21"/>
                <w:szCs w:val="21"/>
                <w:highlight w:val="none"/>
                <w:lang w:val="en-US" w:eastAsia="zh-CN"/>
              </w:rPr>
              <w:t>及声明函</w:t>
            </w:r>
            <w:r>
              <w:rPr>
                <w:rFonts w:hint="eastAsia" w:ascii="仿宋" w:hAnsi="仿宋" w:eastAsia="仿宋" w:cs="仿宋"/>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4" w:hRule="atLeast"/>
        </w:trPr>
        <w:tc>
          <w:tcPr>
            <w:tcW w:w="1735" w:type="dxa"/>
            <w:gridSpan w:val="3"/>
            <w:vAlign w:val="center"/>
          </w:tcPr>
          <w:p>
            <w:pPr>
              <w:pageBreakBefore w:val="0"/>
              <w:kinsoku/>
              <w:overflowPunct/>
              <w:topLinePunct w:val="0"/>
              <w:bidi w:val="0"/>
              <w:spacing w:line="360" w:lineRule="auto"/>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条款号</w:t>
            </w: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评审因素</w:t>
            </w:r>
          </w:p>
        </w:tc>
        <w:tc>
          <w:tcPr>
            <w:tcW w:w="6377" w:type="dxa"/>
            <w:vAlign w:val="center"/>
          </w:tcPr>
          <w:p>
            <w:pPr>
              <w:pageBreakBefore w:val="0"/>
              <w:kinsoku/>
              <w:overflowPunct/>
              <w:topLinePunct w:val="0"/>
              <w:bidi w:val="0"/>
              <w:spacing w:line="360" w:lineRule="auto"/>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评审标准（否决投标情形）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8" w:hRule="atLeast"/>
        </w:trPr>
        <w:tc>
          <w:tcPr>
            <w:tcW w:w="854" w:type="dxa"/>
            <w:vMerge w:val="restart"/>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2.1.3</w:t>
            </w:r>
          </w:p>
        </w:tc>
        <w:tc>
          <w:tcPr>
            <w:tcW w:w="881" w:type="dxa"/>
            <w:gridSpan w:val="2"/>
            <w:vMerge w:val="restart"/>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响应性评审标准</w:t>
            </w: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投标文件的签署</w:t>
            </w:r>
          </w:p>
        </w:tc>
        <w:tc>
          <w:tcPr>
            <w:tcW w:w="6377" w:type="dxa"/>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不符合第二章“投标人须知”第3.7.3项要求的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5" w:hRule="atLeast"/>
        </w:trPr>
        <w:tc>
          <w:tcPr>
            <w:tcW w:w="854" w:type="dxa"/>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881" w:type="dxa"/>
            <w:gridSpan w:val="2"/>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投标文件格式</w:t>
            </w:r>
          </w:p>
        </w:tc>
        <w:tc>
          <w:tcPr>
            <w:tcW w:w="6377" w:type="dxa"/>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未按招标文件规定的格式填写，内容不全，或关键字迹模糊、无法辨认的；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4" w:hRule="atLeast"/>
        </w:trPr>
        <w:tc>
          <w:tcPr>
            <w:tcW w:w="854" w:type="dxa"/>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881" w:type="dxa"/>
            <w:gridSpan w:val="2"/>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报价唯一</w:t>
            </w:r>
          </w:p>
        </w:tc>
        <w:tc>
          <w:tcPr>
            <w:tcW w:w="6377" w:type="dxa"/>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投标人递交两份或多份内容不同的投标文件,或在一份投标文件中对同一项目报有两个或多个报价,且未声</w:t>
            </w:r>
            <w:r>
              <w:rPr>
                <w:rFonts w:hint="eastAsia" w:ascii="仿宋" w:hAnsi="仿宋" w:eastAsia="仿宋" w:cs="仿宋"/>
                <w:color w:val="auto"/>
                <w:sz w:val="21"/>
                <w:szCs w:val="21"/>
                <w:highlight w:val="none"/>
                <w:lang w:eastAsia="zh-CN"/>
              </w:rPr>
              <w:t>明</w:t>
            </w:r>
            <w:r>
              <w:rPr>
                <w:rFonts w:hint="eastAsia" w:ascii="仿宋" w:hAnsi="仿宋" w:eastAsia="仿宋" w:cs="仿宋"/>
                <w:color w:val="auto"/>
                <w:sz w:val="21"/>
                <w:szCs w:val="21"/>
                <w:highlight w:val="none"/>
              </w:rPr>
              <w:t>哪一个有效的；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54" w:type="dxa"/>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881" w:type="dxa"/>
            <w:gridSpan w:val="2"/>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投标保证金</w:t>
            </w:r>
          </w:p>
        </w:tc>
        <w:tc>
          <w:tcPr>
            <w:tcW w:w="6377" w:type="dxa"/>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未按招标文件要求提交投标保证金的；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54" w:type="dxa"/>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881" w:type="dxa"/>
            <w:gridSpan w:val="2"/>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供货周期</w:t>
            </w:r>
          </w:p>
        </w:tc>
        <w:tc>
          <w:tcPr>
            <w:tcW w:w="6377" w:type="dxa"/>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投标文件载明的招标项目完成期限超过招标文件规定的期限的；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6" w:hRule="atLeast"/>
        </w:trPr>
        <w:tc>
          <w:tcPr>
            <w:tcW w:w="854" w:type="dxa"/>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881" w:type="dxa"/>
            <w:gridSpan w:val="2"/>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质量承诺</w:t>
            </w:r>
          </w:p>
        </w:tc>
        <w:tc>
          <w:tcPr>
            <w:tcW w:w="6377" w:type="dxa"/>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无质量承诺或质量承诺不满足招标文件要求的；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6" w:hRule="atLeast"/>
        </w:trPr>
        <w:tc>
          <w:tcPr>
            <w:tcW w:w="854" w:type="dxa"/>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881" w:type="dxa"/>
            <w:gridSpan w:val="2"/>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技术要求</w:t>
            </w:r>
          </w:p>
        </w:tc>
        <w:tc>
          <w:tcPr>
            <w:tcW w:w="6377" w:type="dxa"/>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明显不符合技术规格、技术标准的要求的；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6" w:hRule="atLeast"/>
        </w:trPr>
        <w:tc>
          <w:tcPr>
            <w:tcW w:w="854" w:type="dxa"/>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881" w:type="dxa"/>
            <w:gridSpan w:val="2"/>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澄清和修正</w:t>
            </w:r>
          </w:p>
        </w:tc>
        <w:tc>
          <w:tcPr>
            <w:tcW w:w="6377" w:type="dxa"/>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投标人不按要求对投标文件进行澄清、说明或者补正的；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71" w:hRule="atLeast"/>
        </w:trPr>
        <w:tc>
          <w:tcPr>
            <w:tcW w:w="854" w:type="dxa"/>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881" w:type="dxa"/>
            <w:gridSpan w:val="2"/>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串通投标、弄虚作假行为</w:t>
            </w:r>
          </w:p>
        </w:tc>
        <w:tc>
          <w:tcPr>
            <w:tcW w:w="6377" w:type="dxa"/>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投标人存在以他人的名义投标、串通投标、以行贿手段谋取中标或者以其他弄虚作假方式投标的行为的。（串通投标的行为认定以《关于印发云南省招标投标活动中串通投标行为认定处理办法的通知》（云政办发[2010]106号）规定为准）</w:t>
            </w:r>
            <w:r>
              <w:rPr>
                <w:rFonts w:hint="eastAsia" w:ascii="仿宋" w:hAnsi="仿宋" w:eastAsia="仿宋" w:cs="仿宋"/>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8" w:hRule="atLeast"/>
        </w:trPr>
        <w:tc>
          <w:tcPr>
            <w:tcW w:w="854" w:type="dxa"/>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881" w:type="dxa"/>
            <w:gridSpan w:val="2"/>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低于成本价</w:t>
            </w:r>
          </w:p>
        </w:tc>
        <w:tc>
          <w:tcPr>
            <w:tcW w:w="6377" w:type="dxa"/>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投标人投标报价过低从而明显低于成本价且没有合理理由说明的</w:t>
            </w:r>
            <w:r>
              <w:rPr>
                <w:rFonts w:hint="eastAsia" w:ascii="仿宋" w:hAnsi="仿宋" w:eastAsia="仿宋" w:cs="仿宋"/>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1" w:hRule="atLeast"/>
        </w:trPr>
        <w:tc>
          <w:tcPr>
            <w:tcW w:w="854" w:type="dxa"/>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881" w:type="dxa"/>
            <w:gridSpan w:val="2"/>
            <w:vMerge w:val="continue"/>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其他</w:t>
            </w:r>
          </w:p>
        </w:tc>
        <w:tc>
          <w:tcPr>
            <w:tcW w:w="6377" w:type="dxa"/>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不符合招标文件规定的其他实质性条款的</w:t>
            </w:r>
            <w:r>
              <w:rPr>
                <w:rFonts w:hint="eastAsia" w:ascii="仿宋" w:hAnsi="仿宋" w:eastAsia="仿宋" w:cs="仿宋"/>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7" w:hRule="atLeast"/>
        </w:trPr>
        <w:tc>
          <w:tcPr>
            <w:tcW w:w="1735" w:type="dxa"/>
            <w:gridSpan w:val="3"/>
            <w:vAlign w:val="center"/>
          </w:tcPr>
          <w:p>
            <w:pPr>
              <w:pageBreakBefore w:val="0"/>
              <w:kinsoku/>
              <w:overflowPunct/>
              <w:topLinePunct w:val="0"/>
              <w:bidi w:val="0"/>
              <w:spacing w:line="360" w:lineRule="auto"/>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条款号</w:t>
            </w: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条款内容</w:t>
            </w:r>
          </w:p>
        </w:tc>
        <w:tc>
          <w:tcPr>
            <w:tcW w:w="6377" w:type="dxa"/>
            <w:vAlign w:val="center"/>
          </w:tcPr>
          <w:p>
            <w:pPr>
              <w:pageBreakBefore w:val="0"/>
              <w:kinsoku/>
              <w:overflowPunct/>
              <w:topLinePunct w:val="0"/>
              <w:bidi w:val="0"/>
              <w:spacing w:line="360" w:lineRule="auto"/>
              <w:ind w:firstLine="360"/>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14" w:hRule="atLeast"/>
        </w:trPr>
        <w:tc>
          <w:tcPr>
            <w:tcW w:w="1735" w:type="dxa"/>
            <w:gridSpan w:val="3"/>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3.1</w:t>
            </w:r>
          </w:p>
        </w:tc>
        <w:tc>
          <w:tcPr>
            <w:tcW w:w="1812" w:type="dxa"/>
            <w:gridSpan w:val="2"/>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综合评分办法</w:t>
            </w:r>
          </w:p>
        </w:tc>
        <w:tc>
          <w:tcPr>
            <w:tcW w:w="6377" w:type="dxa"/>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1、对所有通过响应性评审的投标文件，评标委员会遵循公平、公正、科学和择优的原则，采用“综合评分法”作为本项目的评标办法。</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2、具体的评分标准如下：</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Z（总分）=J（技术得分）+S（商务得分）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rPr>
        <w:tc>
          <w:tcPr>
            <w:tcW w:w="854" w:type="dxa"/>
            <w:vAlign w:val="center"/>
          </w:tcPr>
          <w:p>
            <w:pPr>
              <w:pageBreakBefore w:val="0"/>
              <w:kinsoku/>
              <w:overflowPunct/>
              <w:topLinePunct w:val="0"/>
              <w:bidi w:val="0"/>
              <w:spacing w:line="360" w:lineRule="auto"/>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rPr>
              <w:t>3.1.</w:t>
            </w:r>
            <w:r>
              <w:rPr>
                <w:rFonts w:hint="eastAsia" w:ascii="仿宋" w:hAnsi="仿宋" w:eastAsia="仿宋" w:cs="仿宋"/>
                <w:b/>
                <w:color w:val="auto"/>
                <w:sz w:val="21"/>
                <w:szCs w:val="21"/>
                <w:highlight w:val="none"/>
                <w:lang w:val="en-US" w:eastAsia="zh-CN"/>
              </w:rPr>
              <w:t>1</w:t>
            </w:r>
          </w:p>
        </w:tc>
        <w:tc>
          <w:tcPr>
            <w:tcW w:w="9070" w:type="dxa"/>
            <w:gridSpan w:val="5"/>
            <w:vAlign w:val="center"/>
          </w:tcPr>
          <w:p>
            <w:pPr>
              <w:pageBreakBefore w:val="0"/>
              <w:kinsoku/>
              <w:overflowPunct/>
              <w:topLinePunct w:val="0"/>
              <w:bidi w:val="0"/>
              <w:spacing w:line="360" w:lineRule="auto"/>
              <w:ind w:firstLine="422" w:firstLineChars="200"/>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eastAsia="zh-CN"/>
              </w:rPr>
              <w:t>报价</w:t>
            </w:r>
            <w:r>
              <w:rPr>
                <w:rFonts w:hint="eastAsia" w:ascii="仿宋" w:hAnsi="仿宋" w:eastAsia="仿宋" w:cs="仿宋"/>
                <w:b/>
                <w:color w:val="auto"/>
                <w:sz w:val="21"/>
                <w:szCs w:val="21"/>
                <w:highlight w:val="none"/>
              </w:rPr>
              <w:t>部分：（总分</w:t>
            </w:r>
            <w:r>
              <w:rPr>
                <w:rFonts w:hint="eastAsia" w:ascii="仿宋" w:hAnsi="仿宋" w:eastAsia="仿宋" w:cs="仿宋"/>
                <w:b/>
                <w:color w:val="auto"/>
                <w:sz w:val="21"/>
                <w:szCs w:val="21"/>
                <w:highlight w:val="none"/>
                <w:lang w:val="en-US" w:eastAsia="zh-CN"/>
              </w:rPr>
              <w:t>30</w:t>
            </w:r>
            <w:r>
              <w:rPr>
                <w:rFonts w:hint="eastAsia" w:ascii="仿宋" w:hAnsi="仿宋" w:eastAsia="仿宋" w:cs="仿宋"/>
                <w:b/>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rPr>
        <w:tc>
          <w:tcPr>
            <w:tcW w:w="854" w:type="dxa"/>
            <w:vAlign w:val="center"/>
          </w:tcPr>
          <w:p>
            <w:pPr>
              <w:pageBreakBefore w:val="0"/>
              <w:kinsoku/>
              <w:overflowPunct/>
              <w:topLinePunct w:val="0"/>
              <w:bidi w:val="0"/>
              <w:adjustRightInd w:val="0"/>
              <w:snapToGrid w:val="0"/>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序号</w:t>
            </w:r>
          </w:p>
        </w:tc>
        <w:tc>
          <w:tcPr>
            <w:tcW w:w="1448" w:type="dxa"/>
            <w:gridSpan w:val="3"/>
            <w:vAlign w:val="center"/>
          </w:tcPr>
          <w:p>
            <w:pPr>
              <w:pageBreakBefore w:val="0"/>
              <w:kinsoku/>
              <w:overflowPunct/>
              <w:topLinePunct w:val="0"/>
              <w:bidi w:val="0"/>
              <w:adjustRightInd w:val="0"/>
              <w:snapToGrid w:val="0"/>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评分项目</w:t>
            </w:r>
          </w:p>
        </w:tc>
        <w:tc>
          <w:tcPr>
            <w:tcW w:w="1245" w:type="dxa"/>
            <w:vAlign w:val="center"/>
          </w:tcPr>
          <w:p>
            <w:pPr>
              <w:pageBreakBefore w:val="0"/>
              <w:kinsoku/>
              <w:overflowPunct/>
              <w:topLinePunct w:val="0"/>
              <w:bidi w:val="0"/>
              <w:adjustRightInd w:val="0"/>
              <w:snapToGrid w:val="0"/>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标准分值</w:t>
            </w:r>
          </w:p>
        </w:tc>
        <w:tc>
          <w:tcPr>
            <w:tcW w:w="6377" w:type="dxa"/>
            <w:vAlign w:val="center"/>
          </w:tcPr>
          <w:p>
            <w:pPr>
              <w:pageBreakBefore w:val="0"/>
              <w:kinsoku/>
              <w:overflowPunct/>
              <w:topLinePunct w:val="0"/>
              <w:bidi w:val="0"/>
              <w:adjustRightInd w:val="0"/>
              <w:snapToGrid w:val="0"/>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4" w:hRule="atLeast"/>
        </w:trPr>
        <w:tc>
          <w:tcPr>
            <w:tcW w:w="854"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tc>
        <w:tc>
          <w:tcPr>
            <w:tcW w:w="1448" w:type="dxa"/>
            <w:gridSpan w:val="3"/>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投标报价</w:t>
            </w:r>
          </w:p>
        </w:tc>
        <w:tc>
          <w:tcPr>
            <w:tcW w:w="1245"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30</w:t>
            </w:r>
            <w:r>
              <w:rPr>
                <w:rFonts w:hint="eastAsia" w:ascii="仿宋" w:hAnsi="仿宋" w:eastAsia="仿宋" w:cs="仿宋"/>
                <w:color w:val="auto"/>
                <w:sz w:val="21"/>
                <w:szCs w:val="21"/>
                <w:highlight w:val="none"/>
              </w:rPr>
              <w:t>分</w:t>
            </w:r>
          </w:p>
        </w:tc>
        <w:tc>
          <w:tcPr>
            <w:tcW w:w="6377" w:type="dxa"/>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1.投标</w:t>
            </w:r>
            <w:r>
              <w:rPr>
                <w:rFonts w:hint="eastAsia" w:ascii="仿宋" w:hAnsi="仿宋" w:eastAsia="仿宋" w:cs="仿宋"/>
                <w:color w:val="auto"/>
                <w:sz w:val="21"/>
                <w:szCs w:val="21"/>
                <w:highlight w:val="none"/>
                <w:lang w:val="en-US" w:eastAsia="zh-CN"/>
              </w:rPr>
              <w:t>报价</w:t>
            </w:r>
            <w:r>
              <w:rPr>
                <w:rFonts w:hint="eastAsia" w:ascii="仿宋" w:hAnsi="仿宋" w:eastAsia="仿宋" w:cs="仿宋"/>
                <w:color w:val="auto"/>
                <w:sz w:val="21"/>
                <w:szCs w:val="21"/>
                <w:highlight w:val="none"/>
              </w:rPr>
              <w:t>等于平均</w:t>
            </w:r>
            <w:r>
              <w:rPr>
                <w:rFonts w:hint="eastAsia" w:ascii="仿宋" w:hAnsi="仿宋" w:eastAsia="仿宋" w:cs="仿宋"/>
                <w:color w:val="auto"/>
                <w:sz w:val="21"/>
                <w:szCs w:val="21"/>
                <w:highlight w:val="none"/>
                <w:lang w:val="en-US" w:eastAsia="zh-CN"/>
              </w:rPr>
              <w:t>报价</w:t>
            </w:r>
            <w:r>
              <w:rPr>
                <w:rFonts w:hint="eastAsia" w:ascii="仿宋" w:hAnsi="仿宋" w:eastAsia="仿宋" w:cs="仿宋"/>
                <w:color w:val="auto"/>
                <w:sz w:val="21"/>
                <w:szCs w:val="21"/>
                <w:highlight w:val="none"/>
              </w:rPr>
              <w:t>得满分</w:t>
            </w:r>
            <w:r>
              <w:rPr>
                <w:rFonts w:hint="eastAsia" w:ascii="仿宋" w:hAnsi="仿宋" w:eastAsia="仿宋" w:cs="仿宋"/>
                <w:color w:val="auto"/>
                <w:sz w:val="21"/>
                <w:szCs w:val="21"/>
                <w:highlight w:val="none"/>
                <w:lang w:val="en-US" w:eastAsia="zh-CN"/>
              </w:rPr>
              <w:t>30</w:t>
            </w:r>
            <w:r>
              <w:rPr>
                <w:rFonts w:hint="eastAsia" w:ascii="仿宋" w:hAnsi="仿宋" w:eastAsia="仿宋" w:cs="仿宋"/>
                <w:color w:val="auto"/>
                <w:sz w:val="21"/>
                <w:szCs w:val="21"/>
                <w:highlight w:val="none"/>
              </w:rPr>
              <w:t>分;</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2.投标报价与平均</w:t>
            </w:r>
            <w:r>
              <w:rPr>
                <w:rFonts w:hint="eastAsia" w:ascii="仿宋" w:hAnsi="仿宋" w:eastAsia="仿宋" w:cs="仿宋"/>
                <w:color w:val="auto"/>
                <w:sz w:val="21"/>
                <w:szCs w:val="21"/>
                <w:highlight w:val="none"/>
                <w:lang w:val="en-US" w:eastAsia="zh-CN"/>
              </w:rPr>
              <w:t>报价</w:t>
            </w:r>
            <w:r>
              <w:rPr>
                <w:rFonts w:hint="eastAsia" w:ascii="仿宋" w:hAnsi="仿宋" w:eastAsia="仿宋" w:cs="仿宋"/>
                <w:color w:val="auto"/>
                <w:sz w:val="21"/>
                <w:szCs w:val="21"/>
                <w:highlight w:val="none"/>
              </w:rPr>
              <w:t>相比较，每上浮或下浮1%均扣</w:t>
            </w:r>
            <w:r>
              <w:rPr>
                <w:rFonts w:hint="eastAsia" w:ascii="仿宋" w:hAnsi="仿宋" w:eastAsia="仿宋" w:cs="仿宋"/>
                <w:color w:val="auto"/>
                <w:sz w:val="21"/>
                <w:szCs w:val="21"/>
                <w:highlight w:val="none"/>
                <w:lang w:val="en-US" w:eastAsia="zh-CN"/>
              </w:rPr>
              <w:t>0.2</w:t>
            </w:r>
            <w:r>
              <w:rPr>
                <w:rFonts w:hint="eastAsia" w:ascii="仿宋" w:hAnsi="仿宋" w:eastAsia="仿宋" w:cs="仿宋"/>
                <w:color w:val="auto"/>
                <w:sz w:val="21"/>
                <w:szCs w:val="21"/>
                <w:highlight w:val="none"/>
              </w:rPr>
              <w:t>分,分数扣完为止。</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3.平均</w:t>
            </w:r>
            <w:r>
              <w:rPr>
                <w:rFonts w:hint="eastAsia" w:ascii="仿宋" w:hAnsi="仿宋" w:eastAsia="仿宋" w:cs="仿宋"/>
                <w:color w:val="auto"/>
                <w:sz w:val="21"/>
                <w:szCs w:val="21"/>
                <w:highlight w:val="none"/>
                <w:lang w:val="en-US" w:eastAsia="zh-CN"/>
              </w:rPr>
              <w:t>报价</w:t>
            </w:r>
            <w:r>
              <w:rPr>
                <w:rFonts w:hint="eastAsia" w:ascii="仿宋" w:hAnsi="仿宋" w:eastAsia="仿宋" w:cs="仿宋"/>
                <w:color w:val="auto"/>
                <w:sz w:val="21"/>
                <w:szCs w:val="21"/>
                <w:highlight w:val="none"/>
              </w:rPr>
              <w:t>计算</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公式一: (适用于当投标报价个数n≥7时)</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P=【(tmax-1×0.5+tmin+1×0.5)+t1+t2+…tn-4】 ÷(n-3)其中:</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(1)P为平均价;</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(2)t为投标报价;tmax-1指投标报价中第二高值;tmin+1指投标报价中第二低值;t1、t2、…、tn-4指分别去掉一 个第一、第二高值和一个第一、第二低值后的投标报价;</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（3）n指投标报价个数</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公式二:  (适用于当投标报价个数n在5≤n＜7范围时) P=(t1+t2+….tn-2)÷(n-2)</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其中: t1、t2、…、.tn-2指去掉一个最高值和一个最低值后的投标报价;</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公式三:  (适用于当投标报价个数n在3≤n＜5范围时)</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P=(t1+t2+….tn)÷n</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其中: t1、t2、…、tn指投标报价;</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当投标人投标报价个数小于3时,直接取投标人报价平均值。</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（二）说明：</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1）公式中的投标报价及投标报价个数是指通过评标委员会初步评审的有效投标人的投标报价及投标报价个数；</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2）评标基准价和报价得分精确到小数后两位。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5" w:hRule="atLeast"/>
        </w:trPr>
        <w:tc>
          <w:tcPr>
            <w:tcW w:w="854" w:type="dxa"/>
            <w:vAlign w:val="center"/>
          </w:tcPr>
          <w:p>
            <w:pPr>
              <w:pageBreakBefore w:val="0"/>
              <w:kinsoku/>
              <w:overflowPunct/>
              <w:topLinePunct w:val="0"/>
              <w:bidi w:val="0"/>
              <w:spacing w:line="240" w:lineRule="auto"/>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rPr>
              <w:t>3.1.</w:t>
            </w:r>
            <w:r>
              <w:rPr>
                <w:rFonts w:hint="eastAsia" w:ascii="仿宋" w:hAnsi="仿宋" w:eastAsia="仿宋" w:cs="仿宋"/>
                <w:b/>
                <w:color w:val="auto"/>
                <w:sz w:val="21"/>
                <w:szCs w:val="21"/>
                <w:highlight w:val="none"/>
                <w:lang w:val="en-US" w:eastAsia="zh-CN"/>
              </w:rPr>
              <w:t>2</w:t>
            </w:r>
          </w:p>
        </w:tc>
        <w:tc>
          <w:tcPr>
            <w:tcW w:w="9070" w:type="dxa"/>
            <w:gridSpan w:val="5"/>
            <w:vAlign w:val="center"/>
          </w:tcPr>
          <w:p>
            <w:pPr>
              <w:pageBreakBefore w:val="0"/>
              <w:kinsoku/>
              <w:overflowPunct/>
              <w:topLinePunct w:val="0"/>
              <w:bidi w:val="0"/>
              <w:spacing w:line="240" w:lineRule="auto"/>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技术部分：（总分</w:t>
            </w:r>
            <w:r>
              <w:rPr>
                <w:rFonts w:hint="eastAsia" w:ascii="仿宋" w:hAnsi="仿宋" w:eastAsia="仿宋" w:cs="仿宋"/>
                <w:b/>
                <w:color w:val="auto"/>
                <w:sz w:val="21"/>
                <w:szCs w:val="21"/>
                <w:highlight w:val="none"/>
                <w:lang w:val="en-US" w:eastAsia="zh-CN"/>
              </w:rPr>
              <w:t>60</w:t>
            </w:r>
            <w:r>
              <w:rPr>
                <w:rFonts w:hint="eastAsia" w:ascii="仿宋" w:hAnsi="仿宋" w:eastAsia="仿宋" w:cs="仿宋"/>
                <w:b/>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854" w:type="dxa"/>
            <w:vAlign w:val="center"/>
          </w:tcPr>
          <w:p>
            <w:pPr>
              <w:pageBreakBefore w:val="0"/>
              <w:kinsoku/>
              <w:overflowPunct/>
              <w:topLinePunct w:val="0"/>
              <w:bidi w:val="0"/>
              <w:spacing w:line="360" w:lineRule="auto"/>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序号</w:t>
            </w:r>
          </w:p>
        </w:tc>
        <w:tc>
          <w:tcPr>
            <w:tcW w:w="1448" w:type="dxa"/>
            <w:gridSpan w:val="3"/>
            <w:vAlign w:val="center"/>
          </w:tcPr>
          <w:p>
            <w:pPr>
              <w:pageBreakBefore w:val="0"/>
              <w:kinsoku/>
              <w:overflowPunct/>
              <w:topLinePunct w:val="0"/>
              <w:bidi w:val="0"/>
              <w:spacing w:line="360" w:lineRule="auto"/>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评  分  项</w:t>
            </w:r>
          </w:p>
        </w:tc>
        <w:tc>
          <w:tcPr>
            <w:tcW w:w="1245" w:type="dxa"/>
            <w:vAlign w:val="center"/>
          </w:tcPr>
          <w:p>
            <w:pPr>
              <w:pageBreakBefore w:val="0"/>
              <w:kinsoku/>
              <w:overflowPunct/>
              <w:topLinePunct w:val="0"/>
              <w:bidi w:val="0"/>
              <w:spacing w:line="360" w:lineRule="auto"/>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分值</w:t>
            </w:r>
          </w:p>
        </w:tc>
        <w:tc>
          <w:tcPr>
            <w:tcW w:w="6377" w:type="dxa"/>
            <w:vAlign w:val="center"/>
          </w:tcPr>
          <w:p>
            <w:pPr>
              <w:pageBreakBefore w:val="0"/>
              <w:kinsoku/>
              <w:overflowPunct/>
              <w:topLinePunct w:val="0"/>
              <w:bidi w:val="0"/>
              <w:spacing w:line="360" w:lineRule="auto"/>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评  分  标  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54"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tc>
        <w:tc>
          <w:tcPr>
            <w:tcW w:w="1448" w:type="dxa"/>
            <w:gridSpan w:val="3"/>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b w:val="0"/>
                <w:bCs/>
                <w:color w:val="auto"/>
                <w:sz w:val="21"/>
                <w:szCs w:val="21"/>
                <w:highlight w:val="none"/>
                <w:lang w:val="zh-CN"/>
              </w:rPr>
              <w:t>拟供产品技术评审</w:t>
            </w:r>
            <w:r>
              <w:rPr>
                <w:rFonts w:hint="eastAsia" w:ascii="仿宋" w:hAnsi="仿宋" w:eastAsia="仿宋" w:cs="仿宋"/>
                <w:color w:val="auto"/>
                <w:sz w:val="21"/>
                <w:szCs w:val="21"/>
                <w:highlight w:val="none"/>
              </w:rPr>
              <w:t>（满分</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分）</w:t>
            </w:r>
          </w:p>
        </w:tc>
        <w:tc>
          <w:tcPr>
            <w:tcW w:w="1245" w:type="dxa"/>
            <w:vAlign w:val="center"/>
          </w:tcPr>
          <w:p>
            <w:pPr>
              <w:pageBreakBefore w:val="0"/>
              <w:kinsoku/>
              <w:overflowPunct/>
              <w:topLinePunct w:val="0"/>
              <w:bidi w:val="0"/>
              <w:spacing w:line="360" w:lineRule="auto"/>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w:t>
            </w:r>
          </w:p>
        </w:tc>
        <w:tc>
          <w:tcPr>
            <w:tcW w:w="6377" w:type="dxa"/>
            <w:vAlign w:val="center"/>
          </w:tcPr>
          <w:p>
            <w:pPr>
              <w:pageBreakBefore w:val="0"/>
              <w:widowControl w:val="0"/>
              <w:kinsoku/>
              <w:overflowPunct/>
              <w:topLinePunct w:val="0"/>
              <w:bidi w:val="0"/>
              <w:adjustRightInd w:val="0"/>
              <w:snapToGrid w:val="0"/>
              <w:spacing w:line="360" w:lineRule="auto"/>
              <w:ind w:firstLine="420" w:firstLineChars="200"/>
              <w:jc w:val="both"/>
              <w:textAlignment w:val="auto"/>
              <w:rPr>
                <w:rFonts w:hint="eastAsia" w:ascii="仿宋" w:hAnsi="仿宋" w:eastAsia="仿宋" w:cs="仿宋"/>
                <w:b w:val="0"/>
                <w:bCs/>
                <w:color w:val="auto"/>
                <w:sz w:val="21"/>
                <w:szCs w:val="21"/>
                <w:highlight w:val="none"/>
                <w:lang w:val="zh-CN" w:eastAsia="zh-CN"/>
              </w:rPr>
            </w:pPr>
            <w:r>
              <w:rPr>
                <w:rFonts w:hint="eastAsia" w:ascii="仿宋" w:hAnsi="仿宋" w:eastAsia="仿宋" w:cs="仿宋"/>
                <w:b w:val="0"/>
                <w:bCs/>
                <w:color w:val="auto"/>
                <w:sz w:val="21"/>
                <w:szCs w:val="21"/>
                <w:highlight w:val="none"/>
                <w:lang w:val="zh-CN" w:eastAsia="zh-CN"/>
              </w:rPr>
              <w:t>潜在投标人应提供</w:t>
            </w:r>
            <w:r>
              <w:rPr>
                <w:rFonts w:hint="eastAsia" w:ascii="仿宋" w:hAnsi="仿宋" w:eastAsia="仿宋" w:cs="仿宋"/>
                <w:b w:val="0"/>
                <w:bCs/>
                <w:color w:val="auto"/>
                <w:sz w:val="21"/>
                <w:szCs w:val="21"/>
                <w:highlight w:val="none"/>
                <w:lang w:val="en-US" w:eastAsia="zh-CN"/>
              </w:rPr>
              <w:t>化肥</w:t>
            </w:r>
            <w:r>
              <w:rPr>
                <w:rFonts w:hint="eastAsia" w:ascii="仿宋" w:hAnsi="仿宋" w:eastAsia="仿宋" w:cs="仿宋"/>
                <w:b w:val="0"/>
                <w:bCs/>
                <w:color w:val="auto"/>
                <w:sz w:val="21"/>
                <w:szCs w:val="21"/>
                <w:highlight w:val="none"/>
                <w:lang w:val="zh-CN" w:eastAsia="zh-CN"/>
              </w:rPr>
              <w:t>由国家认可的第三方检测机构出具的检测报告，检测报告须清晰载明本次采购</w:t>
            </w:r>
            <w:r>
              <w:rPr>
                <w:rFonts w:hint="eastAsia" w:ascii="仿宋" w:hAnsi="仿宋" w:eastAsia="仿宋" w:cs="仿宋"/>
                <w:b w:val="0"/>
                <w:bCs/>
                <w:color w:val="auto"/>
                <w:sz w:val="21"/>
                <w:szCs w:val="21"/>
                <w:highlight w:val="none"/>
                <w:lang w:val="en-US" w:eastAsia="zh-CN"/>
              </w:rPr>
              <w:t>化肥</w:t>
            </w:r>
            <w:r>
              <w:rPr>
                <w:rFonts w:hint="eastAsia" w:ascii="仿宋" w:hAnsi="仿宋" w:eastAsia="仿宋" w:cs="仿宋"/>
                <w:b w:val="0"/>
                <w:bCs/>
                <w:color w:val="auto"/>
                <w:sz w:val="21"/>
                <w:szCs w:val="21"/>
                <w:highlight w:val="none"/>
                <w:lang w:val="zh-CN" w:eastAsia="zh-CN"/>
              </w:rPr>
              <w:t>的技术参数指标的得</w:t>
            </w:r>
            <w:r>
              <w:rPr>
                <w:rFonts w:hint="eastAsia" w:ascii="仿宋" w:hAnsi="仿宋" w:eastAsia="仿宋" w:cs="仿宋"/>
                <w:b w:val="0"/>
                <w:bCs/>
                <w:color w:val="auto"/>
                <w:sz w:val="21"/>
                <w:szCs w:val="21"/>
                <w:highlight w:val="none"/>
                <w:lang w:val="en-US" w:eastAsia="zh-CN"/>
              </w:rPr>
              <w:t>5</w:t>
            </w:r>
            <w:r>
              <w:rPr>
                <w:rFonts w:hint="eastAsia" w:ascii="仿宋" w:hAnsi="仿宋" w:eastAsia="仿宋" w:cs="仿宋"/>
                <w:b w:val="0"/>
                <w:bCs/>
                <w:color w:val="auto"/>
                <w:sz w:val="21"/>
                <w:szCs w:val="21"/>
                <w:highlight w:val="none"/>
                <w:lang w:val="zh-CN" w:eastAsia="zh-CN"/>
              </w:rPr>
              <w:t>分。</w:t>
            </w:r>
          </w:p>
          <w:p>
            <w:pPr>
              <w:pageBreakBefore w:val="0"/>
              <w:widowControl w:val="0"/>
              <w:kinsoku/>
              <w:overflowPunct/>
              <w:topLinePunct w:val="0"/>
              <w:bidi w:val="0"/>
              <w:adjustRightInd w:val="0"/>
              <w:snapToGrid w:val="0"/>
              <w:spacing w:line="360" w:lineRule="auto"/>
              <w:ind w:firstLine="420" w:firstLineChars="200"/>
              <w:jc w:val="both"/>
              <w:textAlignment w:val="auto"/>
              <w:rPr>
                <w:rFonts w:hint="eastAsia" w:ascii="仿宋" w:hAnsi="仿宋" w:eastAsia="仿宋" w:cs="仿宋"/>
                <w:b w:val="0"/>
                <w:bCs/>
                <w:color w:val="auto"/>
                <w:sz w:val="21"/>
                <w:szCs w:val="21"/>
                <w:highlight w:val="none"/>
                <w:lang w:val="zh-CN" w:eastAsia="zh-CN"/>
              </w:rPr>
            </w:pPr>
            <w:r>
              <w:rPr>
                <w:rFonts w:hint="eastAsia" w:ascii="仿宋" w:hAnsi="仿宋" w:eastAsia="仿宋" w:cs="仿宋"/>
                <w:b w:val="0"/>
                <w:bCs/>
                <w:color w:val="auto"/>
                <w:sz w:val="21"/>
                <w:szCs w:val="21"/>
                <w:highlight w:val="none"/>
                <w:lang w:val="zh-CN" w:eastAsia="zh-CN"/>
              </w:rPr>
              <w:t>未提供</w:t>
            </w:r>
            <w:r>
              <w:rPr>
                <w:rFonts w:hint="eastAsia" w:ascii="仿宋" w:hAnsi="仿宋" w:eastAsia="仿宋" w:cs="仿宋"/>
                <w:b w:val="0"/>
                <w:bCs/>
                <w:color w:val="auto"/>
                <w:sz w:val="21"/>
                <w:szCs w:val="21"/>
                <w:highlight w:val="none"/>
                <w:lang w:val="en-US" w:eastAsia="zh-CN"/>
              </w:rPr>
              <w:t>化肥</w:t>
            </w:r>
            <w:r>
              <w:rPr>
                <w:rFonts w:hint="eastAsia" w:ascii="仿宋" w:hAnsi="仿宋" w:eastAsia="仿宋" w:cs="仿宋"/>
                <w:b w:val="0"/>
                <w:bCs/>
                <w:color w:val="auto"/>
                <w:sz w:val="21"/>
                <w:szCs w:val="21"/>
                <w:highlight w:val="none"/>
                <w:lang w:val="zh-CN" w:eastAsia="zh-CN"/>
              </w:rPr>
              <w:t>由国家认可的第三方检测机构出具的检测报告但提供其他能证明拟供应</w:t>
            </w:r>
            <w:r>
              <w:rPr>
                <w:rFonts w:hint="eastAsia" w:ascii="仿宋" w:hAnsi="仿宋" w:eastAsia="仿宋" w:cs="仿宋"/>
                <w:b w:val="0"/>
                <w:bCs/>
                <w:color w:val="auto"/>
                <w:sz w:val="21"/>
                <w:szCs w:val="21"/>
                <w:highlight w:val="none"/>
                <w:lang w:val="en-US" w:eastAsia="zh-CN"/>
              </w:rPr>
              <w:t>化肥</w:t>
            </w:r>
            <w:r>
              <w:rPr>
                <w:rFonts w:hint="eastAsia" w:ascii="仿宋" w:hAnsi="仿宋" w:eastAsia="仿宋" w:cs="仿宋"/>
                <w:b w:val="0"/>
                <w:bCs/>
                <w:color w:val="auto"/>
                <w:sz w:val="21"/>
                <w:szCs w:val="21"/>
                <w:highlight w:val="none"/>
                <w:lang w:val="zh-CN" w:eastAsia="zh-CN"/>
              </w:rPr>
              <w:t>技术参数满足的采购需求的证明材料的，此项得0分。</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b w:val="0"/>
                <w:bCs/>
                <w:color w:val="auto"/>
                <w:sz w:val="21"/>
                <w:szCs w:val="21"/>
                <w:highlight w:val="none"/>
                <w:lang w:val="zh-CN" w:eastAsia="zh-CN"/>
              </w:rPr>
              <w:t>注：潜在投标人拟供</w:t>
            </w:r>
            <w:r>
              <w:rPr>
                <w:rFonts w:hint="eastAsia" w:ascii="仿宋" w:hAnsi="仿宋" w:eastAsia="仿宋" w:cs="仿宋"/>
                <w:b w:val="0"/>
                <w:bCs/>
                <w:color w:val="auto"/>
                <w:sz w:val="21"/>
                <w:szCs w:val="21"/>
                <w:highlight w:val="none"/>
                <w:lang w:val="en-US" w:eastAsia="zh-CN"/>
              </w:rPr>
              <w:t>化肥</w:t>
            </w:r>
            <w:r>
              <w:rPr>
                <w:rFonts w:hint="eastAsia" w:ascii="仿宋" w:hAnsi="仿宋" w:eastAsia="仿宋" w:cs="仿宋"/>
                <w:b w:val="0"/>
                <w:bCs/>
                <w:color w:val="auto"/>
                <w:sz w:val="21"/>
                <w:szCs w:val="21"/>
                <w:highlight w:val="none"/>
                <w:lang w:val="zh-CN" w:eastAsia="zh-CN"/>
              </w:rPr>
              <w:t>技术证明材料的所载明技术性能指标和要求不满足采购需求（出现技术负偏离）或未提供产品技术证明材料的，则视为实质性不响应。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31" w:hRule="atLeast"/>
        </w:trPr>
        <w:tc>
          <w:tcPr>
            <w:tcW w:w="854"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1448" w:type="dxa"/>
            <w:gridSpan w:val="3"/>
            <w:vAlign w:val="center"/>
          </w:tcPr>
          <w:p>
            <w:pPr>
              <w:pageBreakBefore w:val="0"/>
              <w:kinsoku/>
              <w:overflowPunct/>
              <w:topLinePunct w:val="0"/>
              <w:bidi w:val="0"/>
              <w:spacing w:line="360" w:lineRule="auto"/>
              <w:jc w:val="center"/>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供货方案评审（满分20分）</w:t>
            </w:r>
          </w:p>
        </w:tc>
        <w:tc>
          <w:tcPr>
            <w:tcW w:w="1245" w:type="dxa"/>
            <w:vAlign w:val="center"/>
          </w:tcPr>
          <w:p>
            <w:pPr>
              <w:pageBreakBefore w:val="0"/>
              <w:kinsoku/>
              <w:overflowPunct/>
              <w:topLinePunct w:val="0"/>
              <w:bidi w:val="0"/>
              <w:spacing w:line="360" w:lineRule="auto"/>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20</w:t>
            </w:r>
          </w:p>
        </w:tc>
        <w:tc>
          <w:tcPr>
            <w:tcW w:w="6377" w:type="dxa"/>
            <w:vAlign w:val="top"/>
          </w:tcPr>
          <w:p>
            <w:pPr>
              <w:pageBreakBefore w:val="0"/>
              <w:kinsoku/>
              <w:overflowPunct/>
              <w:topLinePunct w:val="0"/>
              <w:bidi w:val="0"/>
              <w:spacing w:line="360" w:lineRule="auto"/>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供货方案进行评审，供货方案中至少应包括：</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（1）生产、备货计划、运输方案、突发情况的应对及处置方案等； </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（2）到货检验方案，包括实施方式、检验标准、检验目标、补救措施等。</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（3）完整的交货计划，能体现各交货时间节点，且具有相应的调整机制，可根据实际情况对进度计划进行调整，确保按时交付；</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（4）具体的交货进度保障措施和违约责任承诺。</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上述评审项每项满分为5分，评分档次为5/3/1/0；</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阐述内容全面完整、详细、条理清晰、各个环节上的描述层次分明，紧扣主题，分析到位，内容详细具体且有针对性，得5分；基本满足但细节不完善，得3分；内容存在缺陷（缺陷指：与实际情况不匹配、不符合项目特点、针对性不强、分析简略、内容有缺漏与本项目无关等任意一种情形）得1分；未提供相关内容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31" w:hRule="atLeast"/>
        </w:trPr>
        <w:tc>
          <w:tcPr>
            <w:tcW w:w="854" w:type="dxa"/>
            <w:vAlign w:val="center"/>
          </w:tcPr>
          <w:p>
            <w:pPr>
              <w:pageBreakBefore w:val="0"/>
              <w:kinsoku/>
              <w:overflowPunct/>
              <w:topLinePunct w:val="0"/>
              <w:bidi w:val="0"/>
              <w:spacing w:line="360" w:lineRule="auto"/>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1448" w:type="dxa"/>
            <w:gridSpan w:val="3"/>
            <w:shd w:val="clear" w:color="auto" w:fill="auto"/>
            <w:vAlign w:val="center"/>
          </w:tcPr>
          <w:p>
            <w:pPr>
              <w:pageBreakBefore w:val="0"/>
              <w:kinsoku/>
              <w:overflowPunct/>
              <w:topLinePunct w:val="0"/>
              <w:bidi w:val="0"/>
              <w:spacing w:line="360" w:lineRule="auto"/>
              <w:jc w:val="center"/>
              <w:textAlignment w:val="auto"/>
              <w:rPr>
                <w:rFonts w:hint="eastAsia" w:ascii="仿宋" w:hAnsi="仿宋" w:eastAsia="仿宋" w:cs="仿宋"/>
                <w:b w:val="0"/>
                <w:bCs/>
                <w:color w:val="auto"/>
                <w:sz w:val="21"/>
                <w:szCs w:val="21"/>
                <w:highlight w:val="none"/>
                <w:shd w:val="clear" w:color="auto" w:fill="auto"/>
                <w:lang w:val="en-US" w:eastAsia="zh-CN" w:bidi="ar-SA"/>
              </w:rPr>
            </w:pPr>
            <w:r>
              <w:rPr>
                <w:rFonts w:hint="eastAsia" w:ascii="仿宋" w:hAnsi="仿宋" w:eastAsia="仿宋" w:cs="仿宋"/>
                <w:b w:val="0"/>
                <w:bCs/>
                <w:color w:val="auto"/>
                <w:sz w:val="21"/>
                <w:szCs w:val="21"/>
                <w:highlight w:val="none"/>
                <w:shd w:val="clear" w:color="auto" w:fill="auto"/>
                <w:lang w:val="zh-CN"/>
              </w:rPr>
              <w:t>质量承诺及保证措施（满分</w:t>
            </w:r>
            <w:r>
              <w:rPr>
                <w:rFonts w:hint="eastAsia" w:ascii="仿宋" w:hAnsi="仿宋" w:eastAsia="仿宋" w:cs="仿宋"/>
                <w:b w:val="0"/>
                <w:bCs/>
                <w:color w:val="auto"/>
                <w:sz w:val="21"/>
                <w:szCs w:val="21"/>
                <w:highlight w:val="none"/>
                <w:shd w:val="clear" w:color="auto" w:fill="auto"/>
                <w:lang w:val="en-US" w:eastAsia="zh-CN"/>
              </w:rPr>
              <w:t>15</w:t>
            </w:r>
            <w:r>
              <w:rPr>
                <w:rFonts w:hint="eastAsia" w:ascii="仿宋" w:hAnsi="仿宋" w:eastAsia="仿宋" w:cs="仿宋"/>
                <w:b w:val="0"/>
                <w:bCs/>
                <w:color w:val="auto"/>
                <w:sz w:val="21"/>
                <w:szCs w:val="21"/>
                <w:highlight w:val="none"/>
                <w:shd w:val="clear" w:color="auto" w:fill="auto"/>
                <w:lang w:val="zh-CN"/>
              </w:rPr>
              <w:t>分）</w:t>
            </w:r>
          </w:p>
        </w:tc>
        <w:tc>
          <w:tcPr>
            <w:tcW w:w="1245" w:type="dxa"/>
            <w:shd w:val="clear" w:color="auto" w:fill="auto"/>
            <w:vAlign w:val="center"/>
          </w:tcPr>
          <w:p>
            <w:pPr>
              <w:pageBreakBefore w:val="0"/>
              <w:kinsoku/>
              <w:overflowPunct/>
              <w:topLinePunct w:val="0"/>
              <w:bidi w:val="0"/>
              <w:spacing w:line="360" w:lineRule="auto"/>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15</w:t>
            </w:r>
          </w:p>
        </w:tc>
        <w:tc>
          <w:tcPr>
            <w:tcW w:w="6377" w:type="dxa"/>
            <w:shd w:val="clear" w:color="auto" w:fill="auto"/>
            <w:vAlign w:val="center"/>
          </w:tcPr>
          <w:p>
            <w:pPr>
              <w:pageBreakBefore w:val="0"/>
              <w:kinsoku/>
              <w:overflowPunct/>
              <w:topLinePunct w:val="0"/>
              <w:bidi w:val="0"/>
              <w:adjustRightInd w:val="0"/>
              <w:snapToGrid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投标人提供的质量保障措施及违约承诺进行评审，内容包含但不限于：1、货物来源渠道；2、货物质量管理措施；3、货物质量保障措施；4、货物安全性保障措施；5、质量保证承诺及处罚措施等方案进行评审。</w:t>
            </w:r>
          </w:p>
          <w:p>
            <w:pPr>
              <w:pageBreakBefore w:val="0"/>
              <w:kinsoku/>
              <w:overflowPunct/>
              <w:topLinePunct w:val="0"/>
              <w:bidi w:val="0"/>
              <w:adjustRightInd w:val="0"/>
              <w:snapToGrid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第一档（</w:t>
            </w:r>
            <w:r>
              <w:rPr>
                <w:rFonts w:hint="eastAsia" w:ascii="仿宋" w:hAnsi="仿宋" w:eastAsia="仿宋" w:cs="仿宋"/>
                <w:color w:val="auto"/>
                <w:sz w:val="21"/>
                <w:szCs w:val="21"/>
                <w:highlight w:val="none"/>
                <w:lang w:val="en-US" w:eastAsia="zh-CN"/>
              </w:rPr>
              <w:t>15</w:t>
            </w:r>
            <w:r>
              <w:rPr>
                <w:rFonts w:hint="eastAsia" w:ascii="仿宋" w:hAnsi="仿宋" w:eastAsia="仿宋" w:cs="仿宋"/>
                <w:color w:val="auto"/>
                <w:sz w:val="21"/>
                <w:szCs w:val="21"/>
                <w:highlight w:val="none"/>
              </w:rPr>
              <w:t xml:space="preserve">分）：供货渠道阐述详细，供货来源清晰明确，质量保障措施方案切实可行，内容详尽，措施及细节周全，对本项目服务有极佳的质量保障，有具体的违约责任承诺及处罚措施的，能完全满足本项目的； </w:t>
            </w:r>
          </w:p>
          <w:p>
            <w:pPr>
              <w:pageBreakBefore w:val="0"/>
              <w:kinsoku/>
              <w:overflowPunct/>
              <w:topLinePunct w:val="0"/>
              <w:bidi w:val="0"/>
              <w:adjustRightInd w:val="0"/>
              <w:snapToGrid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第二档（</w:t>
            </w: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rPr>
              <w:t>分）：供货渠道阐述详尽，供货来源基本明确，质量保障措施方案基本可行，能对主要措施细节做出安排，质量保障承诺及处罚措施有一定的可行性，满足本项目需求的；</w:t>
            </w:r>
          </w:p>
          <w:p>
            <w:pPr>
              <w:pageBreakBefore w:val="0"/>
              <w:kinsoku/>
              <w:overflowPunct/>
              <w:topLinePunct w:val="0"/>
              <w:bidi w:val="0"/>
              <w:adjustRightInd w:val="0"/>
              <w:snapToGrid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第三档（</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分）：供货渠道及供货来源基本合理，质量保障措施合理可行，针对性及可行性一般，质量保证承诺及处罚措施一般，基本满足项目的；</w:t>
            </w:r>
          </w:p>
          <w:p>
            <w:pPr>
              <w:pageBreakBefore w:val="0"/>
              <w:kinsoku/>
              <w:overflowPunct/>
              <w:topLinePunct w:val="0"/>
              <w:bidi w:val="0"/>
              <w:adjustRightInd w:val="0"/>
              <w:snapToGrid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第四档（1分）：供货渠道及供货来源不明确，质量保障措施不具体，针对性及可行性差，质量保证承诺及处罚措施不具体，难以满足本项目的；</w:t>
            </w:r>
          </w:p>
          <w:p>
            <w:pPr>
              <w:pageBreakBefore w:val="0"/>
              <w:kinsoku/>
              <w:overflowPunct/>
              <w:topLinePunct w:val="0"/>
              <w:bidi w:val="0"/>
              <w:adjustRightInd w:val="0"/>
              <w:snapToGrid w:val="0"/>
              <w:spacing w:line="360" w:lineRule="auto"/>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第五档（0分）：未提供质量保证措施及承诺的。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08" w:hRule="atLeast"/>
        </w:trPr>
        <w:tc>
          <w:tcPr>
            <w:tcW w:w="854"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4</w:t>
            </w:r>
          </w:p>
        </w:tc>
        <w:tc>
          <w:tcPr>
            <w:tcW w:w="1448" w:type="dxa"/>
            <w:gridSpan w:val="3"/>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b w:val="0"/>
                <w:bCs/>
                <w:color w:val="auto"/>
                <w:sz w:val="21"/>
                <w:szCs w:val="21"/>
                <w:highlight w:val="none"/>
                <w:lang w:val="en-US" w:eastAsia="zh-CN"/>
              </w:rPr>
              <w:t>供货</w:t>
            </w:r>
            <w:r>
              <w:rPr>
                <w:rFonts w:hint="eastAsia" w:ascii="仿宋" w:hAnsi="仿宋" w:eastAsia="仿宋" w:cs="仿宋"/>
                <w:b w:val="0"/>
                <w:bCs/>
                <w:color w:val="auto"/>
                <w:sz w:val="21"/>
                <w:szCs w:val="21"/>
                <w:highlight w:val="none"/>
                <w:lang w:val="zh-CN"/>
              </w:rPr>
              <w:t>合同履行期限承诺</w:t>
            </w:r>
            <w:r>
              <w:rPr>
                <w:rFonts w:hint="eastAsia" w:ascii="仿宋" w:hAnsi="仿宋" w:eastAsia="仿宋" w:cs="仿宋"/>
                <w:b w:val="0"/>
                <w:bCs/>
                <w:color w:val="auto"/>
                <w:sz w:val="21"/>
                <w:szCs w:val="21"/>
                <w:highlight w:val="none"/>
                <w:lang w:val="en-US" w:eastAsia="zh-CN"/>
              </w:rPr>
              <w:t>评审</w:t>
            </w:r>
            <w:r>
              <w:rPr>
                <w:rFonts w:hint="eastAsia" w:ascii="仿宋" w:hAnsi="仿宋" w:eastAsia="仿宋" w:cs="仿宋"/>
                <w:color w:val="auto"/>
                <w:sz w:val="21"/>
                <w:szCs w:val="21"/>
                <w:highlight w:val="none"/>
              </w:rPr>
              <w:t>(满分</w:t>
            </w: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rPr>
              <w:t>分)</w:t>
            </w:r>
          </w:p>
        </w:tc>
        <w:tc>
          <w:tcPr>
            <w:tcW w:w="1245" w:type="dxa"/>
            <w:vAlign w:val="center"/>
          </w:tcPr>
          <w:p>
            <w:pPr>
              <w:pageBreakBefore w:val="0"/>
              <w:kinsoku/>
              <w:overflowPunct/>
              <w:topLinePunct w:val="0"/>
              <w:bidi w:val="0"/>
              <w:spacing w:line="360" w:lineRule="auto"/>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w:t>
            </w:r>
          </w:p>
        </w:tc>
        <w:tc>
          <w:tcPr>
            <w:tcW w:w="6377" w:type="dxa"/>
            <w:vAlign w:val="top"/>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根据投标人提供的供货合同履行期限承诺进行评审，内容包含但不限于：</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供货计划与排期；</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关键节点进度安排；</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合同履行期限保证措施；</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违约责任及处罚承诺。</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第一档（</w:t>
            </w: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rPr>
              <w:t>分）分</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供货合同履行期限承诺</w:t>
            </w:r>
            <w:r>
              <w:rPr>
                <w:rFonts w:hint="eastAsia" w:ascii="仿宋" w:hAnsi="仿宋" w:eastAsia="仿宋" w:cs="仿宋"/>
                <w:color w:val="auto"/>
                <w:sz w:val="21"/>
                <w:szCs w:val="21"/>
                <w:highlight w:val="none"/>
                <w:lang w:val="en-US" w:eastAsia="zh-CN"/>
              </w:rPr>
              <w:t>优于</w:t>
            </w:r>
            <w:r>
              <w:rPr>
                <w:rFonts w:hint="eastAsia" w:ascii="仿宋" w:hAnsi="仿宋" w:eastAsia="仿宋" w:cs="仿宋"/>
                <w:color w:val="auto"/>
                <w:sz w:val="21"/>
                <w:szCs w:val="21"/>
                <w:highlight w:val="none"/>
              </w:rPr>
              <w:t>招标文件要求,供货计划科学合理，节点进度明确</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有具体的合同履行期限保证措施、违约责任承诺及奖罚条件，且具科学合理性；</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第二档（</w:t>
            </w: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分）分</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供货合同履行期限承诺满足招标文件要求，供货计划基本合理，节点进度较明确</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合同履行期限保证措施基本可行、</w:t>
            </w:r>
            <w:r>
              <w:rPr>
                <w:rFonts w:hint="eastAsia" w:ascii="仿宋" w:hAnsi="仿宋" w:eastAsia="仿宋" w:cs="仿宋"/>
                <w:color w:val="auto"/>
                <w:sz w:val="21"/>
                <w:szCs w:val="21"/>
                <w:highlight w:val="none"/>
                <w:lang w:eastAsia="zh-CN"/>
              </w:rPr>
              <w:t>有</w:t>
            </w:r>
            <w:r>
              <w:rPr>
                <w:rFonts w:hint="eastAsia" w:ascii="仿宋" w:hAnsi="仿宋" w:eastAsia="仿宋" w:cs="仿宋"/>
                <w:color w:val="auto"/>
                <w:sz w:val="21"/>
                <w:szCs w:val="21"/>
                <w:highlight w:val="none"/>
              </w:rPr>
              <w:t>违约责任承诺；</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第三档（</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分）分</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供货合同履行期限承诺</w:t>
            </w:r>
            <w:r>
              <w:rPr>
                <w:rFonts w:hint="eastAsia" w:ascii="仿宋" w:hAnsi="仿宋" w:eastAsia="仿宋" w:cs="仿宋"/>
                <w:color w:val="auto"/>
                <w:sz w:val="21"/>
                <w:szCs w:val="21"/>
                <w:highlight w:val="none"/>
                <w:lang w:val="en-US" w:eastAsia="zh-CN"/>
              </w:rPr>
              <w:t>基本满足</w:t>
            </w:r>
            <w:r>
              <w:rPr>
                <w:rFonts w:hint="eastAsia" w:ascii="仿宋" w:hAnsi="仿宋" w:eastAsia="仿宋" w:cs="仿宋"/>
                <w:color w:val="auto"/>
                <w:sz w:val="21"/>
                <w:szCs w:val="21"/>
                <w:highlight w:val="none"/>
              </w:rPr>
              <w:t>招标文件要求，供货计划不够合理，节点进度不清晰</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合同履行期限保证措施</w:t>
            </w:r>
            <w:r>
              <w:rPr>
                <w:rFonts w:hint="eastAsia" w:ascii="仿宋" w:hAnsi="仿宋" w:eastAsia="仿宋" w:cs="仿宋"/>
                <w:color w:val="auto"/>
                <w:sz w:val="21"/>
                <w:szCs w:val="21"/>
                <w:highlight w:val="none"/>
                <w:lang w:eastAsia="zh-CN"/>
              </w:rPr>
              <w:t>不完善</w:t>
            </w:r>
            <w:r>
              <w:rPr>
                <w:rFonts w:hint="eastAsia" w:ascii="仿宋" w:hAnsi="仿宋" w:eastAsia="仿宋" w:cs="仿宋"/>
                <w:color w:val="auto"/>
                <w:sz w:val="21"/>
                <w:szCs w:val="21"/>
                <w:highlight w:val="none"/>
              </w:rPr>
              <w:t>，违约责任承诺</w:t>
            </w:r>
            <w:r>
              <w:rPr>
                <w:rFonts w:hint="eastAsia" w:ascii="仿宋" w:hAnsi="仿宋" w:eastAsia="仿宋" w:cs="仿宋"/>
                <w:color w:val="auto"/>
                <w:sz w:val="21"/>
                <w:szCs w:val="21"/>
                <w:highlight w:val="none"/>
                <w:lang w:eastAsia="zh-CN"/>
              </w:rPr>
              <w:t>不具体</w:t>
            </w:r>
            <w:r>
              <w:rPr>
                <w:rFonts w:hint="eastAsia" w:ascii="仿宋" w:hAnsi="仿宋" w:eastAsia="仿宋" w:cs="仿宋"/>
                <w:color w:val="auto"/>
                <w:sz w:val="21"/>
                <w:szCs w:val="21"/>
                <w:highlight w:val="none"/>
              </w:rPr>
              <w:t>；</w:t>
            </w:r>
          </w:p>
          <w:p>
            <w:pPr>
              <w:pageBreakBefore w:val="0"/>
              <w:kinsoku/>
              <w:overflowPunct/>
              <w:topLinePunct w:val="0"/>
              <w:bidi w:val="0"/>
              <w:spacing w:line="360" w:lineRule="auto"/>
              <w:textAlignment w:val="auto"/>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rPr>
              <w:t>第四档（</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w:t>
            </w:r>
            <w:r>
              <w:rPr>
                <w:rFonts w:hint="eastAsia" w:ascii="仿宋" w:hAnsi="仿宋" w:eastAsia="仿宋" w:cs="仿宋"/>
                <w:color w:val="auto"/>
                <w:sz w:val="21"/>
                <w:szCs w:val="21"/>
                <w:highlight w:val="none"/>
                <w:lang w:eastAsia="zh-CN"/>
              </w:rPr>
              <w:t>：供货合同履行期限承诺及相关方案措施不具体，针对性及可行性差，供货计划混乱、节点进度模糊，合同履行期限保证措施薄弱，难以保障供货进度，无法满足本项目对交货周期的要求，</w:t>
            </w:r>
            <w:r>
              <w:rPr>
                <w:rFonts w:hint="eastAsia" w:ascii="仿宋" w:hAnsi="仿宋" w:eastAsia="仿宋" w:cs="仿宋"/>
                <w:color w:val="auto"/>
                <w:sz w:val="21"/>
                <w:szCs w:val="21"/>
                <w:highlight w:val="none"/>
                <w:lang w:val="en-US" w:eastAsia="zh-CN"/>
              </w:rPr>
              <w:t>无</w:t>
            </w:r>
            <w:r>
              <w:rPr>
                <w:rFonts w:hint="eastAsia" w:ascii="仿宋" w:hAnsi="仿宋" w:eastAsia="仿宋" w:cs="仿宋"/>
                <w:color w:val="auto"/>
                <w:sz w:val="21"/>
                <w:szCs w:val="21"/>
                <w:highlight w:val="none"/>
              </w:rPr>
              <w:t>违约责任承诺</w:t>
            </w:r>
            <w:r>
              <w:rPr>
                <w:rFonts w:hint="eastAsia" w:ascii="仿宋" w:hAnsi="仿宋" w:eastAsia="仿宋" w:cs="仿宋"/>
                <w:color w:val="auto"/>
                <w:sz w:val="21"/>
                <w:szCs w:val="21"/>
                <w:highlight w:val="none"/>
                <w:lang w:eastAsia="zh-CN"/>
              </w:rPr>
              <w:t>。</w:t>
            </w:r>
          </w:p>
          <w:p>
            <w:pPr>
              <w:pageBreakBefore w:val="0"/>
              <w:kinsoku/>
              <w:overflowPunct/>
              <w:topLinePunct w:val="0"/>
              <w:bidi w:val="0"/>
              <w:spacing w:line="360" w:lineRule="auto"/>
              <w:textAlignment w:val="auto"/>
              <w:rPr>
                <w:rFonts w:hint="eastAsia"/>
                <w:color w:val="auto"/>
                <w:highlight w:val="none"/>
              </w:rPr>
            </w:pPr>
            <w:r>
              <w:rPr>
                <w:rFonts w:hint="eastAsia" w:ascii="仿宋" w:hAnsi="仿宋" w:eastAsia="仿宋" w:cs="仿宋"/>
                <w:color w:val="auto"/>
                <w:sz w:val="21"/>
                <w:szCs w:val="21"/>
                <w:highlight w:val="none"/>
              </w:rPr>
              <w:t>第</w:t>
            </w:r>
            <w:r>
              <w:rPr>
                <w:rFonts w:hint="eastAsia" w:ascii="仿宋" w:hAnsi="仿宋" w:eastAsia="仿宋" w:cs="仿宋"/>
                <w:color w:val="auto"/>
                <w:sz w:val="21"/>
                <w:szCs w:val="21"/>
                <w:highlight w:val="none"/>
                <w:lang w:eastAsia="zh-CN"/>
              </w:rPr>
              <w:t>五</w:t>
            </w:r>
            <w:r>
              <w:rPr>
                <w:rFonts w:hint="eastAsia" w:ascii="仿宋" w:hAnsi="仿宋" w:eastAsia="仿宋" w:cs="仿宋"/>
                <w:color w:val="auto"/>
                <w:sz w:val="21"/>
                <w:szCs w:val="21"/>
                <w:highlight w:val="none"/>
              </w:rPr>
              <w:t>档（</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rPr>
              <w:t>分）</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未提供</w:t>
            </w:r>
            <w:r>
              <w:rPr>
                <w:rFonts w:hint="eastAsia" w:ascii="仿宋" w:hAnsi="仿宋" w:eastAsia="仿宋" w:cs="仿宋"/>
                <w:b w:val="0"/>
                <w:bCs/>
                <w:color w:val="auto"/>
                <w:sz w:val="21"/>
                <w:szCs w:val="21"/>
                <w:highlight w:val="none"/>
                <w:lang w:val="en-US" w:eastAsia="zh-CN"/>
              </w:rPr>
              <w:t>供货</w:t>
            </w:r>
            <w:r>
              <w:rPr>
                <w:rFonts w:hint="eastAsia" w:ascii="仿宋" w:hAnsi="仿宋" w:eastAsia="仿宋" w:cs="仿宋"/>
                <w:b w:val="0"/>
                <w:bCs/>
                <w:color w:val="auto"/>
                <w:sz w:val="21"/>
                <w:szCs w:val="21"/>
                <w:highlight w:val="none"/>
                <w:lang w:val="zh-CN"/>
              </w:rPr>
              <w:t>合同履行期限承诺</w:t>
            </w:r>
            <w:r>
              <w:rPr>
                <w:rFonts w:hint="eastAsia" w:ascii="仿宋" w:hAnsi="仿宋" w:eastAsia="仿宋" w:cs="仿宋"/>
                <w:b w:val="0"/>
                <w:bCs/>
                <w:color w:val="auto"/>
                <w:sz w:val="21"/>
                <w:szCs w:val="21"/>
                <w:highlight w:val="none"/>
                <w:lang w:val="en-US" w:eastAsia="zh-CN"/>
              </w:rPr>
              <w:t>或</w:t>
            </w:r>
            <w:r>
              <w:rPr>
                <w:rFonts w:hint="eastAsia" w:ascii="仿宋" w:hAnsi="仿宋" w:eastAsia="仿宋" w:cs="仿宋"/>
                <w:color w:val="auto"/>
                <w:sz w:val="21"/>
                <w:szCs w:val="21"/>
                <w:highlight w:val="none"/>
              </w:rPr>
              <w:t>供货合同履行期限不满足招标文件要求。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54"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5</w:t>
            </w:r>
          </w:p>
        </w:tc>
        <w:tc>
          <w:tcPr>
            <w:tcW w:w="1448" w:type="dxa"/>
            <w:gridSpan w:val="3"/>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b w:val="0"/>
                <w:bCs/>
                <w:color w:val="auto"/>
                <w:sz w:val="21"/>
                <w:szCs w:val="21"/>
                <w:highlight w:val="none"/>
                <w:shd w:val="clear" w:color="auto" w:fill="auto"/>
                <w:lang w:val="zh-CN"/>
              </w:rPr>
              <w:t>售后服务能力介绍及售后服务方案</w:t>
            </w:r>
            <w:r>
              <w:rPr>
                <w:rFonts w:hint="eastAsia" w:ascii="仿宋" w:hAnsi="仿宋" w:eastAsia="仿宋" w:cs="仿宋"/>
                <w:b w:val="0"/>
                <w:bCs/>
                <w:color w:val="auto"/>
                <w:sz w:val="21"/>
                <w:szCs w:val="21"/>
                <w:highlight w:val="none"/>
                <w:shd w:val="clear" w:color="auto" w:fill="auto"/>
                <w:lang w:val="en-US" w:eastAsia="zh-CN"/>
              </w:rPr>
              <w:t>评审</w:t>
            </w:r>
            <w:r>
              <w:rPr>
                <w:rFonts w:hint="eastAsia" w:ascii="仿宋" w:hAnsi="仿宋" w:eastAsia="仿宋" w:cs="仿宋"/>
                <w:color w:val="auto"/>
                <w:sz w:val="21"/>
                <w:szCs w:val="21"/>
                <w:highlight w:val="none"/>
              </w:rPr>
              <w:t>（满分</w:t>
            </w: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rPr>
              <w:t>分）</w:t>
            </w:r>
          </w:p>
        </w:tc>
        <w:tc>
          <w:tcPr>
            <w:tcW w:w="1245"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w:t>
            </w:r>
          </w:p>
        </w:tc>
        <w:tc>
          <w:tcPr>
            <w:tcW w:w="6377" w:type="dxa"/>
            <w:vAlign w:val="center"/>
          </w:tcPr>
          <w:p>
            <w:pPr>
              <w:pageBreakBefore w:val="0"/>
              <w:kinsoku/>
              <w:overflowPunct/>
              <w:topLinePunct w:val="0"/>
              <w:bidi w:val="0"/>
              <w:adjustRightInd w:val="0"/>
              <w:snapToGrid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根据投标人提供的售后服务保证措施及承诺进行评审，内容包含但不限于：1、售后服务组织机构；2、售后服务方式与流程；3、售后响应时限及承诺；4、售后违约处罚措施及承诺。</w:t>
            </w:r>
          </w:p>
          <w:p>
            <w:pPr>
              <w:pageBreakBefore w:val="0"/>
              <w:kinsoku/>
              <w:overflowPunct/>
              <w:topLinePunct w:val="0"/>
              <w:bidi w:val="0"/>
              <w:adjustRightInd w:val="0"/>
              <w:snapToGrid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一档（10分）：投标人提供的售后服务措施阐述详细、规范、完善、针对性及可行性强，售后服务保证措施能切实解决质保期内产品使用可能发生的问题，承诺详细具体，有详细的违约处罚，能够完全满足项目的；</w:t>
            </w:r>
          </w:p>
          <w:p>
            <w:pPr>
              <w:pageBreakBefore w:val="0"/>
              <w:kinsoku/>
              <w:overflowPunct/>
              <w:topLinePunct w:val="0"/>
              <w:bidi w:val="0"/>
              <w:adjustRightInd w:val="0"/>
              <w:snapToGrid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第二档（7分）：投标人提供的各项方案措施描述详尽、有一定的针对性及可行性，售后服务能解决质保期内产品使用进程中可能发生的问题，有具体的承诺及违约处罚，满足项目的；</w:t>
            </w:r>
          </w:p>
          <w:p>
            <w:pPr>
              <w:pageBreakBefore w:val="0"/>
              <w:kinsoku/>
              <w:overflowPunct/>
              <w:topLinePunct w:val="0"/>
              <w:bidi w:val="0"/>
              <w:adjustRightInd w:val="0"/>
              <w:snapToGrid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第三档（4分）：投标人提供的各项方案措施合理，针对性及可行性一般，售后服务基本能解决质保期内产品使用进程中可能发生的问题，承诺及违约处罚一般，基本满足项目的；</w:t>
            </w:r>
          </w:p>
          <w:p>
            <w:pPr>
              <w:pageBreakBefore w:val="0"/>
              <w:kinsoku/>
              <w:overflowPunct/>
              <w:topLinePunct w:val="0"/>
              <w:bidi w:val="0"/>
              <w:adjustRightInd w:val="0"/>
              <w:snapToGrid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第四档（1分）：投标人提供的各项方案措施不具体，针对性及可行性差，售后服务不能解决质保期内产品使用进程中可能发生的问题，承诺及违约处罚不具体，难以满足本项目的；</w:t>
            </w:r>
          </w:p>
          <w:p>
            <w:pPr>
              <w:pageBreakBefore w:val="0"/>
              <w:kinsoku/>
              <w:overflowPunct/>
              <w:topLinePunct w:val="0"/>
              <w:bidi w:val="0"/>
              <w:adjustRightInd w:val="0"/>
              <w:snapToGrid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第五档（0分）：未提供售后服务承诺及保证措施的。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54" w:type="dxa"/>
            <w:vAlign w:val="center"/>
          </w:tcPr>
          <w:p>
            <w:pPr>
              <w:pageBreakBefore w:val="0"/>
              <w:kinsoku/>
              <w:overflowPunct/>
              <w:topLinePunct w:val="0"/>
              <w:bidi w:val="0"/>
              <w:spacing w:line="240" w:lineRule="auto"/>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3.1.3</w:t>
            </w:r>
          </w:p>
        </w:tc>
        <w:tc>
          <w:tcPr>
            <w:tcW w:w="9070" w:type="dxa"/>
            <w:gridSpan w:val="5"/>
            <w:vAlign w:val="center"/>
          </w:tcPr>
          <w:p>
            <w:pPr>
              <w:pageBreakBefore w:val="0"/>
              <w:kinsoku/>
              <w:overflowPunct/>
              <w:topLinePunct w:val="0"/>
              <w:bidi w:val="0"/>
              <w:adjustRightInd w:val="0"/>
              <w:snapToGrid w:val="0"/>
              <w:spacing w:line="240" w:lineRule="auto"/>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商务部分：（总分</w:t>
            </w:r>
            <w:r>
              <w:rPr>
                <w:rFonts w:hint="eastAsia" w:ascii="仿宋" w:hAnsi="仿宋" w:eastAsia="仿宋" w:cs="仿宋"/>
                <w:b/>
                <w:bCs/>
                <w:color w:val="auto"/>
                <w:sz w:val="21"/>
                <w:szCs w:val="21"/>
                <w:highlight w:val="none"/>
                <w:lang w:val="en-US" w:eastAsia="zh-CN"/>
              </w:rPr>
              <w:t>10分</w:t>
            </w:r>
            <w:r>
              <w:rPr>
                <w:rFonts w:hint="eastAsia" w:ascii="仿宋" w:hAnsi="仿宋" w:eastAsia="仿宋" w:cs="仿宋"/>
                <w:b/>
                <w:bCs/>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54" w:type="dxa"/>
            <w:shd w:val="clear" w:color="auto" w:fill="auto"/>
            <w:vAlign w:val="center"/>
          </w:tcPr>
          <w:p>
            <w:pPr>
              <w:pageBreakBefore w:val="0"/>
              <w:kinsoku/>
              <w:overflowPunct/>
              <w:topLinePunct w:val="0"/>
              <w:bidi w:val="0"/>
              <w:spacing w:line="240" w:lineRule="auto"/>
              <w:jc w:val="center"/>
              <w:textAlignment w:val="auto"/>
              <w:rPr>
                <w:rFonts w:hint="eastAsia" w:ascii="仿宋" w:hAnsi="仿宋" w:eastAsia="仿宋" w:cs="仿宋"/>
                <w:b/>
                <w:color w:val="auto"/>
                <w:sz w:val="21"/>
                <w:szCs w:val="21"/>
                <w:highlight w:val="none"/>
                <w:lang w:val="en-US" w:eastAsia="zh-CN" w:bidi="ar-SA"/>
              </w:rPr>
            </w:pPr>
            <w:r>
              <w:rPr>
                <w:rFonts w:hint="eastAsia" w:ascii="仿宋" w:hAnsi="仿宋" w:eastAsia="仿宋" w:cs="仿宋"/>
                <w:b/>
                <w:color w:val="auto"/>
                <w:sz w:val="21"/>
                <w:szCs w:val="21"/>
                <w:highlight w:val="none"/>
              </w:rPr>
              <w:t>序号</w:t>
            </w:r>
          </w:p>
        </w:tc>
        <w:tc>
          <w:tcPr>
            <w:tcW w:w="1448" w:type="dxa"/>
            <w:gridSpan w:val="3"/>
            <w:shd w:val="clear" w:color="auto" w:fill="auto"/>
            <w:vAlign w:val="center"/>
          </w:tcPr>
          <w:p>
            <w:pPr>
              <w:pageBreakBefore w:val="0"/>
              <w:kinsoku/>
              <w:overflowPunct/>
              <w:topLinePunct w:val="0"/>
              <w:bidi w:val="0"/>
              <w:spacing w:line="240" w:lineRule="auto"/>
              <w:jc w:val="center"/>
              <w:textAlignment w:val="auto"/>
              <w:rPr>
                <w:rFonts w:hint="eastAsia" w:ascii="仿宋" w:hAnsi="仿宋" w:eastAsia="仿宋" w:cs="仿宋"/>
                <w:b/>
                <w:color w:val="auto"/>
                <w:sz w:val="21"/>
                <w:szCs w:val="21"/>
                <w:highlight w:val="none"/>
                <w:lang w:val="zh-CN" w:eastAsia="zh-CN" w:bidi="ar-SA"/>
              </w:rPr>
            </w:pPr>
            <w:r>
              <w:rPr>
                <w:rFonts w:hint="eastAsia" w:ascii="仿宋" w:hAnsi="仿宋" w:eastAsia="仿宋" w:cs="仿宋"/>
                <w:b/>
                <w:color w:val="auto"/>
                <w:sz w:val="21"/>
                <w:szCs w:val="21"/>
                <w:highlight w:val="none"/>
              </w:rPr>
              <w:t>评  分  项</w:t>
            </w:r>
          </w:p>
        </w:tc>
        <w:tc>
          <w:tcPr>
            <w:tcW w:w="1245" w:type="dxa"/>
            <w:shd w:val="clear" w:color="auto" w:fill="auto"/>
            <w:vAlign w:val="center"/>
          </w:tcPr>
          <w:p>
            <w:pPr>
              <w:pageBreakBefore w:val="0"/>
              <w:kinsoku/>
              <w:overflowPunct/>
              <w:topLinePunct w:val="0"/>
              <w:bidi w:val="0"/>
              <w:spacing w:line="240" w:lineRule="auto"/>
              <w:jc w:val="center"/>
              <w:textAlignment w:val="auto"/>
              <w:rPr>
                <w:rFonts w:hint="eastAsia" w:ascii="仿宋" w:hAnsi="仿宋" w:eastAsia="仿宋" w:cs="仿宋"/>
                <w:b/>
                <w:color w:val="auto"/>
                <w:sz w:val="21"/>
                <w:szCs w:val="21"/>
                <w:highlight w:val="none"/>
                <w:lang w:val="en-US" w:eastAsia="zh-CN" w:bidi="ar-SA"/>
              </w:rPr>
            </w:pPr>
            <w:r>
              <w:rPr>
                <w:rFonts w:hint="eastAsia" w:ascii="仿宋" w:hAnsi="仿宋" w:eastAsia="仿宋" w:cs="仿宋"/>
                <w:b/>
                <w:color w:val="auto"/>
                <w:sz w:val="21"/>
                <w:szCs w:val="21"/>
                <w:highlight w:val="none"/>
              </w:rPr>
              <w:t>分值</w:t>
            </w:r>
          </w:p>
        </w:tc>
        <w:tc>
          <w:tcPr>
            <w:tcW w:w="6377" w:type="dxa"/>
            <w:shd w:val="clear" w:color="auto" w:fill="auto"/>
            <w:vAlign w:val="center"/>
          </w:tcPr>
          <w:p>
            <w:pPr>
              <w:pageBreakBefore w:val="0"/>
              <w:kinsoku/>
              <w:overflowPunct/>
              <w:topLinePunct w:val="0"/>
              <w:bidi w:val="0"/>
              <w:spacing w:line="240" w:lineRule="auto"/>
              <w:jc w:val="center"/>
              <w:textAlignment w:val="auto"/>
              <w:rPr>
                <w:rFonts w:hint="eastAsia" w:ascii="仿宋" w:hAnsi="仿宋" w:eastAsia="仿宋" w:cs="仿宋"/>
                <w:b/>
                <w:color w:val="auto"/>
                <w:sz w:val="21"/>
                <w:szCs w:val="21"/>
                <w:highlight w:val="none"/>
                <w:lang w:val="en-US" w:eastAsia="zh-CN" w:bidi="ar-SA"/>
              </w:rPr>
            </w:pPr>
            <w:r>
              <w:rPr>
                <w:rFonts w:hint="eastAsia" w:ascii="仿宋" w:hAnsi="仿宋" w:eastAsia="仿宋" w:cs="仿宋"/>
                <w:b/>
                <w:color w:val="auto"/>
                <w:sz w:val="21"/>
                <w:szCs w:val="21"/>
                <w:highlight w:val="none"/>
              </w:rPr>
              <w:t>评  分  标  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8" w:hRule="atLeast"/>
        </w:trPr>
        <w:tc>
          <w:tcPr>
            <w:tcW w:w="85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1448" w:type="dxa"/>
            <w:gridSpan w:val="3"/>
            <w:vAlign w:val="center"/>
          </w:tcPr>
          <w:p>
            <w:pPr>
              <w:pageBreakBefore w:val="0"/>
              <w:kinsoku/>
              <w:overflowPunct/>
              <w:topLinePunct w:val="0"/>
              <w:bidi w:val="0"/>
              <w:spacing w:line="360" w:lineRule="auto"/>
              <w:jc w:val="center"/>
              <w:textAlignment w:val="auto"/>
              <w:rPr>
                <w:rFonts w:hint="eastAsia" w:ascii="仿宋" w:hAnsi="仿宋" w:eastAsia="仿宋" w:cs="仿宋"/>
                <w:b w:val="0"/>
                <w:bCs/>
                <w:color w:val="auto"/>
                <w:sz w:val="21"/>
                <w:szCs w:val="21"/>
                <w:highlight w:val="none"/>
                <w:shd w:val="clear" w:color="auto" w:fill="auto"/>
                <w:lang w:val="zh-CN"/>
              </w:rPr>
            </w:pPr>
            <w:r>
              <w:rPr>
                <w:rFonts w:hint="eastAsia" w:ascii="仿宋" w:hAnsi="仿宋" w:eastAsia="仿宋" w:cs="仿宋"/>
                <w:b w:val="0"/>
                <w:bCs/>
                <w:color w:val="auto"/>
                <w:sz w:val="21"/>
                <w:szCs w:val="21"/>
                <w:highlight w:val="none"/>
                <w:shd w:val="clear" w:color="auto" w:fill="auto"/>
                <w:lang w:val="zh-CN"/>
              </w:rPr>
              <w:t>企业综合实力评审（满分</w:t>
            </w:r>
            <w:r>
              <w:rPr>
                <w:rFonts w:hint="eastAsia" w:ascii="仿宋" w:hAnsi="仿宋" w:eastAsia="仿宋" w:cs="仿宋"/>
                <w:b w:val="0"/>
                <w:bCs/>
                <w:color w:val="auto"/>
                <w:sz w:val="21"/>
                <w:szCs w:val="21"/>
                <w:highlight w:val="none"/>
                <w:shd w:val="clear" w:color="auto" w:fill="auto"/>
                <w:lang w:val="en-US" w:eastAsia="zh-CN"/>
              </w:rPr>
              <w:t>5分</w:t>
            </w:r>
            <w:r>
              <w:rPr>
                <w:rFonts w:hint="eastAsia" w:ascii="仿宋" w:hAnsi="仿宋" w:eastAsia="仿宋" w:cs="仿宋"/>
                <w:b w:val="0"/>
                <w:bCs/>
                <w:color w:val="auto"/>
                <w:sz w:val="21"/>
                <w:szCs w:val="21"/>
                <w:highlight w:val="none"/>
                <w:shd w:val="clear" w:color="auto" w:fill="auto"/>
                <w:lang w:val="zh-CN"/>
              </w:rPr>
              <w:t>）</w:t>
            </w:r>
          </w:p>
        </w:tc>
        <w:tc>
          <w:tcPr>
            <w:tcW w:w="1245"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w:t>
            </w:r>
          </w:p>
        </w:tc>
        <w:tc>
          <w:tcPr>
            <w:tcW w:w="6377" w:type="dxa"/>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根据投标人提供的</w:t>
            </w:r>
            <w:r>
              <w:rPr>
                <w:rFonts w:hint="eastAsia" w:ascii="仿宋" w:hAnsi="仿宋" w:eastAsia="仿宋" w:cs="仿宋"/>
                <w:b w:val="0"/>
                <w:bCs/>
                <w:color w:val="auto"/>
                <w:sz w:val="21"/>
                <w:szCs w:val="21"/>
                <w:highlight w:val="none"/>
                <w:shd w:val="clear" w:color="auto" w:fill="auto"/>
                <w:lang w:val="zh-CN"/>
              </w:rPr>
              <w:t>企业综合实力进行评审</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内容包含</w:t>
            </w:r>
            <w:r>
              <w:rPr>
                <w:rFonts w:hint="eastAsia" w:ascii="仿宋" w:hAnsi="仿宋" w:eastAsia="仿宋" w:cs="仿宋"/>
                <w:color w:val="auto"/>
                <w:sz w:val="21"/>
                <w:szCs w:val="21"/>
                <w:highlight w:val="none"/>
                <w:lang w:eastAsia="zh-CN"/>
              </w:rPr>
              <w:t>但不限于：</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组织机构</w:t>
            </w:r>
            <w:r>
              <w:rPr>
                <w:rFonts w:hint="eastAsia" w:ascii="仿宋" w:hAnsi="仿宋" w:eastAsia="仿宋" w:cs="仿宋"/>
                <w:color w:val="auto"/>
                <w:sz w:val="21"/>
                <w:szCs w:val="21"/>
                <w:highlight w:val="none"/>
                <w:lang w:eastAsia="zh-CN"/>
              </w:rPr>
              <w:t>及</w:t>
            </w:r>
            <w:r>
              <w:rPr>
                <w:rFonts w:hint="eastAsia" w:ascii="仿宋" w:hAnsi="仿宋" w:eastAsia="仿宋" w:cs="仿宋"/>
                <w:color w:val="auto"/>
                <w:sz w:val="21"/>
                <w:szCs w:val="21"/>
                <w:highlight w:val="none"/>
              </w:rPr>
              <w:t>人员情况</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企业情况及管理制度</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生产厂房</w:t>
            </w:r>
            <w:r>
              <w:rPr>
                <w:rFonts w:hint="eastAsia" w:ascii="仿宋" w:hAnsi="仿宋" w:eastAsia="仿宋" w:cs="仿宋"/>
                <w:color w:val="auto"/>
                <w:sz w:val="21"/>
                <w:szCs w:val="21"/>
                <w:highlight w:val="none"/>
              </w:rPr>
              <w:t>情况</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生产产能</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办公场所等因素</w:t>
            </w:r>
            <w:r>
              <w:rPr>
                <w:rFonts w:hint="eastAsia" w:ascii="仿宋" w:hAnsi="仿宋" w:eastAsia="仿宋" w:cs="仿宋"/>
                <w:color w:val="auto"/>
                <w:sz w:val="21"/>
                <w:szCs w:val="21"/>
                <w:highlight w:val="none"/>
                <w:lang w:eastAsia="zh-CN"/>
              </w:rPr>
              <w:t>。</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第一档</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分）</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供应商综合实力强，专业技术实力强，相关管理制度完善</w:t>
            </w:r>
            <w:r>
              <w:rPr>
                <w:rFonts w:hint="eastAsia" w:ascii="仿宋" w:hAnsi="仿宋" w:eastAsia="仿宋" w:cs="仿宋"/>
                <w:color w:val="auto"/>
                <w:sz w:val="21"/>
                <w:szCs w:val="21"/>
                <w:highlight w:val="none"/>
                <w:lang w:eastAsia="zh-CN"/>
              </w:rPr>
              <w:t>，生产厂房规模较大，生产产能较充足</w:t>
            </w:r>
            <w:r>
              <w:rPr>
                <w:rFonts w:hint="eastAsia" w:ascii="仿宋" w:hAnsi="仿宋" w:eastAsia="仿宋" w:cs="仿宋"/>
                <w:color w:val="auto"/>
                <w:sz w:val="21"/>
                <w:szCs w:val="21"/>
                <w:highlight w:val="none"/>
              </w:rPr>
              <w:t>；</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第二档（</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分）：供应商综合实力一般，专业技术实力一般，生产厂房规模一般，生产产能一般，可以满足技术规范和要求；</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第三档（1分）：供应商综合实力弱，专业技术实力基本满足需求，生产厂房规模基本满足需求，生产产能较弱，基本满足技术规范和要求；</w:t>
            </w:r>
          </w:p>
          <w:p>
            <w:pPr>
              <w:pageBreakBefore w:val="0"/>
              <w:kinsoku/>
              <w:overflowPunct/>
              <w:topLinePunct w:val="0"/>
              <w:bidi w:val="0"/>
              <w:spacing w:line="360" w:lineRule="auto"/>
              <w:textAlignment w:val="auto"/>
              <w:rPr>
                <w:rFonts w:hint="default"/>
                <w:color w:val="auto"/>
                <w:highlight w:val="none"/>
                <w:lang w:val="en-US"/>
              </w:rPr>
            </w:pPr>
            <w:r>
              <w:rPr>
                <w:rFonts w:hint="eastAsia" w:ascii="仿宋" w:hAnsi="仿宋" w:eastAsia="仿宋" w:cs="仿宋"/>
                <w:color w:val="auto"/>
                <w:sz w:val="21"/>
                <w:szCs w:val="21"/>
                <w:highlight w:val="none"/>
                <w:lang w:eastAsia="zh-CN"/>
              </w:rPr>
              <w:t>第四档（</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lang w:eastAsia="zh-CN"/>
              </w:rPr>
              <w:t>分）：供应商综合实力极差，专业技术实力无法满足需求，生产厂房规模不足、生产产能严重匮乏，管理制度缺失或混乱，组织机构及人员配置薄弱，无法满足本项目技术规范和基本要求。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34" w:hRule="atLeast"/>
        </w:trPr>
        <w:tc>
          <w:tcPr>
            <w:tcW w:w="85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1448" w:type="dxa"/>
            <w:gridSpan w:val="3"/>
            <w:vAlign w:val="center"/>
          </w:tcPr>
          <w:p>
            <w:pPr>
              <w:pageBreakBefore w:val="0"/>
              <w:kinsoku/>
              <w:overflowPunct/>
              <w:topLinePunct w:val="0"/>
              <w:bidi w:val="0"/>
              <w:spacing w:line="360" w:lineRule="auto"/>
              <w:jc w:val="center"/>
              <w:textAlignment w:val="auto"/>
              <w:rPr>
                <w:rFonts w:hint="eastAsia" w:ascii="仿宋" w:hAnsi="仿宋" w:eastAsia="仿宋" w:cs="仿宋"/>
                <w:b w:val="0"/>
                <w:bCs/>
                <w:color w:val="auto"/>
                <w:sz w:val="21"/>
                <w:szCs w:val="21"/>
                <w:highlight w:val="none"/>
                <w:shd w:val="clear" w:color="auto" w:fill="auto"/>
                <w:lang w:val="zh-CN"/>
              </w:rPr>
            </w:pPr>
            <w:r>
              <w:rPr>
                <w:rFonts w:hint="eastAsia" w:ascii="仿宋" w:hAnsi="仿宋" w:eastAsia="仿宋" w:cs="仿宋"/>
                <w:b w:val="0"/>
                <w:bCs/>
                <w:color w:val="auto"/>
                <w:sz w:val="21"/>
                <w:szCs w:val="21"/>
                <w:highlight w:val="none"/>
                <w:shd w:val="clear" w:color="auto" w:fill="auto"/>
                <w:lang w:val="zh-CN"/>
              </w:rPr>
              <w:t>企业类似业绩评审（满分</w:t>
            </w:r>
            <w:r>
              <w:rPr>
                <w:rFonts w:hint="eastAsia" w:ascii="仿宋" w:hAnsi="仿宋" w:eastAsia="仿宋" w:cs="仿宋"/>
                <w:b w:val="0"/>
                <w:bCs/>
                <w:color w:val="auto"/>
                <w:sz w:val="21"/>
                <w:szCs w:val="21"/>
                <w:highlight w:val="none"/>
                <w:shd w:val="clear" w:color="auto" w:fill="auto"/>
                <w:lang w:val="en-US" w:eastAsia="zh-CN"/>
              </w:rPr>
              <w:t>5分</w:t>
            </w:r>
            <w:r>
              <w:rPr>
                <w:rFonts w:hint="eastAsia" w:ascii="仿宋" w:hAnsi="仿宋" w:eastAsia="仿宋" w:cs="仿宋"/>
                <w:b w:val="0"/>
                <w:bCs/>
                <w:color w:val="auto"/>
                <w:sz w:val="21"/>
                <w:szCs w:val="21"/>
                <w:highlight w:val="none"/>
                <w:shd w:val="clear" w:color="auto" w:fill="auto"/>
                <w:lang w:val="zh-CN"/>
              </w:rPr>
              <w:t>）</w:t>
            </w:r>
          </w:p>
        </w:tc>
        <w:tc>
          <w:tcPr>
            <w:tcW w:w="1245"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w:t>
            </w:r>
          </w:p>
        </w:tc>
        <w:tc>
          <w:tcPr>
            <w:tcW w:w="6377" w:type="dxa"/>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近年（202</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年1月1日至今）每承担过1个类似业绩的得</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分，满分</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分。（业绩证明材料为中标（成交）通知书</w:t>
            </w:r>
            <w:r>
              <w:rPr>
                <w:rFonts w:hint="eastAsia" w:ascii="仿宋" w:hAnsi="仿宋" w:eastAsia="仿宋" w:cs="仿宋"/>
                <w:color w:val="auto"/>
                <w:sz w:val="21"/>
                <w:szCs w:val="21"/>
                <w:highlight w:val="none"/>
                <w:lang w:eastAsia="zh-CN"/>
              </w:rPr>
              <w:t>及</w:t>
            </w:r>
            <w:r>
              <w:rPr>
                <w:rFonts w:hint="eastAsia" w:ascii="仿宋" w:hAnsi="仿宋" w:eastAsia="仿宋" w:cs="仿宋"/>
                <w:color w:val="auto"/>
                <w:sz w:val="21"/>
                <w:szCs w:val="21"/>
                <w:highlight w:val="none"/>
              </w:rPr>
              <w:t>合同原件扫描件，无证明材料的不得分）。</w:t>
            </w:r>
          </w:p>
          <w:p>
            <w:pPr>
              <w:pageBreakBefore w:val="0"/>
              <w:kinsoku/>
              <w:overflowPunct/>
              <w:topLinePunct w:val="0"/>
              <w:bidi w:val="0"/>
              <w:spacing w:line="360" w:lineRule="auto"/>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注：类似项目是指202</w:t>
            </w:r>
            <w:r>
              <w:rPr>
                <w:rFonts w:hint="eastAsia" w:ascii="仿宋" w:hAnsi="仿宋" w:eastAsia="仿宋" w:cs="仿宋"/>
                <w:b w:val="0"/>
                <w:bCs w:val="0"/>
                <w:color w:val="auto"/>
                <w:sz w:val="21"/>
                <w:szCs w:val="21"/>
                <w:highlight w:val="none"/>
                <w:lang w:val="en-US" w:eastAsia="zh-CN"/>
              </w:rPr>
              <w:t>3</w:t>
            </w:r>
            <w:r>
              <w:rPr>
                <w:rFonts w:hint="eastAsia" w:ascii="仿宋" w:hAnsi="仿宋" w:eastAsia="仿宋" w:cs="仿宋"/>
                <w:b w:val="0"/>
                <w:bCs w:val="0"/>
                <w:color w:val="auto"/>
                <w:sz w:val="21"/>
                <w:szCs w:val="21"/>
                <w:highlight w:val="none"/>
              </w:rPr>
              <w:t>年1月1日至今承担过的</w:t>
            </w:r>
            <w:r>
              <w:rPr>
                <w:rFonts w:hint="eastAsia" w:ascii="仿宋" w:hAnsi="仿宋" w:eastAsia="仿宋" w:cs="仿宋"/>
                <w:b w:val="0"/>
                <w:bCs w:val="0"/>
                <w:color w:val="auto"/>
                <w:sz w:val="21"/>
                <w:szCs w:val="21"/>
                <w:highlight w:val="none"/>
                <w:lang w:val="en-US" w:eastAsia="zh-CN"/>
              </w:rPr>
              <w:t>1000吨及以上的</w:t>
            </w:r>
            <w:r>
              <w:rPr>
                <w:rFonts w:hint="eastAsia" w:ascii="仿宋" w:hAnsi="仿宋" w:eastAsia="仿宋" w:cs="仿宋"/>
                <w:b w:val="0"/>
                <w:bCs w:val="0"/>
                <w:color w:val="auto"/>
                <w:sz w:val="21"/>
                <w:szCs w:val="21"/>
                <w:highlight w:val="none"/>
                <w:lang w:eastAsia="zh-CN"/>
              </w:rPr>
              <w:t>高标准农田</w:t>
            </w:r>
            <w:r>
              <w:rPr>
                <w:rFonts w:hint="eastAsia" w:ascii="仿宋" w:hAnsi="仿宋" w:eastAsia="仿宋" w:cs="仿宋"/>
                <w:b w:val="0"/>
                <w:bCs w:val="0"/>
                <w:color w:val="auto"/>
                <w:sz w:val="21"/>
                <w:szCs w:val="21"/>
                <w:highlight w:val="none"/>
              </w:rPr>
              <w:t>有机肥供应业绩；提供业绩证明材料原件扫描件，业绩证明材料应附</w:t>
            </w:r>
            <w:r>
              <w:rPr>
                <w:rFonts w:hint="eastAsia" w:ascii="仿宋" w:hAnsi="仿宋" w:eastAsia="仿宋" w:cs="仿宋"/>
                <w:color w:val="auto"/>
                <w:sz w:val="21"/>
                <w:szCs w:val="21"/>
                <w:highlight w:val="none"/>
              </w:rPr>
              <w:t>中标（成交）通知书</w:t>
            </w:r>
            <w:r>
              <w:rPr>
                <w:rFonts w:hint="eastAsia" w:ascii="仿宋" w:hAnsi="仿宋" w:eastAsia="仿宋" w:cs="仿宋"/>
                <w:color w:val="auto"/>
                <w:sz w:val="21"/>
                <w:szCs w:val="21"/>
                <w:highlight w:val="none"/>
                <w:lang w:eastAsia="zh-CN"/>
              </w:rPr>
              <w:t>及</w:t>
            </w:r>
            <w:r>
              <w:rPr>
                <w:rFonts w:hint="eastAsia" w:ascii="仿宋" w:hAnsi="仿宋" w:eastAsia="仿宋" w:cs="仿宋"/>
                <w:color w:val="auto"/>
                <w:sz w:val="21"/>
                <w:szCs w:val="21"/>
                <w:highlight w:val="none"/>
              </w:rPr>
              <w:t>合同原件</w:t>
            </w:r>
            <w:r>
              <w:rPr>
                <w:rFonts w:hint="eastAsia" w:ascii="仿宋" w:hAnsi="仿宋" w:eastAsia="仿宋" w:cs="仿宋"/>
                <w:b w:val="0"/>
                <w:bCs w:val="0"/>
                <w:color w:val="auto"/>
                <w:sz w:val="21"/>
                <w:szCs w:val="21"/>
                <w:highlight w:val="none"/>
              </w:rPr>
              <w:t>等证明材料。业绩不进行重复计算得分。</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rPr>
              <w:t>中标（成交）通知书</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合同（合同含首页、标的及金额所在页及合同签字盖章页）扫描件。无业绩证明材料或未按要求提供证明材料或证明材料不明确、无法体现内容的，不予认可</w:t>
            </w:r>
            <w:r>
              <w:rPr>
                <w:rFonts w:hint="eastAsia" w:ascii="仿宋" w:hAnsi="仿宋" w:eastAsia="仿宋" w:cs="仿宋"/>
                <w:b/>
                <w:bCs/>
                <w:color w:val="auto"/>
                <w:sz w:val="21"/>
                <w:szCs w:val="21"/>
                <w:highlight w:val="none"/>
                <w:lang w:eastAsia="zh-CN"/>
              </w:rPr>
              <w:t>。</w:t>
            </w:r>
          </w:p>
        </w:tc>
      </w:tr>
    </w:tbl>
    <w:p>
      <w:pPr>
        <w:pStyle w:val="3"/>
        <w:pageBreakBefore w:val="0"/>
        <w:kinsoku/>
        <w:overflowPunct/>
        <w:topLinePunct w:val="0"/>
        <w:bidi w:val="0"/>
        <w:spacing w:line="360" w:lineRule="auto"/>
        <w:textAlignment w:val="auto"/>
        <w:rPr>
          <w:rFonts w:hint="eastAsia" w:ascii="仿宋" w:hAnsi="仿宋" w:eastAsia="仿宋" w:cs="仿宋"/>
          <w:color w:val="auto"/>
          <w:highlight w:val="none"/>
        </w:rPr>
        <w:sectPr>
          <w:pgSz w:w="11906" w:h="16838"/>
          <w:pgMar w:top="1134" w:right="1418" w:bottom="1134" w:left="1418" w:header="850" w:footer="850" w:gutter="0"/>
          <w:pgBorders>
            <w:top w:val="none" w:color="auto" w:sz="0" w:space="0"/>
            <w:left w:val="none" w:color="auto" w:sz="0" w:space="0"/>
            <w:bottom w:val="none" w:color="auto" w:sz="0" w:space="0"/>
            <w:right w:val="none" w:color="auto" w:sz="0" w:space="0"/>
          </w:pgBorders>
          <w:pgNumType w:fmt="decimal"/>
          <w:cols w:space="720" w:num="1"/>
          <w:titlePg/>
          <w:docGrid w:linePitch="312" w:charSpace="0"/>
        </w:sectPr>
      </w:pPr>
    </w:p>
    <w:bookmarkEnd w:id="164"/>
    <w:p>
      <w:pPr>
        <w:pStyle w:val="4"/>
        <w:pageBreakBefore w:val="0"/>
        <w:shd w:val="clear" w:color="auto" w:fill="auto"/>
        <w:kinsoku/>
        <w:overflowPunct/>
        <w:topLinePunct w:val="0"/>
        <w:bidi w:val="0"/>
        <w:spacing w:line="360" w:lineRule="auto"/>
        <w:textAlignment w:val="auto"/>
        <w:rPr>
          <w:rFonts w:hint="eastAsia" w:ascii="仿宋" w:hAnsi="仿宋" w:eastAsia="仿宋" w:cs="仿宋"/>
          <w:color w:val="auto"/>
          <w:sz w:val="30"/>
          <w:szCs w:val="30"/>
          <w:highlight w:val="none"/>
        </w:rPr>
      </w:pPr>
      <w:bookmarkStart w:id="166" w:name="_Toc20020"/>
      <w:bookmarkStart w:id="167" w:name="_Toc107816671"/>
      <w:bookmarkStart w:id="168" w:name="_Toc22749"/>
      <w:r>
        <w:rPr>
          <w:rFonts w:hint="eastAsia" w:ascii="仿宋" w:hAnsi="仿宋" w:eastAsia="仿宋" w:cs="仿宋"/>
          <w:color w:val="auto"/>
          <w:sz w:val="30"/>
          <w:szCs w:val="30"/>
          <w:highlight w:val="none"/>
        </w:rPr>
        <w:t>一、评标方法</w:t>
      </w:r>
      <w:bookmarkEnd w:id="166"/>
      <w:bookmarkEnd w:id="167"/>
      <w:bookmarkEnd w:id="168"/>
    </w:p>
    <w:p>
      <w:pPr>
        <w:pageBreakBefore w:val="0"/>
        <w:kinsoku/>
        <w:wordWrap w:val="0"/>
        <w:overflowPunct/>
        <w:topLinePunct w:val="0"/>
        <w:bidi w:val="0"/>
        <w:spacing w:line="360" w:lineRule="auto"/>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1.1评审办法</w:t>
      </w:r>
    </w:p>
    <w:p>
      <w:pPr>
        <w:pageBreakBefore w:val="0"/>
        <w:kinsoku/>
        <w:wordWrap w:val="0"/>
        <w:overflowPunct/>
        <w:topLinePunct w:val="0"/>
        <w:bidi w:val="0"/>
        <w:spacing w:line="360" w:lineRule="auto"/>
        <w:ind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1.1.1本次招标评审采用综合评估法。</w:t>
      </w:r>
    </w:p>
    <w:p>
      <w:pPr>
        <w:pageBreakBefore w:val="0"/>
        <w:kinsoku/>
        <w:wordWrap w:val="0"/>
        <w:overflowPunct/>
        <w:topLinePunct w:val="0"/>
        <w:bidi w:val="0"/>
        <w:spacing w:line="360" w:lineRule="auto"/>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1.2评审原则</w:t>
      </w:r>
    </w:p>
    <w:p>
      <w:pPr>
        <w:pageBreakBefore w:val="0"/>
        <w:kinsoku/>
        <w:wordWrap w:val="0"/>
        <w:overflowPunct/>
        <w:topLinePunct w:val="0"/>
        <w:bidi w:val="0"/>
        <w:spacing w:line="360" w:lineRule="auto"/>
        <w:ind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1.2.1评审活动遵循公平、公正、科学、择优的原则。</w:t>
      </w:r>
    </w:p>
    <w:p>
      <w:pPr>
        <w:pageBreakBefore w:val="0"/>
        <w:kinsoku/>
        <w:wordWrap w:val="0"/>
        <w:overflowPunct/>
        <w:topLinePunct w:val="0"/>
        <w:bidi w:val="0"/>
        <w:spacing w:line="360" w:lineRule="auto"/>
        <w:ind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1.2.2评标委员会应当根据本评审办法的规定，对投标文件进行系统地评审和比较。</w:t>
      </w:r>
    </w:p>
    <w:p>
      <w:pPr>
        <w:pageBreakBefore w:val="0"/>
        <w:kinsoku/>
        <w:wordWrap w:val="0"/>
        <w:overflowPunct/>
        <w:topLinePunct w:val="0"/>
        <w:bidi w:val="0"/>
        <w:spacing w:line="360" w:lineRule="auto"/>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1.3评标机构</w:t>
      </w:r>
    </w:p>
    <w:p>
      <w:pPr>
        <w:pageBreakBefore w:val="0"/>
        <w:kinsoku/>
        <w:wordWrap w:val="0"/>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1.3.1招标人依法组建评标委员会，成员人数为5人以上（含5人）单数，由专家库随机抽取的有关技术、经济等方面的专家组成</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本项目</w:t>
      </w:r>
      <w:r>
        <w:rPr>
          <w:rFonts w:hint="eastAsia" w:ascii="仿宋" w:hAnsi="仿宋" w:eastAsia="仿宋" w:cs="仿宋"/>
          <w:color w:val="auto"/>
          <w:sz w:val="21"/>
          <w:szCs w:val="21"/>
          <w:highlight w:val="none"/>
          <w:lang w:eastAsia="zh-CN"/>
        </w:rPr>
        <w:t>评标委员会构成:</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人及以上，依法从专家库中抽取及招标人代表</w:t>
      </w:r>
      <w:r>
        <w:rPr>
          <w:rFonts w:hint="eastAsia" w:ascii="仿宋" w:hAnsi="仿宋" w:eastAsia="仿宋" w:cs="仿宋"/>
          <w:color w:val="auto"/>
          <w:sz w:val="21"/>
          <w:szCs w:val="21"/>
          <w:highlight w:val="none"/>
        </w:rPr>
        <w:t>。</w:t>
      </w:r>
    </w:p>
    <w:p>
      <w:pPr>
        <w:pageBreakBefore w:val="0"/>
        <w:kinsoku/>
        <w:wordWrap w:val="0"/>
        <w:overflowPunct/>
        <w:topLinePunct w:val="0"/>
        <w:bidi w:val="0"/>
        <w:spacing w:line="360" w:lineRule="auto"/>
        <w:ind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1.3.2评标委员会根据七部委12号令《评标委员会和评标方法暂行规定》（按2013年3月11日发布的2013年第23号令修正），负责本次招标的评标工作。</w:t>
      </w:r>
    </w:p>
    <w:p>
      <w:pPr>
        <w:pageBreakBefore w:val="0"/>
        <w:kinsoku/>
        <w:wordWrap w:val="0"/>
        <w:overflowPunct/>
        <w:topLinePunct w:val="0"/>
        <w:bidi w:val="0"/>
        <w:spacing w:line="360" w:lineRule="auto"/>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1.4评标纪律</w:t>
      </w:r>
    </w:p>
    <w:p>
      <w:pPr>
        <w:pageBreakBefore w:val="0"/>
        <w:kinsoku/>
        <w:wordWrap w:val="0"/>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1.4.1评标委员会的成员应严格遵守保密规定，严格自律，自觉接受有关部门的监督。</w:t>
      </w:r>
    </w:p>
    <w:p>
      <w:pPr>
        <w:pageBreakBefore w:val="0"/>
        <w:kinsoku/>
        <w:wordWrap w:val="0"/>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1.4.2评标委员会的成员必须对评标情况和评标结果保密，不得向投标利害关系人泄露对投标文件的评审、比较，中标候选人的推荐以及与评标有关的其他情况。</w:t>
      </w:r>
    </w:p>
    <w:p>
      <w:pPr>
        <w:pageBreakBefore w:val="0"/>
        <w:kinsoku/>
        <w:wordWrap w:val="0"/>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1.4.3评标完成后所有评标材料应如数交还。</w:t>
      </w:r>
    </w:p>
    <w:p>
      <w:pPr>
        <w:pageBreakBefore w:val="0"/>
        <w:kinsoku/>
        <w:wordWrap w:val="0"/>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1.4.4评标期间，与会人员不得随意外出、缺席，因公有事确需外出，必须征得监督同意。</w:t>
      </w:r>
    </w:p>
    <w:p>
      <w:pPr>
        <w:pageBreakBefore w:val="0"/>
        <w:kinsoku/>
        <w:wordWrap w:val="0"/>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1.4.5与会人员违反上述规定对评标造成不良影响的，后果由责任者承担。</w:t>
      </w:r>
    </w:p>
    <w:p>
      <w:pPr>
        <w:pageBreakBefore w:val="0"/>
        <w:kinsoku/>
        <w:wordWrap w:val="0"/>
        <w:overflowPunct/>
        <w:topLinePunct w:val="0"/>
        <w:bidi w:val="0"/>
        <w:spacing w:line="360" w:lineRule="auto"/>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1.5评审程序</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1.5.1推选评标委员会组长，组长与其他成员有同等表决权。</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1.5.2招标人代表介绍项目背景情况。</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1.5.3评标委员会成员阅读和研究招标文件，了解和熟悉招标的目标、范围、性质、主要技术要求、评审标准、评审方法和在评审过程中考虑的相关因素。</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1.5.4对投标文件进行评审和比较，记录各家投标人的优点和缺陷。</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1.5.5评标委员会成员就投标文件发表专业的、客观的、公正的意见。为公平起见，每个成员对投标文件有任何的质疑，应当在讨论时向评标委员会提出，排序结果公布后才提出的质疑，不可作为改变排序结果的依据。</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1.5.6评标委员会各成员应自主评审，并签字确认。</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1.5.7评标委员会依据本章评标办法前附表中规定的标准对投标文件进行初步评审。有一项不符合评审标准的，作否决投标处理。</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1.5.8投标人有以下情形之一的，其投标作否决投标处理：</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（l）串通投标或弄虚作假或有其他违法行为的； </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（2）不按评标委员会要求澄清、说明或补正的。</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1.5.9投标报价有算术错误的，评标委员会按以下原则对投标报价进行修正，修正的价格经投标人书面确认后具有约束力。投标人不接受修正价格的，其投标作否决投标处理。</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（1）投标文件中的大写金额与小写金额不一致的，以大写金额为准。</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1.5.10投标文件的澄清和补正</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（1）在评标过程中，评标委员会可以书面形式要求投标人对所提交的投标文件中不明确的内容进行书面澄清或说明，或者对细微偏差进行补正。评标委员会不接受投标人主动提出的澄清、说明或补正。</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 澄清、说明和补正不得改变投标文件的实质性内容。投标人的书面澄清、说明和补正属于投标文件的组成部分。</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（3）评标委员会对投标人提交的澄清、说明或补正有疑问的，可以要求投标人进一步澄清、说明或补正，直至满足评标委员会的要求。</w:t>
      </w:r>
    </w:p>
    <w:p>
      <w:pPr>
        <w:pStyle w:val="4"/>
        <w:pageBreakBefore w:val="0"/>
        <w:kinsoku/>
        <w:overflowPunct/>
        <w:topLinePunct w:val="0"/>
        <w:bidi w:val="0"/>
        <w:spacing w:line="360" w:lineRule="auto"/>
        <w:textAlignment w:val="auto"/>
        <w:rPr>
          <w:rFonts w:hint="eastAsia" w:ascii="仿宋" w:hAnsi="仿宋" w:eastAsia="仿宋" w:cs="仿宋"/>
          <w:color w:val="auto"/>
          <w:sz w:val="30"/>
          <w:szCs w:val="30"/>
          <w:highlight w:val="none"/>
        </w:rPr>
      </w:pPr>
      <w:bookmarkStart w:id="169" w:name="_Toc429155365"/>
      <w:bookmarkStart w:id="170" w:name="_Toc107816672"/>
      <w:bookmarkStart w:id="171" w:name="_Toc30183"/>
      <w:bookmarkStart w:id="172" w:name="_Toc26070"/>
      <w:bookmarkStart w:id="173" w:name="_Toc462331348"/>
      <w:bookmarkStart w:id="174" w:name="_Toc508091919"/>
      <w:bookmarkStart w:id="175" w:name="_Toc264493059"/>
      <w:r>
        <w:rPr>
          <w:rFonts w:hint="eastAsia" w:ascii="仿宋" w:hAnsi="仿宋" w:eastAsia="仿宋" w:cs="仿宋"/>
          <w:color w:val="auto"/>
          <w:sz w:val="30"/>
          <w:szCs w:val="30"/>
          <w:highlight w:val="none"/>
        </w:rPr>
        <w:t>二、初步评审</w:t>
      </w:r>
      <w:bookmarkEnd w:id="169"/>
      <w:bookmarkEnd w:id="170"/>
      <w:bookmarkEnd w:id="171"/>
      <w:bookmarkEnd w:id="172"/>
      <w:bookmarkEnd w:id="173"/>
      <w:bookmarkEnd w:id="174"/>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2.1.1 形式评审标准：见评标办法前附表，投标人不满足形式评审准任一要求的，将做否决投标处理，不再进入下一阶段评审；</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2.1.2 资格评审标准：详见评标办法前附表，投标人不满足资格审查标准任一要求的，将做否决投标处理，不再进入下一阶段评审；</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2.1.3 响应性评审标准：详见评标办法前附表，投标人若出现响应性评审标准中任一情形的，将做否决投标处理，不再进入下一阶段评审。</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2.1.4 通过初步评审的有效投标人少于三家时，评标委员会认为其仍可以满足招标要求具有竞争性，由评标委员会对各投标文件按详细评审标准继续推荐中标候选人。</w:t>
      </w:r>
    </w:p>
    <w:p>
      <w:pPr>
        <w:pStyle w:val="4"/>
        <w:pageBreakBefore w:val="0"/>
        <w:kinsoku/>
        <w:overflowPunct/>
        <w:topLinePunct w:val="0"/>
        <w:bidi w:val="0"/>
        <w:spacing w:line="360" w:lineRule="auto"/>
        <w:textAlignment w:val="auto"/>
        <w:rPr>
          <w:rFonts w:hint="eastAsia" w:ascii="仿宋" w:hAnsi="仿宋" w:eastAsia="仿宋" w:cs="仿宋"/>
          <w:color w:val="auto"/>
          <w:sz w:val="30"/>
          <w:szCs w:val="30"/>
          <w:highlight w:val="none"/>
        </w:rPr>
      </w:pPr>
      <w:bookmarkStart w:id="176" w:name="_Toc4382"/>
      <w:bookmarkStart w:id="177" w:name="_Toc508091920"/>
      <w:bookmarkStart w:id="178" w:name="_Toc107816673"/>
      <w:bookmarkStart w:id="179" w:name="_Toc462331349"/>
      <w:bookmarkStart w:id="180" w:name="_Toc28128"/>
      <w:bookmarkStart w:id="181" w:name="_Toc429155366"/>
      <w:r>
        <w:rPr>
          <w:rFonts w:hint="eastAsia" w:ascii="仿宋" w:hAnsi="仿宋" w:eastAsia="仿宋" w:cs="仿宋"/>
          <w:color w:val="auto"/>
          <w:sz w:val="30"/>
          <w:szCs w:val="30"/>
          <w:highlight w:val="none"/>
        </w:rPr>
        <w:t>三、详细评审</w:t>
      </w:r>
      <w:bookmarkEnd w:id="175"/>
      <w:bookmarkEnd w:id="176"/>
      <w:bookmarkEnd w:id="177"/>
      <w:bookmarkEnd w:id="178"/>
      <w:bookmarkEnd w:id="179"/>
      <w:bookmarkEnd w:id="180"/>
      <w:bookmarkEnd w:id="181"/>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3.1评标委员会按详细评审标准规定进行推荐。</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3.1.1技术部分详细评审：详见评标办法前附表；</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3.1.2商务部分详细评审：详见评标办法前附表；</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3.2评分要求和统计分数原则</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3.2.1评标委员会评委应首先对个投标人投标文件进行评审，写出书面意见并按招标文件规定分值评分。</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3.2.2详细评审评分中（除报价评分外），各评委应自主评分并签字确认。</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3.2.3统计分数原则：当评委有效评分份数在5份以上（含5份）时，去掉最高和最低评分后计算平均分值为投标人得分；当评委有效评分份数少于5份时，计算平均分值为投标人的得分（满分100分，保留小数点后两位）。</w:t>
      </w:r>
    </w:p>
    <w:p>
      <w:pPr>
        <w:pStyle w:val="4"/>
        <w:pageBreakBefore w:val="0"/>
        <w:kinsoku/>
        <w:overflowPunct/>
        <w:topLinePunct w:val="0"/>
        <w:bidi w:val="0"/>
        <w:spacing w:line="360" w:lineRule="auto"/>
        <w:textAlignment w:val="auto"/>
        <w:rPr>
          <w:rFonts w:hint="eastAsia" w:ascii="仿宋" w:hAnsi="仿宋" w:eastAsia="仿宋" w:cs="仿宋"/>
          <w:color w:val="auto"/>
          <w:sz w:val="30"/>
          <w:szCs w:val="30"/>
          <w:highlight w:val="none"/>
        </w:rPr>
      </w:pPr>
      <w:bookmarkStart w:id="182" w:name="_Toc429155367"/>
      <w:bookmarkStart w:id="183" w:name="_Toc508091921"/>
      <w:bookmarkStart w:id="184" w:name="_Toc462331350"/>
      <w:bookmarkStart w:id="185" w:name="_Toc107816674"/>
      <w:bookmarkStart w:id="186" w:name="_Toc27794"/>
      <w:bookmarkStart w:id="187" w:name="_Toc23926"/>
      <w:r>
        <w:rPr>
          <w:rFonts w:hint="eastAsia" w:ascii="仿宋" w:hAnsi="仿宋" w:eastAsia="仿宋" w:cs="仿宋"/>
          <w:color w:val="auto"/>
          <w:sz w:val="30"/>
          <w:szCs w:val="30"/>
          <w:highlight w:val="none"/>
        </w:rPr>
        <w:t>四、评标报告</w:t>
      </w:r>
      <w:bookmarkEnd w:id="182"/>
      <w:bookmarkEnd w:id="183"/>
      <w:bookmarkEnd w:id="184"/>
      <w:bookmarkEnd w:id="185"/>
      <w:bookmarkEnd w:id="186"/>
      <w:bookmarkEnd w:id="187"/>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4.1评标委员会完成评标后，将写出评标报告送交招标人。</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4.2评标过程中如遇特殊情况由评标委员会依据相关法律、法规集体研究确定。</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4.3评标委员会将按照投标人最后得分由高到低的顺序推荐三名中标候选人。当总分并列时，以技术部分得分较高的排名靠前，技术部分得分仍然并列，以报价优惠下浮高的排名靠前，若还并列，由评标委员会评委无记名投票表决，按得票多少依次排列顺序，得票最多的投标人推荐排名靠前。</w:t>
      </w: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p>
    <w:p>
      <w:pPr>
        <w:pageBreakBefore w:val="0"/>
        <w:kinsoku/>
        <w:wordWrap w:val="0"/>
        <w:overflowPunct/>
        <w:topLinePunct w:val="0"/>
        <w:bidi w:val="0"/>
        <w:spacing w:line="360" w:lineRule="auto"/>
        <w:ind w:firstLine="315" w:firstLineChars="150"/>
        <w:textAlignment w:val="auto"/>
        <w:rPr>
          <w:rFonts w:hint="eastAsia" w:ascii="仿宋" w:hAnsi="仿宋" w:eastAsia="仿宋" w:cs="仿宋"/>
          <w:color w:val="auto"/>
          <w:sz w:val="21"/>
          <w:szCs w:val="21"/>
          <w:highlight w:val="none"/>
        </w:rPr>
      </w:pPr>
    </w:p>
    <w:p>
      <w:pPr>
        <w:pageBreakBefore w:val="0"/>
        <w:kinsoku/>
        <w:wordWrap w:val="0"/>
        <w:overflowPunct/>
        <w:topLinePunct w:val="0"/>
        <w:bidi w:val="0"/>
        <w:spacing w:line="360" w:lineRule="auto"/>
        <w:ind w:firstLine="360" w:firstLineChars="1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pPr>
        <w:pStyle w:val="3"/>
        <w:pageBreakBefore w:val="0"/>
        <w:kinsoku/>
        <w:overflowPunct/>
        <w:topLinePunct w:val="0"/>
        <w:bidi w:val="0"/>
        <w:spacing w:before="0" w:after="0" w:line="360" w:lineRule="auto"/>
        <w:jc w:val="center"/>
        <w:textAlignment w:val="auto"/>
        <w:rPr>
          <w:rFonts w:hint="eastAsia" w:ascii="仿宋" w:hAnsi="仿宋" w:eastAsia="仿宋" w:cs="仿宋"/>
          <w:color w:val="auto"/>
          <w:highlight w:val="none"/>
        </w:rPr>
      </w:pPr>
      <w:bookmarkStart w:id="188" w:name="_Toc24482"/>
      <w:bookmarkStart w:id="189" w:name="_Toc11899"/>
      <w:bookmarkStart w:id="190" w:name="_Toc429155368"/>
      <w:r>
        <w:rPr>
          <w:rFonts w:hint="eastAsia" w:ascii="仿宋" w:hAnsi="仿宋" w:eastAsia="仿宋" w:cs="仿宋"/>
          <w:color w:val="auto"/>
          <w:highlight w:val="none"/>
        </w:rPr>
        <w:t>第四章  合同</w:t>
      </w:r>
      <w:bookmarkEnd w:id="165"/>
      <w:r>
        <w:rPr>
          <w:rFonts w:hint="eastAsia" w:ascii="仿宋" w:hAnsi="仿宋" w:eastAsia="仿宋" w:cs="仿宋"/>
          <w:color w:val="auto"/>
          <w:highlight w:val="none"/>
        </w:rPr>
        <w:t>条款及格式</w:t>
      </w:r>
      <w:bookmarkEnd w:id="188"/>
      <w:bookmarkEnd w:id="189"/>
      <w:bookmarkEnd w:id="190"/>
      <w:bookmarkStart w:id="191" w:name="_Toc229583213"/>
    </w:p>
    <w:bookmarkEnd w:id="191"/>
    <w:p>
      <w:pPr>
        <w:spacing w:line="360" w:lineRule="auto"/>
        <w:jc w:val="center"/>
        <w:rPr>
          <w:rFonts w:hint="eastAsia" w:ascii="仿宋" w:hAnsi="仿宋" w:eastAsia="仿宋" w:cs="仿宋"/>
          <w:b/>
          <w:bCs/>
          <w:color w:val="auto"/>
          <w:sz w:val="24"/>
          <w:highlight w:val="none"/>
        </w:rPr>
      </w:pPr>
      <w:bookmarkStart w:id="192" w:name="_Toc419045125"/>
      <w:bookmarkStart w:id="193" w:name="_Toc272515763"/>
      <w:bookmarkStart w:id="194" w:name="_Toc346229145"/>
      <w:bookmarkStart w:id="195" w:name="_Toc422322556"/>
      <w:r>
        <w:rPr>
          <w:rFonts w:hint="eastAsia" w:ascii="仿宋" w:hAnsi="仿宋" w:eastAsia="仿宋" w:cs="仿宋"/>
          <w:b/>
          <w:bCs/>
          <w:color w:val="auto"/>
          <w:sz w:val="24"/>
          <w:highlight w:val="none"/>
        </w:rPr>
        <w:t>（本合同仅供参考，详细内容以双方签订为准）</w:t>
      </w:r>
    </w:p>
    <w:p>
      <w:pPr>
        <w:spacing w:line="360" w:lineRule="auto"/>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合同编号：             合同自编号：             招标编号：</w:t>
      </w:r>
    </w:p>
    <w:p>
      <w:pPr>
        <w:snapToGrid w:val="0"/>
        <w:spacing w:line="360" w:lineRule="auto"/>
        <w:jc w:val="center"/>
        <w:rPr>
          <w:rFonts w:hint="eastAsia" w:ascii="仿宋" w:hAnsi="仿宋" w:eastAsia="仿宋" w:cs="仿宋"/>
          <w:b/>
          <w:color w:val="auto"/>
          <w:sz w:val="24"/>
          <w:highlight w:val="none"/>
        </w:rPr>
      </w:pPr>
    </w:p>
    <w:p>
      <w:pPr>
        <w:snapToGrid w:val="0"/>
        <w:spacing w:line="288" w:lineRule="auto"/>
        <w:jc w:val="cente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云南省省级政府采购</w:t>
      </w:r>
    </w:p>
    <w:p>
      <w:pPr>
        <w:snapToGrid w:val="0"/>
        <w:spacing w:line="288" w:lineRule="auto"/>
        <w:jc w:val="cente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（委托采购）</w:t>
      </w:r>
    </w:p>
    <w:p>
      <w:pPr>
        <w:snapToGrid w:val="0"/>
        <w:spacing w:line="360" w:lineRule="auto"/>
        <w:jc w:val="both"/>
        <w:rPr>
          <w:rFonts w:hint="eastAsia" w:ascii="仿宋" w:hAnsi="仿宋" w:eastAsia="仿宋" w:cs="仿宋"/>
          <w:b/>
          <w:bCs/>
          <w:color w:val="auto"/>
          <w:sz w:val="72"/>
          <w:szCs w:val="72"/>
          <w:highlight w:val="none"/>
        </w:rPr>
      </w:pPr>
    </w:p>
    <w:p>
      <w:pPr>
        <w:snapToGrid w:val="0"/>
        <w:spacing w:line="360" w:lineRule="auto"/>
        <w:jc w:val="center"/>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t>合</w:t>
      </w:r>
    </w:p>
    <w:p>
      <w:pPr>
        <w:snapToGrid w:val="0"/>
        <w:spacing w:line="360" w:lineRule="auto"/>
        <w:jc w:val="center"/>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t>同</w:t>
      </w:r>
    </w:p>
    <w:p>
      <w:pPr>
        <w:snapToGrid w:val="0"/>
        <w:jc w:val="center"/>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t>书</w:t>
      </w:r>
    </w:p>
    <w:p>
      <w:pPr>
        <w:snapToGrid w:val="0"/>
        <w:jc w:val="center"/>
        <w:rPr>
          <w:rFonts w:hint="eastAsia" w:ascii="仿宋" w:hAnsi="仿宋" w:eastAsia="仿宋" w:cs="仿宋"/>
          <w:b/>
          <w:color w:val="auto"/>
          <w:sz w:val="72"/>
          <w:szCs w:val="72"/>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snapToGrid w:val="0"/>
        <w:spacing w:line="288" w:lineRule="auto"/>
        <w:ind w:firstLine="1405" w:firstLineChars="50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签订地点：</w:t>
      </w:r>
      <w:r>
        <w:rPr>
          <w:rFonts w:hint="eastAsia" w:ascii="仿宋" w:hAnsi="仿宋" w:eastAsia="仿宋" w:cs="仿宋"/>
          <w:color w:val="auto"/>
          <w:highlight w:val="none"/>
        </w:rPr>
        <w:t xml:space="preserve">          </w:t>
      </w:r>
    </w:p>
    <w:p>
      <w:pPr>
        <w:snapToGrid w:val="0"/>
        <w:spacing w:line="288" w:lineRule="auto"/>
        <w:rPr>
          <w:rFonts w:hint="eastAsia" w:ascii="仿宋" w:hAnsi="仿宋" w:eastAsia="仿宋" w:cs="仿宋"/>
          <w:b/>
          <w:bCs/>
          <w:color w:val="auto"/>
          <w:sz w:val="28"/>
          <w:szCs w:val="28"/>
          <w:highlight w:val="none"/>
        </w:rPr>
      </w:pPr>
    </w:p>
    <w:p>
      <w:pPr>
        <w:snapToGrid w:val="0"/>
        <w:spacing w:line="288"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云南省财政厅　制</w:t>
      </w: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rPr>
          <w:rFonts w:hint="eastAsia"/>
          <w:color w:val="auto"/>
          <w:highlight w:val="none"/>
        </w:rPr>
      </w:pPr>
    </w:p>
    <w:p>
      <w:pPr>
        <w:rPr>
          <w:rFonts w:hint="eastAsia" w:ascii="仿宋" w:hAnsi="仿宋" w:eastAsia="仿宋" w:cs="仿宋"/>
          <w:color w:val="auto"/>
          <w:sz w:val="24"/>
          <w:highlight w:val="none"/>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甲方（采购人公章）名 称：</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邮 编：</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项目（技术）负责人：</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签订日期：</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highlight w:val="none"/>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乙方（投标人公章）名 称：</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邮 编：</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经办人：</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签订日期：</w:t>
      </w:r>
    </w:p>
    <w:p>
      <w:pPr>
        <w:rPr>
          <w:rFonts w:hint="eastAsia" w:ascii="仿宋" w:hAnsi="仿宋" w:eastAsia="仿宋" w:cs="仿宋"/>
          <w:color w:val="auto"/>
          <w:sz w:val="24"/>
          <w:highlight w:val="none"/>
        </w:rPr>
      </w:pPr>
    </w:p>
    <w:p>
      <w:pPr>
        <w:pStyle w:val="21"/>
        <w:rPr>
          <w:rFonts w:hint="eastAsia" w:ascii="仿宋" w:hAnsi="仿宋" w:eastAsia="仿宋" w:cs="仿宋"/>
          <w:color w:val="auto"/>
          <w:highlight w:val="none"/>
        </w:rPr>
      </w:pPr>
    </w:p>
    <w:p>
      <w:pPr>
        <w:rPr>
          <w:rFonts w:hint="eastAsia" w:ascii="仿宋" w:hAnsi="仿宋" w:eastAsia="仿宋" w:cs="仿宋"/>
          <w:color w:val="auto"/>
          <w:highlight w:val="none"/>
        </w:rPr>
      </w:pPr>
    </w:p>
    <w:p>
      <w:pPr>
        <w:pStyle w:val="21"/>
        <w:rPr>
          <w:rFonts w:hint="eastAsia" w:ascii="仿宋" w:hAnsi="仿宋" w:eastAsia="仿宋" w:cs="仿宋"/>
          <w:color w:val="auto"/>
          <w:highlight w:val="none"/>
        </w:rPr>
      </w:pPr>
    </w:p>
    <w:p>
      <w:pPr>
        <w:rPr>
          <w:rFonts w:hint="eastAsia" w:ascii="仿宋" w:hAnsi="仿宋" w:eastAsia="仿宋" w:cs="仿宋"/>
          <w:color w:val="auto"/>
          <w:highlight w:val="none"/>
        </w:rPr>
      </w:pPr>
    </w:p>
    <w:p>
      <w:pPr>
        <w:pStyle w:val="21"/>
        <w:rPr>
          <w:rFonts w:hint="eastAsia" w:ascii="仿宋" w:hAnsi="仿宋" w:eastAsia="仿宋" w:cs="仿宋"/>
          <w:color w:val="auto"/>
          <w:highlight w:val="none"/>
        </w:rPr>
      </w:pP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r>
    </w:p>
    <w:p>
      <w:pPr>
        <w:snapToGrid w:val="0"/>
        <w:spacing w:after="0" w:line="420" w:lineRule="exact"/>
        <w:ind w:firstLine="562" w:firstLineChars="20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合同协议书</w:t>
      </w:r>
    </w:p>
    <w:p>
      <w:pPr>
        <w:snapToGrid w:val="0"/>
        <w:spacing w:after="0" w:line="420" w:lineRule="exact"/>
        <w:ind w:firstLine="420" w:firstLineChars="200"/>
        <w:rPr>
          <w:rFonts w:hint="eastAsia" w:ascii="仿宋" w:hAnsi="仿宋" w:eastAsia="仿宋" w:cs="仿宋"/>
          <w:color w:val="auto"/>
          <w:sz w:val="21"/>
          <w:szCs w:val="21"/>
          <w:highlight w:val="none"/>
        </w:rPr>
      </w:pPr>
    </w:p>
    <w:p>
      <w:pPr>
        <w:spacing w:after="0" w:line="360" w:lineRule="auto"/>
        <w:ind w:firstLine="540" w:firstLineChars="225"/>
        <w:rPr>
          <w:rFonts w:hint="eastAsia" w:ascii="仿宋" w:hAnsi="仿宋" w:eastAsia="仿宋" w:cs="仿宋"/>
          <w:color w:val="auto"/>
          <w:sz w:val="24"/>
          <w:highlight w:val="none"/>
        </w:rPr>
      </w:pPr>
      <w:r>
        <w:rPr>
          <w:rFonts w:hint="eastAsia" w:ascii="仿宋" w:hAnsi="仿宋" w:eastAsia="仿宋" w:cs="仿宋"/>
          <w:color w:val="auto"/>
          <w:sz w:val="24"/>
          <w:highlight w:val="none"/>
        </w:rPr>
        <w:t>甲乙双方根据</w:t>
      </w:r>
      <w:r>
        <w:rPr>
          <w:rFonts w:hint="eastAsia" w:ascii="仿宋" w:hAnsi="仿宋" w:eastAsia="仿宋" w:cs="仿宋"/>
          <w:color w:val="auto"/>
          <w:sz w:val="24"/>
          <w:highlight w:val="none"/>
          <w:u w:val="single"/>
        </w:rPr>
        <w:t xml:space="preserve">  （项目名称）    </w:t>
      </w:r>
      <w:r>
        <w:rPr>
          <w:rFonts w:hint="eastAsia" w:ascii="仿宋" w:hAnsi="仿宋" w:eastAsia="仿宋" w:cs="仿宋"/>
          <w:color w:val="auto"/>
          <w:sz w:val="24"/>
          <w:highlight w:val="none"/>
        </w:rPr>
        <w:t>招标文件、采购结果，经甲乙双方协商，签订以下内容：</w:t>
      </w:r>
    </w:p>
    <w:p>
      <w:pPr>
        <w:spacing w:after="0"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一、产品名称、制造商</w:t>
      </w:r>
      <w:r>
        <w:rPr>
          <w:rFonts w:hint="eastAsia" w:ascii="仿宋" w:hAnsi="仿宋" w:eastAsia="仿宋" w:cs="仿宋"/>
          <w:b/>
          <w:color w:val="auto"/>
          <w:sz w:val="24"/>
          <w:highlight w:val="none"/>
          <w:lang w:val="en-US" w:eastAsia="zh-CN"/>
        </w:rPr>
        <w:t>/供应商</w:t>
      </w:r>
      <w:r>
        <w:rPr>
          <w:rFonts w:hint="eastAsia" w:ascii="仿宋" w:hAnsi="仿宋" w:eastAsia="仿宋" w:cs="仿宋"/>
          <w:b/>
          <w:color w:val="auto"/>
          <w:sz w:val="24"/>
          <w:highlight w:val="none"/>
        </w:rPr>
        <w:t>、产地/国别、规格、型号、单价、数量、合价</w:t>
      </w:r>
    </w:p>
    <w:tbl>
      <w:tblPr>
        <w:tblStyle w:val="56"/>
        <w:tblW w:w="900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505"/>
        <w:gridCol w:w="1785"/>
        <w:gridCol w:w="1408"/>
        <w:gridCol w:w="1404"/>
        <w:gridCol w:w="1444"/>
        <w:gridCol w:w="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4" w:hRule="atLeast"/>
          <w:jc w:val="center"/>
        </w:trPr>
        <w:tc>
          <w:tcPr>
            <w:tcW w:w="811"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r>
              <w:rPr>
                <w:rFonts w:hint="eastAsia" w:ascii="仿宋" w:hAnsi="仿宋" w:eastAsia="仿宋" w:cs="仿宋"/>
                <w:b/>
                <w:bCs/>
                <w:color w:val="auto"/>
                <w:sz w:val="21"/>
                <w:szCs w:val="21"/>
                <w:highlight w:val="none"/>
                <w:shd w:val="clear" w:color="auto" w:fill="FFFFFF"/>
              </w:rPr>
              <w:t>序号</w:t>
            </w:r>
          </w:p>
        </w:tc>
        <w:tc>
          <w:tcPr>
            <w:tcW w:w="1505"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r>
              <w:rPr>
                <w:rFonts w:hint="eastAsia" w:ascii="仿宋" w:hAnsi="仿宋" w:eastAsia="仿宋" w:cs="仿宋"/>
                <w:b/>
                <w:bCs/>
                <w:color w:val="auto"/>
                <w:sz w:val="21"/>
                <w:szCs w:val="21"/>
                <w:highlight w:val="none"/>
                <w:shd w:val="clear" w:color="auto" w:fill="FFFFFF"/>
              </w:rPr>
              <w:t>产品名称</w:t>
            </w:r>
          </w:p>
        </w:tc>
        <w:tc>
          <w:tcPr>
            <w:tcW w:w="1785"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lang w:val="en-US" w:eastAsia="zh-CN"/>
              </w:rPr>
            </w:pPr>
            <w:r>
              <w:rPr>
                <w:rFonts w:hint="eastAsia" w:ascii="仿宋" w:hAnsi="仿宋" w:eastAsia="仿宋" w:cs="仿宋"/>
                <w:b/>
                <w:bCs/>
                <w:color w:val="auto"/>
                <w:sz w:val="21"/>
                <w:szCs w:val="21"/>
                <w:highlight w:val="none"/>
                <w:shd w:val="clear" w:color="auto" w:fill="FFFFFF"/>
              </w:rPr>
              <w:t>制造商</w:t>
            </w:r>
            <w:r>
              <w:rPr>
                <w:rFonts w:hint="eastAsia" w:ascii="仿宋" w:hAnsi="仿宋" w:eastAsia="仿宋" w:cs="仿宋"/>
                <w:b/>
                <w:bCs/>
                <w:color w:val="auto"/>
                <w:sz w:val="21"/>
                <w:szCs w:val="21"/>
                <w:highlight w:val="none"/>
                <w:shd w:val="clear" w:color="auto" w:fill="FFFFFF"/>
                <w:lang w:val="en-US" w:eastAsia="zh-CN"/>
              </w:rPr>
              <w:t>/供应商</w:t>
            </w:r>
          </w:p>
        </w:tc>
        <w:tc>
          <w:tcPr>
            <w:tcW w:w="1408"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r>
              <w:rPr>
                <w:rFonts w:hint="eastAsia" w:ascii="仿宋" w:hAnsi="仿宋" w:eastAsia="仿宋" w:cs="仿宋"/>
                <w:b/>
                <w:bCs/>
                <w:color w:val="auto"/>
                <w:sz w:val="21"/>
                <w:szCs w:val="21"/>
                <w:highlight w:val="none"/>
                <w:shd w:val="clear" w:color="auto" w:fill="FFFFFF"/>
              </w:rPr>
              <w:t xml:space="preserve">产地/国别 </w:t>
            </w:r>
          </w:p>
        </w:tc>
        <w:tc>
          <w:tcPr>
            <w:tcW w:w="1404"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r>
              <w:rPr>
                <w:rFonts w:hint="eastAsia" w:ascii="仿宋" w:hAnsi="仿宋" w:eastAsia="仿宋" w:cs="仿宋"/>
                <w:b/>
                <w:bCs/>
                <w:color w:val="auto"/>
                <w:sz w:val="21"/>
                <w:szCs w:val="21"/>
                <w:highlight w:val="none"/>
                <w:shd w:val="clear" w:color="auto" w:fill="FFFFFF"/>
              </w:rPr>
              <w:t>规格、型号</w:t>
            </w:r>
          </w:p>
        </w:tc>
        <w:tc>
          <w:tcPr>
            <w:tcW w:w="1444"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r>
              <w:rPr>
                <w:rFonts w:hint="eastAsia" w:ascii="仿宋" w:hAnsi="仿宋" w:eastAsia="仿宋" w:cs="仿宋"/>
                <w:b/>
                <w:bCs/>
                <w:color w:val="auto"/>
                <w:sz w:val="21"/>
                <w:szCs w:val="21"/>
                <w:highlight w:val="none"/>
                <w:shd w:val="clear" w:color="auto" w:fill="FFFFFF"/>
              </w:rPr>
              <w:t>单价</w:t>
            </w:r>
          </w:p>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r>
              <w:rPr>
                <w:rFonts w:hint="eastAsia" w:ascii="仿宋" w:hAnsi="仿宋" w:eastAsia="仿宋" w:cs="仿宋"/>
                <w:b/>
                <w:bCs/>
                <w:color w:val="auto"/>
                <w:sz w:val="21"/>
                <w:szCs w:val="21"/>
                <w:highlight w:val="none"/>
                <w:shd w:val="clear" w:color="auto" w:fill="FFFFFF"/>
              </w:rPr>
              <w:t>（元</w:t>
            </w:r>
            <w:r>
              <w:rPr>
                <w:rFonts w:hint="eastAsia" w:ascii="仿宋" w:hAnsi="仿宋" w:eastAsia="仿宋" w:cs="仿宋"/>
                <w:b/>
                <w:bCs/>
                <w:color w:val="auto"/>
                <w:sz w:val="21"/>
                <w:szCs w:val="21"/>
                <w:highlight w:val="none"/>
                <w:shd w:val="clear" w:color="auto" w:fill="FFFFFF"/>
                <w:lang w:val="en-US" w:eastAsia="zh-CN"/>
              </w:rPr>
              <w:t>/吨</w:t>
            </w:r>
            <w:r>
              <w:rPr>
                <w:rFonts w:hint="eastAsia" w:ascii="仿宋" w:hAnsi="仿宋" w:eastAsia="仿宋" w:cs="仿宋"/>
                <w:b/>
                <w:bCs/>
                <w:color w:val="auto"/>
                <w:sz w:val="21"/>
                <w:szCs w:val="21"/>
                <w:highlight w:val="none"/>
                <w:shd w:val="clear" w:color="auto" w:fill="FFFFFF"/>
              </w:rPr>
              <w:t>）</w:t>
            </w:r>
          </w:p>
        </w:tc>
        <w:tc>
          <w:tcPr>
            <w:tcW w:w="650"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lang w:eastAsia="zh-CN"/>
              </w:rPr>
            </w:pPr>
            <w:r>
              <w:rPr>
                <w:rFonts w:hint="eastAsia" w:ascii="仿宋" w:hAnsi="仿宋" w:eastAsia="仿宋" w:cs="仿宋"/>
                <w:b/>
                <w:bCs/>
                <w:color w:val="auto"/>
                <w:sz w:val="21"/>
                <w:szCs w:val="21"/>
                <w:highlight w:val="none"/>
                <w:shd w:val="clear" w:color="auto" w:fill="FFFFFF"/>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1" w:hRule="atLeast"/>
          <w:jc w:val="center"/>
        </w:trPr>
        <w:tc>
          <w:tcPr>
            <w:tcW w:w="811"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p>
        </w:tc>
        <w:tc>
          <w:tcPr>
            <w:tcW w:w="1505"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p>
        </w:tc>
        <w:tc>
          <w:tcPr>
            <w:tcW w:w="1785"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p>
        </w:tc>
        <w:tc>
          <w:tcPr>
            <w:tcW w:w="1408"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p>
        </w:tc>
        <w:tc>
          <w:tcPr>
            <w:tcW w:w="1404"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p>
        </w:tc>
        <w:tc>
          <w:tcPr>
            <w:tcW w:w="1444"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p>
        </w:tc>
        <w:tc>
          <w:tcPr>
            <w:tcW w:w="650"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1" w:hRule="atLeast"/>
          <w:jc w:val="center"/>
        </w:trPr>
        <w:tc>
          <w:tcPr>
            <w:tcW w:w="811"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p>
        </w:tc>
        <w:tc>
          <w:tcPr>
            <w:tcW w:w="1505"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p>
        </w:tc>
        <w:tc>
          <w:tcPr>
            <w:tcW w:w="1785"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p>
        </w:tc>
        <w:tc>
          <w:tcPr>
            <w:tcW w:w="1408"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p>
        </w:tc>
        <w:tc>
          <w:tcPr>
            <w:tcW w:w="1404"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p>
        </w:tc>
        <w:tc>
          <w:tcPr>
            <w:tcW w:w="1444"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p>
        </w:tc>
        <w:tc>
          <w:tcPr>
            <w:tcW w:w="650"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1" w:hRule="atLeast"/>
          <w:jc w:val="center"/>
        </w:trPr>
        <w:tc>
          <w:tcPr>
            <w:tcW w:w="811"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p>
        </w:tc>
        <w:tc>
          <w:tcPr>
            <w:tcW w:w="1505"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p>
        </w:tc>
        <w:tc>
          <w:tcPr>
            <w:tcW w:w="1785"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p>
        </w:tc>
        <w:tc>
          <w:tcPr>
            <w:tcW w:w="1408"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p>
        </w:tc>
        <w:tc>
          <w:tcPr>
            <w:tcW w:w="1404"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p>
        </w:tc>
        <w:tc>
          <w:tcPr>
            <w:tcW w:w="1444"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p>
        </w:tc>
        <w:tc>
          <w:tcPr>
            <w:tcW w:w="650" w:type="dxa"/>
            <w:vAlign w:val="center"/>
          </w:tcPr>
          <w:p>
            <w:pPr>
              <w:adjustRightInd w:val="0"/>
              <w:snapToGrid w:val="0"/>
              <w:spacing w:before="120" w:beforeLines="50" w:after="0" w:line="360" w:lineRule="auto"/>
              <w:ind w:left="30" w:leftChars="15"/>
              <w:jc w:val="center"/>
              <w:rPr>
                <w:rFonts w:hint="eastAsia" w:ascii="仿宋" w:hAnsi="仿宋" w:eastAsia="仿宋" w:cs="仿宋"/>
                <w:b/>
                <w:bCs/>
                <w:color w:val="auto"/>
                <w:sz w:val="21"/>
                <w:szCs w:val="21"/>
                <w:highlight w:val="none"/>
                <w:shd w:val="clear" w:color="auto" w:fill="FFFFFF"/>
              </w:rPr>
            </w:pPr>
          </w:p>
        </w:tc>
      </w:tr>
    </w:tbl>
    <w:p>
      <w:pPr>
        <w:spacing w:after="0" w:line="360" w:lineRule="auto"/>
        <w:rPr>
          <w:rFonts w:hint="eastAsia" w:ascii="仿宋" w:hAnsi="仿宋" w:eastAsia="仿宋" w:cs="仿宋"/>
          <w:b/>
          <w:color w:val="auto"/>
          <w:sz w:val="24"/>
          <w:highlight w:val="none"/>
        </w:rPr>
      </w:pPr>
    </w:p>
    <w:p>
      <w:pPr>
        <w:spacing w:after="0" w:line="5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二、合同总价</w:t>
      </w:r>
    </w:p>
    <w:p>
      <w:pPr>
        <w:spacing w:after="0" w:line="500" w:lineRule="exact"/>
        <w:ind w:firstLine="480" w:firstLineChars="200"/>
        <w:rPr>
          <w:rFonts w:hint="eastAsia"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人民币大写：           人民币，小写：￥                    </w:t>
      </w:r>
      <w:r>
        <w:rPr>
          <w:rFonts w:hint="eastAsia" w:ascii="仿宋" w:hAnsi="仿宋" w:eastAsia="仿宋" w:cs="仿宋"/>
          <w:color w:val="auto"/>
          <w:sz w:val="24"/>
          <w:highlight w:val="none"/>
          <w:lang w:val="en-US" w:eastAsia="zh-CN"/>
        </w:rPr>
        <w:t>元/吨</w:t>
      </w:r>
      <w:r>
        <w:rPr>
          <w:rFonts w:hint="eastAsia" w:ascii="仿宋" w:hAnsi="仿宋" w:eastAsia="仿宋" w:cs="仿宋"/>
          <w:color w:val="auto"/>
          <w:sz w:val="24"/>
          <w:highlight w:val="none"/>
          <w:lang w:val="en-GB"/>
        </w:rPr>
        <w:t>。</w:t>
      </w:r>
    </w:p>
    <w:p>
      <w:pPr>
        <w:spacing w:after="0" w:line="500" w:lineRule="exact"/>
        <w:ind w:firstLine="482" w:firstLineChars="200"/>
        <w:rPr>
          <w:rFonts w:hint="eastAsia" w:ascii="仿宋" w:hAnsi="仿宋" w:eastAsia="仿宋" w:cs="仿宋"/>
          <w:b/>
          <w:bCs/>
          <w:color w:val="auto"/>
          <w:sz w:val="24"/>
          <w:highlight w:val="none"/>
          <w:u w:val="single"/>
          <w:lang w:val="en-US" w:eastAsia="zh-CN"/>
        </w:rPr>
      </w:pPr>
      <w:r>
        <w:rPr>
          <w:rFonts w:hint="eastAsia" w:ascii="仿宋" w:hAnsi="仿宋" w:eastAsia="仿宋" w:cs="仿宋"/>
          <w:b/>
          <w:bCs/>
          <w:color w:val="auto"/>
          <w:sz w:val="24"/>
          <w:highlight w:val="none"/>
          <w:u w:val="single"/>
          <w:lang w:val="en-US" w:eastAsia="zh-CN"/>
        </w:rPr>
        <w:t>最终结算价＝投标人中标单价×实际发生供货数量。</w:t>
      </w:r>
    </w:p>
    <w:p>
      <w:pPr>
        <w:spacing w:after="0" w:line="500" w:lineRule="exact"/>
        <w:ind w:firstLine="480" w:firstLineChars="200"/>
        <w:rPr>
          <w:rFonts w:hint="eastAsia" w:ascii="仿宋" w:hAnsi="仿宋" w:eastAsia="仿宋" w:cs="仿宋"/>
          <w:color w:val="auto"/>
          <w:sz w:val="24"/>
          <w:highlight w:val="none"/>
          <w:lang w:val="en-GB"/>
        </w:rPr>
      </w:pPr>
      <w:r>
        <w:rPr>
          <w:rFonts w:hint="eastAsia" w:ascii="仿宋" w:hAnsi="仿宋" w:eastAsia="仿宋" w:cs="仿宋"/>
          <w:color w:val="auto"/>
          <w:sz w:val="24"/>
          <w:highlight w:val="none"/>
          <w:lang w:val="en-GB"/>
        </w:rPr>
        <w:t>以上价格为甲方指定地点统一交货价，并包含产品的运输、装卸、检验（包括委托相关检验部门对所供货物进行抽样检查费用）、纳税及不可预见的一切费用，甲方不须另付任何费用。</w:t>
      </w:r>
    </w:p>
    <w:p>
      <w:pPr>
        <w:spacing w:after="0" w:line="500" w:lineRule="exact"/>
        <w:rPr>
          <w:rFonts w:hint="eastAsia" w:ascii="仿宋" w:hAnsi="仿宋" w:eastAsia="仿宋" w:cs="仿宋"/>
          <w:b/>
          <w:color w:val="auto"/>
          <w:sz w:val="24"/>
          <w:highlight w:val="none"/>
        </w:rPr>
      </w:pPr>
      <w:bookmarkStart w:id="196" w:name="_Toc350423933"/>
      <w:bookmarkEnd w:id="196"/>
      <w:bookmarkStart w:id="197" w:name="_Toc137116164"/>
      <w:bookmarkEnd w:id="197"/>
      <w:bookmarkStart w:id="198" w:name="_Toc453683061"/>
      <w:bookmarkEnd w:id="198"/>
      <w:bookmarkStart w:id="199" w:name="_Toc357678746"/>
      <w:bookmarkEnd w:id="199"/>
      <w:bookmarkStart w:id="200" w:name="_Toc309124164"/>
      <w:bookmarkEnd w:id="200"/>
      <w:bookmarkStart w:id="201" w:name="_Toc350422348"/>
      <w:bookmarkEnd w:id="201"/>
      <w:r>
        <w:rPr>
          <w:rFonts w:hint="eastAsia" w:ascii="仿宋" w:hAnsi="仿宋" w:eastAsia="仿宋" w:cs="仿宋"/>
          <w:b/>
          <w:color w:val="auto"/>
          <w:sz w:val="24"/>
          <w:highlight w:val="none"/>
        </w:rPr>
        <w:t>三、合同组成</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所有附件及本项目的招标文件、投标文件、中标通知书、供货合同等均为本合同不可分割之一部分。</w:t>
      </w:r>
    </w:p>
    <w:p>
      <w:pPr>
        <w:spacing w:after="0" w:line="500" w:lineRule="exact"/>
        <w:rPr>
          <w:rFonts w:hint="eastAsia" w:ascii="仿宋" w:hAnsi="仿宋" w:eastAsia="仿宋" w:cs="仿宋"/>
          <w:b/>
          <w:color w:val="auto"/>
          <w:sz w:val="24"/>
          <w:highlight w:val="none"/>
        </w:rPr>
      </w:pPr>
      <w:bookmarkStart w:id="202" w:name="_Toc350423934"/>
      <w:bookmarkEnd w:id="202"/>
      <w:bookmarkStart w:id="203" w:name="_Toc309124165"/>
      <w:bookmarkEnd w:id="203"/>
      <w:bookmarkStart w:id="204" w:name="_Toc453683062"/>
      <w:bookmarkEnd w:id="204"/>
      <w:bookmarkStart w:id="205" w:name="_Toc350422349"/>
      <w:bookmarkEnd w:id="205"/>
      <w:bookmarkStart w:id="206" w:name="_Toc137116165"/>
      <w:bookmarkEnd w:id="206"/>
      <w:bookmarkStart w:id="207" w:name="_Toc357678747"/>
      <w:bookmarkEnd w:id="207"/>
      <w:r>
        <w:rPr>
          <w:rFonts w:hint="eastAsia" w:ascii="仿宋" w:hAnsi="仿宋" w:eastAsia="仿宋" w:cs="仿宋"/>
          <w:b/>
          <w:color w:val="auto"/>
          <w:sz w:val="24"/>
          <w:highlight w:val="none"/>
        </w:rPr>
        <w:t>四、技术要求</w:t>
      </w:r>
    </w:p>
    <w:p>
      <w:pPr>
        <w:spacing w:after="0" w:line="500" w:lineRule="exact"/>
        <w:ind w:firstLine="424" w:firstLineChars="177"/>
        <w:rPr>
          <w:rFonts w:hint="eastAsia" w:ascii="仿宋" w:hAnsi="仿宋" w:eastAsia="仿宋" w:cs="仿宋"/>
          <w:color w:val="auto"/>
          <w:sz w:val="24"/>
          <w:highlight w:val="none"/>
        </w:rPr>
      </w:pPr>
      <w:bookmarkStart w:id="208" w:name="_Toc453683063"/>
      <w:bookmarkEnd w:id="208"/>
      <w:r>
        <w:rPr>
          <w:rFonts w:hint="eastAsia" w:ascii="仿宋" w:hAnsi="仿宋" w:eastAsia="仿宋" w:cs="仿宋"/>
          <w:color w:val="auto"/>
          <w:sz w:val="24"/>
          <w:highlight w:val="none"/>
        </w:rPr>
        <w:t>1、货物内在质量、外观质量均要符合国家和行业的要求。</w:t>
      </w:r>
    </w:p>
    <w:p>
      <w:pPr>
        <w:spacing w:after="0" w:line="500" w:lineRule="exact"/>
        <w:ind w:firstLine="424" w:firstLineChars="177"/>
        <w:rPr>
          <w:rFonts w:hint="eastAsia" w:ascii="仿宋" w:hAnsi="仿宋" w:eastAsia="仿宋" w:cs="仿宋"/>
          <w:color w:val="auto"/>
          <w:sz w:val="24"/>
          <w:highlight w:val="none"/>
        </w:rPr>
      </w:pPr>
      <w:bookmarkStart w:id="209" w:name="_Toc453683064"/>
      <w:bookmarkEnd w:id="209"/>
      <w:r>
        <w:rPr>
          <w:rFonts w:hint="eastAsia" w:ascii="仿宋" w:hAnsi="仿宋" w:eastAsia="仿宋" w:cs="仿宋"/>
          <w:color w:val="auto"/>
          <w:sz w:val="24"/>
          <w:highlight w:val="none"/>
        </w:rPr>
        <w:t>2、适用标准：必须符合国家、行业现行的规范。</w:t>
      </w:r>
    </w:p>
    <w:p>
      <w:pPr>
        <w:spacing w:after="0" w:line="500" w:lineRule="exact"/>
        <w:ind w:firstLine="424" w:firstLineChars="177"/>
        <w:rPr>
          <w:rFonts w:hint="eastAsia" w:ascii="仿宋" w:hAnsi="仿宋" w:eastAsia="仿宋" w:cs="仿宋"/>
          <w:color w:val="auto"/>
          <w:sz w:val="24"/>
          <w:highlight w:val="none"/>
        </w:rPr>
      </w:pPr>
      <w:r>
        <w:rPr>
          <w:rFonts w:hint="eastAsia" w:ascii="仿宋" w:hAnsi="仿宋" w:eastAsia="仿宋" w:cs="仿宋"/>
          <w:color w:val="auto"/>
          <w:sz w:val="24"/>
          <w:highlight w:val="none"/>
        </w:rPr>
        <w:t>3、乙方应确保所提供的货物合格率达到100%。</w:t>
      </w:r>
    </w:p>
    <w:p>
      <w:pPr>
        <w:spacing w:after="0" w:line="500" w:lineRule="exact"/>
        <w:rPr>
          <w:rFonts w:hint="eastAsia" w:ascii="仿宋" w:hAnsi="仿宋" w:eastAsia="仿宋" w:cs="仿宋"/>
          <w:b/>
          <w:bCs/>
          <w:color w:val="auto"/>
          <w:sz w:val="24"/>
          <w:highlight w:val="none"/>
        </w:rPr>
      </w:pPr>
      <w:bookmarkStart w:id="210" w:name="_Toc357678748"/>
      <w:bookmarkEnd w:id="210"/>
      <w:bookmarkStart w:id="211" w:name="_Toc137116166"/>
      <w:bookmarkEnd w:id="211"/>
      <w:bookmarkStart w:id="212" w:name="_Toc453683065"/>
      <w:bookmarkEnd w:id="212"/>
      <w:bookmarkStart w:id="213" w:name="_Toc309124166"/>
      <w:bookmarkEnd w:id="213"/>
      <w:bookmarkStart w:id="214" w:name="_Toc350423935"/>
      <w:bookmarkEnd w:id="214"/>
      <w:bookmarkStart w:id="215" w:name="_Toc350422350"/>
      <w:bookmarkEnd w:id="215"/>
      <w:r>
        <w:rPr>
          <w:rFonts w:hint="eastAsia" w:ascii="仿宋" w:hAnsi="仿宋" w:eastAsia="仿宋" w:cs="仿宋"/>
          <w:b/>
          <w:bCs/>
          <w:color w:val="auto"/>
          <w:sz w:val="24"/>
          <w:highlight w:val="none"/>
        </w:rPr>
        <w:t>五、交货时间</w:t>
      </w:r>
    </w:p>
    <w:p>
      <w:pPr>
        <w:spacing w:after="0" w:line="500" w:lineRule="exact"/>
        <w:ind w:firstLine="424" w:firstLineChars="177"/>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日前送达甲方指定地点。</w:t>
      </w:r>
    </w:p>
    <w:p>
      <w:pPr>
        <w:spacing w:after="0" w:line="5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六、甲乙双方的权利和义务</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1、甲方的权利和义务</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（1）负责合同签订后项目实施的工作（如与乙方的具体联系和衔接等）；</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（2）负责提供货物移交的场地和环境；</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（3）负责组织成立验收小组对软件和货物或项目进行验收并签署验收报告；</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（4）按合同规定享有乙方提供的货物或项目服务；</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（5）按政府采购规定落实采购资金并办理采购资金支付手续。</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2、乙方的权利和义务</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（1）乙方保证提供的货物是原装、全新，符合招标文件规定、具有国家有关部门注册并符合国家质量检测标准（进口产品具有国家有关部门完整手续）和产品出厂标准的货物；</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（2）保证甲方在合同肥料使用期间不受第三方提出侵犯其专利权、商标权和工业设计权的起诉； </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（3）严格遵守投标、技术澄清、商务谈判、中标所承诺的一切规定和条款； </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（4）按合同规定收取合同款项。</w:t>
      </w:r>
    </w:p>
    <w:p>
      <w:pPr>
        <w:spacing w:after="0" w:line="5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七、售后服务</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乙方对肥料提供使用说明、使用注意事项等相关技术资料，对甲方技术人员进行技术培训，并和甲方一起指导使用该肥料的农民科学使用肥料。按照投标文件上的承诺做好售后服务。 </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乙方在收到使用该肥料的项目区肥料事故报告后保证2小时内到达现场，处理事故。 </w:t>
      </w:r>
    </w:p>
    <w:p>
      <w:pPr>
        <w:spacing w:after="0" w:line="500" w:lineRule="exact"/>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乙方技术支持电话：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pPr>
        <w:spacing w:after="0" w:line="5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八、验收及验收标准</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货物到达甲方指定地点后甲方和乙方一起初验是否符合合同要求，并要求持有该产品生产厂家的质量检验报告。</w:t>
      </w:r>
    </w:p>
    <w:p>
      <w:pPr>
        <w:spacing w:after="0" w:line="500" w:lineRule="exact"/>
        <w:rPr>
          <w:rFonts w:hint="eastAsia" w:ascii="仿宋" w:hAnsi="仿宋" w:eastAsia="仿宋" w:cs="仿宋"/>
          <w:b/>
          <w:color w:val="auto"/>
          <w:sz w:val="24"/>
          <w:highlight w:val="none"/>
        </w:rPr>
      </w:pPr>
      <w:bookmarkStart w:id="216" w:name="_Toc350423938"/>
      <w:bookmarkEnd w:id="216"/>
      <w:bookmarkStart w:id="217" w:name="_Toc453683071"/>
      <w:bookmarkEnd w:id="217"/>
      <w:bookmarkStart w:id="218" w:name="_Toc357678751"/>
      <w:bookmarkEnd w:id="218"/>
      <w:bookmarkStart w:id="219" w:name="_Toc137116170"/>
      <w:bookmarkEnd w:id="219"/>
      <w:bookmarkStart w:id="220" w:name="_Toc350422353"/>
      <w:bookmarkEnd w:id="220"/>
      <w:bookmarkStart w:id="221" w:name="_Toc309124169"/>
      <w:bookmarkEnd w:id="221"/>
      <w:r>
        <w:rPr>
          <w:rFonts w:hint="eastAsia" w:ascii="仿宋" w:hAnsi="仿宋" w:eastAsia="仿宋" w:cs="仿宋"/>
          <w:b/>
          <w:color w:val="auto"/>
          <w:sz w:val="24"/>
          <w:highlight w:val="none"/>
        </w:rPr>
        <w:t>九、付款方式</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合同货物交付甲方验收合格后，以人民币方式结算，乙方须提供以下资料：</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1、合同；</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2、乙方开具的正式发票；</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3、交（接）货清单。</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4、甲乙双方共同组织的验收合格证明材料。</w:t>
      </w:r>
    </w:p>
    <w:p>
      <w:pPr>
        <w:spacing w:after="0" w:line="500" w:lineRule="exact"/>
        <w:ind w:firstLine="480" w:firstLineChars="200"/>
        <w:rPr>
          <w:rFonts w:hint="eastAsia" w:ascii="仿宋" w:hAnsi="仿宋" w:eastAsia="仿宋" w:cs="仿宋"/>
          <w:bCs/>
          <w:color w:val="auto"/>
          <w:sz w:val="24"/>
          <w:highlight w:val="none"/>
        </w:rPr>
      </w:pPr>
      <w:bookmarkStart w:id="222" w:name="_Toc309124170"/>
      <w:bookmarkStart w:id="223" w:name="_Toc137116171"/>
      <w:r>
        <w:rPr>
          <w:rFonts w:hint="eastAsia" w:ascii="仿宋" w:hAnsi="仿宋" w:eastAsia="仿宋" w:cs="仿宋"/>
          <w:bCs/>
          <w:color w:val="auto"/>
          <w:sz w:val="24"/>
          <w:highlight w:val="none"/>
        </w:rPr>
        <w:t>付款条件为：</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w:t>
      </w:r>
    </w:p>
    <w:bookmarkEnd w:id="222"/>
    <w:bookmarkEnd w:id="223"/>
    <w:p>
      <w:pPr>
        <w:spacing w:after="0" w:line="500" w:lineRule="exact"/>
        <w:rPr>
          <w:rFonts w:hint="eastAsia" w:ascii="仿宋" w:hAnsi="仿宋" w:eastAsia="仿宋" w:cs="仿宋"/>
          <w:b/>
          <w:color w:val="auto"/>
          <w:sz w:val="24"/>
          <w:highlight w:val="none"/>
        </w:rPr>
      </w:pPr>
      <w:bookmarkStart w:id="224" w:name="_Toc453683072"/>
      <w:bookmarkEnd w:id="224"/>
      <w:bookmarkStart w:id="225" w:name="_Toc357678752"/>
      <w:bookmarkEnd w:id="225"/>
      <w:bookmarkStart w:id="226" w:name="_Toc350423939"/>
      <w:bookmarkEnd w:id="226"/>
      <w:bookmarkStart w:id="227" w:name="_Toc350422354"/>
      <w:bookmarkEnd w:id="227"/>
      <w:r>
        <w:rPr>
          <w:rFonts w:hint="eastAsia" w:ascii="仿宋" w:hAnsi="仿宋" w:eastAsia="仿宋" w:cs="仿宋"/>
          <w:b/>
          <w:color w:val="auto"/>
          <w:sz w:val="24"/>
          <w:highlight w:val="none"/>
        </w:rPr>
        <w:t>十、不可抗力</w:t>
      </w:r>
    </w:p>
    <w:p>
      <w:pPr>
        <w:spacing w:after="0" w:line="500" w:lineRule="exact"/>
        <w:ind w:right="-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1、签约双方中任何一方由于不可抗力影响合同执行时，发生不可抗力一方应尽快将事故通知另一方。在此情况下，乙方仍然有责任采取必要的措施加速供货，双方应通过友好协商尽快解决本合同的执行问题。</w:t>
      </w:r>
    </w:p>
    <w:p>
      <w:pPr>
        <w:spacing w:after="0" w:line="500" w:lineRule="exact"/>
        <w:ind w:right="-400" w:righ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2、不可抗力指战争、严重火灾、洪水、台风、地震等或其它双方认定的不可抗力事件。</w:t>
      </w:r>
    </w:p>
    <w:p>
      <w:pPr>
        <w:spacing w:after="0" w:line="500" w:lineRule="exact"/>
        <w:rPr>
          <w:rFonts w:hint="eastAsia" w:ascii="仿宋" w:hAnsi="仿宋" w:eastAsia="仿宋" w:cs="仿宋"/>
          <w:b/>
          <w:color w:val="auto"/>
          <w:sz w:val="24"/>
          <w:highlight w:val="none"/>
        </w:rPr>
      </w:pPr>
      <w:bookmarkStart w:id="228" w:name="_Toc357678754"/>
      <w:bookmarkEnd w:id="228"/>
      <w:bookmarkStart w:id="229" w:name="_Toc137116173"/>
      <w:bookmarkEnd w:id="229"/>
      <w:bookmarkStart w:id="230" w:name="_Toc453683074"/>
      <w:bookmarkEnd w:id="230"/>
      <w:bookmarkStart w:id="231" w:name="_Toc350423941"/>
      <w:bookmarkEnd w:id="231"/>
      <w:bookmarkStart w:id="232" w:name="_Toc309124172"/>
      <w:bookmarkEnd w:id="232"/>
      <w:bookmarkStart w:id="233" w:name="_Toc350422356"/>
      <w:bookmarkEnd w:id="233"/>
      <w:r>
        <w:rPr>
          <w:rFonts w:hint="eastAsia" w:ascii="仿宋" w:hAnsi="仿宋" w:eastAsia="仿宋" w:cs="仿宋"/>
          <w:b/>
          <w:color w:val="auto"/>
          <w:sz w:val="24"/>
          <w:highlight w:val="none"/>
        </w:rPr>
        <w:t>十一、违约与处罚</w:t>
      </w:r>
    </w:p>
    <w:p>
      <w:pPr>
        <w:spacing w:after="0" w:line="500" w:lineRule="exact"/>
        <w:ind w:firstLine="480" w:firstLineChars="200"/>
        <w:rPr>
          <w:rFonts w:hint="eastAsia" w:ascii="仿宋" w:hAnsi="仿宋" w:eastAsia="仿宋" w:cs="仿宋"/>
          <w:color w:val="auto"/>
          <w:sz w:val="24"/>
          <w:highlight w:val="none"/>
        </w:rPr>
      </w:pPr>
      <w:bookmarkStart w:id="234" w:name="_Toc453683075"/>
      <w:bookmarkEnd w:id="234"/>
      <w:bookmarkStart w:id="235" w:name="_Toc309124173"/>
      <w:bookmarkEnd w:id="235"/>
      <w:bookmarkStart w:id="236" w:name="_Toc350422357"/>
      <w:bookmarkEnd w:id="236"/>
      <w:bookmarkStart w:id="237" w:name="_Toc357678755"/>
      <w:bookmarkEnd w:id="237"/>
      <w:bookmarkStart w:id="238" w:name="_Toc137116174"/>
      <w:bookmarkEnd w:id="238"/>
      <w:bookmarkStart w:id="239" w:name="_Toc350423942"/>
      <w:bookmarkEnd w:id="239"/>
      <w:r>
        <w:rPr>
          <w:rFonts w:hint="eastAsia" w:ascii="仿宋" w:hAnsi="仿宋" w:eastAsia="仿宋" w:cs="仿宋"/>
          <w:color w:val="auto"/>
          <w:sz w:val="24"/>
          <w:highlight w:val="none"/>
        </w:rPr>
        <w:t>1、乙方所提供的货物规格、技术标准、材料等质量不合格的，应及时更换，更换不及时的按逾期交货处罚；因质量问题甲方不同意接收的或特殊情况甲方同意接收的，乙方应向甲方支付违约货款额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%违约金并赔偿甲方经济损失。</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2、乙方提供的货物如侵犯了第三方合法权益而引发的任何纠纷或诉讼，均由乙方负责交涉并承担全部责任。</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3、因包装、运输引起的货物损坏，按质量不合格处罚。</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4、甲方无故延期接收货物、乙方逾期交货的，每天向对方偿付违约货款额 4‰违约金， 但违约金累计不得超过违约货款额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%，超过</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天对方有权解除合同。</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5、乙方未按本合同和投标文件中规定的服务承诺提供售后服务的，乙方应按本合同合计金额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%向甲方支付违约金。</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6、乙方提供的货物在质保期内，因设计、工艺或材料的缺陷和其它售后服务质量等问题的，由乙方负责，费用从履约保证金中扣除，不足另补。</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7、其它违约行为按违约货款额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%收取违约金并赔偿经济损失。</w:t>
      </w:r>
    </w:p>
    <w:p>
      <w:pPr>
        <w:spacing w:after="0" w:line="5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十二、合同的变更、终止与转让</w:t>
      </w:r>
    </w:p>
    <w:p>
      <w:pPr>
        <w:spacing w:after="0"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1、除《中华人民共和国政府采购法》第五十条规定的情形外，本合同一经签订，甲乙双方不得擅自变更、中止或终止。</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2、乙方不得擅自转让（无进口资格的投标人委托进口货物除外）其应履行的合同义务。</w:t>
      </w:r>
    </w:p>
    <w:p>
      <w:pPr>
        <w:spacing w:after="0" w:line="500" w:lineRule="exact"/>
        <w:rPr>
          <w:rFonts w:hint="eastAsia" w:ascii="仿宋" w:hAnsi="仿宋" w:eastAsia="仿宋" w:cs="仿宋"/>
          <w:b/>
          <w:color w:val="auto"/>
          <w:sz w:val="24"/>
          <w:highlight w:val="none"/>
        </w:rPr>
      </w:pPr>
      <w:bookmarkStart w:id="240" w:name="_Toc137116175"/>
      <w:bookmarkEnd w:id="240"/>
      <w:bookmarkStart w:id="241" w:name="_Toc357678756"/>
      <w:bookmarkEnd w:id="241"/>
      <w:bookmarkStart w:id="242" w:name="_Toc309124174"/>
      <w:bookmarkEnd w:id="242"/>
      <w:bookmarkStart w:id="243" w:name="_Toc453683076"/>
      <w:bookmarkEnd w:id="243"/>
      <w:bookmarkStart w:id="244" w:name="_Toc350422358"/>
      <w:bookmarkEnd w:id="244"/>
      <w:bookmarkStart w:id="245" w:name="_Toc350423943"/>
      <w:bookmarkEnd w:id="245"/>
      <w:r>
        <w:rPr>
          <w:rFonts w:hint="eastAsia" w:ascii="仿宋" w:hAnsi="仿宋" w:eastAsia="仿宋" w:cs="仿宋"/>
          <w:b/>
          <w:color w:val="auto"/>
          <w:sz w:val="24"/>
          <w:highlight w:val="none"/>
        </w:rPr>
        <w:t>十三、法律诉讼</w:t>
      </w:r>
    </w:p>
    <w:p>
      <w:pPr>
        <w:spacing w:after="0"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签约双方在履约中发生争执和分歧，双方应通过友好协商解决，若经协商不能达成协议时，则由合同签订所在地人民法院提起诉讼。受理期间，双方应继续执行合同其余部分。</w:t>
      </w:r>
    </w:p>
    <w:p>
      <w:pPr>
        <w:tabs>
          <w:tab w:val="left" w:pos="6930"/>
        </w:tabs>
        <w:spacing w:after="0" w:line="5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十四、本合同其他未尽事宜，按照《中华人民共和国民法典》有关规定处理。</w:t>
      </w:r>
    </w:p>
    <w:p>
      <w:pPr>
        <w:tabs>
          <w:tab w:val="left" w:pos="6930"/>
        </w:tabs>
        <w:spacing w:after="0" w:line="5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十五、本合同一式</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份，甲方</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份，乙方执</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份。</w:t>
      </w:r>
    </w:p>
    <w:p>
      <w:pPr>
        <w:tabs>
          <w:tab w:val="left" w:pos="6930"/>
        </w:tabs>
        <w:spacing w:after="0" w:line="5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十六、本合同自签订之日起生效。</w:t>
      </w:r>
    </w:p>
    <w:p>
      <w:pPr>
        <w:tabs>
          <w:tab w:val="left" w:pos="6930"/>
        </w:tabs>
        <w:spacing w:after="0" w:line="5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十七、本合同不可分割之部分：</w:t>
      </w:r>
    </w:p>
    <w:p>
      <w:pPr>
        <w:spacing w:after="0" w:line="500" w:lineRule="exact"/>
        <w:ind w:left="612"/>
        <w:rPr>
          <w:rFonts w:hint="eastAsia" w:ascii="仿宋" w:hAnsi="仿宋" w:eastAsia="仿宋" w:cs="仿宋"/>
          <w:color w:val="auto"/>
          <w:sz w:val="24"/>
          <w:highlight w:val="none"/>
        </w:rPr>
      </w:pPr>
      <w:r>
        <w:rPr>
          <w:rFonts w:hint="eastAsia" w:ascii="仿宋" w:hAnsi="仿宋" w:eastAsia="仿宋" w:cs="仿宋"/>
          <w:color w:val="auto"/>
          <w:sz w:val="24"/>
          <w:highlight w:val="none"/>
        </w:rPr>
        <w:t>1、招标文件；</w:t>
      </w:r>
    </w:p>
    <w:p>
      <w:pPr>
        <w:spacing w:after="0" w:line="500" w:lineRule="exact"/>
        <w:ind w:left="612"/>
        <w:rPr>
          <w:rFonts w:hint="eastAsia" w:ascii="仿宋" w:hAnsi="仿宋" w:eastAsia="仿宋" w:cs="仿宋"/>
          <w:color w:val="auto"/>
          <w:sz w:val="24"/>
          <w:highlight w:val="none"/>
        </w:rPr>
      </w:pPr>
      <w:r>
        <w:rPr>
          <w:rFonts w:hint="eastAsia" w:ascii="仿宋" w:hAnsi="仿宋" w:eastAsia="仿宋" w:cs="仿宋"/>
          <w:color w:val="auto"/>
          <w:sz w:val="24"/>
          <w:highlight w:val="none"/>
        </w:rPr>
        <w:t>2、中标单位的投标文件；</w:t>
      </w:r>
    </w:p>
    <w:p>
      <w:pPr>
        <w:spacing w:after="0" w:line="500" w:lineRule="exact"/>
        <w:ind w:left="612"/>
        <w:rPr>
          <w:rFonts w:hint="eastAsia" w:ascii="仿宋" w:hAnsi="仿宋" w:eastAsia="仿宋" w:cs="仿宋"/>
          <w:color w:val="auto"/>
          <w:sz w:val="24"/>
          <w:highlight w:val="none"/>
        </w:rPr>
      </w:pPr>
      <w:r>
        <w:rPr>
          <w:rFonts w:hint="eastAsia" w:ascii="仿宋" w:hAnsi="仿宋" w:eastAsia="仿宋" w:cs="仿宋"/>
          <w:color w:val="auto"/>
          <w:sz w:val="24"/>
          <w:highlight w:val="none"/>
        </w:rPr>
        <w:t>3、中标通知书；</w:t>
      </w:r>
    </w:p>
    <w:p>
      <w:pPr>
        <w:spacing w:after="0" w:line="500" w:lineRule="exact"/>
        <w:ind w:left="612"/>
        <w:rPr>
          <w:rFonts w:hint="eastAsia" w:ascii="仿宋" w:hAnsi="仿宋" w:eastAsia="仿宋" w:cs="仿宋"/>
          <w:color w:val="auto"/>
          <w:sz w:val="24"/>
          <w:highlight w:val="none"/>
        </w:rPr>
      </w:pPr>
      <w:r>
        <w:rPr>
          <w:rFonts w:hint="eastAsia" w:ascii="仿宋" w:hAnsi="仿宋" w:eastAsia="仿宋" w:cs="仿宋"/>
          <w:color w:val="auto"/>
          <w:sz w:val="24"/>
          <w:highlight w:val="none"/>
        </w:rPr>
        <w:t>4、合同书附件。</w:t>
      </w:r>
    </w:p>
    <w:p>
      <w:pPr>
        <w:adjustRightInd w:val="0"/>
        <w:snapToGrid w:val="0"/>
        <w:spacing w:after="0" w:line="360" w:lineRule="auto"/>
        <w:ind w:left="3028" w:leftChars="149" w:hanging="2730" w:hangingChars="1300"/>
        <w:jc w:val="left"/>
        <w:rPr>
          <w:rFonts w:hint="eastAsia" w:ascii="仿宋" w:hAnsi="仿宋" w:eastAsia="仿宋" w:cs="仿宋"/>
          <w:color w:val="auto"/>
          <w:sz w:val="21"/>
          <w:szCs w:val="21"/>
          <w:highlight w:val="none"/>
        </w:rPr>
      </w:pPr>
    </w:p>
    <w:p>
      <w:pPr>
        <w:pageBreakBefore w:val="0"/>
        <w:kinsoku/>
        <w:overflowPunct/>
        <w:topLinePunct w:val="0"/>
        <w:bidi w:val="0"/>
        <w:spacing w:line="360" w:lineRule="auto"/>
        <w:jc w:val="center"/>
        <w:textAlignment w:val="auto"/>
        <w:rPr>
          <w:rFonts w:hint="eastAsia" w:ascii="仿宋" w:hAnsi="仿宋" w:eastAsia="仿宋" w:cs="仿宋"/>
          <w:color w:val="auto"/>
          <w:highlight w:val="none"/>
        </w:rPr>
      </w:pPr>
    </w:p>
    <w:p>
      <w:pPr>
        <w:pageBreakBefore w:val="0"/>
        <w:kinsoku/>
        <w:overflowPunct/>
        <w:topLinePunct w:val="0"/>
        <w:bidi w:val="0"/>
        <w:spacing w:line="360" w:lineRule="auto"/>
        <w:textAlignment w:val="auto"/>
        <w:rPr>
          <w:rFonts w:hint="eastAsia" w:ascii="仿宋" w:hAnsi="仿宋" w:eastAsia="仿宋" w:cs="仿宋"/>
          <w:color w:val="auto"/>
          <w:highlight w:val="none"/>
        </w:rPr>
      </w:pPr>
      <w:r>
        <w:rPr>
          <w:rFonts w:hint="eastAsia" w:ascii="仿宋" w:hAnsi="仿宋" w:eastAsia="仿宋" w:cs="仿宋"/>
          <w:color w:val="auto"/>
          <w:highlight w:val="none"/>
        </w:rPr>
        <w:br w:type="page"/>
      </w:r>
    </w:p>
    <w:bookmarkEnd w:id="192"/>
    <w:bookmarkEnd w:id="193"/>
    <w:bookmarkEnd w:id="194"/>
    <w:bookmarkEnd w:id="195"/>
    <w:p>
      <w:pPr>
        <w:pStyle w:val="3"/>
        <w:pageBreakBefore w:val="0"/>
        <w:kinsoku/>
        <w:overflowPunct/>
        <w:topLinePunct w:val="0"/>
        <w:bidi w:val="0"/>
        <w:spacing w:before="360" w:beforeLines="150" w:after="0" w:line="360" w:lineRule="auto"/>
        <w:jc w:val="center"/>
        <w:textAlignment w:val="auto"/>
        <w:rPr>
          <w:rFonts w:hint="eastAsia" w:ascii="仿宋" w:hAnsi="仿宋" w:eastAsia="仿宋" w:cs="仿宋"/>
          <w:color w:val="auto"/>
          <w:highlight w:val="none"/>
        </w:rPr>
      </w:pPr>
      <w:bookmarkStart w:id="246" w:name="_Toc25410"/>
      <w:bookmarkStart w:id="247" w:name="_Toc429155369"/>
      <w:bookmarkStart w:id="248" w:name="_Toc229583219"/>
      <w:bookmarkStart w:id="249" w:name="_Toc31001"/>
      <w:r>
        <w:rPr>
          <w:rFonts w:hint="eastAsia" w:ascii="仿宋" w:hAnsi="仿宋" w:eastAsia="仿宋" w:cs="仿宋"/>
          <w:color w:val="auto"/>
          <w:highlight w:val="none"/>
        </w:rPr>
        <w:t xml:space="preserve">第五章  </w:t>
      </w:r>
      <w:bookmarkEnd w:id="246"/>
      <w:bookmarkEnd w:id="247"/>
      <w:bookmarkEnd w:id="248"/>
      <w:r>
        <w:rPr>
          <w:rFonts w:hint="eastAsia" w:ascii="仿宋" w:hAnsi="仿宋" w:eastAsia="仿宋" w:cs="仿宋"/>
          <w:color w:val="auto"/>
          <w:highlight w:val="none"/>
        </w:rPr>
        <w:t>招标人要求</w:t>
      </w:r>
      <w:bookmarkEnd w:id="249"/>
    </w:p>
    <w:p>
      <w:pPr>
        <w:spacing w:after="0" w:line="5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eastAsia="zh-CN"/>
        </w:rPr>
        <w:t>一</w:t>
      </w:r>
      <w:r>
        <w:rPr>
          <w:rFonts w:hint="eastAsia" w:ascii="仿宋" w:hAnsi="仿宋" w:eastAsia="仿宋" w:cs="仿宋"/>
          <w:b/>
          <w:color w:val="auto"/>
          <w:sz w:val="24"/>
          <w:highlight w:val="none"/>
        </w:rPr>
        <w:t>、需执行的国家相关标准、行业标准、地方标准或者其他标准、规范</w:t>
      </w:r>
    </w:p>
    <w:p>
      <w:pPr>
        <w:spacing w:after="0" w:line="500" w:lineRule="exact"/>
        <w:ind w:firstLine="480" w:firstLineChars="200"/>
        <w:rPr>
          <w:rFonts w:hint="eastAsia" w:ascii="仿宋" w:hAnsi="仿宋" w:eastAsia="仿宋" w:cs="仿宋"/>
          <w:color w:val="auto"/>
          <w:highlight w:val="none"/>
        </w:rPr>
      </w:pPr>
      <w:r>
        <w:rPr>
          <w:rFonts w:hint="eastAsia" w:ascii="仿宋" w:hAnsi="仿宋" w:eastAsia="仿宋" w:cs="仿宋"/>
          <w:bCs/>
          <w:color w:val="auto"/>
          <w:sz w:val="24"/>
          <w:highlight w:val="none"/>
        </w:rPr>
        <w:t>符合国家、地方现行相关标准和规范，满足采购人服务要求。</w:t>
      </w:r>
    </w:p>
    <w:p>
      <w:pPr>
        <w:spacing w:after="0" w:line="5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eastAsia="zh-CN"/>
        </w:rPr>
        <w:t>二</w:t>
      </w:r>
      <w:r>
        <w:rPr>
          <w:rFonts w:hint="eastAsia" w:ascii="仿宋" w:hAnsi="仿宋" w:eastAsia="仿宋" w:cs="仿宋"/>
          <w:b/>
          <w:color w:val="auto"/>
          <w:sz w:val="24"/>
          <w:highlight w:val="none"/>
        </w:rPr>
        <w:t>、采购内容、交货期、交货地点</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1.采购需求</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1.1采购内容：计划采购生物有机肥（有机质含量≥5</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rPr>
        <w:t>%、氮磷钾总养分含量≥10%、有效活菌数≥0.2亿/克、水分含量≤30%、颗粒状袋装40kg/袋）</w:t>
      </w:r>
      <w:r>
        <w:rPr>
          <w:rFonts w:hint="eastAsia" w:ascii="仿宋" w:hAnsi="仿宋" w:eastAsia="仿宋" w:cs="仿宋"/>
          <w:color w:val="auto"/>
          <w:sz w:val="24"/>
          <w:highlight w:val="none"/>
          <w:lang w:val="en-US" w:eastAsia="zh-CN"/>
        </w:rPr>
        <w:t>1530</w:t>
      </w:r>
      <w:r>
        <w:rPr>
          <w:rFonts w:hint="eastAsia" w:ascii="仿宋" w:hAnsi="仿宋" w:eastAsia="仿宋" w:cs="仿宋"/>
          <w:color w:val="auto"/>
          <w:sz w:val="24"/>
          <w:highlight w:val="none"/>
        </w:rPr>
        <w:t>吨。</w:t>
      </w:r>
    </w:p>
    <w:p>
      <w:pPr>
        <w:spacing w:after="0"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1.2技术参数</w:t>
      </w:r>
    </w:p>
    <w:tbl>
      <w:tblPr>
        <w:tblStyle w:val="56"/>
        <w:tblW w:w="10023" w:type="dxa"/>
        <w:tblInd w:w="-2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58"/>
        <w:gridCol w:w="2215"/>
        <w:gridCol w:w="3774"/>
        <w:gridCol w:w="29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63" w:hRule="atLeast"/>
        </w:trPr>
        <w:tc>
          <w:tcPr>
            <w:tcW w:w="105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序号</w:t>
            </w:r>
          </w:p>
        </w:tc>
        <w:tc>
          <w:tcPr>
            <w:tcW w:w="221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项目实施地点</w:t>
            </w:r>
          </w:p>
        </w:tc>
        <w:tc>
          <w:tcPr>
            <w:tcW w:w="377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有机肥参数及规格</w:t>
            </w:r>
          </w:p>
        </w:tc>
        <w:tc>
          <w:tcPr>
            <w:tcW w:w="297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最高限价（单价）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92" w:hRule="atLeast"/>
        </w:trPr>
        <w:tc>
          <w:tcPr>
            <w:tcW w:w="105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1</w:t>
            </w:r>
          </w:p>
        </w:tc>
        <w:tc>
          <w:tcPr>
            <w:tcW w:w="221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以采购人实际要求交货地点为准。</w:t>
            </w:r>
          </w:p>
        </w:tc>
        <w:tc>
          <w:tcPr>
            <w:tcW w:w="3774" w:type="dxa"/>
            <w:tcBorders>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有机质含量≧50%</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氮磷钾总养分含量≧10%</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有效活菌数≧0.2亿/克</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水分含量≦30%</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剂型：颗粒</w:t>
            </w:r>
          </w:p>
        </w:tc>
        <w:tc>
          <w:tcPr>
            <w:tcW w:w="297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360" w:lineRule="auto"/>
              <w:ind w:left="0" w:right="0"/>
              <w:jc w:val="center"/>
              <w:textAlignment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980.00元/吨</w:t>
            </w:r>
          </w:p>
        </w:tc>
      </w:tr>
    </w:tbl>
    <w:p>
      <w:pPr>
        <w:spacing w:after="0" w:line="500" w:lineRule="exact"/>
        <w:rPr>
          <w:rFonts w:hint="eastAsia" w:ascii="仿宋" w:hAnsi="仿宋" w:eastAsia="仿宋" w:cs="仿宋"/>
          <w:bCs/>
          <w:color w:val="auto"/>
          <w:sz w:val="24"/>
          <w:highlight w:val="none"/>
        </w:rPr>
      </w:pPr>
    </w:p>
    <w:p>
      <w:pPr>
        <w:spacing w:after="0" w:line="500" w:lineRule="exact"/>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1.3其他要求：产品须是双层包装，内包装为塑料袋、外包装为编织袋，外包装袋上标明商标、农业使用登记证号码、标准代号、养分总含量、生产企业的名称和地址，内包装袋内放有产品合格证。</w:t>
      </w:r>
    </w:p>
    <w:p>
      <w:pPr>
        <w:adjustRightInd w:val="0"/>
        <w:snapToGrid w:val="0"/>
        <w:spacing w:after="0" w:line="50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2.交货期：具体以采购人下达的书面供货通知为准，中标人应当在收到供货通知后</w:t>
      </w:r>
      <w:r>
        <w:rPr>
          <w:rFonts w:hint="eastAsia" w:ascii="仿宋" w:hAnsi="仿宋" w:eastAsia="仿宋" w:cs="仿宋"/>
          <w:color w:val="auto"/>
          <w:kern w:val="0"/>
          <w:sz w:val="24"/>
          <w:highlight w:val="none"/>
          <w:lang w:val="en-US" w:eastAsia="zh-CN"/>
        </w:rPr>
        <w:t>20</w:t>
      </w:r>
      <w:r>
        <w:rPr>
          <w:rFonts w:hint="eastAsia" w:ascii="仿宋" w:hAnsi="仿宋" w:eastAsia="仿宋" w:cs="仿宋"/>
          <w:color w:val="auto"/>
          <w:kern w:val="0"/>
          <w:sz w:val="24"/>
          <w:highlight w:val="none"/>
        </w:rPr>
        <w:t>日历天内交货。</w:t>
      </w:r>
    </w:p>
    <w:p>
      <w:pPr>
        <w:spacing w:after="0" w:line="500" w:lineRule="exact"/>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3.交货地点：</w:t>
      </w:r>
      <w:r>
        <w:rPr>
          <w:rFonts w:hint="eastAsia" w:ascii="仿宋" w:hAnsi="仿宋" w:eastAsia="仿宋" w:cs="仿宋"/>
          <w:bCs/>
          <w:color w:val="auto"/>
          <w:sz w:val="24"/>
          <w:highlight w:val="none"/>
          <w:lang w:eastAsia="zh-CN"/>
        </w:rPr>
        <w:t>招标</w:t>
      </w:r>
      <w:r>
        <w:rPr>
          <w:rFonts w:hint="eastAsia" w:ascii="仿宋" w:hAnsi="仿宋" w:eastAsia="仿宋" w:cs="仿宋"/>
          <w:bCs/>
          <w:color w:val="auto"/>
          <w:sz w:val="24"/>
          <w:highlight w:val="none"/>
        </w:rPr>
        <w:t xml:space="preserve">人指定地点。  </w:t>
      </w:r>
    </w:p>
    <w:p>
      <w:pPr>
        <w:spacing w:after="0" w:line="500" w:lineRule="exact"/>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4.质量要求：</w:t>
      </w:r>
      <w:r>
        <w:rPr>
          <w:rFonts w:hint="eastAsia" w:ascii="仿宋" w:hAnsi="仿宋" w:eastAsia="仿宋" w:cs="仿宋"/>
          <w:bCs/>
          <w:color w:val="auto"/>
          <w:sz w:val="24"/>
          <w:highlight w:val="none"/>
          <w:lang w:val="en-US" w:eastAsia="zh-CN"/>
        </w:rPr>
        <w:t>符合NY884-2012标准及其他国家相关标准、规范，一次性验收合格，有机质含量≥50%、氮磷钾总养分含量≥10%、有效活菌数≥0.2亿/克、水分含量≤30%、颗粒状袋装40kg/袋</w:t>
      </w:r>
      <w:r>
        <w:rPr>
          <w:rFonts w:hint="eastAsia" w:ascii="仿宋" w:hAnsi="仿宋" w:eastAsia="仿宋" w:cs="仿宋"/>
          <w:bCs/>
          <w:color w:val="auto"/>
          <w:sz w:val="24"/>
          <w:highlight w:val="none"/>
        </w:rPr>
        <w:t>。</w:t>
      </w:r>
    </w:p>
    <w:p>
      <w:pPr>
        <w:spacing w:after="0" w:line="500" w:lineRule="exact"/>
        <w:ind w:firstLine="480" w:firstLineChars="200"/>
        <w:rPr>
          <w:rFonts w:hint="eastAsia" w:ascii="仿宋" w:hAnsi="仿宋" w:eastAsia="仿宋" w:cs="仿宋"/>
          <w:color w:val="auto"/>
          <w:highlight w:val="none"/>
        </w:rPr>
      </w:pPr>
      <w:r>
        <w:rPr>
          <w:rFonts w:hint="eastAsia" w:ascii="仿宋" w:hAnsi="仿宋" w:eastAsia="仿宋" w:cs="仿宋"/>
          <w:bCs/>
          <w:color w:val="auto"/>
          <w:sz w:val="24"/>
          <w:highlight w:val="none"/>
        </w:rPr>
        <w:t>5.质保期：6个月。</w:t>
      </w:r>
    </w:p>
    <w:p>
      <w:pPr>
        <w:spacing w:after="0" w:line="5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四、采购标的的验收标准  </w:t>
      </w:r>
    </w:p>
    <w:p>
      <w:pPr>
        <w:spacing w:after="0" w:line="500" w:lineRule="exact"/>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1.符合《NY 884-2012 生物有机肥》要求。</w:t>
      </w:r>
    </w:p>
    <w:p>
      <w:pPr>
        <w:spacing w:after="0" w:line="500" w:lineRule="exact"/>
        <w:ind w:firstLine="480" w:firstLineChars="200"/>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2.严格按照采购需求和中标人投标响应标准进行验收，货到后采购人抽样，中标人出资，送经省级以上国家认证的第三方检测机构检测，检测执行国家有关标准，检测合格后采购人组织验收。如果出现产品不符合合同规定的质量要求，供方必须及时更换或折价处理，并承担由此产生的所有损失。采购人可视情况给予供方相应处罚，直至中止供应合同。如抽检中发现重金属超标（不论检测结果是否合格，供方均应承担检测费用），采购人中止供方的供应资格，供方应负责召回未使用的肥料，同时，当批次肥料款退还给采购人，造成农田环境污染的，保留进一步追责权利</w:t>
      </w:r>
      <w:r>
        <w:rPr>
          <w:rFonts w:hint="eastAsia" w:ascii="仿宋" w:hAnsi="仿宋" w:eastAsia="仿宋" w:cs="仿宋"/>
          <w:bCs/>
          <w:color w:val="auto"/>
          <w:sz w:val="24"/>
          <w:highlight w:val="none"/>
          <w:lang w:eastAsia="zh-CN"/>
        </w:rPr>
        <w:t>。</w:t>
      </w:r>
    </w:p>
    <w:p>
      <w:pPr>
        <w:keepNext w:val="0"/>
        <w:keepLines w:val="0"/>
        <w:pageBreakBefore w:val="0"/>
        <w:widowControl/>
        <w:tabs>
          <w:tab w:val="left" w:pos="3996"/>
        </w:tabs>
        <w:kinsoku/>
        <w:wordWrap/>
        <w:overflowPunct/>
        <w:topLinePunct w:val="0"/>
        <w:autoSpaceDE/>
        <w:autoSpaceDN/>
        <w:bidi w:val="0"/>
        <w:adjustRightInd/>
        <w:snapToGrid/>
        <w:spacing w:line="360" w:lineRule="auto"/>
        <w:ind w:firstLine="464" w:firstLineChars="200"/>
        <w:textAlignment w:val="auto"/>
        <w:outlineLvl w:val="9"/>
        <w:rPr>
          <w:rFonts w:hint="eastAsia" w:ascii="仿宋" w:hAnsi="仿宋" w:eastAsia="仿宋" w:cs="仿宋"/>
          <w:color w:val="auto"/>
          <w:spacing w:val="-4"/>
          <w:sz w:val="24"/>
          <w:szCs w:val="24"/>
          <w:highlight w:val="none"/>
        </w:rPr>
      </w:pPr>
    </w:p>
    <w:p>
      <w:pPr>
        <w:keepNext w:val="0"/>
        <w:keepLines w:val="0"/>
        <w:pageBreakBefore w:val="0"/>
        <w:widowControl/>
        <w:tabs>
          <w:tab w:val="left" w:pos="3996"/>
        </w:tabs>
        <w:kinsoku/>
        <w:wordWrap/>
        <w:overflowPunct/>
        <w:topLinePunct w:val="0"/>
        <w:autoSpaceDE/>
        <w:autoSpaceDN/>
        <w:bidi w:val="0"/>
        <w:adjustRightInd/>
        <w:snapToGrid/>
        <w:spacing w:line="360" w:lineRule="auto"/>
        <w:ind w:firstLine="464" w:firstLineChars="200"/>
        <w:textAlignment w:val="auto"/>
        <w:outlineLvl w:val="9"/>
        <w:rPr>
          <w:rFonts w:hint="eastAsia" w:ascii="仿宋" w:hAnsi="仿宋" w:eastAsia="仿宋" w:cs="仿宋"/>
          <w:color w:val="auto"/>
          <w:spacing w:val="-4"/>
          <w:sz w:val="24"/>
          <w:szCs w:val="24"/>
          <w:highlight w:val="none"/>
          <w:lang w:val="en-US" w:eastAsia="zh-CN"/>
        </w:rPr>
      </w:pPr>
    </w:p>
    <w:p>
      <w:pPr>
        <w:pageBreakBefore w:val="0"/>
        <w:tabs>
          <w:tab w:val="left" w:pos="3996"/>
        </w:tabs>
        <w:kinsoku/>
        <w:overflowPunct/>
        <w:topLinePunct w:val="0"/>
        <w:bidi w:val="0"/>
        <w:spacing w:line="360" w:lineRule="auto"/>
        <w:ind w:firstLine="480" w:firstLineChars="200"/>
        <w:textAlignment w:val="auto"/>
        <w:outlineLvl w:val="1"/>
        <w:rPr>
          <w:rFonts w:hint="eastAsia" w:ascii="仿宋" w:hAnsi="仿宋" w:eastAsia="仿宋" w:cs="仿宋"/>
          <w:b w:val="0"/>
          <w:bCs/>
          <w:color w:val="auto"/>
          <w:kern w:val="1"/>
          <w:sz w:val="24"/>
          <w:szCs w:val="24"/>
          <w:highlight w:val="none"/>
          <w:lang w:val="en-US" w:eastAsia="zh-CN"/>
        </w:rPr>
        <w:sectPr>
          <w:headerReference r:id="rId15" w:type="first"/>
          <w:footerReference r:id="rId17" w:type="first"/>
          <w:headerReference r:id="rId14" w:type="default"/>
          <w:footerReference r:id="rId16" w:type="default"/>
          <w:pgSz w:w="11906" w:h="16838"/>
          <w:pgMar w:top="1134" w:right="1417" w:bottom="1134" w:left="1418" w:header="1020" w:footer="992" w:gutter="0"/>
          <w:pgBorders>
            <w:top w:val="none" w:color="auto" w:sz="0" w:space="0"/>
            <w:left w:val="none" w:color="auto" w:sz="0" w:space="0"/>
            <w:bottom w:val="none" w:color="auto" w:sz="0" w:space="0"/>
            <w:right w:val="none" w:color="auto" w:sz="0" w:space="0"/>
          </w:pgBorders>
          <w:pgNumType w:fmt="decimal"/>
          <w:cols w:space="720" w:num="1"/>
          <w:titlePg/>
          <w:docGrid w:linePitch="312" w:charSpace="0"/>
        </w:sectPr>
      </w:pPr>
      <w:bookmarkStart w:id="250" w:name="_Toc429155370"/>
      <w:bookmarkStart w:id="251" w:name="_Toc18461"/>
      <w:bookmarkStart w:id="252" w:name="_Toc229583225"/>
      <w:bookmarkStart w:id="253" w:name="_Toc224363907"/>
    </w:p>
    <w:p>
      <w:pPr>
        <w:pageBreakBefore w:val="0"/>
        <w:kinsoku/>
        <w:overflowPunct/>
        <w:topLinePunct w:val="0"/>
        <w:bidi w:val="0"/>
        <w:spacing w:line="360" w:lineRule="auto"/>
        <w:textAlignment w:val="auto"/>
        <w:rPr>
          <w:rFonts w:hint="eastAsia" w:ascii="仿宋" w:hAnsi="仿宋" w:eastAsia="仿宋" w:cs="仿宋"/>
          <w:b/>
          <w:bCs/>
          <w:color w:val="auto"/>
          <w:sz w:val="21"/>
          <w:szCs w:val="21"/>
          <w:highlight w:val="none"/>
        </w:rPr>
      </w:pPr>
    </w:p>
    <w:p>
      <w:pPr>
        <w:pStyle w:val="3"/>
        <w:pageBreakBefore w:val="0"/>
        <w:kinsoku/>
        <w:overflowPunct/>
        <w:topLinePunct w:val="0"/>
        <w:bidi w:val="0"/>
        <w:spacing w:before="0" w:after="0" w:line="360" w:lineRule="auto"/>
        <w:jc w:val="center"/>
        <w:textAlignment w:val="auto"/>
        <w:rPr>
          <w:rFonts w:hint="eastAsia" w:ascii="仿宋" w:hAnsi="仿宋" w:eastAsia="仿宋" w:cs="仿宋"/>
          <w:color w:val="auto"/>
          <w:szCs w:val="30"/>
          <w:highlight w:val="none"/>
        </w:rPr>
      </w:pPr>
      <w:bookmarkStart w:id="254" w:name="_Toc18155"/>
      <w:r>
        <w:rPr>
          <w:rFonts w:hint="eastAsia" w:ascii="仿宋" w:hAnsi="仿宋" w:eastAsia="仿宋" w:cs="仿宋"/>
          <w:color w:val="auto"/>
          <w:highlight w:val="none"/>
        </w:rPr>
        <w:t>第六章  投标文件格式</w:t>
      </w:r>
      <w:bookmarkEnd w:id="250"/>
      <w:bookmarkEnd w:id="251"/>
      <w:bookmarkEnd w:id="252"/>
      <w:bookmarkEnd w:id="253"/>
      <w:bookmarkEnd w:id="254"/>
    </w:p>
    <w:p>
      <w:pPr>
        <w:pageBreakBefore w:val="0"/>
        <w:kinsoku/>
        <w:overflowPunct/>
        <w:topLinePunct w:val="0"/>
        <w:bidi w:val="0"/>
        <w:spacing w:line="360" w:lineRule="auto"/>
        <w:ind w:left="75" w:leftChars="-90" w:hanging="255" w:hangingChars="64"/>
        <w:jc w:val="both"/>
        <w:textAlignment w:val="auto"/>
        <w:rPr>
          <w:rFonts w:hint="eastAsia" w:ascii="仿宋" w:hAnsi="仿宋" w:eastAsia="仿宋" w:cs="仿宋"/>
          <w:b/>
          <w:color w:val="auto"/>
          <w:w w:val="90"/>
          <w:sz w:val="44"/>
          <w:szCs w:val="44"/>
          <w:highlight w:val="none"/>
        </w:rPr>
      </w:pPr>
      <w:bookmarkStart w:id="255" w:name="_Toc194989307"/>
      <w:bookmarkStart w:id="256" w:name="_Toc215404493"/>
      <w:bookmarkStart w:id="257" w:name="_Toc219959162"/>
    </w:p>
    <w:p>
      <w:pPr>
        <w:pageBreakBefore w:val="0"/>
        <w:kinsoku/>
        <w:overflowPunct/>
        <w:topLinePunct w:val="0"/>
        <w:bidi w:val="0"/>
        <w:spacing w:before="0" w:after="0" w:line="360" w:lineRule="auto"/>
        <w:jc w:val="center"/>
        <w:textAlignment w:val="auto"/>
        <w:outlineLvl w:val="9"/>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lang w:eastAsia="zh-CN"/>
        </w:rPr>
        <w:t>牟定县2024年高标准农田建设（专债项目）耕地质量提升采购商品有机肥项目</w:t>
      </w: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rPr>
      </w:pP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rPr>
      </w:pP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rPr>
      </w:pP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p>
    <w:p>
      <w:pPr>
        <w:pStyle w:val="58"/>
        <w:pageBreakBefore w:val="0"/>
        <w:kinsoku/>
        <w:overflowPunct/>
        <w:topLinePunct w:val="0"/>
        <w:bidi w:val="0"/>
        <w:spacing w:line="360" w:lineRule="auto"/>
        <w:ind w:firstLine="480"/>
        <w:textAlignment w:val="auto"/>
        <w:rPr>
          <w:rFonts w:hint="eastAsia" w:ascii="仿宋" w:hAnsi="仿宋" w:eastAsia="仿宋" w:cs="仿宋"/>
          <w:color w:val="auto"/>
          <w:sz w:val="24"/>
          <w:szCs w:val="24"/>
          <w:highlight w:val="none"/>
        </w:rPr>
      </w:pPr>
    </w:p>
    <w:p>
      <w:pPr>
        <w:pStyle w:val="58"/>
        <w:pageBreakBefore w:val="0"/>
        <w:kinsoku/>
        <w:overflowPunct/>
        <w:topLinePunct w:val="0"/>
        <w:bidi w:val="0"/>
        <w:spacing w:line="360" w:lineRule="auto"/>
        <w:ind w:firstLine="480"/>
        <w:textAlignment w:val="auto"/>
        <w:rPr>
          <w:rFonts w:hint="eastAsia" w:ascii="仿宋" w:hAnsi="仿宋" w:eastAsia="仿宋" w:cs="仿宋"/>
          <w:color w:val="auto"/>
          <w:sz w:val="24"/>
          <w:szCs w:val="24"/>
          <w:highlight w:val="none"/>
        </w:rPr>
      </w:pPr>
    </w:p>
    <w:p>
      <w:pPr>
        <w:pStyle w:val="58"/>
        <w:pageBreakBefore w:val="0"/>
        <w:kinsoku/>
        <w:overflowPunct/>
        <w:topLinePunct w:val="0"/>
        <w:bidi w:val="0"/>
        <w:spacing w:line="360" w:lineRule="auto"/>
        <w:ind w:firstLine="480"/>
        <w:textAlignment w:val="auto"/>
        <w:rPr>
          <w:rFonts w:hint="eastAsia" w:ascii="仿宋" w:hAnsi="仿宋" w:eastAsia="仿宋" w:cs="仿宋"/>
          <w:color w:val="auto"/>
          <w:sz w:val="24"/>
          <w:szCs w:val="24"/>
          <w:highlight w:val="none"/>
        </w:rPr>
      </w:pPr>
    </w:p>
    <w:p>
      <w:pPr>
        <w:pageBreakBefore w:val="0"/>
        <w:kinsoku/>
        <w:overflowPunct/>
        <w:topLinePunct w:val="0"/>
        <w:bidi w:val="0"/>
        <w:spacing w:line="360" w:lineRule="auto"/>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84"/>
          <w:szCs w:val="84"/>
          <w:highlight w:val="none"/>
        </w:rPr>
        <w:t>投 标 文 件</w:t>
      </w: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32"/>
          <w:szCs w:val="32"/>
          <w:highlight w:val="none"/>
        </w:rPr>
        <w:t>项目编号：</w:t>
      </w: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rPr>
      </w:pP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rPr>
      </w:pP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rPr>
      </w:pP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rPr>
      </w:pPr>
    </w:p>
    <w:p>
      <w:pPr>
        <w:pageBreakBefore w:val="0"/>
        <w:kinsoku/>
        <w:overflowPunct/>
        <w:topLinePunct w:val="0"/>
        <w:bidi w:val="0"/>
        <w:spacing w:line="360" w:lineRule="auto"/>
        <w:jc w:val="center"/>
        <w:textAlignment w:val="auto"/>
        <w:rPr>
          <w:rFonts w:hint="eastAsia" w:ascii="仿宋" w:hAnsi="仿宋" w:eastAsia="仿宋" w:cs="仿宋"/>
          <w:color w:val="auto"/>
          <w:sz w:val="24"/>
          <w:szCs w:val="24"/>
          <w:highlight w:val="none"/>
        </w:rPr>
      </w:pPr>
    </w:p>
    <w:p>
      <w:pPr>
        <w:pageBreakBefore w:val="0"/>
        <w:kinsoku/>
        <w:overflowPunct/>
        <w:topLinePunct w:val="0"/>
        <w:bidi w:val="0"/>
        <w:spacing w:line="360" w:lineRule="auto"/>
        <w:textAlignment w:val="auto"/>
        <w:rPr>
          <w:rFonts w:hint="eastAsia" w:ascii="仿宋" w:hAnsi="仿宋" w:eastAsia="仿宋" w:cs="仿宋"/>
          <w:color w:val="auto"/>
          <w:sz w:val="22"/>
          <w:szCs w:val="22"/>
          <w:highlight w:val="none"/>
        </w:rPr>
      </w:pPr>
    </w:p>
    <w:p>
      <w:pPr>
        <w:pageBreakBefore w:val="0"/>
        <w:kinsoku/>
        <w:overflowPunct/>
        <w:topLinePunct w:val="0"/>
        <w:bidi w:val="0"/>
        <w:snapToGrid w:val="0"/>
        <w:spacing w:line="360" w:lineRule="auto"/>
        <w:textAlignment w:val="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rPr>
        <w:t>投标人名称：</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（电子签章）</w:t>
      </w:r>
    </w:p>
    <w:p>
      <w:pPr>
        <w:pageBreakBefore w:val="0"/>
        <w:kinsoku/>
        <w:overflowPunct/>
        <w:topLinePunct w:val="0"/>
        <w:bidi w:val="0"/>
        <w:snapToGrid w:val="0"/>
        <w:spacing w:line="360" w:lineRule="auto"/>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法定代表人或授权委托代理人：</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（签字或盖章或电子签章）</w:t>
      </w:r>
    </w:p>
    <w:p>
      <w:pPr>
        <w:pageBreakBefore w:val="0"/>
        <w:kinsoku/>
        <w:overflowPunct/>
        <w:topLinePunct w:val="0"/>
        <w:bidi w:val="0"/>
        <w:snapToGrid w:val="0"/>
        <w:spacing w:line="360" w:lineRule="auto"/>
        <w:textAlignment w:val="auto"/>
        <w:rPr>
          <w:rFonts w:hint="eastAsia" w:ascii="仿宋" w:hAnsi="仿宋" w:eastAsia="仿宋" w:cs="仿宋"/>
          <w:b/>
          <w:color w:val="auto"/>
          <w:sz w:val="28"/>
          <w:szCs w:val="28"/>
          <w:highlight w:val="none"/>
        </w:rPr>
        <w:sectPr>
          <w:pgSz w:w="11906" w:h="16838"/>
          <w:pgMar w:top="1134" w:right="1417" w:bottom="1134" w:left="1418" w:header="1020" w:footer="992" w:gutter="0"/>
          <w:pgBorders>
            <w:top w:val="none" w:color="auto" w:sz="0" w:space="0"/>
            <w:left w:val="none" w:color="auto" w:sz="0" w:space="0"/>
            <w:bottom w:val="none" w:color="auto" w:sz="0" w:space="0"/>
            <w:right w:val="none" w:color="auto" w:sz="0" w:space="0"/>
          </w:pgBorders>
          <w:pgNumType w:fmt="decimal"/>
          <w:cols w:space="720" w:num="1"/>
          <w:titlePg/>
          <w:docGrid w:linePitch="312" w:charSpace="0"/>
        </w:sectPr>
      </w:pPr>
      <w:r>
        <w:rPr>
          <w:rFonts w:hint="eastAsia" w:ascii="仿宋" w:hAnsi="仿宋" w:eastAsia="仿宋" w:cs="仿宋"/>
          <w:b/>
          <w:color w:val="auto"/>
          <w:sz w:val="28"/>
          <w:szCs w:val="28"/>
          <w:highlight w:val="none"/>
        </w:rPr>
        <w:t>日       期 ：</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年</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月</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日</w:t>
      </w:r>
    </w:p>
    <w:bookmarkEnd w:id="255"/>
    <w:bookmarkEnd w:id="256"/>
    <w:bookmarkEnd w:id="257"/>
    <w:p>
      <w:pPr>
        <w:pStyle w:val="4"/>
        <w:pageBreakBefore w:val="0"/>
        <w:kinsoku/>
        <w:overflowPunct/>
        <w:topLinePunct w:val="0"/>
        <w:bidi w:val="0"/>
        <w:spacing w:line="360" w:lineRule="auto"/>
        <w:jc w:val="center"/>
        <w:textAlignment w:val="auto"/>
        <w:rPr>
          <w:rStyle w:val="154"/>
          <w:rFonts w:hint="eastAsia" w:ascii="仿宋" w:hAnsi="仿宋" w:eastAsia="仿宋" w:cs="仿宋"/>
          <w:b w:val="0"/>
          <w:bCs w:val="0"/>
          <w:color w:val="auto"/>
          <w:sz w:val="30"/>
          <w:szCs w:val="30"/>
          <w:highlight w:val="none"/>
        </w:rPr>
      </w:pPr>
      <w:bookmarkStart w:id="258" w:name="_Toc107816677"/>
      <w:bookmarkStart w:id="259" w:name="_Toc25905"/>
      <w:bookmarkStart w:id="260" w:name="_Toc508091924"/>
      <w:bookmarkStart w:id="261" w:name="_Toc346229148"/>
      <w:bookmarkStart w:id="262" w:name="_Toc229909167"/>
      <w:bookmarkStart w:id="263" w:name="_Toc228429132"/>
      <w:bookmarkStart w:id="264" w:name="_Toc244848819"/>
      <w:bookmarkStart w:id="265" w:name="_Toc240440696"/>
      <w:bookmarkStart w:id="266" w:name="_Toc240440823"/>
      <w:r>
        <w:rPr>
          <w:rStyle w:val="154"/>
          <w:rFonts w:hint="eastAsia" w:ascii="仿宋" w:hAnsi="仿宋" w:eastAsia="仿宋" w:cs="仿宋"/>
          <w:b w:val="0"/>
          <w:bCs w:val="0"/>
          <w:color w:val="auto"/>
          <w:sz w:val="30"/>
          <w:szCs w:val="30"/>
          <w:highlight w:val="none"/>
        </w:rPr>
        <w:t>第一部分  投标函部分格式</w:t>
      </w:r>
      <w:bookmarkEnd w:id="258"/>
      <w:bookmarkEnd w:id="259"/>
      <w:bookmarkEnd w:id="260"/>
    </w:p>
    <w:p>
      <w:pPr>
        <w:pStyle w:val="5"/>
        <w:pageBreakBefore w:val="0"/>
        <w:kinsoku/>
        <w:overflowPunct/>
        <w:topLinePunct w:val="0"/>
        <w:bidi w:val="0"/>
        <w:spacing w:line="360" w:lineRule="auto"/>
        <w:ind w:left="720" w:hanging="720"/>
        <w:jc w:val="center"/>
        <w:textAlignment w:val="auto"/>
        <w:rPr>
          <w:rFonts w:hint="eastAsia" w:ascii="仿宋" w:hAnsi="仿宋" w:eastAsia="仿宋" w:cs="仿宋"/>
          <w:b w:val="0"/>
          <w:color w:val="auto"/>
          <w:sz w:val="30"/>
          <w:szCs w:val="30"/>
          <w:highlight w:val="none"/>
        </w:rPr>
      </w:pPr>
      <w:bookmarkStart w:id="267" w:name="_Toc107816678"/>
      <w:bookmarkStart w:id="268" w:name="_Toc1010"/>
      <w:bookmarkStart w:id="269" w:name="_Toc508091925"/>
      <w:r>
        <w:rPr>
          <w:rFonts w:hint="eastAsia" w:ascii="仿宋" w:hAnsi="仿宋" w:eastAsia="仿宋" w:cs="仿宋"/>
          <w:color w:val="auto"/>
          <w:sz w:val="24"/>
          <w:szCs w:val="24"/>
          <w:highlight w:val="none"/>
        </w:rPr>
        <w:t>一、投标函</w:t>
      </w:r>
      <w:bookmarkEnd w:id="261"/>
      <w:bookmarkEnd w:id="262"/>
      <w:bookmarkEnd w:id="263"/>
      <w:bookmarkEnd w:id="264"/>
      <w:bookmarkEnd w:id="267"/>
      <w:bookmarkEnd w:id="268"/>
      <w:bookmarkEnd w:id="269"/>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（招标人名称）: </w:t>
      </w:r>
    </w:p>
    <w:p>
      <w:pPr>
        <w:pageBreakBefore w:val="0"/>
        <w:kinsoku/>
        <w:overflowPunct/>
        <w:topLinePunct w:val="0"/>
        <w:bidi w:val="0"/>
        <w:spacing w:line="360" w:lineRule="auto"/>
        <w:ind w:firstLine="403" w:firstLineChars="19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1．我方己仔细研究了</w:t>
      </w:r>
      <w:r>
        <w:rPr>
          <w:rFonts w:hint="eastAsia" w:ascii="仿宋" w:hAnsi="仿宋" w:eastAsia="仿宋" w:cs="仿宋"/>
          <w:color w:val="auto"/>
          <w:sz w:val="21"/>
          <w:szCs w:val="21"/>
          <w:highlight w:val="none"/>
          <w:u w:val="single"/>
        </w:rPr>
        <w:t xml:space="preserve">   （项目名称）  </w:t>
      </w:r>
      <w:r>
        <w:rPr>
          <w:rFonts w:hint="eastAsia" w:ascii="仿宋" w:hAnsi="仿宋" w:eastAsia="仿宋" w:cs="仿宋"/>
          <w:color w:val="auto"/>
          <w:sz w:val="21"/>
          <w:szCs w:val="21"/>
          <w:highlight w:val="none"/>
        </w:rPr>
        <w:t>招标文件的全部内容，愿意以人民币（大写）</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元（￥</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）。按合同约定承担</w:t>
      </w:r>
      <w:r>
        <w:rPr>
          <w:rFonts w:hint="eastAsia" w:ascii="仿宋" w:hAnsi="仿宋" w:eastAsia="仿宋" w:cs="仿宋"/>
          <w:color w:val="auto"/>
          <w:sz w:val="21"/>
          <w:szCs w:val="21"/>
          <w:highlight w:val="none"/>
          <w:lang w:val="en-US" w:eastAsia="zh-CN"/>
        </w:rPr>
        <w:t>供货服务</w:t>
      </w:r>
      <w:r>
        <w:rPr>
          <w:rFonts w:hint="eastAsia" w:ascii="仿宋" w:hAnsi="仿宋" w:eastAsia="仿宋" w:cs="仿宋"/>
          <w:color w:val="auto"/>
          <w:sz w:val="21"/>
          <w:szCs w:val="21"/>
          <w:highlight w:val="none"/>
        </w:rPr>
        <w:t>，严格执行所承诺的责任和义务。我方承诺此报价为我方完成此项目所需的全部费用，不再以任何理由再收取其他费用。</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2．我方承诺在投标有效期内不修改、撤销投标文件。</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3．随同本投标函提交投标保证金一份，金额为人民币（大写）</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元（￥</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4．如我方中标：</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（l）我方承诺在收到中标通知书后，在中标通知书规定的期限内与你方签订合同。</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（2）我方承诺在合同约定的期限内完成所委托的服务工作。</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5．我方在此声明，所递交的投标文件及有关资料内容完整、真实和准确。</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（其他补充说明，没有则填“无”）。</w:t>
      </w:r>
    </w:p>
    <w:p>
      <w:pPr>
        <w:pageBreakBefore w:val="0"/>
        <w:kinsoku/>
        <w:overflowPunct/>
        <w:topLinePunct w:val="0"/>
        <w:bidi w:val="0"/>
        <w:spacing w:line="360" w:lineRule="auto"/>
        <w:ind w:firstLine="609" w:firstLineChars="29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w:t>
      </w:r>
      <w:r>
        <w:rPr>
          <w:rFonts w:hint="eastAsia" w:ascii="仿宋" w:hAnsi="仿宋" w:eastAsia="仿宋" w:cs="仿宋"/>
          <w:color w:val="auto"/>
          <w:sz w:val="21"/>
          <w:szCs w:val="21"/>
          <w:highlight w:val="none"/>
          <w:u w:val="single"/>
        </w:rPr>
        <w:t xml:space="preserve">                         （电子签章）</w:t>
      </w:r>
    </w:p>
    <w:p>
      <w:pPr>
        <w:pageBreakBefore w:val="0"/>
        <w:kinsoku/>
        <w:overflowPunct/>
        <w:topLinePunct w:val="0"/>
        <w:bidi w:val="0"/>
        <w:spacing w:line="360" w:lineRule="auto"/>
        <w:ind w:firstLine="609" w:firstLineChars="29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法定代表人或其委托代理人：</w:t>
      </w:r>
      <w:r>
        <w:rPr>
          <w:rFonts w:hint="eastAsia" w:ascii="仿宋" w:hAnsi="仿宋" w:eastAsia="仿宋" w:cs="仿宋"/>
          <w:color w:val="auto"/>
          <w:sz w:val="21"/>
          <w:szCs w:val="21"/>
          <w:highlight w:val="none"/>
          <w:u w:val="single"/>
        </w:rPr>
        <w:t xml:space="preserve">             （签字或盖章或电子签章）</w:t>
      </w:r>
    </w:p>
    <w:p>
      <w:pPr>
        <w:pageBreakBefore w:val="0"/>
        <w:kinsoku/>
        <w:overflowPunct/>
        <w:topLinePunct w:val="0"/>
        <w:bidi w:val="0"/>
        <w:spacing w:line="360" w:lineRule="auto"/>
        <w:ind w:firstLine="609" w:firstLineChars="29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地址：</w:t>
      </w:r>
      <w:r>
        <w:rPr>
          <w:rFonts w:hint="eastAsia" w:ascii="仿宋" w:hAnsi="仿宋" w:eastAsia="仿宋" w:cs="仿宋"/>
          <w:color w:val="auto"/>
          <w:sz w:val="21"/>
          <w:szCs w:val="21"/>
          <w:highlight w:val="none"/>
          <w:u w:val="single"/>
        </w:rPr>
        <w:t xml:space="preserve">                                 </w:t>
      </w:r>
    </w:p>
    <w:p>
      <w:pPr>
        <w:pageBreakBefore w:val="0"/>
        <w:kinsoku/>
        <w:overflowPunct/>
        <w:topLinePunct w:val="0"/>
        <w:bidi w:val="0"/>
        <w:spacing w:line="360" w:lineRule="auto"/>
        <w:ind w:firstLine="609" w:firstLineChars="29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电话：</w:t>
      </w:r>
      <w:r>
        <w:rPr>
          <w:rFonts w:hint="eastAsia" w:ascii="仿宋" w:hAnsi="仿宋" w:eastAsia="仿宋" w:cs="仿宋"/>
          <w:color w:val="auto"/>
          <w:sz w:val="21"/>
          <w:szCs w:val="21"/>
          <w:highlight w:val="none"/>
          <w:u w:val="single"/>
        </w:rPr>
        <w:t xml:space="preserve">                                 </w:t>
      </w:r>
    </w:p>
    <w:p>
      <w:pPr>
        <w:pageBreakBefore w:val="0"/>
        <w:kinsoku/>
        <w:overflowPunct/>
        <w:topLinePunct w:val="0"/>
        <w:bidi w:val="0"/>
        <w:spacing w:line="360" w:lineRule="auto"/>
        <w:ind w:firstLine="609" w:firstLineChars="29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邮政编码：</w:t>
      </w:r>
      <w:r>
        <w:rPr>
          <w:rFonts w:hint="eastAsia" w:ascii="仿宋" w:hAnsi="仿宋" w:eastAsia="仿宋" w:cs="仿宋"/>
          <w:color w:val="auto"/>
          <w:sz w:val="21"/>
          <w:szCs w:val="21"/>
          <w:highlight w:val="none"/>
          <w:u w:val="single"/>
        </w:rPr>
        <w:t xml:space="preserve">                             </w:t>
      </w:r>
    </w:p>
    <w:p>
      <w:pPr>
        <w:pageBreakBefore w:val="0"/>
        <w:kinsoku/>
        <w:overflowPunct/>
        <w:topLinePunct w:val="0"/>
        <w:bidi w:val="0"/>
        <w:spacing w:line="360" w:lineRule="auto"/>
        <w:ind w:firstLine="609" w:firstLineChars="290"/>
        <w:textAlignment w:val="auto"/>
        <w:rPr>
          <w:rFonts w:hint="eastAsia" w:ascii="仿宋" w:hAnsi="仿宋" w:eastAsia="仿宋" w:cs="仿宋"/>
          <w:color w:val="auto"/>
          <w:sz w:val="21"/>
          <w:szCs w:val="21"/>
          <w:highlight w:val="none"/>
        </w:rPr>
        <w:sectPr>
          <w:pgSz w:w="11906" w:h="16838"/>
          <w:pgMar w:top="1134" w:right="1417" w:bottom="1134" w:left="1418" w:header="1020" w:footer="992" w:gutter="0"/>
          <w:pgBorders>
            <w:top w:val="none" w:color="auto" w:sz="0" w:space="0"/>
            <w:left w:val="none" w:color="auto" w:sz="0" w:space="0"/>
            <w:bottom w:val="none" w:color="auto" w:sz="0" w:space="0"/>
            <w:right w:val="none" w:color="auto" w:sz="0" w:space="0"/>
          </w:pgBorders>
          <w:pgNumType w:fmt="decimal"/>
          <w:cols w:space="720" w:num="1"/>
          <w:titlePg/>
          <w:docGrid w:linePitch="312" w:charSpace="0"/>
        </w:sectPr>
      </w:pP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bookmarkEnd w:id="265"/>
    <w:bookmarkEnd w:id="266"/>
    <w:p>
      <w:pPr>
        <w:pStyle w:val="5"/>
        <w:pageBreakBefore w:val="0"/>
        <w:kinsoku/>
        <w:overflowPunct/>
        <w:topLinePunct w:val="0"/>
        <w:bidi w:val="0"/>
        <w:spacing w:line="360" w:lineRule="auto"/>
        <w:jc w:val="center"/>
        <w:textAlignment w:val="auto"/>
        <w:rPr>
          <w:rStyle w:val="154"/>
          <w:rFonts w:hint="eastAsia" w:ascii="仿宋" w:hAnsi="仿宋" w:eastAsia="仿宋" w:cs="仿宋"/>
          <w:b w:val="0"/>
          <w:bCs w:val="0"/>
          <w:color w:val="auto"/>
          <w:sz w:val="28"/>
          <w:highlight w:val="none"/>
        </w:rPr>
      </w:pPr>
      <w:bookmarkStart w:id="270" w:name="_Toc124305250"/>
      <w:bookmarkStart w:id="271" w:name="_Toc346229149"/>
      <w:bookmarkStart w:id="272" w:name="_Toc23523"/>
      <w:bookmarkStart w:id="273" w:name="_Toc107816679"/>
      <w:bookmarkStart w:id="274" w:name="_Toc508091926"/>
      <w:bookmarkStart w:id="275" w:name="_Toc272515767"/>
      <w:r>
        <w:rPr>
          <w:rFonts w:hint="eastAsia" w:ascii="仿宋" w:hAnsi="仿宋" w:eastAsia="仿宋" w:cs="仿宋"/>
          <w:color w:val="auto"/>
          <w:sz w:val="24"/>
          <w:szCs w:val="24"/>
          <w:highlight w:val="none"/>
        </w:rPr>
        <w:t>二、法定代表人身份证明书</w:t>
      </w:r>
      <w:bookmarkEnd w:id="270"/>
      <w:bookmarkEnd w:id="271"/>
      <w:bookmarkEnd w:id="272"/>
      <w:bookmarkEnd w:id="273"/>
      <w:bookmarkEnd w:id="274"/>
      <w:bookmarkEnd w:id="275"/>
    </w:p>
    <w:p>
      <w:pPr>
        <w:pageBreakBefore w:val="0"/>
        <w:kinsoku/>
        <w:overflowPunct/>
        <w:topLinePunct w:val="0"/>
        <w:bidi w:val="0"/>
        <w:spacing w:line="360" w:lineRule="auto"/>
        <w:textAlignment w:val="auto"/>
        <w:rPr>
          <w:rFonts w:hint="eastAsia" w:ascii="仿宋" w:hAnsi="仿宋" w:eastAsia="仿宋" w:cs="仿宋"/>
          <w:b/>
          <w:color w:val="auto"/>
          <w:sz w:val="21"/>
          <w:szCs w:val="21"/>
          <w:highlight w:val="none"/>
        </w:rPr>
      </w:pPr>
      <w:bookmarkStart w:id="276" w:name="_Toc124305251"/>
    </w:p>
    <w:p>
      <w:pPr>
        <w:pageBreakBefore w:val="0"/>
        <w:kinsoku/>
        <w:overflowPunct/>
        <w:topLinePunct w:val="0"/>
        <w:bidi w:val="0"/>
        <w:spacing w:line="360" w:lineRule="auto"/>
        <w:ind w:firstLine="420"/>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单位名称：</w:t>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p>
    <w:p>
      <w:pPr>
        <w:pageBreakBefore w:val="0"/>
        <w:kinsoku/>
        <w:overflowPunct/>
        <w:topLinePunct w:val="0"/>
        <w:bidi w:val="0"/>
        <w:spacing w:line="360" w:lineRule="auto"/>
        <w:ind w:firstLine="42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单位性质：</w:t>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p>
    <w:p>
      <w:pPr>
        <w:pageBreakBefore w:val="0"/>
        <w:kinsoku/>
        <w:overflowPunct/>
        <w:topLinePunct w:val="0"/>
        <w:bidi w:val="0"/>
        <w:spacing w:line="360" w:lineRule="auto"/>
        <w:ind w:firstLine="42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地    址：</w:t>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p>
    <w:p>
      <w:pPr>
        <w:pageBreakBefore w:val="0"/>
        <w:kinsoku/>
        <w:overflowPunct/>
        <w:topLinePunct w:val="0"/>
        <w:bidi w:val="0"/>
        <w:spacing w:line="360" w:lineRule="auto"/>
        <w:ind w:firstLine="42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成立时间：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pPr>
        <w:pageBreakBefore w:val="0"/>
        <w:kinsoku/>
        <w:overflowPunct/>
        <w:topLinePunct w:val="0"/>
        <w:bidi w:val="0"/>
        <w:spacing w:line="360" w:lineRule="auto"/>
        <w:ind w:firstLine="42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经营期限：</w:t>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 xml:space="preserve">                                     </w:t>
      </w:r>
    </w:p>
    <w:p>
      <w:pPr>
        <w:pageBreakBefore w:val="0"/>
        <w:kinsoku/>
        <w:overflowPunct/>
        <w:topLinePunct w:val="0"/>
        <w:bidi w:val="0"/>
        <w:spacing w:line="360" w:lineRule="auto"/>
        <w:ind w:firstLine="42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姓    名：</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性别：</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年龄：</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职务：</w:t>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rPr>
        <w:t xml:space="preserve"> </w:t>
      </w:r>
    </w:p>
    <w:p>
      <w:pPr>
        <w:pageBreakBefore w:val="0"/>
        <w:kinsoku/>
        <w:overflowPunct/>
        <w:topLinePunct w:val="0"/>
        <w:bidi w:val="0"/>
        <w:spacing w:line="360" w:lineRule="auto"/>
        <w:ind w:firstLine="42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系</w:t>
      </w:r>
      <w:r>
        <w:rPr>
          <w:rFonts w:hint="eastAsia" w:ascii="仿宋" w:hAnsi="仿宋" w:eastAsia="仿宋" w:cs="仿宋"/>
          <w:color w:val="auto"/>
          <w:sz w:val="21"/>
          <w:szCs w:val="21"/>
          <w:highlight w:val="none"/>
          <w:u w:val="single"/>
        </w:rPr>
        <w:t xml:space="preserve">          （投标人单位名称）                   </w:t>
      </w:r>
      <w:r>
        <w:rPr>
          <w:rFonts w:hint="eastAsia" w:ascii="仿宋" w:hAnsi="仿宋" w:eastAsia="仿宋" w:cs="仿宋"/>
          <w:color w:val="auto"/>
          <w:sz w:val="21"/>
          <w:szCs w:val="21"/>
          <w:highlight w:val="none"/>
        </w:rPr>
        <w:t>的法定代表人。</w:t>
      </w:r>
    </w:p>
    <w:p>
      <w:pPr>
        <w:pageBreakBefore w:val="0"/>
        <w:kinsoku/>
        <w:overflowPunct/>
        <w:topLinePunct w:val="0"/>
        <w:bidi w:val="0"/>
        <w:spacing w:line="360" w:lineRule="auto"/>
        <w:ind w:firstLine="420"/>
        <w:textAlignment w:val="auto"/>
        <w:rPr>
          <w:rFonts w:hint="eastAsia" w:ascii="仿宋" w:hAnsi="仿宋" w:eastAsia="仿宋" w:cs="仿宋"/>
          <w:color w:val="auto"/>
          <w:sz w:val="21"/>
          <w:szCs w:val="21"/>
          <w:highlight w:val="none"/>
        </w:rPr>
      </w:pPr>
    </w:p>
    <w:p>
      <w:pPr>
        <w:pageBreakBefore w:val="0"/>
        <w:kinsoku/>
        <w:overflowPunct/>
        <w:topLinePunct w:val="0"/>
        <w:bidi w:val="0"/>
        <w:spacing w:line="360" w:lineRule="auto"/>
        <w:ind w:firstLine="42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特此证明。</w:t>
      </w:r>
    </w:p>
    <w:p>
      <w:pPr>
        <w:pageBreakBefore w:val="0"/>
        <w:kinsoku/>
        <w:overflowPunct/>
        <w:topLinePunct w:val="0"/>
        <w:bidi w:val="0"/>
        <w:spacing w:line="360" w:lineRule="auto"/>
        <w:ind w:firstLine="420"/>
        <w:jc w:val="center"/>
        <w:textAlignment w:val="auto"/>
        <w:rPr>
          <w:rFonts w:hint="eastAsia" w:ascii="仿宋" w:hAnsi="仿宋" w:eastAsia="仿宋" w:cs="仿宋"/>
          <w:color w:val="auto"/>
          <w:sz w:val="21"/>
          <w:szCs w:val="21"/>
          <w:highlight w:val="none"/>
        </w:rPr>
      </w:pPr>
    </w:p>
    <w:p>
      <w:pPr>
        <w:pageBreakBefore w:val="0"/>
        <w:kinsoku/>
        <w:wordWrap w:val="0"/>
        <w:overflowPunct/>
        <w:topLinePunct w:val="0"/>
        <w:bidi w:val="0"/>
        <w:spacing w:line="360" w:lineRule="auto"/>
        <w:ind w:firstLine="525" w:firstLineChars="2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附法定代表人居民身份证扫描件（含正反面）：</w:t>
      </w:r>
    </w:p>
    <w:tbl>
      <w:tblPr>
        <w:tblStyle w:val="56"/>
        <w:tblW w:w="8646"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9"/>
        <w:gridCol w:w="708"/>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44" w:hRule="atLeast"/>
        </w:trPr>
        <w:tc>
          <w:tcPr>
            <w:tcW w:w="3969" w:type="dxa"/>
            <w:tcBorders>
              <w:right w:val="single" w:color="auto" w:sz="4" w:space="0"/>
            </w:tcBorders>
            <w:vAlign w:val="center"/>
          </w:tcPr>
          <w:p>
            <w:pPr>
              <w:pageBreakBefore w:val="0"/>
              <w:kinsoku/>
              <w:wordWrap w:val="0"/>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708" w:type="dxa"/>
            <w:tcBorders>
              <w:top w:val="nil"/>
              <w:left w:val="single" w:color="auto" w:sz="4" w:space="0"/>
              <w:bottom w:val="nil"/>
              <w:right w:val="single" w:color="auto" w:sz="4" w:space="0"/>
            </w:tcBorders>
          </w:tcPr>
          <w:p>
            <w:pPr>
              <w:pageBreakBefore w:val="0"/>
              <w:kinsoku/>
              <w:wordWrap w:val="0"/>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3969" w:type="dxa"/>
            <w:tcBorders>
              <w:left w:val="single" w:color="auto" w:sz="4" w:space="0"/>
            </w:tcBorders>
            <w:vAlign w:val="center"/>
          </w:tcPr>
          <w:p>
            <w:pPr>
              <w:pageBreakBefore w:val="0"/>
              <w:kinsoku/>
              <w:wordWrap w:val="0"/>
              <w:overflowPunct/>
              <w:topLinePunct w:val="0"/>
              <w:bidi w:val="0"/>
              <w:spacing w:line="360" w:lineRule="auto"/>
              <w:jc w:val="center"/>
              <w:textAlignment w:val="auto"/>
              <w:rPr>
                <w:rFonts w:hint="eastAsia" w:ascii="仿宋" w:hAnsi="仿宋" w:eastAsia="仿宋" w:cs="仿宋"/>
                <w:color w:val="auto"/>
                <w:sz w:val="21"/>
                <w:szCs w:val="21"/>
                <w:highlight w:val="none"/>
              </w:rPr>
            </w:pPr>
          </w:p>
        </w:tc>
      </w:tr>
    </w:tbl>
    <w:p>
      <w:pPr>
        <w:pageBreakBefore w:val="0"/>
        <w:kinsoku/>
        <w:overflowPunct/>
        <w:topLinePunct w:val="0"/>
        <w:bidi w:val="0"/>
        <w:spacing w:line="360" w:lineRule="auto"/>
        <w:ind w:firstLine="420"/>
        <w:textAlignment w:val="auto"/>
        <w:rPr>
          <w:rFonts w:hint="eastAsia" w:ascii="仿宋" w:hAnsi="仿宋" w:eastAsia="仿宋" w:cs="仿宋"/>
          <w:b/>
          <w:color w:val="auto"/>
          <w:sz w:val="22"/>
          <w:szCs w:val="24"/>
          <w:highlight w:val="none"/>
        </w:rPr>
      </w:pPr>
      <w:r>
        <w:rPr>
          <w:rFonts w:hint="eastAsia" w:ascii="仿宋" w:hAnsi="仿宋" w:eastAsia="仿宋" w:cs="仿宋"/>
          <w:b/>
          <w:color w:val="auto"/>
          <w:sz w:val="22"/>
          <w:szCs w:val="24"/>
          <w:highlight w:val="none"/>
        </w:rPr>
        <w:t xml:space="preserve"> </w:t>
      </w:r>
    </w:p>
    <w:p>
      <w:pPr>
        <w:pageBreakBefore w:val="0"/>
        <w:kinsoku/>
        <w:overflowPunct/>
        <w:topLinePunct w:val="0"/>
        <w:bidi w:val="0"/>
        <w:spacing w:line="360" w:lineRule="auto"/>
        <w:ind w:firstLine="420"/>
        <w:textAlignment w:val="auto"/>
        <w:rPr>
          <w:rFonts w:hint="eastAsia" w:ascii="仿宋" w:hAnsi="仿宋" w:eastAsia="仿宋" w:cs="仿宋"/>
          <w:color w:val="auto"/>
          <w:sz w:val="22"/>
          <w:szCs w:val="24"/>
          <w:highlight w:val="none"/>
        </w:rPr>
      </w:pPr>
    </w:p>
    <w:p>
      <w:pPr>
        <w:pageBreakBefore w:val="0"/>
        <w:kinsoku/>
        <w:overflowPunct/>
        <w:topLinePunct w:val="0"/>
        <w:bidi w:val="0"/>
        <w:spacing w:line="360" w:lineRule="auto"/>
        <w:ind w:right="220" w:firstLine="420"/>
        <w:jc w:val="right"/>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投标人：</w:t>
      </w:r>
      <w:r>
        <w:rPr>
          <w:rFonts w:hint="eastAsia" w:ascii="仿宋" w:hAnsi="仿宋" w:eastAsia="仿宋" w:cs="仿宋"/>
          <w:color w:val="auto"/>
          <w:sz w:val="21"/>
          <w:szCs w:val="21"/>
          <w:highlight w:val="none"/>
          <w:u w:val="single"/>
        </w:rPr>
        <w:t xml:space="preserve">             （电子签章）</w:t>
      </w:r>
    </w:p>
    <w:p>
      <w:pPr>
        <w:pageBreakBefore w:val="0"/>
        <w:kinsoku/>
        <w:overflowPunct/>
        <w:topLinePunct w:val="0"/>
        <w:bidi w:val="0"/>
        <w:spacing w:line="360" w:lineRule="auto"/>
        <w:ind w:right="220" w:firstLine="420"/>
        <w:jc w:val="right"/>
        <w:textAlignment w:val="auto"/>
        <w:rPr>
          <w:rFonts w:hint="eastAsia" w:ascii="仿宋" w:hAnsi="仿宋" w:eastAsia="仿宋" w:cs="仿宋"/>
          <w:color w:val="auto"/>
          <w:sz w:val="21"/>
          <w:szCs w:val="21"/>
          <w:highlight w:val="none"/>
        </w:rPr>
        <w:sectPr>
          <w:pgSz w:w="11906" w:h="16838"/>
          <w:pgMar w:top="1134" w:right="1417" w:bottom="1134" w:left="1418" w:header="1020" w:footer="992" w:gutter="0"/>
          <w:pgBorders>
            <w:top w:val="none" w:color="auto" w:sz="0" w:space="0"/>
            <w:left w:val="none" w:color="auto" w:sz="0" w:space="0"/>
            <w:bottom w:val="none" w:color="auto" w:sz="0" w:space="0"/>
            <w:right w:val="none" w:color="auto" w:sz="0" w:space="0"/>
          </w:pgBorders>
          <w:pgNumType w:fmt="decimal"/>
          <w:cols w:space="720" w:num="1"/>
          <w:titlePg/>
          <w:docGrid w:linePitch="312" w:charSpace="0"/>
        </w:sectPr>
      </w:pPr>
      <w:r>
        <w:rPr>
          <w:rFonts w:hint="eastAsia" w:ascii="仿宋" w:hAnsi="仿宋" w:eastAsia="仿宋" w:cs="仿宋"/>
          <w:color w:val="auto"/>
          <w:sz w:val="21"/>
          <w:szCs w:val="21"/>
          <w:highlight w:val="none"/>
        </w:rPr>
        <w:t>日    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pPr>
        <w:pStyle w:val="5"/>
        <w:pageBreakBefore w:val="0"/>
        <w:kinsoku/>
        <w:overflowPunct/>
        <w:topLinePunct w:val="0"/>
        <w:bidi w:val="0"/>
        <w:spacing w:line="360" w:lineRule="auto"/>
        <w:ind w:left="720" w:hanging="720"/>
        <w:jc w:val="center"/>
        <w:textAlignment w:val="auto"/>
        <w:rPr>
          <w:rStyle w:val="154"/>
          <w:rFonts w:hint="eastAsia" w:ascii="仿宋" w:hAnsi="仿宋" w:eastAsia="仿宋" w:cs="仿宋"/>
          <w:b w:val="0"/>
          <w:bCs w:val="0"/>
          <w:color w:val="auto"/>
          <w:sz w:val="28"/>
          <w:highlight w:val="none"/>
        </w:rPr>
      </w:pPr>
      <w:bookmarkStart w:id="277" w:name="_Toc107816680"/>
      <w:bookmarkStart w:id="278" w:name="_Toc508091927"/>
      <w:bookmarkStart w:id="279" w:name="_Toc346229150"/>
      <w:bookmarkStart w:id="280" w:name="_Toc272515768"/>
      <w:bookmarkStart w:id="281" w:name="_Toc5280"/>
      <w:r>
        <w:rPr>
          <w:rFonts w:hint="eastAsia" w:ascii="仿宋" w:hAnsi="仿宋" w:eastAsia="仿宋" w:cs="仿宋"/>
          <w:color w:val="auto"/>
          <w:sz w:val="24"/>
          <w:szCs w:val="24"/>
          <w:highlight w:val="none"/>
        </w:rPr>
        <w:t>三、投标文件签署授权委托书</w:t>
      </w:r>
      <w:bookmarkEnd w:id="276"/>
      <w:bookmarkEnd w:id="277"/>
      <w:bookmarkEnd w:id="278"/>
      <w:bookmarkEnd w:id="279"/>
      <w:bookmarkEnd w:id="280"/>
      <w:bookmarkEnd w:id="281"/>
    </w:p>
    <w:p>
      <w:pPr>
        <w:pageBreakBefore w:val="0"/>
        <w:kinsoku/>
        <w:overflowPunct/>
        <w:topLinePunct w:val="0"/>
        <w:bidi w:val="0"/>
        <w:spacing w:line="360" w:lineRule="auto"/>
        <w:ind w:firstLine="61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本授权委托书声明：我</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（姓名）系</w:t>
      </w:r>
      <w:r>
        <w:rPr>
          <w:rFonts w:hint="eastAsia" w:ascii="仿宋" w:hAnsi="仿宋" w:eastAsia="仿宋" w:cs="仿宋"/>
          <w:color w:val="auto"/>
          <w:sz w:val="21"/>
          <w:szCs w:val="21"/>
          <w:highlight w:val="none"/>
          <w:u w:val="single"/>
        </w:rPr>
        <w:t xml:space="preserve">          （投标人名称）</w:t>
      </w:r>
      <w:r>
        <w:rPr>
          <w:rFonts w:hint="eastAsia" w:ascii="仿宋" w:hAnsi="仿宋" w:eastAsia="仿宋" w:cs="仿宋"/>
          <w:color w:val="auto"/>
          <w:sz w:val="21"/>
          <w:szCs w:val="21"/>
          <w:highlight w:val="none"/>
        </w:rPr>
        <w:t>的法定代表人，现授权委托</w:t>
      </w:r>
      <w:r>
        <w:rPr>
          <w:rFonts w:hint="eastAsia" w:ascii="仿宋" w:hAnsi="仿宋" w:eastAsia="仿宋" w:cs="仿宋"/>
          <w:color w:val="auto"/>
          <w:sz w:val="21"/>
          <w:szCs w:val="21"/>
          <w:highlight w:val="none"/>
          <w:u w:val="single"/>
        </w:rPr>
        <w:t xml:space="preserve">      （单位名称）     </w:t>
      </w:r>
      <w:r>
        <w:rPr>
          <w:rFonts w:hint="eastAsia" w:ascii="仿宋" w:hAnsi="仿宋" w:eastAsia="仿宋" w:cs="仿宋"/>
          <w:color w:val="auto"/>
          <w:sz w:val="21"/>
          <w:szCs w:val="21"/>
          <w:highlight w:val="none"/>
        </w:rPr>
        <w:t>的</w:t>
      </w:r>
      <w:r>
        <w:rPr>
          <w:rFonts w:hint="eastAsia" w:ascii="仿宋" w:hAnsi="仿宋" w:eastAsia="仿宋" w:cs="仿宋"/>
          <w:color w:val="auto"/>
          <w:sz w:val="21"/>
          <w:szCs w:val="21"/>
          <w:highlight w:val="none"/>
          <w:u w:val="single"/>
        </w:rPr>
        <w:t xml:space="preserve">    （姓名）    </w:t>
      </w:r>
      <w:r>
        <w:rPr>
          <w:rFonts w:hint="eastAsia" w:ascii="仿宋" w:hAnsi="仿宋" w:eastAsia="仿宋" w:cs="仿宋"/>
          <w:color w:val="auto"/>
          <w:sz w:val="21"/>
          <w:szCs w:val="21"/>
          <w:highlight w:val="none"/>
        </w:rPr>
        <w:t>为我公司签署</w:t>
      </w:r>
      <w:r>
        <w:rPr>
          <w:rFonts w:hint="eastAsia" w:ascii="仿宋" w:hAnsi="仿宋" w:eastAsia="仿宋" w:cs="仿宋"/>
          <w:color w:val="auto"/>
          <w:sz w:val="21"/>
          <w:szCs w:val="21"/>
          <w:highlight w:val="none"/>
          <w:u w:val="single"/>
        </w:rPr>
        <w:t xml:space="preserve"> （项目名称）    </w:t>
      </w:r>
      <w:r>
        <w:rPr>
          <w:rFonts w:hint="eastAsia" w:ascii="仿宋" w:hAnsi="仿宋" w:eastAsia="仿宋" w:cs="仿宋"/>
          <w:color w:val="auto"/>
          <w:sz w:val="21"/>
          <w:szCs w:val="21"/>
          <w:highlight w:val="none"/>
        </w:rPr>
        <w:t>的投标文件的法定代表人授权委托代理人，我承认代理人全权代表我所签署的本项目的投标文件的内容。</w:t>
      </w:r>
    </w:p>
    <w:p>
      <w:pPr>
        <w:pageBreakBefore w:val="0"/>
        <w:kinsoku/>
        <w:overflowPunct/>
        <w:topLinePunct w:val="0"/>
        <w:bidi w:val="0"/>
        <w:spacing w:line="360" w:lineRule="auto"/>
        <w:ind w:firstLine="697"/>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代理人无转委托权，特此委托。</w:t>
      </w:r>
    </w:p>
    <w:p>
      <w:pPr>
        <w:pageBreakBefore w:val="0"/>
        <w:kinsoku/>
        <w:overflowPunct/>
        <w:topLinePunct w:val="0"/>
        <w:bidi w:val="0"/>
        <w:spacing w:line="360" w:lineRule="auto"/>
        <w:ind w:firstLine="697"/>
        <w:textAlignment w:val="auto"/>
        <w:rPr>
          <w:rFonts w:hint="eastAsia" w:ascii="仿宋" w:hAnsi="仿宋" w:eastAsia="仿宋" w:cs="仿宋"/>
          <w:color w:val="auto"/>
          <w:sz w:val="21"/>
          <w:szCs w:val="21"/>
          <w:highlight w:val="none"/>
        </w:rPr>
      </w:pPr>
    </w:p>
    <w:p>
      <w:pPr>
        <w:pageBreakBefore w:val="0"/>
        <w:kinsoku/>
        <w:wordWrap w:val="0"/>
        <w:overflowPunct/>
        <w:topLinePunct w:val="0"/>
        <w:bidi w:val="0"/>
        <w:spacing w:line="360" w:lineRule="auto"/>
        <w:ind w:firstLine="525" w:firstLineChars="2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附被授权的代理人身份证扫描件（含正反面）：</w:t>
      </w:r>
    </w:p>
    <w:tbl>
      <w:tblPr>
        <w:tblStyle w:val="56"/>
        <w:tblW w:w="8646"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9"/>
        <w:gridCol w:w="708"/>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44" w:hRule="atLeast"/>
        </w:trPr>
        <w:tc>
          <w:tcPr>
            <w:tcW w:w="3969" w:type="dxa"/>
            <w:tcBorders>
              <w:right w:val="single" w:color="auto" w:sz="4" w:space="0"/>
            </w:tcBorders>
            <w:vAlign w:val="center"/>
          </w:tcPr>
          <w:p>
            <w:pPr>
              <w:pageBreakBefore w:val="0"/>
              <w:kinsoku/>
              <w:wordWrap w:val="0"/>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708" w:type="dxa"/>
            <w:tcBorders>
              <w:top w:val="nil"/>
              <w:left w:val="single" w:color="auto" w:sz="4" w:space="0"/>
              <w:bottom w:val="nil"/>
              <w:right w:val="single" w:color="auto" w:sz="4" w:space="0"/>
            </w:tcBorders>
          </w:tcPr>
          <w:p>
            <w:pPr>
              <w:pageBreakBefore w:val="0"/>
              <w:kinsoku/>
              <w:wordWrap w:val="0"/>
              <w:overflowPunct/>
              <w:topLinePunct w:val="0"/>
              <w:bidi w:val="0"/>
              <w:spacing w:line="360" w:lineRule="auto"/>
              <w:jc w:val="center"/>
              <w:textAlignment w:val="auto"/>
              <w:rPr>
                <w:rFonts w:hint="eastAsia" w:ascii="仿宋" w:hAnsi="仿宋" w:eastAsia="仿宋" w:cs="仿宋"/>
                <w:color w:val="auto"/>
                <w:sz w:val="21"/>
                <w:szCs w:val="21"/>
                <w:highlight w:val="none"/>
              </w:rPr>
            </w:pPr>
          </w:p>
        </w:tc>
        <w:tc>
          <w:tcPr>
            <w:tcW w:w="3969" w:type="dxa"/>
            <w:tcBorders>
              <w:left w:val="single" w:color="auto" w:sz="4" w:space="0"/>
            </w:tcBorders>
            <w:vAlign w:val="center"/>
          </w:tcPr>
          <w:p>
            <w:pPr>
              <w:pageBreakBefore w:val="0"/>
              <w:kinsoku/>
              <w:wordWrap w:val="0"/>
              <w:overflowPunct/>
              <w:topLinePunct w:val="0"/>
              <w:bidi w:val="0"/>
              <w:spacing w:line="360" w:lineRule="auto"/>
              <w:jc w:val="center"/>
              <w:textAlignment w:val="auto"/>
              <w:rPr>
                <w:rFonts w:hint="eastAsia" w:ascii="仿宋" w:hAnsi="仿宋" w:eastAsia="仿宋" w:cs="仿宋"/>
                <w:color w:val="auto"/>
                <w:sz w:val="21"/>
                <w:szCs w:val="21"/>
                <w:highlight w:val="none"/>
              </w:rPr>
            </w:pPr>
          </w:p>
        </w:tc>
      </w:tr>
    </w:tbl>
    <w:p>
      <w:pPr>
        <w:pageBreakBefore w:val="0"/>
        <w:kinsoku/>
        <w:overflowPunct/>
        <w:topLinePunct w:val="0"/>
        <w:bidi w:val="0"/>
        <w:spacing w:line="360" w:lineRule="auto"/>
        <w:textAlignment w:val="auto"/>
        <w:rPr>
          <w:rFonts w:hint="eastAsia" w:ascii="仿宋" w:hAnsi="仿宋" w:eastAsia="仿宋" w:cs="仿宋"/>
          <w:color w:val="auto"/>
          <w:sz w:val="22"/>
          <w:szCs w:val="24"/>
          <w:highlight w:val="none"/>
        </w:rPr>
      </w:pPr>
    </w:p>
    <w:p>
      <w:pPr>
        <w:pageBreakBefore w:val="0"/>
        <w:kinsoku/>
        <w:overflowPunct/>
        <w:topLinePunct w:val="0"/>
        <w:bidi w:val="0"/>
        <w:spacing w:line="360" w:lineRule="auto"/>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注：附授权委托代理人身份证扫描件（含正反面），如投标人由法定代表人亲自签署投标文件并参与相关活动，则不需要办理授权。如有被授权的代理人签署上述文件，则必须按本格式规定填报并提交授权书，否则被授权的代理人将不被认可。</w:t>
      </w:r>
    </w:p>
    <w:p>
      <w:pPr>
        <w:pageBreakBefore w:val="0"/>
        <w:kinsoku/>
        <w:overflowPunct/>
        <w:topLinePunct w:val="0"/>
        <w:bidi w:val="0"/>
        <w:spacing w:line="360" w:lineRule="auto"/>
        <w:ind w:left="2699"/>
        <w:textAlignment w:val="auto"/>
        <w:rPr>
          <w:rFonts w:hint="eastAsia" w:ascii="仿宋" w:hAnsi="仿宋" w:eastAsia="仿宋" w:cs="仿宋"/>
          <w:color w:val="auto"/>
          <w:sz w:val="21"/>
          <w:szCs w:val="21"/>
          <w:highlight w:val="none"/>
        </w:rPr>
      </w:pPr>
    </w:p>
    <w:p>
      <w:pPr>
        <w:pageBreakBefore w:val="0"/>
        <w:kinsoku/>
        <w:overflowPunct/>
        <w:topLinePunct w:val="0"/>
        <w:bidi w:val="0"/>
        <w:spacing w:line="360" w:lineRule="auto"/>
        <w:ind w:left="2699"/>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代理人：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性别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年龄：</w:t>
      </w:r>
      <w:r>
        <w:rPr>
          <w:rFonts w:hint="eastAsia" w:ascii="仿宋" w:hAnsi="仿宋" w:eastAsia="仿宋" w:cs="仿宋"/>
          <w:color w:val="auto"/>
          <w:sz w:val="21"/>
          <w:szCs w:val="21"/>
          <w:highlight w:val="none"/>
          <w:u w:val="single"/>
        </w:rPr>
        <w:t xml:space="preserve">         </w:t>
      </w:r>
    </w:p>
    <w:p>
      <w:pPr>
        <w:pageBreakBefore w:val="0"/>
        <w:kinsoku/>
        <w:overflowPunct/>
        <w:topLinePunct w:val="0"/>
        <w:bidi w:val="0"/>
        <w:spacing w:line="360" w:lineRule="auto"/>
        <w:ind w:left="2699"/>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身份证号码：</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职务：</w:t>
      </w:r>
      <w:r>
        <w:rPr>
          <w:rFonts w:hint="eastAsia" w:ascii="仿宋" w:hAnsi="仿宋" w:eastAsia="仿宋" w:cs="仿宋"/>
          <w:color w:val="auto"/>
          <w:sz w:val="21"/>
          <w:szCs w:val="21"/>
          <w:highlight w:val="none"/>
          <w:u w:val="single"/>
        </w:rPr>
        <w:t xml:space="preserve">                  </w:t>
      </w:r>
    </w:p>
    <w:p>
      <w:pPr>
        <w:pageBreakBefore w:val="0"/>
        <w:kinsoku/>
        <w:overflowPunct/>
        <w:topLinePunct w:val="0"/>
        <w:bidi w:val="0"/>
        <w:spacing w:line="360" w:lineRule="auto"/>
        <w:ind w:left="2699"/>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w:t>
      </w:r>
      <w:r>
        <w:rPr>
          <w:rFonts w:hint="eastAsia" w:ascii="仿宋" w:hAnsi="仿宋" w:eastAsia="仿宋" w:cs="仿宋"/>
          <w:color w:val="auto"/>
          <w:sz w:val="21"/>
          <w:szCs w:val="21"/>
          <w:highlight w:val="none"/>
          <w:u w:val="single"/>
        </w:rPr>
        <w:t xml:space="preserve">                                   （电子签章）</w:t>
      </w:r>
    </w:p>
    <w:p>
      <w:pPr>
        <w:pageBreakBefore w:val="0"/>
        <w:kinsoku/>
        <w:overflowPunct/>
        <w:topLinePunct w:val="0"/>
        <w:bidi w:val="0"/>
        <w:spacing w:line="360" w:lineRule="auto"/>
        <w:ind w:left="2698" w:leftChars="1283" w:hanging="132" w:hangingChars="63"/>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法定代表人：</w:t>
      </w:r>
      <w:r>
        <w:rPr>
          <w:rFonts w:hint="eastAsia" w:ascii="仿宋" w:hAnsi="仿宋" w:eastAsia="仿宋" w:cs="仿宋"/>
          <w:color w:val="auto"/>
          <w:sz w:val="21"/>
          <w:szCs w:val="21"/>
          <w:highlight w:val="none"/>
          <w:u w:val="single"/>
        </w:rPr>
        <w:t xml:space="preserve">                             （签字或盖章或电子签章）</w:t>
      </w:r>
    </w:p>
    <w:p>
      <w:pPr>
        <w:pageBreakBefore w:val="0"/>
        <w:kinsoku/>
        <w:overflowPunct/>
        <w:topLinePunct w:val="0"/>
        <w:bidi w:val="0"/>
        <w:spacing w:line="360" w:lineRule="auto"/>
        <w:ind w:left="2698" w:leftChars="1283" w:hanging="132" w:hangingChars="63"/>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授权委托日期：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年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pPr>
        <w:pageBreakBefore w:val="0"/>
        <w:kinsoku/>
        <w:overflowPunct/>
        <w:topLinePunct w:val="0"/>
        <w:bidi w:val="0"/>
        <w:spacing w:line="360" w:lineRule="auto"/>
        <w:ind w:left="2698" w:leftChars="1349"/>
        <w:textAlignment w:val="auto"/>
        <w:rPr>
          <w:rFonts w:hint="eastAsia" w:ascii="仿宋" w:hAnsi="仿宋" w:eastAsia="仿宋" w:cs="仿宋"/>
          <w:color w:val="auto"/>
          <w:sz w:val="21"/>
          <w:szCs w:val="21"/>
          <w:highlight w:val="none"/>
        </w:rPr>
      </w:pP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sectPr>
          <w:pgSz w:w="11906" w:h="16838"/>
          <w:pgMar w:top="1134" w:right="1417" w:bottom="1134" w:left="1418" w:header="1020" w:footer="992" w:gutter="0"/>
          <w:pgBorders>
            <w:top w:val="none" w:color="auto" w:sz="0" w:space="0"/>
            <w:left w:val="none" w:color="auto" w:sz="0" w:space="0"/>
            <w:bottom w:val="none" w:color="auto" w:sz="0" w:space="0"/>
            <w:right w:val="none" w:color="auto" w:sz="0" w:space="0"/>
          </w:pgBorders>
          <w:pgNumType w:fmt="decimal"/>
          <w:cols w:space="720" w:num="1"/>
          <w:titlePg/>
          <w:docGrid w:linePitch="312" w:charSpace="0"/>
        </w:sectPr>
      </w:pPr>
      <w:r>
        <w:rPr>
          <w:rFonts w:hint="eastAsia" w:ascii="仿宋" w:hAnsi="仿宋" w:eastAsia="仿宋" w:cs="仿宋"/>
          <w:color w:val="auto"/>
          <w:sz w:val="21"/>
          <w:szCs w:val="21"/>
          <w:highlight w:val="none"/>
        </w:rPr>
        <w:t>注：法定代表人签署投标文件时则无需提供授权委托书</w:t>
      </w:r>
      <w:bookmarkStart w:id="282" w:name="_Hlk84921930"/>
      <w:r>
        <w:rPr>
          <w:rFonts w:hint="eastAsia" w:ascii="仿宋" w:hAnsi="仿宋" w:eastAsia="仿宋" w:cs="仿宋"/>
          <w:color w:val="auto"/>
          <w:sz w:val="21"/>
          <w:szCs w:val="21"/>
          <w:highlight w:val="none"/>
        </w:rPr>
        <w:t>。</w:t>
      </w:r>
      <w:bookmarkEnd w:id="282"/>
    </w:p>
    <w:p>
      <w:pPr>
        <w:pStyle w:val="5"/>
        <w:pageBreakBefore w:val="0"/>
        <w:kinsoku/>
        <w:overflowPunct/>
        <w:topLinePunct w:val="0"/>
        <w:bidi w:val="0"/>
        <w:spacing w:line="360" w:lineRule="auto"/>
        <w:ind w:left="720" w:hanging="720"/>
        <w:jc w:val="center"/>
        <w:textAlignment w:val="auto"/>
        <w:rPr>
          <w:rFonts w:hint="eastAsia"/>
          <w:color w:val="auto"/>
          <w:highlight w:val="none"/>
        </w:rPr>
      </w:pPr>
      <w:bookmarkStart w:id="283" w:name="_Toc124305253"/>
      <w:bookmarkStart w:id="284" w:name="_Toc272515770"/>
      <w:bookmarkStart w:id="285" w:name="_Toc20779"/>
      <w:bookmarkStart w:id="286" w:name="_Toc346229151"/>
      <w:bookmarkStart w:id="287" w:name="_Toc107816681"/>
      <w:bookmarkStart w:id="288" w:name="_Toc508091928"/>
      <w:r>
        <w:rPr>
          <w:rFonts w:hint="eastAsia" w:ascii="仿宋" w:hAnsi="仿宋" w:eastAsia="仿宋" w:cs="仿宋"/>
          <w:color w:val="auto"/>
          <w:sz w:val="24"/>
          <w:szCs w:val="24"/>
          <w:highlight w:val="none"/>
        </w:rPr>
        <w:t>四、</w:t>
      </w:r>
      <w:bookmarkStart w:id="289" w:name="_Toc272515771"/>
      <w:bookmarkStart w:id="290" w:name="_Toc124305254"/>
      <w:bookmarkEnd w:id="283"/>
      <w:bookmarkEnd w:id="284"/>
      <w:r>
        <w:rPr>
          <w:rFonts w:hint="eastAsia" w:ascii="仿宋" w:hAnsi="仿宋" w:eastAsia="仿宋" w:cs="仿宋"/>
          <w:color w:val="auto"/>
          <w:sz w:val="24"/>
          <w:szCs w:val="24"/>
          <w:highlight w:val="none"/>
        </w:rPr>
        <w:t>投标保证金交纳凭证</w:t>
      </w:r>
      <w:bookmarkEnd w:id="285"/>
      <w:bookmarkEnd w:id="286"/>
      <w:bookmarkEnd w:id="287"/>
      <w:bookmarkEnd w:id="288"/>
      <w:bookmarkEnd w:id="289"/>
      <w:bookmarkEnd w:id="290"/>
    </w:p>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附：保证金交纳凭证扫描件</w:t>
      </w:r>
    </w:p>
    <w:p>
      <w:pPr>
        <w:rPr>
          <w:rFonts w:hint="eastAsia"/>
          <w:color w:val="auto"/>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满足《云南省人民政府关于印发2024年进一步推动经济稳进提质政策措施的通知》云政发〔2024]7号文规定的投标人只需提供开标前30天内无失信记录企业证明材料</w:t>
      </w:r>
      <w:r>
        <w:rPr>
          <w:rFonts w:hint="eastAsia" w:ascii="仿宋" w:hAnsi="仿宋" w:eastAsia="仿宋" w:cs="仿宋"/>
          <w:color w:val="auto"/>
          <w:sz w:val="21"/>
          <w:szCs w:val="21"/>
          <w:highlight w:val="none"/>
          <w:lang w:eastAsia="zh-CN"/>
        </w:rPr>
        <w:t>。</w:t>
      </w: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sectPr>
          <w:pgSz w:w="11906" w:h="16838"/>
          <w:pgMar w:top="1134" w:right="1417" w:bottom="1134" w:left="1418" w:header="1020" w:footer="992" w:gutter="0"/>
          <w:pgBorders>
            <w:top w:val="none" w:color="auto" w:sz="0" w:space="0"/>
            <w:left w:val="none" w:color="auto" w:sz="0" w:space="0"/>
            <w:bottom w:val="none" w:color="auto" w:sz="0" w:space="0"/>
            <w:right w:val="none" w:color="auto" w:sz="0" w:space="0"/>
          </w:pgBorders>
          <w:pgNumType w:fmt="decimal"/>
          <w:cols w:space="720" w:num="1"/>
          <w:titlePg/>
          <w:docGrid w:linePitch="312" w:charSpace="0"/>
        </w:sectPr>
      </w:pPr>
    </w:p>
    <w:p>
      <w:pPr>
        <w:pStyle w:val="4"/>
        <w:pageBreakBefore w:val="0"/>
        <w:kinsoku/>
        <w:overflowPunct/>
        <w:topLinePunct w:val="0"/>
        <w:bidi w:val="0"/>
        <w:spacing w:line="360" w:lineRule="auto"/>
        <w:jc w:val="center"/>
        <w:textAlignment w:val="auto"/>
        <w:rPr>
          <w:rStyle w:val="154"/>
          <w:rFonts w:hint="eastAsia" w:ascii="仿宋" w:hAnsi="仿宋" w:eastAsia="仿宋" w:cs="仿宋"/>
          <w:b/>
          <w:bCs/>
          <w:color w:val="auto"/>
          <w:sz w:val="30"/>
          <w:szCs w:val="30"/>
          <w:highlight w:val="none"/>
        </w:rPr>
      </w:pPr>
      <w:bookmarkStart w:id="291" w:name="_Toc107816682"/>
      <w:bookmarkStart w:id="292" w:name="_Toc346229152"/>
      <w:bookmarkStart w:id="293" w:name="_Toc11765"/>
      <w:bookmarkStart w:id="294" w:name="_Toc272515772"/>
      <w:bookmarkStart w:id="295" w:name="_Toc508091929"/>
      <w:r>
        <w:rPr>
          <w:rStyle w:val="154"/>
          <w:rFonts w:hint="eastAsia" w:ascii="仿宋" w:hAnsi="仿宋" w:eastAsia="仿宋" w:cs="仿宋"/>
          <w:b/>
          <w:bCs/>
          <w:color w:val="auto"/>
          <w:sz w:val="30"/>
          <w:szCs w:val="30"/>
          <w:highlight w:val="none"/>
        </w:rPr>
        <w:t>第二部分  投标文件商务部分格式</w:t>
      </w:r>
      <w:bookmarkEnd w:id="291"/>
      <w:bookmarkEnd w:id="292"/>
      <w:bookmarkEnd w:id="293"/>
      <w:bookmarkEnd w:id="294"/>
      <w:bookmarkEnd w:id="295"/>
    </w:p>
    <w:p>
      <w:pPr>
        <w:pStyle w:val="5"/>
        <w:pageBreakBefore w:val="0"/>
        <w:kinsoku/>
        <w:overflowPunct/>
        <w:topLinePunct w:val="0"/>
        <w:bidi w:val="0"/>
        <w:spacing w:line="360" w:lineRule="auto"/>
        <w:ind w:left="720" w:hanging="720"/>
        <w:jc w:val="center"/>
        <w:textAlignment w:val="auto"/>
        <w:rPr>
          <w:rFonts w:hint="eastAsia" w:ascii="仿宋" w:hAnsi="仿宋" w:eastAsia="仿宋" w:cs="仿宋"/>
          <w:bCs w:val="0"/>
          <w:color w:val="auto"/>
          <w:sz w:val="24"/>
          <w:szCs w:val="24"/>
          <w:highlight w:val="none"/>
        </w:rPr>
      </w:pPr>
      <w:bookmarkStart w:id="296" w:name="_Toc19528"/>
      <w:bookmarkStart w:id="297" w:name="_Toc107816683"/>
      <w:bookmarkStart w:id="298" w:name="_Toc508091930"/>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投标报价（唱标）一览表</w:t>
      </w:r>
      <w:bookmarkEnd w:id="296"/>
      <w:bookmarkEnd w:id="297"/>
      <w:bookmarkEnd w:id="298"/>
    </w:p>
    <w:tbl>
      <w:tblPr>
        <w:tblStyle w:val="56"/>
        <w:tblW w:w="917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945"/>
        <w:gridCol w:w="5445"/>
        <w:gridCol w:w="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1" w:hRule="atLeast"/>
        </w:trPr>
        <w:tc>
          <w:tcPr>
            <w:tcW w:w="851" w:type="dxa"/>
            <w:tcBorders>
              <w:top w:val="single" w:color="auto" w:sz="4" w:space="0"/>
              <w:left w:val="single" w:color="auto" w:sz="4" w:space="0"/>
              <w:bottom w:val="single" w:color="auto" w:sz="4" w:space="0"/>
              <w:right w:val="single" w:color="auto" w:sz="4" w:space="0"/>
            </w:tcBorders>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bookmarkStart w:id="299" w:name="_Toc346229154"/>
            <w:r>
              <w:rPr>
                <w:rFonts w:hint="eastAsia" w:ascii="仿宋" w:hAnsi="仿宋" w:eastAsia="仿宋" w:cs="仿宋"/>
                <w:color w:val="auto"/>
                <w:sz w:val="21"/>
                <w:szCs w:val="21"/>
                <w:highlight w:val="none"/>
              </w:rPr>
              <w:t>序号</w:t>
            </w:r>
          </w:p>
        </w:tc>
        <w:tc>
          <w:tcPr>
            <w:tcW w:w="1945" w:type="dxa"/>
            <w:tcBorders>
              <w:top w:val="single" w:color="auto" w:sz="4" w:space="0"/>
              <w:left w:val="single" w:color="auto" w:sz="4" w:space="0"/>
              <w:bottom w:val="single" w:color="auto" w:sz="4" w:space="0"/>
              <w:right w:val="single" w:color="auto" w:sz="4" w:space="0"/>
            </w:tcBorders>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项目</w:t>
            </w:r>
          </w:p>
        </w:tc>
        <w:tc>
          <w:tcPr>
            <w:tcW w:w="5445" w:type="dxa"/>
            <w:tcBorders>
              <w:top w:val="single" w:color="auto" w:sz="4" w:space="0"/>
              <w:left w:val="single" w:color="auto" w:sz="4" w:space="0"/>
              <w:bottom w:val="single" w:color="auto" w:sz="4" w:space="0"/>
              <w:right w:val="single" w:color="auto" w:sz="4" w:space="0"/>
            </w:tcBorders>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报价及承诺</w:t>
            </w:r>
          </w:p>
        </w:tc>
        <w:tc>
          <w:tcPr>
            <w:tcW w:w="930" w:type="dxa"/>
            <w:tcBorders>
              <w:top w:val="single" w:color="auto" w:sz="4" w:space="0"/>
              <w:left w:val="single" w:color="auto" w:sz="4" w:space="0"/>
              <w:bottom w:val="single" w:color="auto" w:sz="4" w:space="0"/>
              <w:right w:val="single" w:color="auto" w:sz="4" w:space="0"/>
            </w:tcBorders>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7" w:hRule="atLeast"/>
        </w:trPr>
        <w:tc>
          <w:tcPr>
            <w:tcW w:w="851" w:type="dxa"/>
            <w:tcBorders>
              <w:top w:val="single" w:color="auto" w:sz="4" w:space="0"/>
              <w:left w:val="single" w:color="auto" w:sz="4" w:space="0"/>
              <w:right w:val="single" w:color="auto" w:sz="4" w:space="0"/>
            </w:tcBorders>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tc>
        <w:tc>
          <w:tcPr>
            <w:tcW w:w="1945" w:type="dxa"/>
            <w:tcBorders>
              <w:top w:val="single" w:color="auto" w:sz="4" w:space="0"/>
              <w:left w:val="single" w:color="auto" w:sz="4" w:space="0"/>
              <w:right w:val="single" w:color="auto" w:sz="4" w:space="0"/>
            </w:tcBorders>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投标报价</w:t>
            </w:r>
          </w:p>
        </w:tc>
        <w:tc>
          <w:tcPr>
            <w:tcW w:w="5445" w:type="dxa"/>
            <w:tcBorders>
              <w:top w:val="single" w:color="auto" w:sz="4" w:space="0"/>
              <w:left w:val="single" w:color="auto" w:sz="4" w:space="0"/>
              <w:bottom w:val="single" w:color="auto" w:sz="4" w:space="0"/>
              <w:right w:val="single" w:color="auto" w:sz="4" w:space="0"/>
            </w:tcBorders>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（大写）人民币：</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元</w:t>
            </w:r>
          </w:p>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（小写）：￥</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元</w:t>
            </w:r>
          </w:p>
        </w:tc>
        <w:tc>
          <w:tcPr>
            <w:tcW w:w="930" w:type="dxa"/>
            <w:tcBorders>
              <w:top w:val="single" w:color="auto" w:sz="4" w:space="0"/>
              <w:left w:val="single" w:color="auto" w:sz="4" w:space="0"/>
              <w:bottom w:val="single" w:color="auto" w:sz="4" w:space="0"/>
              <w:right w:val="single" w:color="auto" w:sz="4" w:space="0"/>
            </w:tcBorders>
            <w:vAlign w:val="center"/>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6" w:hRule="atLeast"/>
        </w:trPr>
        <w:tc>
          <w:tcPr>
            <w:tcW w:w="851" w:type="dxa"/>
            <w:tcBorders>
              <w:top w:val="single" w:color="auto" w:sz="4" w:space="0"/>
              <w:left w:val="single" w:color="auto" w:sz="4" w:space="0"/>
              <w:bottom w:val="single" w:color="auto" w:sz="4" w:space="0"/>
              <w:right w:val="single" w:color="auto" w:sz="4" w:space="0"/>
            </w:tcBorders>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p>
        </w:tc>
        <w:tc>
          <w:tcPr>
            <w:tcW w:w="1945" w:type="dxa"/>
            <w:tcBorders>
              <w:top w:val="single" w:color="auto" w:sz="4" w:space="0"/>
              <w:left w:val="single" w:color="auto" w:sz="4" w:space="0"/>
              <w:bottom w:val="single" w:color="auto" w:sz="4" w:space="0"/>
              <w:right w:val="single" w:color="auto" w:sz="4" w:space="0"/>
            </w:tcBorders>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供货周期</w:t>
            </w:r>
            <w:r>
              <w:rPr>
                <w:rFonts w:hint="eastAsia" w:ascii="仿宋" w:hAnsi="仿宋" w:eastAsia="仿宋" w:cs="仿宋"/>
                <w:color w:val="auto"/>
                <w:sz w:val="21"/>
                <w:szCs w:val="21"/>
                <w:highlight w:val="none"/>
              </w:rPr>
              <w:t>承诺</w:t>
            </w:r>
          </w:p>
        </w:tc>
        <w:tc>
          <w:tcPr>
            <w:tcW w:w="5445" w:type="dxa"/>
            <w:tcBorders>
              <w:top w:val="single" w:color="auto" w:sz="4" w:space="0"/>
              <w:left w:val="single" w:color="auto" w:sz="4" w:space="0"/>
              <w:bottom w:val="single" w:color="auto" w:sz="4" w:space="0"/>
              <w:right w:val="single" w:color="auto" w:sz="4" w:space="0"/>
            </w:tcBorders>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u w:val="single"/>
              </w:rPr>
            </w:pPr>
          </w:p>
        </w:tc>
        <w:tc>
          <w:tcPr>
            <w:tcW w:w="930" w:type="dxa"/>
            <w:tcBorders>
              <w:top w:val="single" w:color="auto" w:sz="4" w:space="0"/>
              <w:left w:val="single" w:color="auto" w:sz="4" w:space="0"/>
              <w:bottom w:val="single" w:color="auto" w:sz="4" w:space="0"/>
              <w:right w:val="single" w:color="auto" w:sz="4" w:space="0"/>
            </w:tcBorders>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trPr>
        <w:tc>
          <w:tcPr>
            <w:tcW w:w="851" w:type="dxa"/>
            <w:tcBorders>
              <w:top w:val="single" w:color="auto" w:sz="4" w:space="0"/>
              <w:left w:val="single" w:color="auto" w:sz="4" w:space="0"/>
              <w:bottom w:val="single" w:color="auto" w:sz="4" w:space="0"/>
              <w:right w:val="single" w:color="auto" w:sz="4" w:space="0"/>
            </w:tcBorders>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p>
        </w:tc>
        <w:tc>
          <w:tcPr>
            <w:tcW w:w="1945" w:type="dxa"/>
            <w:tcBorders>
              <w:top w:val="single" w:color="auto" w:sz="4" w:space="0"/>
              <w:left w:val="single" w:color="auto" w:sz="4" w:space="0"/>
              <w:bottom w:val="single" w:color="auto" w:sz="4" w:space="0"/>
              <w:right w:val="single" w:color="auto" w:sz="4" w:space="0"/>
            </w:tcBorders>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质量承诺</w:t>
            </w:r>
          </w:p>
        </w:tc>
        <w:tc>
          <w:tcPr>
            <w:tcW w:w="5445" w:type="dxa"/>
            <w:tcBorders>
              <w:top w:val="single" w:color="auto" w:sz="4" w:space="0"/>
              <w:left w:val="single" w:color="auto" w:sz="4" w:space="0"/>
              <w:bottom w:val="single" w:color="auto" w:sz="4" w:space="0"/>
              <w:right w:val="single" w:color="auto" w:sz="4" w:space="0"/>
            </w:tcBorders>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u w:val="single"/>
              </w:rPr>
            </w:pPr>
          </w:p>
        </w:tc>
        <w:tc>
          <w:tcPr>
            <w:tcW w:w="930" w:type="dxa"/>
            <w:tcBorders>
              <w:top w:val="single" w:color="auto" w:sz="4" w:space="0"/>
              <w:left w:val="single" w:color="auto" w:sz="4" w:space="0"/>
              <w:bottom w:val="single" w:color="auto" w:sz="4" w:space="0"/>
              <w:right w:val="single" w:color="auto" w:sz="4" w:space="0"/>
            </w:tcBorders>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7" w:hRule="atLeast"/>
        </w:trPr>
        <w:tc>
          <w:tcPr>
            <w:tcW w:w="851" w:type="dxa"/>
            <w:tcBorders>
              <w:top w:val="single" w:color="auto" w:sz="4" w:space="0"/>
              <w:left w:val="single" w:color="auto" w:sz="4" w:space="0"/>
              <w:bottom w:val="single" w:color="auto" w:sz="4" w:space="0"/>
              <w:right w:val="single" w:color="auto" w:sz="4" w:space="0"/>
            </w:tcBorders>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4</w:t>
            </w:r>
          </w:p>
        </w:tc>
        <w:tc>
          <w:tcPr>
            <w:tcW w:w="1945" w:type="dxa"/>
            <w:tcBorders>
              <w:top w:val="single" w:color="auto" w:sz="4" w:space="0"/>
              <w:left w:val="single" w:color="auto" w:sz="4" w:space="0"/>
              <w:bottom w:val="single" w:color="auto" w:sz="4" w:space="0"/>
              <w:right w:val="single" w:color="auto" w:sz="4" w:space="0"/>
            </w:tcBorders>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其他</w:t>
            </w:r>
          </w:p>
        </w:tc>
        <w:tc>
          <w:tcPr>
            <w:tcW w:w="5445" w:type="dxa"/>
            <w:tcBorders>
              <w:top w:val="single" w:color="auto" w:sz="4" w:space="0"/>
              <w:left w:val="single" w:color="auto" w:sz="4" w:space="0"/>
              <w:bottom w:val="single" w:color="auto" w:sz="4" w:space="0"/>
              <w:right w:val="single" w:color="auto" w:sz="4" w:space="0"/>
            </w:tcBorders>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u w:val="single"/>
              </w:rPr>
            </w:pPr>
          </w:p>
        </w:tc>
        <w:tc>
          <w:tcPr>
            <w:tcW w:w="930" w:type="dxa"/>
            <w:tcBorders>
              <w:top w:val="single" w:color="auto" w:sz="4" w:space="0"/>
              <w:left w:val="single" w:color="auto" w:sz="4" w:space="0"/>
              <w:bottom w:val="single" w:color="auto" w:sz="4" w:space="0"/>
              <w:right w:val="single" w:color="auto" w:sz="4" w:space="0"/>
            </w:tcBorders>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r>
      <w:bookmarkEnd w:id="299"/>
    </w:tbl>
    <w:p>
      <w:pPr>
        <w:pageBreakBefore w:val="0"/>
        <w:kinsoku/>
        <w:overflowPunct/>
        <w:topLinePunct w:val="0"/>
        <w:bidi w:val="0"/>
        <w:spacing w:line="360" w:lineRule="auto"/>
        <w:ind w:firstLine="527" w:firstLineChars="250"/>
        <w:textAlignment w:val="auto"/>
        <w:rPr>
          <w:rFonts w:hint="eastAsia" w:ascii="仿宋" w:hAnsi="仿宋" w:eastAsia="仿宋" w:cs="仿宋"/>
          <w:b/>
          <w:bCs/>
          <w:color w:val="auto"/>
          <w:sz w:val="21"/>
          <w:szCs w:val="21"/>
          <w:highlight w:val="none"/>
        </w:rPr>
      </w:pPr>
    </w:p>
    <w:p>
      <w:pPr>
        <w:rPr>
          <w:rFonts w:hint="eastAsia" w:ascii="仿宋" w:hAnsi="仿宋" w:eastAsia="仿宋" w:cs="仿宋"/>
          <w:b w:val="0"/>
          <w:bCs w:val="0"/>
          <w:color w:val="auto"/>
          <w:kern w:val="0"/>
          <w:sz w:val="21"/>
          <w:szCs w:val="20"/>
          <w:highlight w:val="none"/>
          <w:lang w:val="en-US" w:eastAsia="zh-CN" w:bidi="ar-SA"/>
        </w:rPr>
      </w:pPr>
      <w:r>
        <w:rPr>
          <w:rFonts w:hint="eastAsia" w:ascii="仿宋" w:hAnsi="仿宋" w:eastAsia="仿宋" w:cs="仿宋"/>
          <w:b w:val="0"/>
          <w:bCs w:val="0"/>
          <w:color w:val="auto"/>
          <w:kern w:val="0"/>
          <w:sz w:val="21"/>
          <w:szCs w:val="20"/>
          <w:highlight w:val="none"/>
          <w:lang w:val="en-US" w:eastAsia="zh-CN" w:bidi="ar-SA"/>
        </w:rPr>
        <w:t>注：此表放置于封面后第一页。</w:t>
      </w:r>
    </w:p>
    <w:p>
      <w:pPr>
        <w:pStyle w:val="27"/>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highlight w:val="none"/>
        </w:rPr>
      </w:pPr>
    </w:p>
    <w:p>
      <w:pPr>
        <w:pStyle w:val="27"/>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highlight w:val="none"/>
          <w:u w:val="single"/>
        </w:rPr>
      </w:pPr>
      <w:r>
        <w:rPr>
          <w:rFonts w:hint="eastAsia" w:ascii="仿宋" w:hAnsi="仿宋" w:eastAsia="仿宋" w:cs="仿宋"/>
          <w:color w:val="auto"/>
          <w:sz w:val="21"/>
          <w:highlight w:val="none"/>
        </w:rPr>
        <w:t>投标人：</w:t>
      </w:r>
      <w:r>
        <w:rPr>
          <w:rFonts w:hint="eastAsia" w:ascii="仿宋" w:hAnsi="仿宋" w:eastAsia="仿宋" w:cs="仿宋"/>
          <w:color w:val="auto"/>
          <w:sz w:val="21"/>
          <w:highlight w:val="none"/>
          <w:u w:val="single"/>
        </w:rPr>
        <w:t xml:space="preserve">                    （电子签章）</w:t>
      </w:r>
    </w:p>
    <w:p>
      <w:pPr>
        <w:pStyle w:val="27"/>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highlight w:val="none"/>
          <w:u w:val="single"/>
        </w:rPr>
      </w:pPr>
      <w:r>
        <w:rPr>
          <w:rFonts w:hint="eastAsia" w:ascii="仿宋" w:hAnsi="仿宋" w:eastAsia="仿宋" w:cs="仿宋"/>
          <w:color w:val="auto"/>
          <w:sz w:val="21"/>
          <w:highlight w:val="none"/>
        </w:rPr>
        <w:t>法定代表人或其授权委托人：</w:t>
      </w:r>
      <w:r>
        <w:rPr>
          <w:rFonts w:hint="eastAsia" w:ascii="仿宋" w:hAnsi="仿宋" w:eastAsia="仿宋" w:cs="仿宋"/>
          <w:color w:val="auto"/>
          <w:sz w:val="21"/>
          <w:highlight w:val="none"/>
          <w:u w:val="single"/>
        </w:rPr>
        <w:t xml:space="preserve">          （签字或盖章或电子签章）</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日期：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p>
      <w:pPr>
        <w:pStyle w:val="5"/>
        <w:pageBreakBefore w:val="0"/>
        <w:kinsoku/>
        <w:overflowPunct/>
        <w:topLinePunct w:val="0"/>
        <w:bidi w:val="0"/>
        <w:spacing w:line="360" w:lineRule="auto"/>
        <w:ind w:left="720" w:hanging="720"/>
        <w:jc w:val="center"/>
        <w:textAlignment w:val="auto"/>
        <w:rPr>
          <w:rFonts w:hint="eastAsia" w:ascii="仿宋" w:hAnsi="仿宋" w:eastAsia="仿宋" w:cs="仿宋"/>
          <w:color w:val="auto"/>
          <w:sz w:val="24"/>
          <w:szCs w:val="24"/>
          <w:highlight w:val="none"/>
          <w:lang w:val="en-US" w:eastAsia="zh-CN"/>
        </w:rPr>
      </w:pPr>
      <w:bookmarkStart w:id="300" w:name="_Toc1596"/>
      <w:bookmarkStart w:id="301" w:name="_Toc20330"/>
      <w:bookmarkStart w:id="302" w:name="_Toc28205"/>
      <w:r>
        <w:rPr>
          <w:rFonts w:hint="eastAsia" w:ascii="仿宋" w:hAnsi="仿宋" w:eastAsia="仿宋" w:cs="仿宋"/>
          <w:color w:val="auto"/>
          <w:sz w:val="24"/>
          <w:szCs w:val="24"/>
          <w:highlight w:val="none"/>
          <w:lang w:val="en-US" w:eastAsia="zh-CN"/>
        </w:rPr>
        <w:t>（二）分项价格表</w:t>
      </w:r>
      <w:bookmarkEnd w:id="300"/>
      <w:bookmarkEnd w:id="301"/>
      <w:bookmarkEnd w:id="302"/>
    </w:p>
    <w:tbl>
      <w:tblPr>
        <w:tblStyle w:val="56"/>
        <w:tblW w:w="97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1502"/>
        <w:gridCol w:w="4322"/>
        <w:gridCol w:w="746"/>
        <w:gridCol w:w="1127"/>
        <w:gridCol w:w="13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1" w:hRule="atLeast"/>
        </w:trPr>
        <w:tc>
          <w:tcPr>
            <w:tcW w:w="755" w:type="dxa"/>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502" w:type="dxa"/>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产品（项目）名称</w:t>
            </w:r>
          </w:p>
        </w:tc>
        <w:tc>
          <w:tcPr>
            <w:tcW w:w="4322" w:type="dxa"/>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基本指标</w:t>
            </w:r>
          </w:p>
        </w:tc>
        <w:tc>
          <w:tcPr>
            <w:tcW w:w="746" w:type="dxa"/>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数量</w:t>
            </w:r>
          </w:p>
        </w:tc>
        <w:tc>
          <w:tcPr>
            <w:tcW w:w="1127" w:type="dxa"/>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全费用综合单价（元）</w:t>
            </w:r>
          </w:p>
        </w:tc>
        <w:tc>
          <w:tcPr>
            <w:tcW w:w="1319" w:type="dxa"/>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本项总价（元）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2" w:hRule="atLeast"/>
        </w:trPr>
        <w:tc>
          <w:tcPr>
            <w:tcW w:w="755" w:type="dxa"/>
            <w:vAlign w:val="top"/>
          </w:tcPr>
          <w:p>
            <w:pPr>
              <w:jc w:val="center"/>
              <w:rPr>
                <w:rFonts w:hint="eastAsia" w:ascii="仿宋" w:hAnsi="仿宋" w:eastAsia="仿宋" w:cs="仿宋"/>
                <w:color w:val="auto"/>
                <w:szCs w:val="21"/>
                <w:highlight w:val="none"/>
              </w:rPr>
            </w:pPr>
          </w:p>
        </w:tc>
        <w:tc>
          <w:tcPr>
            <w:tcW w:w="1502" w:type="dxa"/>
            <w:vAlign w:val="top"/>
          </w:tcPr>
          <w:p>
            <w:pPr>
              <w:rPr>
                <w:rFonts w:hint="eastAsia" w:ascii="仿宋" w:hAnsi="仿宋" w:eastAsia="仿宋" w:cs="仿宋"/>
                <w:color w:val="auto"/>
                <w:szCs w:val="21"/>
                <w:highlight w:val="none"/>
              </w:rPr>
            </w:pPr>
          </w:p>
        </w:tc>
        <w:tc>
          <w:tcPr>
            <w:tcW w:w="4322" w:type="dxa"/>
            <w:vAlign w:val="top"/>
          </w:tcPr>
          <w:p>
            <w:pPr>
              <w:rPr>
                <w:rFonts w:hint="eastAsia" w:ascii="仿宋" w:hAnsi="仿宋" w:eastAsia="仿宋" w:cs="仿宋"/>
                <w:bCs/>
                <w:color w:val="auto"/>
                <w:szCs w:val="21"/>
                <w:highlight w:val="none"/>
              </w:rPr>
            </w:pPr>
          </w:p>
        </w:tc>
        <w:tc>
          <w:tcPr>
            <w:tcW w:w="746" w:type="dxa"/>
            <w:vAlign w:val="top"/>
          </w:tcPr>
          <w:p>
            <w:pPr>
              <w:jc w:val="center"/>
              <w:rPr>
                <w:rFonts w:hint="eastAsia" w:ascii="仿宋" w:hAnsi="仿宋" w:eastAsia="仿宋" w:cs="仿宋"/>
                <w:color w:val="auto"/>
                <w:szCs w:val="21"/>
                <w:highlight w:val="none"/>
              </w:rPr>
            </w:pPr>
          </w:p>
        </w:tc>
        <w:tc>
          <w:tcPr>
            <w:tcW w:w="1127" w:type="dxa"/>
            <w:vAlign w:val="top"/>
          </w:tcPr>
          <w:p>
            <w:pPr>
              <w:jc w:val="center"/>
              <w:rPr>
                <w:rFonts w:hint="eastAsia" w:ascii="仿宋" w:hAnsi="仿宋" w:eastAsia="仿宋" w:cs="仿宋"/>
                <w:color w:val="auto"/>
                <w:szCs w:val="21"/>
                <w:highlight w:val="none"/>
              </w:rPr>
            </w:pPr>
          </w:p>
        </w:tc>
        <w:tc>
          <w:tcPr>
            <w:tcW w:w="1319" w:type="dxa"/>
            <w:vAlign w:val="top"/>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2" w:hRule="atLeast"/>
        </w:trPr>
        <w:tc>
          <w:tcPr>
            <w:tcW w:w="755" w:type="dxa"/>
            <w:vAlign w:val="top"/>
          </w:tcPr>
          <w:p>
            <w:pPr>
              <w:jc w:val="center"/>
              <w:rPr>
                <w:rFonts w:hint="eastAsia" w:ascii="仿宋" w:hAnsi="仿宋" w:eastAsia="仿宋" w:cs="仿宋"/>
                <w:color w:val="auto"/>
                <w:szCs w:val="21"/>
                <w:highlight w:val="none"/>
              </w:rPr>
            </w:pPr>
          </w:p>
        </w:tc>
        <w:tc>
          <w:tcPr>
            <w:tcW w:w="1502" w:type="dxa"/>
            <w:vAlign w:val="top"/>
          </w:tcPr>
          <w:p>
            <w:pPr>
              <w:rPr>
                <w:rFonts w:hint="eastAsia" w:ascii="仿宋" w:hAnsi="仿宋" w:eastAsia="仿宋" w:cs="仿宋"/>
                <w:color w:val="auto"/>
                <w:szCs w:val="21"/>
                <w:highlight w:val="none"/>
              </w:rPr>
            </w:pPr>
          </w:p>
        </w:tc>
        <w:tc>
          <w:tcPr>
            <w:tcW w:w="4322" w:type="dxa"/>
            <w:vAlign w:val="top"/>
          </w:tcPr>
          <w:p>
            <w:pPr>
              <w:rPr>
                <w:rFonts w:hint="eastAsia" w:ascii="仿宋" w:hAnsi="仿宋" w:eastAsia="仿宋" w:cs="仿宋"/>
                <w:bCs/>
                <w:color w:val="auto"/>
                <w:szCs w:val="21"/>
                <w:highlight w:val="none"/>
              </w:rPr>
            </w:pPr>
          </w:p>
        </w:tc>
        <w:tc>
          <w:tcPr>
            <w:tcW w:w="746" w:type="dxa"/>
            <w:vAlign w:val="top"/>
          </w:tcPr>
          <w:p>
            <w:pPr>
              <w:jc w:val="center"/>
              <w:rPr>
                <w:rFonts w:hint="eastAsia" w:ascii="仿宋" w:hAnsi="仿宋" w:eastAsia="仿宋" w:cs="仿宋"/>
                <w:color w:val="auto"/>
                <w:szCs w:val="21"/>
                <w:highlight w:val="none"/>
              </w:rPr>
            </w:pPr>
          </w:p>
        </w:tc>
        <w:tc>
          <w:tcPr>
            <w:tcW w:w="1127" w:type="dxa"/>
            <w:vAlign w:val="top"/>
          </w:tcPr>
          <w:p>
            <w:pPr>
              <w:jc w:val="center"/>
              <w:rPr>
                <w:rFonts w:hint="eastAsia" w:ascii="仿宋" w:hAnsi="仿宋" w:eastAsia="仿宋" w:cs="仿宋"/>
                <w:color w:val="auto"/>
                <w:szCs w:val="21"/>
                <w:highlight w:val="none"/>
              </w:rPr>
            </w:pPr>
          </w:p>
        </w:tc>
        <w:tc>
          <w:tcPr>
            <w:tcW w:w="1319" w:type="dxa"/>
            <w:vAlign w:val="top"/>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2" w:hRule="atLeast"/>
        </w:trPr>
        <w:tc>
          <w:tcPr>
            <w:tcW w:w="755" w:type="dxa"/>
            <w:vAlign w:val="top"/>
          </w:tcPr>
          <w:p>
            <w:pPr>
              <w:jc w:val="center"/>
              <w:rPr>
                <w:rFonts w:hint="eastAsia" w:ascii="仿宋" w:hAnsi="仿宋" w:eastAsia="仿宋" w:cs="仿宋"/>
                <w:color w:val="auto"/>
                <w:szCs w:val="21"/>
                <w:highlight w:val="none"/>
              </w:rPr>
            </w:pPr>
          </w:p>
        </w:tc>
        <w:tc>
          <w:tcPr>
            <w:tcW w:w="1502" w:type="dxa"/>
            <w:vAlign w:val="top"/>
          </w:tcPr>
          <w:p>
            <w:pPr>
              <w:rPr>
                <w:rFonts w:hint="eastAsia" w:ascii="仿宋" w:hAnsi="仿宋" w:eastAsia="仿宋" w:cs="仿宋"/>
                <w:color w:val="auto"/>
                <w:szCs w:val="21"/>
                <w:highlight w:val="none"/>
              </w:rPr>
            </w:pPr>
          </w:p>
        </w:tc>
        <w:tc>
          <w:tcPr>
            <w:tcW w:w="4322" w:type="dxa"/>
            <w:vAlign w:val="top"/>
          </w:tcPr>
          <w:p>
            <w:pPr>
              <w:rPr>
                <w:rFonts w:hint="eastAsia" w:ascii="仿宋" w:hAnsi="仿宋" w:eastAsia="仿宋" w:cs="仿宋"/>
                <w:color w:val="auto"/>
                <w:szCs w:val="21"/>
                <w:highlight w:val="none"/>
              </w:rPr>
            </w:pPr>
          </w:p>
        </w:tc>
        <w:tc>
          <w:tcPr>
            <w:tcW w:w="746" w:type="dxa"/>
            <w:vAlign w:val="top"/>
          </w:tcPr>
          <w:p>
            <w:pPr>
              <w:jc w:val="center"/>
              <w:rPr>
                <w:rFonts w:hint="eastAsia" w:ascii="仿宋" w:hAnsi="仿宋" w:eastAsia="仿宋" w:cs="仿宋"/>
                <w:color w:val="auto"/>
                <w:szCs w:val="21"/>
                <w:highlight w:val="none"/>
              </w:rPr>
            </w:pPr>
          </w:p>
        </w:tc>
        <w:tc>
          <w:tcPr>
            <w:tcW w:w="1127" w:type="dxa"/>
            <w:vAlign w:val="top"/>
          </w:tcPr>
          <w:p>
            <w:pPr>
              <w:jc w:val="center"/>
              <w:rPr>
                <w:rFonts w:hint="eastAsia" w:ascii="仿宋" w:hAnsi="仿宋" w:eastAsia="仿宋" w:cs="仿宋"/>
                <w:color w:val="auto"/>
                <w:szCs w:val="21"/>
                <w:highlight w:val="none"/>
              </w:rPr>
            </w:pPr>
          </w:p>
        </w:tc>
        <w:tc>
          <w:tcPr>
            <w:tcW w:w="1319" w:type="dxa"/>
            <w:vAlign w:val="top"/>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755" w:type="dxa"/>
            <w:vAlign w:val="top"/>
          </w:tcPr>
          <w:p>
            <w:pPr>
              <w:jc w:val="center"/>
              <w:rPr>
                <w:rFonts w:hint="eastAsia" w:ascii="仿宋" w:hAnsi="仿宋" w:eastAsia="仿宋" w:cs="仿宋"/>
                <w:color w:val="auto"/>
                <w:szCs w:val="21"/>
                <w:highlight w:val="none"/>
              </w:rPr>
            </w:pPr>
          </w:p>
        </w:tc>
        <w:tc>
          <w:tcPr>
            <w:tcW w:w="1502" w:type="dxa"/>
            <w:vAlign w:val="top"/>
          </w:tcPr>
          <w:p>
            <w:pPr>
              <w:rPr>
                <w:rFonts w:hint="eastAsia" w:ascii="仿宋" w:hAnsi="仿宋" w:eastAsia="仿宋" w:cs="仿宋"/>
                <w:color w:val="auto"/>
                <w:szCs w:val="21"/>
                <w:highlight w:val="none"/>
              </w:rPr>
            </w:pPr>
          </w:p>
        </w:tc>
        <w:tc>
          <w:tcPr>
            <w:tcW w:w="4322" w:type="dxa"/>
            <w:vAlign w:val="top"/>
          </w:tcPr>
          <w:p>
            <w:pPr>
              <w:rPr>
                <w:rFonts w:hint="eastAsia" w:ascii="仿宋" w:hAnsi="仿宋" w:eastAsia="仿宋" w:cs="仿宋"/>
                <w:color w:val="auto"/>
                <w:szCs w:val="21"/>
                <w:highlight w:val="none"/>
              </w:rPr>
            </w:pPr>
          </w:p>
        </w:tc>
        <w:tc>
          <w:tcPr>
            <w:tcW w:w="746" w:type="dxa"/>
            <w:vAlign w:val="top"/>
          </w:tcPr>
          <w:p>
            <w:pPr>
              <w:jc w:val="center"/>
              <w:rPr>
                <w:rFonts w:hint="eastAsia" w:ascii="仿宋" w:hAnsi="仿宋" w:eastAsia="仿宋" w:cs="仿宋"/>
                <w:color w:val="auto"/>
                <w:szCs w:val="21"/>
                <w:highlight w:val="none"/>
              </w:rPr>
            </w:pPr>
          </w:p>
        </w:tc>
        <w:tc>
          <w:tcPr>
            <w:tcW w:w="1127" w:type="dxa"/>
            <w:vAlign w:val="top"/>
          </w:tcPr>
          <w:p>
            <w:pPr>
              <w:jc w:val="center"/>
              <w:rPr>
                <w:rFonts w:hint="eastAsia" w:ascii="仿宋" w:hAnsi="仿宋" w:eastAsia="仿宋" w:cs="仿宋"/>
                <w:color w:val="auto"/>
                <w:szCs w:val="21"/>
                <w:highlight w:val="none"/>
              </w:rPr>
            </w:pPr>
          </w:p>
        </w:tc>
        <w:tc>
          <w:tcPr>
            <w:tcW w:w="1319" w:type="dxa"/>
            <w:vAlign w:val="top"/>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4" w:hRule="atLeast"/>
        </w:trPr>
        <w:tc>
          <w:tcPr>
            <w:tcW w:w="755" w:type="dxa"/>
            <w:vAlign w:val="to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7697" w:type="dxa"/>
            <w:gridSpan w:val="4"/>
            <w:vAlign w:val="to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319" w:type="dxa"/>
            <w:vAlign w:val="top"/>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4" w:hRule="atLeast"/>
        </w:trPr>
        <w:tc>
          <w:tcPr>
            <w:tcW w:w="8452" w:type="dxa"/>
            <w:gridSpan w:val="5"/>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总 报 价</w:t>
            </w:r>
          </w:p>
        </w:tc>
        <w:tc>
          <w:tcPr>
            <w:tcW w:w="1319" w:type="dxa"/>
            <w:vAlign w:val="top"/>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68" w:hRule="atLeast"/>
        </w:trPr>
        <w:tc>
          <w:tcPr>
            <w:tcW w:w="9771" w:type="dxa"/>
            <w:gridSpan w:val="6"/>
            <w:vAlign w:val="top"/>
          </w:tcPr>
          <w:p>
            <w:pPr>
              <w:spacing w:line="420" w:lineRule="exac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1、以上报价包括货款价及货物的运输（含：二次转运）、卸车费、人工费、税金等所有费用。</w:t>
            </w:r>
          </w:p>
          <w:p>
            <w:pPr>
              <w:spacing w:line="420" w:lineRule="exact"/>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2、投标报价一旦成为中标价，其单价在合同期内不得调整，以实际供货数量按实结算，供应商不得因采购人增加或减少数量要求调整中标单价。</w:t>
            </w:r>
          </w:p>
        </w:tc>
      </w:tr>
    </w:tbl>
    <w:p>
      <w:pPr>
        <w:tabs>
          <w:tab w:val="left" w:pos="360"/>
          <w:tab w:val="left" w:pos="720"/>
        </w:tabs>
        <w:spacing w:line="500" w:lineRule="exact"/>
        <w:ind w:firstLine="600" w:firstLineChars="300"/>
        <w:rPr>
          <w:rFonts w:hint="eastAsia" w:ascii="仿宋" w:hAnsi="仿宋" w:eastAsia="仿宋" w:cs="仿宋"/>
          <w:bCs/>
          <w:color w:val="auto"/>
          <w:sz w:val="20"/>
          <w:szCs w:val="15"/>
          <w:highlight w:val="none"/>
        </w:rPr>
      </w:pPr>
      <w:r>
        <w:rPr>
          <w:rFonts w:hint="eastAsia" w:ascii="仿宋" w:hAnsi="仿宋" w:eastAsia="仿宋" w:cs="仿宋"/>
          <w:bCs/>
          <w:color w:val="auto"/>
          <w:sz w:val="20"/>
          <w:szCs w:val="15"/>
          <w:highlight w:val="none"/>
        </w:rPr>
        <w:t>注：1、如果分项报价与总报价不一致，以分项报价的汇总价为准。</w:t>
      </w:r>
    </w:p>
    <w:p>
      <w:pPr>
        <w:numPr>
          <w:ilvl w:val="0"/>
          <w:numId w:val="12"/>
        </w:numPr>
        <w:tabs>
          <w:tab w:val="left" w:pos="360"/>
          <w:tab w:val="left" w:pos="720"/>
        </w:tabs>
        <w:spacing w:line="500" w:lineRule="exact"/>
        <w:ind w:firstLine="1000" w:firstLineChars="500"/>
        <w:rPr>
          <w:rFonts w:hint="eastAsia" w:ascii="仿宋" w:hAnsi="仿宋" w:eastAsia="仿宋" w:cs="仿宋"/>
          <w:bCs/>
          <w:color w:val="auto"/>
          <w:sz w:val="20"/>
          <w:szCs w:val="15"/>
          <w:highlight w:val="none"/>
        </w:rPr>
      </w:pPr>
      <w:r>
        <w:rPr>
          <w:rFonts w:hint="eastAsia" w:ascii="仿宋" w:hAnsi="仿宋" w:eastAsia="仿宋" w:cs="仿宋"/>
          <w:bCs/>
          <w:color w:val="auto"/>
          <w:sz w:val="20"/>
          <w:szCs w:val="15"/>
          <w:highlight w:val="none"/>
        </w:rPr>
        <w:t>分项报价的汇总价应等于“报价一览表”中的总报价。</w:t>
      </w:r>
    </w:p>
    <w:p>
      <w:pPr>
        <w:numPr>
          <w:ilvl w:val="0"/>
          <w:numId w:val="0"/>
        </w:numPr>
        <w:tabs>
          <w:tab w:val="left" w:pos="360"/>
          <w:tab w:val="left" w:pos="720"/>
        </w:tabs>
        <w:spacing w:line="500" w:lineRule="exact"/>
        <w:rPr>
          <w:rFonts w:hint="eastAsia" w:ascii="仿宋" w:hAnsi="仿宋" w:eastAsia="仿宋" w:cs="仿宋"/>
          <w:bCs/>
          <w:color w:val="auto"/>
          <w:sz w:val="20"/>
          <w:szCs w:val="15"/>
          <w:highlight w:val="none"/>
        </w:rPr>
      </w:pPr>
    </w:p>
    <w:p>
      <w:pPr>
        <w:pStyle w:val="27"/>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highlight w:val="none"/>
          <w:u w:val="single"/>
        </w:rPr>
      </w:pPr>
      <w:r>
        <w:rPr>
          <w:rFonts w:hint="eastAsia" w:ascii="仿宋" w:hAnsi="仿宋" w:eastAsia="仿宋" w:cs="仿宋"/>
          <w:color w:val="auto"/>
          <w:sz w:val="21"/>
          <w:highlight w:val="none"/>
        </w:rPr>
        <w:t>投标人：</w:t>
      </w:r>
      <w:r>
        <w:rPr>
          <w:rFonts w:hint="eastAsia" w:ascii="仿宋" w:hAnsi="仿宋" w:eastAsia="仿宋" w:cs="仿宋"/>
          <w:color w:val="auto"/>
          <w:sz w:val="21"/>
          <w:highlight w:val="none"/>
          <w:u w:val="single"/>
        </w:rPr>
        <w:t xml:space="preserve">                    （电子签章）</w:t>
      </w:r>
    </w:p>
    <w:p>
      <w:pPr>
        <w:pStyle w:val="27"/>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highlight w:val="none"/>
          <w:u w:val="single"/>
        </w:rPr>
      </w:pPr>
      <w:r>
        <w:rPr>
          <w:rFonts w:hint="eastAsia" w:ascii="仿宋" w:hAnsi="仿宋" w:eastAsia="仿宋" w:cs="仿宋"/>
          <w:color w:val="auto"/>
          <w:sz w:val="21"/>
          <w:highlight w:val="none"/>
        </w:rPr>
        <w:t>法定代表人或其授权委托人：</w:t>
      </w:r>
      <w:r>
        <w:rPr>
          <w:rFonts w:hint="eastAsia" w:ascii="仿宋" w:hAnsi="仿宋" w:eastAsia="仿宋" w:cs="仿宋"/>
          <w:color w:val="auto"/>
          <w:sz w:val="21"/>
          <w:highlight w:val="none"/>
          <w:u w:val="single"/>
        </w:rPr>
        <w:t xml:space="preserve">          （签字或盖章或电子签章）</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日期：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25"/>
        <w:rPr>
          <w:rFonts w:hint="eastAsia" w:ascii="仿宋" w:hAnsi="仿宋" w:eastAsia="仿宋" w:cs="仿宋"/>
          <w:color w:val="auto"/>
          <w:highlight w:val="none"/>
        </w:rPr>
        <w:sectPr>
          <w:pgSz w:w="11906" w:h="16838"/>
          <w:pgMar w:top="1134" w:right="1417" w:bottom="1134" w:left="1418" w:header="1020" w:footer="992" w:gutter="0"/>
          <w:pgBorders>
            <w:top w:val="none" w:color="auto" w:sz="0" w:space="0"/>
            <w:left w:val="none" w:color="auto" w:sz="0" w:space="0"/>
            <w:bottom w:val="none" w:color="auto" w:sz="0" w:space="0"/>
            <w:right w:val="none" w:color="auto" w:sz="0" w:space="0"/>
          </w:pgBorders>
          <w:pgNumType w:fmt="decimal"/>
          <w:cols w:space="720" w:num="1"/>
          <w:titlePg/>
          <w:docGrid w:linePitch="312" w:charSpace="0"/>
        </w:sectPr>
      </w:pPr>
    </w:p>
    <w:p>
      <w:pPr>
        <w:pStyle w:val="4"/>
        <w:pageBreakBefore w:val="0"/>
        <w:kinsoku/>
        <w:overflowPunct/>
        <w:topLinePunct w:val="0"/>
        <w:bidi w:val="0"/>
        <w:spacing w:line="360" w:lineRule="auto"/>
        <w:jc w:val="center"/>
        <w:textAlignment w:val="auto"/>
        <w:rPr>
          <w:rFonts w:hint="eastAsia" w:ascii="仿宋" w:hAnsi="仿宋" w:eastAsia="仿宋" w:cs="仿宋"/>
          <w:color w:val="auto"/>
          <w:highlight w:val="none"/>
        </w:rPr>
      </w:pPr>
      <w:bookmarkStart w:id="303" w:name="_Toc272515776"/>
      <w:bookmarkStart w:id="304" w:name="_Toc508091931"/>
      <w:bookmarkStart w:id="305" w:name="_Toc30495"/>
      <w:bookmarkStart w:id="306" w:name="_Toc346229155"/>
      <w:bookmarkStart w:id="307" w:name="_Toc107816684"/>
      <w:r>
        <w:rPr>
          <w:rStyle w:val="154"/>
          <w:rFonts w:hint="eastAsia" w:ascii="仿宋" w:hAnsi="仿宋" w:eastAsia="仿宋" w:cs="仿宋"/>
          <w:b/>
          <w:bCs/>
          <w:color w:val="auto"/>
          <w:sz w:val="30"/>
          <w:szCs w:val="30"/>
          <w:highlight w:val="none"/>
        </w:rPr>
        <w:t>第三部分 投标文件技术部分格式</w:t>
      </w:r>
      <w:bookmarkEnd w:id="303"/>
      <w:bookmarkEnd w:id="304"/>
      <w:bookmarkEnd w:id="305"/>
      <w:bookmarkEnd w:id="306"/>
      <w:bookmarkEnd w:id="307"/>
    </w:p>
    <w:p>
      <w:pPr>
        <w:pStyle w:val="5"/>
        <w:pageBreakBefore w:val="0"/>
        <w:kinsoku/>
        <w:overflowPunct/>
        <w:topLinePunct w:val="0"/>
        <w:bidi w:val="0"/>
        <w:spacing w:line="360" w:lineRule="auto"/>
        <w:ind w:left="720" w:hanging="720"/>
        <w:jc w:val="center"/>
        <w:textAlignment w:val="auto"/>
        <w:rPr>
          <w:rFonts w:hint="eastAsia" w:ascii="仿宋" w:hAnsi="仿宋" w:eastAsia="仿宋" w:cs="仿宋"/>
          <w:color w:val="auto"/>
          <w:sz w:val="24"/>
          <w:szCs w:val="24"/>
          <w:highlight w:val="none"/>
          <w:lang w:val="en-US" w:eastAsia="zh-CN"/>
        </w:rPr>
      </w:pPr>
      <w:bookmarkStart w:id="308" w:name="_Toc14986"/>
      <w:bookmarkStart w:id="309" w:name="_Toc27678"/>
      <w:bookmarkStart w:id="310" w:name="_Toc19038"/>
      <w:r>
        <w:rPr>
          <w:rFonts w:hint="eastAsia" w:ascii="仿宋" w:hAnsi="仿宋" w:eastAsia="仿宋" w:cs="仿宋"/>
          <w:color w:val="auto"/>
          <w:sz w:val="24"/>
          <w:szCs w:val="24"/>
          <w:highlight w:val="none"/>
          <w:lang w:val="en-US" w:eastAsia="zh-CN"/>
        </w:rPr>
        <w:t>（一）</w:t>
      </w:r>
      <w:bookmarkStart w:id="311" w:name="_Toc373625395"/>
      <w:bookmarkStart w:id="312" w:name="_Toc18396"/>
      <w:bookmarkStart w:id="313" w:name="_Toc12377005"/>
      <w:bookmarkStart w:id="314" w:name="_Toc5299"/>
      <w:bookmarkStart w:id="315" w:name="_Toc452202344"/>
      <w:bookmarkStart w:id="316" w:name="_Toc213141099"/>
      <w:bookmarkStart w:id="317" w:name="_Toc386093488"/>
      <w:bookmarkStart w:id="318" w:name="_Toc5138"/>
      <w:bookmarkEnd w:id="308"/>
      <w:bookmarkEnd w:id="309"/>
      <w:r>
        <w:rPr>
          <w:rFonts w:hint="eastAsia" w:ascii="仿宋" w:hAnsi="仿宋" w:eastAsia="仿宋" w:cs="仿宋"/>
          <w:color w:val="auto"/>
          <w:sz w:val="24"/>
          <w:szCs w:val="24"/>
          <w:highlight w:val="none"/>
          <w:lang w:val="en-US" w:eastAsia="zh-CN"/>
        </w:rPr>
        <w:t>技术规格偏离表</w:t>
      </w:r>
      <w:bookmarkEnd w:id="310"/>
      <w:bookmarkEnd w:id="311"/>
      <w:bookmarkEnd w:id="312"/>
      <w:bookmarkEnd w:id="313"/>
      <w:bookmarkEnd w:id="314"/>
      <w:bookmarkEnd w:id="315"/>
      <w:bookmarkEnd w:id="316"/>
      <w:bookmarkEnd w:id="317"/>
      <w:bookmarkEnd w:id="318"/>
    </w:p>
    <w:p>
      <w:pPr>
        <w:pStyle w:val="27"/>
        <w:ind w:firstLine="210" w:firstLine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请按投标产品的实际技术参数，逐条对应招标文件的“</w:t>
      </w:r>
      <w:r>
        <w:rPr>
          <w:rFonts w:hint="eastAsia" w:ascii="仿宋" w:hAnsi="仿宋" w:eastAsia="仿宋" w:cs="仿宋"/>
          <w:b/>
          <w:color w:val="auto"/>
          <w:sz w:val="21"/>
          <w:szCs w:val="21"/>
          <w:highlight w:val="none"/>
          <w:lang w:eastAsia="zh-CN"/>
        </w:rPr>
        <w:t>采购清单中的</w:t>
      </w:r>
      <w:r>
        <w:rPr>
          <w:rFonts w:hint="eastAsia" w:ascii="仿宋" w:hAnsi="仿宋" w:eastAsia="仿宋" w:cs="仿宋"/>
          <w:b/>
          <w:color w:val="auto"/>
          <w:sz w:val="21"/>
          <w:szCs w:val="21"/>
          <w:highlight w:val="none"/>
        </w:rPr>
        <w:t>技术</w:t>
      </w:r>
      <w:r>
        <w:rPr>
          <w:rFonts w:hint="eastAsia" w:ascii="仿宋" w:hAnsi="仿宋" w:eastAsia="仿宋" w:cs="仿宋"/>
          <w:b/>
          <w:color w:val="auto"/>
          <w:sz w:val="21"/>
          <w:szCs w:val="21"/>
          <w:highlight w:val="none"/>
          <w:lang w:eastAsia="zh-CN"/>
        </w:rPr>
        <w:t>指标</w:t>
      </w:r>
      <w:r>
        <w:rPr>
          <w:rFonts w:hint="eastAsia" w:ascii="仿宋" w:hAnsi="仿宋" w:eastAsia="仿宋" w:cs="仿宋"/>
          <w:b/>
          <w:color w:val="auto"/>
          <w:sz w:val="21"/>
          <w:szCs w:val="21"/>
          <w:highlight w:val="none"/>
        </w:rPr>
        <w:t>要求</w:t>
      </w:r>
      <w:r>
        <w:rPr>
          <w:rFonts w:hint="eastAsia" w:ascii="仿宋" w:hAnsi="仿宋" w:eastAsia="仿宋" w:cs="仿宋"/>
          <w:color w:val="auto"/>
          <w:sz w:val="21"/>
          <w:szCs w:val="21"/>
          <w:highlight w:val="none"/>
        </w:rPr>
        <w:t>”认真填写该表，该表不能作为投标产品的技术文件。</w:t>
      </w:r>
    </w:p>
    <w:p>
      <w:pPr>
        <w:pStyle w:val="27"/>
        <w:ind w:firstLine="210" w:firstLineChars="100"/>
        <w:rPr>
          <w:rFonts w:hint="eastAsia" w:ascii="仿宋" w:hAnsi="仿宋" w:eastAsia="仿宋" w:cs="仿宋"/>
          <w:color w:val="auto"/>
          <w:sz w:val="21"/>
          <w:szCs w:val="21"/>
          <w:highlight w:val="none"/>
        </w:rPr>
      </w:pPr>
    </w:p>
    <w:p>
      <w:pPr>
        <w:pStyle w:val="27"/>
        <w:rPr>
          <w:rFonts w:hint="eastAsia" w:ascii="仿宋" w:hAnsi="仿宋" w:eastAsia="仿宋" w:cs="仿宋"/>
          <w:b/>
          <w:color w:val="auto"/>
          <w:sz w:val="21"/>
          <w:szCs w:val="21"/>
          <w:highlight w:val="none"/>
          <w:u w:val="single"/>
        </w:rPr>
      </w:pPr>
      <w:r>
        <w:rPr>
          <w:rFonts w:hint="eastAsia" w:ascii="仿宋" w:hAnsi="仿宋" w:eastAsia="仿宋" w:cs="仿宋"/>
          <w:b/>
          <w:color w:val="auto"/>
          <w:sz w:val="21"/>
          <w:szCs w:val="21"/>
          <w:highlight w:val="none"/>
        </w:rPr>
        <w:t>项目名称：</w:t>
      </w:r>
      <w:r>
        <w:rPr>
          <w:rFonts w:hint="eastAsia" w:ascii="仿宋" w:hAnsi="仿宋" w:eastAsia="仿宋" w:cs="仿宋"/>
          <w:b/>
          <w:color w:val="auto"/>
          <w:sz w:val="21"/>
          <w:szCs w:val="21"/>
          <w:highlight w:val="none"/>
          <w:u w:val="single"/>
        </w:rPr>
        <w:t>　　　　　　　　　　</w:t>
      </w:r>
      <w:r>
        <w:rPr>
          <w:rFonts w:hint="eastAsia" w:ascii="仿宋" w:hAnsi="仿宋" w:eastAsia="仿宋" w:cs="仿宋"/>
          <w:b/>
          <w:color w:val="auto"/>
          <w:sz w:val="21"/>
          <w:szCs w:val="21"/>
          <w:highlight w:val="none"/>
        </w:rPr>
        <w:t>　　　　　　　　　　　 招标编号：</w:t>
      </w:r>
      <w:r>
        <w:rPr>
          <w:rFonts w:hint="eastAsia" w:ascii="仿宋" w:hAnsi="仿宋" w:eastAsia="仿宋" w:cs="仿宋"/>
          <w:b/>
          <w:color w:val="auto"/>
          <w:sz w:val="21"/>
          <w:szCs w:val="21"/>
          <w:highlight w:val="none"/>
          <w:u w:val="single"/>
        </w:rPr>
        <w:t>　　　　　　　　</w:t>
      </w:r>
    </w:p>
    <w:tbl>
      <w:tblPr>
        <w:tblStyle w:val="56"/>
        <w:tblW w:w="974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8"/>
        <w:gridCol w:w="801"/>
        <w:gridCol w:w="2268"/>
        <w:gridCol w:w="2694"/>
        <w:gridCol w:w="992"/>
        <w:gridCol w:w="198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523" w:hRule="atLeast"/>
        </w:trPr>
        <w:tc>
          <w:tcPr>
            <w:tcW w:w="1008" w:type="dxa"/>
            <w:vAlign w:val="center"/>
          </w:tcPr>
          <w:p>
            <w:pPr>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产品名称</w:t>
            </w:r>
          </w:p>
        </w:tc>
        <w:tc>
          <w:tcPr>
            <w:tcW w:w="801" w:type="dxa"/>
            <w:vAlign w:val="center"/>
          </w:tcPr>
          <w:p>
            <w:pPr>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序号</w:t>
            </w:r>
          </w:p>
        </w:tc>
        <w:tc>
          <w:tcPr>
            <w:tcW w:w="2268" w:type="dxa"/>
            <w:vAlign w:val="center"/>
          </w:tcPr>
          <w:p>
            <w:pPr>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招标文件技术规范、要求</w:t>
            </w:r>
          </w:p>
        </w:tc>
        <w:tc>
          <w:tcPr>
            <w:tcW w:w="2694" w:type="dxa"/>
            <w:vAlign w:val="center"/>
          </w:tcPr>
          <w:p>
            <w:pPr>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投标型号、技术参数及配置</w:t>
            </w:r>
          </w:p>
        </w:tc>
        <w:tc>
          <w:tcPr>
            <w:tcW w:w="992" w:type="dxa"/>
            <w:vAlign w:val="center"/>
          </w:tcPr>
          <w:p>
            <w:pPr>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偏离</w:t>
            </w:r>
          </w:p>
        </w:tc>
        <w:tc>
          <w:tcPr>
            <w:tcW w:w="1984" w:type="dxa"/>
            <w:vAlign w:val="center"/>
          </w:tcPr>
          <w:p>
            <w:pPr>
              <w:ind w:right="68" w:rightChars="34"/>
              <w:jc w:val="center"/>
              <w:rPr>
                <w:rFonts w:hint="eastAsia" w:ascii="仿宋" w:hAnsi="仿宋" w:eastAsia="仿宋" w:cs="仿宋"/>
                <w:b/>
                <w:color w:val="auto"/>
                <w:sz w:val="21"/>
                <w:szCs w:val="21"/>
                <w:highlight w:val="none"/>
              </w:rPr>
            </w:pPr>
            <w:r>
              <w:rPr>
                <w:rFonts w:hint="eastAsia" w:ascii="仿宋" w:hAnsi="仿宋" w:eastAsia="仿宋" w:cs="仿宋"/>
                <w:b/>
                <w:bCs/>
                <w:color w:val="auto"/>
                <w:sz w:val="21"/>
                <w:szCs w:val="21"/>
                <w:highlight w:val="none"/>
              </w:rPr>
              <w:t>技术支持资料索引（页码及条目号等）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305" w:hRule="atLeast"/>
        </w:trPr>
        <w:tc>
          <w:tcPr>
            <w:tcW w:w="1008" w:type="dxa"/>
            <w:vAlign w:val="center"/>
          </w:tcPr>
          <w:p>
            <w:pPr>
              <w:spacing w:line="360" w:lineRule="auto"/>
              <w:jc w:val="center"/>
              <w:rPr>
                <w:rFonts w:hint="eastAsia" w:ascii="仿宋" w:hAnsi="仿宋" w:eastAsia="仿宋" w:cs="仿宋"/>
                <w:color w:val="auto"/>
                <w:sz w:val="21"/>
                <w:szCs w:val="21"/>
                <w:highlight w:val="none"/>
              </w:rPr>
            </w:pPr>
          </w:p>
        </w:tc>
        <w:tc>
          <w:tcPr>
            <w:tcW w:w="801" w:type="dxa"/>
            <w:vAlign w:val="center"/>
          </w:tcPr>
          <w:p>
            <w:pPr>
              <w:spacing w:line="360" w:lineRule="auto"/>
              <w:jc w:val="center"/>
              <w:rPr>
                <w:rFonts w:hint="eastAsia" w:ascii="仿宋" w:hAnsi="仿宋" w:eastAsia="仿宋" w:cs="仿宋"/>
                <w:color w:val="auto"/>
                <w:sz w:val="21"/>
                <w:szCs w:val="21"/>
                <w:highlight w:val="none"/>
              </w:rPr>
            </w:pPr>
          </w:p>
        </w:tc>
        <w:tc>
          <w:tcPr>
            <w:tcW w:w="2268" w:type="dxa"/>
            <w:vAlign w:val="center"/>
          </w:tcPr>
          <w:p>
            <w:pPr>
              <w:spacing w:line="360" w:lineRule="auto"/>
              <w:jc w:val="center"/>
              <w:rPr>
                <w:rFonts w:hint="eastAsia" w:ascii="仿宋" w:hAnsi="仿宋" w:eastAsia="仿宋" w:cs="仿宋"/>
                <w:color w:val="auto"/>
                <w:sz w:val="21"/>
                <w:szCs w:val="21"/>
                <w:highlight w:val="none"/>
              </w:rPr>
            </w:pPr>
          </w:p>
        </w:tc>
        <w:tc>
          <w:tcPr>
            <w:tcW w:w="2694" w:type="dxa"/>
            <w:vAlign w:val="center"/>
          </w:tcPr>
          <w:p>
            <w:pPr>
              <w:spacing w:line="360" w:lineRule="auto"/>
              <w:jc w:val="center"/>
              <w:rPr>
                <w:rFonts w:hint="eastAsia" w:ascii="仿宋" w:hAnsi="仿宋" w:eastAsia="仿宋" w:cs="仿宋"/>
                <w:color w:val="auto"/>
                <w:sz w:val="21"/>
                <w:szCs w:val="21"/>
                <w:highlight w:val="none"/>
              </w:rPr>
            </w:pPr>
          </w:p>
        </w:tc>
        <w:tc>
          <w:tcPr>
            <w:tcW w:w="992" w:type="dxa"/>
            <w:vAlign w:val="top"/>
          </w:tcPr>
          <w:p>
            <w:pPr>
              <w:spacing w:line="360" w:lineRule="auto"/>
              <w:jc w:val="center"/>
              <w:rPr>
                <w:rFonts w:hint="eastAsia" w:ascii="仿宋" w:hAnsi="仿宋" w:eastAsia="仿宋" w:cs="仿宋"/>
                <w:color w:val="auto"/>
                <w:sz w:val="21"/>
                <w:szCs w:val="21"/>
                <w:highlight w:val="none"/>
              </w:rPr>
            </w:pPr>
          </w:p>
        </w:tc>
        <w:tc>
          <w:tcPr>
            <w:tcW w:w="1984" w:type="dxa"/>
            <w:vAlign w:val="center"/>
          </w:tcPr>
          <w:p>
            <w:pPr>
              <w:spacing w:line="360" w:lineRule="auto"/>
              <w:jc w:val="center"/>
              <w:rPr>
                <w:rFonts w:hint="eastAsia" w:ascii="仿宋" w:hAnsi="仿宋" w:eastAsia="仿宋" w:cs="仿宋"/>
                <w:color w:val="auto"/>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119" w:hRule="atLeast"/>
        </w:trPr>
        <w:tc>
          <w:tcPr>
            <w:tcW w:w="1008" w:type="dxa"/>
            <w:vAlign w:val="center"/>
          </w:tcPr>
          <w:p>
            <w:pPr>
              <w:spacing w:line="360" w:lineRule="auto"/>
              <w:jc w:val="center"/>
              <w:rPr>
                <w:rFonts w:hint="eastAsia" w:ascii="仿宋" w:hAnsi="仿宋" w:eastAsia="仿宋" w:cs="仿宋"/>
                <w:color w:val="auto"/>
                <w:sz w:val="21"/>
                <w:szCs w:val="21"/>
                <w:highlight w:val="none"/>
              </w:rPr>
            </w:pPr>
          </w:p>
        </w:tc>
        <w:tc>
          <w:tcPr>
            <w:tcW w:w="801" w:type="dxa"/>
            <w:vAlign w:val="center"/>
          </w:tcPr>
          <w:p>
            <w:pPr>
              <w:spacing w:line="360" w:lineRule="auto"/>
              <w:jc w:val="center"/>
              <w:rPr>
                <w:rFonts w:hint="eastAsia" w:ascii="仿宋" w:hAnsi="仿宋" w:eastAsia="仿宋" w:cs="仿宋"/>
                <w:color w:val="auto"/>
                <w:sz w:val="21"/>
                <w:szCs w:val="21"/>
                <w:highlight w:val="none"/>
              </w:rPr>
            </w:pPr>
          </w:p>
        </w:tc>
        <w:tc>
          <w:tcPr>
            <w:tcW w:w="2268" w:type="dxa"/>
            <w:vAlign w:val="center"/>
          </w:tcPr>
          <w:p>
            <w:pPr>
              <w:spacing w:line="360" w:lineRule="auto"/>
              <w:jc w:val="center"/>
              <w:rPr>
                <w:rFonts w:hint="eastAsia" w:ascii="仿宋" w:hAnsi="仿宋" w:eastAsia="仿宋" w:cs="仿宋"/>
                <w:color w:val="auto"/>
                <w:sz w:val="21"/>
                <w:szCs w:val="21"/>
                <w:highlight w:val="none"/>
              </w:rPr>
            </w:pPr>
          </w:p>
        </w:tc>
        <w:tc>
          <w:tcPr>
            <w:tcW w:w="2694" w:type="dxa"/>
            <w:vAlign w:val="center"/>
          </w:tcPr>
          <w:p>
            <w:pPr>
              <w:spacing w:line="360" w:lineRule="auto"/>
              <w:jc w:val="center"/>
              <w:rPr>
                <w:rFonts w:hint="eastAsia" w:ascii="仿宋" w:hAnsi="仿宋" w:eastAsia="仿宋" w:cs="仿宋"/>
                <w:color w:val="auto"/>
                <w:sz w:val="21"/>
                <w:szCs w:val="21"/>
                <w:highlight w:val="none"/>
              </w:rPr>
            </w:pPr>
          </w:p>
        </w:tc>
        <w:tc>
          <w:tcPr>
            <w:tcW w:w="992" w:type="dxa"/>
            <w:vAlign w:val="top"/>
          </w:tcPr>
          <w:p>
            <w:pPr>
              <w:spacing w:line="360" w:lineRule="auto"/>
              <w:jc w:val="center"/>
              <w:rPr>
                <w:rFonts w:hint="eastAsia" w:ascii="仿宋" w:hAnsi="仿宋" w:eastAsia="仿宋" w:cs="仿宋"/>
                <w:color w:val="auto"/>
                <w:sz w:val="21"/>
                <w:szCs w:val="21"/>
                <w:highlight w:val="none"/>
              </w:rPr>
            </w:pPr>
          </w:p>
        </w:tc>
        <w:tc>
          <w:tcPr>
            <w:tcW w:w="1984" w:type="dxa"/>
            <w:vAlign w:val="center"/>
          </w:tcPr>
          <w:p>
            <w:pPr>
              <w:spacing w:line="360" w:lineRule="auto"/>
              <w:jc w:val="center"/>
              <w:rPr>
                <w:rFonts w:hint="eastAsia" w:ascii="仿宋" w:hAnsi="仿宋" w:eastAsia="仿宋" w:cs="仿宋"/>
                <w:color w:val="auto"/>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119" w:hRule="atLeast"/>
        </w:trPr>
        <w:tc>
          <w:tcPr>
            <w:tcW w:w="1008" w:type="dxa"/>
            <w:vAlign w:val="center"/>
          </w:tcPr>
          <w:p>
            <w:pPr>
              <w:spacing w:line="360" w:lineRule="auto"/>
              <w:jc w:val="center"/>
              <w:rPr>
                <w:rFonts w:hint="eastAsia" w:ascii="仿宋" w:hAnsi="仿宋" w:eastAsia="仿宋" w:cs="仿宋"/>
                <w:color w:val="auto"/>
                <w:sz w:val="21"/>
                <w:szCs w:val="21"/>
                <w:highlight w:val="none"/>
              </w:rPr>
            </w:pPr>
          </w:p>
        </w:tc>
        <w:tc>
          <w:tcPr>
            <w:tcW w:w="801" w:type="dxa"/>
            <w:vAlign w:val="center"/>
          </w:tcPr>
          <w:p>
            <w:pPr>
              <w:spacing w:line="360" w:lineRule="auto"/>
              <w:jc w:val="center"/>
              <w:rPr>
                <w:rFonts w:hint="eastAsia" w:ascii="仿宋" w:hAnsi="仿宋" w:eastAsia="仿宋" w:cs="仿宋"/>
                <w:color w:val="auto"/>
                <w:sz w:val="21"/>
                <w:szCs w:val="21"/>
                <w:highlight w:val="none"/>
              </w:rPr>
            </w:pPr>
          </w:p>
        </w:tc>
        <w:tc>
          <w:tcPr>
            <w:tcW w:w="2268" w:type="dxa"/>
            <w:vAlign w:val="center"/>
          </w:tcPr>
          <w:p>
            <w:pPr>
              <w:spacing w:line="360" w:lineRule="auto"/>
              <w:jc w:val="center"/>
              <w:rPr>
                <w:rFonts w:hint="eastAsia" w:ascii="仿宋" w:hAnsi="仿宋" w:eastAsia="仿宋" w:cs="仿宋"/>
                <w:color w:val="auto"/>
                <w:sz w:val="21"/>
                <w:szCs w:val="21"/>
                <w:highlight w:val="none"/>
              </w:rPr>
            </w:pPr>
          </w:p>
        </w:tc>
        <w:tc>
          <w:tcPr>
            <w:tcW w:w="2694" w:type="dxa"/>
            <w:vAlign w:val="center"/>
          </w:tcPr>
          <w:p>
            <w:pPr>
              <w:spacing w:line="360" w:lineRule="auto"/>
              <w:jc w:val="center"/>
              <w:rPr>
                <w:rFonts w:hint="eastAsia" w:ascii="仿宋" w:hAnsi="仿宋" w:eastAsia="仿宋" w:cs="仿宋"/>
                <w:color w:val="auto"/>
                <w:sz w:val="21"/>
                <w:szCs w:val="21"/>
                <w:highlight w:val="none"/>
              </w:rPr>
            </w:pPr>
          </w:p>
        </w:tc>
        <w:tc>
          <w:tcPr>
            <w:tcW w:w="992" w:type="dxa"/>
            <w:vAlign w:val="top"/>
          </w:tcPr>
          <w:p>
            <w:pPr>
              <w:spacing w:line="360" w:lineRule="auto"/>
              <w:jc w:val="center"/>
              <w:rPr>
                <w:rFonts w:hint="eastAsia" w:ascii="仿宋" w:hAnsi="仿宋" w:eastAsia="仿宋" w:cs="仿宋"/>
                <w:color w:val="auto"/>
                <w:sz w:val="21"/>
                <w:szCs w:val="21"/>
                <w:highlight w:val="none"/>
              </w:rPr>
            </w:pPr>
          </w:p>
        </w:tc>
        <w:tc>
          <w:tcPr>
            <w:tcW w:w="1984" w:type="dxa"/>
            <w:vAlign w:val="center"/>
          </w:tcPr>
          <w:p>
            <w:pPr>
              <w:spacing w:line="360" w:lineRule="auto"/>
              <w:jc w:val="center"/>
              <w:rPr>
                <w:rFonts w:hint="eastAsia" w:ascii="仿宋" w:hAnsi="仿宋" w:eastAsia="仿宋" w:cs="仿宋"/>
                <w:color w:val="auto"/>
                <w:sz w:val="21"/>
                <w:szCs w:val="21"/>
                <w:highlight w:val="none"/>
              </w:rPr>
            </w:pPr>
          </w:p>
        </w:tc>
      </w:tr>
    </w:tbl>
    <w:p>
      <w:pPr>
        <w:pStyle w:val="27"/>
        <w:spacing w:line="600" w:lineRule="exact"/>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注：</w:t>
      </w:r>
      <w:r>
        <w:rPr>
          <w:rFonts w:hint="eastAsia" w:ascii="仿宋" w:hAnsi="仿宋" w:eastAsia="仿宋" w:cs="仿宋"/>
          <w:color w:val="auto"/>
          <w:sz w:val="21"/>
          <w:szCs w:val="21"/>
          <w:highlight w:val="none"/>
        </w:rPr>
        <w:t>表格中偏离情况一列，投标人只能如实填写“正偏离”、 “负偏离”或“无偏离”。凡投标内容高于招标文件要求的，按“正偏离”填写；低于投标文件要求的，按“负偏离”填写；满足投标文件要求的，按“无偏离”填写。</w:t>
      </w:r>
    </w:p>
    <w:p>
      <w:pPr>
        <w:pStyle w:val="27"/>
        <w:spacing w:line="600" w:lineRule="exact"/>
        <w:rPr>
          <w:rFonts w:hint="eastAsia" w:ascii="仿宋" w:hAnsi="仿宋" w:eastAsia="仿宋" w:cs="仿宋"/>
          <w:color w:val="auto"/>
          <w:sz w:val="21"/>
          <w:szCs w:val="21"/>
          <w:highlight w:val="none"/>
        </w:rPr>
      </w:pPr>
    </w:p>
    <w:p>
      <w:pPr>
        <w:pStyle w:val="27"/>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highlight w:val="none"/>
          <w:u w:val="single"/>
        </w:rPr>
      </w:pPr>
      <w:r>
        <w:rPr>
          <w:rFonts w:hint="eastAsia" w:ascii="仿宋" w:hAnsi="仿宋" w:eastAsia="仿宋" w:cs="仿宋"/>
          <w:color w:val="auto"/>
          <w:sz w:val="21"/>
          <w:highlight w:val="none"/>
        </w:rPr>
        <w:t>投标人：</w:t>
      </w:r>
      <w:r>
        <w:rPr>
          <w:rFonts w:hint="eastAsia" w:ascii="仿宋" w:hAnsi="仿宋" w:eastAsia="仿宋" w:cs="仿宋"/>
          <w:color w:val="auto"/>
          <w:sz w:val="21"/>
          <w:highlight w:val="none"/>
          <w:u w:val="single"/>
        </w:rPr>
        <w:t xml:space="preserve">                    （电子签章）</w:t>
      </w:r>
    </w:p>
    <w:p>
      <w:pPr>
        <w:pStyle w:val="27"/>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highlight w:val="none"/>
          <w:u w:val="single"/>
        </w:rPr>
      </w:pPr>
      <w:r>
        <w:rPr>
          <w:rFonts w:hint="eastAsia" w:ascii="仿宋" w:hAnsi="仿宋" w:eastAsia="仿宋" w:cs="仿宋"/>
          <w:color w:val="auto"/>
          <w:sz w:val="21"/>
          <w:highlight w:val="none"/>
        </w:rPr>
        <w:t>法定代表人或其授权委托人：</w:t>
      </w:r>
      <w:r>
        <w:rPr>
          <w:rFonts w:hint="eastAsia" w:ascii="仿宋" w:hAnsi="仿宋" w:eastAsia="仿宋" w:cs="仿宋"/>
          <w:color w:val="auto"/>
          <w:sz w:val="21"/>
          <w:highlight w:val="none"/>
          <w:u w:val="single"/>
        </w:rPr>
        <w:t xml:space="preserve">          （签字或盖章或电子签章）</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日期：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pPr>
        <w:spacing w:line="600" w:lineRule="auto"/>
        <w:ind w:right="458" w:rightChars="229"/>
        <w:rPr>
          <w:rFonts w:hint="eastAsia" w:ascii="仿宋" w:hAnsi="仿宋" w:eastAsia="仿宋" w:cs="仿宋"/>
          <w:bCs/>
          <w:color w:val="auto"/>
          <w:sz w:val="24"/>
          <w:highlight w:val="none"/>
        </w:rPr>
      </w:pPr>
    </w:p>
    <w:p>
      <w:pPr>
        <w:ind w:right="458" w:rightChars="229"/>
        <w:rPr>
          <w:rFonts w:hint="eastAsia" w:ascii="仿宋" w:hAnsi="仿宋" w:eastAsia="仿宋" w:cs="仿宋"/>
          <w:bCs/>
          <w:color w:val="auto"/>
          <w:sz w:val="24"/>
          <w:highlight w:val="none"/>
        </w:rPr>
      </w:pPr>
    </w:p>
    <w:p>
      <w:pPr>
        <w:ind w:right="458" w:rightChars="229"/>
        <w:rPr>
          <w:rFonts w:hint="eastAsia" w:ascii="仿宋" w:hAnsi="仿宋" w:eastAsia="仿宋" w:cs="仿宋"/>
          <w:bCs/>
          <w:color w:val="auto"/>
          <w:sz w:val="24"/>
          <w:highlight w:val="none"/>
        </w:rPr>
      </w:pPr>
    </w:p>
    <w:p>
      <w:pPr>
        <w:ind w:right="458" w:rightChars="229"/>
        <w:rPr>
          <w:rFonts w:hint="eastAsia" w:ascii="仿宋" w:hAnsi="仿宋" w:eastAsia="仿宋" w:cs="仿宋"/>
          <w:bCs/>
          <w:color w:val="auto"/>
          <w:sz w:val="24"/>
          <w:highlight w:val="none"/>
        </w:rPr>
      </w:pPr>
    </w:p>
    <w:p>
      <w:pPr>
        <w:ind w:right="458" w:rightChars="229"/>
        <w:rPr>
          <w:rFonts w:hint="eastAsia" w:ascii="仿宋" w:hAnsi="仿宋" w:eastAsia="仿宋" w:cs="仿宋"/>
          <w:bCs/>
          <w:color w:val="auto"/>
          <w:sz w:val="24"/>
          <w:highlight w:val="none"/>
        </w:rPr>
      </w:pPr>
    </w:p>
    <w:p>
      <w:pPr>
        <w:ind w:right="458" w:rightChars="229"/>
        <w:rPr>
          <w:rFonts w:hint="eastAsia" w:ascii="仿宋" w:hAnsi="仿宋" w:eastAsia="仿宋" w:cs="仿宋"/>
          <w:bCs/>
          <w:color w:val="auto"/>
          <w:sz w:val="24"/>
          <w:highlight w:val="none"/>
        </w:rPr>
      </w:pPr>
    </w:p>
    <w:p>
      <w:pPr>
        <w:ind w:right="458" w:rightChars="229"/>
        <w:rPr>
          <w:rFonts w:hint="eastAsia" w:ascii="仿宋" w:hAnsi="仿宋" w:eastAsia="仿宋" w:cs="仿宋"/>
          <w:bCs/>
          <w:color w:val="auto"/>
          <w:sz w:val="24"/>
          <w:highlight w:val="none"/>
        </w:rPr>
      </w:pPr>
    </w:p>
    <w:p>
      <w:pPr>
        <w:ind w:right="458" w:rightChars="229"/>
        <w:rPr>
          <w:rFonts w:hint="eastAsia" w:ascii="仿宋" w:hAnsi="仿宋" w:eastAsia="仿宋" w:cs="仿宋"/>
          <w:bCs/>
          <w:color w:val="auto"/>
          <w:sz w:val="24"/>
          <w:highlight w:val="none"/>
        </w:rPr>
      </w:pPr>
    </w:p>
    <w:p>
      <w:pPr>
        <w:rPr>
          <w:rFonts w:hint="eastAsia" w:ascii="仿宋" w:hAnsi="仿宋" w:eastAsia="仿宋" w:cs="仿宋"/>
          <w:b/>
          <w:color w:val="auto"/>
          <w:sz w:val="32"/>
          <w:szCs w:val="32"/>
          <w:highlight w:val="none"/>
        </w:rPr>
      </w:pPr>
      <w:bookmarkStart w:id="319" w:name="_Toc5591"/>
      <w:r>
        <w:rPr>
          <w:rFonts w:hint="eastAsia" w:ascii="仿宋" w:hAnsi="仿宋" w:eastAsia="仿宋" w:cs="仿宋"/>
          <w:b/>
          <w:color w:val="auto"/>
          <w:sz w:val="32"/>
          <w:szCs w:val="32"/>
          <w:highlight w:val="none"/>
        </w:rPr>
        <w:br w:type="page"/>
      </w:r>
    </w:p>
    <w:bookmarkEnd w:id="319"/>
    <w:p>
      <w:pPr>
        <w:keepNext w:val="0"/>
        <w:keepLines w:val="0"/>
        <w:pageBreakBefore w:val="0"/>
        <w:widowControl/>
        <w:kinsoku/>
        <w:wordWrap/>
        <w:overflowPunct/>
        <w:topLinePunct w:val="0"/>
        <w:autoSpaceDE/>
        <w:autoSpaceDN/>
        <w:bidi w:val="0"/>
        <w:adjustRightInd w:val="0"/>
        <w:snapToGrid w:val="0"/>
        <w:spacing w:line="288" w:lineRule="auto"/>
        <w:ind w:right="458" w:rightChars="229"/>
        <w:jc w:val="both"/>
        <w:textAlignment w:val="auto"/>
        <w:rPr>
          <w:rFonts w:hint="eastAsia" w:ascii="仿宋" w:hAnsi="仿宋" w:eastAsia="仿宋" w:cs="仿宋"/>
          <w:b/>
          <w:color w:val="auto"/>
          <w:sz w:val="24"/>
          <w:highlight w:val="none"/>
        </w:rPr>
      </w:pPr>
    </w:p>
    <w:p>
      <w:pPr>
        <w:pStyle w:val="5"/>
        <w:pageBreakBefore w:val="0"/>
        <w:kinsoku/>
        <w:overflowPunct/>
        <w:topLinePunct w:val="0"/>
        <w:bidi w:val="0"/>
        <w:spacing w:line="360" w:lineRule="auto"/>
        <w:ind w:left="720" w:hanging="720"/>
        <w:jc w:val="center"/>
        <w:textAlignment w:val="auto"/>
        <w:rPr>
          <w:rFonts w:hint="eastAsia" w:ascii="仿宋" w:hAnsi="仿宋" w:eastAsia="仿宋" w:cs="仿宋"/>
          <w:color w:val="auto"/>
          <w:sz w:val="24"/>
          <w:szCs w:val="24"/>
          <w:highlight w:val="none"/>
          <w:lang w:val="en-US" w:eastAsia="zh-CN"/>
        </w:rPr>
      </w:pPr>
      <w:bookmarkStart w:id="320" w:name="_Toc6266"/>
      <w:r>
        <w:rPr>
          <w:rFonts w:hint="eastAsia" w:ascii="仿宋" w:hAnsi="仿宋" w:eastAsia="仿宋" w:cs="仿宋"/>
          <w:color w:val="auto"/>
          <w:sz w:val="24"/>
          <w:szCs w:val="24"/>
          <w:highlight w:val="none"/>
          <w:lang w:val="en-US" w:eastAsia="zh-CN"/>
        </w:rPr>
        <w:t>（二）其他说明</w:t>
      </w:r>
      <w:bookmarkEnd w:id="320"/>
    </w:p>
    <w:tbl>
      <w:tblPr>
        <w:tblStyle w:val="56"/>
        <w:tblW w:w="946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2"/>
        <w:gridCol w:w="3287"/>
        <w:gridCol w:w="5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83" w:hRule="atLeast"/>
          <w:jc w:val="center"/>
        </w:trPr>
        <w:tc>
          <w:tcPr>
            <w:tcW w:w="4219" w:type="dxa"/>
            <w:gridSpan w:val="2"/>
            <w:vAlign w:val="center"/>
          </w:tcPr>
          <w:p>
            <w:pPr>
              <w:ind w:firstLine="480" w:firstLineChars="200"/>
              <w:jc w:val="center"/>
              <w:rPr>
                <w:rFonts w:hint="eastAsia" w:ascii="仿宋" w:hAnsi="仿宋" w:eastAsia="仿宋" w:cs="仿宋"/>
                <w:bCs/>
                <w:color w:val="auto"/>
                <w:sz w:val="24"/>
                <w:highlight w:val="none"/>
              </w:rPr>
            </w:pPr>
            <w:r>
              <w:rPr>
                <w:rFonts w:hint="eastAsia" w:ascii="仿宋" w:hAnsi="仿宋" w:eastAsia="仿宋" w:cs="仿宋"/>
                <w:color w:val="auto"/>
                <w:sz w:val="24"/>
                <w:highlight w:val="none"/>
              </w:rPr>
              <w:t>产品名称</w:t>
            </w:r>
          </w:p>
        </w:tc>
        <w:tc>
          <w:tcPr>
            <w:tcW w:w="5245" w:type="dxa"/>
            <w:vAlign w:val="center"/>
          </w:tcPr>
          <w:p>
            <w:pPr>
              <w:ind w:firstLine="480" w:firstLineChars="200"/>
              <w:jc w:val="center"/>
              <w:rPr>
                <w:rFonts w:hint="eastAsia" w:ascii="仿宋" w:hAnsi="仿宋" w:eastAsia="仿宋" w:cs="仿宋"/>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21" w:hRule="atLeast"/>
          <w:jc w:val="center"/>
        </w:trPr>
        <w:tc>
          <w:tcPr>
            <w:tcW w:w="4219" w:type="dxa"/>
            <w:gridSpan w:val="2"/>
            <w:vAlign w:val="center"/>
          </w:tcPr>
          <w:p>
            <w:pPr>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产品品牌</w:t>
            </w:r>
          </w:p>
        </w:tc>
        <w:tc>
          <w:tcPr>
            <w:tcW w:w="5245" w:type="dxa"/>
            <w:vAlign w:val="center"/>
          </w:tcPr>
          <w:p>
            <w:pPr>
              <w:ind w:firstLine="480" w:firstLineChars="200"/>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21" w:hRule="atLeast"/>
          <w:jc w:val="center"/>
        </w:trPr>
        <w:tc>
          <w:tcPr>
            <w:tcW w:w="4219" w:type="dxa"/>
            <w:gridSpan w:val="2"/>
            <w:vAlign w:val="center"/>
          </w:tcPr>
          <w:p>
            <w:pPr>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规格型号</w:t>
            </w:r>
          </w:p>
        </w:tc>
        <w:tc>
          <w:tcPr>
            <w:tcW w:w="5245" w:type="dxa"/>
            <w:vAlign w:val="center"/>
          </w:tcPr>
          <w:p>
            <w:pPr>
              <w:ind w:firstLine="480" w:firstLineChars="200"/>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21" w:hRule="atLeast"/>
          <w:jc w:val="center"/>
        </w:trPr>
        <w:tc>
          <w:tcPr>
            <w:tcW w:w="932" w:type="dxa"/>
            <w:vMerge w:val="restart"/>
            <w:vAlign w:val="center"/>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制造</w:t>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厂商</w:t>
            </w:r>
          </w:p>
        </w:tc>
        <w:tc>
          <w:tcPr>
            <w:tcW w:w="3287" w:type="dxa"/>
            <w:vAlign w:val="center"/>
          </w:tcPr>
          <w:p>
            <w:pPr>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单位名称</w:t>
            </w:r>
          </w:p>
        </w:tc>
        <w:tc>
          <w:tcPr>
            <w:tcW w:w="5245" w:type="dxa"/>
            <w:vAlign w:val="center"/>
          </w:tcPr>
          <w:p>
            <w:pPr>
              <w:ind w:firstLine="480" w:firstLineChars="200"/>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21" w:hRule="atLeast"/>
          <w:jc w:val="center"/>
        </w:trPr>
        <w:tc>
          <w:tcPr>
            <w:tcW w:w="932" w:type="dxa"/>
            <w:vMerge w:val="continue"/>
            <w:vAlign w:val="center"/>
          </w:tcPr>
          <w:p>
            <w:pPr>
              <w:ind w:firstLine="480" w:firstLineChars="200"/>
              <w:jc w:val="center"/>
              <w:rPr>
                <w:rFonts w:hint="eastAsia" w:ascii="仿宋" w:hAnsi="仿宋" w:eastAsia="仿宋" w:cs="仿宋"/>
                <w:color w:val="auto"/>
                <w:sz w:val="24"/>
                <w:highlight w:val="none"/>
              </w:rPr>
            </w:pPr>
          </w:p>
        </w:tc>
        <w:tc>
          <w:tcPr>
            <w:tcW w:w="3287" w:type="dxa"/>
            <w:vAlign w:val="center"/>
          </w:tcPr>
          <w:p>
            <w:pPr>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单位地址</w:t>
            </w:r>
          </w:p>
        </w:tc>
        <w:tc>
          <w:tcPr>
            <w:tcW w:w="5245" w:type="dxa"/>
            <w:vAlign w:val="center"/>
          </w:tcPr>
          <w:p>
            <w:pPr>
              <w:ind w:firstLine="480" w:firstLineChars="200"/>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21" w:hRule="atLeast"/>
          <w:jc w:val="center"/>
        </w:trPr>
        <w:tc>
          <w:tcPr>
            <w:tcW w:w="932" w:type="dxa"/>
            <w:vMerge w:val="continue"/>
            <w:vAlign w:val="center"/>
          </w:tcPr>
          <w:p>
            <w:pPr>
              <w:ind w:firstLine="480" w:firstLineChars="200"/>
              <w:jc w:val="center"/>
              <w:rPr>
                <w:rFonts w:hint="eastAsia" w:ascii="仿宋" w:hAnsi="仿宋" w:eastAsia="仿宋" w:cs="仿宋"/>
                <w:color w:val="auto"/>
                <w:sz w:val="24"/>
                <w:highlight w:val="none"/>
              </w:rPr>
            </w:pPr>
          </w:p>
        </w:tc>
        <w:tc>
          <w:tcPr>
            <w:tcW w:w="3287" w:type="dxa"/>
            <w:vAlign w:val="center"/>
          </w:tcPr>
          <w:p>
            <w:pPr>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统一社会信用代码</w:t>
            </w:r>
          </w:p>
        </w:tc>
        <w:tc>
          <w:tcPr>
            <w:tcW w:w="5245" w:type="dxa"/>
            <w:vAlign w:val="center"/>
          </w:tcPr>
          <w:p>
            <w:pPr>
              <w:ind w:firstLine="480" w:firstLineChars="200"/>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2" w:hRule="atLeast"/>
          <w:jc w:val="center"/>
        </w:trPr>
        <w:tc>
          <w:tcPr>
            <w:tcW w:w="932" w:type="dxa"/>
            <w:vMerge w:val="continue"/>
            <w:vAlign w:val="center"/>
          </w:tcPr>
          <w:p>
            <w:pPr>
              <w:ind w:firstLine="480" w:firstLineChars="200"/>
              <w:jc w:val="center"/>
              <w:rPr>
                <w:rFonts w:hint="eastAsia" w:ascii="仿宋" w:hAnsi="仿宋" w:eastAsia="仿宋" w:cs="仿宋"/>
                <w:color w:val="auto"/>
                <w:sz w:val="24"/>
                <w:highlight w:val="none"/>
              </w:rPr>
            </w:pPr>
          </w:p>
        </w:tc>
        <w:tc>
          <w:tcPr>
            <w:tcW w:w="3287" w:type="dxa"/>
            <w:vAlign w:val="center"/>
          </w:tcPr>
          <w:p>
            <w:pPr>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肥料正式登记证号码</w:t>
            </w:r>
          </w:p>
        </w:tc>
        <w:tc>
          <w:tcPr>
            <w:tcW w:w="5245" w:type="dxa"/>
            <w:vAlign w:val="center"/>
          </w:tcPr>
          <w:p>
            <w:pPr>
              <w:ind w:firstLine="480" w:firstLineChars="200"/>
              <w:jc w:val="center"/>
              <w:rPr>
                <w:rFonts w:hint="eastAsia" w:ascii="仿宋" w:hAnsi="仿宋" w:eastAsia="仿宋" w:cs="仿宋"/>
                <w:color w:val="auto"/>
                <w:sz w:val="24"/>
                <w:highlight w:val="none"/>
              </w:rPr>
            </w:pPr>
          </w:p>
        </w:tc>
      </w:tr>
    </w:tbl>
    <w:p>
      <w:pPr>
        <w:ind w:firstLine="480" w:firstLineChars="200"/>
        <w:rPr>
          <w:rFonts w:hint="eastAsia" w:ascii="仿宋" w:hAnsi="仿宋" w:eastAsia="仿宋" w:cs="仿宋"/>
          <w:color w:val="auto"/>
          <w:sz w:val="24"/>
          <w:highlight w:val="none"/>
        </w:rPr>
      </w:pPr>
    </w:p>
    <w:p>
      <w:pPr>
        <w:ind w:firstLine="480" w:firstLineChars="200"/>
        <w:rPr>
          <w:rFonts w:hint="eastAsia" w:ascii="仿宋" w:hAnsi="仿宋" w:eastAsia="仿宋" w:cs="仿宋"/>
          <w:color w:val="auto"/>
          <w:sz w:val="24"/>
          <w:highlight w:val="none"/>
        </w:rPr>
      </w:pPr>
    </w:p>
    <w:p>
      <w:pPr>
        <w:pStyle w:val="27"/>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highlight w:val="none"/>
          <w:u w:val="single"/>
        </w:rPr>
      </w:pPr>
      <w:r>
        <w:rPr>
          <w:rFonts w:hint="eastAsia" w:ascii="仿宋" w:hAnsi="仿宋" w:eastAsia="仿宋" w:cs="仿宋"/>
          <w:color w:val="auto"/>
          <w:sz w:val="21"/>
          <w:highlight w:val="none"/>
        </w:rPr>
        <w:t>投标人：</w:t>
      </w:r>
      <w:r>
        <w:rPr>
          <w:rFonts w:hint="eastAsia" w:ascii="仿宋" w:hAnsi="仿宋" w:eastAsia="仿宋" w:cs="仿宋"/>
          <w:color w:val="auto"/>
          <w:sz w:val="21"/>
          <w:highlight w:val="none"/>
          <w:u w:val="single"/>
        </w:rPr>
        <w:t xml:space="preserve">                    （电子签章）</w:t>
      </w:r>
    </w:p>
    <w:p>
      <w:pPr>
        <w:pStyle w:val="27"/>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highlight w:val="none"/>
          <w:u w:val="single"/>
        </w:rPr>
      </w:pPr>
      <w:r>
        <w:rPr>
          <w:rFonts w:hint="eastAsia" w:ascii="仿宋" w:hAnsi="仿宋" w:eastAsia="仿宋" w:cs="仿宋"/>
          <w:color w:val="auto"/>
          <w:sz w:val="21"/>
          <w:highlight w:val="none"/>
        </w:rPr>
        <w:t>法定代表人或其授权委托人：</w:t>
      </w:r>
      <w:r>
        <w:rPr>
          <w:rFonts w:hint="eastAsia" w:ascii="仿宋" w:hAnsi="仿宋" w:eastAsia="仿宋" w:cs="仿宋"/>
          <w:color w:val="auto"/>
          <w:sz w:val="21"/>
          <w:highlight w:val="none"/>
          <w:u w:val="single"/>
        </w:rPr>
        <w:t xml:space="preserve">          （签字或盖章或电子签章）</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日期：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pPr>
        <w:pStyle w:val="27"/>
        <w:spacing w:line="500" w:lineRule="exact"/>
        <w:rPr>
          <w:rFonts w:hint="eastAsia" w:ascii="仿宋" w:hAnsi="仿宋" w:eastAsia="仿宋" w:cs="仿宋"/>
          <w:b/>
          <w:color w:val="auto"/>
          <w:sz w:val="24"/>
          <w:szCs w:val="24"/>
          <w:highlight w:val="none"/>
        </w:rPr>
      </w:pP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p>
      <w:pPr>
        <w:pStyle w:val="5"/>
        <w:pageBreakBefore w:val="0"/>
        <w:kinsoku/>
        <w:overflowPunct/>
        <w:topLinePunct w:val="0"/>
        <w:bidi w:val="0"/>
        <w:spacing w:line="360" w:lineRule="auto"/>
        <w:ind w:left="720" w:hanging="720"/>
        <w:jc w:val="center"/>
        <w:textAlignment w:val="auto"/>
        <w:rPr>
          <w:rFonts w:hint="default" w:ascii="仿宋" w:hAnsi="仿宋" w:eastAsia="仿宋" w:cs="仿宋"/>
          <w:color w:val="auto"/>
          <w:sz w:val="24"/>
          <w:szCs w:val="24"/>
          <w:highlight w:val="none"/>
          <w:lang w:val="en-US" w:eastAsia="zh-CN"/>
        </w:rPr>
      </w:pPr>
      <w:bookmarkStart w:id="321" w:name="_Toc8652"/>
      <w:r>
        <w:rPr>
          <w:rFonts w:hint="eastAsia" w:ascii="仿宋" w:hAnsi="仿宋" w:eastAsia="仿宋" w:cs="仿宋"/>
          <w:color w:val="auto"/>
          <w:sz w:val="24"/>
          <w:szCs w:val="24"/>
          <w:highlight w:val="none"/>
          <w:lang w:val="en-US" w:eastAsia="zh-CN"/>
        </w:rPr>
        <w:t>（三）项目评审方案</w:t>
      </w:r>
      <w:bookmarkEnd w:id="321"/>
    </w:p>
    <w:p>
      <w:pPr>
        <w:pageBreakBefore w:val="0"/>
        <w:kinsoku/>
        <w:overflowPunct/>
        <w:topLinePunct w:val="0"/>
        <w:bidi w:val="0"/>
        <w:spacing w:before="120" w:beforeLines="50" w:line="360" w:lineRule="auto"/>
        <w:ind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zh-CN"/>
        </w:rPr>
        <w:t>一、拟供产品技术</w:t>
      </w:r>
      <w:r>
        <w:rPr>
          <w:rFonts w:hint="eastAsia" w:ascii="仿宋" w:hAnsi="仿宋" w:eastAsia="仿宋" w:cs="仿宋"/>
          <w:color w:val="auto"/>
          <w:sz w:val="21"/>
          <w:szCs w:val="21"/>
          <w:highlight w:val="none"/>
          <w:lang w:val="en-US" w:eastAsia="zh-CN"/>
        </w:rPr>
        <w:t>参数</w:t>
      </w:r>
    </w:p>
    <w:p>
      <w:pPr>
        <w:pageBreakBefore w:val="0"/>
        <w:kinsoku/>
        <w:overflowPunct/>
        <w:topLinePunct w:val="0"/>
        <w:bidi w:val="0"/>
        <w:spacing w:before="120" w:beforeLines="50" w:line="360" w:lineRule="auto"/>
        <w:ind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二、供货方案</w:t>
      </w:r>
    </w:p>
    <w:p>
      <w:pPr>
        <w:pageBreakBefore w:val="0"/>
        <w:kinsoku/>
        <w:overflowPunct/>
        <w:topLinePunct w:val="0"/>
        <w:bidi w:val="0"/>
        <w:spacing w:before="120" w:beforeLines="50" w:line="360" w:lineRule="auto"/>
        <w:ind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三、供货</w:t>
      </w:r>
      <w:r>
        <w:rPr>
          <w:rFonts w:hint="eastAsia" w:ascii="仿宋" w:hAnsi="仿宋" w:eastAsia="仿宋" w:cs="仿宋"/>
          <w:color w:val="auto"/>
          <w:sz w:val="21"/>
          <w:szCs w:val="21"/>
          <w:highlight w:val="none"/>
          <w:lang w:val="zh-CN"/>
        </w:rPr>
        <w:t>合同履行期限承诺</w:t>
      </w:r>
    </w:p>
    <w:p>
      <w:pPr>
        <w:pageBreakBefore w:val="0"/>
        <w:kinsoku/>
        <w:overflowPunct/>
        <w:topLinePunct w:val="0"/>
        <w:bidi w:val="0"/>
        <w:spacing w:before="120" w:beforeLines="50" w:line="360" w:lineRule="auto"/>
        <w:ind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zh-CN"/>
        </w:rPr>
        <w:t>四、售后服务能力介绍及售后服务方案</w:t>
      </w:r>
    </w:p>
    <w:p>
      <w:pPr>
        <w:pageBreakBefore w:val="0"/>
        <w:kinsoku/>
        <w:overflowPunct/>
        <w:topLinePunct w:val="0"/>
        <w:bidi w:val="0"/>
        <w:spacing w:before="120" w:beforeLines="50" w:line="360" w:lineRule="auto"/>
        <w:ind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b w:val="0"/>
          <w:bCs/>
          <w:color w:val="auto"/>
          <w:sz w:val="21"/>
          <w:szCs w:val="21"/>
          <w:highlight w:val="none"/>
          <w:shd w:val="clear" w:color="auto" w:fill="auto"/>
          <w:lang w:val="en-US" w:eastAsia="zh-CN"/>
        </w:rPr>
        <w:t>五、</w:t>
      </w:r>
      <w:r>
        <w:rPr>
          <w:rFonts w:hint="eastAsia" w:ascii="仿宋" w:hAnsi="仿宋" w:eastAsia="仿宋" w:cs="仿宋"/>
          <w:b w:val="0"/>
          <w:bCs/>
          <w:color w:val="auto"/>
          <w:sz w:val="21"/>
          <w:szCs w:val="21"/>
          <w:highlight w:val="none"/>
          <w:shd w:val="clear" w:color="auto" w:fill="auto"/>
          <w:lang w:val="zh-CN"/>
        </w:rPr>
        <w:t>质量承诺及保证措施</w:t>
      </w:r>
    </w:p>
    <w:p>
      <w:pPr>
        <w:pageBreakBefore w:val="0"/>
        <w:kinsoku/>
        <w:overflowPunct/>
        <w:topLinePunct w:val="0"/>
        <w:bidi w:val="0"/>
        <w:spacing w:before="120" w:beforeLines="50" w:line="360" w:lineRule="auto"/>
        <w:ind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六、企业综合实力</w:t>
      </w:r>
    </w:p>
    <w:p>
      <w:pPr>
        <w:rPr>
          <w:rFonts w:hint="eastAsia"/>
          <w:color w:val="auto"/>
          <w:highlight w:val="none"/>
          <w:lang w:val="en-US" w:eastAsia="zh-CN"/>
        </w:rPr>
      </w:pPr>
    </w:p>
    <w:p>
      <w:pPr>
        <w:pageBreakBefore w:val="0"/>
        <w:kinsoku/>
        <w:overflowPunct/>
        <w:topLinePunct w:val="0"/>
        <w:bidi w:val="0"/>
        <w:spacing w:before="120" w:beforeLines="50" w:line="360" w:lineRule="auto"/>
        <w:ind w:firstLine="420" w:firstLineChars="200"/>
        <w:jc w:val="center"/>
        <w:textAlignment w:val="auto"/>
        <w:rPr>
          <w:rFonts w:hint="eastAsia" w:ascii="仿宋" w:hAnsi="仿宋" w:eastAsia="仿宋" w:cs="仿宋"/>
          <w:color w:val="auto"/>
          <w:sz w:val="21"/>
          <w:szCs w:val="21"/>
          <w:highlight w:val="none"/>
        </w:rPr>
      </w:pPr>
    </w:p>
    <w:p>
      <w:pPr>
        <w:pageBreakBefore w:val="0"/>
        <w:kinsoku/>
        <w:overflowPunct/>
        <w:topLinePunct w:val="0"/>
        <w:bidi w:val="0"/>
        <w:spacing w:before="120" w:beforeLines="50" w:line="360" w:lineRule="auto"/>
        <w:ind w:firstLine="420" w:firstLineChars="20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（以上内容请各投标人自行编制，格式自拟。）</w:t>
      </w:r>
    </w:p>
    <w:p>
      <w:pPr>
        <w:rPr>
          <w:rFonts w:hint="eastAsia"/>
          <w:color w:val="auto"/>
          <w:highlight w:val="none"/>
        </w:rPr>
      </w:pPr>
      <w:bookmarkStart w:id="322" w:name="_Toc239843172"/>
      <w:bookmarkStart w:id="323" w:name="_Toc240037797"/>
      <w:bookmarkStart w:id="324" w:name="_Toc272515777"/>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sectPr>
          <w:pgSz w:w="11906" w:h="16838"/>
          <w:pgMar w:top="1134" w:right="1417" w:bottom="1134" w:left="1418" w:header="1020" w:footer="992" w:gutter="0"/>
          <w:pgBorders>
            <w:top w:val="none" w:color="auto" w:sz="0" w:space="0"/>
            <w:left w:val="none" w:color="auto" w:sz="0" w:space="0"/>
            <w:bottom w:val="none" w:color="auto" w:sz="0" w:space="0"/>
            <w:right w:val="none" w:color="auto" w:sz="0" w:space="0"/>
          </w:pgBorders>
          <w:pgNumType w:fmt="decimal"/>
          <w:cols w:space="720" w:num="1"/>
          <w:titlePg/>
          <w:docGrid w:linePitch="312" w:charSpace="0"/>
        </w:sectPr>
      </w:pPr>
    </w:p>
    <w:p>
      <w:pPr>
        <w:pStyle w:val="4"/>
        <w:pageBreakBefore w:val="0"/>
        <w:kinsoku/>
        <w:overflowPunct/>
        <w:topLinePunct w:val="0"/>
        <w:bidi w:val="0"/>
        <w:spacing w:line="360" w:lineRule="auto"/>
        <w:jc w:val="center"/>
        <w:textAlignment w:val="auto"/>
        <w:rPr>
          <w:rFonts w:hint="eastAsia" w:ascii="仿宋" w:hAnsi="仿宋" w:eastAsia="仿宋" w:cs="仿宋"/>
          <w:color w:val="auto"/>
          <w:sz w:val="30"/>
          <w:szCs w:val="30"/>
          <w:highlight w:val="none"/>
        </w:rPr>
      </w:pPr>
      <w:bookmarkStart w:id="325" w:name="_Toc2391"/>
      <w:bookmarkStart w:id="326" w:name="_Toc346229157"/>
      <w:bookmarkStart w:id="327" w:name="_Toc107816686"/>
      <w:bookmarkStart w:id="328" w:name="_Toc508091933"/>
      <w:r>
        <w:rPr>
          <w:rStyle w:val="154"/>
          <w:rFonts w:hint="eastAsia" w:ascii="仿宋" w:hAnsi="仿宋" w:eastAsia="仿宋" w:cs="仿宋"/>
          <w:b w:val="0"/>
          <w:bCs w:val="0"/>
          <w:color w:val="auto"/>
          <w:sz w:val="30"/>
          <w:szCs w:val="30"/>
          <w:highlight w:val="none"/>
        </w:rPr>
        <w:t>第四部分  资格审查部分格式</w:t>
      </w:r>
      <w:bookmarkEnd w:id="322"/>
      <w:bookmarkEnd w:id="323"/>
      <w:bookmarkEnd w:id="324"/>
      <w:bookmarkEnd w:id="325"/>
      <w:bookmarkEnd w:id="326"/>
      <w:bookmarkEnd w:id="327"/>
      <w:bookmarkEnd w:id="328"/>
    </w:p>
    <w:p>
      <w:pPr>
        <w:pStyle w:val="5"/>
        <w:pageBreakBefore w:val="0"/>
        <w:kinsoku/>
        <w:overflowPunct/>
        <w:topLinePunct w:val="0"/>
        <w:bidi w:val="0"/>
        <w:spacing w:line="360" w:lineRule="auto"/>
        <w:jc w:val="center"/>
        <w:textAlignment w:val="auto"/>
        <w:rPr>
          <w:rFonts w:hint="eastAsia" w:ascii="仿宋" w:hAnsi="仿宋" w:eastAsia="仿宋" w:cs="仿宋"/>
          <w:color w:val="auto"/>
          <w:sz w:val="28"/>
          <w:szCs w:val="28"/>
          <w:highlight w:val="none"/>
        </w:rPr>
      </w:pPr>
      <w:bookmarkStart w:id="329" w:name="_Toc459149864"/>
      <w:bookmarkStart w:id="330" w:name="_Toc287988786"/>
      <w:bookmarkStart w:id="331" w:name="_Toc342466762"/>
      <w:bookmarkStart w:id="332" w:name="_Toc382838377"/>
      <w:bookmarkStart w:id="333" w:name="_Toc287988954"/>
      <w:bookmarkStart w:id="334" w:name="_Toc268254570"/>
      <w:bookmarkStart w:id="335" w:name="_Toc107816687"/>
      <w:bookmarkStart w:id="336" w:name="_Toc508091934"/>
      <w:bookmarkStart w:id="337" w:name="_Toc27874"/>
      <w:bookmarkStart w:id="338" w:name="_Toc282549829"/>
      <w:bookmarkStart w:id="339" w:name="_Toc282376917"/>
      <w:bookmarkStart w:id="340" w:name="_Toc240037803"/>
      <w:bookmarkStart w:id="341" w:name="_Toc233446974"/>
      <w:bookmarkStart w:id="342" w:name="_Toc346229160"/>
      <w:bookmarkStart w:id="343" w:name="_Toc272515782"/>
      <w:bookmarkStart w:id="344" w:name="_Toc239843178"/>
      <w:r>
        <w:rPr>
          <w:rFonts w:hint="eastAsia" w:ascii="仿宋" w:hAnsi="仿宋" w:eastAsia="仿宋" w:cs="仿宋"/>
          <w:color w:val="auto"/>
          <w:sz w:val="28"/>
          <w:szCs w:val="28"/>
          <w:highlight w:val="none"/>
        </w:rPr>
        <w:t>一、投标人基本情况表</w:t>
      </w:r>
      <w:bookmarkEnd w:id="329"/>
      <w:bookmarkEnd w:id="330"/>
      <w:bookmarkEnd w:id="331"/>
      <w:bookmarkEnd w:id="332"/>
      <w:bookmarkEnd w:id="333"/>
      <w:bookmarkEnd w:id="334"/>
      <w:bookmarkEnd w:id="335"/>
      <w:bookmarkEnd w:id="336"/>
      <w:bookmarkEnd w:id="337"/>
      <w:bookmarkEnd w:id="338"/>
      <w:bookmarkEnd w:id="339"/>
    </w:p>
    <w:tbl>
      <w:tblPr>
        <w:tblStyle w:val="56"/>
        <w:tblW w:w="921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8"/>
        <w:gridCol w:w="3856"/>
        <w:gridCol w:w="47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tc>
        <w:tc>
          <w:tcPr>
            <w:tcW w:w="8591" w:type="dxa"/>
            <w:gridSpan w:val="2"/>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kinsoku/>
              <w:wordWrap/>
              <w:overflowPunct/>
              <w:topLinePunct w:val="0"/>
              <w:autoSpaceDE/>
              <w:autoSpaceDN/>
              <w:bidi w:val="0"/>
              <w:adjustRightInd/>
              <w:snapToGrid/>
              <w:spacing w:line="240" w:lineRule="auto"/>
              <w:ind w:firstLine="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企业名称：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52"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p>
        </w:tc>
        <w:tc>
          <w:tcPr>
            <w:tcW w:w="8591" w:type="dxa"/>
            <w:gridSpan w:val="2"/>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kinsoku/>
              <w:wordWrap/>
              <w:overflowPunct/>
              <w:topLinePunct w:val="0"/>
              <w:autoSpaceDE/>
              <w:autoSpaceDN/>
              <w:bidi w:val="0"/>
              <w:adjustRightInd/>
              <w:snapToGrid/>
              <w:spacing w:line="240" w:lineRule="auto"/>
              <w:ind w:firstLine="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总部地址：</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54"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p>
        </w:tc>
        <w:tc>
          <w:tcPr>
            <w:tcW w:w="8591" w:type="dxa"/>
            <w:gridSpan w:val="2"/>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kinsoku/>
              <w:wordWrap/>
              <w:overflowPunct/>
              <w:topLinePunct w:val="0"/>
              <w:autoSpaceDE/>
              <w:autoSpaceDN/>
              <w:bidi w:val="0"/>
              <w:adjustRightInd/>
              <w:snapToGrid/>
              <w:spacing w:line="240" w:lineRule="auto"/>
              <w:ind w:firstLine="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当地代表处地址：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74"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w:t>
            </w:r>
          </w:p>
        </w:tc>
        <w:tc>
          <w:tcPr>
            <w:tcW w:w="3856"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kinsoku/>
              <w:wordWrap/>
              <w:overflowPunct/>
              <w:topLinePunct w:val="0"/>
              <w:autoSpaceDE/>
              <w:autoSpaceDN/>
              <w:bidi w:val="0"/>
              <w:adjustRightInd/>
              <w:snapToGrid/>
              <w:spacing w:line="240" w:lineRule="auto"/>
              <w:ind w:firstLine="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电话：</w:t>
            </w:r>
          </w:p>
        </w:tc>
        <w:tc>
          <w:tcPr>
            <w:tcW w:w="4735"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kinsoku/>
              <w:wordWrap/>
              <w:overflowPunct/>
              <w:topLinePunct w:val="0"/>
              <w:autoSpaceDE/>
              <w:autoSpaceDN/>
              <w:bidi w:val="0"/>
              <w:adjustRightInd/>
              <w:snapToGrid/>
              <w:spacing w:line="240" w:lineRule="auto"/>
              <w:ind w:firstLine="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联系人：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86"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w:t>
            </w:r>
          </w:p>
        </w:tc>
        <w:tc>
          <w:tcPr>
            <w:tcW w:w="3856"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kinsoku/>
              <w:wordWrap/>
              <w:overflowPunct/>
              <w:topLinePunct w:val="0"/>
              <w:autoSpaceDE/>
              <w:autoSpaceDN/>
              <w:bidi w:val="0"/>
              <w:adjustRightInd/>
              <w:snapToGrid/>
              <w:spacing w:line="240" w:lineRule="auto"/>
              <w:ind w:firstLine="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传真：</w:t>
            </w:r>
          </w:p>
        </w:tc>
        <w:tc>
          <w:tcPr>
            <w:tcW w:w="4735"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kinsoku/>
              <w:wordWrap/>
              <w:overflowPunct/>
              <w:topLinePunct w:val="0"/>
              <w:autoSpaceDE/>
              <w:autoSpaceDN/>
              <w:bidi w:val="0"/>
              <w:adjustRightInd/>
              <w:snapToGrid/>
              <w:spacing w:line="240" w:lineRule="auto"/>
              <w:ind w:firstLine="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电子邮箱：</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673"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w:t>
            </w:r>
          </w:p>
        </w:tc>
        <w:tc>
          <w:tcPr>
            <w:tcW w:w="3856"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kinsoku/>
              <w:wordWrap/>
              <w:overflowPunct/>
              <w:topLinePunct w:val="0"/>
              <w:autoSpaceDE/>
              <w:autoSpaceDN/>
              <w:bidi w:val="0"/>
              <w:adjustRightInd/>
              <w:snapToGrid/>
              <w:spacing w:line="240" w:lineRule="auto"/>
              <w:ind w:firstLine="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注册地：</w:t>
            </w:r>
          </w:p>
        </w:tc>
        <w:tc>
          <w:tcPr>
            <w:tcW w:w="4735"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kinsoku/>
              <w:wordWrap/>
              <w:overflowPunct/>
              <w:topLinePunct w:val="0"/>
              <w:autoSpaceDE/>
              <w:autoSpaceDN/>
              <w:bidi w:val="0"/>
              <w:adjustRightInd/>
              <w:snapToGrid/>
              <w:spacing w:line="240" w:lineRule="auto"/>
              <w:ind w:firstLine="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注册年份：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1902"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w:t>
            </w:r>
          </w:p>
        </w:tc>
        <w:tc>
          <w:tcPr>
            <w:tcW w:w="8591" w:type="dxa"/>
            <w:gridSpan w:val="2"/>
            <w:tcBorders>
              <w:top w:val="single" w:color="auto" w:sz="6" w:space="0"/>
              <w:left w:val="single" w:color="auto" w:sz="6" w:space="0"/>
              <w:bottom w:val="single" w:color="auto" w:sz="6" w:space="0"/>
              <w:right w:val="single" w:color="auto" w:sz="6" w:space="0"/>
            </w:tcBorders>
            <w:vAlign w:val="center"/>
          </w:tcPr>
          <w:p>
            <w:pPr>
              <w:pageBreakBefore w:val="0"/>
              <w:kinsoku/>
              <w:overflowPunct/>
              <w:topLinePunct w:val="0"/>
              <w:bidi w:val="0"/>
              <w:spacing w:line="360" w:lineRule="auto"/>
              <w:ind w:firstLine="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主营范围</w:t>
            </w:r>
          </w:p>
          <w:p>
            <w:pPr>
              <w:pageBreakBefore w:val="0"/>
              <w:kinsoku/>
              <w:overflowPunct/>
              <w:topLinePunct w:val="0"/>
              <w:bidi w:val="0"/>
              <w:spacing w:line="360" w:lineRule="auto"/>
              <w:ind w:firstLine="100"/>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u w:val="single"/>
              </w:rPr>
              <w:t xml:space="preserve">                                                                </w:t>
            </w:r>
          </w:p>
          <w:p>
            <w:pPr>
              <w:pageBreakBefore w:val="0"/>
              <w:kinsoku/>
              <w:overflowPunct/>
              <w:topLinePunct w:val="0"/>
              <w:bidi w:val="0"/>
              <w:spacing w:line="360" w:lineRule="auto"/>
              <w:ind w:firstLine="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u w:val="single"/>
              </w:rPr>
              <w:t xml:space="preserve">                                                                </w:t>
            </w:r>
          </w:p>
          <w:p>
            <w:pPr>
              <w:pageBreakBefore w:val="0"/>
              <w:kinsoku/>
              <w:overflowPunct/>
              <w:topLinePunct w:val="0"/>
              <w:bidi w:val="0"/>
              <w:spacing w:line="360" w:lineRule="auto"/>
              <w:ind w:firstLine="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u w:val="single"/>
              </w:rPr>
              <w:t xml:space="preserve">                                                                </w:t>
            </w:r>
          </w:p>
          <w:p>
            <w:pPr>
              <w:pageBreakBefore w:val="0"/>
              <w:kinsoku/>
              <w:overflowPunct/>
              <w:topLinePunct w:val="0"/>
              <w:bidi w:val="0"/>
              <w:spacing w:line="360" w:lineRule="auto"/>
              <w:ind w:firstLine="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w:t>
            </w:r>
            <w:r>
              <w:rPr>
                <w:rFonts w:hint="eastAsia" w:ascii="仿宋" w:hAnsi="仿宋" w:eastAsia="仿宋" w:cs="仿宋"/>
                <w:color w:val="auto"/>
                <w:sz w:val="21"/>
                <w:szCs w:val="21"/>
                <w:highlight w:val="none"/>
                <w:u w:val="single"/>
              </w:rPr>
              <w:t xml:space="preserve">                                                                </w:t>
            </w:r>
          </w:p>
          <w:p>
            <w:pPr>
              <w:pageBreakBefore w:val="0"/>
              <w:kinsoku/>
              <w:overflowPunct/>
              <w:topLinePunct w:val="0"/>
              <w:bidi w:val="0"/>
              <w:spacing w:line="360" w:lineRule="auto"/>
              <w:ind w:firstLine="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p>
          <w:p>
            <w:pPr>
              <w:pageBreakBefore w:val="0"/>
              <w:kinsoku/>
              <w:overflowPunct/>
              <w:topLinePunct w:val="0"/>
              <w:bidi w:val="0"/>
              <w:spacing w:line="360" w:lineRule="auto"/>
              <w:ind w:firstLine="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71"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8</w:t>
            </w:r>
          </w:p>
        </w:tc>
        <w:tc>
          <w:tcPr>
            <w:tcW w:w="8591" w:type="dxa"/>
            <w:gridSpan w:val="2"/>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kinsoku/>
              <w:wordWrap/>
              <w:overflowPunct/>
              <w:topLinePunct w:val="0"/>
              <w:autoSpaceDE/>
              <w:autoSpaceDN/>
              <w:bidi w:val="0"/>
              <w:adjustRightInd/>
              <w:snapToGrid/>
              <w:spacing w:line="240" w:lineRule="auto"/>
              <w:ind w:firstLine="1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资质证书：</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695"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9</w:t>
            </w:r>
          </w:p>
        </w:tc>
        <w:tc>
          <w:tcPr>
            <w:tcW w:w="8591" w:type="dxa"/>
            <w:gridSpan w:val="2"/>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kinsoku/>
              <w:wordWrap/>
              <w:overflowPunct/>
              <w:topLinePunct w:val="0"/>
              <w:autoSpaceDE/>
              <w:autoSpaceDN/>
              <w:bidi w:val="0"/>
              <w:adjustRightInd/>
              <w:snapToGrid/>
              <w:spacing w:line="240" w:lineRule="auto"/>
              <w:ind w:firstLine="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其他需要说明的情况</w:t>
            </w:r>
          </w:p>
        </w:tc>
      </w:tr>
    </w:tbl>
    <w:p>
      <w:pPr>
        <w:pageBreakBefore w:val="0"/>
        <w:kinsoku/>
        <w:wordWrap w:val="0"/>
        <w:overflowPunct/>
        <w:topLinePunct w:val="0"/>
        <w:bidi w:val="0"/>
        <w:spacing w:line="360" w:lineRule="auto"/>
        <w:textAlignment w:val="auto"/>
        <w:rPr>
          <w:rFonts w:hint="eastAsia" w:ascii="仿宋" w:hAnsi="仿宋" w:eastAsia="仿宋" w:cs="仿宋"/>
          <w:color w:val="auto"/>
          <w:sz w:val="21"/>
          <w:szCs w:val="21"/>
          <w:highlight w:val="none"/>
        </w:rPr>
      </w:pPr>
      <w:bookmarkStart w:id="345" w:name="_Toc268254571"/>
      <w:bookmarkStart w:id="346" w:name="_Toc282549830"/>
      <w:bookmarkStart w:id="347" w:name="_Toc282376918"/>
    </w:p>
    <w:p>
      <w:pPr>
        <w:keepNext w:val="0"/>
        <w:keepLines w:val="0"/>
        <w:pageBreakBefore w:val="0"/>
        <w:widowControl/>
        <w:kinsoku/>
        <w:wordWrap w:val="0"/>
        <w:overflowPunct/>
        <w:topLinePunct w:val="0"/>
        <w:autoSpaceDE/>
        <w:autoSpaceDN/>
        <w:bidi w:val="0"/>
        <w:adjustRightInd/>
        <w:snapToGrid/>
        <w:spacing w:line="360" w:lineRule="auto"/>
        <w:ind w:firstLine="422" w:firstLineChars="200"/>
        <w:jc w:val="both"/>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本表后请附以下资料，投标人应确保提供的资料清晰可辨，因资料模糊不清无法辨认的将可能导致否决投标。</w:t>
      </w:r>
    </w:p>
    <w:p>
      <w:pPr>
        <w:rPr>
          <w:rFonts w:hint="eastAsia"/>
          <w:color w:val="auto"/>
          <w:highlight w:val="none"/>
        </w:rPr>
      </w:pPr>
    </w:p>
    <w:p>
      <w:pPr>
        <w:rPr>
          <w:rFonts w:hint="eastAsia"/>
          <w:color w:val="auto"/>
          <w:highlight w:val="none"/>
        </w:rPr>
      </w:pPr>
    </w:p>
    <w:bookmarkEnd w:id="345"/>
    <w:bookmarkEnd w:id="346"/>
    <w:bookmarkEnd w:id="347"/>
    <w:p>
      <w:pPr>
        <w:pageBreakBefore w:val="0"/>
        <w:numPr>
          <w:ilvl w:val="0"/>
          <w:numId w:val="0"/>
        </w:numPr>
        <w:kinsoku/>
        <w:wordWrap w:val="0"/>
        <w:overflowPunct/>
        <w:topLinePunct w:val="0"/>
        <w:bidi w:val="0"/>
        <w:spacing w:line="360" w:lineRule="auto"/>
        <w:ind w:leftChars="0"/>
        <w:textAlignment w:val="auto"/>
        <w:rPr>
          <w:rFonts w:hint="eastAsia" w:ascii="仿宋" w:hAnsi="仿宋" w:eastAsia="仿宋" w:cs="仿宋"/>
          <w:color w:val="auto"/>
          <w:sz w:val="21"/>
          <w:szCs w:val="21"/>
          <w:highlight w:val="none"/>
        </w:rPr>
        <w:sectPr>
          <w:pgSz w:w="11906" w:h="16838"/>
          <w:pgMar w:top="1134" w:right="1417" w:bottom="1134" w:left="1418" w:header="1020" w:footer="992" w:gutter="0"/>
          <w:pgBorders>
            <w:top w:val="none" w:color="auto" w:sz="0" w:space="0"/>
            <w:left w:val="none" w:color="auto" w:sz="0" w:space="0"/>
            <w:bottom w:val="none" w:color="auto" w:sz="0" w:space="0"/>
            <w:right w:val="none" w:color="auto" w:sz="0" w:space="0"/>
          </w:pgBorders>
          <w:pgNumType w:fmt="decimal"/>
          <w:cols w:space="720" w:num="1"/>
          <w:titlePg/>
          <w:docGrid w:linePitch="312" w:charSpace="0"/>
        </w:sectPr>
      </w:pPr>
      <w:bookmarkStart w:id="348" w:name="_Toc508091935"/>
      <w:bookmarkStart w:id="349" w:name="_Toc287988789"/>
      <w:bookmarkStart w:id="350" w:name="_Toc107816688"/>
      <w:bookmarkStart w:id="351" w:name="_Toc287988957"/>
      <w:bookmarkStart w:id="352" w:name="_Toc382838380"/>
      <w:bookmarkStart w:id="353" w:name="_Toc459149867"/>
    </w:p>
    <w:p>
      <w:pPr>
        <w:pStyle w:val="5"/>
        <w:pageBreakBefore w:val="0"/>
        <w:kinsoku/>
        <w:overflowPunct/>
        <w:topLinePunct w:val="0"/>
        <w:bidi w:val="0"/>
        <w:spacing w:before="720" w:beforeLines="300" w:after="0" w:line="360" w:lineRule="auto"/>
        <w:jc w:val="center"/>
        <w:textAlignment w:val="auto"/>
        <w:rPr>
          <w:rFonts w:hint="eastAsia" w:ascii="仿宋" w:hAnsi="仿宋" w:eastAsia="仿宋" w:cs="仿宋"/>
          <w:color w:val="auto"/>
          <w:sz w:val="28"/>
          <w:szCs w:val="28"/>
          <w:highlight w:val="none"/>
        </w:rPr>
      </w:pPr>
      <w:bookmarkStart w:id="354" w:name="_Toc17837"/>
      <w:r>
        <w:rPr>
          <w:rFonts w:hint="eastAsia" w:ascii="仿宋" w:hAnsi="仿宋" w:eastAsia="仿宋" w:cs="仿宋"/>
          <w:color w:val="auto"/>
          <w:sz w:val="28"/>
          <w:szCs w:val="28"/>
          <w:highlight w:val="none"/>
        </w:rPr>
        <w:t>二、</w:t>
      </w:r>
      <w:bookmarkEnd w:id="348"/>
      <w:bookmarkEnd w:id="349"/>
      <w:bookmarkEnd w:id="350"/>
      <w:bookmarkEnd w:id="351"/>
      <w:bookmarkEnd w:id="352"/>
      <w:bookmarkEnd w:id="353"/>
      <w:r>
        <w:rPr>
          <w:rFonts w:hint="eastAsia" w:ascii="仿宋" w:hAnsi="仿宋" w:eastAsia="仿宋" w:cs="仿宋"/>
          <w:color w:val="auto"/>
          <w:sz w:val="28"/>
          <w:szCs w:val="28"/>
          <w:highlight w:val="none"/>
        </w:rPr>
        <w:t>财务状况</w:t>
      </w:r>
      <w:bookmarkEnd w:id="354"/>
    </w:p>
    <w:p>
      <w:pPr>
        <w:pageBreakBefore w:val="0"/>
        <w:kinsoku/>
        <w:overflowPunct/>
        <w:topLinePunct w:val="0"/>
        <w:bidi w:val="0"/>
        <w:spacing w:line="360" w:lineRule="auto"/>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没有处于财产被接管、冻结、破产或其他不良状态。投标人财务状况良好，须提供202</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年至今任意1年经第三方审计机构审计的财务报表（应包括资产负债表、利润表、现金流量表）及审计报告，成立年限不足3年的按成立年份提供财务报表（应包括资产负债表、利润表、现金流量表）及审计报告；成立不足1年的企业（或新成立企业），附成立至今的财务报表（包括资产负债表、现金流量表和利润表）或相关财务证明资料或情况说明。【企业若处于特殊情况（如企业合并重组等特殊情况）不能提供其财务审计报告的须提供有效的第三方相关职能部门的书面证明材料同时提供近期企业财务报表】</w:t>
      </w:r>
      <w:r>
        <w:rPr>
          <w:rFonts w:hint="eastAsia" w:ascii="仿宋" w:hAnsi="仿宋" w:eastAsia="仿宋" w:cs="仿宋"/>
          <w:color w:val="auto"/>
          <w:sz w:val="21"/>
          <w:szCs w:val="21"/>
          <w:highlight w:val="none"/>
          <w:lang w:val="en-US" w:eastAsia="zh-CN"/>
        </w:rPr>
        <w:t>。</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br w:type="page"/>
      </w:r>
    </w:p>
    <w:p>
      <w:pPr>
        <w:pStyle w:val="5"/>
        <w:pageBreakBefore w:val="0"/>
        <w:kinsoku/>
        <w:overflowPunct/>
        <w:topLinePunct w:val="0"/>
        <w:bidi w:val="0"/>
        <w:spacing w:before="720" w:beforeLines="300" w:after="0" w:line="360" w:lineRule="auto"/>
        <w:jc w:val="center"/>
        <w:textAlignment w:val="auto"/>
        <w:rPr>
          <w:rFonts w:hint="eastAsia" w:ascii="仿宋" w:hAnsi="仿宋" w:eastAsia="仿宋" w:cs="仿宋"/>
          <w:color w:val="auto"/>
          <w:sz w:val="28"/>
          <w:szCs w:val="28"/>
          <w:highlight w:val="none"/>
        </w:rPr>
      </w:pPr>
      <w:bookmarkStart w:id="355" w:name="_Toc31543"/>
      <w:bookmarkStart w:id="356" w:name="_Toc107816689"/>
      <w:r>
        <w:rPr>
          <w:rFonts w:hint="eastAsia" w:ascii="仿宋" w:hAnsi="仿宋" w:eastAsia="仿宋" w:cs="仿宋"/>
          <w:color w:val="auto"/>
          <w:sz w:val="28"/>
          <w:szCs w:val="28"/>
          <w:highlight w:val="none"/>
        </w:rPr>
        <w:t>三、</w:t>
      </w:r>
      <w:bookmarkStart w:id="357" w:name="_Toc459149868"/>
      <w:bookmarkStart w:id="358" w:name="_Toc508091936"/>
      <w:r>
        <w:rPr>
          <w:rFonts w:hint="eastAsia" w:ascii="仿宋" w:hAnsi="仿宋" w:eastAsia="仿宋" w:cs="仿宋"/>
          <w:color w:val="auto"/>
          <w:sz w:val="28"/>
          <w:szCs w:val="28"/>
          <w:highlight w:val="none"/>
        </w:rPr>
        <w:t>企业类似业绩情况</w:t>
      </w:r>
      <w:bookmarkEnd w:id="355"/>
      <w:bookmarkEnd w:id="356"/>
      <w:bookmarkEnd w:id="357"/>
      <w:bookmarkEnd w:id="358"/>
    </w:p>
    <w:p>
      <w:pPr>
        <w:pageBreakBefore w:val="0"/>
        <w:kinsoku/>
        <w:overflowPunct/>
        <w:topLinePunct w:val="0"/>
        <w:bidi w:val="0"/>
        <w:spacing w:line="360" w:lineRule="auto"/>
        <w:jc w:val="right"/>
        <w:textAlignment w:val="auto"/>
        <w:rPr>
          <w:rFonts w:hint="eastAsia" w:ascii="仿宋" w:hAnsi="仿宋" w:eastAsia="仿宋" w:cs="仿宋"/>
          <w:color w:val="auto"/>
          <w:sz w:val="21"/>
          <w:szCs w:val="21"/>
          <w:highlight w:val="none"/>
        </w:rPr>
      </w:pPr>
      <w:bookmarkStart w:id="359" w:name="_Toc282549844"/>
      <w:bookmarkStart w:id="360" w:name="_Toc287988799"/>
      <w:bookmarkStart w:id="361" w:name="_Toc287988967"/>
      <w:bookmarkStart w:id="362" w:name="_Toc282376932"/>
      <w:bookmarkStart w:id="363" w:name="_Toc268254584"/>
      <w:r>
        <w:rPr>
          <w:rFonts w:hint="eastAsia" w:ascii="仿宋" w:hAnsi="仿宋" w:eastAsia="仿宋" w:cs="仿宋"/>
          <w:color w:val="auto"/>
          <w:sz w:val="21"/>
          <w:szCs w:val="21"/>
          <w:highlight w:val="none"/>
        </w:rPr>
        <w:t>序列号：第   号  共   号</w:t>
      </w:r>
    </w:p>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lang w:val="en-US" w:eastAsia="zh-CN"/>
        </w:rPr>
      </w:pPr>
    </w:p>
    <w:tbl>
      <w:tblPr>
        <w:tblStyle w:val="56"/>
        <w:tblW w:w="96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74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235"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业主</w:t>
            </w:r>
            <w:r>
              <w:rPr>
                <w:rFonts w:hint="eastAsia" w:ascii="仿宋" w:hAnsi="仿宋" w:eastAsia="仿宋" w:cs="仿宋"/>
                <w:color w:val="auto"/>
                <w:sz w:val="21"/>
                <w:szCs w:val="21"/>
                <w:highlight w:val="none"/>
              </w:rPr>
              <w:t>单位名称</w:t>
            </w:r>
          </w:p>
        </w:tc>
        <w:tc>
          <w:tcPr>
            <w:tcW w:w="7443" w:type="dxa"/>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2235"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项目</w:t>
            </w:r>
            <w:r>
              <w:rPr>
                <w:rFonts w:hint="eastAsia" w:ascii="仿宋" w:hAnsi="仿宋" w:eastAsia="仿宋" w:cs="仿宋"/>
                <w:color w:val="auto"/>
                <w:sz w:val="21"/>
                <w:szCs w:val="21"/>
                <w:highlight w:val="none"/>
              </w:rPr>
              <w:t>名称</w:t>
            </w:r>
          </w:p>
        </w:tc>
        <w:tc>
          <w:tcPr>
            <w:tcW w:w="7443" w:type="dxa"/>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2235"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项目投资金额</w:t>
            </w:r>
          </w:p>
        </w:tc>
        <w:tc>
          <w:tcPr>
            <w:tcW w:w="7443" w:type="dxa"/>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2235"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供货范围</w:t>
            </w:r>
          </w:p>
        </w:tc>
        <w:tc>
          <w:tcPr>
            <w:tcW w:w="7443" w:type="dxa"/>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2235"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合同签订日期</w:t>
            </w:r>
          </w:p>
        </w:tc>
        <w:tc>
          <w:tcPr>
            <w:tcW w:w="7443" w:type="dxa"/>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2235"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业主单位</w:t>
            </w:r>
            <w:r>
              <w:rPr>
                <w:rFonts w:hint="eastAsia" w:ascii="仿宋" w:hAnsi="仿宋" w:eastAsia="仿宋" w:cs="仿宋"/>
                <w:color w:val="auto"/>
                <w:sz w:val="21"/>
                <w:szCs w:val="21"/>
                <w:highlight w:val="none"/>
              </w:rPr>
              <w:t>联系人及联系电话</w:t>
            </w:r>
          </w:p>
        </w:tc>
        <w:tc>
          <w:tcPr>
            <w:tcW w:w="7443"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2235" w:type="dxa"/>
            <w:vAlign w:val="center"/>
          </w:tcPr>
          <w:p>
            <w:pPr>
              <w:pageBreakBefore w:val="0"/>
              <w:kinsoku/>
              <w:overflowPunct/>
              <w:topLinePunct w:val="0"/>
              <w:bidi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备注</w:t>
            </w:r>
          </w:p>
        </w:tc>
        <w:tc>
          <w:tcPr>
            <w:tcW w:w="7443" w:type="dxa"/>
          </w:tcPr>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p>
        </w:tc>
      </w:tr>
    </w:tbl>
    <w:p>
      <w:pPr>
        <w:pStyle w:val="27"/>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highlight w:val="none"/>
        </w:rPr>
      </w:pPr>
    </w:p>
    <w:p>
      <w:pPr>
        <w:pStyle w:val="27"/>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highlight w:val="none"/>
          <w:u w:val="single"/>
        </w:rPr>
      </w:pPr>
      <w:r>
        <w:rPr>
          <w:rFonts w:hint="eastAsia" w:ascii="仿宋" w:hAnsi="仿宋" w:eastAsia="仿宋" w:cs="仿宋"/>
          <w:color w:val="auto"/>
          <w:sz w:val="21"/>
          <w:highlight w:val="none"/>
        </w:rPr>
        <w:t>投标人：</w:t>
      </w:r>
      <w:r>
        <w:rPr>
          <w:rFonts w:hint="eastAsia" w:ascii="仿宋" w:hAnsi="仿宋" w:eastAsia="仿宋" w:cs="仿宋"/>
          <w:color w:val="auto"/>
          <w:sz w:val="21"/>
          <w:highlight w:val="none"/>
          <w:u w:val="single"/>
        </w:rPr>
        <w:t xml:space="preserve">                    （电子签章）</w:t>
      </w:r>
    </w:p>
    <w:p>
      <w:pPr>
        <w:pStyle w:val="27"/>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highlight w:val="none"/>
          <w:u w:val="single"/>
        </w:rPr>
      </w:pPr>
      <w:r>
        <w:rPr>
          <w:rFonts w:hint="eastAsia" w:ascii="仿宋" w:hAnsi="仿宋" w:eastAsia="仿宋" w:cs="仿宋"/>
          <w:color w:val="auto"/>
          <w:sz w:val="21"/>
          <w:highlight w:val="none"/>
        </w:rPr>
        <w:t>法定代表人或其授权委托人：</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u w:val="single"/>
          <w:lang w:val="en-US" w:eastAsia="zh-CN"/>
        </w:rPr>
        <w:t xml:space="preserve">   </w:t>
      </w:r>
      <w:r>
        <w:rPr>
          <w:rFonts w:hint="eastAsia" w:ascii="仿宋" w:hAnsi="仿宋" w:eastAsia="仿宋" w:cs="仿宋"/>
          <w:color w:val="auto"/>
          <w:sz w:val="21"/>
          <w:highlight w:val="none"/>
          <w:u w:val="single"/>
        </w:rPr>
        <w:t xml:space="preserve">  （签字或盖章或电子签章）</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日期：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p>
    <w:p>
      <w:pPr>
        <w:pageBreakBefore w:val="0"/>
        <w:kinsoku/>
        <w:overflowPunct/>
        <w:topLinePunct w:val="0"/>
        <w:bidi w:val="0"/>
        <w:spacing w:line="360" w:lineRule="auto"/>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注：</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1.如有多个已完成项目，每个项目填一张表，附后并标明序号。</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投标人必须确保所提交的业绩证明材料的真实性，如发现投标人所报信息不属实或经查实所提交的业绩证明为虚假伪造证明的，除将其投标文件作否决投标处理外，还将提交建设行政主管部门备案登记不良行为记录，按相关规定进行处罚，投标人自行承担由此造成的一切法律责任。</w:t>
      </w:r>
    </w:p>
    <w:p>
      <w:pPr>
        <w:pageBreakBefore w:val="0"/>
        <w:kinsoku/>
        <w:overflowPunct/>
        <w:topLinePunct w:val="0"/>
        <w:bidi w:val="0"/>
        <w:spacing w:line="360" w:lineRule="auto"/>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3.投标人应随此表附类似项目业绩证明扫描件</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中标/成交通知书及合同协议</w:t>
      </w:r>
      <w:r>
        <w:rPr>
          <w:rFonts w:hint="eastAsia" w:ascii="仿宋" w:hAnsi="仿宋" w:eastAsia="仿宋" w:cs="仿宋"/>
          <w:color w:val="auto"/>
          <w:sz w:val="21"/>
          <w:szCs w:val="21"/>
          <w:highlight w:val="none"/>
          <w:lang w:eastAsia="zh-CN"/>
        </w:rPr>
        <w:t>）</w:t>
      </w:r>
    </w:p>
    <w:p>
      <w:pPr>
        <w:rPr>
          <w:rFonts w:hint="eastAsia"/>
          <w:color w:val="auto"/>
          <w:highlight w:val="none"/>
          <w:lang w:eastAsia="zh-CN"/>
        </w:rPr>
      </w:pPr>
    </w:p>
    <w:p>
      <w:pPr>
        <w:rPr>
          <w:rFonts w:hint="eastAsia"/>
          <w:color w:val="auto"/>
          <w:highlight w:val="none"/>
          <w:lang w:eastAsia="zh-CN"/>
        </w:rPr>
      </w:pPr>
    </w:p>
    <w:p>
      <w:pPr>
        <w:rPr>
          <w:rFonts w:hint="eastAsia"/>
          <w:color w:val="auto"/>
          <w:highlight w:val="none"/>
        </w:rPr>
      </w:pPr>
      <w:bookmarkStart w:id="364" w:name="_Toc107816690"/>
      <w:bookmarkStart w:id="365" w:name="_Toc508091937"/>
      <w:bookmarkStart w:id="366" w:name="_Toc459149869"/>
    </w:p>
    <w:bookmarkEnd w:id="359"/>
    <w:bookmarkEnd w:id="360"/>
    <w:bookmarkEnd w:id="361"/>
    <w:bookmarkEnd w:id="362"/>
    <w:bookmarkEnd w:id="363"/>
    <w:bookmarkEnd w:id="364"/>
    <w:bookmarkEnd w:id="365"/>
    <w:bookmarkEnd w:id="366"/>
    <w:p>
      <w:pPr>
        <w:rPr>
          <w:rFonts w:hint="eastAsia" w:ascii="仿宋" w:hAnsi="仿宋" w:eastAsia="仿宋" w:cs="仿宋"/>
          <w:color w:val="auto"/>
          <w:sz w:val="28"/>
          <w:szCs w:val="28"/>
          <w:highlight w:val="none"/>
          <w:lang w:val="en-US" w:eastAsia="zh-CN"/>
        </w:rPr>
      </w:pPr>
      <w:bookmarkStart w:id="367" w:name="_Toc107816693"/>
      <w:bookmarkStart w:id="368" w:name="_Toc508091940"/>
      <w:bookmarkStart w:id="369" w:name="_Toc31819"/>
      <w:bookmarkStart w:id="370" w:name="_Toc459149872"/>
      <w:r>
        <w:rPr>
          <w:rFonts w:hint="eastAsia" w:ascii="仿宋" w:hAnsi="仿宋" w:eastAsia="仿宋" w:cs="仿宋"/>
          <w:color w:val="auto"/>
          <w:sz w:val="28"/>
          <w:szCs w:val="28"/>
          <w:highlight w:val="none"/>
          <w:lang w:val="en-US" w:eastAsia="zh-CN"/>
        </w:rPr>
        <w:br w:type="page"/>
      </w:r>
    </w:p>
    <w:p>
      <w:pPr>
        <w:pStyle w:val="5"/>
        <w:pageBreakBefore w:val="0"/>
        <w:kinsoku/>
        <w:overflowPunct/>
        <w:topLinePunct w:val="0"/>
        <w:bidi w:val="0"/>
        <w:spacing w:line="360" w:lineRule="auto"/>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四</w:t>
      </w:r>
      <w:r>
        <w:rPr>
          <w:rFonts w:hint="eastAsia" w:ascii="仿宋" w:hAnsi="仿宋" w:eastAsia="仿宋" w:cs="仿宋"/>
          <w:color w:val="auto"/>
          <w:sz w:val="28"/>
          <w:szCs w:val="28"/>
          <w:highlight w:val="none"/>
        </w:rPr>
        <w:t>、</w:t>
      </w:r>
      <w:bookmarkStart w:id="371" w:name="_Toc382838384"/>
      <w:r>
        <w:rPr>
          <w:rFonts w:hint="eastAsia" w:ascii="仿宋" w:hAnsi="仿宋" w:eastAsia="仿宋" w:cs="仿宋"/>
          <w:color w:val="auto"/>
          <w:sz w:val="28"/>
          <w:szCs w:val="28"/>
          <w:highlight w:val="none"/>
        </w:rPr>
        <w:t>投标人承诺书</w:t>
      </w:r>
      <w:bookmarkEnd w:id="367"/>
      <w:bookmarkEnd w:id="368"/>
      <w:bookmarkEnd w:id="369"/>
      <w:bookmarkEnd w:id="370"/>
      <w:bookmarkEnd w:id="371"/>
    </w:p>
    <w:p>
      <w:pPr>
        <w:pageBreakBefore w:val="0"/>
        <w:kinsoku/>
        <w:overflowPunct/>
        <w:topLinePunct w:val="0"/>
        <w:bidi w:val="0"/>
        <w:spacing w:line="360" w:lineRule="auto"/>
        <w:jc w:val="center"/>
        <w:textAlignment w:val="auto"/>
        <w:rPr>
          <w:rFonts w:hint="eastAsia" w:ascii="仿宋" w:hAnsi="仿宋" w:eastAsia="仿宋" w:cs="仿宋"/>
          <w:b/>
          <w:bCs/>
          <w:color w:val="auto"/>
          <w:spacing w:val="40"/>
          <w:sz w:val="32"/>
          <w:szCs w:val="28"/>
          <w:highlight w:val="none"/>
        </w:rPr>
      </w:pP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本企业参与</w:t>
      </w:r>
      <w:r>
        <w:rPr>
          <w:rFonts w:hint="eastAsia" w:ascii="仿宋" w:hAnsi="仿宋" w:eastAsia="仿宋" w:cs="仿宋"/>
          <w:color w:val="auto"/>
          <w:sz w:val="21"/>
          <w:szCs w:val="21"/>
          <w:highlight w:val="none"/>
          <w:u w:val="single"/>
        </w:rPr>
        <w:t xml:space="preserve">           （项目名称）               </w:t>
      </w:r>
      <w:r>
        <w:rPr>
          <w:rFonts w:hint="eastAsia" w:ascii="仿宋" w:hAnsi="仿宋" w:eastAsia="仿宋" w:cs="仿宋"/>
          <w:color w:val="auto"/>
          <w:sz w:val="21"/>
          <w:szCs w:val="21"/>
          <w:highlight w:val="none"/>
        </w:rPr>
        <w:t>的投标，现作如下承诺：</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1、我公司参与此次投标活动所提供的所</w:t>
      </w:r>
      <w:r>
        <w:rPr>
          <w:rFonts w:hint="eastAsia" w:ascii="仿宋" w:hAnsi="仿宋" w:eastAsia="仿宋" w:cs="仿宋"/>
          <w:color w:val="auto"/>
          <w:sz w:val="21"/>
          <w:szCs w:val="21"/>
          <w:highlight w:val="none"/>
          <w:lang w:eastAsia="zh-CN"/>
        </w:rPr>
        <w:t>有</w:t>
      </w:r>
      <w:r>
        <w:rPr>
          <w:rFonts w:hint="eastAsia" w:ascii="仿宋" w:hAnsi="仿宋" w:eastAsia="仿宋" w:cs="仿宋"/>
          <w:color w:val="auto"/>
          <w:sz w:val="21"/>
          <w:szCs w:val="21"/>
          <w:highlight w:val="none"/>
        </w:rPr>
        <w:t>资料都是合法、真实、有效的。</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2、不与其他投标人串通投标，围标，依法、依规公平竞争，不损害发包人或其他投标人的合法权益。</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3、不转让、出租、出借资质证书、人员岗位证书，不以法律、法规禁止的方式投标。</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4、不与发包人或招标代理机构串通投标，不损害国家利益、社会公共利益或者他人的合法权益。</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5、不向发包人、评标委员会成员、监督人员行贿。</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6、不扰乱</w:t>
      </w:r>
      <w:r>
        <w:rPr>
          <w:rFonts w:hint="eastAsia" w:ascii="仿宋" w:hAnsi="仿宋" w:eastAsia="仿宋" w:cs="仿宋"/>
          <w:color w:val="auto"/>
          <w:sz w:val="21"/>
          <w:szCs w:val="21"/>
          <w:highlight w:val="none"/>
          <w:lang w:eastAsia="zh-CN"/>
        </w:rPr>
        <w:t>楚雄州</w:t>
      </w:r>
      <w:r>
        <w:rPr>
          <w:rFonts w:hint="eastAsia" w:ascii="仿宋" w:hAnsi="仿宋" w:eastAsia="仿宋" w:cs="仿宋"/>
          <w:color w:val="auto"/>
          <w:sz w:val="21"/>
          <w:szCs w:val="21"/>
          <w:highlight w:val="none"/>
        </w:rPr>
        <w:t>公共资源交易活动正常秩序。</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7、不进行虚假恶意投诉。</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8、因违反法律、法规、规章被查处的，不干预案件查处。</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9、我公司不属于法定代表人或单位负责人为同一人或者存在直接控股、管理关系的不同供应商。</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10、我公司不属于为采购项目提供整体设计、规范编制或者项目管理、监理、检测等服务的供应商。</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如违反以上承诺，甘愿接受行业监督管理部门、纪委监察机关或司法机关调查处理。违法、违规或不良行为事实成立的，本投标人不再要求退还所提交的投标保证金，并承担相关责任。给发包人造成损失的，依法承担赔偿责任。</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pPr>
    </w:p>
    <w:p>
      <w:pPr>
        <w:pStyle w:val="27"/>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highlight w:val="none"/>
          <w:u w:val="single"/>
        </w:rPr>
      </w:pPr>
      <w:r>
        <w:rPr>
          <w:rFonts w:hint="eastAsia" w:ascii="仿宋" w:hAnsi="仿宋" w:eastAsia="仿宋" w:cs="仿宋"/>
          <w:color w:val="auto"/>
          <w:sz w:val="21"/>
          <w:highlight w:val="none"/>
        </w:rPr>
        <w:t>投标人：</w:t>
      </w:r>
      <w:r>
        <w:rPr>
          <w:rFonts w:hint="eastAsia" w:ascii="仿宋" w:hAnsi="仿宋" w:eastAsia="仿宋" w:cs="仿宋"/>
          <w:color w:val="auto"/>
          <w:sz w:val="21"/>
          <w:highlight w:val="none"/>
          <w:u w:val="single"/>
        </w:rPr>
        <w:t xml:space="preserve">                    （电子签章）</w:t>
      </w:r>
    </w:p>
    <w:p>
      <w:pPr>
        <w:pStyle w:val="27"/>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highlight w:val="none"/>
          <w:u w:val="single"/>
        </w:rPr>
      </w:pPr>
      <w:r>
        <w:rPr>
          <w:rFonts w:hint="eastAsia" w:ascii="仿宋" w:hAnsi="仿宋" w:eastAsia="仿宋" w:cs="仿宋"/>
          <w:color w:val="auto"/>
          <w:sz w:val="21"/>
          <w:highlight w:val="none"/>
        </w:rPr>
        <w:t>法定代表人或其授权委托人：</w:t>
      </w:r>
      <w:r>
        <w:rPr>
          <w:rFonts w:hint="eastAsia" w:ascii="仿宋" w:hAnsi="仿宋" w:eastAsia="仿宋" w:cs="仿宋"/>
          <w:color w:val="auto"/>
          <w:sz w:val="21"/>
          <w:highlight w:val="none"/>
          <w:u w:val="single"/>
        </w:rPr>
        <w:t xml:space="preserve">          （签字或盖章或电子签章）</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sectPr>
          <w:footerReference r:id="rId19" w:type="first"/>
          <w:footerReference r:id="rId18" w:type="default"/>
          <w:pgSz w:w="11906" w:h="16838"/>
          <w:pgMar w:top="1134" w:right="1417" w:bottom="1134" w:left="1418" w:header="1020" w:footer="992" w:gutter="0"/>
          <w:pgBorders>
            <w:top w:val="none" w:color="auto" w:sz="0" w:space="0"/>
            <w:left w:val="none" w:color="auto" w:sz="0" w:space="0"/>
            <w:bottom w:val="none" w:color="auto" w:sz="0" w:space="0"/>
            <w:right w:val="none" w:color="auto" w:sz="0" w:space="0"/>
          </w:pgBorders>
          <w:pgNumType w:fmt="decimal"/>
          <w:cols w:space="720" w:num="1"/>
          <w:titlePg/>
          <w:docGrid w:linePitch="312" w:charSpace="0"/>
        </w:sectPr>
      </w:pPr>
      <w:r>
        <w:rPr>
          <w:rFonts w:hint="eastAsia" w:ascii="仿宋" w:hAnsi="仿宋" w:eastAsia="仿宋" w:cs="仿宋"/>
          <w:color w:val="auto"/>
          <w:sz w:val="21"/>
          <w:szCs w:val="21"/>
          <w:highlight w:val="none"/>
        </w:rPr>
        <w:t xml:space="preserve">日期：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pPr>
        <w:pStyle w:val="5"/>
        <w:pageBreakBefore w:val="0"/>
        <w:kinsoku/>
        <w:overflowPunct/>
        <w:topLinePunct w:val="0"/>
        <w:bidi w:val="0"/>
        <w:spacing w:line="360" w:lineRule="auto"/>
        <w:jc w:val="center"/>
        <w:textAlignment w:val="auto"/>
        <w:rPr>
          <w:rFonts w:hint="eastAsia" w:ascii="仿宋" w:hAnsi="仿宋" w:eastAsia="仿宋" w:cs="仿宋"/>
          <w:color w:val="auto"/>
          <w:sz w:val="28"/>
          <w:szCs w:val="28"/>
          <w:highlight w:val="none"/>
        </w:rPr>
      </w:pPr>
      <w:bookmarkStart w:id="372" w:name="_Toc398156375"/>
      <w:bookmarkStart w:id="373" w:name="_Toc416851314"/>
      <w:bookmarkStart w:id="374" w:name="_Toc488139350"/>
      <w:bookmarkStart w:id="375" w:name="_Toc12199"/>
      <w:bookmarkStart w:id="376" w:name="_Toc508091941"/>
      <w:bookmarkStart w:id="377" w:name="_Toc107816694"/>
      <w:r>
        <w:rPr>
          <w:rFonts w:hint="eastAsia" w:ascii="仿宋" w:hAnsi="仿宋" w:eastAsia="仿宋" w:cs="仿宋"/>
          <w:color w:val="auto"/>
          <w:sz w:val="28"/>
          <w:szCs w:val="28"/>
          <w:highlight w:val="none"/>
          <w:lang w:val="en-US" w:eastAsia="zh-CN"/>
        </w:rPr>
        <w:t>五</w:t>
      </w:r>
      <w:r>
        <w:rPr>
          <w:rFonts w:hint="eastAsia" w:ascii="仿宋" w:hAnsi="仿宋" w:eastAsia="仿宋" w:cs="仿宋"/>
          <w:color w:val="auto"/>
          <w:sz w:val="28"/>
          <w:szCs w:val="28"/>
          <w:highlight w:val="none"/>
        </w:rPr>
        <w:t>、</w:t>
      </w:r>
      <w:bookmarkEnd w:id="372"/>
      <w:bookmarkEnd w:id="373"/>
      <w:r>
        <w:rPr>
          <w:rFonts w:hint="eastAsia" w:ascii="仿宋" w:hAnsi="仿宋" w:eastAsia="仿宋" w:cs="仿宋"/>
          <w:color w:val="auto"/>
          <w:sz w:val="28"/>
          <w:szCs w:val="28"/>
          <w:highlight w:val="none"/>
        </w:rPr>
        <w:t>投标人信誉、履约情况、投标资格说明</w:t>
      </w:r>
      <w:bookmarkEnd w:id="374"/>
      <w:bookmarkEnd w:id="375"/>
      <w:bookmarkEnd w:id="376"/>
      <w:bookmarkEnd w:id="377"/>
    </w:p>
    <w:p>
      <w:pPr>
        <w:pStyle w:val="6"/>
        <w:pageBreakBefore w:val="0"/>
        <w:kinsoku/>
        <w:wordWrap w:val="0"/>
        <w:overflowPunct/>
        <w:topLinePunct w:val="0"/>
        <w:bidi w:val="0"/>
        <w:spacing w:line="360" w:lineRule="auto"/>
        <w:ind w:firstLine="0"/>
        <w:textAlignment w:val="auto"/>
        <w:rPr>
          <w:rFonts w:hint="eastAsia" w:ascii="仿宋" w:hAnsi="仿宋" w:eastAsia="仿宋" w:cs="仿宋"/>
          <w:color w:val="auto"/>
          <w:szCs w:val="21"/>
          <w:highlight w:val="none"/>
        </w:rPr>
      </w:pPr>
    </w:p>
    <w:p>
      <w:pPr>
        <w:pStyle w:val="6"/>
        <w:pageBreakBefore w:val="0"/>
        <w:kinsoku/>
        <w:wordWrap w:val="0"/>
        <w:overflowPunct/>
        <w:topLinePunct w:val="0"/>
        <w:bidi w:val="0"/>
        <w:spacing w:line="360" w:lineRule="auto"/>
        <w:ind w:firstLine="0"/>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致：</w:t>
      </w:r>
      <w:r>
        <w:rPr>
          <w:rFonts w:hint="eastAsia" w:ascii="仿宋" w:hAnsi="仿宋" w:eastAsia="仿宋" w:cs="仿宋"/>
          <w:color w:val="auto"/>
          <w:sz w:val="21"/>
          <w:szCs w:val="21"/>
          <w:highlight w:val="none"/>
          <w:u w:val="single"/>
        </w:rPr>
        <w:t xml:space="preserve">（招标人名称）    </w:t>
      </w:r>
    </w:p>
    <w:p>
      <w:pPr>
        <w:pStyle w:val="6"/>
        <w:pageBreakBefore w:val="0"/>
        <w:kinsoku/>
        <w:wordWrap w:val="0"/>
        <w:overflowPunct/>
        <w:topLinePunct w:val="0"/>
        <w:bidi w:val="0"/>
        <w:spacing w:line="360" w:lineRule="auto"/>
        <w:textAlignment w:val="auto"/>
        <w:rPr>
          <w:rFonts w:hint="eastAsia" w:ascii="仿宋" w:hAnsi="仿宋" w:eastAsia="仿宋" w:cs="仿宋"/>
          <w:color w:val="auto"/>
          <w:sz w:val="21"/>
          <w:szCs w:val="21"/>
          <w:highlight w:val="none"/>
          <w:u w:val="single"/>
        </w:rPr>
      </w:pPr>
    </w:p>
    <w:p>
      <w:pPr>
        <w:pStyle w:val="6"/>
        <w:pageBreakBefore w:val="0"/>
        <w:kinsoku/>
        <w:wordWrap w:val="0"/>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我公司参加</w:t>
      </w:r>
      <w:r>
        <w:rPr>
          <w:rFonts w:hint="eastAsia" w:ascii="仿宋" w:hAnsi="仿宋" w:eastAsia="仿宋" w:cs="仿宋"/>
          <w:color w:val="auto"/>
          <w:sz w:val="21"/>
          <w:szCs w:val="21"/>
          <w:highlight w:val="none"/>
          <w:u w:val="single"/>
        </w:rPr>
        <w:t>（招标项目名称）</w:t>
      </w:r>
      <w:r>
        <w:rPr>
          <w:rFonts w:hint="eastAsia" w:ascii="仿宋" w:hAnsi="仿宋" w:eastAsia="仿宋" w:cs="仿宋"/>
          <w:color w:val="auto"/>
          <w:sz w:val="21"/>
          <w:szCs w:val="21"/>
          <w:highlight w:val="none"/>
        </w:rPr>
        <w:t>的投标活动，当前我公司</w:t>
      </w:r>
      <w:r>
        <w:rPr>
          <w:rFonts w:hint="eastAsia" w:ascii="仿宋" w:hAnsi="仿宋" w:eastAsia="仿宋" w:cs="仿宋"/>
          <w:color w:val="auto"/>
          <w:sz w:val="21"/>
          <w:szCs w:val="21"/>
          <w:highlight w:val="none"/>
          <w:u w:val="single"/>
        </w:rPr>
        <w:t>（此处填写“处于”或“未处于”）</w:t>
      </w:r>
      <w:r>
        <w:rPr>
          <w:rFonts w:hint="eastAsia" w:ascii="仿宋" w:hAnsi="仿宋" w:eastAsia="仿宋" w:cs="仿宋"/>
          <w:color w:val="auto"/>
          <w:sz w:val="21"/>
          <w:szCs w:val="21"/>
          <w:highlight w:val="none"/>
        </w:rPr>
        <w:t>被责令停业，投标资格被取消，财产被接管、冻结、破产状态；202</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年至今内</w:t>
      </w:r>
      <w:r>
        <w:rPr>
          <w:rFonts w:hint="eastAsia" w:ascii="仿宋" w:hAnsi="仿宋" w:eastAsia="仿宋" w:cs="仿宋"/>
          <w:color w:val="auto"/>
          <w:sz w:val="21"/>
          <w:szCs w:val="21"/>
          <w:highlight w:val="none"/>
          <w:u w:val="single"/>
        </w:rPr>
        <w:t>（此处填写“有”或“无”）</w:t>
      </w:r>
      <w:r>
        <w:rPr>
          <w:rFonts w:hint="eastAsia" w:ascii="仿宋" w:hAnsi="仿宋" w:eastAsia="仿宋" w:cs="仿宋"/>
          <w:color w:val="auto"/>
          <w:sz w:val="21"/>
          <w:szCs w:val="21"/>
          <w:highlight w:val="none"/>
        </w:rPr>
        <w:t>骗取中标；当前</w:t>
      </w:r>
      <w:r>
        <w:rPr>
          <w:rFonts w:hint="eastAsia" w:ascii="仿宋" w:hAnsi="仿宋" w:eastAsia="仿宋" w:cs="仿宋"/>
          <w:color w:val="auto"/>
          <w:sz w:val="21"/>
          <w:szCs w:val="21"/>
          <w:highlight w:val="none"/>
          <w:u w:val="single"/>
        </w:rPr>
        <w:t>（此处填写“有”或“无”）</w:t>
      </w:r>
      <w:r>
        <w:rPr>
          <w:rFonts w:hint="eastAsia" w:ascii="仿宋" w:hAnsi="仿宋" w:eastAsia="仿宋" w:cs="仿宋"/>
          <w:color w:val="auto"/>
          <w:sz w:val="21"/>
          <w:szCs w:val="21"/>
          <w:highlight w:val="none"/>
        </w:rPr>
        <w:t>因不良纪录被建设行政主管部门停止在云南省行政区域内的投标资格。</w:t>
      </w:r>
    </w:p>
    <w:p>
      <w:pPr>
        <w:pStyle w:val="6"/>
        <w:pageBreakBefore w:val="0"/>
        <w:kinsoku/>
        <w:wordWrap w:val="0"/>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附：“信用中国”</w:t>
      </w:r>
      <w:r>
        <w:rPr>
          <w:rFonts w:hint="eastAsia" w:ascii="仿宋" w:hAnsi="仿宋" w:eastAsia="仿宋" w:cs="仿宋"/>
          <w:color w:val="auto"/>
          <w:sz w:val="21"/>
          <w:szCs w:val="21"/>
          <w:highlight w:val="none"/>
          <w:lang w:val="zh-CN"/>
        </w:rPr>
        <w:t>等网站查询结果截图</w:t>
      </w:r>
      <w:r>
        <w:rPr>
          <w:rFonts w:hint="eastAsia" w:ascii="仿宋" w:hAnsi="仿宋" w:eastAsia="仿宋" w:cs="仿宋"/>
          <w:color w:val="auto"/>
          <w:sz w:val="21"/>
          <w:szCs w:val="21"/>
          <w:highlight w:val="none"/>
        </w:rPr>
        <w:t>。</w:t>
      </w:r>
    </w:p>
    <w:p>
      <w:pPr>
        <w:pStyle w:val="6"/>
        <w:pageBreakBefore w:val="0"/>
        <w:kinsoku/>
        <w:wordWrap w:val="0"/>
        <w:overflowPunct/>
        <w:topLinePunct w:val="0"/>
        <w:bidi w:val="0"/>
        <w:spacing w:line="360" w:lineRule="auto"/>
        <w:textAlignment w:val="auto"/>
        <w:rPr>
          <w:rFonts w:hint="eastAsia" w:ascii="仿宋" w:hAnsi="仿宋" w:eastAsia="仿宋" w:cs="仿宋"/>
          <w:color w:val="auto"/>
          <w:sz w:val="21"/>
          <w:szCs w:val="21"/>
          <w:highlight w:val="none"/>
        </w:rPr>
      </w:pPr>
    </w:p>
    <w:p>
      <w:pPr>
        <w:pStyle w:val="6"/>
        <w:pageBreakBefore w:val="0"/>
        <w:kinsoku/>
        <w:wordWrap w:val="0"/>
        <w:overflowPunct/>
        <w:topLinePunct w:val="0"/>
        <w:bidi w:val="0"/>
        <w:spacing w:line="360" w:lineRule="auto"/>
        <w:textAlignment w:val="auto"/>
        <w:rPr>
          <w:rFonts w:hint="eastAsia" w:ascii="仿宋" w:hAnsi="仿宋" w:eastAsia="仿宋" w:cs="仿宋"/>
          <w:color w:val="auto"/>
          <w:sz w:val="21"/>
          <w:szCs w:val="21"/>
          <w:highlight w:val="none"/>
        </w:rPr>
      </w:pPr>
    </w:p>
    <w:p>
      <w:pPr>
        <w:pStyle w:val="6"/>
        <w:pageBreakBefore w:val="0"/>
        <w:kinsoku/>
        <w:wordWrap w:val="0"/>
        <w:overflowPunct/>
        <w:topLinePunct w:val="0"/>
        <w:bidi w:val="0"/>
        <w:spacing w:line="360" w:lineRule="auto"/>
        <w:textAlignment w:val="auto"/>
        <w:rPr>
          <w:rFonts w:hint="eastAsia" w:ascii="仿宋" w:hAnsi="仿宋" w:eastAsia="仿宋" w:cs="仿宋"/>
          <w:color w:val="auto"/>
          <w:sz w:val="21"/>
          <w:szCs w:val="21"/>
          <w:highlight w:val="none"/>
        </w:rPr>
      </w:pPr>
    </w:p>
    <w:p>
      <w:pPr>
        <w:pStyle w:val="27"/>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highlight w:val="none"/>
          <w:u w:val="single"/>
        </w:rPr>
      </w:pPr>
      <w:r>
        <w:rPr>
          <w:rFonts w:hint="eastAsia" w:ascii="仿宋" w:hAnsi="仿宋" w:eastAsia="仿宋" w:cs="仿宋"/>
          <w:color w:val="auto"/>
          <w:sz w:val="21"/>
          <w:highlight w:val="none"/>
        </w:rPr>
        <w:t>投标人：</w:t>
      </w:r>
      <w:r>
        <w:rPr>
          <w:rFonts w:hint="eastAsia" w:ascii="仿宋" w:hAnsi="仿宋" w:eastAsia="仿宋" w:cs="仿宋"/>
          <w:color w:val="auto"/>
          <w:sz w:val="21"/>
          <w:highlight w:val="none"/>
          <w:u w:val="single"/>
        </w:rPr>
        <w:t xml:space="preserve">                    （电子签章）</w:t>
      </w:r>
    </w:p>
    <w:p>
      <w:pPr>
        <w:pStyle w:val="27"/>
        <w:pageBreakBefore w:val="0"/>
        <w:kinsoku/>
        <w:overflowPunct/>
        <w:topLinePunct w:val="0"/>
        <w:bidi w:val="0"/>
        <w:spacing w:line="360" w:lineRule="auto"/>
        <w:ind w:firstLine="424" w:firstLineChars="202"/>
        <w:textAlignment w:val="auto"/>
        <w:rPr>
          <w:rFonts w:hint="eastAsia" w:ascii="仿宋" w:hAnsi="仿宋" w:eastAsia="仿宋" w:cs="仿宋"/>
          <w:color w:val="auto"/>
          <w:sz w:val="21"/>
          <w:highlight w:val="none"/>
          <w:u w:val="single"/>
        </w:rPr>
      </w:pPr>
      <w:r>
        <w:rPr>
          <w:rFonts w:hint="eastAsia" w:ascii="仿宋" w:hAnsi="仿宋" w:eastAsia="仿宋" w:cs="仿宋"/>
          <w:color w:val="auto"/>
          <w:sz w:val="21"/>
          <w:highlight w:val="none"/>
        </w:rPr>
        <w:t>法定代表人或其授权委托人：</w:t>
      </w:r>
      <w:r>
        <w:rPr>
          <w:rFonts w:hint="eastAsia" w:ascii="仿宋" w:hAnsi="仿宋" w:eastAsia="仿宋" w:cs="仿宋"/>
          <w:color w:val="auto"/>
          <w:sz w:val="21"/>
          <w:highlight w:val="none"/>
          <w:u w:val="single"/>
        </w:rPr>
        <w:t xml:space="preserve">          （签字或盖章或电子签章）</w:t>
      </w:r>
    </w:p>
    <w:p>
      <w:pPr>
        <w:pageBreakBefore w:val="0"/>
        <w:kinsoku/>
        <w:overflowPunct/>
        <w:topLinePunct w:val="0"/>
        <w:bidi w:val="0"/>
        <w:spacing w:line="360" w:lineRule="auto"/>
        <w:ind w:firstLine="420" w:firstLineChars="200"/>
        <w:textAlignment w:val="auto"/>
        <w:rPr>
          <w:rFonts w:hint="eastAsia" w:ascii="仿宋" w:hAnsi="仿宋" w:eastAsia="仿宋" w:cs="仿宋"/>
          <w:color w:val="auto"/>
          <w:sz w:val="21"/>
          <w:szCs w:val="21"/>
          <w:highlight w:val="none"/>
        </w:rPr>
        <w:sectPr>
          <w:pgSz w:w="11906" w:h="16838"/>
          <w:pgMar w:top="1134" w:right="1417" w:bottom="1134" w:left="1418" w:header="1020" w:footer="992" w:gutter="0"/>
          <w:pgBorders>
            <w:top w:val="none" w:color="auto" w:sz="0" w:space="0"/>
            <w:left w:val="none" w:color="auto" w:sz="0" w:space="0"/>
            <w:bottom w:val="none" w:color="auto" w:sz="0" w:space="0"/>
            <w:right w:val="none" w:color="auto" w:sz="0" w:space="0"/>
          </w:pgBorders>
          <w:pgNumType w:fmt="decimal"/>
          <w:cols w:space="720" w:num="1"/>
          <w:titlePg/>
          <w:docGrid w:linePitch="312" w:charSpace="0"/>
        </w:sectPr>
      </w:pPr>
      <w:r>
        <w:rPr>
          <w:rFonts w:hint="eastAsia" w:ascii="仿宋" w:hAnsi="仿宋" w:eastAsia="仿宋" w:cs="仿宋"/>
          <w:color w:val="auto"/>
          <w:sz w:val="21"/>
          <w:szCs w:val="21"/>
          <w:highlight w:val="none"/>
        </w:rPr>
        <w:t xml:space="preserve">日期：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pPr>
        <w:pStyle w:val="5"/>
        <w:pageBreakBefore w:val="0"/>
        <w:kinsoku/>
        <w:overflowPunct/>
        <w:topLinePunct w:val="0"/>
        <w:bidi w:val="0"/>
        <w:spacing w:line="360" w:lineRule="auto"/>
        <w:jc w:val="center"/>
        <w:textAlignment w:val="auto"/>
        <w:rPr>
          <w:rFonts w:hint="eastAsia" w:ascii="仿宋" w:hAnsi="仿宋" w:eastAsia="仿宋" w:cs="仿宋"/>
          <w:color w:val="auto"/>
          <w:sz w:val="28"/>
          <w:szCs w:val="28"/>
          <w:highlight w:val="none"/>
        </w:rPr>
      </w:pPr>
      <w:bookmarkStart w:id="378" w:name="_Toc508091942"/>
      <w:bookmarkStart w:id="379" w:name="_Toc107816695"/>
      <w:bookmarkStart w:id="380" w:name="_Toc24254"/>
      <w:bookmarkStart w:id="381" w:name="_Toc459149873"/>
      <w:bookmarkStart w:id="382" w:name="_Toc287989684"/>
      <w:bookmarkStart w:id="383" w:name="_Toc382838385"/>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、招标文件中要求提交的其它资料或其他投标人认为有必要提交的资料</w:t>
      </w:r>
      <w:bookmarkEnd w:id="378"/>
      <w:bookmarkEnd w:id="379"/>
      <w:bookmarkEnd w:id="380"/>
      <w:bookmarkEnd w:id="381"/>
      <w:bookmarkEnd w:id="382"/>
      <w:bookmarkEnd w:id="383"/>
    </w:p>
    <w:bookmarkEnd w:id="340"/>
    <w:bookmarkEnd w:id="341"/>
    <w:bookmarkEnd w:id="342"/>
    <w:bookmarkEnd w:id="343"/>
    <w:bookmarkEnd w:id="344"/>
    <w:p>
      <w:pPr>
        <w:pageBreakBefore w:val="0"/>
        <w:kinsoku/>
        <w:overflowPunct/>
        <w:topLinePunct w:val="0"/>
        <w:bidi w:val="0"/>
        <w:spacing w:line="360" w:lineRule="auto"/>
        <w:textAlignment w:val="auto"/>
        <w:rPr>
          <w:rFonts w:hint="eastAsia" w:ascii="仿宋" w:hAnsi="仿宋" w:eastAsia="仿宋" w:cs="仿宋"/>
          <w:color w:val="auto"/>
          <w:sz w:val="22"/>
          <w:highlight w:val="none"/>
        </w:rPr>
      </w:pPr>
    </w:p>
    <w:p>
      <w:pPr>
        <w:pStyle w:val="5"/>
        <w:pageBreakBefore w:val="0"/>
        <w:kinsoku/>
        <w:overflowPunct/>
        <w:topLinePunct w:val="0"/>
        <w:bidi w:val="0"/>
        <w:spacing w:before="0" w:after="0" w:line="360" w:lineRule="auto"/>
        <w:jc w:val="center"/>
        <w:textAlignment w:val="auto"/>
        <w:rPr>
          <w:rFonts w:hint="eastAsia" w:ascii="仿宋" w:hAnsi="仿宋" w:eastAsia="仿宋" w:cs="仿宋"/>
          <w:color w:val="auto"/>
          <w:kern w:val="1"/>
          <w:szCs w:val="21"/>
          <w:highlight w:val="none"/>
        </w:rPr>
      </w:pPr>
    </w:p>
    <w:sectPr>
      <w:pgSz w:w="11906" w:h="16838"/>
      <w:pgMar w:top="1134" w:right="1417" w:bottom="1134" w:left="1418" w:header="1020" w:footer="992" w:gutter="0"/>
      <w:pgBorders>
        <w:top w:val="none" w:color="auto" w:sz="0" w:space="0"/>
        <w:left w:val="none" w:color="auto" w:sz="0" w:space="0"/>
        <w:bottom w:val="none" w:color="auto" w:sz="0" w:space="0"/>
        <w:right w:val="none" w:color="auto" w:sz="0" w:space="0"/>
      </w:pgBorders>
      <w:pgNumType w:fmt="decimal"/>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Times">
    <w:altName w:val="Times New Roman"/>
    <w:panose1 w:val="02020603050405020304"/>
    <w:charset w:val="00"/>
    <w:family w:val="roman"/>
    <w:pitch w:val="default"/>
    <w:sig w:usb0="00000000" w:usb1="00000000" w:usb2="00000009" w:usb3="00000000" w:csb0="000001FF" w:csb1="00000000"/>
  </w:font>
  <w:font w:name="CG Times">
    <w:altName w:val="Segoe Print"/>
    <w:panose1 w:val="00000000000000000000"/>
    <w:charset w:val="00"/>
    <w:family w:val="roman"/>
    <w:pitch w:val="default"/>
    <w:sig w:usb0="00000000" w:usb1="00000000" w:usb2="00000000" w:usb3="00000000" w:csb0="00000093"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rPr>
        <w:rFonts w:eastAsia="仿宋_GB2312"/>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rPr>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rPr>
        <w:rFonts w:eastAsia="仿宋_GB2312"/>
        <w:sz w:val="24"/>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BEkaiw4CAAAHBAAADgAAAAAAAAABACAAAAAf&#10;AQAAZHJzL2Uyb0RvYy54bWxQSwUGAAAAAAYABgBZAQAAn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rPr>
        <w:sz w:val="24"/>
        <w:szCs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jc w:val="cente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1</w:t>
                          </w:r>
                          <w:r>
                            <w:rPr>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qDMrwOAgAACQ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&#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GoMyvA4CAAAJBAAADgAAAAAAAAABACAAAAAf&#10;AQAAZHJzL2Uyb0RvYy54bWxQSwUGAAAAAAYABgBZAQAAnwUAAAAA&#10;">
              <v:fill on="f" focussize="0,0"/>
              <v:stroke on="f" weight="0.5pt"/>
              <v:imagedata o:title=""/>
              <o:lock v:ext="edit" aspectratio="f"/>
              <v:textbox inset="0mm,0mm,0mm,0mm" style="mso-fit-shape-to-text:t;">
                <w:txbxContent>
                  <w:p>
                    <w:pPr>
                      <w:pStyle w:val="31"/>
                      <w:jc w:val="cente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1</w:t>
                    </w:r>
                    <w:r>
                      <w:rPr>
                        <w:sz w:val="24"/>
                        <w:szCs w:val="24"/>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rPr>
        <w:rFonts w:eastAsia="仿宋_GB2312"/>
        <w:sz w:val="24"/>
      </w:rPr>
    </w:pPr>
    <w:r>
      <w:rPr>
        <w:sz w:val="24"/>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CrKKjmEAIAAAkEAAAOAAAAAAAAAAEAIAAA&#10;AB8BAABkcnMvZTJvRG9jLnhtbFBLBQYAAAAABgAGAFkBAACh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rPr>
        <w:sz w:val="24"/>
        <w:szCs w:val="24"/>
      </w:rPr>
    </w:pPr>
    <w:r>
      <w:rPr>
        <w:sz w:val="24"/>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jc w:val="cente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1</w:t>
                          </w:r>
                          <w:r>
                            <w:rPr>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GpaJMPAgAACQ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DGpaJMPAgAACQQAAA4AAAAAAAAAAQAgAAAA&#10;HwEAAGRycy9lMm9Eb2MueG1sUEsFBgAAAAAGAAYAWQEAAKAFAAAAAA==&#10;">
              <v:fill on="f" focussize="0,0"/>
              <v:stroke on="f" weight="0.5pt"/>
              <v:imagedata o:title=""/>
              <o:lock v:ext="edit" aspectratio="f"/>
              <v:textbox inset="0mm,0mm,0mm,0mm" style="mso-fit-shape-to-text:t;">
                <w:txbxContent>
                  <w:p>
                    <w:pPr>
                      <w:pStyle w:val="31"/>
                      <w:jc w:val="cente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1</w:t>
                    </w:r>
                    <w:r>
                      <w:rPr>
                        <w:sz w:val="24"/>
                        <w:szCs w:val="24"/>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rPr>
        <w:rFonts w:eastAsia="仿宋_GB2312"/>
        <w:sz w:val="24"/>
      </w:rPr>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C8JksDEAIAAAcEAAAOAAAAAAAAAAEAIAAA&#10;AB8BAABkcnMvZTJvRG9jLnhtbFBLBQYAAAAABgAGAFkBAACh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rPr>
        <w:sz w:val="24"/>
        <w:szCs w:val="24"/>
      </w:rPr>
    </w:pPr>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LOYfwOAgAACQ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&#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ss5h/A4CAAAJBAAADgAAAAAAAAABACAAAAAf&#10;AQAAZHJzL2Uyb0RvYy54bWxQSwUGAAAAAAYABgBZAQAAn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ind w:right="360" w:firstLine="140" w:firstLineChars="67"/>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BKGJQ8EAIAAAkEAAAOAAAAAAAAAAEAIAAA&#10;AB8BAABkcnMvZTJvRG9jLnhtbFBLBQYAAAAABgAGAFkBAACh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36</w:t>
                    </w:r>
                    <w:r>
                      <w:fldChar w:fldCharType="end"/>
                    </w:r>
                  </w:p>
                </w:txbxContent>
              </v:textbox>
            </v:shape>
          </w:pict>
        </mc:Fallback>
      </mc:AlternateContent>
    </w: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ind w:right="360" w:firstLine="120" w:firstLineChars="67"/>
                            <w:rPr>
                              <w:rFonts w:hint="default"/>
                              <w:lang w:val="en-US" w:eastAsia="zh-CN"/>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BhlWFeEAIAAAcEAAAOAAAAAAAAAAEAIAAA&#10;AB8BAABkcnMvZTJvRG9jLnhtbFBLBQYAAAAABgAGAFkBAAChBQAAAAA=&#10;">
              <v:fill on="f" focussize="0,0"/>
              <v:stroke on="f" weight="0.5pt"/>
              <v:imagedata o:title=""/>
              <o:lock v:ext="edit" aspectratio="f"/>
              <v:textbox inset="0mm,0mm,0mm,0mm" style="mso-fit-shape-to-text:t;">
                <w:txbxContent>
                  <w:p>
                    <w:pPr>
                      <w:pStyle w:val="31"/>
                      <w:ind w:right="360" w:firstLine="120" w:firstLineChars="67"/>
                      <w:rPr>
                        <w:rFonts w:hint="default"/>
                        <w:lang w:val="en-US" w:eastAsia="zh-CN"/>
                      </w:rPr>
                    </w:pP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BT/l0mEAIAAAkEAAAOAAAAAAAAAAEAIAAA&#10;AB8BAABkcnMvZTJvRG9jLnhtbFBLBQYAAAAABgAGAFkBAACh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ind w:right="360" w:firstLine="140" w:firstLineChars="67"/>
    </w:pPr>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D7sw5mEAIAAAkEAAAOAAAAAAAAAAEAIAAA&#10;AB8BAABkcnMvZTJvRG9jLnhtbFBLBQYAAAAABgAGAFkBAACh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64</w:t>
                    </w:r>
                    <w:r>
                      <w:fldChar w:fldCharType="end"/>
                    </w:r>
                  </w:p>
                </w:txbxContent>
              </v:textbox>
            </v:shape>
          </w:pict>
        </mc:Fallback>
      </mc:AlternateContent>
    </w: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ind w:right="360" w:firstLine="120" w:firstLineChars="67"/>
                            <w:rPr>
                              <w:rFonts w:hint="default"/>
                              <w:lang w:val="en-US" w:eastAsia="zh-CN"/>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UEyylQ4CAAAHBAAADgAAAAAAAAABACAAAAAf&#10;AQAAZHJzL2Uyb0RvYy54bWxQSwUGAAAAAAYABgBZAQAAnwUAAAAA&#10;">
              <v:fill on="f" focussize="0,0"/>
              <v:stroke on="f" weight="0.5pt"/>
              <v:imagedata o:title=""/>
              <o:lock v:ext="edit" aspectratio="f"/>
              <v:textbox inset="0mm,0mm,0mm,0mm" style="mso-fit-shape-to-text:t;">
                <w:txbxContent>
                  <w:p>
                    <w:pPr>
                      <w:pStyle w:val="31"/>
                      <w:ind w:right="360" w:firstLine="120" w:firstLineChars="67"/>
                      <w:rPr>
                        <w:rFonts w:hint="default"/>
                        <w:lang w:val="en-US" w:eastAsia="zh-CN"/>
                      </w:rPr>
                    </w:pPr>
                  </w:p>
                </w:txbxContent>
              </v:textbox>
            </v:shape>
          </w:pict>
        </mc:Fallback>
      </mc:AlternateContent>
    </w:r>
    <w:r>
      <w:rPr>
        <w:b/>
        <w:sz w:val="21"/>
        <w:u w:val="single"/>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-93980</wp:posOffset>
              </wp:positionV>
              <wp:extent cx="5626735" cy="0"/>
              <wp:effectExtent l="0" t="6350" r="0" b="6350"/>
              <wp:wrapNone/>
              <wp:docPr id="7" name="Line 1026"/>
              <wp:cNvGraphicFramePr/>
              <a:graphic xmlns:a="http://schemas.openxmlformats.org/drawingml/2006/main">
                <a:graphicData uri="http://schemas.microsoft.com/office/word/2010/wordprocessingShape">
                  <wps:wsp>
                    <wps:cNvCnPr>
                      <a:cxnSpLocks noChangeShapeType="1"/>
                    </wps:cNvCnPr>
                    <wps:spPr bwMode="auto">
                      <a:xfrm>
                        <a:off x="0" y="0"/>
                        <a:ext cx="5626735" cy="0"/>
                      </a:xfrm>
                      <a:prstGeom prst="line">
                        <a:avLst/>
                      </a:prstGeom>
                      <a:noFill/>
                      <a:ln w="12700">
                        <a:solidFill>
                          <a:srgbClr val="000000"/>
                        </a:solidFill>
                        <a:round/>
                      </a:ln>
                    </wps:spPr>
                    <wps:bodyPr/>
                  </wps:wsp>
                </a:graphicData>
              </a:graphic>
            </wp:anchor>
          </w:drawing>
        </mc:Choice>
        <mc:Fallback>
          <w:pict>
            <v:line id="Line 1026" o:spid="_x0000_s1026" o:spt="20" style="position:absolute;left:0pt;margin-top:-7.4pt;height:0pt;width:443.05pt;mso-position-horizontal:center;mso-position-horizontal-relative:margin;z-index:251660288;mso-width-relative:page;mso-height-relative:page;" filled="f" stroked="t" coordsize="21600,21600" o:gfxdata="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ZKSWO&#10;1gAAAAgBAAAPAAAAAAAAAAEAIAAAACIAAABkcnMvZG93bnJldi54bWxQSwECFAAUAAAACACHTuJA&#10;H78onLEBAABVAwAADgAAAAAAAAABACAAAAAlAQAAZHJzL2Uyb0RvYy54bWxQSwUGAAAAAAYABgBZ&#10;AQAASAUAAAAA&#10;">
              <v:fill on="f" focussize="0,0"/>
              <v:stroke weight="1pt" color="#000000" joinstyle="round"/>
              <v:imagedata o:title=""/>
              <o:lock v:ext="edit" aspectratio="f"/>
            </v:lin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ANl+6YPAgAACQQAAA4AAAAAAAAAAQAgAAAA&#10;HwEAAGRycy9lMm9Eb2MueG1sUEsFBgAAAAAGAAYAWQEAAKA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63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left"/>
      <w:rPr>
        <w:sz w:val="15"/>
        <w:szCs w:val="15"/>
      </w:rPr>
    </w:pPr>
    <w:r>
      <w:rPr>
        <w:rFonts w:hint="eastAsia"/>
        <w:sz w:val="15"/>
        <w:szCs w:val="15"/>
        <w:lang w:eastAsia="zh-CN"/>
      </w:rPr>
      <w:t>牟定县2024年高标准农田建设（专债项目）耕地质量提升采购商品有机肥项目</w:t>
    </w:r>
    <w:r>
      <w:rPr>
        <w:sz w:val="15"/>
        <w:szCs w:val="15"/>
      </w:rPr>
      <w:t xml:space="preserve">    </w:t>
    </w:r>
    <w:r>
      <w:rPr>
        <w:rFonts w:hint="eastAsia"/>
        <w:sz w:val="15"/>
        <w:szCs w:val="15"/>
        <w:lang w:val="en-US" w:eastAsia="zh-CN"/>
      </w:rPr>
      <w:t xml:space="preserve">                         </w:t>
    </w:r>
    <w:r>
      <w:rPr>
        <w:rFonts w:hint="eastAsia"/>
        <w:sz w:val="15"/>
        <w:szCs w:val="15"/>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left"/>
      <w:rPr>
        <w:sz w:val="15"/>
        <w:szCs w:val="15"/>
      </w:rPr>
    </w:pPr>
    <w:r>
      <w:rPr>
        <w:rFonts w:hint="eastAsia"/>
        <w:sz w:val="15"/>
        <w:szCs w:val="15"/>
        <w:lang w:eastAsia="zh-CN"/>
      </w:rPr>
      <w:t>牟定县2024年高标准农田建设（专债项目）耕地质量提升采购商品有机肥项目</w:t>
    </w:r>
    <w:r>
      <w:rPr>
        <w:sz w:val="15"/>
        <w:szCs w:val="15"/>
      </w:rPr>
      <w:t xml:space="preserve">    </w:t>
    </w:r>
    <w:r>
      <w:rPr>
        <w:rFonts w:hint="eastAsia"/>
        <w:sz w:val="15"/>
        <w:szCs w:val="15"/>
        <w:lang w:val="en-US" w:eastAsia="zh-CN"/>
      </w:rPr>
      <w:t xml:space="preserve">                         </w:t>
    </w:r>
    <w:r>
      <w:rPr>
        <w:rFonts w:hint="eastAsia"/>
        <w:sz w:val="15"/>
        <w:szCs w:val="15"/>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967D5"/>
    <w:multiLevelType w:val="multilevel"/>
    <w:tmpl w:val="01E967D5"/>
    <w:lvl w:ilvl="0" w:tentative="0">
      <w:start w:val="1"/>
      <w:numFmt w:val="chineseCountingThousand"/>
      <w:pStyle w:val="304"/>
      <w:lvlText w:val="%1、"/>
      <w:lvlJc w:val="left"/>
      <w:pPr>
        <w:ind w:left="0" w:firstLine="40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29734FF"/>
    <w:multiLevelType w:val="multilevel"/>
    <w:tmpl w:val="229734FF"/>
    <w:lvl w:ilvl="0" w:tentative="0">
      <w:start w:val="1"/>
      <w:numFmt w:val="decimal"/>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2">
    <w:nsid w:val="27BDA770"/>
    <w:multiLevelType w:val="singleLevel"/>
    <w:tmpl w:val="27BDA770"/>
    <w:lvl w:ilvl="0" w:tentative="0">
      <w:start w:val="2"/>
      <w:numFmt w:val="decimal"/>
      <w:suff w:val="nothing"/>
      <w:lvlText w:val="%1、"/>
      <w:lvlJc w:val="left"/>
    </w:lvl>
  </w:abstractNum>
  <w:abstractNum w:abstractNumId="3">
    <w:nsid w:val="28D9536E"/>
    <w:multiLevelType w:val="multilevel"/>
    <w:tmpl w:val="28D9536E"/>
    <w:lvl w:ilvl="0" w:tentative="0">
      <w:start w:val="1"/>
      <w:numFmt w:val="upperLetter"/>
      <w:pStyle w:val="290"/>
      <w:lvlText w:val="(%1)"/>
      <w:lvlJc w:val="left"/>
      <w:pPr>
        <w:tabs>
          <w:tab w:val="left" w:pos="624"/>
        </w:tabs>
        <w:ind w:left="624" w:hanging="624"/>
      </w:pPr>
    </w:lvl>
    <w:lvl w:ilvl="1" w:tentative="0">
      <w:start w:val="1"/>
      <w:numFmt w:val="upperLetter"/>
      <w:pStyle w:val="293"/>
      <w:lvlText w:val="(%2)"/>
      <w:lvlJc w:val="left"/>
      <w:pPr>
        <w:tabs>
          <w:tab w:val="left" w:pos="1417"/>
        </w:tabs>
        <w:ind w:left="1417" w:hanging="793"/>
      </w:pPr>
    </w:lvl>
    <w:lvl w:ilvl="2" w:tentative="0">
      <w:start w:val="1"/>
      <w:numFmt w:val="upperLetter"/>
      <w:pStyle w:val="300"/>
      <w:lvlText w:val="(%3)"/>
      <w:lvlJc w:val="left"/>
      <w:pPr>
        <w:tabs>
          <w:tab w:val="left" w:pos="1928"/>
        </w:tabs>
        <w:ind w:left="1928" w:hanging="511"/>
      </w:pPr>
    </w:lvl>
    <w:lvl w:ilvl="3" w:tentative="0">
      <w:start w:val="1"/>
      <w:numFmt w:val="lowerLetter"/>
      <w:lvlText w:val="(%4)"/>
      <w:lvlJc w:val="left"/>
      <w:pPr>
        <w:tabs>
          <w:tab w:val="left" w:pos="1928"/>
        </w:tabs>
        <w:ind w:left="1928" w:hanging="511"/>
      </w:pPr>
    </w:lvl>
    <w:lvl w:ilvl="4" w:tentative="0">
      <w:start w:val="1"/>
      <w:numFmt w:val="lowerRoman"/>
      <w:lvlText w:val="(%5)"/>
      <w:lvlJc w:val="left"/>
      <w:pPr>
        <w:tabs>
          <w:tab w:val="left" w:pos="2438"/>
        </w:tabs>
        <w:ind w:left="2438" w:hanging="510"/>
      </w:pPr>
    </w:lvl>
    <w:lvl w:ilvl="5" w:tentative="0">
      <w:start w:val="1"/>
      <w:numFmt w:val="decimal"/>
      <w:lvlText w:val="(%6)"/>
      <w:lvlJc w:val="left"/>
      <w:pPr>
        <w:tabs>
          <w:tab w:val="left" w:pos="2948"/>
        </w:tabs>
        <w:ind w:left="2948" w:hanging="51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decimal"/>
      <w:lvlRestart w:val="0"/>
      <w:lvlText w:val="SCHEDULE %9"/>
      <w:lvlJc w:val="left"/>
      <w:pPr>
        <w:tabs>
          <w:tab w:val="left" w:pos="0"/>
        </w:tabs>
        <w:ind w:left="0" w:firstLine="0"/>
      </w:pPr>
    </w:lvl>
  </w:abstractNum>
  <w:abstractNum w:abstractNumId="4">
    <w:nsid w:val="301F5202"/>
    <w:multiLevelType w:val="multilevel"/>
    <w:tmpl w:val="301F5202"/>
    <w:lvl w:ilvl="0" w:tentative="0">
      <w:start w:val="1"/>
      <w:numFmt w:val="decimal"/>
      <w:lvlText w:val="第%1条"/>
      <w:lvlJc w:val="left"/>
      <w:pPr>
        <w:ind w:left="851" w:firstLine="0"/>
      </w:pPr>
    </w:lvl>
    <w:lvl w:ilvl="1" w:tentative="0">
      <w:start w:val="1"/>
      <w:numFmt w:val="decimal"/>
      <w:pStyle w:val="298"/>
      <w:lvlText w:val="%1.%2"/>
      <w:lvlJc w:val="left"/>
      <w:pPr>
        <w:ind w:left="991" w:hanging="567"/>
      </w:pPr>
    </w:lvl>
    <w:lvl w:ilvl="2" w:tentative="0">
      <w:start w:val="1"/>
      <w:numFmt w:val="decimal"/>
      <w:pStyle w:val="292"/>
      <w:lvlText w:val="%1.%2.%3"/>
      <w:lvlJc w:val="left"/>
      <w:pPr>
        <w:ind w:left="2835" w:hanging="567"/>
      </w:pPr>
    </w:lvl>
    <w:lvl w:ilvl="3" w:tentative="0">
      <w:start w:val="1"/>
      <w:numFmt w:val="decimal"/>
      <w:lvlText w:val="%1.%2.%3.%4"/>
      <w:lvlJc w:val="left"/>
      <w:pPr>
        <w:ind w:left="1983" w:hanging="708"/>
      </w:pPr>
    </w:lvl>
    <w:lvl w:ilvl="4" w:tentative="0">
      <w:start w:val="1"/>
      <w:numFmt w:val="decimal"/>
      <w:lvlText w:val="%1.%2.%3.%4.%5"/>
      <w:lvlJc w:val="left"/>
      <w:pPr>
        <w:ind w:left="2550" w:hanging="850"/>
      </w:pPr>
    </w:lvl>
    <w:lvl w:ilvl="5" w:tentative="0">
      <w:start w:val="1"/>
      <w:numFmt w:val="decimal"/>
      <w:lvlText w:val="%1.%2.%3.%4.%5.%6"/>
      <w:lvlJc w:val="left"/>
      <w:pPr>
        <w:ind w:left="3259" w:hanging="1134"/>
      </w:pPr>
    </w:lvl>
    <w:lvl w:ilvl="6" w:tentative="0">
      <w:start w:val="1"/>
      <w:numFmt w:val="decimal"/>
      <w:lvlText w:val="%1.%2.%3.%4.%5.%6.%7"/>
      <w:lvlJc w:val="left"/>
      <w:pPr>
        <w:ind w:left="3826" w:hanging="1276"/>
      </w:pPr>
    </w:lvl>
    <w:lvl w:ilvl="7" w:tentative="0">
      <w:start w:val="1"/>
      <w:numFmt w:val="decimal"/>
      <w:lvlText w:val="%1.%2.%3.%4.%5.%6.%7.%8"/>
      <w:lvlJc w:val="left"/>
      <w:pPr>
        <w:ind w:left="4393" w:hanging="1418"/>
      </w:pPr>
    </w:lvl>
    <w:lvl w:ilvl="8" w:tentative="0">
      <w:start w:val="1"/>
      <w:numFmt w:val="decimal"/>
      <w:lvlText w:val="%1.%2.%3.%4.%5.%6.%7.%8.%9"/>
      <w:lvlJc w:val="left"/>
      <w:pPr>
        <w:ind w:left="5101" w:hanging="1700"/>
      </w:pPr>
    </w:lvl>
  </w:abstractNum>
  <w:abstractNum w:abstractNumId="5">
    <w:nsid w:val="3AA800C6"/>
    <w:multiLevelType w:val="multilevel"/>
    <w:tmpl w:val="3AA800C6"/>
    <w:lvl w:ilvl="0" w:tentative="0">
      <w:start w:val="1"/>
      <w:numFmt w:val="decimal"/>
      <w:pStyle w:val="301"/>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rPr>
        <w:rFonts w:hint="eastAsia" w:ascii="仿宋_GB2312" w:eastAsia="仿宋_GB2312"/>
      </w:r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pStyle w:val="286"/>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6">
    <w:nsid w:val="5747028D"/>
    <w:multiLevelType w:val="multilevel"/>
    <w:tmpl w:val="5747028D"/>
    <w:lvl w:ilvl="0" w:tentative="0">
      <w:start w:val="1"/>
      <w:numFmt w:val="decimal"/>
      <w:pStyle w:val="265"/>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7">
    <w:nsid w:val="61BD6C99"/>
    <w:multiLevelType w:val="multilevel"/>
    <w:tmpl w:val="61BD6C99"/>
    <w:lvl w:ilvl="0" w:tentative="0">
      <w:start w:val="1"/>
      <w:numFmt w:val="lowerRoman"/>
      <w:pStyle w:val="283"/>
      <w:lvlText w:val="(%1)"/>
      <w:lvlJc w:val="left"/>
      <w:pPr>
        <w:ind w:left="1560" w:hanging="7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8">
    <w:nsid w:val="62687BB6"/>
    <w:multiLevelType w:val="multilevel"/>
    <w:tmpl w:val="62687BB6"/>
    <w:lvl w:ilvl="0" w:tentative="0">
      <w:start w:val="1"/>
      <w:numFmt w:val="decimal"/>
      <w:pStyle w:val="288"/>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9">
    <w:nsid w:val="72DF347D"/>
    <w:multiLevelType w:val="multilevel"/>
    <w:tmpl w:val="72DF347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pStyle w:val="297"/>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113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543651A"/>
    <w:multiLevelType w:val="multilevel"/>
    <w:tmpl w:val="7543651A"/>
    <w:lvl w:ilvl="0" w:tentative="0">
      <w:start w:val="1"/>
      <w:numFmt w:val="lowerLetter"/>
      <w:pStyle w:val="295"/>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7679AAD4"/>
    <w:multiLevelType w:val="singleLevel"/>
    <w:tmpl w:val="7679AAD4"/>
    <w:lvl w:ilvl="0" w:tentative="0">
      <w:start w:val="1"/>
      <w:numFmt w:val="chineseCounting"/>
      <w:suff w:val="space"/>
      <w:lvlText w:val="第%1章"/>
      <w:lvlJc w:val="left"/>
      <w:rPr>
        <w:rFonts w:hint="eastAsia"/>
      </w:rPr>
    </w:lvl>
  </w:abstractNum>
  <w:num w:numId="1">
    <w:abstractNumId w:val="6"/>
  </w:num>
  <w:num w:numId="2">
    <w:abstractNumId w:val="1"/>
    <w:lvlOverride w:ilvl="0">
      <w:lvl w:ilvl="0" w:tentative="1">
        <w:start w:val="1"/>
        <w:numFmt w:val="decimal"/>
        <w:lvlText w:val="第%1条"/>
        <w:lvlJc w:val="left"/>
        <w:pPr>
          <w:ind w:left="0" w:firstLine="0"/>
        </w:pPr>
      </w:lvl>
    </w:lvlOverride>
    <w:lvlOverride w:ilvl="1">
      <w:lvl w:ilvl="1" w:tentative="1">
        <w:start w:val="1"/>
        <w:numFmt w:val="decimal"/>
        <w:pStyle w:val="305"/>
        <w:lvlText w:val="%1.%2"/>
        <w:lvlJc w:val="left"/>
        <w:pPr>
          <w:ind w:left="1843" w:firstLine="0"/>
        </w:pPr>
      </w:lvl>
    </w:lvlOverride>
    <w:lvlOverride w:ilvl="2">
      <w:lvl w:ilvl="2" w:tentative="1">
        <w:start w:val="1"/>
        <w:numFmt w:val="decimal"/>
        <w:pStyle w:val="279"/>
        <w:lvlText w:val="%1.%2.%3"/>
        <w:lvlJc w:val="left"/>
        <w:pPr>
          <w:ind w:left="2126" w:firstLine="0"/>
        </w:pPr>
      </w:lvl>
    </w:lvlOverride>
    <w:lvlOverride w:ilvl="3">
      <w:lvl w:ilvl="3" w:tentative="1">
        <w:start w:val="1"/>
        <w:numFmt w:val="decimal"/>
        <w:pStyle w:val="299"/>
        <w:lvlText w:val="%1.%2.%3.%4"/>
        <w:lvlJc w:val="left"/>
        <w:pPr>
          <w:ind w:left="710" w:firstLine="0"/>
        </w:pPr>
      </w:lvl>
    </w:lvlOverride>
    <w:lvlOverride w:ilvl="4">
      <w:lvl w:ilvl="4" w:tentative="1">
        <w:start w:val="1"/>
        <w:numFmt w:val="decimal"/>
        <w:pStyle w:val="296"/>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3">
    <w:abstractNumId w:val="7"/>
  </w:num>
  <w:num w:numId="4">
    <w:abstractNumId w:val="5"/>
  </w:num>
  <w:num w:numId="5">
    <w:abstractNumId w:val="8"/>
  </w:num>
  <w:num w:numId="6">
    <w:abstractNumId w:val="3"/>
  </w:num>
  <w:num w:numId="7">
    <w:abstractNumId w:val="4"/>
  </w:num>
  <w:num w:numId="8">
    <w:abstractNumId w:val="10"/>
  </w:num>
  <w:num w:numId="9">
    <w:abstractNumId w:val="9"/>
  </w:num>
  <w:num w:numId="10">
    <w:abstractNumId w:val="0"/>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UzM2NiMGI1MGU5MWNiNTk0ZjlmMDBmYmJhMjE4NGEifQ=="/>
    <w:docVar w:name="KSO_WPS_MARK_KEY" w:val="4de5ab84-a0e0-4db8-8b17-1b01b4abcad6"/>
  </w:docVars>
  <w:rsids>
    <w:rsidRoot w:val="00835E3D"/>
    <w:rsid w:val="00000A88"/>
    <w:rsid w:val="00001303"/>
    <w:rsid w:val="0000173B"/>
    <w:rsid w:val="000018B4"/>
    <w:rsid w:val="0000206C"/>
    <w:rsid w:val="00002A8C"/>
    <w:rsid w:val="00002F48"/>
    <w:rsid w:val="00003031"/>
    <w:rsid w:val="000030C4"/>
    <w:rsid w:val="00003706"/>
    <w:rsid w:val="00004433"/>
    <w:rsid w:val="00004E49"/>
    <w:rsid w:val="00005410"/>
    <w:rsid w:val="000055AE"/>
    <w:rsid w:val="00005AE2"/>
    <w:rsid w:val="00005D4D"/>
    <w:rsid w:val="0000647D"/>
    <w:rsid w:val="0000657C"/>
    <w:rsid w:val="0000659E"/>
    <w:rsid w:val="00006BB6"/>
    <w:rsid w:val="00006DC4"/>
    <w:rsid w:val="00006EA8"/>
    <w:rsid w:val="0000716C"/>
    <w:rsid w:val="0000775D"/>
    <w:rsid w:val="00007A04"/>
    <w:rsid w:val="00007CE6"/>
    <w:rsid w:val="000110B0"/>
    <w:rsid w:val="0001173D"/>
    <w:rsid w:val="00011A4C"/>
    <w:rsid w:val="00011BAC"/>
    <w:rsid w:val="00011BF9"/>
    <w:rsid w:val="0001266B"/>
    <w:rsid w:val="00012A77"/>
    <w:rsid w:val="00012C8B"/>
    <w:rsid w:val="0001363F"/>
    <w:rsid w:val="00013714"/>
    <w:rsid w:val="00013A5B"/>
    <w:rsid w:val="00014520"/>
    <w:rsid w:val="00014898"/>
    <w:rsid w:val="000149B9"/>
    <w:rsid w:val="00014CCE"/>
    <w:rsid w:val="0001504F"/>
    <w:rsid w:val="000154A3"/>
    <w:rsid w:val="00015E0E"/>
    <w:rsid w:val="00016716"/>
    <w:rsid w:val="00016C53"/>
    <w:rsid w:val="0001723B"/>
    <w:rsid w:val="00017520"/>
    <w:rsid w:val="00017BBB"/>
    <w:rsid w:val="00017CFA"/>
    <w:rsid w:val="00017D09"/>
    <w:rsid w:val="0002008E"/>
    <w:rsid w:val="000214C3"/>
    <w:rsid w:val="00021A83"/>
    <w:rsid w:val="00022740"/>
    <w:rsid w:val="00022828"/>
    <w:rsid w:val="00022B98"/>
    <w:rsid w:val="00022E25"/>
    <w:rsid w:val="000234FC"/>
    <w:rsid w:val="00023A39"/>
    <w:rsid w:val="00023BB5"/>
    <w:rsid w:val="00024B01"/>
    <w:rsid w:val="00024B74"/>
    <w:rsid w:val="0002538F"/>
    <w:rsid w:val="000253D9"/>
    <w:rsid w:val="000253E9"/>
    <w:rsid w:val="00025FAE"/>
    <w:rsid w:val="000260DB"/>
    <w:rsid w:val="00026CA3"/>
    <w:rsid w:val="00027091"/>
    <w:rsid w:val="000270EE"/>
    <w:rsid w:val="000278C2"/>
    <w:rsid w:val="00027B27"/>
    <w:rsid w:val="00027F88"/>
    <w:rsid w:val="00030090"/>
    <w:rsid w:val="00030517"/>
    <w:rsid w:val="000305B4"/>
    <w:rsid w:val="000306FB"/>
    <w:rsid w:val="00030F59"/>
    <w:rsid w:val="00031301"/>
    <w:rsid w:val="00031AE6"/>
    <w:rsid w:val="00031C17"/>
    <w:rsid w:val="00032E11"/>
    <w:rsid w:val="00033034"/>
    <w:rsid w:val="0003307D"/>
    <w:rsid w:val="00033134"/>
    <w:rsid w:val="00033356"/>
    <w:rsid w:val="000333C9"/>
    <w:rsid w:val="00033715"/>
    <w:rsid w:val="000337D5"/>
    <w:rsid w:val="00034881"/>
    <w:rsid w:val="00034C19"/>
    <w:rsid w:val="00035230"/>
    <w:rsid w:val="000352FE"/>
    <w:rsid w:val="000353C0"/>
    <w:rsid w:val="00035A3F"/>
    <w:rsid w:val="00035CB3"/>
    <w:rsid w:val="00036089"/>
    <w:rsid w:val="00037176"/>
    <w:rsid w:val="00037C1D"/>
    <w:rsid w:val="000402AD"/>
    <w:rsid w:val="00040FE9"/>
    <w:rsid w:val="000415D3"/>
    <w:rsid w:val="000418CA"/>
    <w:rsid w:val="00041AC3"/>
    <w:rsid w:val="00041D88"/>
    <w:rsid w:val="000423EC"/>
    <w:rsid w:val="00042722"/>
    <w:rsid w:val="00042730"/>
    <w:rsid w:val="00042744"/>
    <w:rsid w:val="000428F1"/>
    <w:rsid w:val="000430F4"/>
    <w:rsid w:val="0004364C"/>
    <w:rsid w:val="000436B2"/>
    <w:rsid w:val="000442EE"/>
    <w:rsid w:val="00044332"/>
    <w:rsid w:val="00044CF0"/>
    <w:rsid w:val="000456C6"/>
    <w:rsid w:val="00045D5B"/>
    <w:rsid w:val="00045DA0"/>
    <w:rsid w:val="00045E39"/>
    <w:rsid w:val="00046304"/>
    <w:rsid w:val="00046961"/>
    <w:rsid w:val="00046A96"/>
    <w:rsid w:val="0004734A"/>
    <w:rsid w:val="00047F7B"/>
    <w:rsid w:val="000507C9"/>
    <w:rsid w:val="000508B1"/>
    <w:rsid w:val="00050CFB"/>
    <w:rsid w:val="00050D1A"/>
    <w:rsid w:val="00051427"/>
    <w:rsid w:val="0005154C"/>
    <w:rsid w:val="0005169F"/>
    <w:rsid w:val="00051C05"/>
    <w:rsid w:val="00052183"/>
    <w:rsid w:val="00052439"/>
    <w:rsid w:val="000528A5"/>
    <w:rsid w:val="00052EEE"/>
    <w:rsid w:val="00053468"/>
    <w:rsid w:val="00053549"/>
    <w:rsid w:val="00053C3D"/>
    <w:rsid w:val="00053D35"/>
    <w:rsid w:val="00053E53"/>
    <w:rsid w:val="00053E81"/>
    <w:rsid w:val="00054044"/>
    <w:rsid w:val="00054681"/>
    <w:rsid w:val="00054E27"/>
    <w:rsid w:val="0005522A"/>
    <w:rsid w:val="00055612"/>
    <w:rsid w:val="00055DB5"/>
    <w:rsid w:val="000562CD"/>
    <w:rsid w:val="00056B03"/>
    <w:rsid w:val="00057475"/>
    <w:rsid w:val="00057485"/>
    <w:rsid w:val="000575C3"/>
    <w:rsid w:val="0005764E"/>
    <w:rsid w:val="00057812"/>
    <w:rsid w:val="000579EA"/>
    <w:rsid w:val="00057E6E"/>
    <w:rsid w:val="00057FC4"/>
    <w:rsid w:val="0006011C"/>
    <w:rsid w:val="000607FD"/>
    <w:rsid w:val="00060824"/>
    <w:rsid w:val="000609C1"/>
    <w:rsid w:val="00060A26"/>
    <w:rsid w:val="00060A48"/>
    <w:rsid w:val="00060D1D"/>
    <w:rsid w:val="0006138B"/>
    <w:rsid w:val="00061AE5"/>
    <w:rsid w:val="000626ED"/>
    <w:rsid w:val="00063009"/>
    <w:rsid w:val="0006304B"/>
    <w:rsid w:val="000633E3"/>
    <w:rsid w:val="00063987"/>
    <w:rsid w:val="0006402D"/>
    <w:rsid w:val="00064287"/>
    <w:rsid w:val="000645B5"/>
    <w:rsid w:val="00064907"/>
    <w:rsid w:val="00064B48"/>
    <w:rsid w:val="00064D20"/>
    <w:rsid w:val="000654CA"/>
    <w:rsid w:val="0006564F"/>
    <w:rsid w:val="00065B5A"/>
    <w:rsid w:val="00065FCB"/>
    <w:rsid w:val="00066424"/>
    <w:rsid w:val="000665D0"/>
    <w:rsid w:val="0006665F"/>
    <w:rsid w:val="00066F7D"/>
    <w:rsid w:val="0006730F"/>
    <w:rsid w:val="00067643"/>
    <w:rsid w:val="000703CC"/>
    <w:rsid w:val="00071D3F"/>
    <w:rsid w:val="0007261E"/>
    <w:rsid w:val="00072CDB"/>
    <w:rsid w:val="00073354"/>
    <w:rsid w:val="0007343B"/>
    <w:rsid w:val="000734F6"/>
    <w:rsid w:val="000736CA"/>
    <w:rsid w:val="00073AB9"/>
    <w:rsid w:val="00073E97"/>
    <w:rsid w:val="00074444"/>
    <w:rsid w:val="00074484"/>
    <w:rsid w:val="000745D9"/>
    <w:rsid w:val="000745E9"/>
    <w:rsid w:val="00074D4D"/>
    <w:rsid w:val="00074FE4"/>
    <w:rsid w:val="000751B5"/>
    <w:rsid w:val="00075529"/>
    <w:rsid w:val="00075700"/>
    <w:rsid w:val="00075BEA"/>
    <w:rsid w:val="00075BEE"/>
    <w:rsid w:val="00075C66"/>
    <w:rsid w:val="00076252"/>
    <w:rsid w:val="00076835"/>
    <w:rsid w:val="00076B09"/>
    <w:rsid w:val="00076FF5"/>
    <w:rsid w:val="0007749B"/>
    <w:rsid w:val="00077EC8"/>
    <w:rsid w:val="000803CC"/>
    <w:rsid w:val="000815C8"/>
    <w:rsid w:val="000816EB"/>
    <w:rsid w:val="0008184D"/>
    <w:rsid w:val="0008188B"/>
    <w:rsid w:val="000819B6"/>
    <w:rsid w:val="00081A87"/>
    <w:rsid w:val="000822F2"/>
    <w:rsid w:val="000830EF"/>
    <w:rsid w:val="00083307"/>
    <w:rsid w:val="000834FB"/>
    <w:rsid w:val="000835DF"/>
    <w:rsid w:val="00083FA7"/>
    <w:rsid w:val="000851AF"/>
    <w:rsid w:val="0008564C"/>
    <w:rsid w:val="00085B33"/>
    <w:rsid w:val="00085DC1"/>
    <w:rsid w:val="000861A8"/>
    <w:rsid w:val="000866A5"/>
    <w:rsid w:val="000867AB"/>
    <w:rsid w:val="000869B6"/>
    <w:rsid w:val="00086A1D"/>
    <w:rsid w:val="00086BA4"/>
    <w:rsid w:val="0008710A"/>
    <w:rsid w:val="00087304"/>
    <w:rsid w:val="000875B4"/>
    <w:rsid w:val="00087AFF"/>
    <w:rsid w:val="00087DC4"/>
    <w:rsid w:val="00087E12"/>
    <w:rsid w:val="000904C7"/>
    <w:rsid w:val="000907BE"/>
    <w:rsid w:val="000914B2"/>
    <w:rsid w:val="00091582"/>
    <w:rsid w:val="00091802"/>
    <w:rsid w:val="000923D4"/>
    <w:rsid w:val="000925BE"/>
    <w:rsid w:val="00092820"/>
    <w:rsid w:val="00092C2A"/>
    <w:rsid w:val="00094276"/>
    <w:rsid w:val="00094AA1"/>
    <w:rsid w:val="000951F3"/>
    <w:rsid w:val="00095228"/>
    <w:rsid w:val="0009551E"/>
    <w:rsid w:val="00095935"/>
    <w:rsid w:val="000960C7"/>
    <w:rsid w:val="00096AF3"/>
    <w:rsid w:val="00096FE3"/>
    <w:rsid w:val="000973D1"/>
    <w:rsid w:val="000975E3"/>
    <w:rsid w:val="000979D1"/>
    <w:rsid w:val="00097F09"/>
    <w:rsid w:val="00097F97"/>
    <w:rsid w:val="000A0027"/>
    <w:rsid w:val="000A05C6"/>
    <w:rsid w:val="000A0796"/>
    <w:rsid w:val="000A0A09"/>
    <w:rsid w:val="000A1019"/>
    <w:rsid w:val="000A1393"/>
    <w:rsid w:val="000A1702"/>
    <w:rsid w:val="000A1EF1"/>
    <w:rsid w:val="000A1F17"/>
    <w:rsid w:val="000A2432"/>
    <w:rsid w:val="000A2573"/>
    <w:rsid w:val="000A25B9"/>
    <w:rsid w:val="000A26A7"/>
    <w:rsid w:val="000A36D2"/>
    <w:rsid w:val="000A373A"/>
    <w:rsid w:val="000A3B42"/>
    <w:rsid w:val="000A4483"/>
    <w:rsid w:val="000A50F9"/>
    <w:rsid w:val="000A5258"/>
    <w:rsid w:val="000A5271"/>
    <w:rsid w:val="000A54D9"/>
    <w:rsid w:val="000A5D73"/>
    <w:rsid w:val="000A5F15"/>
    <w:rsid w:val="000A5F9E"/>
    <w:rsid w:val="000A6392"/>
    <w:rsid w:val="000A65A1"/>
    <w:rsid w:val="000A6737"/>
    <w:rsid w:val="000A696A"/>
    <w:rsid w:val="000A6CE8"/>
    <w:rsid w:val="000A6D11"/>
    <w:rsid w:val="000A743B"/>
    <w:rsid w:val="000A7759"/>
    <w:rsid w:val="000A782D"/>
    <w:rsid w:val="000A7983"/>
    <w:rsid w:val="000A7A90"/>
    <w:rsid w:val="000A7CD4"/>
    <w:rsid w:val="000B04D6"/>
    <w:rsid w:val="000B0C9A"/>
    <w:rsid w:val="000B0F57"/>
    <w:rsid w:val="000B1B5D"/>
    <w:rsid w:val="000B2127"/>
    <w:rsid w:val="000B2255"/>
    <w:rsid w:val="000B296D"/>
    <w:rsid w:val="000B2BF3"/>
    <w:rsid w:val="000B315F"/>
    <w:rsid w:val="000B31AB"/>
    <w:rsid w:val="000B3542"/>
    <w:rsid w:val="000B3A92"/>
    <w:rsid w:val="000B45C2"/>
    <w:rsid w:val="000B469D"/>
    <w:rsid w:val="000B4761"/>
    <w:rsid w:val="000B4935"/>
    <w:rsid w:val="000B49CF"/>
    <w:rsid w:val="000B4BD8"/>
    <w:rsid w:val="000B4BEB"/>
    <w:rsid w:val="000B4FC5"/>
    <w:rsid w:val="000B5550"/>
    <w:rsid w:val="000B5571"/>
    <w:rsid w:val="000B5F60"/>
    <w:rsid w:val="000B5F78"/>
    <w:rsid w:val="000B6204"/>
    <w:rsid w:val="000B64AB"/>
    <w:rsid w:val="000B6740"/>
    <w:rsid w:val="000B7D4E"/>
    <w:rsid w:val="000B7F47"/>
    <w:rsid w:val="000B7F99"/>
    <w:rsid w:val="000C1067"/>
    <w:rsid w:val="000C1407"/>
    <w:rsid w:val="000C1886"/>
    <w:rsid w:val="000C2183"/>
    <w:rsid w:val="000C21DC"/>
    <w:rsid w:val="000C2275"/>
    <w:rsid w:val="000C24FF"/>
    <w:rsid w:val="000C279D"/>
    <w:rsid w:val="000C2A2B"/>
    <w:rsid w:val="000C2B1C"/>
    <w:rsid w:val="000C2D1E"/>
    <w:rsid w:val="000C2DEB"/>
    <w:rsid w:val="000C2F77"/>
    <w:rsid w:val="000C31BD"/>
    <w:rsid w:val="000C391D"/>
    <w:rsid w:val="000C3F46"/>
    <w:rsid w:val="000C43EB"/>
    <w:rsid w:val="000C456C"/>
    <w:rsid w:val="000C487B"/>
    <w:rsid w:val="000C4D4B"/>
    <w:rsid w:val="000C4FE8"/>
    <w:rsid w:val="000C57C3"/>
    <w:rsid w:val="000C5D0A"/>
    <w:rsid w:val="000C6288"/>
    <w:rsid w:val="000C6762"/>
    <w:rsid w:val="000C6A7F"/>
    <w:rsid w:val="000C7DEA"/>
    <w:rsid w:val="000D0505"/>
    <w:rsid w:val="000D0929"/>
    <w:rsid w:val="000D1207"/>
    <w:rsid w:val="000D1F98"/>
    <w:rsid w:val="000D252F"/>
    <w:rsid w:val="000D2C84"/>
    <w:rsid w:val="000D337D"/>
    <w:rsid w:val="000D3620"/>
    <w:rsid w:val="000D3D77"/>
    <w:rsid w:val="000D3FCA"/>
    <w:rsid w:val="000D444F"/>
    <w:rsid w:val="000D4488"/>
    <w:rsid w:val="000D4D38"/>
    <w:rsid w:val="000D4F27"/>
    <w:rsid w:val="000D5A34"/>
    <w:rsid w:val="000D6375"/>
    <w:rsid w:val="000D67FD"/>
    <w:rsid w:val="000D718C"/>
    <w:rsid w:val="000D75A9"/>
    <w:rsid w:val="000D75F0"/>
    <w:rsid w:val="000D7910"/>
    <w:rsid w:val="000D7C11"/>
    <w:rsid w:val="000E01B9"/>
    <w:rsid w:val="000E036F"/>
    <w:rsid w:val="000E050E"/>
    <w:rsid w:val="000E0C1E"/>
    <w:rsid w:val="000E0D33"/>
    <w:rsid w:val="000E0E45"/>
    <w:rsid w:val="000E0EE7"/>
    <w:rsid w:val="000E119A"/>
    <w:rsid w:val="000E15ED"/>
    <w:rsid w:val="000E1C7B"/>
    <w:rsid w:val="000E1F2B"/>
    <w:rsid w:val="000E21FA"/>
    <w:rsid w:val="000E3810"/>
    <w:rsid w:val="000E3E35"/>
    <w:rsid w:val="000E3FD1"/>
    <w:rsid w:val="000E4642"/>
    <w:rsid w:val="000E471B"/>
    <w:rsid w:val="000E49DB"/>
    <w:rsid w:val="000E519C"/>
    <w:rsid w:val="000E51DC"/>
    <w:rsid w:val="000E53C5"/>
    <w:rsid w:val="000E5DA9"/>
    <w:rsid w:val="000E6612"/>
    <w:rsid w:val="000E6CAF"/>
    <w:rsid w:val="000E6D50"/>
    <w:rsid w:val="000E7C82"/>
    <w:rsid w:val="000F02D8"/>
    <w:rsid w:val="000F0ACF"/>
    <w:rsid w:val="000F0E46"/>
    <w:rsid w:val="000F0EE7"/>
    <w:rsid w:val="000F18B0"/>
    <w:rsid w:val="000F1B32"/>
    <w:rsid w:val="000F2AE2"/>
    <w:rsid w:val="000F3008"/>
    <w:rsid w:val="000F31F9"/>
    <w:rsid w:val="000F3EA0"/>
    <w:rsid w:val="000F4252"/>
    <w:rsid w:val="000F4340"/>
    <w:rsid w:val="000F482C"/>
    <w:rsid w:val="000F52EE"/>
    <w:rsid w:val="000F57FE"/>
    <w:rsid w:val="000F6082"/>
    <w:rsid w:val="000F6B01"/>
    <w:rsid w:val="000F70AC"/>
    <w:rsid w:val="000F7571"/>
    <w:rsid w:val="0010051A"/>
    <w:rsid w:val="001005C1"/>
    <w:rsid w:val="0010070E"/>
    <w:rsid w:val="00100FA3"/>
    <w:rsid w:val="00100FE0"/>
    <w:rsid w:val="00101351"/>
    <w:rsid w:val="001016EB"/>
    <w:rsid w:val="00101FF1"/>
    <w:rsid w:val="0010233E"/>
    <w:rsid w:val="00102405"/>
    <w:rsid w:val="00102F1C"/>
    <w:rsid w:val="00103841"/>
    <w:rsid w:val="001038CA"/>
    <w:rsid w:val="00103E2F"/>
    <w:rsid w:val="001040FA"/>
    <w:rsid w:val="0010580F"/>
    <w:rsid w:val="00105DAE"/>
    <w:rsid w:val="00105FDF"/>
    <w:rsid w:val="00106058"/>
    <w:rsid w:val="00106145"/>
    <w:rsid w:val="00106A1A"/>
    <w:rsid w:val="00106CB1"/>
    <w:rsid w:val="00107027"/>
    <w:rsid w:val="00107274"/>
    <w:rsid w:val="0010731A"/>
    <w:rsid w:val="00107ACF"/>
    <w:rsid w:val="00107DFB"/>
    <w:rsid w:val="00107EDC"/>
    <w:rsid w:val="00107FDE"/>
    <w:rsid w:val="001107D3"/>
    <w:rsid w:val="0011090C"/>
    <w:rsid w:val="001109E2"/>
    <w:rsid w:val="00111189"/>
    <w:rsid w:val="0011184B"/>
    <w:rsid w:val="00111B0D"/>
    <w:rsid w:val="00111EC6"/>
    <w:rsid w:val="00112504"/>
    <w:rsid w:val="001126CD"/>
    <w:rsid w:val="001126E8"/>
    <w:rsid w:val="0011329D"/>
    <w:rsid w:val="00113526"/>
    <w:rsid w:val="001138A8"/>
    <w:rsid w:val="00113CEA"/>
    <w:rsid w:val="00114503"/>
    <w:rsid w:val="0011523F"/>
    <w:rsid w:val="001152D3"/>
    <w:rsid w:val="00116D30"/>
    <w:rsid w:val="001172A1"/>
    <w:rsid w:val="001172B9"/>
    <w:rsid w:val="001200BB"/>
    <w:rsid w:val="001204F6"/>
    <w:rsid w:val="001207F3"/>
    <w:rsid w:val="00120CEA"/>
    <w:rsid w:val="00120F23"/>
    <w:rsid w:val="0012192B"/>
    <w:rsid w:val="00121FFA"/>
    <w:rsid w:val="00122006"/>
    <w:rsid w:val="00122385"/>
    <w:rsid w:val="00122786"/>
    <w:rsid w:val="001228A1"/>
    <w:rsid w:val="00122EAD"/>
    <w:rsid w:val="001230FB"/>
    <w:rsid w:val="0012349F"/>
    <w:rsid w:val="001237FE"/>
    <w:rsid w:val="00123800"/>
    <w:rsid w:val="00123815"/>
    <w:rsid w:val="0012390B"/>
    <w:rsid w:val="0012397C"/>
    <w:rsid w:val="001239F1"/>
    <w:rsid w:val="001242AB"/>
    <w:rsid w:val="0012439F"/>
    <w:rsid w:val="001245BE"/>
    <w:rsid w:val="001248F1"/>
    <w:rsid w:val="0012543F"/>
    <w:rsid w:val="001254E5"/>
    <w:rsid w:val="001264AA"/>
    <w:rsid w:val="00126A32"/>
    <w:rsid w:val="00126C8F"/>
    <w:rsid w:val="00127176"/>
    <w:rsid w:val="001278AA"/>
    <w:rsid w:val="001308FC"/>
    <w:rsid w:val="0013091E"/>
    <w:rsid w:val="00130D06"/>
    <w:rsid w:val="00130F10"/>
    <w:rsid w:val="0013116A"/>
    <w:rsid w:val="00131866"/>
    <w:rsid w:val="00131A2D"/>
    <w:rsid w:val="00131A89"/>
    <w:rsid w:val="00132970"/>
    <w:rsid w:val="00132A87"/>
    <w:rsid w:val="00133548"/>
    <w:rsid w:val="00133874"/>
    <w:rsid w:val="0013391D"/>
    <w:rsid w:val="00133A13"/>
    <w:rsid w:val="00133CA8"/>
    <w:rsid w:val="00134209"/>
    <w:rsid w:val="00134236"/>
    <w:rsid w:val="00134420"/>
    <w:rsid w:val="001349B8"/>
    <w:rsid w:val="00134F54"/>
    <w:rsid w:val="00135024"/>
    <w:rsid w:val="001350B2"/>
    <w:rsid w:val="00135772"/>
    <w:rsid w:val="00135C2A"/>
    <w:rsid w:val="00135ED7"/>
    <w:rsid w:val="00136267"/>
    <w:rsid w:val="001365FF"/>
    <w:rsid w:val="00136A80"/>
    <w:rsid w:val="00136D82"/>
    <w:rsid w:val="00136D9B"/>
    <w:rsid w:val="00136E47"/>
    <w:rsid w:val="00136F79"/>
    <w:rsid w:val="0013735F"/>
    <w:rsid w:val="0013786A"/>
    <w:rsid w:val="0013799F"/>
    <w:rsid w:val="00137BA7"/>
    <w:rsid w:val="00137F46"/>
    <w:rsid w:val="0014004A"/>
    <w:rsid w:val="00140127"/>
    <w:rsid w:val="00140635"/>
    <w:rsid w:val="0014083C"/>
    <w:rsid w:val="00140AA9"/>
    <w:rsid w:val="00140AF7"/>
    <w:rsid w:val="00140B42"/>
    <w:rsid w:val="00140F59"/>
    <w:rsid w:val="00141658"/>
    <w:rsid w:val="001419BC"/>
    <w:rsid w:val="00142A5B"/>
    <w:rsid w:val="00142C4A"/>
    <w:rsid w:val="001431F1"/>
    <w:rsid w:val="00143271"/>
    <w:rsid w:val="001436B7"/>
    <w:rsid w:val="001439D2"/>
    <w:rsid w:val="001450F3"/>
    <w:rsid w:val="00145439"/>
    <w:rsid w:val="001459FD"/>
    <w:rsid w:val="00145D37"/>
    <w:rsid w:val="00145DA3"/>
    <w:rsid w:val="00146287"/>
    <w:rsid w:val="001463ED"/>
    <w:rsid w:val="00146401"/>
    <w:rsid w:val="00146983"/>
    <w:rsid w:val="001472BA"/>
    <w:rsid w:val="00147E6D"/>
    <w:rsid w:val="00147ECF"/>
    <w:rsid w:val="0015058E"/>
    <w:rsid w:val="00150907"/>
    <w:rsid w:val="001509D9"/>
    <w:rsid w:val="00150C0C"/>
    <w:rsid w:val="00151291"/>
    <w:rsid w:val="0015168E"/>
    <w:rsid w:val="001528D1"/>
    <w:rsid w:val="001533B9"/>
    <w:rsid w:val="001538FD"/>
    <w:rsid w:val="00153CB0"/>
    <w:rsid w:val="00153F54"/>
    <w:rsid w:val="001543C9"/>
    <w:rsid w:val="00154927"/>
    <w:rsid w:val="00154CD1"/>
    <w:rsid w:val="001551B5"/>
    <w:rsid w:val="001554DA"/>
    <w:rsid w:val="00155961"/>
    <w:rsid w:val="00156A06"/>
    <w:rsid w:val="00157103"/>
    <w:rsid w:val="0015715F"/>
    <w:rsid w:val="001574B2"/>
    <w:rsid w:val="00157A76"/>
    <w:rsid w:val="00160023"/>
    <w:rsid w:val="00160DBB"/>
    <w:rsid w:val="00161783"/>
    <w:rsid w:val="00161B94"/>
    <w:rsid w:val="00161D88"/>
    <w:rsid w:val="00161F0B"/>
    <w:rsid w:val="001621EA"/>
    <w:rsid w:val="001622C0"/>
    <w:rsid w:val="00162393"/>
    <w:rsid w:val="00162396"/>
    <w:rsid w:val="001625EA"/>
    <w:rsid w:val="001626DC"/>
    <w:rsid w:val="001637DD"/>
    <w:rsid w:val="001637F9"/>
    <w:rsid w:val="00163ACD"/>
    <w:rsid w:val="001653A8"/>
    <w:rsid w:val="001653EE"/>
    <w:rsid w:val="00165B05"/>
    <w:rsid w:val="00165FCF"/>
    <w:rsid w:val="001663F1"/>
    <w:rsid w:val="00166658"/>
    <w:rsid w:val="001676E3"/>
    <w:rsid w:val="00167B9D"/>
    <w:rsid w:val="00167CF5"/>
    <w:rsid w:val="00170228"/>
    <w:rsid w:val="00170606"/>
    <w:rsid w:val="00170A0B"/>
    <w:rsid w:val="00170A31"/>
    <w:rsid w:val="00170D88"/>
    <w:rsid w:val="00170E8D"/>
    <w:rsid w:val="00171673"/>
    <w:rsid w:val="001719E0"/>
    <w:rsid w:val="00171B62"/>
    <w:rsid w:val="00171D07"/>
    <w:rsid w:val="001720C4"/>
    <w:rsid w:val="001720CC"/>
    <w:rsid w:val="0017258F"/>
    <w:rsid w:val="0017273A"/>
    <w:rsid w:val="00172862"/>
    <w:rsid w:val="00172FA4"/>
    <w:rsid w:val="0017384D"/>
    <w:rsid w:val="00174103"/>
    <w:rsid w:val="001743FA"/>
    <w:rsid w:val="00174D47"/>
    <w:rsid w:val="00174D50"/>
    <w:rsid w:val="00174FCA"/>
    <w:rsid w:val="001750BB"/>
    <w:rsid w:val="001751B0"/>
    <w:rsid w:val="001752CD"/>
    <w:rsid w:val="0017561B"/>
    <w:rsid w:val="001757DB"/>
    <w:rsid w:val="00175A0D"/>
    <w:rsid w:val="00176720"/>
    <w:rsid w:val="001767A1"/>
    <w:rsid w:val="00177024"/>
    <w:rsid w:val="001772EC"/>
    <w:rsid w:val="00181AC0"/>
    <w:rsid w:val="00181D65"/>
    <w:rsid w:val="001820B4"/>
    <w:rsid w:val="0018241F"/>
    <w:rsid w:val="00182658"/>
    <w:rsid w:val="00182A66"/>
    <w:rsid w:val="00182CBB"/>
    <w:rsid w:val="00183EB3"/>
    <w:rsid w:val="001852C5"/>
    <w:rsid w:val="001852D4"/>
    <w:rsid w:val="0018538C"/>
    <w:rsid w:val="0018567E"/>
    <w:rsid w:val="0018579E"/>
    <w:rsid w:val="00185B6D"/>
    <w:rsid w:val="00185C66"/>
    <w:rsid w:val="00185EB2"/>
    <w:rsid w:val="001862CA"/>
    <w:rsid w:val="001864F1"/>
    <w:rsid w:val="00186BE0"/>
    <w:rsid w:val="00186DDF"/>
    <w:rsid w:val="0018716B"/>
    <w:rsid w:val="00187400"/>
    <w:rsid w:val="00187A2C"/>
    <w:rsid w:val="0019077C"/>
    <w:rsid w:val="00190A02"/>
    <w:rsid w:val="00190C6F"/>
    <w:rsid w:val="00190D69"/>
    <w:rsid w:val="00190F0A"/>
    <w:rsid w:val="00191A58"/>
    <w:rsid w:val="00192046"/>
    <w:rsid w:val="00192334"/>
    <w:rsid w:val="00192518"/>
    <w:rsid w:val="0019276E"/>
    <w:rsid w:val="00192C76"/>
    <w:rsid w:val="00192E7E"/>
    <w:rsid w:val="00192F67"/>
    <w:rsid w:val="0019390E"/>
    <w:rsid w:val="00193AD6"/>
    <w:rsid w:val="00193B28"/>
    <w:rsid w:val="00193E1B"/>
    <w:rsid w:val="001941A0"/>
    <w:rsid w:val="00194499"/>
    <w:rsid w:val="00194EC5"/>
    <w:rsid w:val="00194F2B"/>
    <w:rsid w:val="00195124"/>
    <w:rsid w:val="00195DFC"/>
    <w:rsid w:val="001962A9"/>
    <w:rsid w:val="0019699E"/>
    <w:rsid w:val="00196B84"/>
    <w:rsid w:val="00197074"/>
    <w:rsid w:val="00197824"/>
    <w:rsid w:val="001978C3"/>
    <w:rsid w:val="00197F57"/>
    <w:rsid w:val="001A03E0"/>
    <w:rsid w:val="001A0AA1"/>
    <w:rsid w:val="001A0BAC"/>
    <w:rsid w:val="001A156E"/>
    <w:rsid w:val="001A1DDD"/>
    <w:rsid w:val="001A32FB"/>
    <w:rsid w:val="001A3429"/>
    <w:rsid w:val="001A3B64"/>
    <w:rsid w:val="001A3BCF"/>
    <w:rsid w:val="001A43D9"/>
    <w:rsid w:val="001A443F"/>
    <w:rsid w:val="001A448C"/>
    <w:rsid w:val="001A48AE"/>
    <w:rsid w:val="001A5362"/>
    <w:rsid w:val="001A56AB"/>
    <w:rsid w:val="001A5AAA"/>
    <w:rsid w:val="001A5C39"/>
    <w:rsid w:val="001A60DC"/>
    <w:rsid w:val="001A614E"/>
    <w:rsid w:val="001A6555"/>
    <w:rsid w:val="001A69EC"/>
    <w:rsid w:val="001A77AF"/>
    <w:rsid w:val="001B089A"/>
    <w:rsid w:val="001B0C37"/>
    <w:rsid w:val="001B10B0"/>
    <w:rsid w:val="001B17BE"/>
    <w:rsid w:val="001B1DC4"/>
    <w:rsid w:val="001B1E72"/>
    <w:rsid w:val="001B1F4A"/>
    <w:rsid w:val="001B230E"/>
    <w:rsid w:val="001B25ED"/>
    <w:rsid w:val="001B2953"/>
    <w:rsid w:val="001B2D75"/>
    <w:rsid w:val="001B31C6"/>
    <w:rsid w:val="001B323B"/>
    <w:rsid w:val="001B349B"/>
    <w:rsid w:val="001B3BAE"/>
    <w:rsid w:val="001B4164"/>
    <w:rsid w:val="001B4359"/>
    <w:rsid w:val="001B46C0"/>
    <w:rsid w:val="001B4719"/>
    <w:rsid w:val="001B4DA4"/>
    <w:rsid w:val="001B4FDC"/>
    <w:rsid w:val="001B528C"/>
    <w:rsid w:val="001B52D7"/>
    <w:rsid w:val="001B5373"/>
    <w:rsid w:val="001B54DF"/>
    <w:rsid w:val="001B5556"/>
    <w:rsid w:val="001B5BB2"/>
    <w:rsid w:val="001B5D5F"/>
    <w:rsid w:val="001B7009"/>
    <w:rsid w:val="001B7428"/>
    <w:rsid w:val="001B762E"/>
    <w:rsid w:val="001B77AC"/>
    <w:rsid w:val="001B7803"/>
    <w:rsid w:val="001B792B"/>
    <w:rsid w:val="001B7A3D"/>
    <w:rsid w:val="001B7DB2"/>
    <w:rsid w:val="001B7E16"/>
    <w:rsid w:val="001C0068"/>
    <w:rsid w:val="001C014B"/>
    <w:rsid w:val="001C05D5"/>
    <w:rsid w:val="001C0694"/>
    <w:rsid w:val="001C0A39"/>
    <w:rsid w:val="001C0D9C"/>
    <w:rsid w:val="001C107D"/>
    <w:rsid w:val="001C1579"/>
    <w:rsid w:val="001C1E48"/>
    <w:rsid w:val="001C21B4"/>
    <w:rsid w:val="001C242F"/>
    <w:rsid w:val="001C29D3"/>
    <w:rsid w:val="001C2CE8"/>
    <w:rsid w:val="001C2D31"/>
    <w:rsid w:val="001C2D54"/>
    <w:rsid w:val="001C3422"/>
    <w:rsid w:val="001C36C2"/>
    <w:rsid w:val="001C3A5B"/>
    <w:rsid w:val="001C4216"/>
    <w:rsid w:val="001C42EA"/>
    <w:rsid w:val="001C4321"/>
    <w:rsid w:val="001C44C9"/>
    <w:rsid w:val="001C457D"/>
    <w:rsid w:val="001C4AF7"/>
    <w:rsid w:val="001C4CED"/>
    <w:rsid w:val="001C5062"/>
    <w:rsid w:val="001C5709"/>
    <w:rsid w:val="001C5D68"/>
    <w:rsid w:val="001C602B"/>
    <w:rsid w:val="001C60E0"/>
    <w:rsid w:val="001C616F"/>
    <w:rsid w:val="001C69EC"/>
    <w:rsid w:val="001C6D83"/>
    <w:rsid w:val="001C7954"/>
    <w:rsid w:val="001D01DC"/>
    <w:rsid w:val="001D0725"/>
    <w:rsid w:val="001D159F"/>
    <w:rsid w:val="001D17FB"/>
    <w:rsid w:val="001D1DC7"/>
    <w:rsid w:val="001D1DEF"/>
    <w:rsid w:val="001D2308"/>
    <w:rsid w:val="001D24CA"/>
    <w:rsid w:val="001D2599"/>
    <w:rsid w:val="001D2B37"/>
    <w:rsid w:val="001D2E6B"/>
    <w:rsid w:val="001D2F7C"/>
    <w:rsid w:val="001D3F1F"/>
    <w:rsid w:val="001D43D3"/>
    <w:rsid w:val="001D4716"/>
    <w:rsid w:val="001D4999"/>
    <w:rsid w:val="001D4C67"/>
    <w:rsid w:val="001D5210"/>
    <w:rsid w:val="001D532A"/>
    <w:rsid w:val="001D5529"/>
    <w:rsid w:val="001D5C19"/>
    <w:rsid w:val="001D5E9C"/>
    <w:rsid w:val="001D617F"/>
    <w:rsid w:val="001D6779"/>
    <w:rsid w:val="001D690C"/>
    <w:rsid w:val="001D6D2B"/>
    <w:rsid w:val="001D6F11"/>
    <w:rsid w:val="001D7433"/>
    <w:rsid w:val="001D74B6"/>
    <w:rsid w:val="001D7DF2"/>
    <w:rsid w:val="001E00A0"/>
    <w:rsid w:val="001E04F3"/>
    <w:rsid w:val="001E0791"/>
    <w:rsid w:val="001E0AC5"/>
    <w:rsid w:val="001E0CEA"/>
    <w:rsid w:val="001E28ED"/>
    <w:rsid w:val="001E2A07"/>
    <w:rsid w:val="001E2E18"/>
    <w:rsid w:val="001E2FC0"/>
    <w:rsid w:val="001E3518"/>
    <w:rsid w:val="001E381F"/>
    <w:rsid w:val="001E385F"/>
    <w:rsid w:val="001E3EB4"/>
    <w:rsid w:val="001E42AF"/>
    <w:rsid w:val="001E4B8B"/>
    <w:rsid w:val="001E4C10"/>
    <w:rsid w:val="001E58CF"/>
    <w:rsid w:val="001E5FD8"/>
    <w:rsid w:val="001E6174"/>
    <w:rsid w:val="001E6321"/>
    <w:rsid w:val="001E63DD"/>
    <w:rsid w:val="001E6418"/>
    <w:rsid w:val="001E6805"/>
    <w:rsid w:val="001E70B7"/>
    <w:rsid w:val="001E7720"/>
    <w:rsid w:val="001E7BC8"/>
    <w:rsid w:val="001F0071"/>
    <w:rsid w:val="001F0094"/>
    <w:rsid w:val="001F00D8"/>
    <w:rsid w:val="001F05AC"/>
    <w:rsid w:val="001F088C"/>
    <w:rsid w:val="001F12E6"/>
    <w:rsid w:val="001F1353"/>
    <w:rsid w:val="001F1467"/>
    <w:rsid w:val="001F1CFF"/>
    <w:rsid w:val="001F22C2"/>
    <w:rsid w:val="001F2846"/>
    <w:rsid w:val="001F3386"/>
    <w:rsid w:val="001F34B3"/>
    <w:rsid w:val="001F3B2C"/>
    <w:rsid w:val="001F549D"/>
    <w:rsid w:val="001F557E"/>
    <w:rsid w:val="001F584B"/>
    <w:rsid w:val="001F5BBC"/>
    <w:rsid w:val="001F5DE4"/>
    <w:rsid w:val="001F6269"/>
    <w:rsid w:val="001F6825"/>
    <w:rsid w:val="001F6A76"/>
    <w:rsid w:val="001F7286"/>
    <w:rsid w:val="001F72E8"/>
    <w:rsid w:val="001F7592"/>
    <w:rsid w:val="00200189"/>
    <w:rsid w:val="00200325"/>
    <w:rsid w:val="00200459"/>
    <w:rsid w:val="002007B2"/>
    <w:rsid w:val="00200E35"/>
    <w:rsid w:val="00200E75"/>
    <w:rsid w:val="002013E8"/>
    <w:rsid w:val="00201B5B"/>
    <w:rsid w:val="00201D52"/>
    <w:rsid w:val="002025A3"/>
    <w:rsid w:val="00202647"/>
    <w:rsid w:val="0020296F"/>
    <w:rsid w:val="00202985"/>
    <w:rsid w:val="002029CD"/>
    <w:rsid w:val="00202AAF"/>
    <w:rsid w:val="00202BFD"/>
    <w:rsid w:val="00202CB0"/>
    <w:rsid w:val="002035A1"/>
    <w:rsid w:val="002040E2"/>
    <w:rsid w:val="00204346"/>
    <w:rsid w:val="00204ADD"/>
    <w:rsid w:val="002052EC"/>
    <w:rsid w:val="002057DE"/>
    <w:rsid w:val="00205A19"/>
    <w:rsid w:val="00205A49"/>
    <w:rsid w:val="002064FC"/>
    <w:rsid w:val="00206524"/>
    <w:rsid w:val="0020657D"/>
    <w:rsid w:val="0020666C"/>
    <w:rsid w:val="00206838"/>
    <w:rsid w:val="002072F5"/>
    <w:rsid w:val="002074B9"/>
    <w:rsid w:val="0020756C"/>
    <w:rsid w:val="00207D4A"/>
    <w:rsid w:val="002125B2"/>
    <w:rsid w:val="00212C2C"/>
    <w:rsid w:val="00212CAF"/>
    <w:rsid w:val="00212D74"/>
    <w:rsid w:val="00212DA4"/>
    <w:rsid w:val="00212EC2"/>
    <w:rsid w:val="00213992"/>
    <w:rsid w:val="00213AD9"/>
    <w:rsid w:val="002146E0"/>
    <w:rsid w:val="00214A6D"/>
    <w:rsid w:val="00214CBF"/>
    <w:rsid w:val="00215C3C"/>
    <w:rsid w:val="00215E98"/>
    <w:rsid w:val="00216496"/>
    <w:rsid w:val="00216B0F"/>
    <w:rsid w:val="00216C5E"/>
    <w:rsid w:val="00216E53"/>
    <w:rsid w:val="00217989"/>
    <w:rsid w:val="0022030E"/>
    <w:rsid w:val="00220E2B"/>
    <w:rsid w:val="00221709"/>
    <w:rsid w:val="002218EC"/>
    <w:rsid w:val="00221EC5"/>
    <w:rsid w:val="00221F22"/>
    <w:rsid w:val="00222031"/>
    <w:rsid w:val="00222112"/>
    <w:rsid w:val="002225C6"/>
    <w:rsid w:val="00222981"/>
    <w:rsid w:val="00222ED5"/>
    <w:rsid w:val="00223198"/>
    <w:rsid w:val="002238D8"/>
    <w:rsid w:val="00223D69"/>
    <w:rsid w:val="00224517"/>
    <w:rsid w:val="002245B0"/>
    <w:rsid w:val="0022463F"/>
    <w:rsid w:val="00224D24"/>
    <w:rsid w:val="00224DD7"/>
    <w:rsid w:val="00225089"/>
    <w:rsid w:val="00225165"/>
    <w:rsid w:val="002255BE"/>
    <w:rsid w:val="00225861"/>
    <w:rsid w:val="00225D45"/>
    <w:rsid w:val="00225EBE"/>
    <w:rsid w:val="00225F0F"/>
    <w:rsid w:val="00226774"/>
    <w:rsid w:val="00226F56"/>
    <w:rsid w:val="002276E9"/>
    <w:rsid w:val="002278C7"/>
    <w:rsid w:val="00227B76"/>
    <w:rsid w:val="00227EF8"/>
    <w:rsid w:val="002309E0"/>
    <w:rsid w:val="00230B10"/>
    <w:rsid w:val="00230E14"/>
    <w:rsid w:val="00231428"/>
    <w:rsid w:val="00231582"/>
    <w:rsid w:val="0023188E"/>
    <w:rsid w:val="00231ECC"/>
    <w:rsid w:val="00231FE2"/>
    <w:rsid w:val="00232031"/>
    <w:rsid w:val="00232A87"/>
    <w:rsid w:val="00232B76"/>
    <w:rsid w:val="00232E2E"/>
    <w:rsid w:val="00232E4E"/>
    <w:rsid w:val="00232E7D"/>
    <w:rsid w:val="00233024"/>
    <w:rsid w:val="00233B12"/>
    <w:rsid w:val="00233E7C"/>
    <w:rsid w:val="00234C73"/>
    <w:rsid w:val="0023568B"/>
    <w:rsid w:val="00235D06"/>
    <w:rsid w:val="00236213"/>
    <w:rsid w:val="002367F5"/>
    <w:rsid w:val="0023792F"/>
    <w:rsid w:val="00237C06"/>
    <w:rsid w:val="0024035C"/>
    <w:rsid w:val="00240C5B"/>
    <w:rsid w:val="00240D80"/>
    <w:rsid w:val="0024166B"/>
    <w:rsid w:val="002424B2"/>
    <w:rsid w:val="00242533"/>
    <w:rsid w:val="002428A2"/>
    <w:rsid w:val="00242DB1"/>
    <w:rsid w:val="00243209"/>
    <w:rsid w:val="002435EF"/>
    <w:rsid w:val="00243D1B"/>
    <w:rsid w:val="00243D34"/>
    <w:rsid w:val="00244322"/>
    <w:rsid w:val="00244327"/>
    <w:rsid w:val="00244635"/>
    <w:rsid w:val="0024476A"/>
    <w:rsid w:val="00244DEC"/>
    <w:rsid w:val="0024535C"/>
    <w:rsid w:val="0024541A"/>
    <w:rsid w:val="00245766"/>
    <w:rsid w:val="002458FF"/>
    <w:rsid w:val="002461D7"/>
    <w:rsid w:val="00246244"/>
    <w:rsid w:val="002469A3"/>
    <w:rsid w:val="00250C31"/>
    <w:rsid w:val="00251C92"/>
    <w:rsid w:val="00252057"/>
    <w:rsid w:val="00252425"/>
    <w:rsid w:val="00252FB8"/>
    <w:rsid w:val="00253407"/>
    <w:rsid w:val="00253685"/>
    <w:rsid w:val="00253878"/>
    <w:rsid w:val="00253F94"/>
    <w:rsid w:val="002541E8"/>
    <w:rsid w:val="00254394"/>
    <w:rsid w:val="00254A19"/>
    <w:rsid w:val="00254FDC"/>
    <w:rsid w:val="00255400"/>
    <w:rsid w:val="00255AA2"/>
    <w:rsid w:val="00256381"/>
    <w:rsid w:val="00256A70"/>
    <w:rsid w:val="002575BF"/>
    <w:rsid w:val="00257ACD"/>
    <w:rsid w:val="00260301"/>
    <w:rsid w:val="002604AA"/>
    <w:rsid w:val="00260704"/>
    <w:rsid w:val="00260FA6"/>
    <w:rsid w:val="0026101F"/>
    <w:rsid w:val="002612F8"/>
    <w:rsid w:val="00261334"/>
    <w:rsid w:val="00261680"/>
    <w:rsid w:val="00261683"/>
    <w:rsid w:val="00261B06"/>
    <w:rsid w:val="00261B46"/>
    <w:rsid w:val="00261EF8"/>
    <w:rsid w:val="0026254B"/>
    <w:rsid w:val="00262969"/>
    <w:rsid w:val="00262B30"/>
    <w:rsid w:val="00263449"/>
    <w:rsid w:val="002636B4"/>
    <w:rsid w:val="00263E1C"/>
    <w:rsid w:val="00264657"/>
    <w:rsid w:val="002647D1"/>
    <w:rsid w:val="00264DC0"/>
    <w:rsid w:val="002654FD"/>
    <w:rsid w:val="00265517"/>
    <w:rsid w:val="0026559B"/>
    <w:rsid w:val="0026567F"/>
    <w:rsid w:val="0026656B"/>
    <w:rsid w:val="00266FBA"/>
    <w:rsid w:val="002672B3"/>
    <w:rsid w:val="00267FD3"/>
    <w:rsid w:val="002701BD"/>
    <w:rsid w:val="00270DC8"/>
    <w:rsid w:val="0027108B"/>
    <w:rsid w:val="0027165C"/>
    <w:rsid w:val="00271E76"/>
    <w:rsid w:val="002723FF"/>
    <w:rsid w:val="002748C2"/>
    <w:rsid w:val="00274BB9"/>
    <w:rsid w:val="0027513D"/>
    <w:rsid w:val="0027517E"/>
    <w:rsid w:val="002752BB"/>
    <w:rsid w:val="00275581"/>
    <w:rsid w:val="00275763"/>
    <w:rsid w:val="00275790"/>
    <w:rsid w:val="00275A7C"/>
    <w:rsid w:val="00275B70"/>
    <w:rsid w:val="00275FF3"/>
    <w:rsid w:val="0027660D"/>
    <w:rsid w:val="0027694F"/>
    <w:rsid w:val="00276C03"/>
    <w:rsid w:val="00276DC2"/>
    <w:rsid w:val="00276F47"/>
    <w:rsid w:val="00277C95"/>
    <w:rsid w:val="00280044"/>
    <w:rsid w:val="0028072C"/>
    <w:rsid w:val="00280A7E"/>
    <w:rsid w:val="00280C34"/>
    <w:rsid w:val="002814A3"/>
    <w:rsid w:val="0028194A"/>
    <w:rsid w:val="002822FD"/>
    <w:rsid w:val="0028269E"/>
    <w:rsid w:val="00282D92"/>
    <w:rsid w:val="0028368D"/>
    <w:rsid w:val="00283B25"/>
    <w:rsid w:val="00283CC1"/>
    <w:rsid w:val="00283FC8"/>
    <w:rsid w:val="00284101"/>
    <w:rsid w:val="0028421B"/>
    <w:rsid w:val="00284394"/>
    <w:rsid w:val="002844DC"/>
    <w:rsid w:val="00284BE5"/>
    <w:rsid w:val="002854FA"/>
    <w:rsid w:val="00285664"/>
    <w:rsid w:val="0028571E"/>
    <w:rsid w:val="0028581F"/>
    <w:rsid w:val="002858C6"/>
    <w:rsid w:val="00285DC4"/>
    <w:rsid w:val="00285F63"/>
    <w:rsid w:val="00286208"/>
    <w:rsid w:val="002863DB"/>
    <w:rsid w:val="0028658F"/>
    <w:rsid w:val="0028688A"/>
    <w:rsid w:val="002869BC"/>
    <w:rsid w:val="00286C21"/>
    <w:rsid w:val="002871A6"/>
    <w:rsid w:val="0028745A"/>
    <w:rsid w:val="00287744"/>
    <w:rsid w:val="00287A33"/>
    <w:rsid w:val="002906EA"/>
    <w:rsid w:val="00290722"/>
    <w:rsid w:val="0029091F"/>
    <w:rsid w:val="00290E2D"/>
    <w:rsid w:val="002912AB"/>
    <w:rsid w:val="00291C49"/>
    <w:rsid w:val="0029205F"/>
    <w:rsid w:val="00292207"/>
    <w:rsid w:val="00292519"/>
    <w:rsid w:val="00292DF6"/>
    <w:rsid w:val="00292E12"/>
    <w:rsid w:val="00293812"/>
    <w:rsid w:val="002939D6"/>
    <w:rsid w:val="00293A79"/>
    <w:rsid w:val="00293E45"/>
    <w:rsid w:val="00293F71"/>
    <w:rsid w:val="00294ED3"/>
    <w:rsid w:val="0029568D"/>
    <w:rsid w:val="00295A4D"/>
    <w:rsid w:val="00295CBC"/>
    <w:rsid w:val="00295CDB"/>
    <w:rsid w:val="00295DB1"/>
    <w:rsid w:val="002961AA"/>
    <w:rsid w:val="00296452"/>
    <w:rsid w:val="002966A6"/>
    <w:rsid w:val="0029680B"/>
    <w:rsid w:val="0029706B"/>
    <w:rsid w:val="00297AF7"/>
    <w:rsid w:val="002A049D"/>
    <w:rsid w:val="002A1159"/>
    <w:rsid w:val="002A1329"/>
    <w:rsid w:val="002A1E59"/>
    <w:rsid w:val="002A307F"/>
    <w:rsid w:val="002A348A"/>
    <w:rsid w:val="002A350F"/>
    <w:rsid w:val="002A3701"/>
    <w:rsid w:val="002A3B2E"/>
    <w:rsid w:val="002A3D2C"/>
    <w:rsid w:val="002A46DD"/>
    <w:rsid w:val="002A4C87"/>
    <w:rsid w:val="002A4FAF"/>
    <w:rsid w:val="002A52C8"/>
    <w:rsid w:val="002A54B1"/>
    <w:rsid w:val="002A5BA3"/>
    <w:rsid w:val="002A5D89"/>
    <w:rsid w:val="002A5F43"/>
    <w:rsid w:val="002A5F77"/>
    <w:rsid w:val="002A6440"/>
    <w:rsid w:val="002A69A9"/>
    <w:rsid w:val="002A6B52"/>
    <w:rsid w:val="002A6F3E"/>
    <w:rsid w:val="002A7013"/>
    <w:rsid w:val="002A77EF"/>
    <w:rsid w:val="002A7FAB"/>
    <w:rsid w:val="002B0022"/>
    <w:rsid w:val="002B0A5E"/>
    <w:rsid w:val="002B10B6"/>
    <w:rsid w:val="002B18D0"/>
    <w:rsid w:val="002B193B"/>
    <w:rsid w:val="002B19C1"/>
    <w:rsid w:val="002B1C6F"/>
    <w:rsid w:val="002B1D34"/>
    <w:rsid w:val="002B2647"/>
    <w:rsid w:val="002B26F7"/>
    <w:rsid w:val="002B2AAB"/>
    <w:rsid w:val="002B3634"/>
    <w:rsid w:val="002B38A0"/>
    <w:rsid w:val="002B3CFD"/>
    <w:rsid w:val="002B4449"/>
    <w:rsid w:val="002B44D3"/>
    <w:rsid w:val="002B4FD9"/>
    <w:rsid w:val="002B50F6"/>
    <w:rsid w:val="002B5135"/>
    <w:rsid w:val="002B518E"/>
    <w:rsid w:val="002B55AF"/>
    <w:rsid w:val="002B5C32"/>
    <w:rsid w:val="002B5D6A"/>
    <w:rsid w:val="002B5E72"/>
    <w:rsid w:val="002B5F33"/>
    <w:rsid w:val="002B674E"/>
    <w:rsid w:val="002B68E0"/>
    <w:rsid w:val="002B77CA"/>
    <w:rsid w:val="002B782E"/>
    <w:rsid w:val="002B7C05"/>
    <w:rsid w:val="002B7E09"/>
    <w:rsid w:val="002C046B"/>
    <w:rsid w:val="002C05AB"/>
    <w:rsid w:val="002C080A"/>
    <w:rsid w:val="002C111E"/>
    <w:rsid w:val="002C11A7"/>
    <w:rsid w:val="002C1364"/>
    <w:rsid w:val="002C14B0"/>
    <w:rsid w:val="002C14C1"/>
    <w:rsid w:val="002C1790"/>
    <w:rsid w:val="002C2098"/>
    <w:rsid w:val="002C231A"/>
    <w:rsid w:val="002C2528"/>
    <w:rsid w:val="002C2B7D"/>
    <w:rsid w:val="002C2E3A"/>
    <w:rsid w:val="002C3741"/>
    <w:rsid w:val="002C3AEF"/>
    <w:rsid w:val="002C494E"/>
    <w:rsid w:val="002C5082"/>
    <w:rsid w:val="002C511B"/>
    <w:rsid w:val="002C528D"/>
    <w:rsid w:val="002C57BB"/>
    <w:rsid w:val="002C61FC"/>
    <w:rsid w:val="002C66E7"/>
    <w:rsid w:val="002C67FC"/>
    <w:rsid w:val="002C713E"/>
    <w:rsid w:val="002C76F5"/>
    <w:rsid w:val="002C7BD3"/>
    <w:rsid w:val="002D0045"/>
    <w:rsid w:val="002D06E7"/>
    <w:rsid w:val="002D0744"/>
    <w:rsid w:val="002D082A"/>
    <w:rsid w:val="002D1BCC"/>
    <w:rsid w:val="002D273A"/>
    <w:rsid w:val="002D2E8F"/>
    <w:rsid w:val="002D2EA0"/>
    <w:rsid w:val="002D36B2"/>
    <w:rsid w:val="002D37B8"/>
    <w:rsid w:val="002D4043"/>
    <w:rsid w:val="002D50F8"/>
    <w:rsid w:val="002D53A8"/>
    <w:rsid w:val="002D5D60"/>
    <w:rsid w:val="002D5DFB"/>
    <w:rsid w:val="002D5FA9"/>
    <w:rsid w:val="002D629E"/>
    <w:rsid w:val="002D6406"/>
    <w:rsid w:val="002D64AD"/>
    <w:rsid w:val="002D64CE"/>
    <w:rsid w:val="002D6880"/>
    <w:rsid w:val="002D6B3D"/>
    <w:rsid w:val="002D6D27"/>
    <w:rsid w:val="002D6DE7"/>
    <w:rsid w:val="002D7114"/>
    <w:rsid w:val="002D7164"/>
    <w:rsid w:val="002D7EC5"/>
    <w:rsid w:val="002E014A"/>
    <w:rsid w:val="002E0463"/>
    <w:rsid w:val="002E0687"/>
    <w:rsid w:val="002E08A8"/>
    <w:rsid w:val="002E08D8"/>
    <w:rsid w:val="002E17E2"/>
    <w:rsid w:val="002E2819"/>
    <w:rsid w:val="002E2A29"/>
    <w:rsid w:val="002E3694"/>
    <w:rsid w:val="002E36C4"/>
    <w:rsid w:val="002E3746"/>
    <w:rsid w:val="002E4E90"/>
    <w:rsid w:val="002E4F05"/>
    <w:rsid w:val="002E4F5C"/>
    <w:rsid w:val="002E4FBE"/>
    <w:rsid w:val="002E512C"/>
    <w:rsid w:val="002E52F1"/>
    <w:rsid w:val="002E53ED"/>
    <w:rsid w:val="002E547E"/>
    <w:rsid w:val="002E6A79"/>
    <w:rsid w:val="002E6D49"/>
    <w:rsid w:val="002E6F04"/>
    <w:rsid w:val="002E702C"/>
    <w:rsid w:val="002E7130"/>
    <w:rsid w:val="002E720A"/>
    <w:rsid w:val="002E7D21"/>
    <w:rsid w:val="002E7E46"/>
    <w:rsid w:val="002E7F0D"/>
    <w:rsid w:val="002F0236"/>
    <w:rsid w:val="002F0618"/>
    <w:rsid w:val="002F06BD"/>
    <w:rsid w:val="002F094E"/>
    <w:rsid w:val="002F0C2E"/>
    <w:rsid w:val="002F0D2B"/>
    <w:rsid w:val="002F12F4"/>
    <w:rsid w:val="002F1548"/>
    <w:rsid w:val="002F1933"/>
    <w:rsid w:val="002F201C"/>
    <w:rsid w:val="002F2C15"/>
    <w:rsid w:val="002F3D01"/>
    <w:rsid w:val="002F3F0E"/>
    <w:rsid w:val="002F4050"/>
    <w:rsid w:val="002F481D"/>
    <w:rsid w:val="002F54B5"/>
    <w:rsid w:val="002F5635"/>
    <w:rsid w:val="002F5A91"/>
    <w:rsid w:val="002F5BDC"/>
    <w:rsid w:val="002F5DC9"/>
    <w:rsid w:val="002F5F62"/>
    <w:rsid w:val="002F64C0"/>
    <w:rsid w:val="002F6A49"/>
    <w:rsid w:val="002F6F1E"/>
    <w:rsid w:val="002F772D"/>
    <w:rsid w:val="002F777F"/>
    <w:rsid w:val="002F781A"/>
    <w:rsid w:val="002F79D2"/>
    <w:rsid w:val="002F7DF3"/>
    <w:rsid w:val="00300F0A"/>
    <w:rsid w:val="0030105A"/>
    <w:rsid w:val="003012A9"/>
    <w:rsid w:val="00301448"/>
    <w:rsid w:val="003018FB"/>
    <w:rsid w:val="0030199E"/>
    <w:rsid w:val="0030203E"/>
    <w:rsid w:val="00302438"/>
    <w:rsid w:val="003028DF"/>
    <w:rsid w:val="00302BFA"/>
    <w:rsid w:val="00302EED"/>
    <w:rsid w:val="0030307F"/>
    <w:rsid w:val="0030377D"/>
    <w:rsid w:val="0030377E"/>
    <w:rsid w:val="00303B2B"/>
    <w:rsid w:val="00304810"/>
    <w:rsid w:val="00304E01"/>
    <w:rsid w:val="00304FC7"/>
    <w:rsid w:val="0030572F"/>
    <w:rsid w:val="0030595E"/>
    <w:rsid w:val="00305D70"/>
    <w:rsid w:val="003061E4"/>
    <w:rsid w:val="00306D18"/>
    <w:rsid w:val="00306E57"/>
    <w:rsid w:val="003071BF"/>
    <w:rsid w:val="00307235"/>
    <w:rsid w:val="003077E8"/>
    <w:rsid w:val="00307858"/>
    <w:rsid w:val="003078FB"/>
    <w:rsid w:val="00307AB3"/>
    <w:rsid w:val="0031006A"/>
    <w:rsid w:val="00310826"/>
    <w:rsid w:val="00310984"/>
    <w:rsid w:val="00310C1C"/>
    <w:rsid w:val="0031160F"/>
    <w:rsid w:val="00311E93"/>
    <w:rsid w:val="003120FA"/>
    <w:rsid w:val="0031215A"/>
    <w:rsid w:val="0031242B"/>
    <w:rsid w:val="0031247A"/>
    <w:rsid w:val="00312568"/>
    <w:rsid w:val="003125C8"/>
    <w:rsid w:val="0031302B"/>
    <w:rsid w:val="003136A7"/>
    <w:rsid w:val="003136C7"/>
    <w:rsid w:val="003139CE"/>
    <w:rsid w:val="0031413B"/>
    <w:rsid w:val="003141F9"/>
    <w:rsid w:val="00314909"/>
    <w:rsid w:val="00314BE5"/>
    <w:rsid w:val="00314EBD"/>
    <w:rsid w:val="00315A54"/>
    <w:rsid w:val="00315CC9"/>
    <w:rsid w:val="00316223"/>
    <w:rsid w:val="003162C3"/>
    <w:rsid w:val="00316554"/>
    <w:rsid w:val="00316652"/>
    <w:rsid w:val="00316AA2"/>
    <w:rsid w:val="00317698"/>
    <w:rsid w:val="00320A45"/>
    <w:rsid w:val="00320BBD"/>
    <w:rsid w:val="00320BCD"/>
    <w:rsid w:val="003211BE"/>
    <w:rsid w:val="00321A88"/>
    <w:rsid w:val="00321ACF"/>
    <w:rsid w:val="00321C08"/>
    <w:rsid w:val="00321D31"/>
    <w:rsid w:val="00321F0D"/>
    <w:rsid w:val="00322089"/>
    <w:rsid w:val="0032241C"/>
    <w:rsid w:val="00322984"/>
    <w:rsid w:val="00322AE0"/>
    <w:rsid w:val="00322E29"/>
    <w:rsid w:val="003231A1"/>
    <w:rsid w:val="003231A8"/>
    <w:rsid w:val="003236E9"/>
    <w:rsid w:val="00324371"/>
    <w:rsid w:val="003256CD"/>
    <w:rsid w:val="00325E8C"/>
    <w:rsid w:val="003261CA"/>
    <w:rsid w:val="003264AB"/>
    <w:rsid w:val="003266AC"/>
    <w:rsid w:val="00326765"/>
    <w:rsid w:val="00326981"/>
    <w:rsid w:val="00326C7E"/>
    <w:rsid w:val="00326E11"/>
    <w:rsid w:val="00326E47"/>
    <w:rsid w:val="00326E7C"/>
    <w:rsid w:val="00327209"/>
    <w:rsid w:val="00327485"/>
    <w:rsid w:val="00327B91"/>
    <w:rsid w:val="00327C12"/>
    <w:rsid w:val="00330587"/>
    <w:rsid w:val="0033083B"/>
    <w:rsid w:val="00330A1E"/>
    <w:rsid w:val="00330DCD"/>
    <w:rsid w:val="00331283"/>
    <w:rsid w:val="00331F19"/>
    <w:rsid w:val="00332195"/>
    <w:rsid w:val="003322F2"/>
    <w:rsid w:val="00332461"/>
    <w:rsid w:val="003324CA"/>
    <w:rsid w:val="00332AE7"/>
    <w:rsid w:val="00333798"/>
    <w:rsid w:val="003339E0"/>
    <w:rsid w:val="00334157"/>
    <w:rsid w:val="0033487C"/>
    <w:rsid w:val="00334FD9"/>
    <w:rsid w:val="003350C6"/>
    <w:rsid w:val="00335157"/>
    <w:rsid w:val="003352CF"/>
    <w:rsid w:val="00335821"/>
    <w:rsid w:val="00335858"/>
    <w:rsid w:val="003359F8"/>
    <w:rsid w:val="00335D23"/>
    <w:rsid w:val="00336042"/>
    <w:rsid w:val="0033621D"/>
    <w:rsid w:val="00336522"/>
    <w:rsid w:val="003366C2"/>
    <w:rsid w:val="003366DC"/>
    <w:rsid w:val="00336B63"/>
    <w:rsid w:val="00336D68"/>
    <w:rsid w:val="003374AC"/>
    <w:rsid w:val="003377CA"/>
    <w:rsid w:val="0034040C"/>
    <w:rsid w:val="00341234"/>
    <w:rsid w:val="0034161B"/>
    <w:rsid w:val="003417B5"/>
    <w:rsid w:val="00341AB2"/>
    <w:rsid w:val="00341AC9"/>
    <w:rsid w:val="00342723"/>
    <w:rsid w:val="003427C6"/>
    <w:rsid w:val="00343715"/>
    <w:rsid w:val="00343D34"/>
    <w:rsid w:val="00344260"/>
    <w:rsid w:val="0034486A"/>
    <w:rsid w:val="00344898"/>
    <w:rsid w:val="00344FC5"/>
    <w:rsid w:val="00345650"/>
    <w:rsid w:val="0034585D"/>
    <w:rsid w:val="00345957"/>
    <w:rsid w:val="003459B6"/>
    <w:rsid w:val="00345B81"/>
    <w:rsid w:val="00345DB4"/>
    <w:rsid w:val="003463F0"/>
    <w:rsid w:val="003466BE"/>
    <w:rsid w:val="003469C5"/>
    <w:rsid w:val="003469E0"/>
    <w:rsid w:val="00346AE7"/>
    <w:rsid w:val="00346B3E"/>
    <w:rsid w:val="00346C7F"/>
    <w:rsid w:val="00346CFF"/>
    <w:rsid w:val="00346D46"/>
    <w:rsid w:val="00347168"/>
    <w:rsid w:val="00347709"/>
    <w:rsid w:val="00347B8F"/>
    <w:rsid w:val="0035047C"/>
    <w:rsid w:val="00350637"/>
    <w:rsid w:val="00351098"/>
    <w:rsid w:val="00351BB7"/>
    <w:rsid w:val="00351BFE"/>
    <w:rsid w:val="003521C0"/>
    <w:rsid w:val="00352612"/>
    <w:rsid w:val="003527D3"/>
    <w:rsid w:val="00353185"/>
    <w:rsid w:val="00353511"/>
    <w:rsid w:val="00353832"/>
    <w:rsid w:val="003538AC"/>
    <w:rsid w:val="00353BB9"/>
    <w:rsid w:val="00353EC3"/>
    <w:rsid w:val="0035438A"/>
    <w:rsid w:val="00354428"/>
    <w:rsid w:val="0035452C"/>
    <w:rsid w:val="0035472C"/>
    <w:rsid w:val="0035495A"/>
    <w:rsid w:val="00354A15"/>
    <w:rsid w:val="003551DC"/>
    <w:rsid w:val="003559E6"/>
    <w:rsid w:val="003561B2"/>
    <w:rsid w:val="00356455"/>
    <w:rsid w:val="003564FE"/>
    <w:rsid w:val="00356577"/>
    <w:rsid w:val="003572A5"/>
    <w:rsid w:val="00357303"/>
    <w:rsid w:val="003575FF"/>
    <w:rsid w:val="00357B46"/>
    <w:rsid w:val="00357B93"/>
    <w:rsid w:val="0036009B"/>
    <w:rsid w:val="003601E3"/>
    <w:rsid w:val="0036128E"/>
    <w:rsid w:val="00361768"/>
    <w:rsid w:val="00361AE8"/>
    <w:rsid w:val="00361C68"/>
    <w:rsid w:val="00361EAD"/>
    <w:rsid w:val="0036242C"/>
    <w:rsid w:val="003624F1"/>
    <w:rsid w:val="00362D1B"/>
    <w:rsid w:val="00362D38"/>
    <w:rsid w:val="00362DBB"/>
    <w:rsid w:val="00362DDB"/>
    <w:rsid w:val="003635BA"/>
    <w:rsid w:val="00363868"/>
    <w:rsid w:val="00363D25"/>
    <w:rsid w:val="00363E1A"/>
    <w:rsid w:val="0036416B"/>
    <w:rsid w:val="00364182"/>
    <w:rsid w:val="0036427F"/>
    <w:rsid w:val="00364551"/>
    <w:rsid w:val="00364789"/>
    <w:rsid w:val="003649B7"/>
    <w:rsid w:val="00364AA8"/>
    <w:rsid w:val="00365FD4"/>
    <w:rsid w:val="0036644E"/>
    <w:rsid w:val="003668D7"/>
    <w:rsid w:val="00366DA6"/>
    <w:rsid w:val="00367454"/>
    <w:rsid w:val="00367901"/>
    <w:rsid w:val="00367979"/>
    <w:rsid w:val="00367BF8"/>
    <w:rsid w:val="00367DF6"/>
    <w:rsid w:val="00370560"/>
    <w:rsid w:val="003705BB"/>
    <w:rsid w:val="003709D5"/>
    <w:rsid w:val="00370AFC"/>
    <w:rsid w:val="00370F5B"/>
    <w:rsid w:val="00371A79"/>
    <w:rsid w:val="00372242"/>
    <w:rsid w:val="00372401"/>
    <w:rsid w:val="003726DA"/>
    <w:rsid w:val="003729FA"/>
    <w:rsid w:val="003730D2"/>
    <w:rsid w:val="003736D4"/>
    <w:rsid w:val="00373877"/>
    <w:rsid w:val="00373B50"/>
    <w:rsid w:val="00373B6F"/>
    <w:rsid w:val="0037405C"/>
    <w:rsid w:val="003742CC"/>
    <w:rsid w:val="0037479B"/>
    <w:rsid w:val="00374984"/>
    <w:rsid w:val="00374E2E"/>
    <w:rsid w:val="00374EE7"/>
    <w:rsid w:val="00374FBB"/>
    <w:rsid w:val="003751F0"/>
    <w:rsid w:val="003752F1"/>
    <w:rsid w:val="003760D8"/>
    <w:rsid w:val="003760D9"/>
    <w:rsid w:val="0037626F"/>
    <w:rsid w:val="00376BE7"/>
    <w:rsid w:val="003774B0"/>
    <w:rsid w:val="00377756"/>
    <w:rsid w:val="00377A16"/>
    <w:rsid w:val="00377BA8"/>
    <w:rsid w:val="00377C0D"/>
    <w:rsid w:val="00377DE1"/>
    <w:rsid w:val="00380356"/>
    <w:rsid w:val="00380876"/>
    <w:rsid w:val="00381DDE"/>
    <w:rsid w:val="00382104"/>
    <w:rsid w:val="00382130"/>
    <w:rsid w:val="00382526"/>
    <w:rsid w:val="00382A9F"/>
    <w:rsid w:val="00382D10"/>
    <w:rsid w:val="00383062"/>
    <w:rsid w:val="00383792"/>
    <w:rsid w:val="003837E7"/>
    <w:rsid w:val="00383808"/>
    <w:rsid w:val="0038398F"/>
    <w:rsid w:val="00383A06"/>
    <w:rsid w:val="00383A8B"/>
    <w:rsid w:val="00384068"/>
    <w:rsid w:val="003840ED"/>
    <w:rsid w:val="0038424E"/>
    <w:rsid w:val="0038450C"/>
    <w:rsid w:val="003855AD"/>
    <w:rsid w:val="00385638"/>
    <w:rsid w:val="00385804"/>
    <w:rsid w:val="00386DDA"/>
    <w:rsid w:val="00387935"/>
    <w:rsid w:val="00387BCB"/>
    <w:rsid w:val="00390213"/>
    <w:rsid w:val="00390465"/>
    <w:rsid w:val="003907B3"/>
    <w:rsid w:val="00390DE5"/>
    <w:rsid w:val="00391051"/>
    <w:rsid w:val="0039109F"/>
    <w:rsid w:val="0039124B"/>
    <w:rsid w:val="0039128E"/>
    <w:rsid w:val="003919DD"/>
    <w:rsid w:val="00391A19"/>
    <w:rsid w:val="00391B0A"/>
    <w:rsid w:val="00391B57"/>
    <w:rsid w:val="003926EE"/>
    <w:rsid w:val="003930AC"/>
    <w:rsid w:val="0039379E"/>
    <w:rsid w:val="003944C3"/>
    <w:rsid w:val="00395A9B"/>
    <w:rsid w:val="00395B17"/>
    <w:rsid w:val="00395C6A"/>
    <w:rsid w:val="003962B9"/>
    <w:rsid w:val="00396425"/>
    <w:rsid w:val="003965D7"/>
    <w:rsid w:val="0039746E"/>
    <w:rsid w:val="003A02AA"/>
    <w:rsid w:val="003A08B0"/>
    <w:rsid w:val="003A0AE0"/>
    <w:rsid w:val="003A1BE8"/>
    <w:rsid w:val="003A1D4B"/>
    <w:rsid w:val="003A2191"/>
    <w:rsid w:val="003A22BD"/>
    <w:rsid w:val="003A25CE"/>
    <w:rsid w:val="003A3605"/>
    <w:rsid w:val="003A388C"/>
    <w:rsid w:val="003A3A14"/>
    <w:rsid w:val="003A41B2"/>
    <w:rsid w:val="003A4397"/>
    <w:rsid w:val="003A4516"/>
    <w:rsid w:val="003A4581"/>
    <w:rsid w:val="003A5C06"/>
    <w:rsid w:val="003A609B"/>
    <w:rsid w:val="003A680F"/>
    <w:rsid w:val="003A6A90"/>
    <w:rsid w:val="003A6BB6"/>
    <w:rsid w:val="003A6EA5"/>
    <w:rsid w:val="003A79C2"/>
    <w:rsid w:val="003A7C9B"/>
    <w:rsid w:val="003B07BE"/>
    <w:rsid w:val="003B0C2D"/>
    <w:rsid w:val="003B0DE0"/>
    <w:rsid w:val="003B0EB1"/>
    <w:rsid w:val="003B1277"/>
    <w:rsid w:val="003B142E"/>
    <w:rsid w:val="003B1566"/>
    <w:rsid w:val="003B1A8D"/>
    <w:rsid w:val="003B1CAC"/>
    <w:rsid w:val="003B2420"/>
    <w:rsid w:val="003B25BD"/>
    <w:rsid w:val="003B2921"/>
    <w:rsid w:val="003B2D79"/>
    <w:rsid w:val="003B2EAC"/>
    <w:rsid w:val="003B2F79"/>
    <w:rsid w:val="003B31E6"/>
    <w:rsid w:val="003B33C4"/>
    <w:rsid w:val="003B35EA"/>
    <w:rsid w:val="003B3E4E"/>
    <w:rsid w:val="003B4472"/>
    <w:rsid w:val="003B5BD9"/>
    <w:rsid w:val="003B60C7"/>
    <w:rsid w:val="003B6321"/>
    <w:rsid w:val="003B6885"/>
    <w:rsid w:val="003B6C4E"/>
    <w:rsid w:val="003B707F"/>
    <w:rsid w:val="003B7143"/>
    <w:rsid w:val="003B7251"/>
    <w:rsid w:val="003B795B"/>
    <w:rsid w:val="003C0419"/>
    <w:rsid w:val="003C0601"/>
    <w:rsid w:val="003C07EB"/>
    <w:rsid w:val="003C1D1B"/>
    <w:rsid w:val="003C2080"/>
    <w:rsid w:val="003C2244"/>
    <w:rsid w:val="003C3506"/>
    <w:rsid w:val="003C38B6"/>
    <w:rsid w:val="003C394A"/>
    <w:rsid w:val="003C48FB"/>
    <w:rsid w:val="003C5271"/>
    <w:rsid w:val="003C55E9"/>
    <w:rsid w:val="003C7198"/>
    <w:rsid w:val="003C7EB0"/>
    <w:rsid w:val="003D0E32"/>
    <w:rsid w:val="003D1178"/>
    <w:rsid w:val="003D12AD"/>
    <w:rsid w:val="003D173D"/>
    <w:rsid w:val="003D2373"/>
    <w:rsid w:val="003D278D"/>
    <w:rsid w:val="003D2D40"/>
    <w:rsid w:val="003D314A"/>
    <w:rsid w:val="003D316C"/>
    <w:rsid w:val="003D31E2"/>
    <w:rsid w:val="003D3263"/>
    <w:rsid w:val="003D3C0A"/>
    <w:rsid w:val="003D3DE5"/>
    <w:rsid w:val="003D3EFB"/>
    <w:rsid w:val="003D4ACB"/>
    <w:rsid w:val="003D4FAD"/>
    <w:rsid w:val="003D4FD9"/>
    <w:rsid w:val="003D52E8"/>
    <w:rsid w:val="003D5B3E"/>
    <w:rsid w:val="003D682C"/>
    <w:rsid w:val="003D6F60"/>
    <w:rsid w:val="003D7532"/>
    <w:rsid w:val="003D7793"/>
    <w:rsid w:val="003D78AD"/>
    <w:rsid w:val="003D793D"/>
    <w:rsid w:val="003D7A28"/>
    <w:rsid w:val="003D7A6E"/>
    <w:rsid w:val="003D7E40"/>
    <w:rsid w:val="003D7F2A"/>
    <w:rsid w:val="003E0082"/>
    <w:rsid w:val="003E0319"/>
    <w:rsid w:val="003E086D"/>
    <w:rsid w:val="003E0C4F"/>
    <w:rsid w:val="003E0CDB"/>
    <w:rsid w:val="003E0EE4"/>
    <w:rsid w:val="003E0F7C"/>
    <w:rsid w:val="003E0F8B"/>
    <w:rsid w:val="003E1562"/>
    <w:rsid w:val="003E24A0"/>
    <w:rsid w:val="003E27D9"/>
    <w:rsid w:val="003E2C15"/>
    <w:rsid w:val="003E329F"/>
    <w:rsid w:val="003E38A6"/>
    <w:rsid w:val="003E3ACE"/>
    <w:rsid w:val="003E3AF6"/>
    <w:rsid w:val="003E44F5"/>
    <w:rsid w:val="003E482E"/>
    <w:rsid w:val="003E51F7"/>
    <w:rsid w:val="003E553E"/>
    <w:rsid w:val="003E59A6"/>
    <w:rsid w:val="003E605C"/>
    <w:rsid w:val="003E6160"/>
    <w:rsid w:val="003E6572"/>
    <w:rsid w:val="003E6752"/>
    <w:rsid w:val="003E6AC2"/>
    <w:rsid w:val="003E7077"/>
    <w:rsid w:val="003E79A9"/>
    <w:rsid w:val="003E7A6D"/>
    <w:rsid w:val="003E7ED2"/>
    <w:rsid w:val="003F0198"/>
    <w:rsid w:val="003F0207"/>
    <w:rsid w:val="003F04B4"/>
    <w:rsid w:val="003F0710"/>
    <w:rsid w:val="003F0BE6"/>
    <w:rsid w:val="003F1E42"/>
    <w:rsid w:val="003F2135"/>
    <w:rsid w:val="003F289D"/>
    <w:rsid w:val="003F2A67"/>
    <w:rsid w:val="003F34FE"/>
    <w:rsid w:val="003F4167"/>
    <w:rsid w:val="003F4730"/>
    <w:rsid w:val="003F575A"/>
    <w:rsid w:val="003F59A0"/>
    <w:rsid w:val="003F6124"/>
    <w:rsid w:val="003F64AE"/>
    <w:rsid w:val="003F68CA"/>
    <w:rsid w:val="003F6FC7"/>
    <w:rsid w:val="003F7D15"/>
    <w:rsid w:val="00400255"/>
    <w:rsid w:val="0040098B"/>
    <w:rsid w:val="004009FE"/>
    <w:rsid w:val="0040137D"/>
    <w:rsid w:val="00401C45"/>
    <w:rsid w:val="0040206C"/>
    <w:rsid w:val="004021DB"/>
    <w:rsid w:val="00402313"/>
    <w:rsid w:val="00402643"/>
    <w:rsid w:val="00402A5B"/>
    <w:rsid w:val="00402AB4"/>
    <w:rsid w:val="00402C42"/>
    <w:rsid w:val="00404075"/>
    <w:rsid w:val="004040DC"/>
    <w:rsid w:val="004041B5"/>
    <w:rsid w:val="00404225"/>
    <w:rsid w:val="00404228"/>
    <w:rsid w:val="0040444E"/>
    <w:rsid w:val="004048AD"/>
    <w:rsid w:val="00404B99"/>
    <w:rsid w:val="00404EED"/>
    <w:rsid w:val="0040519F"/>
    <w:rsid w:val="00405590"/>
    <w:rsid w:val="00405621"/>
    <w:rsid w:val="00405840"/>
    <w:rsid w:val="00406391"/>
    <w:rsid w:val="004064A8"/>
    <w:rsid w:val="00406598"/>
    <w:rsid w:val="0040675A"/>
    <w:rsid w:val="00406889"/>
    <w:rsid w:val="00406901"/>
    <w:rsid w:val="00406914"/>
    <w:rsid w:val="00406C66"/>
    <w:rsid w:val="00406EB9"/>
    <w:rsid w:val="00407179"/>
    <w:rsid w:val="004079CA"/>
    <w:rsid w:val="004079CE"/>
    <w:rsid w:val="00407C67"/>
    <w:rsid w:val="004105E0"/>
    <w:rsid w:val="00410765"/>
    <w:rsid w:val="0041076E"/>
    <w:rsid w:val="00410D8F"/>
    <w:rsid w:val="00411364"/>
    <w:rsid w:val="00411555"/>
    <w:rsid w:val="0041169F"/>
    <w:rsid w:val="0041190C"/>
    <w:rsid w:val="00411EA3"/>
    <w:rsid w:val="00412283"/>
    <w:rsid w:val="004125C1"/>
    <w:rsid w:val="0041261F"/>
    <w:rsid w:val="004130DF"/>
    <w:rsid w:val="00413104"/>
    <w:rsid w:val="00413C47"/>
    <w:rsid w:val="004140E6"/>
    <w:rsid w:val="00414445"/>
    <w:rsid w:val="004145A5"/>
    <w:rsid w:val="004147F0"/>
    <w:rsid w:val="00414D19"/>
    <w:rsid w:val="004154E5"/>
    <w:rsid w:val="00415B00"/>
    <w:rsid w:val="0041654F"/>
    <w:rsid w:val="0041675D"/>
    <w:rsid w:val="00417C82"/>
    <w:rsid w:val="004205AE"/>
    <w:rsid w:val="00420DE9"/>
    <w:rsid w:val="0042151C"/>
    <w:rsid w:val="00421A05"/>
    <w:rsid w:val="0042233B"/>
    <w:rsid w:val="004223D0"/>
    <w:rsid w:val="00422653"/>
    <w:rsid w:val="004228A5"/>
    <w:rsid w:val="00422A14"/>
    <w:rsid w:val="00422B78"/>
    <w:rsid w:val="00422DA7"/>
    <w:rsid w:val="00423645"/>
    <w:rsid w:val="0042375C"/>
    <w:rsid w:val="00423822"/>
    <w:rsid w:val="00423997"/>
    <w:rsid w:val="00423C9C"/>
    <w:rsid w:val="00424323"/>
    <w:rsid w:val="0042480A"/>
    <w:rsid w:val="004248CB"/>
    <w:rsid w:val="00424913"/>
    <w:rsid w:val="0042496E"/>
    <w:rsid w:val="00424FE5"/>
    <w:rsid w:val="00425284"/>
    <w:rsid w:val="00425A3C"/>
    <w:rsid w:val="00425C71"/>
    <w:rsid w:val="00426005"/>
    <w:rsid w:val="00426185"/>
    <w:rsid w:val="004265B7"/>
    <w:rsid w:val="004278CB"/>
    <w:rsid w:val="00427D13"/>
    <w:rsid w:val="004306BE"/>
    <w:rsid w:val="00430723"/>
    <w:rsid w:val="00430CDC"/>
    <w:rsid w:val="00431546"/>
    <w:rsid w:val="00431B65"/>
    <w:rsid w:val="00431F13"/>
    <w:rsid w:val="004327C0"/>
    <w:rsid w:val="00433077"/>
    <w:rsid w:val="0043379B"/>
    <w:rsid w:val="00433A69"/>
    <w:rsid w:val="00433F1B"/>
    <w:rsid w:val="0043417F"/>
    <w:rsid w:val="0043441F"/>
    <w:rsid w:val="00434C84"/>
    <w:rsid w:val="00435678"/>
    <w:rsid w:val="004356CF"/>
    <w:rsid w:val="004360A4"/>
    <w:rsid w:val="0043641C"/>
    <w:rsid w:val="0043678A"/>
    <w:rsid w:val="00436C34"/>
    <w:rsid w:val="004370E4"/>
    <w:rsid w:val="00437142"/>
    <w:rsid w:val="00437269"/>
    <w:rsid w:val="00437498"/>
    <w:rsid w:val="00440579"/>
    <w:rsid w:val="004405AB"/>
    <w:rsid w:val="004417B7"/>
    <w:rsid w:val="00442151"/>
    <w:rsid w:val="004421D3"/>
    <w:rsid w:val="0044242A"/>
    <w:rsid w:val="00442562"/>
    <w:rsid w:val="004428C5"/>
    <w:rsid w:val="00442DFC"/>
    <w:rsid w:val="00443017"/>
    <w:rsid w:val="004436B4"/>
    <w:rsid w:val="00443A8A"/>
    <w:rsid w:val="00443D30"/>
    <w:rsid w:val="004445AF"/>
    <w:rsid w:val="004446D9"/>
    <w:rsid w:val="0044472D"/>
    <w:rsid w:val="00444E9D"/>
    <w:rsid w:val="00445578"/>
    <w:rsid w:val="00445681"/>
    <w:rsid w:val="004457E7"/>
    <w:rsid w:val="0044592F"/>
    <w:rsid w:val="00445C1D"/>
    <w:rsid w:val="004461BB"/>
    <w:rsid w:val="00446276"/>
    <w:rsid w:val="00446419"/>
    <w:rsid w:val="0044683E"/>
    <w:rsid w:val="00446A6E"/>
    <w:rsid w:val="00447202"/>
    <w:rsid w:val="004474D0"/>
    <w:rsid w:val="004474D7"/>
    <w:rsid w:val="00447B6E"/>
    <w:rsid w:val="00447D37"/>
    <w:rsid w:val="00447FBA"/>
    <w:rsid w:val="004502D1"/>
    <w:rsid w:val="00450521"/>
    <w:rsid w:val="00450CD8"/>
    <w:rsid w:val="00450EFA"/>
    <w:rsid w:val="00450FC1"/>
    <w:rsid w:val="0045174E"/>
    <w:rsid w:val="00451B28"/>
    <w:rsid w:val="00451FBF"/>
    <w:rsid w:val="0045252E"/>
    <w:rsid w:val="0045289B"/>
    <w:rsid w:val="004528C2"/>
    <w:rsid w:val="0045321C"/>
    <w:rsid w:val="0045352B"/>
    <w:rsid w:val="004538A0"/>
    <w:rsid w:val="00453BB7"/>
    <w:rsid w:val="00453D8E"/>
    <w:rsid w:val="00453DBC"/>
    <w:rsid w:val="00454421"/>
    <w:rsid w:val="00454A94"/>
    <w:rsid w:val="00454FBE"/>
    <w:rsid w:val="00455035"/>
    <w:rsid w:val="00455495"/>
    <w:rsid w:val="0045636B"/>
    <w:rsid w:val="004563D1"/>
    <w:rsid w:val="0045661F"/>
    <w:rsid w:val="00456C39"/>
    <w:rsid w:val="00460350"/>
    <w:rsid w:val="004605FD"/>
    <w:rsid w:val="004608AF"/>
    <w:rsid w:val="00460B13"/>
    <w:rsid w:val="00461349"/>
    <w:rsid w:val="00461C78"/>
    <w:rsid w:val="00461D05"/>
    <w:rsid w:val="0046231D"/>
    <w:rsid w:val="00462769"/>
    <w:rsid w:val="00462EB4"/>
    <w:rsid w:val="0046309E"/>
    <w:rsid w:val="00463922"/>
    <w:rsid w:val="00463CA0"/>
    <w:rsid w:val="00463EB2"/>
    <w:rsid w:val="004643E0"/>
    <w:rsid w:val="0046456A"/>
    <w:rsid w:val="0046462D"/>
    <w:rsid w:val="00464E54"/>
    <w:rsid w:val="004653A4"/>
    <w:rsid w:val="004658DF"/>
    <w:rsid w:val="00465ABF"/>
    <w:rsid w:val="004665CD"/>
    <w:rsid w:val="00466A6C"/>
    <w:rsid w:val="00466B35"/>
    <w:rsid w:val="00467034"/>
    <w:rsid w:val="004674F6"/>
    <w:rsid w:val="00467744"/>
    <w:rsid w:val="00467923"/>
    <w:rsid w:val="004703F2"/>
    <w:rsid w:val="00470797"/>
    <w:rsid w:val="00470FF8"/>
    <w:rsid w:val="004716CD"/>
    <w:rsid w:val="004718C8"/>
    <w:rsid w:val="00471DAE"/>
    <w:rsid w:val="00472054"/>
    <w:rsid w:val="00472124"/>
    <w:rsid w:val="0047224B"/>
    <w:rsid w:val="004724F1"/>
    <w:rsid w:val="00472C30"/>
    <w:rsid w:val="00472E32"/>
    <w:rsid w:val="00472FE6"/>
    <w:rsid w:val="004735FE"/>
    <w:rsid w:val="00473631"/>
    <w:rsid w:val="0047364D"/>
    <w:rsid w:val="004736F9"/>
    <w:rsid w:val="004737EE"/>
    <w:rsid w:val="004738F9"/>
    <w:rsid w:val="00473A43"/>
    <w:rsid w:val="00473DD3"/>
    <w:rsid w:val="004742A1"/>
    <w:rsid w:val="00474664"/>
    <w:rsid w:val="0047490A"/>
    <w:rsid w:val="00474A4F"/>
    <w:rsid w:val="00474C2E"/>
    <w:rsid w:val="00474C39"/>
    <w:rsid w:val="00474DDC"/>
    <w:rsid w:val="00475980"/>
    <w:rsid w:val="004759E8"/>
    <w:rsid w:val="00475D12"/>
    <w:rsid w:val="00475D7F"/>
    <w:rsid w:val="0047617F"/>
    <w:rsid w:val="00476665"/>
    <w:rsid w:val="00476671"/>
    <w:rsid w:val="004769B5"/>
    <w:rsid w:val="00476AF6"/>
    <w:rsid w:val="00476D4E"/>
    <w:rsid w:val="004773E1"/>
    <w:rsid w:val="0047760A"/>
    <w:rsid w:val="0047765F"/>
    <w:rsid w:val="004777A9"/>
    <w:rsid w:val="0047786E"/>
    <w:rsid w:val="00477A88"/>
    <w:rsid w:val="00477B81"/>
    <w:rsid w:val="00477C80"/>
    <w:rsid w:val="0048022A"/>
    <w:rsid w:val="0048052B"/>
    <w:rsid w:val="00481AD4"/>
    <w:rsid w:val="00482084"/>
    <w:rsid w:val="00482394"/>
    <w:rsid w:val="00482474"/>
    <w:rsid w:val="004826C7"/>
    <w:rsid w:val="004834DC"/>
    <w:rsid w:val="004837A0"/>
    <w:rsid w:val="004837EF"/>
    <w:rsid w:val="00483D13"/>
    <w:rsid w:val="00484576"/>
    <w:rsid w:val="0048466F"/>
    <w:rsid w:val="00484754"/>
    <w:rsid w:val="0048476C"/>
    <w:rsid w:val="00484BB4"/>
    <w:rsid w:val="004858CE"/>
    <w:rsid w:val="00485ABC"/>
    <w:rsid w:val="00485F59"/>
    <w:rsid w:val="00486357"/>
    <w:rsid w:val="00486618"/>
    <w:rsid w:val="00486763"/>
    <w:rsid w:val="00487852"/>
    <w:rsid w:val="00487A79"/>
    <w:rsid w:val="00487D16"/>
    <w:rsid w:val="00490377"/>
    <w:rsid w:val="0049042A"/>
    <w:rsid w:val="00490511"/>
    <w:rsid w:val="0049051D"/>
    <w:rsid w:val="00490ADA"/>
    <w:rsid w:val="00490AEC"/>
    <w:rsid w:val="00490C57"/>
    <w:rsid w:val="00490EE3"/>
    <w:rsid w:val="0049117E"/>
    <w:rsid w:val="0049127A"/>
    <w:rsid w:val="00491490"/>
    <w:rsid w:val="00491B27"/>
    <w:rsid w:val="00491B42"/>
    <w:rsid w:val="00491D57"/>
    <w:rsid w:val="00491F3E"/>
    <w:rsid w:val="00492087"/>
    <w:rsid w:val="00492929"/>
    <w:rsid w:val="00492D58"/>
    <w:rsid w:val="00492DB6"/>
    <w:rsid w:val="004930D2"/>
    <w:rsid w:val="0049320A"/>
    <w:rsid w:val="00493C50"/>
    <w:rsid w:val="0049402D"/>
    <w:rsid w:val="004941C5"/>
    <w:rsid w:val="0049469C"/>
    <w:rsid w:val="004946E8"/>
    <w:rsid w:val="00494992"/>
    <w:rsid w:val="00494C1B"/>
    <w:rsid w:val="0049516F"/>
    <w:rsid w:val="0049530E"/>
    <w:rsid w:val="0049557F"/>
    <w:rsid w:val="004958AD"/>
    <w:rsid w:val="00495CB1"/>
    <w:rsid w:val="00495F3C"/>
    <w:rsid w:val="00496310"/>
    <w:rsid w:val="00496498"/>
    <w:rsid w:val="004965E5"/>
    <w:rsid w:val="0049694C"/>
    <w:rsid w:val="00496BCE"/>
    <w:rsid w:val="00497D1F"/>
    <w:rsid w:val="00497DC7"/>
    <w:rsid w:val="00497E0A"/>
    <w:rsid w:val="004A0210"/>
    <w:rsid w:val="004A0464"/>
    <w:rsid w:val="004A04C0"/>
    <w:rsid w:val="004A1751"/>
    <w:rsid w:val="004A17E0"/>
    <w:rsid w:val="004A2CCD"/>
    <w:rsid w:val="004A3075"/>
    <w:rsid w:val="004A329F"/>
    <w:rsid w:val="004A32CE"/>
    <w:rsid w:val="004A428F"/>
    <w:rsid w:val="004A44E8"/>
    <w:rsid w:val="004A4C54"/>
    <w:rsid w:val="004A5203"/>
    <w:rsid w:val="004A598F"/>
    <w:rsid w:val="004A5D65"/>
    <w:rsid w:val="004A618D"/>
    <w:rsid w:val="004A698A"/>
    <w:rsid w:val="004A6CE4"/>
    <w:rsid w:val="004A6FD4"/>
    <w:rsid w:val="004A7453"/>
    <w:rsid w:val="004A7537"/>
    <w:rsid w:val="004A79D0"/>
    <w:rsid w:val="004A7BB2"/>
    <w:rsid w:val="004B107D"/>
    <w:rsid w:val="004B2040"/>
    <w:rsid w:val="004B245F"/>
    <w:rsid w:val="004B2666"/>
    <w:rsid w:val="004B28FF"/>
    <w:rsid w:val="004B2B69"/>
    <w:rsid w:val="004B2DDB"/>
    <w:rsid w:val="004B346B"/>
    <w:rsid w:val="004B34D6"/>
    <w:rsid w:val="004B3F74"/>
    <w:rsid w:val="004B405F"/>
    <w:rsid w:val="004B4FA7"/>
    <w:rsid w:val="004B4FAC"/>
    <w:rsid w:val="004B57CA"/>
    <w:rsid w:val="004B58E5"/>
    <w:rsid w:val="004B5AB8"/>
    <w:rsid w:val="004B625D"/>
    <w:rsid w:val="004B630B"/>
    <w:rsid w:val="004B6691"/>
    <w:rsid w:val="004B74FA"/>
    <w:rsid w:val="004B7690"/>
    <w:rsid w:val="004B7D18"/>
    <w:rsid w:val="004B7F56"/>
    <w:rsid w:val="004C0215"/>
    <w:rsid w:val="004C0333"/>
    <w:rsid w:val="004C0753"/>
    <w:rsid w:val="004C09C3"/>
    <w:rsid w:val="004C1440"/>
    <w:rsid w:val="004C14AD"/>
    <w:rsid w:val="004C1600"/>
    <w:rsid w:val="004C16FE"/>
    <w:rsid w:val="004C1821"/>
    <w:rsid w:val="004C239F"/>
    <w:rsid w:val="004C2C99"/>
    <w:rsid w:val="004C32CD"/>
    <w:rsid w:val="004C3350"/>
    <w:rsid w:val="004C3875"/>
    <w:rsid w:val="004C3B4E"/>
    <w:rsid w:val="004C3E2A"/>
    <w:rsid w:val="004C3F47"/>
    <w:rsid w:val="004C4375"/>
    <w:rsid w:val="004C480C"/>
    <w:rsid w:val="004C4909"/>
    <w:rsid w:val="004C538D"/>
    <w:rsid w:val="004C60C4"/>
    <w:rsid w:val="004C6778"/>
    <w:rsid w:val="004C6ABD"/>
    <w:rsid w:val="004C73C1"/>
    <w:rsid w:val="004C7779"/>
    <w:rsid w:val="004C777D"/>
    <w:rsid w:val="004D04FC"/>
    <w:rsid w:val="004D0577"/>
    <w:rsid w:val="004D0729"/>
    <w:rsid w:val="004D0A1F"/>
    <w:rsid w:val="004D0F6E"/>
    <w:rsid w:val="004D15B3"/>
    <w:rsid w:val="004D24CC"/>
    <w:rsid w:val="004D27A1"/>
    <w:rsid w:val="004D27B4"/>
    <w:rsid w:val="004D296E"/>
    <w:rsid w:val="004D2D90"/>
    <w:rsid w:val="004D3DF2"/>
    <w:rsid w:val="004D3F8D"/>
    <w:rsid w:val="004D4004"/>
    <w:rsid w:val="004D407E"/>
    <w:rsid w:val="004D42E6"/>
    <w:rsid w:val="004D443F"/>
    <w:rsid w:val="004D49E1"/>
    <w:rsid w:val="004D4AC2"/>
    <w:rsid w:val="004D5BA3"/>
    <w:rsid w:val="004D6426"/>
    <w:rsid w:val="004D64AF"/>
    <w:rsid w:val="004D654E"/>
    <w:rsid w:val="004D65BE"/>
    <w:rsid w:val="004D6B71"/>
    <w:rsid w:val="004D6BFF"/>
    <w:rsid w:val="004D722D"/>
    <w:rsid w:val="004D7321"/>
    <w:rsid w:val="004D744B"/>
    <w:rsid w:val="004D791C"/>
    <w:rsid w:val="004D7CA3"/>
    <w:rsid w:val="004D7E7E"/>
    <w:rsid w:val="004D7FAD"/>
    <w:rsid w:val="004E04D1"/>
    <w:rsid w:val="004E068D"/>
    <w:rsid w:val="004E1C03"/>
    <w:rsid w:val="004E2024"/>
    <w:rsid w:val="004E2A1A"/>
    <w:rsid w:val="004E2C8D"/>
    <w:rsid w:val="004E32B3"/>
    <w:rsid w:val="004E33F8"/>
    <w:rsid w:val="004E418E"/>
    <w:rsid w:val="004E43EC"/>
    <w:rsid w:val="004E4B79"/>
    <w:rsid w:val="004E5129"/>
    <w:rsid w:val="004E5C38"/>
    <w:rsid w:val="004E6335"/>
    <w:rsid w:val="004E65D7"/>
    <w:rsid w:val="004E6EDB"/>
    <w:rsid w:val="004E6F8E"/>
    <w:rsid w:val="004E776E"/>
    <w:rsid w:val="004E7C68"/>
    <w:rsid w:val="004F01CB"/>
    <w:rsid w:val="004F03A2"/>
    <w:rsid w:val="004F03F5"/>
    <w:rsid w:val="004F0496"/>
    <w:rsid w:val="004F077A"/>
    <w:rsid w:val="004F0941"/>
    <w:rsid w:val="004F09F5"/>
    <w:rsid w:val="004F0A19"/>
    <w:rsid w:val="004F0AAE"/>
    <w:rsid w:val="004F0D7A"/>
    <w:rsid w:val="004F0F10"/>
    <w:rsid w:val="004F1195"/>
    <w:rsid w:val="004F1272"/>
    <w:rsid w:val="004F1595"/>
    <w:rsid w:val="004F1895"/>
    <w:rsid w:val="004F1AB2"/>
    <w:rsid w:val="004F1B06"/>
    <w:rsid w:val="004F2C0D"/>
    <w:rsid w:val="004F35DD"/>
    <w:rsid w:val="004F39A0"/>
    <w:rsid w:val="004F48D1"/>
    <w:rsid w:val="004F4A3F"/>
    <w:rsid w:val="004F4D5F"/>
    <w:rsid w:val="004F574C"/>
    <w:rsid w:val="004F592D"/>
    <w:rsid w:val="004F5997"/>
    <w:rsid w:val="004F632E"/>
    <w:rsid w:val="004F63B1"/>
    <w:rsid w:val="004F6662"/>
    <w:rsid w:val="004F6CC1"/>
    <w:rsid w:val="004F6E8C"/>
    <w:rsid w:val="004F6F39"/>
    <w:rsid w:val="004F75EC"/>
    <w:rsid w:val="004F7962"/>
    <w:rsid w:val="004F7E4A"/>
    <w:rsid w:val="004F7FB2"/>
    <w:rsid w:val="005002A5"/>
    <w:rsid w:val="00500A00"/>
    <w:rsid w:val="00500A4B"/>
    <w:rsid w:val="00500CF6"/>
    <w:rsid w:val="00500E70"/>
    <w:rsid w:val="005012D5"/>
    <w:rsid w:val="00501594"/>
    <w:rsid w:val="00501795"/>
    <w:rsid w:val="00501C1C"/>
    <w:rsid w:val="00501CD4"/>
    <w:rsid w:val="00501E59"/>
    <w:rsid w:val="00501E9A"/>
    <w:rsid w:val="00502F90"/>
    <w:rsid w:val="00503101"/>
    <w:rsid w:val="005037C7"/>
    <w:rsid w:val="00503B46"/>
    <w:rsid w:val="005042CE"/>
    <w:rsid w:val="00504BAF"/>
    <w:rsid w:val="00504F17"/>
    <w:rsid w:val="00504F7D"/>
    <w:rsid w:val="00506010"/>
    <w:rsid w:val="00506D09"/>
    <w:rsid w:val="00507508"/>
    <w:rsid w:val="0050771F"/>
    <w:rsid w:val="00507CEC"/>
    <w:rsid w:val="00507F25"/>
    <w:rsid w:val="0051002C"/>
    <w:rsid w:val="00510311"/>
    <w:rsid w:val="00510A17"/>
    <w:rsid w:val="00510E88"/>
    <w:rsid w:val="00511AAE"/>
    <w:rsid w:val="005120D8"/>
    <w:rsid w:val="00512813"/>
    <w:rsid w:val="00512A84"/>
    <w:rsid w:val="0051300D"/>
    <w:rsid w:val="00513422"/>
    <w:rsid w:val="00513868"/>
    <w:rsid w:val="00513E51"/>
    <w:rsid w:val="0051425D"/>
    <w:rsid w:val="00514554"/>
    <w:rsid w:val="005149CD"/>
    <w:rsid w:val="00514BA2"/>
    <w:rsid w:val="00515C3D"/>
    <w:rsid w:val="00516D2D"/>
    <w:rsid w:val="00516DAD"/>
    <w:rsid w:val="00517580"/>
    <w:rsid w:val="00517947"/>
    <w:rsid w:val="00517ECB"/>
    <w:rsid w:val="00520006"/>
    <w:rsid w:val="0052033D"/>
    <w:rsid w:val="005209C5"/>
    <w:rsid w:val="00520A73"/>
    <w:rsid w:val="00521409"/>
    <w:rsid w:val="00521738"/>
    <w:rsid w:val="005220BD"/>
    <w:rsid w:val="00522365"/>
    <w:rsid w:val="00522CF7"/>
    <w:rsid w:val="00522E49"/>
    <w:rsid w:val="00523016"/>
    <w:rsid w:val="005233EC"/>
    <w:rsid w:val="00523707"/>
    <w:rsid w:val="00523803"/>
    <w:rsid w:val="005238A6"/>
    <w:rsid w:val="00523965"/>
    <w:rsid w:val="00523B18"/>
    <w:rsid w:val="00523D33"/>
    <w:rsid w:val="00523DEC"/>
    <w:rsid w:val="0052453A"/>
    <w:rsid w:val="00524593"/>
    <w:rsid w:val="00524A53"/>
    <w:rsid w:val="00524F2A"/>
    <w:rsid w:val="005251D3"/>
    <w:rsid w:val="00525283"/>
    <w:rsid w:val="0052574B"/>
    <w:rsid w:val="00526035"/>
    <w:rsid w:val="0052641C"/>
    <w:rsid w:val="00526BB0"/>
    <w:rsid w:val="0052779E"/>
    <w:rsid w:val="00530292"/>
    <w:rsid w:val="00530293"/>
    <w:rsid w:val="00530A39"/>
    <w:rsid w:val="00530B18"/>
    <w:rsid w:val="00530D94"/>
    <w:rsid w:val="005315FA"/>
    <w:rsid w:val="0053206E"/>
    <w:rsid w:val="00532E05"/>
    <w:rsid w:val="00533EEA"/>
    <w:rsid w:val="005340B4"/>
    <w:rsid w:val="005348AC"/>
    <w:rsid w:val="005350EC"/>
    <w:rsid w:val="005352F2"/>
    <w:rsid w:val="00535E80"/>
    <w:rsid w:val="00536151"/>
    <w:rsid w:val="00536179"/>
    <w:rsid w:val="0053666E"/>
    <w:rsid w:val="005371D0"/>
    <w:rsid w:val="005378DF"/>
    <w:rsid w:val="00537E48"/>
    <w:rsid w:val="00540167"/>
    <w:rsid w:val="0054029D"/>
    <w:rsid w:val="00540304"/>
    <w:rsid w:val="00540373"/>
    <w:rsid w:val="0054045A"/>
    <w:rsid w:val="005409FD"/>
    <w:rsid w:val="00540A2F"/>
    <w:rsid w:val="00540EF1"/>
    <w:rsid w:val="00541142"/>
    <w:rsid w:val="00541490"/>
    <w:rsid w:val="00541872"/>
    <w:rsid w:val="00541901"/>
    <w:rsid w:val="005425D6"/>
    <w:rsid w:val="00542816"/>
    <w:rsid w:val="005429FB"/>
    <w:rsid w:val="00542B8A"/>
    <w:rsid w:val="00542BA8"/>
    <w:rsid w:val="00542ED6"/>
    <w:rsid w:val="00543670"/>
    <w:rsid w:val="0054382A"/>
    <w:rsid w:val="00543AB1"/>
    <w:rsid w:val="005449B5"/>
    <w:rsid w:val="005455F7"/>
    <w:rsid w:val="005458F8"/>
    <w:rsid w:val="00545F0C"/>
    <w:rsid w:val="00546103"/>
    <w:rsid w:val="0054638B"/>
    <w:rsid w:val="005463E2"/>
    <w:rsid w:val="0054668C"/>
    <w:rsid w:val="00546801"/>
    <w:rsid w:val="0054730A"/>
    <w:rsid w:val="00547440"/>
    <w:rsid w:val="0054764A"/>
    <w:rsid w:val="005477D4"/>
    <w:rsid w:val="005504A1"/>
    <w:rsid w:val="005505F3"/>
    <w:rsid w:val="00551174"/>
    <w:rsid w:val="00551AD1"/>
    <w:rsid w:val="00551D5F"/>
    <w:rsid w:val="00551F2E"/>
    <w:rsid w:val="005524B1"/>
    <w:rsid w:val="00552648"/>
    <w:rsid w:val="00552800"/>
    <w:rsid w:val="005528F2"/>
    <w:rsid w:val="00552C24"/>
    <w:rsid w:val="00552D23"/>
    <w:rsid w:val="005531FB"/>
    <w:rsid w:val="00553BCE"/>
    <w:rsid w:val="00553C5F"/>
    <w:rsid w:val="00553CC5"/>
    <w:rsid w:val="00554B8C"/>
    <w:rsid w:val="00555739"/>
    <w:rsid w:val="0055579C"/>
    <w:rsid w:val="005557ED"/>
    <w:rsid w:val="00555D2B"/>
    <w:rsid w:val="00556944"/>
    <w:rsid w:val="00556CA8"/>
    <w:rsid w:val="00557324"/>
    <w:rsid w:val="005575AC"/>
    <w:rsid w:val="0055780E"/>
    <w:rsid w:val="00557C5F"/>
    <w:rsid w:val="00557E8D"/>
    <w:rsid w:val="00557EEC"/>
    <w:rsid w:val="00560169"/>
    <w:rsid w:val="005607BC"/>
    <w:rsid w:val="0056089F"/>
    <w:rsid w:val="00560959"/>
    <w:rsid w:val="00560E95"/>
    <w:rsid w:val="00560F2C"/>
    <w:rsid w:val="005610D6"/>
    <w:rsid w:val="005611D9"/>
    <w:rsid w:val="005611EB"/>
    <w:rsid w:val="0056146B"/>
    <w:rsid w:val="005617D4"/>
    <w:rsid w:val="00561E6B"/>
    <w:rsid w:val="00561EEF"/>
    <w:rsid w:val="00562391"/>
    <w:rsid w:val="00562BDF"/>
    <w:rsid w:val="00562CBF"/>
    <w:rsid w:val="0056301E"/>
    <w:rsid w:val="005632E6"/>
    <w:rsid w:val="00564189"/>
    <w:rsid w:val="00564267"/>
    <w:rsid w:val="00564475"/>
    <w:rsid w:val="00564576"/>
    <w:rsid w:val="005645F6"/>
    <w:rsid w:val="005645FC"/>
    <w:rsid w:val="00564918"/>
    <w:rsid w:val="00564D04"/>
    <w:rsid w:val="005654C8"/>
    <w:rsid w:val="005659B5"/>
    <w:rsid w:val="0056617E"/>
    <w:rsid w:val="00566868"/>
    <w:rsid w:val="00566926"/>
    <w:rsid w:val="00566A6A"/>
    <w:rsid w:val="00566ADD"/>
    <w:rsid w:val="00566B97"/>
    <w:rsid w:val="005672EA"/>
    <w:rsid w:val="00567482"/>
    <w:rsid w:val="00567665"/>
    <w:rsid w:val="0057040B"/>
    <w:rsid w:val="00570943"/>
    <w:rsid w:val="00570C3C"/>
    <w:rsid w:val="00571DB2"/>
    <w:rsid w:val="005723C3"/>
    <w:rsid w:val="00572A55"/>
    <w:rsid w:val="00572CFD"/>
    <w:rsid w:val="00573196"/>
    <w:rsid w:val="00573A98"/>
    <w:rsid w:val="00573C9A"/>
    <w:rsid w:val="00573E82"/>
    <w:rsid w:val="00573F7B"/>
    <w:rsid w:val="005744F1"/>
    <w:rsid w:val="00574EBA"/>
    <w:rsid w:val="00575460"/>
    <w:rsid w:val="00575C3C"/>
    <w:rsid w:val="00576663"/>
    <w:rsid w:val="00576673"/>
    <w:rsid w:val="0057667A"/>
    <w:rsid w:val="00576694"/>
    <w:rsid w:val="00576AF7"/>
    <w:rsid w:val="00576DF7"/>
    <w:rsid w:val="00577307"/>
    <w:rsid w:val="00577E08"/>
    <w:rsid w:val="00577ECD"/>
    <w:rsid w:val="005802D0"/>
    <w:rsid w:val="0058143B"/>
    <w:rsid w:val="00581649"/>
    <w:rsid w:val="0058198C"/>
    <w:rsid w:val="00581D38"/>
    <w:rsid w:val="005822A1"/>
    <w:rsid w:val="005822F5"/>
    <w:rsid w:val="0058253A"/>
    <w:rsid w:val="0058254B"/>
    <w:rsid w:val="00582CA8"/>
    <w:rsid w:val="00582CFE"/>
    <w:rsid w:val="005836B6"/>
    <w:rsid w:val="00583BA1"/>
    <w:rsid w:val="00583CF1"/>
    <w:rsid w:val="005841EF"/>
    <w:rsid w:val="00584F55"/>
    <w:rsid w:val="00585160"/>
    <w:rsid w:val="00586246"/>
    <w:rsid w:val="005863B0"/>
    <w:rsid w:val="00586701"/>
    <w:rsid w:val="005878D5"/>
    <w:rsid w:val="00587C04"/>
    <w:rsid w:val="00587C93"/>
    <w:rsid w:val="00587CA6"/>
    <w:rsid w:val="00587CA9"/>
    <w:rsid w:val="00587F62"/>
    <w:rsid w:val="00590173"/>
    <w:rsid w:val="005902B4"/>
    <w:rsid w:val="005904F8"/>
    <w:rsid w:val="00590BB7"/>
    <w:rsid w:val="00590D1B"/>
    <w:rsid w:val="00590EE8"/>
    <w:rsid w:val="0059159A"/>
    <w:rsid w:val="00591D40"/>
    <w:rsid w:val="00591E38"/>
    <w:rsid w:val="00592159"/>
    <w:rsid w:val="00593AB3"/>
    <w:rsid w:val="00593D2F"/>
    <w:rsid w:val="00594931"/>
    <w:rsid w:val="00594AED"/>
    <w:rsid w:val="00594B08"/>
    <w:rsid w:val="00595B75"/>
    <w:rsid w:val="00595E6A"/>
    <w:rsid w:val="0059603B"/>
    <w:rsid w:val="00596248"/>
    <w:rsid w:val="0059642E"/>
    <w:rsid w:val="00596588"/>
    <w:rsid w:val="005965EF"/>
    <w:rsid w:val="0059674A"/>
    <w:rsid w:val="00596B1B"/>
    <w:rsid w:val="00596D21"/>
    <w:rsid w:val="00596D3C"/>
    <w:rsid w:val="005971CC"/>
    <w:rsid w:val="00597A84"/>
    <w:rsid w:val="00597BE1"/>
    <w:rsid w:val="005A044A"/>
    <w:rsid w:val="005A04B6"/>
    <w:rsid w:val="005A0568"/>
    <w:rsid w:val="005A09DE"/>
    <w:rsid w:val="005A1196"/>
    <w:rsid w:val="005A168B"/>
    <w:rsid w:val="005A1A06"/>
    <w:rsid w:val="005A1AEA"/>
    <w:rsid w:val="005A25EC"/>
    <w:rsid w:val="005A2A89"/>
    <w:rsid w:val="005A2F7B"/>
    <w:rsid w:val="005A30CC"/>
    <w:rsid w:val="005A35B9"/>
    <w:rsid w:val="005A36F4"/>
    <w:rsid w:val="005A3D93"/>
    <w:rsid w:val="005A42F9"/>
    <w:rsid w:val="005A4E68"/>
    <w:rsid w:val="005A4F32"/>
    <w:rsid w:val="005A50DB"/>
    <w:rsid w:val="005A6394"/>
    <w:rsid w:val="005A64C2"/>
    <w:rsid w:val="005A6CB2"/>
    <w:rsid w:val="005A7843"/>
    <w:rsid w:val="005A7A6C"/>
    <w:rsid w:val="005A7EE2"/>
    <w:rsid w:val="005B0934"/>
    <w:rsid w:val="005B27CF"/>
    <w:rsid w:val="005B2947"/>
    <w:rsid w:val="005B2B53"/>
    <w:rsid w:val="005B2BF9"/>
    <w:rsid w:val="005B3421"/>
    <w:rsid w:val="005B3706"/>
    <w:rsid w:val="005B3BAB"/>
    <w:rsid w:val="005B3CDA"/>
    <w:rsid w:val="005B3D06"/>
    <w:rsid w:val="005B3D28"/>
    <w:rsid w:val="005B3E09"/>
    <w:rsid w:val="005B5726"/>
    <w:rsid w:val="005B5C71"/>
    <w:rsid w:val="005B5D2D"/>
    <w:rsid w:val="005B6872"/>
    <w:rsid w:val="005B6D4D"/>
    <w:rsid w:val="005B6DAA"/>
    <w:rsid w:val="005B7148"/>
    <w:rsid w:val="005B765F"/>
    <w:rsid w:val="005B770B"/>
    <w:rsid w:val="005B7A35"/>
    <w:rsid w:val="005B7D4D"/>
    <w:rsid w:val="005C096D"/>
    <w:rsid w:val="005C16BD"/>
    <w:rsid w:val="005C1BC8"/>
    <w:rsid w:val="005C2086"/>
    <w:rsid w:val="005C2386"/>
    <w:rsid w:val="005C28CD"/>
    <w:rsid w:val="005C2973"/>
    <w:rsid w:val="005C2B10"/>
    <w:rsid w:val="005C2F79"/>
    <w:rsid w:val="005C3736"/>
    <w:rsid w:val="005C3791"/>
    <w:rsid w:val="005C3829"/>
    <w:rsid w:val="005C3A7A"/>
    <w:rsid w:val="005C4146"/>
    <w:rsid w:val="005C43B5"/>
    <w:rsid w:val="005C4A04"/>
    <w:rsid w:val="005C4A9A"/>
    <w:rsid w:val="005C4BD6"/>
    <w:rsid w:val="005C568C"/>
    <w:rsid w:val="005C5808"/>
    <w:rsid w:val="005C58D7"/>
    <w:rsid w:val="005C6881"/>
    <w:rsid w:val="005C6A8C"/>
    <w:rsid w:val="005C704F"/>
    <w:rsid w:val="005C71FB"/>
    <w:rsid w:val="005C7C42"/>
    <w:rsid w:val="005C7FD0"/>
    <w:rsid w:val="005D000F"/>
    <w:rsid w:val="005D17B8"/>
    <w:rsid w:val="005D181A"/>
    <w:rsid w:val="005D1978"/>
    <w:rsid w:val="005D1C53"/>
    <w:rsid w:val="005D203A"/>
    <w:rsid w:val="005D248D"/>
    <w:rsid w:val="005D258F"/>
    <w:rsid w:val="005D2D81"/>
    <w:rsid w:val="005D2E9F"/>
    <w:rsid w:val="005D3C18"/>
    <w:rsid w:val="005D3E3B"/>
    <w:rsid w:val="005D40C2"/>
    <w:rsid w:val="005D4308"/>
    <w:rsid w:val="005D480D"/>
    <w:rsid w:val="005D51CC"/>
    <w:rsid w:val="005D5216"/>
    <w:rsid w:val="005D5B5F"/>
    <w:rsid w:val="005D5C9F"/>
    <w:rsid w:val="005D5E11"/>
    <w:rsid w:val="005D60BE"/>
    <w:rsid w:val="005D60D4"/>
    <w:rsid w:val="005D65FE"/>
    <w:rsid w:val="005D6C34"/>
    <w:rsid w:val="005D6D82"/>
    <w:rsid w:val="005D7108"/>
    <w:rsid w:val="005D75C0"/>
    <w:rsid w:val="005D7629"/>
    <w:rsid w:val="005D769D"/>
    <w:rsid w:val="005D79BD"/>
    <w:rsid w:val="005D79C0"/>
    <w:rsid w:val="005D7CCB"/>
    <w:rsid w:val="005E03EA"/>
    <w:rsid w:val="005E0455"/>
    <w:rsid w:val="005E0932"/>
    <w:rsid w:val="005E1FE6"/>
    <w:rsid w:val="005E2882"/>
    <w:rsid w:val="005E313A"/>
    <w:rsid w:val="005E34DD"/>
    <w:rsid w:val="005E3658"/>
    <w:rsid w:val="005E390C"/>
    <w:rsid w:val="005E3BA9"/>
    <w:rsid w:val="005E3F87"/>
    <w:rsid w:val="005E3FA5"/>
    <w:rsid w:val="005E47C3"/>
    <w:rsid w:val="005E5018"/>
    <w:rsid w:val="005E5120"/>
    <w:rsid w:val="005E5255"/>
    <w:rsid w:val="005E5548"/>
    <w:rsid w:val="005E5882"/>
    <w:rsid w:val="005E593F"/>
    <w:rsid w:val="005E5A52"/>
    <w:rsid w:val="005E5A80"/>
    <w:rsid w:val="005E5C0F"/>
    <w:rsid w:val="005E5E67"/>
    <w:rsid w:val="005E5F22"/>
    <w:rsid w:val="005E6185"/>
    <w:rsid w:val="005E6196"/>
    <w:rsid w:val="005E61FD"/>
    <w:rsid w:val="005E65B3"/>
    <w:rsid w:val="005E699D"/>
    <w:rsid w:val="005E6B14"/>
    <w:rsid w:val="005E6C12"/>
    <w:rsid w:val="005E7248"/>
    <w:rsid w:val="005E7408"/>
    <w:rsid w:val="005E7452"/>
    <w:rsid w:val="005E7841"/>
    <w:rsid w:val="005E7B28"/>
    <w:rsid w:val="005E7C87"/>
    <w:rsid w:val="005E7FC2"/>
    <w:rsid w:val="005F00DF"/>
    <w:rsid w:val="005F0890"/>
    <w:rsid w:val="005F0AE8"/>
    <w:rsid w:val="005F0C37"/>
    <w:rsid w:val="005F0FC1"/>
    <w:rsid w:val="005F11C4"/>
    <w:rsid w:val="005F1282"/>
    <w:rsid w:val="005F18DC"/>
    <w:rsid w:val="005F1F91"/>
    <w:rsid w:val="005F1FF0"/>
    <w:rsid w:val="005F2187"/>
    <w:rsid w:val="005F23DC"/>
    <w:rsid w:val="005F244A"/>
    <w:rsid w:val="005F2D53"/>
    <w:rsid w:val="005F3BD0"/>
    <w:rsid w:val="005F3F86"/>
    <w:rsid w:val="005F4935"/>
    <w:rsid w:val="005F52D8"/>
    <w:rsid w:val="005F531A"/>
    <w:rsid w:val="005F5C29"/>
    <w:rsid w:val="005F5C85"/>
    <w:rsid w:val="005F63C0"/>
    <w:rsid w:val="005F652F"/>
    <w:rsid w:val="005F69CC"/>
    <w:rsid w:val="0060049B"/>
    <w:rsid w:val="006004BC"/>
    <w:rsid w:val="0060092B"/>
    <w:rsid w:val="00600CD3"/>
    <w:rsid w:val="00600D5C"/>
    <w:rsid w:val="00600E04"/>
    <w:rsid w:val="00600E67"/>
    <w:rsid w:val="00601487"/>
    <w:rsid w:val="006014C8"/>
    <w:rsid w:val="006016A1"/>
    <w:rsid w:val="00601828"/>
    <w:rsid w:val="00601A2E"/>
    <w:rsid w:val="006021F0"/>
    <w:rsid w:val="00603248"/>
    <w:rsid w:val="00603345"/>
    <w:rsid w:val="006036B9"/>
    <w:rsid w:val="00603829"/>
    <w:rsid w:val="00604621"/>
    <w:rsid w:val="00604758"/>
    <w:rsid w:val="00605078"/>
    <w:rsid w:val="006050DE"/>
    <w:rsid w:val="0060577A"/>
    <w:rsid w:val="006059AD"/>
    <w:rsid w:val="00605AA1"/>
    <w:rsid w:val="0060626B"/>
    <w:rsid w:val="006062C1"/>
    <w:rsid w:val="0060648C"/>
    <w:rsid w:val="0060663F"/>
    <w:rsid w:val="006068CD"/>
    <w:rsid w:val="00606B34"/>
    <w:rsid w:val="00606EE6"/>
    <w:rsid w:val="006072D0"/>
    <w:rsid w:val="0060773E"/>
    <w:rsid w:val="00607A37"/>
    <w:rsid w:val="00607A89"/>
    <w:rsid w:val="006109E4"/>
    <w:rsid w:val="0061103D"/>
    <w:rsid w:val="006111AE"/>
    <w:rsid w:val="006118F8"/>
    <w:rsid w:val="006120C8"/>
    <w:rsid w:val="00612615"/>
    <w:rsid w:val="00612DFB"/>
    <w:rsid w:val="00613264"/>
    <w:rsid w:val="006135E1"/>
    <w:rsid w:val="00613BDE"/>
    <w:rsid w:val="00613C4C"/>
    <w:rsid w:val="00613E36"/>
    <w:rsid w:val="00613F21"/>
    <w:rsid w:val="00614CEF"/>
    <w:rsid w:val="00615CC3"/>
    <w:rsid w:val="006160D9"/>
    <w:rsid w:val="00616D99"/>
    <w:rsid w:val="00617492"/>
    <w:rsid w:val="006175D7"/>
    <w:rsid w:val="00617761"/>
    <w:rsid w:val="006178E6"/>
    <w:rsid w:val="006203AC"/>
    <w:rsid w:val="006205A9"/>
    <w:rsid w:val="00620679"/>
    <w:rsid w:val="00620702"/>
    <w:rsid w:val="006208F5"/>
    <w:rsid w:val="00620AD5"/>
    <w:rsid w:val="00621366"/>
    <w:rsid w:val="006213F4"/>
    <w:rsid w:val="006217B7"/>
    <w:rsid w:val="00621AA2"/>
    <w:rsid w:val="006221FD"/>
    <w:rsid w:val="006226DB"/>
    <w:rsid w:val="006231A1"/>
    <w:rsid w:val="0062375B"/>
    <w:rsid w:val="00623FE8"/>
    <w:rsid w:val="006243C8"/>
    <w:rsid w:val="00624821"/>
    <w:rsid w:val="00624D0B"/>
    <w:rsid w:val="00625924"/>
    <w:rsid w:val="006263DB"/>
    <w:rsid w:val="00626711"/>
    <w:rsid w:val="006276B0"/>
    <w:rsid w:val="006276DC"/>
    <w:rsid w:val="00627DA5"/>
    <w:rsid w:val="00627E63"/>
    <w:rsid w:val="006303F0"/>
    <w:rsid w:val="00630BDE"/>
    <w:rsid w:val="00630C6E"/>
    <w:rsid w:val="00630E66"/>
    <w:rsid w:val="00630E8A"/>
    <w:rsid w:val="00631A9C"/>
    <w:rsid w:val="00632166"/>
    <w:rsid w:val="006322F3"/>
    <w:rsid w:val="00632471"/>
    <w:rsid w:val="006324E2"/>
    <w:rsid w:val="006325CA"/>
    <w:rsid w:val="00632737"/>
    <w:rsid w:val="00632A85"/>
    <w:rsid w:val="00632C30"/>
    <w:rsid w:val="00632E6E"/>
    <w:rsid w:val="0063343E"/>
    <w:rsid w:val="0063369F"/>
    <w:rsid w:val="00633A47"/>
    <w:rsid w:val="006343CF"/>
    <w:rsid w:val="00634633"/>
    <w:rsid w:val="00634A6A"/>
    <w:rsid w:val="00634B21"/>
    <w:rsid w:val="00634F70"/>
    <w:rsid w:val="00635179"/>
    <w:rsid w:val="00635E0B"/>
    <w:rsid w:val="0063694A"/>
    <w:rsid w:val="00637627"/>
    <w:rsid w:val="00637A57"/>
    <w:rsid w:val="00637C8D"/>
    <w:rsid w:val="00640191"/>
    <w:rsid w:val="0064083E"/>
    <w:rsid w:val="00640DFF"/>
    <w:rsid w:val="00641048"/>
    <w:rsid w:val="00641057"/>
    <w:rsid w:val="006412FC"/>
    <w:rsid w:val="00641530"/>
    <w:rsid w:val="00641662"/>
    <w:rsid w:val="0064193E"/>
    <w:rsid w:val="00641CE2"/>
    <w:rsid w:val="00642258"/>
    <w:rsid w:val="006429F0"/>
    <w:rsid w:val="00643116"/>
    <w:rsid w:val="006434AF"/>
    <w:rsid w:val="006435F7"/>
    <w:rsid w:val="006440E1"/>
    <w:rsid w:val="00644B35"/>
    <w:rsid w:val="00644C1A"/>
    <w:rsid w:val="006457A0"/>
    <w:rsid w:val="00645D8C"/>
    <w:rsid w:val="00646380"/>
    <w:rsid w:val="00646456"/>
    <w:rsid w:val="006466F9"/>
    <w:rsid w:val="0064681D"/>
    <w:rsid w:val="0064774D"/>
    <w:rsid w:val="0064775C"/>
    <w:rsid w:val="00647A68"/>
    <w:rsid w:val="00647DB5"/>
    <w:rsid w:val="00647E25"/>
    <w:rsid w:val="006504B6"/>
    <w:rsid w:val="00650915"/>
    <w:rsid w:val="00650BE3"/>
    <w:rsid w:val="00650F9F"/>
    <w:rsid w:val="0065101C"/>
    <w:rsid w:val="006512F4"/>
    <w:rsid w:val="00651361"/>
    <w:rsid w:val="00651641"/>
    <w:rsid w:val="00651E56"/>
    <w:rsid w:val="00651F11"/>
    <w:rsid w:val="00652BD7"/>
    <w:rsid w:val="00652ECD"/>
    <w:rsid w:val="006530D3"/>
    <w:rsid w:val="0065323F"/>
    <w:rsid w:val="006534C4"/>
    <w:rsid w:val="00653502"/>
    <w:rsid w:val="00653909"/>
    <w:rsid w:val="006542E2"/>
    <w:rsid w:val="00654DB8"/>
    <w:rsid w:val="006550EB"/>
    <w:rsid w:val="00655427"/>
    <w:rsid w:val="0065571D"/>
    <w:rsid w:val="006557E2"/>
    <w:rsid w:val="006563C2"/>
    <w:rsid w:val="0065651B"/>
    <w:rsid w:val="00656604"/>
    <w:rsid w:val="0065684F"/>
    <w:rsid w:val="00657348"/>
    <w:rsid w:val="006575E3"/>
    <w:rsid w:val="00657CC6"/>
    <w:rsid w:val="00660886"/>
    <w:rsid w:val="00660BC1"/>
    <w:rsid w:val="00661ED5"/>
    <w:rsid w:val="00662B79"/>
    <w:rsid w:val="006630A7"/>
    <w:rsid w:val="006630CA"/>
    <w:rsid w:val="0066312F"/>
    <w:rsid w:val="00663584"/>
    <w:rsid w:val="00663B36"/>
    <w:rsid w:val="00663C75"/>
    <w:rsid w:val="00663D53"/>
    <w:rsid w:val="00664662"/>
    <w:rsid w:val="006648AB"/>
    <w:rsid w:val="00664D76"/>
    <w:rsid w:val="00665387"/>
    <w:rsid w:val="006655FB"/>
    <w:rsid w:val="006656DF"/>
    <w:rsid w:val="00665B1D"/>
    <w:rsid w:val="00666681"/>
    <w:rsid w:val="006666F0"/>
    <w:rsid w:val="0066714E"/>
    <w:rsid w:val="0066729B"/>
    <w:rsid w:val="006676A4"/>
    <w:rsid w:val="006701AC"/>
    <w:rsid w:val="006705C6"/>
    <w:rsid w:val="00670B2F"/>
    <w:rsid w:val="00670EA5"/>
    <w:rsid w:val="006710B8"/>
    <w:rsid w:val="00671381"/>
    <w:rsid w:val="006715F9"/>
    <w:rsid w:val="00671741"/>
    <w:rsid w:val="00671AD0"/>
    <w:rsid w:val="00671B2A"/>
    <w:rsid w:val="00671B2D"/>
    <w:rsid w:val="00671BCC"/>
    <w:rsid w:val="00671FBD"/>
    <w:rsid w:val="00672178"/>
    <w:rsid w:val="006724EB"/>
    <w:rsid w:val="006729EC"/>
    <w:rsid w:val="00672AD3"/>
    <w:rsid w:val="00672D11"/>
    <w:rsid w:val="00672E41"/>
    <w:rsid w:val="00673007"/>
    <w:rsid w:val="006737BE"/>
    <w:rsid w:val="00673882"/>
    <w:rsid w:val="00673B44"/>
    <w:rsid w:val="00673C3B"/>
    <w:rsid w:val="0067412C"/>
    <w:rsid w:val="00674428"/>
    <w:rsid w:val="0067459F"/>
    <w:rsid w:val="00674983"/>
    <w:rsid w:val="00674C5A"/>
    <w:rsid w:val="00674D1D"/>
    <w:rsid w:val="00674EF7"/>
    <w:rsid w:val="00676029"/>
    <w:rsid w:val="0067658C"/>
    <w:rsid w:val="00676823"/>
    <w:rsid w:val="0067743E"/>
    <w:rsid w:val="00680080"/>
    <w:rsid w:val="006802DD"/>
    <w:rsid w:val="0068071F"/>
    <w:rsid w:val="006809F6"/>
    <w:rsid w:val="00680FDB"/>
    <w:rsid w:val="0068154C"/>
    <w:rsid w:val="006815B3"/>
    <w:rsid w:val="00681DF0"/>
    <w:rsid w:val="006822A5"/>
    <w:rsid w:val="006833BA"/>
    <w:rsid w:val="00683C1E"/>
    <w:rsid w:val="00684078"/>
    <w:rsid w:val="0068409F"/>
    <w:rsid w:val="006849E6"/>
    <w:rsid w:val="006850E1"/>
    <w:rsid w:val="00685A0A"/>
    <w:rsid w:val="00685A61"/>
    <w:rsid w:val="00685BB2"/>
    <w:rsid w:val="00685F0D"/>
    <w:rsid w:val="006864BF"/>
    <w:rsid w:val="00686888"/>
    <w:rsid w:val="0068693F"/>
    <w:rsid w:val="00686BB7"/>
    <w:rsid w:val="00686CBB"/>
    <w:rsid w:val="006873FF"/>
    <w:rsid w:val="00687917"/>
    <w:rsid w:val="00687CC8"/>
    <w:rsid w:val="00687FE5"/>
    <w:rsid w:val="006901CC"/>
    <w:rsid w:val="006905BC"/>
    <w:rsid w:val="0069075E"/>
    <w:rsid w:val="00690FF5"/>
    <w:rsid w:val="0069150B"/>
    <w:rsid w:val="006916CA"/>
    <w:rsid w:val="00691A7A"/>
    <w:rsid w:val="00691F05"/>
    <w:rsid w:val="006921F3"/>
    <w:rsid w:val="00692494"/>
    <w:rsid w:val="00692979"/>
    <w:rsid w:val="00692EF9"/>
    <w:rsid w:val="006934AC"/>
    <w:rsid w:val="006934F0"/>
    <w:rsid w:val="00693E13"/>
    <w:rsid w:val="00694555"/>
    <w:rsid w:val="006945FF"/>
    <w:rsid w:val="00694B18"/>
    <w:rsid w:val="00694B7D"/>
    <w:rsid w:val="00694FA0"/>
    <w:rsid w:val="006956B0"/>
    <w:rsid w:val="00695AD3"/>
    <w:rsid w:val="0069600C"/>
    <w:rsid w:val="00696065"/>
    <w:rsid w:val="006966D6"/>
    <w:rsid w:val="00696958"/>
    <w:rsid w:val="00696BF7"/>
    <w:rsid w:val="00696C50"/>
    <w:rsid w:val="006973C8"/>
    <w:rsid w:val="00697EC0"/>
    <w:rsid w:val="00697F82"/>
    <w:rsid w:val="006A010E"/>
    <w:rsid w:val="006A0119"/>
    <w:rsid w:val="006A0586"/>
    <w:rsid w:val="006A1147"/>
    <w:rsid w:val="006A134E"/>
    <w:rsid w:val="006A16CA"/>
    <w:rsid w:val="006A180C"/>
    <w:rsid w:val="006A1A75"/>
    <w:rsid w:val="006A1D3A"/>
    <w:rsid w:val="006A1D7F"/>
    <w:rsid w:val="006A1E43"/>
    <w:rsid w:val="006A1F15"/>
    <w:rsid w:val="006A2936"/>
    <w:rsid w:val="006A29EF"/>
    <w:rsid w:val="006A3264"/>
    <w:rsid w:val="006A3294"/>
    <w:rsid w:val="006A3304"/>
    <w:rsid w:val="006A3790"/>
    <w:rsid w:val="006A3833"/>
    <w:rsid w:val="006A392E"/>
    <w:rsid w:val="006A4236"/>
    <w:rsid w:val="006A497F"/>
    <w:rsid w:val="006A50E3"/>
    <w:rsid w:val="006A580B"/>
    <w:rsid w:val="006A5A83"/>
    <w:rsid w:val="006A5CC8"/>
    <w:rsid w:val="006A6357"/>
    <w:rsid w:val="006A6448"/>
    <w:rsid w:val="006A6E79"/>
    <w:rsid w:val="006A74EC"/>
    <w:rsid w:val="006A7597"/>
    <w:rsid w:val="006A75D0"/>
    <w:rsid w:val="006B042F"/>
    <w:rsid w:val="006B09C2"/>
    <w:rsid w:val="006B0E4A"/>
    <w:rsid w:val="006B0FE6"/>
    <w:rsid w:val="006B1ADF"/>
    <w:rsid w:val="006B1CA3"/>
    <w:rsid w:val="006B20FF"/>
    <w:rsid w:val="006B234E"/>
    <w:rsid w:val="006B24D9"/>
    <w:rsid w:val="006B2863"/>
    <w:rsid w:val="006B2CDD"/>
    <w:rsid w:val="006B2E40"/>
    <w:rsid w:val="006B2E4A"/>
    <w:rsid w:val="006B3B77"/>
    <w:rsid w:val="006B3D4A"/>
    <w:rsid w:val="006B4C1A"/>
    <w:rsid w:val="006B4F80"/>
    <w:rsid w:val="006B50CF"/>
    <w:rsid w:val="006B51AC"/>
    <w:rsid w:val="006B53D7"/>
    <w:rsid w:val="006B621E"/>
    <w:rsid w:val="006B6643"/>
    <w:rsid w:val="006B6CC3"/>
    <w:rsid w:val="006B6D86"/>
    <w:rsid w:val="006B70DD"/>
    <w:rsid w:val="006B74F9"/>
    <w:rsid w:val="006B75C8"/>
    <w:rsid w:val="006B781B"/>
    <w:rsid w:val="006B7CB0"/>
    <w:rsid w:val="006B7E95"/>
    <w:rsid w:val="006C009F"/>
    <w:rsid w:val="006C081C"/>
    <w:rsid w:val="006C1870"/>
    <w:rsid w:val="006C1AB2"/>
    <w:rsid w:val="006C1C44"/>
    <w:rsid w:val="006C230D"/>
    <w:rsid w:val="006C2543"/>
    <w:rsid w:val="006C25D5"/>
    <w:rsid w:val="006C29CA"/>
    <w:rsid w:val="006C2ECD"/>
    <w:rsid w:val="006C2F91"/>
    <w:rsid w:val="006C303A"/>
    <w:rsid w:val="006C31C8"/>
    <w:rsid w:val="006C32F7"/>
    <w:rsid w:val="006C36E6"/>
    <w:rsid w:val="006C39B3"/>
    <w:rsid w:val="006C39E9"/>
    <w:rsid w:val="006C3C25"/>
    <w:rsid w:val="006C3DD2"/>
    <w:rsid w:val="006C3F11"/>
    <w:rsid w:val="006C436B"/>
    <w:rsid w:val="006C4BBC"/>
    <w:rsid w:val="006C4CBF"/>
    <w:rsid w:val="006C4D78"/>
    <w:rsid w:val="006C53DA"/>
    <w:rsid w:val="006C5484"/>
    <w:rsid w:val="006C56AB"/>
    <w:rsid w:val="006C593A"/>
    <w:rsid w:val="006C5ABC"/>
    <w:rsid w:val="006C6046"/>
    <w:rsid w:val="006C615B"/>
    <w:rsid w:val="006C6208"/>
    <w:rsid w:val="006C64BB"/>
    <w:rsid w:val="006C6520"/>
    <w:rsid w:val="006C65E7"/>
    <w:rsid w:val="006C6698"/>
    <w:rsid w:val="006C6C23"/>
    <w:rsid w:val="006C7241"/>
    <w:rsid w:val="006C75BC"/>
    <w:rsid w:val="006C75FA"/>
    <w:rsid w:val="006C79A5"/>
    <w:rsid w:val="006C7BE3"/>
    <w:rsid w:val="006C7C6D"/>
    <w:rsid w:val="006D0041"/>
    <w:rsid w:val="006D031B"/>
    <w:rsid w:val="006D0824"/>
    <w:rsid w:val="006D0885"/>
    <w:rsid w:val="006D0B81"/>
    <w:rsid w:val="006D0FD1"/>
    <w:rsid w:val="006D15D6"/>
    <w:rsid w:val="006D1609"/>
    <w:rsid w:val="006D1D5D"/>
    <w:rsid w:val="006D1E94"/>
    <w:rsid w:val="006D1EA0"/>
    <w:rsid w:val="006D2B50"/>
    <w:rsid w:val="006D2DB6"/>
    <w:rsid w:val="006D2EC1"/>
    <w:rsid w:val="006D31A4"/>
    <w:rsid w:val="006D38E3"/>
    <w:rsid w:val="006D3D9D"/>
    <w:rsid w:val="006D4345"/>
    <w:rsid w:val="006D45A7"/>
    <w:rsid w:val="006D4DA6"/>
    <w:rsid w:val="006D4E13"/>
    <w:rsid w:val="006D4E88"/>
    <w:rsid w:val="006D560D"/>
    <w:rsid w:val="006D5622"/>
    <w:rsid w:val="006D5710"/>
    <w:rsid w:val="006D59BA"/>
    <w:rsid w:val="006D62FF"/>
    <w:rsid w:val="006D697B"/>
    <w:rsid w:val="006D6FB3"/>
    <w:rsid w:val="006D7447"/>
    <w:rsid w:val="006D74E6"/>
    <w:rsid w:val="006D75DE"/>
    <w:rsid w:val="006E039A"/>
    <w:rsid w:val="006E075E"/>
    <w:rsid w:val="006E0D21"/>
    <w:rsid w:val="006E0F60"/>
    <w:rsid w:val="006E18CF"/>
    <w:rsid w:val="006E1C03"/>
    <w:rsid w:val="006E20B6"/>
    <w:rsid w:val="006E22D5"/>
    <w:rsid w:val="006E2C2C"/>
    <w:rsid w:val="006E3101"/>
    <w:rsid w:val="006E31E5"/>
    <w:rsid w:val="006E39C0"/>
    <w:rsid w:val="006E4BAF"/>
    <w:rsid w:val="006E4C6E"/>
    <w:rsid w:val="006E4C7B"/>
    <w:rsid w:val="006E4E31"/>
    <w:rsid w:val="006E4F41"/>
    <w:rsid w:val="006E52A0"/>
    <w:rsid w:val="006E5533"/>
    <w:rsid w:val="006E5577"/>
    <w:rsid w:val="006E59A5"/>
    <w:rsid w:val="006E5E27"/>
    <w:rsid w:val="006E5E32"/>
    <w:rsid w:val="006E616B"/>
    <w:rsid w:val="006E61EC"/>
    <w:rsid w:val="006E6336"/>
    <w:rsid w:val="006E654E"/>
    <w:rsid w:val="006E6ACB"/>
    <w:rsid w:val="006E7890"/>
    <w:rsid w:val="006E791C"/>
    <w:rsid w:val="006E7AB8"/>
    <w:rsid w:val="006E7B96"/>
    <w:rsid w:val="006F03A9"/>
    <w:rsid w:val="006F0801"/>
    <w:rsid w:val="006F1790"/>
    <w:rsid w:val="006F1869"/>
    <w:rsid w:val="006F1A42"/>
    <w:rsid w:val="006F1C5C"/>
    <w:rsid w:val="006F2279"/>
    <w:rsid w:val="006F2354"/>
    <w:rsid w:val="006F2559"/>
    <w:rsid w:val="006F31EA"/>
    <w:rsid w:val="006F352E"/>
    <w:rsid w:val="006F37C4"/>
    <w:rsid w:val="006F3915"/>
    <w:rsid w:val="006F3C95"/>
    <w:rsid w:val="006F42BA"/>
    <w:rsid w:val="006F48C9"/>
    <w:rsid w:val="006F4C31"/>
    <w:rsid w:val="006F52AC"/>
    <w:rsid w:val="006F5471"/>
    <w:rsid w:val="006F5616"/>
    <w:rsid w:val="006F572A"/>
    <w:rsid w:val="006F71DB"/>
    <w:rsid w:val="006F74C9"/>
    <w:rsid w:val="006F7864"/>
    <w:rsid w:val="006F7A56"/>
    <w:rsid w:val="006F7A78"/>
    <w:rsid w:val="006F7BDA"/>
    <w:rsid w:val="006F7CFF"/>
    <w:rsid w:val="006F7EF0"/>
    <w:rsid w:val="006F7F93"/>
    <w:rsid w:val="00700135"/>
    <w:rsid w:val="0070069B"/>
    <w:rsid w:val="007007C2"/>
    <w:rsid w:val="00700939"/>
    <w:rsid w:val="00700943"/>
    <w:rsid w:val="00700E7B"/>
    <w:rsid w:val="00700FD1"/>
    <w:rsid w:val="00701102"/>
    <w:rsid w:val="007014DC"/>
    <w:rsid w:val="00701B90"/>
    <w:rsid w:val="00701ED8"/>
    <w:rsid w:val="00702360"/>
    <w:rsid w:val="00702567"/>
    <w:rsid w:val="007028C6"/>
    <w:rsid w:val="00703B3F"/>
    <w:rsid w:val="00703BBB"/>
    <w:rsid w:val="00704095"/>
    <w:rsid w:val="0070463B"/>
    <w:rsid w:val="00705029"/>
    <w:rsid w:val="007051B1"/>
    <w:rsid w:val="00705517"/>
    <w:rsid w:val="00705609"/>
    <w:rsid w:val="00705F2C"/>
    <w:rsid w:val="00706253"/>
    <w:rsid w:val="0070666C"/>
    <w:rsid w:val="00706880"/>
    <w:rsid w:val="00706943"/>
    <w:rsid w:val="00706B07"/>
    <w:rsid w:val="00706B6D"/>
    <w:rsid w:val="00706D96"/>
    <w:rsid w:val="00706E9D"/>
    <w:rsid w:val="00707168"/>
    <w:rsid w:val="007079DF"/>
    <w:rsid w:val="0071022D"/>
    <w:rsid w:val="00710B51"/>
    <w:rsid w:val="00710BAA"/>
    <w:rsid w:val="00710E0C"/>
    <w:rsid w:val="00710F21"/>
    <w:rsid w:val="00710F31"/>
    <w:rsid w:val="0071116D"/>
    <w:rsid w:val="00711631"/>
    <w:rsid w:val="007117A8"/>
    <w:rsid w:val="007118D5"/>
    <w:rsid w:val="007119F2"/>
    <w:rsid w:val="00711AB5"/>
    <w:rsid w:val="007125B2"/>
    <w:rsid w:val="0071294B"/>
    <w:rsid w:val="00712E97"/>
    <w:rsid w:val="00712EB7"/>
    <w:rsid w:val="0071334D"/>
    <w:rsid w:val="00713863"/>
    <w:rsid w:val="00713C19"/>
    <w:rsid w:val="00714397"/>
    <w:rsid w:val="007144D2"/>
    <w:rsid w:val="0071460D"/>
    <w:rsid w:val="007153B9"/>
    <w:rsid w:val="00715428"/>
    <w:rsid w:val="007159B5"/>
    <w:rsid w:val="00715DAE"/>
    <w:rsid w:val="007162D7"/>
    <w:rsid w:val="00716657"/>
    <w:rsid w:val="00716DFD"/>
    <w:rsid w:val="00717249"/>
    <w:rsid w:val="00717D00"/>
    <w:rsid w:val="00720212"/>
    <w:rsid w:val="007202C9"/>
    <w:rsid w:val="00720468"/>
    <w:rsid w:val="007209E9"/>
    <w:rsid w:val="00721032"/>
    <w:rsid w:val="007219EE"/>
    <w:rsid w:val="00721A01"/>
    <w:rsid w:val="00721AA7"/>
    <w:rsid w:val="00721AB6"/>
    <w:rsid w:val="00721B68"/>
    <w:rsid w:val="00722000"/>
    <w:rsid w:val="007222CF"/>
    <w:rsid w:val="007223E1"/>
    <w:rsid w:val="00722949"/>
    <w:rsid w:val="0072295B"/>
    <w:rsid w:val="00723B10"/>
    <w:rsid w:val="00723B58"/>
    <w:rsid w:val="0072475F"/>
    <w:rsid w:val="00725103"/>
    <w:rsid w:val="00725B3D"/>
    <w:rsid w:val="00725F41"/>
    <w:rsid w:val="00725F90"/>
    <w:rsid w:val="00726231"/>
    <w:rsid w:val="00726300"/>
    <w:rsid w:val="00726311"/>
    <w:rsid w:val="00726850"/>
    <w:rsid w:val="00726C7C"/>
    <w:rsid w:val="00726D52"/>
    <w:rsid w:val="00726DD4"/>
    <w:rsid w:val="00726ECE"/>
    <w:rsid w:val="0072711E"/>
    <w:rsid w:val="0072782E"/>
    <w:rsid w:val="00727D82"/>
    <w:rsid w:val="00727FE0"/>
    <w:rsid w:val="00730797"/>
    <w:rsid w:val="00730A82"/>
    <w:rsid w:val="007313DA"/>
    <w:rsid w:val="007315CF"/>
    <w:rsid w:val="00731C9A"/>
    <w:rsid w:val="00732261"/>
    <w:rsid w:val="0073290B"/>
    <w:rsid w:val="00732ACF"/>
    <w:rsid w:val="00732D71"/>
    <w:rsid w:val="00733858"/>
    <w:rsid w:val="00733896"/>
    <w:rsid w:val="00733B0D"/>
    <w:rsid w:val="00733B27"/>
    <w:rsid w:val="00733C15"/>
    <w:rsid w:val="00733D12"/>
    <w:rsid w:val="007346BC"/>
    <w:rsid w:val="00734732"/>
    <w:rsid w:val="00735362"/>
    <w:rsid w:val="00735411"/>
    <w:rsid w:val="0073541C"/>
    <w:rsid w:val="0073596F"/>
    <w:rsid w:val="00735AB9"/>
    <w:rsid w:val="007362CD"/>
    <w:rsid w:val="007369D9"/>
    <w:rsid w:val="007371F5"/>
    <w:rsid w:val="00737610"/>
    <w:rsid w:val="00737AFC"/>
    <w:rsid w:val="00737FE2"/>
    <w:rsid w:val="007404A8"/>
    <w:rsid w:val="00740562"/>
    <w:rsid w:val="00740655"/>
    <w:rsid w:val="00740EE6"/>
    <w:rsid w:val="0074110B"/>
    <w:rsid w:val="00741206"/>
    <w:rsid w:val="007412F4"/>
    <w:rsid w:val="00741671"/>
    <w:rsid w:val="00741823"/>
    <w:rsid w:val="00741928"/>
    <w:rsid w:val="007419CE"/>
    <w:rsid w:val="00742091"/>
    <w:rsid w:val="00742259"/>
    <w:rsid w:val="0074225A"/>
    <w:rsid w:val="00742372"/>
    <w:rsid w:val="007426A9"/>
    <w:rsid w:val="00742AFE"/>
    <w:rsid w:val="00742B8B"/>
    <w:rsid w:val="00742D26"/>
    <w:rsid w:val="00742DB2"/>
    <w:rsid w:val="007430D4"/>
    <w:rsid w:val="007436AF"/>
    <w:rsid w:val="00743835"/>
    <w:rsid w:val="007438A6"/>
    <w:rsid w:val="007439C6"/>
    <w:rsid w:val="007440C8"/>
    <w:rsid w:val="0074427B"/>
    <w:rsid w:val="007444DB"/>
    <w:rsid w:val="0074453B"/>
    <w:rsid w:val="00744AF7"/>
    <w:rsid w:val="00744E12"/>
    <w:rsid w:val="007451F1"/>
    <w:rsid w:val="00745759"/>
    <w:rsid w:val="007459A9"/>
    <w:rsid w:val="00745A20"/>
    <w:rsid w:val="00745A79"/>
    <w:rsid w:val="00745C58"/>
    <w:rsid w:val="007460D4"/>
    <w:rsid w:val="007460DC"/>
    <w:rsid w:val="00746359"/>
    <w:rsid w:val="00746382"/>
    <w:rsid w:val="0074711D"/>
    <w:rsid w:val="00747556"/>
    <w:rsid w:val="007475E3"/>
    <w:rsid w:val="007475E8"/>
    <w:rsid w:val="00747A0A"/>
    <w:rsid w:val="00747D29"/>
    <w:rsid w:val="00747F5C"/>
    <w:rsid w:val="00750022"/>
    <w:rsid w:val="007500E1"/>
    <w:rsid w:val="00750301"/>
    <w:rsid w:val="0075037C"/>
    <w:rsid w:val="00750BAE"/>
    <w:rsid w:val="0075139B"/>
    <w:rsid w:val="00751C25"/>
    <w:rsid w:val="00751DB6"/>
    <w:rsid w:val="00751F7B"/>
    <w:rsid w:val="0075208D"/>
    <w:rsid w:val="0075231B"/>
    <w:rsid w:val="00752D95"/>
    <w:rsid w:val="00752E5C"/>
    <w:rsid w:val="00752F15"/>
    <w:rsid w:val="00753507"/>
    <w:rsid w:val="00753AE3"/>
    <w:rsid w:val="00753B36"/>
    <w:rsid w:val="00753FCB"/>
    <w:rsid w:val="007540A5"/>
    <w:rsid w:val="007542B9"/>
    <w:rsid w:val="00754504"/>
    <w:rsid w:val="007546A5"/>
    <w:rsid w:val="00754A72"/>
    <w:rsid w:val="00754FB2"/>
    <w:rsid w:val="00755BFC"/>
    <w:rsid w:val="00755C84"/>
    <w:rsid w:val="00755E7C"/>
    <w:rsid w:val="00756D8F"/>
    <w:rsid w:val="00757335"/>
    <w:rsid w:val="00757623"/>
    <w:rsid w:val="007578D7"/>
    <w:rsid w:val="00757D4E"/>
    <w:rsid w:val="0076042B"/>
    <w:rsid w:val="00760C07"/>
    <w:rsid w:val="00760D27"/>
    <w:rsid w:val="00760D8A"/>
    <w:rsid w:val="0076102B"/>
    <w:rsid w:val="007610D5"/>
    <w:rsid w:val="00761589"/>
    <w:rsid w:val="00761637"/>
    <w:rsid w:val="00761808"/>
    <w:rsid w:val="00761938"/>
    <w:rsid w:val="007625EA"/>
    <w:rsid w:val="007627A5"/>
    <w:rsid w:val="007627BE"/>
    <w:rsid w:val="00762B04"/>
    <w:rsid w:val="00763A32"/>
    <w:rsid w:val="007644EA"/>
    <w:rsid w:val="00764A32"/>
    <w:rsid w:val="0076564E"/>
    <w:rsid w:val="00765B7B"/>
    <w:rsid w:val="00765BA5"/>
    <w:rsid w:val="00765CAA"/>
    <w:rsid w:val="00766442"/>
    <w:rsid w:val="007665AF"/>
    <w:rsid w:val="00766812"/>
    <w:rsid w:val="00766A39"/>
    <w:rsid w:val="00766B02"/>
    <w:rsid w:val="00766D3F"/>
    <w:rsid w:val="007676F5"/>
    <w:rsid w:val="00767E36"/>
    <w:rsid w:val="00770508"/>
    <w:rsid w:val="007706AC"/>
    <w:rsid w:val="007711F3"/>
    <w:rsid w:val="0077127A"/>
    <w:rsid w:val="00771C4B"/>
    <w:rsid w:val="00772049"/>
    <w:rsid w:val="00772A3C"/>
    <w:rsid w:val="00772C2C"/>
    <w:rsid w:val="00772C42"/>
    <w:rsid w:val="00772CC3"/>
    <w:rsid w:val="007730FD"/>
    <w:rsid w:val="007734D9"/>
    <w:rsid w:val="0077376A"/>
    <w:rsid w:val="00773854"/>
    <w:rsid w:val="00774540"/>
    <w:rsid w:val="007745BA"/>
    <w:rsid w:val="007748D3"/>
    <w:rsid w:val="00774BB3"/>
    <w:rsid w:val="007754ED"/>
    <w:rsid w:val="007756CC"/>
    <w:rsid w:val="007756D7"/>
    <w:rsid w:val="00775A43"/>
    <w:rsid w:val="00775F00"/>
    <w:rsid w:val="00776229"/>
    <w:rsid w:val="00776348"/>
    <w:rsid w:val="0077645B"/>
    <w:rsid w:val="00776515"/>
    <w:rsid w:val="00776F83"/>
    <w:rsid w:val="00777329"/>
    <w:rsid w:val="00777DD5"/>
    <w:rsid w:val="007805E4"/>
    <w:rsid w:val="00780C8C"/>
    <w:rsid w:val="00780D69"/>
    <w:rsid w:val="0078161B"/>
    <w:rsid w:val="007817AF"/>
    <w:rsid w:val="00781D14"/>
    <w:rsid w:val="00781FBA"/>
    <w:rsid w:val="00782333"/>
    <w:rsid w:val="0078246A"/>
    <w:rsid w:val="007827CF"/>
    <w:rsid w:val="00782CD6"/>
    <w:rsid w:val="00782E15"/>
    <w:rsid w:val="0078347A"/>
    <w:rsid w:val="00783D56"/>
    <w:rsid w:val="0078427B"/>
    <w:rsid w:val="00784726"/>
    <w:rsid w:val="00784B6B"/>
    <w:rsid w:val="007850B3"/>
    <w:rsid w:val="00785607"/>
    <w:rsid w:val="00785D5D"/>
    <w:rsid w:val="00786601"/>
    <w:rsid w:val="007868DD"/>
    <w:rsid w:val="00786920"/>
    <w:rsid w:val="007869D8"/>
    <w:rsid w:val="00786D53"/>
    <w:rsid w:val="00786F0D"/>
    <w:rsid w:val="00787198"/>
    <w:rsid w:val="00787E74"/>
    <w:rsid w:val="00790ADA"/>
    <w:rsid w:val="0079104A"/>
    <w:rsid w:val="00791158"/>
    <w:rsid w:val="00791559"/>
    <w:rsid w:val="00791870"/>
    <w:rsid w:val="00791A27"/>
    <w:rsid w:val="00792029"/>
    <w:rsid w:val="007924BA"/>
    <w:rsid w:val="00792885"/>
    <w:rsid w:val="00792D13"/>
    <w:rsid w:val="007932FC"/>
    <w:rsid w:val="00793383"/>
    <w:rsid w:val="0079372F"/>
    <w:rsid w:val="00793FDB"/>
    <w:rsid w:val="00794066"/>
    <w:rsid w:val="007940BE"/>
    <w:rsid w:val="007943CA"/>
    <w:rsid w:val="00794E6F"/>
    <w:rsid w:val="007952DB"/>
    <w:rsid w:val="00795345"/>
    <w:rsid w:val="00795681"/>
    <w:rsid w:val="00795BC8"/>
    <w:rsid w:val="00795E1B"/>
    <w:rsid w:val="0079639A"/>
    <w:rsid w:val="007965D1"/>
    <w:rsid w:val="00796746"/>
    <w:rsid w:val="00796768"/>
    <w:rsid w:val="00796922"/>
    <w:rsid w:val="00796D59"/>
    <w:rsid w:val="007971DA"/>
    <w:rsid w:val="00797566"/>
    <w:rsid w:val="00797A5F"/>
    <w:rsid w:val="00797CF2"/>
    <w:rsid w:val="00797DCA"/>
    <w:rsid w:val="00797E2A"/>
    <w:rsid w:val="007A002C"/>
    <w:rsid w:val="007A02D9"/>
    <w:rsid w:val="007A058C"/>
    <w:rsid w:val="007A0A62"/>
    <w:rsid w:val="007A0DC1"/>
    <w:rsid w:val="007A1002"/>
    <w:rsid w:val="007A10B0"/>
    <w:rsid w:val="007A16E4"/>
    <w:rsid w:val="007A1A1F"/>
    <w:rsid w:val="007A1AC1"/>
    <w:rsid w:val="007A2190"/>
    <w:rsid w:val="007A2314"/>
    <w:rsid w:val="007A2599"/>
    <w:rsid w:val="007A2D03"/>
    <w:rsid w:val="007A2DB6"/>
    <w:rsid w:val="007A327D"/>
    <w:rsid w:val="007A35CF"/>
    <w:rsid w:val="007A3633"/>
    <w:rsid w:val="007A37C5"/>
    <w:rsid w:val="007A3C55"/>
    <w:rsid w:val="007A46D3"/>
    <w:rsid w:val="007A4F3F"/>
    <w:rsid w:val="007A5487"/>
    <w:rsid w:val="007A5697"/>
    <w:rsid w:val="007A5AE6"/>
    <w:rsid w:val="007A5E2B"/>
    <w:rsid w:val="007A6018"/>
    <w:rsid w:val="007A66CA"/>
    <w:rsid w:val="007A73C8"/>
    <w:rsid w:val="007A7EF0"/>
    <w:rsid w:val="007B0281"/>
    <w:rsid w:val="007B081F"/>
    <w:rsid w:val="007B0BC2"/>
    <w:rsid w:val="007B0E5B"/>
    <w:rsid w:val="007B11F9"/>
    <w:rsid w:val="007B13F0"/>
    <w:rsid w:val="007B1AD7"/>
    <w:rsid w:val="007B2792"/>
    <w:rsid w:val="007B2ADB"/>
    <w:rsid w:val="007B2C1E"/>
    <w:rsid w:val="007B4266"/>
    <w:rsid w:val="007B49C5"/>
    <w:rsid w:val="007B4C90"/>
    <w:rsid w:val="007B4DFE"/>
    <w:rsid w:val="007B4EA7"/>
    <w:rsid w:val="007B5127"/>
    <w:rsid w:val="007B514A"/>
    <w:rsid w:val="007B55DB"/>
    <w:rsid w:val="007B5730"/>
    <w:rsid w:val="007B5A9E"/>
    <w:rsid w:val="007B5D81"/>
    <w:rsid w:val="007B6047"/>
    <w:rsid w:val="007B6714"/>
    <w:rsid w:val="007B6DDF"/>
    <w:rsid w:val="007B6E0E"/>
    <w:rsid w:val="007B6EB3"/>
    <w:rsid w:val="007B75D1"/>
    <w:rsid w:val="007B763D"/>
    <w:rsid w:val="007C07B0"/>
    <w:rsid w:val="007C084B"/>
    <w:rsid w:val="007C0C93"/>
    <w:rsid w:val="007C0DAC"/>
    <w:rsid w:val="007C0E06"/>
    <w:rsid w:val="007C1058"/>
    <w:rsid w:val="007C10C6"/>
    <w:rsid w:val="007C1574"/>
    <w:rsid w:val="007C1850"/>
    <w:rsid w:val="007C1BEE"/>
    <w:rsid w:val="007C2151"/>
    <w:rsid w:val="007C266F"/>
    <w:rsid w:val="007C2D16"/>
    <w:rsid w:val="007C302F"/>
    <w:rsid w:val="007C3966"/>
    <w:rsid w:val="007C3E55"/>
    <w:rsid w:val="007C3F86"/>
    <w:rsid w:val="007C477B"/>
    <w:rsid w:val="007C4F60"/>
    <w:rsid w:val="007C5290"/>
    <w:rsid w:val="007C5E49"/>
    <w:rsid w:val="007C6116"/>
    <w:rsid w:val="007C6986"/>
    <w:rsid w:val="007C6DD5"/>
    <w:rsid w:val="007C752B"/>
    <w:rsid w:val="007C7A50"/>
    <w:rsid w:val="007C7B3E"/>
    <w:rsid w:val="007C7F6A"/>
    <w:rsid w:val="007C7F98"/>
    <w:rsid w:val="007D0267"/>
    <w:rsid w:val="007D02B2"/>
    <w:rsid w:val="007D04A7"/>
    <w:rsid w:val="007D0C27"/>
    <w:rsid w:val="007D141D"/>
    <w:rsid w:val="007D18DA"/>
    <w:rsid w:val="007D1A39"/>
    <w:rsid w:val="007D2187"/>
    <w:rsid w:val="007D2374"/>
    <w:rsid w:val="007D3017"/>
    <w:rsid w:val="007D34CB"/>
    <w:rsid w:val="007D374F"/>
    <w:rsid w:val="007D37B0"/>
    <w:rsid w:val="007D3EFA"/>
    <w:rsid w:val="007D42A7"/>
    <w:rsid w:val="007D511C"/>
    <w:rsid w:val="007D5306"/>
    <w:rsid w:val="007D5629"/>
    <w:rsid w:val="007D5BF7"/>
    <w:rsid w:val="007D5FD6"/>
    <w:rsid w:val="007D62DE"/>
    <w:rsid w:val="007D690A"/>
    <w:rsid w:val="007D6AE3"/>
    <w:rsid w:val="007D700F"/>
    <w:rsid w:val="007D719B"/>
    <w:rsid w:val="007D7A85"/>
    <w:rsid w:val="007E03BC"/>
    <w:rsid w:val="007E0CD2"/>
    <w:rsid w:val="007E1179"/>
    <w:rsid w:val="007E1609"/>
    <w:rsid w:val="007E18F1"/>
    <w:rsid w:val="007E1B6F"/>
    <w:rsid w:val="007E24C8"/>
    <w:rsid w:val="007E2A17"/>
    <w:rsid w:val="007E2AD8"/>
    <w:rsid w:val="007E312D"/>
    <w:rsid w:val="007E35E4"/>
    <w:rsid w:val="007E37DE"/>
    <w:rsid w:val="007E3991"/>
    <w:rsid w:val="007E3ADF"/>
    <w:rsid w:val="007E3F4E"/>
    <w:rsid w:val="007E422E"/>
    <w:rsid w:val="007E47A4"/>
    <w:rsid w:val="007E4914"/>
    <w:rsid w:val="007E4936"/>
    <w:rsid w:val="007E49F7"/>
    <w:rsid w:val="007E4A9F"/>
    <w:rsid w:val="007E4AD2"/>
    <w:rsid w:val="007E4AE1"/>
    <w:rsid w:val="007E5103"/>
    <w:rsid w:val="007E586A"/>
    <w:rsid w:val="007E5D5A"/>
    <w:rsid w:val="007E5E15"/>
    <w:rsid w:val="007E626E"/>
    <w:rsid w:val="007E670C"/>
    <w:rsid w:val="007E6AF2"/>
    <w:rsid w:val="007E77AA"/>
    <w:rsid w:val="007E7B1A"/>
    <w:rsid w:val="007F0190"/>
    <w:rsid w:val="007F1BEE"/>
    <w:rsid w:val="007F222C"/>
    <w:rsid w:val="007F234D"/>
    <w:rsid w:val="007F2F1E"/>
    <w:rsid w:val="007F36E9"/>
    <w:rsid w:val="007F3C29"/>
    <w:rsid w:val="007F3FF0"/>
    <w:rsid w:val="007F4A00"/>
    <w:rsid w:val="007F59AC"/>
    <w:rsid w:val="007F5F54"/>
    <w:rsid w:val="007F6808"/>
    <w:rsid w:val="007F69CB"/>
    <w:rsid w:val="007F6B2E"/>
    <w:rsid w:val="007F7512"/>
    <w:rsid w:val="007F7575"/>
    <w:rsid w:val="007F7876"/>
    <w:rsid w:val="00800139"/>
    <w:rsid w:val="00800801"/>
    <w:rsid w:val="00800ADD"/>
    <w:rsid w:val="00801480"/>
    <w:rsid w:val="00801B37"/>
    <w:rsid w:val="00802073"/>
    <w:rsid w:val="00802691"/>
    <w:rsid w:val="00802D13"/>
    <w:rsid w:val="00802DCC"/>
    <w:rsid w:val="008030F2"/>
    <w:rsid w:val="00803221"/>
    <w:rsid w:val="0080328A"/>
    <w:rsid w:val="008033ED"/>
    <w:rsid w:val="008034E3"/>
    <w:rsid w:val="0080361B"/>
    <w:rsid w:val="00803CDA"/>
    <w:rsid w:val="00805469"/>
    <w:rsid w:val="00805620"/>
    <w:rsid w:val="008056D4"/>
    <w:rsid w:val="00805959"/>
    <w:rsid w:val="008059C4"/>
    <w:rsid w:val="0080617C"/>
    <w:rsid w:val="0080709A"/>
    <w:rsid w:val="0080742E"/>
    <w:rsid w:val="0080753A"/>
    <w:rsid w:val="00807836"/>
    <w:rsid w:val="00807FFC"/>
    <w:rsid w:val="0081021D"/>
    <w:rsid w:val="00810574"/>
    <w:rsid w:val="00810B8F"/>
    <w:rsid w:val="00811263"/>
    <w:rsid w:val="008115B8"/>
    <w:rsid w:val="008116D2"/>
    <w:rsid w:val="00811BF7"/>
    <w:rsid w:val="00811D3E"/>
    <w:rsid w:val="00811E57"/>
    <w:rsid w:val="00811E5E"/>
    <w:rsid w:val="008121B3"/>
    <w:rsid w:val="0081227B"/>
    <w:rsid w:val="00812683"/>
    <w:rsid w:val="008127A6"/>
    <w:rsid w:val="00812F9B"/>
    <w:rsid w:val="0081345D"/>
    <w:rsid w:val="0081416C"/>
    <w:rsid w:val="008141CA"/>
    <w:rsid w:val="00814A5B"/>
    <w:rsid w:val="00814DE1"/>
    <w:rsid w:val="00815450"/>
    <w:rsid w:val="008156A5"/>
    <w:rsid w:val="008160BD"/>
    <w:rsid w:val="008163FB"/>
    <w:rsid w:val="0081648B"/>
    <w:rsid w:val="00816995"/>
    <w:rsid w:val="00816AF5"/>
    <w:rsid w:val="00816D65"/>
    <w:rsid w:val="00816E4E"/>
    <w:rsid w:val="00816E56"/>
    <w:rsid w:val="00817136"/>
    <w:rsid w:val="008171F2"/>
    <w:rsid w:val="00817328"/>
    <w:rsid w:val="00817439"/>
    <w:rsid w:val="00817548"/>
    <w:rsid w:val="0081791B"/>
    <w:rsid w:val="00817E6F"/>
    <w:rsid w:val="0082001F"/>
    <w:rsid w:val="008200BC"/>
    <w:rsid w:val="00820469"/>
    <w:rsid w:val="0082050F"/>
    <w:rsid w:val="00820630"/>
    <w:rsid w:val="00820B37"/>
    <w:rsid w:val="00821122"/>
    <w:rsid w:val="008214BB"/>
    <w:rsid w:val="008216D0"/>
    <w:rsid w:val="00821959"/>
    <w:rsid w:val="00821AD1"/>
    <w:rsid w:val="00821B8E"/>
    <w:rsid w:val="00821F1E"/>
    <w:rsid w:val="008221BB"/>
    <w:rsid w:val="008223C8"/>
    <w:rsid w:val="0082268A"/>
    <w:rsid w:val="0082271C"/>
    <w:rsid w:val="008228E4"/>
    <w:rsid w:val="00822B0A"/>
    <w:rsid w:val="008230F7"/>
    <w:rsid w:val="008233A1"/>
    <w:rsid w:val="00824749"/>
    <w:rsid w:val="008247C4"/>
    <w:rsid w:val="00824F8D"/>
    <w:rsid w:val="00825C04"/>
    <w:rsid w:val="0082608C"/>
    <w:rsid w:val="008261D4"/>
    <w:rsid w:val="0082632C"/>
    <w:rsid w:val="00826420"/>
    <w:rsid w:val="0082692E"/>
    <w:rsid w:val="00826A73"/>
    <w:rsid w:val="00827543"/>
    <w:rsid w:val="00827BFB"/>
    <w:rsid w:val="008300EC"/>
    <w:rsid w:val="008305BC"/>
    <w:rsid w:val="008308B7"/>
    <w:rsid w:val="008308C4"/>
    <w:rsid w:val="00830B70"/>
    <w:rsid w:val="00831094"/>
    <w:rsid w:val="008311F4"/>
    <w:rsid w:val="00831314"/>
    <w:rsid w:val="008321F2"/>
    <w:rsid w:val="00832623"/>
    <w:rsid w:val="00832B84"/>
    <w:rsid w:val="00832F40"/>
    <w:rsid w:val="00833515"/>
    <w:rsid w:val="008335C5"/>
    <w:rsid w:val="00833B25"/>
    <w:rsid w:val="00833BCC"/>
    <w:rsid w:val="00834285"/>
    <w:rsid w:val="00834844"/>
    <w:rsid w:val="00834C0F"/>
    <w:rsid w:val="008352F2"/>
    <w:rsid w:val="0083531C"/>
    <w:rsid w:val="00835952"/>
    <w:rsid w:val="00835982"/>
    <w:rsid w:val="00835E3D"/>
    <w:rsid w:val="00835FF4"/>
    <w:rsid w:val="0083634F"/>
    <w:rsid w:val="00836461"/>
    <w:rsid w:val="008364CC"/>
    <w:rsid w:val="008366CC"/>
    <w:rsid w:val="00836C9F"/>
    <w:rsid w:val="008373D4"/>
    <w:rsid w:val="00837A0E"/>
    <w:rsid w:val="00837DDD"/>
    <w:rsid w:val="0084017B"/>
    <w:rsid w:val="00840226"/>
    <w:rsid w:val="008402AE"/>
    <w:rsid w:val="008404FA"/>
    <w:rsid w:val="00840972"/>
    <w:rsid w:val="0084099E"/>
    <w:rsid w:val="00840B45"/>
    <w:rsid w:val="00840F52"/>
    <w:rsid w:val="0084162A"/>
    <w:rsid w:val="00841BAA"/>
    <w:rsid w:val="00842DC3"/>
    <w:rsid w:val="008432D3"/>
    <w:rsid w:val="0084353D"/>
    <w:rsid w:val="008438FB"/>
    <w:rsid w:val="008441A3"/>
    <w:rsid w:val="00844C9E"/>
    <w:rsid w:val="0084561F"/>
    <w:rsid w:val="0084572D"/>
    <w:rsid w:val="00845B31"/>
    <w:rsid w:val="00845C91"/>
    <w:rsid w:val="00845DB8"/>
    <w:rsid w:val="00846258"/>
    <w:rsid w:val="0084639D"/>
    <w:rsid w:val="008467DF"/>
    <w:rsid w:val="00846C8D"/>
    <w:rsid w:val="0084711F"/>
    <w:rsid w:val="00847277"/>
    <w:rsid w:val="008479ED"/>
    <w:rsid w:val="00847B17"/>
    <w:rsid w:val="00847B3A"/>
    <w:rsid w:val="00847CEF"/>
    <w:rsid w:val="00850317"/>
    <w:rsid w:val="00850367"/>
    <w:rsid w:val="008507E7"/>
    <w:rsid w:val="008508C9"/>
    <w:rsid w:val="00850BD2"/>
    <w:rsid w:val="00850BFD"/>
    <w:rsid w:val="00851928"/>
    <w:rsid w:val="00851D4F"/>
    <w:rsid w:val="00851F4A"/>
    <w:rsid w:val="00852B38"/>
    <w:rsid w:val="00852FA9"/>
    <w:rsid w:val="0085333A"/>
    <w:rsid w:val="00853595"/>
    <w:rsid w:val="0085383A"/>
    <w:rsid w:val="00853AC8"/>
    <w:rsid w:val="00853D71"/>
    <w:rsid w:val="0085441A"/>
    <w:rsid w:val="008545AD"/>
    <w:rsid w:val="00854C10"/>
    <w:rsid w:val="008554C3"/>
    <w:rsid w:val="00855649"/>
    <w:rsid w:val="00855B29"/>
    <w:rsid w:val="00855CB7"/>
    <w:rsid w:val="00856964"/>
    <w:rsid w:val="00856F8C"/>
    <w:rsid w:val="00857483"/>
    <w:rsid w:val="008577E2"/>
    <w:rsid w:val="00857924"/>
    <w:rsid w:val="00857BC8"/>
    <w:rsid w:val="00860038"/>
    <w:rsid w:val="008601B5"/>
    <w:rsid w:val="00860257"/>
    <w:rsid w:val="00860451"/>
    <w:rsid w:val="008604AB"/>
    <w:rsid w:val="008605CC"/>
    <w:rsid w:val="008605D2"/>
    <w:rsid w:val="00861011"/>
    <w:rsid w:val="008611BD"/>
    <w:rsid w:val="008614BE"/>
    <w:rsid w:val="008617DA"/>
    <w:rsid w:val="00861D81"/>
    <w:rsid w:val="00861F87"/>
    <w:rsid w:val="008623B5"/>
    <w:rsid w:val="0086243D"/>
    <w:rsid w:val="008627AB"/>
    <w:rsid w:val="00862ACE"/>
    <w:rsid w:val="00862DFA"/>
    <w:rsid w:val="0086398D"/>
    <w:rsid w:val="00863B53"/>
    <w:rsid w:val="008640FD"/>
    <w:rsid w:val="008643B5"/>
    <w:rsid w:val="00864C15"/>
    <w:rsid w:val="0086521A"/>
    <w:rsid w:val="00865336"/>
    <w:rsid w:val="008654FE"/>
    <w:rsid w:val="00865559"/>
    <w:rsid w:val="00865B8F"/>
    <w:rsid w:val="00865D09"/>
    <w:rsid w:val="00865E17"/>
    <w:rsid w:val="0086678F"/>
    <w:rsid w:val="008667E3"/>
    <w:rsid w:val="00866C78"/>
    <w:rsid w:val="00867FF2"/>
    <w:rsid w:val="0087007D"/>
    <w:rsid w:val="008701ED"/>
    <w:rsid w:val="00870380"/>
    <w:rsid w:val="00870398"/>
    <w:rsid w:val="008705E6"/>
    <w:rsid w:val="00870A04"/>
    <w:rsid w:val="0087153C"/>
    <w:rsid w:val="008716DE"/>
    <w:rsid w:val="0087185D"/>
    <w:rsid w:val="00871AB2"/>
    <w:rsid w:val="00871AC2"/>
    <w:rsid w:val="00871D93"/>
    <w:rsid w:val="0087230C"/>
    <w:rsid w:val="008724FC"/>
    <w:rsid w:val="00872832"/>
    <w:rsid w:val="0087292A"/>
    <w:rsid w:val="00872B8E"/>
    <w:rsid w:val="00873CAC"/>
    <w:rsid w:val="00873EF5"/>
    <w:rsid w:val="008744F0"/>
    <w:rsid w:val="0087490E"/>
    <w:rsid w:val="00874A46"/>
    <w:rsid w:val="00874D46"/>
    <w:rsid w:val="00875590"/>
    <w:rsid w:val="008759BE"/>
    <w:rsid w:val="00875E1F"/>
    <w:rsid w:val="00875EDE"/>
    <w:rsid w:val="008763EC"/>
    <w:rsid w:val="00876550"/>
    <w:rsid w:val="008766FF"/>
    <w:rsid w:val="008767DB"/>
    <w:rsid w:val="00876801"/>
    <w:rsid w:val="00876C5A"/>
    <w:rsid w:val="00876E30"/>
    <w:rsid w:val="00876FEF"/>
    <w:rsid w:val="00877A7F"/>
    <w:rsid w:val="00877B5A"/>
    <w:rsid w:val="00877D10"/>
    <w:rsid w:val="00877DA5"/>
    <w:rsid w:val="00877F8B"/>
    <w:rsid w:val="00880F2C"/>
    <w:rsid w:val="00881138"/>
    <w:rsid w:val="008818FC"/>
    <w:rsid w:val="00882639"/>
    <w:rsid w:val="008828FA"/>
    <w:rsid w:val="008829C1"/>
    <w:rsid w:val="00882AB6"/>
    <w:rsid w:val="00882C42"/>
    <w:rsid w:val="00883302"/>
    <w:rsid w:val="0088343E"/>
    <w:rsid w:val="008837BF"/>
    <w:rsid w:val="00883DCB"/>
    <w:rsid w:val="008846BC"/>
    <w:rsid w:val="008846BD"/>
    <w:rsid w:val="00884951"/>
    <w:rsid w:val="00885A90"/>
    <w:rsid w:val="0088603E"/>
    <w:rsid w:val="008861A7"/>
    <w:rsid w:val="008861C6"/>
    <w:rsid w:val="0088656E"/>
    <w:rsid w:val="008867F2"/>
    <w:rsid w:val="00886A48"/>
    <w:rsid w:val="00886BDA"/>
    <w:rsid w:val="00886E3A"/>
    <w:rsid w:val="00886F2C"/>
    <w:rsid w:val="00886F54"/>
    <w:rsid w:val="00886FB4"/>
    <w:rsid w:val="0088733C"/>
    <w:rsid w:val="00887A35"/>
    <w:rsid w:val="00887A4B"/>
    <w:rsid w:val="00887FEB"/>
    <w:rsid w:val="0089115F"/>
    <w:rsid w:val="0089117A"/>
    <w:rsid w:val="008912B1"/>
    <w:rsid w:val="00891966"/>
    <w:rsid w:val="00891B10"/>
    <w:rsid w:val="00891F21"/>
    <w:rsid w:val="0089277E"/>
    <w:rsid w:val="00892942"/>
    <w:rsid w:val="008930BB"/>
    <w:rsid w:val="00893263"/>
    <w:rsid w:val="00893744"/>
    <w:rsid w:val="00893DA1"/>
    <w:rsid w:val="00894232"/>
    <w:rsid w:val="00894458"/>
    <w:rsid w:val="00894830"/>
    <w:rsid w:val="00894D21"/>
    <w:rsid w:val="00895DA1"/>
    <w:rsid w:val="00896E28"/>
    <w:rsid w:val="00897C84"/>
    <w:rsid w:val="00897CE3"/>
    <w:rsid w:val="00897F78"/>
    <w:rsid w:val="008A079C"/>
    <w:rsid w:val="008A1241"/>
    <w:rsid w:val="008A2679"/>
    <w:rsid w:val="008A2956"/>
    <w:rsid w:val="008A2D0C"/>
    <w:rsid w:val="008A2E69"/>
    <w:rsid w:val="008A3019"/>
    <w:rsid w:val="008A3261"/>
    <w:rsid w:val="008A3ACE"/>
    <w:rsid w:val="008A3F25"/>
    <w:rsid w:val="008A42DA"/>
    <w:rsid w:val="008A4701"/>
    <w:rsid w:val="008A5195"/>
    <w:rsid w:val="008A53E5"/>
    <w:rsid w:val="008A5D6C"/>
    <w:rsid w:val="008A641D"/>
    <w:rsid w:val="008A6ED8"/>
    <w:rsid w:val="008A7058"/>
    <w:rsid w:val="008A7661"/>
    <w:rsid w:val="008A7A19"/>
    <w:rsid w:val="008A7A5B"/>
    <w:rsid w:val="008A7B54"/>
    <w:rsid w:val="008B01F1"/>
    <w:rsid w:val="008B0601"/>
    <w:rsid w:val="008B07C0"/>
    <w:rsid w:val="008B09B9"/>
    <w:rsid w:val="008B0EC8"/>
    <w:rsid w:val="008B0EF6"/>
    <w:rsid w:val="008B1529"/>
    <w:rsid w:val="008B17C1"/>
    <w:rsid w:val="008B1868"/>
    <w:rsid w:val="008B2AD7"/>
    <w:rsid w:val="008B3487"/>
    <w:rsid w:val="008B3584"/>
    <w:rsid w:val="008B3C45"/>
    <w:rsid w:val="008B4154"/>
    <w:rsid w:val="008B423C"/>
    <w:rsid w:val="008B44A8"/>
    <w:rsid w:val="008B4C94"/>
    <w:rsid w:val="008B4D17"/>
    <w:rsid w:val="008B4E7B"/>
    <w:rsid w:val="008B56B4"/>
    <w:rsid w:val="008B5A80"/>
    <w:rsid w:val="008B5C3D"/>
    <w:rsid w:val="008B6A0B"/>
    <w:rsid w:val="008B752B"/>
    <w:rsid w:val="008B76ED"/>
    <w:rsid w:val="008B7CCA"/>
    <w:rsid w:val="008C00DB"/>
    <w:rsid w:val="008C08EF"/>
    <w:rsid w:val="008C0BC8"/>
    <w:rsid w:val="008C0CA4"/>
    <w:rsid w:val="008C11BF"/>
    <w:rsid w:val="008C12FF"/>
    <w:rsid w:val="008C13B3"/>
    <w:rsid w:val="008C1707"/>
    <w:rsid w:val="008C1A1F"/>
    <w:rsid w:val="008C1DDC"/>
    <w:rsid w:val="008C21D6"/>
    <w:rsid w:val="008C239F"/>
    <w:rsid w:val="008C2456"/>
    <w:rsid w:val="008C2A7E"/>
    <w:rsid w:val="008C2F54"/>
    <w:rsid w:val="008C35A0"/>
    <w:rsid w:val="008C3911"/>
    <w:rsid w:val="008C42DD"/>
    <w:rsid w:val="008C4400"/>
    <w:rsid w:val="008C5116"/>
    <w:rsid w:val="008C5903"/>
    <w:rsid w:val="008C5D31"/>
    <w:rsid w:val="008C65E7"/>
    <w:rsid w:val="008C70CE"/>
    <w:rsid w:val="008C75C8"/>
    <w:rsid w:val="008C75E4"/>
    <w:rsid w:val="008C7712"/>
    <w:rsid w:val="008C779D"/>
    <w:rsid w:val="008C79A0"/>
    <w:rsid w:val="008C7C36"/>
    <w:rsid w:val="008D063A"/>
    <w:rsid w:val="008D0778"/>
    <w:rsid w:val="008D0B56"/>
    <w:rsid w:val="008D0E8C"/>
    <w:rsid w:val="008D0FC2"/>
    <w:rsid w:val="008D19A1"/>
    <w:rsid w:val="008D1DC4"/>
    <w:rsid w:val="008D25B4"/>
    <w:rsid w:val="008D26C8"/>
    <w:rsid w:val="008D34A5"/>
    <w:rsid w:val="008D366E"/>
    <w:rsid w:val="008D3D82"/>
    <w:rsid w:val="008D4810"/>
    <w:rsid w:val="008D4DCA"/>
    <w:rsid w:val="008D4E25"/>
    <w:rsid w:val="008D553C"/>
    <w:rsid w:val="008D5911"/>
    <w:rsid w:val="008D5919"/>
    <w:rsid w:val="008D5934"/>
    <w:rsid w:val="008D6315"/>
    <w:rsid w:val="008D6F03"/>
    <w:rsid w:val="008D78A0"/>
    <w:rsid w:val="008D7B7A"/>
    <w:rsid w:val="008E05A3"/>
    <w:rsid w:val="008E0A1C"/>
    <w:rsid w:val="008E0C59"/>
    <w:rsid w:val="008E171C"/>
    <w:rsid w:val="008E1755"/>
    <w:rsid w:val="008E18E7"/>
    <w:rsid w:val="008E1EA4"/>
    <w:rsid w:val="008E25BD"/>
    <w:rsid w:val="008E2A0D"/>
    <w:rsid w:val="008E32B4"/>
    <w:rsid w:val="008E32D0"/>
    <w:rsid w:val="008E3515"/>
    <w:rsid w:val="008E36F0"/>
    <w:rsid w:val="008E376A"/>
    <w:rsid w:val="008E3ACD"/>
    <w:rsid w:val="008E425E"/>
    <w:rsid w:val="008E4556"/>
    <w:rsid w:val="008E45D0"/>
    <w:rsid w:val="008E48F0"/>
    <w:rsid w:val="008E501F"/>
    <w:rsid w:val="008E6A9B"/>
    <w:rsid w:val="008E6ACD"/>
    <w:rsid w:val="008E784C"/>
    <w:rsid w:val="008E798A"/>
    <w:rsid w:val="008E7AF6"/>
    <w:rsid w:val="008E7E5C"/>
    <w:rsid w:val="008F0189"/>
    <w:rsid w:val="008F0340"/>
    <w:rsid w:val="008F06C8"/>
    <w:rsid w:val="008F0E1B"/>
    <w:rsid w:val="008F0EA3"/>
    <w:rsid w:val="008F16B5"/>
    <w:rsid w:val="008F1870"/>
    <w:rsid w:val="008F1ED7"/>
    <w:rsid w:val="008F2879"/>
    <w:rsid w:val="008F29B2"/>
    <w:rsid w:val="008F2D44"/>
    <w:rsid w:val="008F34F3"/>
    <w:rsid w:val="008F3D45"/>
    <w:rsid w:val="008F42B3"/>
    <w:rsid w:val="008F4ABB"/>
    <w:rsid w:val="008F4B0F"/>
    <w:rsid w:val="008F4C61"/>
    <w:rsid w:val="008F4FE1"/>
    <w:rsid w:val="008F515C"/>
    <w:rsid w:val="008F53C9"/>
    <w:rsid w:val="008F57E9"/>
    <w:rsid w:val="008F5AAE"/>
    <w:rsid w:val="008F5CF9"/>
    <w:rsid w:val="008F6118"/>
    <w:rsid w:val="008F61D0"/>
    <w:rsid w:val="008F666E"/>
    <w:rsid w:val="008F6693"/>
    <w:rsid w:val="008F6744"/>
    <w:rsid w:val="008F6750"/>
    <w:rsid w:val="008F6A9D"/>
    <w:rsid w:val="008F6F2F"/>
    <w:rsid w:val="008F71E0"/>
    <w:rsid w:val="008F79BC"/>
    <w:rsid w:val="008F7DD4"/>
    <w:rsid w:val="0090068B"/>
    <w:rsid w:val="009006FE"/>
    <w:rsid w:val="009008BB"/>
    <w:rsid w:val="00900A38"/>
    <w:rsid w:val="00900EAB"/>
    <w:rsid w:val="00900F8A"/>
    <w:rsid w:val="009012A5"/>
    <w:rsid w:val="009012EB"/>
    <w:rsid w:val="00901841"/>
    <w:rsid w:val="00901BF1"/>
    <w:rsid w:val="00901F5D"/>
    <w:rsid w:val="00902493"/>
    <w:rsid w:val="00902497"/>
    <w:rsid w:val="00902856"/>
    <w:rsid w:val="0090286F"/>
    <w:rsid w:val="00903267"/>
    <w:rsid w:val="00903271"/>
    <w:rsid w:val="0090371D"/>
    <w:rsid w:val="00903DB2"/>
    <w:rsid w:val="00904119"/>
    <w:rsid w:val="00904207"/>
    <w:rsid w:val="009043A4"/>
    <w:rsid w:val="0090475F"/>
    <w:rsid w:val="00904791"/>
    <w:rsid w:val="00904AC6"/>
    <w:rsid w:val="00904D27"/>
    <w:rsid w:val="0090505B"/>
    <w:rsid w:val="00905354"/>
    <w:rsid w:val="00905BDA"/>
    <w:rsid w:val="00905FCF"/>
    <w:rsid w:val="00906008"/>
    <w:rsid w:val="0090619A"/>
    <w:rsid w:val="009062CC"/>
    <w:rsid w:val="00906671"/>
    <w:rsid w:val="00906B72"/>
    <w:rsid w:val="00906B75"/>
    <w:rsid w:val="00906EEF"/>
    <w:rsid w:val="009073D7"/>
    <w:rsid w:val="00907975"/>
    <w:rsid w:val="00907F40"/>
    <w:rsid w:val="009104FE"/>
    <w:rsid w:val="0091090E"/>
    <w:rsid w:val="00911AE4"/>
    <w:rsid w:val="00911F8D"/>
    <w:rsid w:val="009122CA"/>
    <w:rsid w:val="00912381"/>
    <w:rsid w:val="00912BC6"/>
    <w:rsid w:val="00912D0D"/>
    <w:rsid w:val="009133B2"/>
    <w:rsid w:val="009135E5"/>
    <w:rsid w:val="009136EC"/>
    <w:rsid w:val="009138D0"/>
    <w:rsid w:val="00913AB4"/>
    <w:rsid w:val="00913B63"/>
    <w:rsid w:val="00913BF5"/>
    <w:rsid w:val="00913D97"/>
    <w:rsid w:val="00914195"/>
    <w:rsid w:val="0091465E"/>
    <w:rsid w:val="00914E5E"/>
    <w:rsid w:val="00916880"/>
    <w:rsid w:val="0091753D"/>
    <w:rsid w:val="00917670"/>
    <w:rsid w:val="00917D92"/>
    <w:rsid w:val="0092013E"/>
    <w:rsid w:val="00920246"/>
    <w:rsid w:val="0092024E"/>
    <w:rsid w:val="00920353"/>
    <w:rsid w:val="00920708"/>
    <w:rsid w:val="00920CE9"/>
    <w:rsid w:val="00920DFE"/>
    <w:rsid w:val="00921E21"/>
    <w:rsid w:val="009224FE"/>
    <w:rsid w:val="00922A6A"/>
    <w:rsid w:val="00923295"/>
    <w:rsid w:val="00923B07"/>
    <w:rsid w:val="009246BC"/>
    <w:rsid w:val="009249EE"/>
    <w:rsid w:val="00924BFF"/>
    <w:rsid w:val="00924D19"/>
    <w:rsid w:val="00924EC2"/>
    <w:rsid w:val="00925016"/>
    <w:rsid w:val="00925068"/>
    <w:rsid w:val="00925226"/>
    <w:rsid w:val="009254AE"/>
    <w:rsid w:val="0092566A"/>
    <w:rsid w:val="0092594E"/>
    <w:rsid w:val="00925B01"/>
    <w:rsid w:val="00925BA8"/>
    <w:rsid w:val="009266B4"/>
    <w:rsid w:val="00927C75"/>
    <w:rsid w:val="00930692"/>
    <w:rsid w:val="00930C48"/>
    <w:rsid w:val="00930DD1"/>
    <w:rsid w:val="00931369"/>
    <w:rsid w:val="0093151A"/>
    <w:rsid w:val="00931FD7"/>
    <w:rsid w:val="00932B9A"/>
    <w:rsid w:val="0093321B"/>
    <w:rsid w:val="00933495"/>
    <w:rsid w:val="00933F06"/>
    <w:rsid w:val="009342F3"/>
    <w:rsid w:val="00934724"/>
    <w:rsid w:val="009347BF"/>
    <w:rsid w:val="0093491A"/>
    <w:rsid w:val="00934C9E"/>
    <w:rsid w:val="00934CE4"/>
    <w:rsid w:val="00935812"/>
    <w:rsid w:val="00935821"/>
    <w:rsid w:val="00935E03"/>
    <w:rsid w:val="00936060"/>
    <w:rsid w:val="00936F4E"/>
    <w:rsid w:val="00937344"/>
    <w:rsid w:val="00937553"/>
    <w:rsid w:val="00937B36"/>
    <w:rsid w:val="00937CBE"/>
    <w:rsid w:val="009407E2"/>
    <w:rsid w:val="00940858"/>
    <w:rsid w:val="00940D97"/>
    <w:rsid w:val="00940F09"/>
    <w:rsid w:val="009410D1"/>
    <w:rsid w:val="00941361"/>
    <w:rsid w:val="00941614"/>
    <w:rsid w:val="00941F16"/>
    <w:rsid w:val="00942339"/>
    <w:rsid w:val="0094262F"/>
    <w:rsid w:val="00942814"/>
    <w:rsid w:val="00942954"/>
    <w:rsid w:val="00942BAE"/>
    <w:rsid w:val="0094324E"/>
    <w:rsid w:val="009435B3"/>
    <w:rsid w:val="009449BF"/>
    <w:rsid w:val="00944BCB"/>
    <w:rsid w:val="009450AB"/>
    <w:rsid w:val="009452E1"/>
    <w:rsid w:val="009454D3"/>
    <w:rsid w:val="00946570"/>
    <w:rsid w:val="00946706"/>
    <w:rsid w:val="00946C0A"/>
    <w:rsid w:val="00946DF0"/>
    <w:rsid w:val="00946E3C"/>
    <w:rsid w:val="009474DB"/>
    <w:rsid w:val="00947660"/>
    <w:rsid w:val="00947818"/>
    <w:rsid w:val="0095027C"/>
    <w:rsid w:val="00950C4B"/>
    <w:rsid w:val="00950DE3"/>
    <w:rsid w:val="0095117A"/>
    <w:rsid w:val="009512B7"/>
    <w:rsid w:val="00951E76"/>
    <w:rsid w:val="0095285B"/>
    <w:rsid w:val="0095295E"/>
    <w:rsid w:val="009529F2"/>
    <w:rsid w:val="00952B7F"/>
    <w:rsid w:val="00953085"/>
    <w:rsid w:val="00953BD2"/>
    <w:rsid w:val="00954033"/>
    <w:rsid w:val="009541DF"/>
    <w:rsid w:val="00954C25"/>
    <w:rsid w:val="00954E0E"/>
    <w:rsid w:val="00955079"/>
    <w:rsid w:val="00955866"/>
    <w:rsid w:val="0095599F"/>
    <w:rsid w:val="00955A1E"/>
    <w:rsid w:val="00956071"/>
    <w:rsid w:val="009560AD"/>
    <w:rsid w:val="00956FC3"/>
    <w:rsid w:val="009573F5"/>
    <w:rsid w:val="00957AD2"/>
    <w:rsid w:val="00957B32"/>
    <w:rsid w:val="00957BD6"/>
    <w:rsid w:val="00960202"/>
    <w:rsid w:val="00960800"/>
    <w:rsid w:val="00960815"/>
    <w:rsid w:val="00960AD6"/>
    <w:rsid w:val="00961727"/>
    <w:rsid w:val="00961E49"/>
    <w:rsid w:val="00962095"/>
    <w:rsid w:val="009623DD"/>
    <w:rsid w:val="009626E4"/>
    <w:rsid w:val="009629CE"/>
    <w:rsid w:val="00962ABD"/>
    <w:rsid w:val="00963FB8"/>
    <w:rsid w:val="00964E05"/>
    <w:rsid w:val="00965270"/>
    <w:rsid w:val="009655C7"/>
    <w:rsid w:val="00965CFC"/>
    <w:rsid w:val="00966D64"/>
    <w:rsid w:val="0096701B"/>
    <w:rsid w:val="009679BA"/>
    <w:rsid w:val="00967A01"/>
    <w:rsid w:val="00967FA0"/>
    <w:rsid w:val="0097079F"/>
    <w:rsid w:val="00970FA6"/>
    <w:rsid w:val="00970FD4"/>
    <w:rsid w:val="0097105F"/>
    <w:rsid w:val="009711C5"/>
    <w:rsid w:val="00971264"/>
    <w:rsid w:val="00971339"/>
    <w:rsid w:val="00971A6A"/>
    <w:rsid w:val="00971DA7"/>
    <w:rsid w:val="00971FB4"/>
    <w:rsid w:val="00972459"/>
    <w:rsid w:val="00973449"/>
    <w:rsid w:val="009735CE"/>
    <w:rsid w:val="009744D8"/>
    <w:rsid w:val="00974671"/>
    <w:rsid w:val="00974A3B"/>
    <w:rsid w:val="00975049"/>
    <w:rsid w:val="00975168"/>
    <w:rsid w:val="00975566"/>
    <w:rsid w:val="0097560C"/>
    <w:rsid w:val="0097597E"/>
    <w:rsid w:val="00976579"/>
    <w:rsid w:val="00976629"/>
    <w:rsid w:val="009766F2"/>
    <w:rsid w:val="00976829"/>
    <w:rsid w:val="00976E15"/>
    <w:rsid w:val="00977450"/>
    <w:rsid w:val="00977510"/>
    <w:rsid w:val="0097799E"/>
    <w:rsid w:val="00977A4D"/>
    <w:rsid w:val="00977F97"/>
    <w:rsid w:val="00980326"/>
    <w:rsid w:val="00980397"/>
    <w:rsid w:val="00980513"/>
    <w:rsid w:val="0098068F"/>
    <w:rsid w:val="0098073F"/>
    <w:rsid w:val="0098084D"/>
    <w:rsid w:val="00980F2B"/>
    <w:rsid w:val="00980FD2"/>
    <w:rsid w:val="00981709"/>
    <w:rsid w:val="00981897"/>
    <w:rsid w:val="009819CC"/>
    <w:rsid w:val="00981F66"/>
    <w:rsid w:val="00982568"/>
    <w:rsid w:val="00982F6B"/>
    <w:rsid w:val="009837CC"/>
    <w:rsid w:val="00983E1A"/>
    <w:rsid w:val="00984006"/>
    <w:rsid w:val="0098400F"/>
    <w:rsid w:val="00984047"/>
    <w:rsid w:val="00984264"/>
    <w:rsid w:val="00984852"/>
    <w:rsid w:val="00984ABD"/>
    <w:rsid w:val="009850D9"/>
    <w:rsid w:val="0098549B"/>
    <w:rsid w:val="0098566A"/>
    <w:rsid w:val="00985AAF"/>
    <w:rsid w:val="00985C24"/>
    <w:rsid w:val="00985CE2"/>
    <w:rsid w:val="00986347"/>
    <w:rsid w:val="009865AF"/>
    <w:rsid w:val="00986610"/>
    <w:rsid w:val="009866E7"/>
    <w:rsid w:val="00986998"/>
    <w:rsid w:val="009869A7"/>
    <w:rsid w:val="00986D2A"/>
    <w:rsid w:val="00987108"/>
    <w:rsid w:val="009874C7"/>
    <w:rsid w:val="00987928"/>
    <w:rsid w:val="00987BF8"/>
    <w:rsid w:val="009905CE"/>
    <w:rsid w:val="0099067A"/>
    <w:rsid w:val="00990DB3"/>
    <w:rsid w:val="00990E3C"/>
    <w:rsid w:val="00991229"/>
    <w:rsid w:val="009912C4"/>
    <w:rsid w:val="00991796"/>
    <w:rsid w:val="009919B4"/>
    <w:rsid w:val="00991D66"/>
    <w:rsid w:val="00992076"/>
    <w:rsid w:val="0099216A"/>
    <w:rsid w:val="00992459"/>
    <w:rsid w:val="00992730"/>
    <w:rsid w:val="00992E86"/>
    <w:rsid w:val="0099314A"/>
    <w:rsid w:val="00993B2D"/>
    <w:rsid w:val="00993D1E"/>
    <w:rsid w:val="00994CE4"/>
    <w:rsid w:val="00994E4D"/>
    <w:rsid w:val="00994FB4"/>
    <w:rsid w:val="009954BB"/>
    <w:rsid w:val="00995794"/>
    <w:rsid w:val="0099587B"/>
    <w:rsid w:val="00995D8C"/>
    <w:rsid w:val="00996136"/>
    <w:rsid w:val="009961AB"/>
    <w:rsid w:val="009961AC"/>
    <w:rsid w:val="00996227"/>
    <w:rsid w:val="009968A0"/>
    <w:rsid w:val="00996C12"/>
    <w:rsid w:val="0099717A"/>
    <w:rsid w:val="00997224"/>
    <w:rsid w:val="0099750A"/>
    <w:rsid w:val="0099757A"/>
    <w:rsid w:val="00997BCF"/>
    <w:rsid w:val="009A003B"/>
    <w:rsid w:val="009A04A7"/>
    <w:rsid w:val="009A0DD6"/>
    <w:rsid w:val="009A0ECB"/>
    <w:rsid w:val="009A12DD"/>
    <w:rsid w:val="009A1325"/>
    <w:rsid w:val="009A13B4"/>
    <w:rsid w:val="009A1427"/>
    <w:rsid w:val="009A1784"/>
    <w:rsid w:val="009A18C9"/>
    <w:rsid w:val="009A19A0"/>
    <w:rsid w:val="009A2272"/>
    <w:rsid w:val="009A22E7"/>
    <w:rsid w:val="009A2313"/>
    <w:rsid w:val="009A25B2"/>
    <w:rsid w:val="009A3488"/>
    <w:rsid w:val="009A3C3B"/>
    <w:rsid w:val="009A417C"/>
    <w:rsid w:val="009A5097"/>
    <w:rsid w:val="009A52C2"/>
    <w:rsid w:val="009A5489"/>
    <w:rsid w:val="009A5715"/>
    <w:rsid w:val="009A5BC1"/>
    <w:rsid w:val="009A5ED7"/>
    <w:rsid w:val="009A6829"/>
    <w:rsid w:val="009A6B0C"/>
    <w:rsid w:val="009A6B74"/>
    <w:rsid w:val="009A6C7A"/>
    <w:rsid w:val="009A7376"/>
    <w:rsid w:val="009A775E"/>
    <w:rsid w:val="009A7EDA"/>
    <w:rsid w:val="009B0469"/>
    <w:rsid w:val="009B052D"/>
    <w:rsid w:val="009B06C4"/>
    <w:rsid w:val="009B1016"/>
    <w:rsid w:val="009B1420"/>
    <w:rsid w:val="009B1E19"/>
    <w:rsid w:val="009B24D2"/>
    <w:rsid w:val="009B2512"/>
    <w:rsid w:val="009B27A9"/>
    <w:rsid w:val="009B2832"/>
    <w:rsid w:val="009B351C"/>
    <w:rsid w:val="009B385D"/>
    <w:rsid w:val="009B449F"/>
    <w:rsid w:val="009B4834"/>
    <w:rsid w:val="009B4988"/>
    <w:rsid w:val="009B573C"/>
    <w:rsid w:val="009B576E"/>
    <w:rsid w:val="009B5CBF"/>
    <w:rsid w:val="009B5FF0"/>
    <w:rsid w:val="009B6135"/>
    <w:rsid w:val="009B61D0"/>
    <w:rsid w:val="009B6352"/>
    <w:rsid w:val="009B69D1"/>
    <w:rsid w:val="009B6F04"/>
    <w:rsid w:val="009C002A"/>
    <w:rsid w:val="009C02FA"/>
    <w:rsid w:val="009C0381"/>
    <w:rsid w:val="009C0BF2"/>
    <w:rsid w:val="009C123C"/>
    <w:rsid w:val="009C1840"/>
    <w:rsid w:val="009C1AB3"/>
    <w:rsid w:val="009C1B98"/>
    <w:rsid w:val="009C202B"/>
    <w:rsid w:val="009C24DD"/>
    <w:rsid w:val="009C274E"/>
    <w:rsid w:val="009C2DF5"/>
    <w:rsid w:val="009C2DF7"/>
    <w:rsid w:val="009C2E5E"/>
    <w:rsid w:val="009C2FA2"/>
    <w:rsid w:val="009C2FF7"/>
    <w:rsid w:val="009C3223"/>
    <w:rsid w:val="009C3243"/>
    <w:rsid w:val="009C37CC"/>
    <w:rsid w:val="009C39B3"/>
    <w:rsid w:val="009C3C13"/>
    <w:rsid w:val="009C405A"/>
    <w:rsid w:val="009C40A9"/>
    <w:rsid w:val="009C461A"/>
    <w:rsid w:val="009C49B0"/>
    <w:rsid w:val="009C4FC0"/>
    <w:rsid w:val="009C522E"/>
    <w:rsid w:val="009C5283"/>
    <w:rsid w:val="009C56B0"/>
    <w:rsid w:val="009C5AA0"/>
    <w:rsid w:val="009C5B4D"/>
    <w:rsid w:val="009C65CE"/>
    <w:rsid w:val="009C6AD2"/>
    <w:rsid w:val="009C7675"/>
    <w:rsid w:val="009C7A87"/>
    <w:rsid w:val="009C7B51"/>
    <w:rsid w:val="009C7C0B"/>
    <w:rsid w:val="009D0412"/>
    <w:rsid w:val="009D047C"/>
    <w:rsid w:val="009D0A49"/>
    <w:rsid w:val="009D0ABA"/>
    <w:rsid w:val="009D12CB"/>
    <w:rsid w:val="009D1560"/>
    <w:rsid w:val="009D1606"/>
    <w:rsid w:val="009D16A2"/>
    <w:rsid w:val="009D18C7"/>
    <w:rsid w:val="009D1DB2"/>
    <w:rsid w:val="009D2167"/>
    <w:rsid w:val="009D2576"/>
    <w:rsid w:val="009D2B8C"/>
    <w:rsid w:val="009D31EC"/>
    <w:rsid w:val="009D3A5C"/>
    <w:rsid w:val="009D3B14"/>
    <w:rsid w:val="009D3CB7"/>
    <w:rsid w:val="009D3D67"/>
    <w:rsid w:val="009D43B5"/>
    <w:rsid w:val="009D4603"/>
    <w:rsid w:val="009D464D"/>
    <w:rsid w:val="009D47CF"/>
    <w:rsid w:val="009D48B8"/>
    <w:rsid w:val="009D4D56"/>
    <w:rsid w:val="009D4E4D"/>
    <w:rsid w:val="009D52A6"/>
    <w:rsid w:val="009D53D0"/>
    <w:rsid w:val="009D5B63"/>
    <w:rsid w:val="009D5E38"/>
    <w:rsid w:val="009D608B"/>
    <w:rsid w:val="009D68A4"/>
    <w:rsid w:val="009D7280"/>
    <w:rsid w:val="009D7571"/>
    <w:rsid w:val="009E0185"/>
    <w:rsid w:val="009E0295"/>
    <w:rsid w:val="009E02BD"/>
    <w:rsid w:val="009E0426"/>
    <w:rsid w:val="009E087E"/>
    <w:rsid w:val="009E0D1E"/>
    <w:rsid w:val="009E0D90"/>
    <w:rsid w:val="009E0FB7"/>
    <w:rsid w:val="009E1301"/>
    <w:rsid w:val="009E2186"/>
    <w:rsid w:val="009E2253"/>
    <w:rsid w:val="009E247D"/>
    <w:rsid w:val="009E27F5"/>
    <w:rsid w:val="009E29F7"/>
    <w:rsid w:val="009E311D"/>
    <w:rsid w:val="009E33B6"/>
    <w:rsid w:val="009E39D4"/>
    <w:rsid w:val="009E3F68"/>
    <w:rsid w:val="009E4147"/>
    <w:rsid w:val="009E46E0"/>
    <w:rsid w:val="009E47DD"/>
    <w:rsid w:val="009E4AB6"/>
    <w:rsid w:val="009E534B"/>
    <w:rsid w:val="009E5368"/>
    <w:rsid w:val="009E55ED"/>
    <w:rsid w:val="009E57A3"/>
    <w:rsid w:val="009E5ADA"/>
    <w:rsid w:val="009E62B2"/>
    <w:rsid w:val="009E66E2"/>
    <w:rsid w:val="009E7464"/>
    <w:rsid w:val="009E7A3E"/>
    <w:rsid w:val="009F04F2"/>
    <w:rsid w:val="009F0549"/>
    <w:rsid w:val="009F05DB"/>
    <w:rsid w:val="009F08C0"/>
    <w:rsid w:val="009F0FE6"/>
    <w:rsid w:val="009F1215"/>
    <w:rsid w:val="009F15A7"/>
    <w:rsid w:val="009F16DB"/>
    <w:rsid w:val="009F1E57"/>
    <w:rsid w:val="009F1E79"/>
    <w:rsid w:val="009F2EBD"/>
    <w:rsid w:val="009F3067"/>
    <w:rsid w:val="009F3193"/>
    <w:rsid w:val="009F31C6"/>
    <w:rsid w:val="009F356B"/>
    <w:rsid w:val="009F35FD"/>
    <w:rsid w:val="009F376E"/>
    <w:rsid w:val="009F38DA"/>
    <w:rsid w:val="009F4052"/>
    <w:rsid w:val="009F406F"/>
    <w:rsid w:val="009F44B5"/>
    <w:rsid w:val="009F4595"/>
    <w:rsid w:val="009F4CB5"/>
    <w:rsid w:val="009F5C52"/>
    <w:rsid w:val="009F5DB3"/>
    <w:rsid w:val="009F650A"/>
    <w:rsid w:val="009F6723"/>
    <w:rsid w:val="009F67E7"/>
    <w:rsid w:val="009F69F0"/>
    <w:rsid w:val="009F6D87"/>
    <w:rsid w:val="009F6EDF"/>
    <w:rsid w:val="009F6F91"/>
    <w:rsid w:val="009F6FD4"/>
    <w:rsid w:val="009F6FEE"/>
    <w:rsid w:val="009F70FE"/>
    <w:rsid w:val="009F71B3"/>
    <w:rsid w:val="009F7403"/>
    <w:rsid w:val="009F76BC"/>
    <w:rsid w:val="009F78AB"/>
    <w:rsid w:val="009F7C5E"/>
    <w:rsid w:val="009F7C80"/>
    <w:rsid w:val="00A01061"/>
    <w:rsid w:val="00A0128D"/>
    <w:rsid w:val="00A019F7"/>
    <w:rsid w:val="00A01AD5"/>
    <w:rsid w:val="00A020E7"/>
    <w:rsid w:val="00A022E5"/>
    <w:rsid w:val="00A022F8"/>
    <w:rsid w:val="00A02617"/>
    <w:rsid w:val="00A0263F"/>
    <w:rsid w:val="00A027E0"/>
    <w:rsid w:val="00A029E2"/>
    <w:rsid w:val="00A02CE4"/>
    <w:rsid w:val="00A03144"/>
    <w:rsid w:val="00A034F2"/>
    <w:rsid w:val="00A036C5"/>
    <w:rsid w:val="00A038F9"/>
    <w:rsid w:val="00A03E4C"/>
    <w:rsid w:val="00A04084"/>
    <w:rsid w:val="00A045D0"/>
    <w:rsid w:val="00A04851"/>
    <w:rsid w:val="00A0495C"/>
    <w:rsid w:val="00A04E50"/>
    <w:rsid w:val="00A052C1"/>
    <w:rsid w:val="00A059C7"/>
    <w:rsid w:val="00A05A37"/>
    <w:rsid w:val="00A06056"/>
    <w:rsid w:val="00A06371"/>
    <w:rsid w:val="00A064AF"/>
    <w:rsid w:val="00A06824"/>
    <w:rsid w:val="00A06C8B"/>
    <w:rsid w:val="00A06CFD"/>
    <w:rsid w:val="00A07612"/>
    <w:rsid w:val="00A0787E"/>
    <w:rsid w:val="00A10013"/>
    <w:rsid w:val="00A103B9"/>
    <w:rsid w:val="00A11421"/>
    <w:rsid w:val="00A11483"/>
    <w:rsid w:val="00A116BC"/>
    <w:rsid w:val="00A12991"/>
    <w:rsid w:val="00A129E3"/>
    <w:rsid w:val="00A14DBD"/>
    <w:rsid w:val="00A14EDE"/>
    <w:rsid w:val="00A14EEB"/>
    <w:rsid w:val="00A157AF"/>
    <w:rsid w:val="00A158CF"/>
    <w:rsid w:val="00A15929"/>
    <w:rsid w:val="00A159FB"/>
    <w:rsid w:val="00A15AAC"/>
    <w:rsid w:val="00A16161"/>
    <w:rsid w:val="00A165CE"/>
    <w:rsid w:val="00A169F2"/>
    <w:rsid w:val="00A16FD6"/>
    <w:rsid w:val="00A1752D"/>
    <w:rsid w:val="00A17A22"/>
    <w:rsid w:val="00A20A88"/>
    <w:rsid w:val="00A20EEC"/>
    <w:rsid w:val="00A212E8"/>
    <w:rsid w:val="00A21C46"/>
    <w:rsid w:val="00A22203"/>
    <w:rsid w:val="00A222E7"/>
    <w:rsid w:val="00A22556"/>
    <w:rsid w:val="00A229BC"/>
    <w:rsid w:val="00A22C49"/>
    <w:rsid w:val="00A22E7A"/>
    <w:rsid w:val="00A2428A"/>
    <w:rsid w:val="00A243CA"/>
    <w:rsid w:val="00A244F7"/>
    <w:rsid w:val="00A24690"/>
    <w:rsid w:val="00A24A31"/>
    <w:rsid w:val="00A24F07"/>
    <w:rsid w:val="00A251BC"/>
    <w:rsid w:val="00A25464"/>
    <w:rsid w:val="00A25614"/>
    <w:rsid w:val="00A25E91"/>
    <w:rsid w:val="00A26449"/>
    <w:rsid w:val="00A26609"/>
    <w:rsid w:val="00A269B2"/>
    <w:rsid w:val="00A269CD"/>
    <w:rsid w:val="00A26A93"/>
    <w:rsid w:val="00A27625"/>
    <w:rsid w:val="00A3065E"/>
    <w:rsid w:val="00A30761"/>
    <w:rsid w:val="00A30CB3"/>
    <w:rsid w:val="00A3196A"/>
    <w:rsid w:val="00A31B23"/>
    <w:rsid w:val="00A3210A"/>
    <w:rsid w:val="00A321EE"/>
    <w:rsid w:val="00A325F8"/>
    <w:rsid w:val="00A32E68"/>
    <w:rsid w:val="00A335DF"/>
    <w:rsid w:val="00A33BCA"/>
    <w:rsid w:val="00A33BEF"/>
    <w:rsid w:val="00A33E6E"/>
    <w:rsid w:val="00A345CE"/>
    <w:rsid w:val="00A34659"/>
    <w:rsid w:val="00A34E8C"/>
    <w:rsid w:val="00A35635"/>
    <w:rsid w:val="00A35B88"/>
    <w:rsid w:val="00A35C2B"/>
    <w:rsid w:val="00A35F3F"/>
    <w:rsid w:val="00A35FF6"/>
    <w:rsid w:val="00A361CE"/>
    <w:rsid w:val="00A3702D"/>
    <w:rsid w:val="00A37B29"/>
    <w:rsid w:val="00A37D15"/>
    <w:rsid w:val="00A37FCC"/>
    <w:rsid w:val="00A4009B"/>
    <w:rsid w:val="00A4063F"/>
    <w:rsid w:val="00A409A9"/>
    <w:rsid w:val="00A4105B"/>
    <w:rsid w:val="00A4137B"/>
    <w:rsid w:val="00A41434"/>
    <w:rsid w:val="00A417EA"/>
    <w:rsid w:val="00A42048"/>
    <w:rsid w:val="00A42480"/>
    <w:rsid w:val="00A42587"/>
    <w:rsid w:val="00A4289A"/>
    <w:rsid w:val="00A42E2F"/>
    <w:rsid w:val="00A42E55"/>
    <w:rsid w:val="00A42EDE"/>
    <w:rsid w:val="00A4305C"/>
    <w:rsid w:val="00A434F9"/>
    <w:rsid w:val="00A43A85"/>
    <w:rsid w:val="00A43AFD"/>
    <w:rsid w:val="00A43B90"/>
    <w:rsid w:val="00A44244"/>
    <w:rsid w:val="00A45315"/>
    <w:rsid w:val="00A461A1"/>
    <w:rsid w:val="00A46352"/>
    <w:rsid w:val="00A47914"/>
    <w:rsid w:val="00A4791D"/>
    <w:rsid w:val="00A47982"/>
    <w:rsid w:val="00A47BC5"/>
    <w:rsid w:val="00A47C04"/>
    <w:rsid w:val="00A504E5"/>
    <w:rsid w:val="00A50521"/>
    <w:rsid w:val="00A50550"/>
    <w:rsid w:val="00A5081A"/>
    <w:rsid w:val="00A50B4F"/>
    <w:rsid w:val="00A50CE2"/>
    <w:rsid w:val="00A50D5E"/>
    <w:rsid w:val="00A50DE1"/>
    <w:rsid w:val="00A51350"/>
    <w:rsid w:val="00A51844"/>
    <w:rsid w:val="00A520F8"/>
    <w:rsid w:val="00A52233"/>
    <w:rsid w:val="00A5248B"/>
    <w:rsid w:val="00A5292F"/>
    <w:rsid w:val="00A52947"/>
    <w:rsid w:val="00A53204"/>
    <w:rsid w:val="00A5348A"/>
    <w:rsid w:val="00A53738"/>
    <w:rsid w:val="00A53E22"/>
    <w:rsid w:val="00A5427F"/>
    <w:rsid w:val="00A5439B"/>
    <w:rsid w:val="00A543EB"/>
    <w:rsid w:val="00A5470B"/>
    <w:rsid w:val="00A547FC"/>
    <w:rsid w:val="00A5490B"/>
    <w:rsid w:val="00A54963"/>
    <w:rsid w:val="00A54FF1"/>
    <w:rsid w:val="00A55564"/>
    <w:rsid w:val="00A558FA"/>
    <w:rsid w:val="00A55939"/>
    <w:rsid w:val="00A56132"/>
    <w:rsid w:val="00A562E9"/>
    <w:rsid w:val="00A568B8"/>
    <w:rsid w:val="00A56B3F"/>
    <w:rsid w:val="00A571FC"/>
    <w:rsid w:val="00A574CA"/>
    <w:rsid w:val="00A57FE8"/>
    <w:rsid w:val="00A60153"/>
    <w:rsid w:val="00A60252"/>
    <w:rsid w:val="00A60771"/>
    <w:rsid w:val="00A60E74"/>
    <w:rsid w:val="00A61000"/>
    <w:rsid w:val="00A61673"/>
    <w:rsid w:val="00A62A39"/>
    <w:rsid w:val="00A62B43"/>
    <w:rsid w:val="00A62C01"/>
    <w:rsid w:val="00A62CD4"/>
    <w:rsid w:val="00A62E7C"/>
    <w:rsid w:val="00A6316C"/>
    <w:rsid w:val="00A6378A"/>
    <w:rsid w:val="00A64184"/>
    <w:rsid w:val="00A6490D"/>
    <w:rsid w:val="00A64992"/>
    <w:rsid w:val="00A64D75"/>
    <w:rsid w:val="00A64E75"/>
    <w:rsid w:val="00A6515D"/>
    <w:rsid w:val="00A65B06"/>
    <w:rsid w:val="00A6600E"/>
    <w:rsid w:val="00A66735"/>
    <w:rsid w:val="00A6688F"/>
    <w:rsid w:val="00A668DD"/>
    <w:rsid w:val="00A6695E"/>
    <w:rsid w:val="00A66BE9"/>
    <w:rsid w:val="00A66FE9"/>
    <w:rsid w:val="00A670DB"/>
    <w:rsid w:val="00A6712E"/>
    <w:rsid w:val="00A67B12"/>
    <w:rsid w:val="00A67EB4"/>
    <w:rsid w:val="00A70019"/>
    <w:rsid w:val="00A70033"/>
    <w:rsid w:val="00A7051C"/>
    <w:rsid w:val="00A7056D"/>
    <w:rsid w:val="00A70B51"/>
    <w:rsid w:val="00A70E60"/>
    <w:rsid w:val="00A716B8"/>
    <w:rsid w:val="00A71716"/>
    <w:rsid w:val="00A71A3F"/>
    <w:rsid w:val="00A71A9E"/>
    <w:rsid w:val="00A71B8D"/>
    <w:rsid w:val="00A72364"/>
    <w:rsid w:val="00A72767"/>
    <w:rsid w:val="00A72AED"/>
    <w:rsid w:val="00A72C50"/>
    <w:rsid w:val="00A72F4A"/>
    <w:rsid w:val="00A7311A"/>
    <w:rsid w:val="00A73458"/>
    <w:rsid w:val="00A73709"/>
    <w:rsid w:val="00A738F7"/>
    <w:rsid w:val="00A73AFF"/>
    <w:rsid w:val="00A73B4E"/>
    <w:rsid w:val="00A73C5D"/>
    <w:rsid w:val="00A73D64"/>
    <w:rsid w:val="00A74074"/>
    <w:rsid w:val="00A7424F"/>
    <w:rsid w:val="00A74597"/>
    <w:rsid w:val="00A749AC"/>
    <w:rsid w:val="00A751A2"/>
    <w:rsid w:val="00A75A51"/>
    <w:rsid w:val="00A75DF0"/>
    <w:rsid w:val="00A76224"/>
    <w:rsid w:val="00A76A71"/>
    <w:rsid w:val="00A76E0D"/>
    <w:rsid w:val="00A76F85"/>
    <w:rsid w:val="00A77104"/>
    <w:rsid w:val="00A77613"/>
    <w:rsid w:val="00A80055"/>
    <w:rsid w:val="00A8076F"/>
    <w:rsid w:val="00A8081B"/>
    <w:rsid w:val="00A808B4"/>
    <w:rsid w:val="00A8129A"/>
    <w:rsid w:val="00A814D0"/>
    <w:rsid w:val="00A8166C"/>
    <w:rsid w:val="00A82711"/>
    <w:rsid w:val="00A82DFC"/>
    <w:rsid w:val="00A8329E"/>
    <w:rsid w:val="00A836A7"/>
    <w:rsid w:val="00A83AE0"/>
    <w:rsid w:val="00A83DF8"/>
    <w:rsid w:val="00A83FA3"/>
    <w:rsid w:val="00A84545"/>
    <w:rsid w:val="00A84592"/>
    <w:rsid w:val="00A84F10"/>
    <w:rsid w:val="00A856D5"/>
    <w:rsid w:val="00A85FF0"/>
    <w:rsid w:val="00A860FB"/>
    <w:rsid w:val="00A860FD"/>
    <w:rsid w:val="00A8613F"/>
    <w:rsid w:val="00A86D5E"/>
    <w:rsid w:val="00A86DDB"/>
    <w:rsid w:val="00A871A9"/>
    <w:rsid w:val="00A90795"/>
    <w:rsid w:val="00A9081B"/>
    <w:rsid w:val="00A90C6A"/>
    <w:rsid w:val="00A90F60"/>
    <w:rsid w:val="00A919F7"/>
    <w:rsid w:val="00A9241A"/>
    <w:rsid w:val="00A92A52"/>
    <w:rsid w:val="00A92EED"/>
    <w:rsid w:val="00A93062"/>
    <w:rsid w:val="00A9335C"/>
    <w:rsid w:val="00A939C8"/>
    <w:rsid w:val="00A93F91"/>
    <w:rsid w:val="00A94393"/>
    <w:rsid w:val="00A9455B"/>
    <w:rsid w:val="00A94572"/>
    <w:rsid w:val="00A95164"/>
    <w:rsid w:val="00A9542C"/>
    <w:rsid w:val="00A954B2"/>
    <w:rsid w:val="00A95529"/>
    <w:rsid w:val="00A958ED"/>
    <w:rsid w:val="00A95979"/>
    <w:rsid w:val="00A95A9F"/>
    <w:rsid w:val="00A961C3"/>
    <w:rsid w:val="00A96835"/>
    <w:rsid w:val="00A968F4"/>
    <w:rsid w:val="00A96BC5"/>
    <w:rsid w:val="00A97F5B"/>
    <w:rsid w:val="00AA0564"/>
    <w:rsid w:val="00AA0D03"/>
    <w:rsid w:val="00AA160D"/>
    <w:rsid w:val="00AA214F"/>
    <w:rsid w:val="00AA271F"/>
    <w:rsid w:val="00AA2E76"/>
    <w:rsid w:val="00AA334B"/>
    <w:rsid w:val="00AA33B1"/>
    <w:rsid w:val="00AA3B3F"/>
    <w:rsid w:val="00AA3B92"/>
    <w:rsid w:val="00AA3BC4"/>
    <w:rsid w:val="00AA4021"/>
    <w:rsid w:val="00AA45C6"/>
    <w:rsid w:val="00AA5A07"/>
    <w:rsid w:val="00AA5BDC"/>
    <w:rsid w:val="00AA6B39"/>
    <w:rsid w:val="00AA6DD3"/>
    <w:rsid w:val="00AA7369"/>
    <w:rsid w:val="00AA744C"/>
    <w:rsid w:val="00AA75E6"/>
    <w:rsid w:val="00AA7B2A"/>
    <w:rsid w:val="00AA7FE2"/>
    <w:rsid w:val="00AB02B3"/>
    <w:rsid w:val="00AB09F9"/>
    <w:rsid w:val="00AB0D15"/>
    <w:rsid w:val="00AB0FB7"/>
    <w:rsid w:val="00AB15B4"/>
    <w:rsid w:val="00AB1B89"/>
    <w:rsid w:val="00AB1C39"/>
    <w:rsid w:val="00AB1F9B"/>
    <w:rsid w:val="00AB1FDA"/>
    <w:rsid w:val="00AB213D"/>
    <w:rsid w:val="00AB218F"/>
    <w:rsid w:val="00AB2401"/>
    <w:rsid w:val="00AB25E4"/>
    <w:rsid w:val="00AB2BDA"/>
    <w:rsid w:val="00AB2BE6"/>
    <w:rsid w:val="00AB30BC"/>
    <w:rsid w:val="00AB3440"/>
    <w:rsid w:val="00AB3674"/>
    <w:rsid w:val="00AB3C46"/>
    <w:rsid w:val="00AB3E69"/>
    <w:rsid w:val="00AB3E80"/>
    <w:rsid w:val="00AB3EB8"/>
    <w:rsid w:val="00AB3EFC"/>
    <w:rsid w:val="00AB432E"/>
    <w:rsid w:val="00AB45AA"/>
    <w:rsid w:val="00AB45D9"/>
    <w:rsid w:val="00AB4754"/>
    <w:rsid w:val="00AB4B80"/>
    <w:rsid w:val="00AB4C1F"/>
    <w:rsid w:val="00AB4D8C"/>
    <w:rsid w:val="00AB4ED4"/>
    <w:rsid w:val="00AB527A"/>
    <w:rsid w:val="00AB5562"/>
    <w:rsid w:val="00AB5739"/>
    <w:rsid w:val="00AB5C14"/>
    <w:rsid w:val="00AB6897"/>
    <w:rsid w:val="00AB6A12"/>
    <w:rsid w:val="00AB6B4C"/>
    <w:rsid w:val="00AB6E20"/>
    <w:rsid w:val="00AB6E99"/>
    <w:rsid w:val="00AB6FD3"/>
    <w:rsid w:val="00AB71AF"/>
    <w:rsid w:val="00AB72B0"/>
    <w:rsid w:val="00AB7417"/>
    <w:rsid w:val="00AB7958"/>
    <w:rsid w:val="00AB7FCE"/>
    <w:rsid w:val="00AC010F"/>
    <w:rsid w:val="00AC034E"/>
    <w:rsid w:val="00AC0815"/>
    <w:rsid w:val="00AC0841"/>
    <w:rsid w:val="00AC089A"/>
    <w:rsid w:val="00AC0BD5"/>
    <w:rsid w:val="00AC11D1"/>
    <w:rsid w:val="00AC1ECB"/>
    <w:rsid w:val="00AC2627"/>
    <w:rsid w:val="00AC35F4"/>
    <w:rsid w:val="00AC437B"/>
    <w:rsid w:val="00AC4487"/>
    <w:rsid w:val="00AC45F2"/>
    <w:rsid w:val="00AC47BC"/>
    <w:rsid w:val="00AC49EF"/>
    <w:rsid w:val="00AC51E8"/>
    <w:rsid w:val="00AC56E7"/>
    <w:rsid w:val="00AC5CC0"/>
    <w:rsid w:val="00AC6556"/>
    <w:rsid w:val="00AC6690"/>
    <w:rsid w:val="00AC66FF"/>
    <w:rsid w:val="00AC675F"/>
    <w:rsid w:val="00AC6868"/>
    <w:rsid w:val="00AC6CFC"/>
    <w:rsid w:val="00AC6F27"/>
    <w:rsid w:val="00AC7066"/>
    <w:rsid w:val="00AC72EF"/>
    <w:rsid w:val="00AC7355"/>
    <w:rsid w:val="00AC77FA"/>
    <w:rsid w:val="00AC7B25"/>
    <w:rsid w:val="00AC7B85"/>
    <w:rsid w:val="00AC7DCC"/>
    <w:rsid w:val="00AC7E5F"/>
    <w:rsid w:val="00AD005A"/>
    <w:rsid w:val="00AD0091"/>
    <w:rsid w:val="00AD02A8"/>
    <w:rsid w:val="00AD0986"/>
    <w:rsid w:val="00AD202E"/>
    <w:rsid w:val="00AD2473"/>
    <w:rsid w:val="00AD2AAB"/>
    <w:rsid w:val="00AD3055"/>
    <w:rsid w:val="00AD34C5"/>
    <w:rsid w:val="00AD3592"/>
    <w:rsid w:val="00AD370D"/>
    <w:rsid w:val="00AD3D88"/>
    <w:rsid w:val="00AD46AF"/>
    <w:rsid w:val="00AD4804"/>
    <w:rsid w:val="00AD5549"/>
    <w:rsid w:val="00AD5C90"/>
    <w:rsid w:val="00AD5E78"/>
    <w:rsid w:val="00AD65A1"/>
    <w:rsid w:val="00AD716C"/>
    <w:rsid w:val="00AD7207"/>
    <w:rsid w:val="00AD7323"/>
    <w:rsid w:val="00AD7F2F"/>
    <w:rsid w:val="00AE0330"/>
    <w:rsid w:val="00AE0461"/>
    <w:rsid w:val="00AE061D"/>
    <w:rsid w:val="00AE0659"/>
    <w:rsid w:val="00AE0A81"/>
    <w:rsid w:val="00AE1215"/>
    <w:rsid w:val="00AE143D"/>
    <w:rsid w:val="00AE1D1E"/>
    <w:rsid w:val="00AE1F6E"/>
    <w:rsid w:val="00AE260C"/>
    <w:rsid w:val="00AE2890"/>
    <w:rsid w:val="00AE2CB1"/>
    <w:rsid w:val="00AE313E"/>
    <w:rsid w:val="00AE3507"/>
    <w:rsid w:val="00AE3716"/>
    <w:rsid w:val="00AE4585"/>
    <w:rsid w:val="00AE463A"/>
    <w:rsid w:val="00AE4E11"/>
    <w:rsid w:val="00AE5895"/>
    <w:rsid w:val="00AE5A5B"/>
    <w:rsid w:val="00AE5AB2"/>
    <w:rsid w:val="00AE5BA2"/>
    <w:rsid w:val="00AE5DC7"/>
    <w:rsid w:val="00AE5F44"/>
    <w:rsid w:val="00AE62BC"/>
    <w:rsid w:val="00AE62F7"/>
    <w:rsid w:val="00AE6D27"/>
    <w:rsid w:val="00AE6D55"/>
    <w:rsid w:val="00AE6D93"/>
    <w:rsid w:val="00AE705B"/>
    <w:rsid w:val="00AE7417"/>
    <w:rsid w:val="00AE74B8"/>
    <w:rsid w:val="00AE79A0"/>
    <w:rsid w:val="00AF0523"/>
    <w:rsid w:val="00AF05B9"/>
    <w:rsid w:val="00AF0BB1"/>
    <w:rsid w:val="00AF0E3D"/>
    <w:rsid w:val="00AF128E"/>
    <w:rsid w:val="00AF1345"/>
    <w:rsid w:val="00AF1401"/>
    <w:rsid w:val="00AF16B5"/>
    <w:rsid w:val="00AF16B6"/>
    <w:rsid w:val="00AF1D1A"/>
    <w:rsid w:val="00AF2CB4"/>
    <w:rsid w:val="00AF2D6A"/>
    <w:rsid w:val="00AF2E77"/>
    <w:rsid w:val="00AF2F6C"/>
    <w:rsid w:val="00AF325D"/>
    <w:rsid w:val="00AF35F6"/>
    <w:rsid w:val="00AF3C84"/>
    <w:rsid w:val="00AF3E56"/>
    <w:rsid w:val="00AF3EA2"/>
    <w:rsid w:val="00AF4057"/>
    <w:rsid w:val="00AF446B"/>
    <w:rsid w:val="00AF4C3C"/>
    <w:rsid w:val="00AF50D4"/>
    <w:rsid w:val="00AF5283"/>
    <w:rsid w:val="00AF54E8"/>
    <w:rsid w:val="00AF5510"/>
    <w:rsid w:val="00AF634F"/>
    <w:rsid w:val="00AF6440"/>
    <w:rsid w:val="00AF6717"/>
    <w:rsid w:val="00AF6BBC"/>
    <w:rsid w:val="00AF6BC5"/>
    <w:rsid w:val="00AF73BF"/>
    <w:rsid w:val="00AF7A06"/>
    <w:rsid w:val="00B00298"/>
    <w:rsid w:val="00B003A0"/>
    <w:rsid w:val="00B01362"/>
    <w:rsid w:val="00B016F6"/>
    <w:rsid w:val="00B017A5"/>
    <w:rsid w:val="00B01A1C"/>
    <w:rsid w:val="00B01B2A"/>
    <w:rsid w:val="00B032A1"/>
    <w:rsid w:val="00B0331D"/>
    <w:rsid w:val="00B03341"/>
    <w:rsid w:val="00B03A19"/>
    <w:rsid w:val="00B044E3"/>
    <w:rsid w:val="00B0543B"/>
    <w:rsid w:val="00B0544C"/>
    <w:rsid w:val="00B0565B"/>
    <w:rsid w:val="00B0591C"/>
    <w:rsid w:val="00B063EF"/>
    <w:rsid w:val="00B06659"/>
    <w:rsid w:val="00B07075"/>
    <w:rsid w:val="00B07ECE"/>
    <w:rsid w:val="00B10066"/>
    <w:rsid w:val="00B105E3"/>
    <w:rsid w:val="00B106B8"/>
    <w:rsid w:val="00B10A3A"/>
    <w:rsid w:val="00B10B5E"/>
    <w:rsid w:val="00B1101B"/>
    <w:rsid w:val="00B113B7"/>
    <w:rsid w:val="00B11BA0"/>
    <w:rsid w:val="00B11D32"/>
    <w:rsid w:val="00B121B7"/>
    <w:rsid w:val="00B12528"/>
    <w:rsid w:val="00B132A8"/>
    <w:rsid w:val="00B138D2"/>
    <w:rsid w:val="00B13B42"/>
    <w:rsid w:val="00B1404B"/>
    <w:rsid w:val="00B15040"/>
    <w:rsid w:val="00B1528D"/>
    <w:rsid w:val="00B15370"/>
    <w:rsid w:val="00B15C16"/>
    <w:rsid w:val="00B15C8E"/>
    <w:rsid w:val="00B15CAF"/>
    <w:rsid w:val="00B15D68"/>
    <w:rsid w:val="00B15FA7"/>
    <w:rsid w:val="00B164D5"/>
    <w:rsid w:val="00B16736"/>
    <w:rsid w:val="00B1712E"/>
    <w:rsid w:val="00B17192"/>
    <w:rsid w:val="00B172DE"/>
    <w:rsid w:val="00B17F14"/>
    <w:rsid w:val="00B20628"/>
    <w:rsid w:val="00B20BEE"/>
    <w:rsid w:val="00B20F19"/>
    <w:rsid w:val="00B21315"/>
    <w:rsid w:val="00B21377"/>
    <w:rsid w:val="00B21507"/>
    <w:rsid w:val="00B22008"/>
    <w:rsid w:val="00B22091"/>
    <w:rsid w:val="00B2216A"/>
    <w:rsid w:val="00B221F3"/>
    <w:rsid w:val="00B2242E"/>
    <w:rsid w:val="00B22897"/>
    <w:rsid w:val="00B22CAE"/>
    <w:rsid w:val="00B233C2"/>
    <w:rsid w:val="00B23946"/>
    <w:rsid w:val="00B23CDE"/>
    <w:rsid w:val="00B23DD1"/>
    <w:rsid w:val="00B243C4"/>
    <w:rsid w:val="00B248E1"/>
    <w:rsid w:val="00B24909"/>
    <w:rsid w:val="00B249E1"/>
    <w:rsid w:val="00B24C44"/>
    <w:rsid w:val="00B25144"/>
    <w:rsid w:val="00B25496"/>
    <w:rsid w:val="00B26107"/>
    <w:rsid w:val="00B26484"/>
    <w:rsid w:val="00B26CE7"/>
    <w:rsid w:val="00B26F29"/>
    <w:rsid w:val="00B273A4"/>
    <w:rsid w:val="00B277D0"/>
    <w:rsid w:val="00B27BD3"/>
    <w:rsid w:val="00B30113"/>
    <w:rsid w:val="00B30174"/>
    <w:rsid w:val="00B3053C"/>
    <w:rsid w:val="00B30A01"/>
    <w:rsid w:val="00B30ACD"/>
    <w:rsid w:val="00B30B3D"/>
    <w:rsid w:val="00B30CB9"/>
    <w:rsid w:val="00B30FF6"/>
    <w:rsid w:val="00B310FE"/>
    <w:rsid w:val="00B31F61"/>
    <w:rsid w:val="00B322F4"/>
    <w:rsid w:val="00B32A0D"/>
    <w:rsid w:val="00B32A0F"/>
    <w:rsid w:val="00B33106"/>
    <w:rsid w:val="00B334BF"/>
    <w:rsid w:val="00B3373A"/>
    <w:rsid w:val="00B33750"/>
    <w:rsid w:val="00B338CB"/>
    <w:rsid w:val="00B33A48"/>
    <w:rsid w:val="00B33CA3"/>
    <w:rsid w:val="00B340EA"/>
    <w:rsid w:val="00B34128"/>
    <w:rsid w:val="00B34D7F"/>
    <w:rsid w:val="00B34DCA"/>
    <w:rsid w:val="00B34F2A"/>
    <w:rsid w:val="00B35319"/>
    <w:rsid w:val="00B3532F"/>
    <w:rsid w:val="00B35472"/>
    <w:rsid w:val="00B354DC"/>
    <w:rsid w:val="00B35A8D"/>
    <w:rsid w:val="00B35BAD"/>
    <w:rsid w:val="00B35BEF"/>
    <w:rsid w:val="00B35D64"/>
    <w:rsid w:val="00B365A5"/>
    <w:rsid w:val="00B36709"/>
    <w:rsid w:val="00B368C9"/>
    <w:rsid w:val="00B37220"/>
    <w:rsid w:val="00B3785B"/>
    <w:rsid w:val="00B37A0A"/>
    <w:rsid w:val="00B40867"/>
    <w:rsid w:val="00B410BC"/>
    <w:rsid w:val="00B41248"/>
    <w:rsid w:val="00B4143F"/>
    <w:rsid w:val="00B419DB"/>
    <w:rsid w:val="00B41D19"/>
    <w:rsid w:val="00B420FE"/>
    <w:rsid w:val="00B42215"/>
    <w:rsid w:val="00B42468"/>
    <w:rsid w:val="00B424F6"/>
    <w:rsid w:val="00B42F75"/>
    <w:rsid w:val="00B43C0C"/>
    <w:rsid w:val="00B43E93"/>
    <w:rsid w:val="00B441EF"/>
    <w:rsid w:val="00B448DB"/>
    <w:rsid w:val="00B44B99"/>
    <w:rsid w:val="00B44D5A"/>
    <w:rsid w:val="00B44ED9"/>
    <w:rsid w:val="00B455D0"/>
    <w:rsid w:val="00B46359"/>
    <w:rsid w:val="00B46991"/>
    <w:rsid w:val="00B47280"/>
    <w:rsid w:val="00B477F5"/>
    <w:rsid w:val="00B477F6"/>
    <w:rsid w:val="00B47DCC"/>
    <w:rsid w:val="00B505B9"/>
    <w:rsid w:val="00B50D26"/>
    <w:rsid w:val="00B50E45"/>
    <w:rsid w:val="00B51615"/>
    <w:rsid w:val="00B51628"/>
    <w:rsid w:val="00B516BD"/>
    <w:rsid w:val="00B51C70"/>
    <w:rsid w:val="00B52370"/>
    <w:rsid w:val="00B527D7"/>
    <w:rsid w:val="00B52CA7"/>
    <w:rsid w:val="00B5306B"/>
    <w:rsid w:val="00B5342F"/>
    <w:rsid w:val="00B53F5A"/>
    <w:rsid w:val="00B54419"/>
    <w:rsid w:val="00B5533D"/>
    <w:rsid w:val="00B557B2"/>
    <w:rsid w:val="00B55E67"/>
    <w:rsid w:val="00B55E93"/>
    <w:rsid w:val="00B55E99"/>
    <w:rsid w:val="00B56B1A"/>
    <w:rsid w:val="00B56F90"/>
    <w:rsid w:val="00B577CC"/>
    <w:rsid w:val="00B57BBD"/>
    <w:rsid w:val="00B57D0B"/>
    <w:rsid w:val="00B57E5F"/>
    <w:rsid w:val="00B602F7"/>
    <w:rsid w:val="00B608C5"/>
    <w:rsid w:val="00B60A2C"/>
    <w:rsid w:val="00B60A7D"/>
    <w:rsid w:val="00B61994"/>
    <w:rsid w:val="00B62927"/>
    <w:rsid w:val="00B62DD4"/>
    <w:rsid w:val="00B63260"/>
    <w:rsid w:val="00B63BEE"/>
    <w:rsid w:val="00B640B7"/>
    <w:rsid w:val="00B64627"/>
    <w:rsid w:val="00B64A1B"/>
    <w:rsid w:val="00B64C0D"/>
    <w:rsid w:val="00B64D32"/>
    <w:rsid w:val="00B64EE2"/>
    <w:rsid w:val="00B65805"/>
    <w:rsid w:val="00B65E08"/>
    <w:rsid w:val="00B65FF1"/>
    <w:rsid w:val="00B66149"/>
    <w:rsid w:val="00B662B6"/>
    <w:rsid w:val="00B66324"/>
    <w:rsid w:val="00B665C8"/>
    <w:rsid w:val="00B666EF"/>
    <w:rsid w:val="00B66A22"/>
    <w:rsid w:val="00B66F2D"/>
    <w:rsid w:val="00B66F31"/>
    <w:rsid w:val="00B677A7"/>
    <w:rsid w:val="00B67CE0"/>
    <w:rsid w:val="00B701B7"/>
    <w:rsid w:val="00B70235"/>
    <w:rsid w:val="00B70AFC"/>
    <w:rsid w:val="00B70F6D"/>
    <w:rsid w:val="00B71009"/>
    <w:rsid w:val="00B71341"/>
    <w:rsid w:val="00B71E07"/>
    <w:rsid w:val="00B71E5B"/>
    <w:rsid w:val="00B7230B"/>
    <w:rsid w:val="00B72A18"/>
    <w:rsid w:val="00B734EF"/>
    <w:rsid w:val="00B7413C"/>
    <w:rsid w:val="00B748B3"/>
    <w:rsid w:val="00B7496C"/>
    <w:rsid w:val="00B7524E"/>
    <w:rsid w:val="00B75B44"/>
    <w:rsid w:val="00B75CD2"/>
    <w:rsid w:val="00B7691D"/>
    <w:rsid w:val="00B77326"/>
    <w:rsid w:val="00B774A2"/>
    <w:rsid w:val="00B775EF"/>
    <w:rsid w:val="00B776DA"/>
    <w:rsid w:val="00B77B04"/>
    <w:rsid w:val="00B77C3C"/>
    <w:rsid w:val="00B77D26"/>
    <w:rsid w:val="00B8062B"/>
    <w:rsid w:val="00B810ED"/>
    <w:rsid w:val="00B81FF7"/>
    <w:rsid w:val="00B82396"/>
    <w:rsid w:val="00B82A8F"/>
    <w:rsid w:val="00B82DE3"/>
    <w:rsid w:val="00B8394A"/>
    <w:rsid w:val="00B83CCF"/>
    <w:rsid w:val="00B843A6"/>
    <w:rsid w:val="00B845D4"/>
    <w:rsid w:val="00B8490B"/>
    <w:rsid w:val="00B84D7E"/>
    <w:rsid w:val="00B852CB"/>
    <w:rsid w:val="00B853DC"/>
    <w:rsid w:val="00B85B3A"/>
    <w:rsid w:val="00B8626D"/>
    <w:rsid w:val="00B86279"/>
    <w:rsid w:val="00B874FA"/>
    <w:rsid w:val="00B87573"/>
    <w:rsid w:val="00B8792B"/>
    <w:rsid w:val="00B87C68"/>
    <w:rsid w:val="00B87D3D"/>
    <w:rsid w:val="00B87D43"/>
    <w:rsid w:val="00B9017A"/>
    <w:rsid w:val="00B903C6"/>
    <w:rsid w:val="00B90658"/>
    <w:rsid w:val="00B90DC0"/>
    <w:rsid w:val="00B90E4F"/>
    <w:rsid w:val="00B91005"/>
    <w:rsid w:val="00B912A0"/>
    <w:rsid w:val="00B917AC"/>
    <w:rsid w:val="00B91B4B"/>
    <w:rsid w:val="00B91D02"/>
    <w:rsid w:val="00B92296"/>
    <w:rsid w:val="00B9261F"/>
    <w:rsid w:val="00B9292C"/>
    <w:rsid w:val="00B92AB0"/>
    <w:rsid w:val="00B92CD4"/>
    <w:rsid w:val="00B93055"/>
    <w:rsid w:val="00B9313A"/>
    <w:rsid w:val="00B93D57"/>
    <w:rsid w:val="00B94223"/>
    <w:rsid w:val="00B945B6"/>
    <w:rsid w:val="00B94930"/>
    <w:rsid w:val="00B94A4B"/>
    <w:rsid w:val="00B9518D"/>
    <w:rsid w:val="00B9519E"/>
    <w:rsid w:val="00B951BB"/>
    <w:rsid w:val="00B95A76"/>
    <w:rsid w:val="00B96491"/>
    <w:rsid w:val="00B979AA"/>
    <w:rsid w:val="00B97E46"/>
    <w:rsid w:val="00BA09A4"/>
    <w:rsid w:val="00BA0BD1"/>
    <w:rsid w:val="00BA0CC0"/>
    <w:rsid w:val="00BA0E57"/>
    <w:rsid w:val="00BA0F16"/>
    <w:rsid w:val="00BA130E"/>
    <w:rsid w:val="00BA1609"/>
    <w:rsid w:val="00BA168F"/>
    <w:rsid w:val="00BA1AFF"/>
    <w:rsid w:val="00BA1BEF"/>
    <w:rsid w:val="00BA2139"/>
    <w:rsid w:val="00BA2FED"/>
    <w:rsid w:val="00BA30FF"/>
    <w:rsid w:val="00BA31B2"/>
    <w:rsid w:val="00BA3988"/>
    <w:rsid w:val="00BA40E3"/>
    <w:rsid w:val="00BA43A2"/>
    <w:rsid w:val="00BA4FF2"/>
    <w:rsid w:val="00BA532B"/>
    <w:rsid w:val="00BA53A4"/>
    <w:rsid w:val="00BA5645"/>
    <w:rsid w:val="00BA592E"/>
    <w:rsid w:val="00BA5A27"/>
    <w:rsid w:val="00BA5FB8"/>
    <w:rsid w:val="00BA6291"/>
    <w:rsid w:val="00BA6521"/>
    <w:rsid w:val="00BA6996"/>
    <w:rsid w:val="00BA69D2"/>
    <w:rsid w:val="00BA6B71"/>
    <w:rsid w:val="00BA6BC9"/>
    <w:rsid w:val="00BA746A"/>
    <w:rsid w:val="00BA7A76"/>
    <w:rsid w:val="00BA7C4C"/>
    <w:rsid w:val="00BB0004"/>
    <w:rsid w:val="00BB0A33"/>
    <w:rsid w:val="00BB1486"/>
    <w:rsid w:val="00BB14A5"/>
    <w:rsid w:val="00BB20F8"/>
    <w:rsid w:val="00BB2A77"/>
    <w:rsid w:val="00BB2AB7"/>
    <w:rsid w:val="00BB2BBB"/>
    <w:rsid w:val="00BB305B"/>
    <w:rsid w:val="00BB3551"/>
    <w:rsid w:val="00BB3CD8"/>
    <w:rsid w:val="00BB4DE0"/>
    <w:rsid w:val="00BB5272"/>
    <w:rsid w:val="00BB5757"/>
    <w:rsid w:val="00BB676E"/>
    <w:rsid w:val="00BB6A1C"/>
    <w:rsid w:val="00BB73F1"/>
    <w:rsid w:val="00BB7499"/>
    <w:rsid w:val="00BB759E"/>
    <w:rsid w:val="00BB7697"/>
    <w:rsid w:val="00BB7769"/>
    <w:rsid w:val="00BB77DC"/>
    <w:rsid w:val="00BB7894"/>
    <w:rsid w:val="00BB78E8"/>
    <w:rsid w:val="00BB7956"/>
    <w:rsid w:val="00BB7A7D"/>
    <w:rsid w:val="00BC000E"/>
    <w:rsid w:val="00BC0086"/>
    <w:rsid w:val="00BC14AF"/>
    <w:rsid w:val="00BC1B5C"/>
    <w:rsid w:val="00BC27F1"/>
    <w:rsid w:val="00BC297B"/>
    <w:rsid w:val="00BC2AF4"/>
    <w:rsid w:val="00BC2DC6"/>
    <w:rsid w:val="00BC2E17"/>
    <w:rsid w:val="00BC30EE"/>
    <w:rsid w:val="00BC3344"/>
    <w:rsid w:val="00BC3609"/>
    <w:rsid w:val="00BC3967"/>
    <w:rsid w:val="00BC3A12"/>
    <w:rsid w:val="00BC3A8D"/>
    <w:rsid w:val="00BC3AD9"/>
    <w:rsid w:val="00BC3C89"/>
    <w:rsid w:val="00BC4539"/>
    <w:rsid w:val="00BC484A"/>
    <w:rsid w:val="00BC4FB0"/>
    <w:rsid w:val="00BC55A4"/>
    <w:rsid w:val="00BC5BDE"/>
    <w:rsid w:val="00BC64DE"/>
    <w:rsid w:val="00BC70BF"/>
    <w:rsid w:val="00BC7208"/>
    <w:rsid w:val="00BC7574"/>
    <w:rsid w:val="00BC772B"/>
    <w:rsid w:val="00BC7AA5"/>
    <w:rsid w:val="00BC7B38"/>
    <w:rsid w:val="00BC7E09"/>
    <w:rsid w:val="00BC7E4A"/>
    <w:rsid w:val="00BC7F9A"/>
    <w:rsid w:val="00BD09E8"/>
    <w:rsid w:val="00BD1188"/>
    <w:rsid w:val="00BD1372"/>
    <w:rsid w:val="00BD1940"/>
    <w:rsid w:val="00BD1C14"/>
    <w:rsid w:val="00BD1F42"/>
    <w:rsid w:val="00BD23D8"/>
    <w:rsid w:val="00BD25A8"/>
    <w:rsid w:val="00BD2C67"/>
    <w:rsid w:val="00BD3582"/>
    <w:rsid w:val="00BD3736"/>
    <w:rsid w:val="00BD38E1"/>
    <w:rsid w:val="00BD3B81"/>
    <w:rsid w:val="00BD3D24"/>
    <w:rsid w:val="00BD4CB4"/>
    <w:rsid w:val="00BD4E9E"/>
    <w:rsid w:val="00BD54B7"/>
    <w:rsid w:val="00BD5631"/>
    <w:rsid w:val="00BD5ED9"/>
    <w:rsid w:val="00BD64C5"/>
    <w:rsid w:val="00BD6A27"/>
    <w:rsid w:val="00BD75DF"/>
    <w:rsid w:val="00BD76BF"/>
    <w:rsid w:val="00BE01A6"/>
    <w:rsid w:val="00BE033E"/>
    <w:rsid w:val="00BE03F6"/>
    <w:rsid w:val="00BE0FDE"/>
    <w:rsid w:val="00BE1085"/>
    <w:rsid w:val="00BE114D"/>
    <w:rsid w:val="00BE130C"/>
    <w:rsid w:val="00BE1422"/>
    <w:rsid w:val="00BE147A"/>
    <w:rsid w:val="00BE15B8"/>
    <w:rsid w:val="00BE1EBE"/>
    <w:rsid w:val="00BE2536"/>
    <w:rsid w:val="00BE2711"/>
    <w:rsid w:val="00BE2D1C"/>
    <w:rsid w:val="00BE2E53"/>
    <w:rsid w:val="00BE31A5"/>
    <w:rsid w:val="00BE38FB"/>
    <w:rsid w:val="00BE3D0B"/>
    <w:rsid w:val="00BE4097"/>
    <w:rsid w:val="00BE4613"/>
    <w:rsid w:val="00BE4772"/>
    <w:rsid w:val="00BE4FD9"/>
    <w:rsid w:val="00BE5093"/>
    <w:rsid w:val="00BE52C2"/>
    <w:rsid w:val="00BE54DB"/>
    <w:rsid w:val="00BE57C3"/>
    <w:rsid w:val="00BE619C"/>
    <w:rsid w:val="00BE6BDD"/>
    <w:rsid w:val="00BE6F4A"/>
    <w:rsid w:val="00BE737F"/>
    <w:rsid w:val="00BE74C8"/>
    <w:rsid w:val="00BE7D64"/>
    <w:rsid w:val="00BE7DC0"/>
    <w:rsid w:val="00BF001A"/>
    <w:rsid w:val="00BF030E"/>
    <w:rsid w:val="00BF0EB6"/>
    <w:rsid w:val="00BF0FD5"/>
    <w:rsid w:val="00BF10BD"/>
    <w:rsid w:val="00BF13CE"/>
    <w:rsid w:val="00BF19CF"/>
    <w:rsid w:val="00BF1C1A"/>
    <w:rsid w:val="00BF1E31"/>
    <w:rsid w:val="00BF2653"/>
    <w:rsid w:val="00BF28F6"/>
    <w:rsid w:val="00BF2B33"/>
    <w:rsid w:val="00BF353B"/>
    <w:rsid w:val="00BF3D4D"/>
    <w:rsid w:val="00BF3DFB"/>
    <w:rsid w:val="00BF4DF8"/>
    <w:rsid w:val="00BF5894"/>
    <w:rsid w:val="00BF5BAE"/>
    <w:rsid w:val="00BF6A33"/>
    <w:rsid w:val="00BF6B49"/>
    <w:rsid w:val="00BF6C99"/>
    <w:rsid w:val="00BF7097"/>
    <w:rsid w:val="00BF7854"/>
    <w:rsid w:val="00BF7A56"/>
    <w:rsid w:val="00BF7EB4"/>
    <w:rsid w:val="00BF7EFB"/>
    <w:rsid w:val="00BF7F90"/>
    <w:rsid w:val="00C00088"/>
    <w:rsid w:val="00C000FA"/>
    <w:rsid w:val="00C00640"/>
    <w:rsid w:val="00C00A2F"/>
    <w:rsid w:val="00C00B3E"/>
    <w:rsid w:val="00C00C92"/>
    <w:rsid w:val="00C01F1A"/>
    <w:rsid w:val="00C020EB"/>
    <w:rsid w:val="00C03036"/>
    <w:rsid w:val="00C03318"/>
    <w:rsid w:val="00C03572"/>
    <w:rsid w:val="00C03798"/>
    <w:rsid w:val="00C03B5D"/>
    <w:rsid w:val="00C03D1A"/>
    <w:rsid w:val="00C04102"/>
    <w:rsid w:val="00C043BC"/>
    <w:rsid w:val="00C044B9"/>
    <w:rsid w:val="00C04823"/>
    <w:rsid w:val="00C04D46"/>
    <w:rsid w:val="00C0507D"/>
    <w:rsid w:val="00C0580A"/>
    <w:rsid w:val="00C05954"/>
    <w:rsid w:val="00C06118"/>
    <w:rsid w:val="00C06C1A"/>
    <w:rsid w:val="00C06CF4"/>
    <w:rsid w:val="00C07836"/>
    <w:rsid w:val="00C07993"/>
    <w:rsid w:val="00C07CAF"/>
    <w:rsid w:val="00C07EF6"/>
    <w:rsid w:val="00C103FD"/>
    <w:rsid w:val="00C1141E"/>
    <w:rsid w:val="00C11785"/>
    <w:rsid w:val="00C11D12"/>
    <w:rsid w:val="00C11DE3"/>
    <w:rsid w:val="00C12DC4"/>
    <w:rsid w:val="00C135E8"/>
    <w:rsid w:val="00C13C46"/>
    <w:rsid w:val="00C148A4"/>
    <w:rsid w:val="00C1496F"/>
    <w:rsid w:val="00C14D10"/>
    <w:rsid w:val="00C151C3"/>
    <w:rsid w:val="00C16A96"/>
    <w:rsid w:val="00C17227"/>
    <w:rsid w:val="00C17274"/>
    <w:rsid w:val="00C172CA"/>
    <w:rsid w:val="00C179CB"/>
    <w:rsid w:val="00C17C40"/>
    <w:rsid w:val="00C17E4B"/>
    <w:rsid w:val="00C2007C"/>
    <w:rsid w:val="00C205A4"/>
    <w:rsid w:val="00C209B5"/>
    <w:rsid w:val="00C20DCC"/>
    <w:rsid w:val="00C20F92"/>
    <w:rsid w:val="00C21388"/>
    <w:rsid w:val="00C2185B"/>
    <w:rsid w:val="00C22133"/>
    <w:rsid w:val="00C226BF"/>
    <w:rsid w:val="00C22773"/>
    <w:rsid w:val="00C22E2C"/>
    <w:rsid w:val="00C22F98"/>
    <w:rsid w:val="00C2338F"/>
    <w:rsid w:val="00C23573"/>
    <w:rsid w:val="00C236E5"/>
    <w:rsid w:val="00C238EB"/>
    <w:rsid w:val="00C2391E"/>
    <w:rsid w:val="00C23A18"/>
    <w:rsid w:val="00C23C56"/>
    <w:rsid w:val="00C23E76"/>
    <w:rsid w:val="00C23F06"/>
    <w:rsid w:val="00C23F4E"/>
    <w:rsid w:val="00C23FD8"/>
    <w:rsid w:val="00C248BC"/>
    <w:rsid w:val="00C24926"/>
    <w:rsid w:val="00C24F3A"/>
    <w:rsid w:val="00C25166"/>
    <w:rsid w:val="00C25639"/>
    <w:rsid w:val="00C25AB6"/>
    <w:rsid w:val="00C26559"/>
    <w:rsid w:val="00C268FF"/>
    <w:rsid w:val="00C2705C"/>
    <w:rsid w:val="00C27329"/>
    <w:rsid w:val="00C27346"/>
    <w:rsid w:val="00C27F2C"/>
    <w:rsid w:val="00C30A44"/>
    <w:rsid w:val="00C30CD5"/>
    <w:rsid w:val="00C30DF1"/>
    <w:rsid w:val="00C31064"/>
    <w:rsid w:val="00C3109E"/>
    <w:rsid w:val="00C313BE"/>
    <w:rsid w:val="00C318E3"/>
    <w:rsid w:val="00C31B4A"/>
    <w:rsid w:val="00C31C25"/>
    <w:rsid w:val="00C31C50"/>
    <w:rsid w:val="00C31CF1"/>
    <w:rsid w:val="00C31F9D"/>
    <w:rsid w:val="00C3239A"/>
    <w:rsid w:val="00C32479"/>
    <w:rsid w:val="00C32A24"/>
    <w:rsid w:val="00C32B47"/>
    <w:rsid w:val="00C32BDD"/>
    <w:rsid w:val="00C32C03"/>
    <w:rsid w:val="00C32D30"/>
    <w:rsid w:val="00C33039"/>
    <w:rsid w:val="00C33995"/>
    <w:rsid w:val="00C34425"/>
    <w:rsid w:val="00C34A73"/>
    <w:rsid w:val="00C34BE6"/>
    <w:rsid w:val="00C34D1A"/>
    <w:rsid w:val="00C3564A"/>
    <w:rsid w:val="00C357FC"/>
    <w:rsid w:val="00C35A48"/>
    <w:rsid w:val="00C36201"/>
    <w:rsid w:val="00C3635F"/>
    <w:rsid w:val="00C369DC"/>
    <w:rsid w:val="00C378C3"/>
    <w:rsid w:val="00C37BFE"/>
    <w:rsid w:val="00C37D00"/>
    <w:rsid w:val="00C401EC"/>
    <w:rsid w:val="00C404AC"/>
    <w:rsid w:val="00C40BB5"/>
    <w:rsid w:val="00C40EDA"/>
    <w:rsid w:val="00C4111C"/>
    <w:rsid w:val="00C41236"/>
    <w:rsid w:val="00C412CC"/>
    <w:rsid w:val="00C41569"/>
    <w:rsid w:val="00C41C60"/>
    <w:rsid w:val="00C41FC6"/>
    <w:rsid w:val="00C424E2"/>
    <w:rsid w:val="00C4263B"/>
    <w:rsid w:val="00C430C0"/>
    <w:rsid w:val="00C43157"/>
    <w:rsid w:val="00C43418"/>
    <w:rsid w:val="00C43596"/>
    <w:rsid w:val="00C436BA"/>
    <w:rsid w:val="00C4388D"/>
    <w:rsid w:val="00C43C3F"/>
    <w:rsid w:val="00C440CD"/>
    <w:rsid w:val="00C442F0"/>
    <w:rsid w:val="00C447B0"/>
    <w:rsid w:val="00C44F0C"/>
    <w:rsid w:val="00C44FD8"/>
    <w:rsid w:val="00C45009"/>
    <w:rsid w:val="00C45513"/>
    <w:rsid w:val="00C458B8"/>
    <w:rsid w:val="00C458C8"/>
    <w:rsid w:val="00C45B8B"/>
    <w:rsid w:val="00C45D41"/>
    <w:rsid w:val="00C45F4F"/>
    <w:rsid w:val="00C463C9"/>
    <w:rsid w:val="00C46B03"/>
    <w:rsid w:val="00C46B44"/>
    <w:rsid w:val="00C471B6"/>
    <w:rsid w:val="00C475C4"/>
    <w:rsid w:val="00C50449"/>
    <w:rsid w:val="00C505B6"/>
    <w:rsid w:val="00C5078B"/>
    <w:rsid w:val="00C50BFC"/>
    <w:rsid w:val="00C50D40"/>
    <w:rsid w:val="00C50E4A"/>
    <w:rsid w:val="00C519F2"/>
    <w:rsid w:val="00C52118"/>
    <w:rsid w:val="00C522E0"/>
    <w:rsid w:val="00C52D7B"/>
    <w:rsid w:val="00C532FE"/>
    <w:rsid w:val="00C533D4"/>
    <w:rsid w:val="00C5386F"/>
    <w:rsid w:val="00C53A26"/>
    <w:rsid w:val="00C53F8A"/>
    <w:rsid w:val="00C5449C"/>
    <w:rsid w:val="00C54540"/>
    <w:rsid w:val="00C5460D"/>
    <w:rsid w:val="00C54E95"/>
    <w:rsid w:val="00C55367"/>
    <w:rsid w:val="00C5548E"/>
    <w:rsid w:val="00C5559D"/>
    <w:rsid w:val="00C55AFE"/>
    <w:rsid w:val="00C55D94"/>
    <w:rsid w:val="00C56C52"/>
    <w:rsid w:val="00C57A71"/>
    <w:rsid w:val="00C60743"/>
    <w:rsid w:val="00C60BBC"/>
    <w:rsid w:val="00C618EC"/>
    <w:rsid w:val="00C62119"/>
    <w:rsid w:val="00C622D4"/>
    <w:rsid w:val="00C6261B"/>
    <w:rsid w:val="00C6271A"/>
    <w:rsid w:val="00C62EAF"/>
    <w:rsid w:val="00C63039"/>
    <w:rsid w:val="00C643C0"/>
    <w:rsid w:val="00C64890"/>
    <w:rsid w:val="00C64C05"/>
    <w:rsid w:val="00C654A2"/>
    <w:rsid w:val="00C65673"/>
    <w:rsid w:val="00C65C90"/>
    <w:rsid w:val="00C65DDB"/>
    <w:rsid w:val="00C65EA6"/>
    <w:rsid w:val="00C65EB5"/>
    <w:rsid w:val="00C66622"/>
    <w:rsid w:val="00C667EC"/>
    <w:rsid w:val="00C66B8C"/>
    <w:rsid w:val="00C670D4"/>
    <w:rsid w:val="00C6713A"/>
    <w:rsid w:val="00C67654"/>
    <w:rsid w:val="00C67DDF"/>
    <w:rsid w:val="00C7041C"/>
    <w:rsid w:val="00C70C1D"/>
    <w:rsid w:val="00C70DCB"/>
    <w:rsid w:val="00C70E4C"/>
    <w:rsid w:val="00C70ECA"/>
    <w:rsid w:val="00C70F47"/>
    <w:rsid w:val="00C710B6"/>
    <w:rsid w:val="00C71621"/>
    <w:rsid w:val="00C7183B"/>
    <w:rsid w:val="00C721F4"/>
    <w:rsid w:val="00C7257C"/>
    <w:rsid w:val="00C72B09"/>
    <w:rsid w:val="00C72C16"/>
    <w:rsid w:val="00C72C25"/>
    <w:rsid w:val="00C72DC8"/>
    <w:rsid w:val="00C72E36"/>
    <w:rsid w:val="00C7377B"/>
    <w:rsid w:val="00C7397A"/>
    <w:rsid w:val="00C73BF6"/>
    <w:rsid w:val="00C73C24"/>
    <w:rsid w:val="00C74040"/>
    <w:rsid w:val="00C740BE"/>
    <w:rsid w:val="00C74158"/>
    <w:rsid w:val="00C74B31"/>
    <w:rsid w:val="00C74D69"/>
    <w:rsid w:val="00C75253"/>
    <w:rsid w:val="00C75A91"/>
    <w:rsid w:val="00C75B2A"/>
    <w:rsid w:val="00C762E2"/>
    <w:rsid w:val="00C76479"/>
    <w:rsid w:val="00C76B9D"/>
    <w:rsid w:val="00C76D82"/>
    <w:rsid w:val="00C76DBF"/>
    <w:rsid w:val="00C773A3"/>
    <w:rsid w:val="00C80365"/>
    <w:rsid w:val="00C8065C"/>
    <w:rsid w:val="00C80738"/>
    <w:rsid w:val="00C80911"/>
    <w:rsid w:val="00C80B7D"/>
    <w:rsid w:val="00C81017"/>
    <w:rsid w:val="00C811AA"/>
    <w:rsid w:val="00C8193C"/>
    <w:rsid w:val="00C81CB5"/>
    <w:rsid w:val="00C82314"/>
    <w:rsid w:val="00C823A5"/>
    <w:rsid w:val="00C827C3"/>
    <w:rsid w:val="00C83124"/>
    <w:rsid w:val="00C834C3"/>
    <w:rsid w:val="00C83855"/>
    <w:rsid w:val="00C8519D"/>
    <w:rsid w:val="00C85581"/>
    <w:rsid w:val="00C85EA9"/>
    <w:rsid w:val="00C87381"/>
    <w:rsid w:val="00C87545"/>
    <w:rsid w:val="00C87767"/>
    <w:rsid w:val="00C87DCD"/>
    <w:rsid w:val="00C90037"/>
    <w:rsid w:val="00C902A1"/>
    <w:rsid w:val="00C902B0"/>
    <w:rsid w:val="00C91613"/>
    <w:rsid w:val="00C91968"/>
    <w:rsid w:val="00C9289D"/>
    <w:rsid w:val="00C93026"/>
    <w:rsid w:val="00C931E7"/>
    <w:rsid w:val="00C936B2"/>
    <w:rsid w:val="00C9370F"/>
    <w:rsid w:val="00C9380B"/>
    <w:rsid w:val="00C93883"/>
    <w:rsid w:val="00C94115"/>
    <w:rsid w:val="00C9479E"/>
    <w:rsid w:val="00C94B0C"/>
    <w:rsid w:val="00C9518D"/>
    <w:rsid w:val="00C9542A"/>
    <w:rsid w:val="00C95A58"/>
    <w:rsid w:val="00C95F4D"/>
    <w:rsid w:val="00C96093"/>
    <w:rsid w:val="00C96160"/>
    <w:rsid w:val="00C96520"/>
    <w:rsid w:val="00C96567"/>
    <w:rsid w:val="00C96931"/>
    <w:rsid w:val="00C97758"/>
    <w:rsid w:val="00C979BC"/>
    <w:rsid w:val="00CA002B"/>
    <w:rsid w:val="00CA01B0"/>
    <w:rsid w:val="00CA07CA"/>
    <w:rsid w:val="00CA083C"/>
    <w:rsid w:val="00CA099F"/>
    <w:rsid w:val="00CA0E67"/>
    <w:rsid w:val="00CA129B"/>
    <w:rsid w:val="00CA139C"/>
    <w:rsid w:val="00CA150A"/>
    <w:rsid w:val="00CA1B95"/>
    <w:rsid w:val="00CA1EB5"/>
    <w:rsid w:val="00CA29EB"/>
    <w:rsid w:val="00CA3256"/>
    <w:rsid w:val="00CA3423"/>
    <w:rsid w:val="00CA403B"/>
    <w:rsid w:val="00CA40E3"/>
    <w:rsid w:val="00CA454C"/>
    <w:rsid w:val="00CA4F69"/>
    <w:rsid w:val="00CA55A1"/>
    <w:rsid w:val="00CA5787"/>
    <w:rsid w:val="00CA595B"/>
    <w:rsid w:val="00CA5B12"/>
    <w:rsid w:val="00CA6286"/>
    <w:rsid w:val="00CA6437"/>
    <w:rsid w:val="00CA69E0"/>
    <w:rsid w:val="00CA739E"/>
    <w:rsid w:val="00CA754E"/>
    <w:rsid w:val="00CA76E0"/>
    <w:rsid w:val="00CA7825"/>
    <w:rsid w:val="00CA78FB"/>
    <w:rsid w:val="00CA7E46"/>
    <w:rsid w:val="00CB0056"/>
    <w:rsid w:val="00CB0C6C"/>
    <w:rsid w:val="00CB0D6B"/>
    <w:rsid w:val="00CB1D8C"/>
    <w:rsid w:val="00CB1EBF"/>
    <w:rsid w:val="00CB2172"/>
    <w:rsid w:val="00CB254B"/>
    <w:rsid w:val="00CB431A"/>
    <w:rsid w:val="00CB4889"/>
    <w:rsid w:val="00CB535B"/>
    <w:rsid w:val="00CB535F"/>
    <w:rsid w:val="00CB5C60"/>
    <w:rsid w:val="00CB5CEB"/>
    <w:rsid w:val="00CB5F21"/>
    <w:rsid w:val="00CB5FFD"/>
    <w:rsid w:val="00CB63D9"/>
    <w:rsid w:val="00CB68E9"/>
    <w:rsid w:val="00CB6C5C"/>
    <w:rsid w:val="00CB7214"/>
    <w:rsid w:val="00CB76CB"/>
    <w:rsid w:val="00CC0940"/>
    <w:rsid w:val="00CC09E4"/>
    <w:rsid w:val="00CC0AD6"/>
    <w:rsid w:val="00CC0B08"/>
    <w:rsid w:val="00CC0B2C"/>
    <w:rsid w:val="00CC0B4B"/>
    <w:rsid w:val="00CC1251"/>
    <w:rsid w:val="00CC1403"/>
    <w:rsid w:val="00CC18EB"/>
    <w:rsid w:val="00CC24D9"/>
    <w:rsid w:val="00CC2830"/>
    <w:rsid w:val="00CC2D75"/>
    <w:rsid w:val="00CC33C1"/>
    <w:rsid w:val="00CC3484"/>
    <w:rsid w:val="00CC3520"/>
    <w:rsid w:val="00CC3718"/>
    <w:rsid w:val="00CC3772"/>
    <w:rsid w:val="00CC378E"/>
    <w:rsid w:val="00CC3DAF"/>
    <w:rsid w:val="00CC40D3"/>
    <w:rsid w:val="00CC447F"/>
    <w:rsid w:val="00CC48A8"/>
    <w:rsid w:val="00CC5526"/>
    <w:rsid w:val="00CC5916"/>
    <w:rsid w:val="00CC6564"/>
    <w:rsid w:val="00CC6897"/>
    <w:rsid w:val="00CC6ABF"/>
    <w:rsid w:val="00CC74ED"/>
    <w:rsid w:val="00CC7EE0"/>
    <w:rsid w:val="00CD0155"/>
    <w:rsid w:val="00CD01B6"/>
    <w:rsid w:val="00CD0490"/>
    <w:rsid w:val="00CD0749"/>
    <w:rsid w:val="00CD0C7E"/>
    <w:rsid w:val="00CD0E9D"/>
    <w:rsid w:val="00CD120D"/>
    <w:rsid w:val="00CD1BCD"/>
    <w:rsid w:val="00CD2BA8"/>
    <w:rsid w:val="00CD2C63"/>
    <w:rsid w:val="00CD310A"/>
    <w:rsid w:val="00CD3F2E"/>
    <w:rsid w:val="00CD4025"/>
    <w:rsid w:val="00CD40C2"/>
    <w:rsid w:val="00CD4DE2"/>
    <w:rsid w:val="00CD4E28"/>
    <w:rsid w:val="00CD4F05"/>
    <w:rsid w:val="00CD52AB"/>
    <w:rsid w:val="00CD5430"/>
    <w:rsid w:val="00CD562B"/>
    <w:rsid w:val="00CD609B"/>
    <w:rsid w:val="00CD637E"/>
    <w:rsid w:val="00CD68CF"/>
    <w:rsid w:val="00CD6B42"/>
    <w:rsid w:val="00CD6CB5"/>
    <w:rsid w:val="00CD6CF6"/>
    <w:rsid w:val="00CD6FE7"/>
    <w:rsid w:val="00CD73B4"/>
    <w:rsid w:val="00CD774A"/>
    <w:rsid w:val="00CD7791"/>
    <w:rsid w:val="00CD7AB4"/>
    <w:rsid w:val="00CD7BAF"/>
    <w:rsid w:val="00CE0458"/>
    <w:rsid w:val="00CE0825"/>
    <w:rsid w:val="00CE13B8"/>
    <w:rsid w:val="00CE1D33"/>
    <w:rsid w:val="00CE22F5"/>
    <w:rsid w:val="00CE260B"/>
    <w:rsid w:val="00CE291D"/>
    <w:rsid w:val="00CE2AA4"/>
    <w:rsid w:val="00CE2ADC"/>
    <w:rsid w:val="00CE3103"/>
    <w:rsid w:val="00CE3116"/>
    <w:rsid w:val="00CE3761"/>
    <w:rsid w:val="00CE38CF"/>
    <w:rsid w:val="00CE3A60"/>
    <w:rsid w:val="00CE3D86"/>
    <w:rsid w:val="00CE4ABC"/>
    <w:rsid w:val="00CE4C58"/>
    <w:rsid w:val="00CE4F97"/>
    <w:rsid w:val="00CE5A56"/>
    <w:rsid w:val="00CE6117"/>
    <w:rsid w:val="00CE661B"/>
    <w:rsid w:val="00CE69A5"/>
    <w:rsid w:val="00CE7546"/>
    <w:rsid w:val="00CE7575"/>
    <w:rsid w:val="00CE75AC"/>
    <w:rsid w:val="00CE7806"/>
    <w:rsid w:val="00CE7925"/>
    <w:rsid w:val="00CF03A3"/>
    <w:rsid w:val="00CF04A9"/>
    <w:rsid w:val="00CF07C3"/>
    <w:rsid w:val="00CF08C4"/>
    <w:rsid w:val="00CF0FD9"/>
    <w:rsid w:val="00CF19A2"/>
    <w:rsid w:val="00CF1BDA"/>
    <w:rsid w:val="00CF1C54"/>
    <w:rsid w:val="00CF1FC0"/>
    <w:rsid w:val="00CF25D4"/>
    <w:rsid w:val="00CF28AB"/>
    <w:rsid w:val="00CF29B7"/>
    <w:rsid w:val="00CF2F0F"/>
    <w:rsid w:val="00CF32CF"/>
    <w:rsid w:val="00CF35A7"/>
    <w:rsid w:val="00CF3AC4"/>
    <w:rsid w:val="00CF3E76"/>
    <w:rsid w:val="00CF4251"/>
    <w:rsid w:val="00CF42DE"/>
    <w:rsid w:val="00CF491F"/>
    <w:rsid w:val="00CF4F01"/>
    <w:rsid w:val="00CF5AEF"/>
    <w:rsid w:val="00CF5B54"/>
    <w:rsid w:val="00CF608F"/>
    <w:rsid w:val="00CF644E"/>
    <w:rsid w:val="00CF660C"/>
    <w:rsid w:val="00CF67AE"/>
    <w:rsid w:val="00CF706C"/>
    <w:rsid w:val="00CF7188"/>
    <w:rsid w:val="00CF72B0"/>
    <w:rsid w:val="00CF7461"/>
    <w:rsid w:val="00CF7572"/>
    <w:rsid w:val="00CF7737"/>
    <w:rsid w:val="00CF7854"/>
    <w:rsid w:val="00CF7A23"/>
    <w:rsid w:val="00CF7B62"/>
    <w:rsid w:val="00CF7C51"/>
    <w:rsid w:val="00CF7E93"/>
    <w:rsid w:val="00D0084E"/>
    <w:rsid w:val="00D00AE2"/>
    <w:rsid w:val="00D00C36"/>
    <w:rsid w:val="00D00E4E"/>
    <w:rsid w:val="00D00F3D"/>
    <w:rsid w:val="00D012CF"/>
    <w:rsid w:val="00D014B6"/>
    <w:rsid w:val="00D016D6"/>
    <w:rsid w:val="00D021A3"/>
    <w:rsid w:val="00D02455"/>
    <w:rsid w:val="00D02532"/>
    <w:rsid w:val="00D02762"/>
    <w:rsid w:val="00D02AB5"/>
    <w:rsid w:val="00D0318B"/>
    <w:rsid w:val="00D03300"/>
    <w:rsid w:val="00D035BB"/>
    <w:rsid w:val="00D039C4"/>
    <w:rsid w:val="00D03C6B"/>
    <w:rsid w:val="00D04255"/>
    <w:rsid w:val="00D044FD"/>
    <w:rsid w:val="00D04FE6"/>
    <w:rsid w:val="00D050EA"/>
    <w:rsid w:val="00D05C12"/>
    <w:rsid w:val="00D05D7F"/>
    <w:rsid w:val="00D061CA"/>
    <w:rsid w:val="00D06515"/>
    <w:rsid w:val="00D06B8D"/>
    <w:rsid w:val="00D06C4F"/>
    <w:rsid w:val="00D06E9B"/>
    <w:rsid w:val="00D06EA6"/>
    <w:rsid w:val="00D07B1E"/>
    <w:rsid w:val="00D07D3F"/>
    <w:rsid w:val="00D10918"/>
    <w:rsid w:val="00D10F73"/>
    <w:rsid w:val="00D111A7"/>
    <w:rsid w:val="00D11A43"/>
    <w:rsid w:val="00D12607"/>
    <w:rsid w:val="00D12BF7"/>
    <w:rsid w:val="00D12D28"/>
    <w:rsid w:val="00D134FD"/>
    <w:rsid w:val="00D139CF"/>
    <w:rsid w:val="00D139DD"/>
    <w:rsid w:val="00D13B79"/>
    <w:rsid w:val="00D13BDF"/>
    <w:rsid w:val="00D13E5D"/>
    <w:rsid w:val="00D141A7"/>
    <w:rsid w:val="00D14525"/>
    <w:rsid w:val="00D1487A"/>
    <w:rsid w:val="00D14C44"/>
    <w:rsid w:val="00D14E3C"/>
    <w:rsid w:val="00D14F19"/>
    <w:rsid w:val="00D151FC"/>
    <w:rsid w:val="00D15A48"/>
    <w:rsid w:val="00D15FE8"/>
    <w:rsid w:val="00D1621B"/>
    <w:rsid w:val="00D1632D"/>
    <w:rsid w:val="00D1638B"/>
    <w:rsid w:val="00D16FDC"/>
    <w:rsid w:val="00D17031"/>
    <w:rsid w:val="00D17048"/>
    <w:rsid w:val="00D1712F"/>
    <w:rsid w:val="00D179BE"/>
    <w:rsid w:val="00D2012B"/>
    <w:rsid w:val="00D20B32"/>
    <w:rsid w:val="00D212DC"/>
    <w:rsid w:val="00D21499"/>
    <w:rsid w:val="00D2157C"/>
    <w:rsid w:val="00D21C99"/>
    <w:rsid w:val="00D22185"/>
    <w:rsid w:val="00D22356"/>
    <w:rsid w:val="00D2258A"/>
    <w:rsid w:val="00D22AF2"/>
    <w:rsid w:val="00D22C2C"/>
    <w:rsid w:val="00D22C31"/>
    <w:rsid w:val="00D22E40"/>
    <w:rsid w:val="00D23065"/>
    <w:rsid w:val="00D2308C"/>
    <w:rsid w:val="00D23846"/>
    <w:rsid w:val="00D23FAB"/>
    <w:rsid w:val="00D24400"/>
    <w:rsid w:val="00D24F94"/>
    <w:rsid w:val="00D25031"/>
    <w:rsid w:val="00D25143"/>
    <w:rsid w:val="00D2574E"/>
    <w:rsid w:val="00D25EFC"/>
    <w:rsid w:val="00D26D07"/>
    <w:rsid w:val="00D27446"/>
    <w:rsid w:val="00D313E1"/>
    <w:rsid w:val="00D316B5"/>
    <w:rsid w:val="00D32167"/>
    <w:rsid w:val="00D32881"/>
    <w:rsid w:val="00D331F2"/>
    <w:rsid w:val="00D33A6A"/>
    <w:rsid w:val="00D3405F"/>
    <w:rsid w:val="00D34699"/>
    <w:rsid w:val="00D34A68"/>
    <w:rsid w:val="00D34D06"/>
    <w:rsid w:val="00D35B21"/>
    <w:rsid w:val="00D35E44"/>
    <w:rsid w:val="00D3613B"/>
    <w:rsid w:val="00D362EA"/>
    <w:rsid w:val="00D363E5"/>
    <w:rsid w:val="00D36924"/>
    <w:rsid w:val="00D3731F"/>
    <w:rsid w:val="00D376E2"/>
    <w:rsid w:val="00D404E0"/>
    <w:rsid w:val="00D40521"/>
    <w:rsid w:val="00D406E6"/>
    <w:rsid w:val="00D40DEA"/>
    <w:rsid w:val="00D4168E"/>
    <w:rsid w:val="00D42300"/>
    <w:rsid w:val="00D427C2"/>
    <w:rsid w:val="00D428BF"/>
    <w:rsid w:val="00D428C1"/>
    <w:rsid w:val="00D42981"/>
    <w:rsid w:val="00D42D82"/>
    <w:rsid w:val="00D42ED5"/>
    <w:rsid w:val="00D43229"/>
    <w:rsid w:val="00D439F3"/>
    <w:rsid w:val="00D43C65"/>
    <w:rsid w:val="00D43E9D"/>
    <w:rsid w:val="00D44020"/>
    <w:rsid w:val="00D447C9"/>
    <w:rsid w:val="00D44FC4"/>
    <w:rsid w:val="00D455D6"/>
    <w:rsid w:val="00D45915"/>
    <w:rsid w:val="00D45A73"/>
    <w:rsid w:val="00D45CDE"/>
    <w:rsid w:val="00D4672B"/>
    <w:rsid w:val="00D46F4E"/>
    <w:rsid w:val="00D4704C"/>
    <w:rsid w:val="00D474BB"/>
    <w:rsid w:val="00D476D1"/>
    <w:rsid w:val="00D47702"/>
    <w:rsid w:val="00D47AA2"/>
    <w:rsid w:val="00D47D5C"/>
    <w:rsid w:val="00D5024C"/>
    <w:rsid w:val="00D507C1"/>
    <w:rsid w:val="00D5088B"/>
    <w:rsid w:val="00D5109A"/>
    <w:rsid w:val="00D5187B"/>
    <w:rsid w:val="00D518F6"/>
    <w:rsid w:val="00D52345"/>
    <w:rsid w:val="00D52904"/>
    <w:rsid w:val="00D5297F"/>
    <w:rsid w:val="00D52A7C"/>
    <w:rsid w:val="00D52B93"/>
    <w:rsid w:val="00D52ED1"/>
    <w:rsid w:val="00D538D5"/>
    <w:rsid w:val="00D53D4E"/>
    <w:rsid w:val="00D54791"/>
    <w:rsid w:val="00D548B1"/>
    <w:rsid w:val="00D548C9"/>
    <w:rsid w:val="00D549B0"/>
    <w:rsid w:val="00D552D3"/>
    <w:rsid w:val="00D558C8"/>
    <w:rsid w:val="00D55C36"/>
    <w:rsid w:val="00D55F9A"/>
    <w:rsid w:val="00D5608F"/>
    <w:rsid w:val="00D5646B"/>
    <w:rsid w:val="00D569EE"/>
    <w:rsid w:val="00D56BBF"/>
    <w:rsid w:val="00D56E5D"/>
    <w:rsid w:val="00D56E84"/>
    <w:rsid w:val="00D572D5"/>
    <w:rsid w:val="00D57E68"/>
    <w:rsid w:val="00D605B6"/>
    <w:rsid w:val="00D60626"/>
    <w:rsid w:val="00D606B0"/>
    <w:rsid w:val="00D6129E"/>
    <w:rsid w:val="00D615A5"/>
    <w:rsid w:val="00D616EF"/>
    <w:rsid w:val="00D61C45"/>
    <w:rsid w:val="00D61CBF"/>
    <w:rsid w:val="00D6225A"/>
    <w:rsid w:val="00D62274"/>
    <w:rsid w:val="00D62304"/>
    <w:rsid w:val="00D62542"/>
    <w:rsid w:val="00D62F54"/>
    <w:rsid w:val="00D63116"/>
    <w:rsid w:val="00D63228"/>
    <w:rsid w:val="00D63A91"/>
    <w:rsid w:val="00D64071"/>
    <w:rsid w:val="00D640EC"/>
    <w:rsid w:val="00D6436C"/>
    <w:rsid w:val="00D64966"/>
    <w:rsid w:val="00D64A2F"/>
    <w:rsid w:val="00D64B3C"/>
    <w:rsid w:val="00D64DE6"/>
    <w:rsid w:val="00D652D2"/>
    <w:rsid w:val="00D65545"/>
    <w:rsid w:val="00D657BB"/>
    <w:rsid w:val="00D6589E"/>
    <w:rsid w:val="00D65A0D"/>
    <w:rsid w:val="00D65B66"/>
    <w:rsid w:val="00D664BA"/>
    <w:rsid w:val="00D670CA"/>
    <w:rsid w:val="00D70927"/>
    <w:rsid w:val="00D71B72"/>
    <w:rsid w:val="00D721E6"/>
    <w:rsid w:val="00D7252A"/>
    <w:rsid w:val="00D7338D"/>
    <w:rsid w:val="00D735B1"/>
    <w:rsid w:val="00D7442B"/>
    <w:rsid w:val="00D7455C"/>
    <w:rsid w:val="00D75207"/>
    <w:rsid w:val="00D75387"/>
    <w:rsid w:val="00D75AF1"/>
    <w:rsid w:val="00D75DEF"/>
    <w:rsid w:val="00D7660F"/>
    <w:rsid w:val="00D76D66"/>
    <w:rsid w:val="00D76E6F"/>
    <w:rsid w:val="00D777B4"/>
    <w:rsid w:val="00D77B0A"/>
    <w:rsid w:val="00D77DEF"/>
    <w:rsid w:val="00D80038"/>
    <w:rsid w:val="00D801B3"/>
    <w:rsid w:val="00D806ED"/>
    <w:rsid w:val="00D812FD"/>
    <w:rsid w:val="00D81344"/>
    <w:rsid w:val="00D81422"/>
    <w:rsid w:val="00D81510"/>
    <w:rsid w:val="00D81542"/>
    <w:rsid w:val="00D815E5"/>
    <w:rsid w:val="00D81D0B"/>
    <w:rsid w:val="00D82121"/>
    <w:rsid w:val="00D8228D"/>
    <w:rsid w:val="00D822D1"/>
    <w:rsid w:val="00D822EC"/>
    <w:rsid w:val="00D836B1"/>
    <w:rsid w:val="00D83D53"/>
    <w:rsid w:val="00D841C0"/>
    <w:rsid w:val="00D8430B"/>
    <w:rsid w:val="00D844CB"/>
    <w:rsid w:val="00D84E33"/>
    <w:rsid w:val="00D8500D"/>
    <w:rsid w:val="00D86601"/>
    <w:rsid w:val="00D86B05"/>
    <w:rsid w:val="00D87424"/>
    <w:rsid w:val="00D87A5F"/>
    <w:rsid w:val="00D87BC4"/>
    <w:rsid w:val="00D90169"/>
    <w:rsid w:val="00D91122"/>
    <w:rsid w:val="00D914E5"/>
    <w:rsid w:val="00D917C9"/>
    <w:rsid w:val="00D919C0"/>
    <w:rsid w:val="00D91FD0"/>
    <w:rsid w:val="00D91FFD"/>
    <w:rsid w:val="00D92A84"/>
    <w:rsid w:val="00D92F49"/>
    <w:rsid w:val="00D9320A"/>
    <w:rsid w:val="00D934B6"/>
    <w:rsid w:val="00D9393B"/>
    <w:rsid w:val="00D93A97"/>
    <w:rsid w:val="00D93C0D"/>
    <w:rsid w:val="00D93E0C"/>
    <w:rsid w:val="00D9439C"/>
    <w:rsid w:val="00D94A52"/>
    <w:rsid w:val="00D94EA4"/>
    <w:rsid w:val="00D95438"/>
    <w:rsid w:val="00D955AC"/>
    <w:rsid w:val="00D9586A"/>
    <w:rsid w:val="00D96D07"/>
    <w:rsid w:val="00D96ED2"/>
    <w:rsid w:val="00D96FFC"/>
    <w:rsid w:val="00D97932"/>
    <w:rsid w:val="00D97E6F"/>
    <w:rsid w:val="00DA0738"/>
    <w:rsid w:val="00DA0836"/>
    <w:rsid w:val="00DA091F"/>
    <w:rsid w:val="00DA16E1"/>
    <w:rsid w:val="00DA1B74"/>
    <w:rsid w:val="00DA1D6B"/>
    <w:rsid w:val="00DA1D83"/>
    <w:rsid w:val="00DA23A4"/>
    <w:rsid w:val="00DA2750"/>
    <w:rsid w:val="00DA2B94"/>
    <w:rsid w:val="00DA2E46"/>
    <w:rsid w:val="00DA31AE"/>
    <w:rsid w:val="00DA3239"/>
    <w:rsid w:val="00DA39CC"/>
    <w:rsid w:val="00DA40DA"/>
    <w:rsid w:val="00DA454D"/>
    <w:rsid w:val="00DA46A0"/>
    <w:rsid w:val="00DA481C"/>
    <w:rsid w:val="00DA4C61"/>
    <w:rsid w:val="00DA4CC4"/>
    <w:rsid w:val="00DA4D93"/>
    <w:rsid w:val="00DA5578"/>
    <w:rsid w:val="00DA5702"/>
    <w:rsid w:val="00DA5DCB"/>
    <w:rsid w:val="00DA616D"/>
    <w:rsid w:val="00DA63AA"/>
    <w:rsid w:val="00DA68B4"/>
    <w:rsid w:val="00DA68B7"/>
    <w:rsid w:val="00DA68C9"/>
    <w:rsid w:val="00DA6CCB"/>
    <w:rsid w:val="00DA6F19"/>
    <w:rsid w:val="00DB040C"/>
    <w:rsid w:val="00DB07E5"/>
    <w:rsid w:val="00DB08CE"/>
    <w:rsid w:val="00DB1171"/>
    <w:rsid w:val="00DB125C"/>
    <w:rsid w:val="00DB14D3"/>
    <w:rsid w:val="00DB15FC"/>
    <w:rsid w:val="00DB167F"/>
    <w:rsid w:val="00DB206D"/>
    <w:rsid w:val="00DB2364"/>
    <w:rsid w:val="00DB290A"/>
    <w:rsid w:val="00DB29F1"/>
    <w:rsid w:val="00DB30F9"/>
    <w:rsid w:val="00DB317B"/>
    <w:rsid w:val="00DB3374"/>
    <w:rsid w:val="00DB3631"/>
    <w:rsid w:val="00DB44FA"/>
    <w:rsid w:val="00DB4B35"/>
    <w:rsid w:val="00DB4F40"/>
    <w:rsid w:val="00DB577A"/>
    <w:rsid w:val="00DB5E21"/>
    <w:rsid w:val="00DB5F25"/>
    <w:rsid w:val="00DB6709"/>
    <w:rsid w:val="00DB69F7"/>
    <w:rsid w:val="00DB6A7D"/>
    <w:rsid w:val="00DB6F29"/>
    <w:rsid w:val="00DB7473"/>
    <w:rsid w:val="00DB7891"/>
    <w:rsid w:val="00DC00D9"/>
    <w:rsid w:val="00DC0287"/>
    <w:rsid w:val="00DC02DC"/>
    <w:rsid w:val="00DC085F"/>
    <w:rsid w:val="00DC096A"/>
    <w:rsid w:val="00DC0AA0"/>
    <w:rsid w:val="00DC1082"/>
    <w:rsid w:val="00DC146B"/>
    <w:rsid w:val="00DC154F"/>
    <w:rsid w:val="00DC2316"/>
    <w:rsid w:val="00DC232B"/>
    <w:rsid w:val="00DC2977"/>
    <w:rsid w:val="00DC2A01"/>
    <w:rsid w:val="00DC33A1"/>
    <w:rsid w:val="00DC3586"/>
    <w:rsid w:val="00DC3C4D"/>
    <w:rsid w:val="00DC4446"/>
    <w:rsid w:val="00DC44B7"/>
    <w:rsid w:val="00DC4990"/>
    <w:rsid w:val="00DC499B"/>
    <w:rsid w:val="00DC5012"/>
    <w:rsid w:val="00DC555F"/>
    <w:rsid w:val="00DC56A1"/>
    <w:rsid w:val="00DC5891"/>
    <w:rsid w:val="00DC5B53"/>
    <w:rsid w:val="00DC5FA0"/>
    <w:rsid w:val="00DC6039"/>
    <w:rsid w:val="00DC6423"/>
    <w:rsid w:val="00DC69C4"/>
    <w:rsid w:val="00DC7362"/>
    <w:rsid w:val="00DC7D7D"/>
    <w:rsid w:val="00DD112E"/>
    <w:rsid w:val="00DD12AF"/>
    <w:rsid w:val="00DD13D2"/>
    <w:rsid w:val="00DD14EA"/>
    <w:rsid w:val="00DD18CC"/>
    <w:rsid w:val="00DD1C70"/>
    <w:rsid w:val="00DD2352"/>
    <w:rsid w:val="00DD2D9D"/>
    <w:rsid w:val="00DD2E8C"/>
    <w:rsid w:val="00DD3C2F"/>
    <w:rsid w:val="00DD3E1C"/>
    <w:rsid w:val="00DD4E0D"/>
    <w:rsid w:val="00DD4E92"/>
    <w:rsid w:val="00DD5072"/>
    <w:rsid w:val="00DD5219"/>
    <w:rsid w:val="00DD5267"/>
    <w:rsid w:val="00DD54A7"/>
    <w:rsid w:val="00DD5B9A"/>
    <w:rsid w:val="00DD6012"/>
    <w:rsid w:val="00DD628D"/>
    <w:rsid w:val="00DD62C5"/>
    <w:rsid w:val="00DD63E4"/>
    <w:rsid w:val="00DD6E32"/>
    <w:rsid w:val="00DD6E46"/>
    <w:rsid w:val="00DD7950"/>
    <w:rsid w:val="00DD7B7D"/>
    <w:rsid w:val="00DD7E22"/>
    <w:rsid w:val="00DD7FA8"/>
    <w:rsid w:val="00DE01F8"/>
    <w:rsid w:val="00DE097E"/>
    <w:rsid w:val="00DE0BCC"/>
    <w:rsid w:val="00DE0C9A"/>
    <w:rsid w:val="00DE103B"/>
    <w:rsid w:val="00DE12AB"/>
    <w:rsid w:val="00DE1445"/>
    <w:rsid w:val="00DE171A"/>
    <w:rsid w:val="00DE183A"/>
    <w:rsid w:val="00DE19B1"/>
    <w:rsid w:val="00DE1C11"/>
    <w:rsid w:val="00DE1C1C"/>
    <w:rsid w:val="00DE2A08"/>
    <w:rsid w:val="00DE2C8B"/>
    <w:rsid w:val="00DE2EEC"/>
    <w:rsid w:val="00DE31E7"/>
    <w:rsid w:val="00DE3391"/>
    <w:rsid w:val="00DE4881"/>
    <w:rsid w:val="00DE4CE7"/>
    <w:rsid w:val="00DE5851"/>
    <w:rsid w:val="00DE59CE"/>
    <w:rsid w:val="00DE5ABA"/>
    <w:rsid w:val="00DE6260"/>
    <w:rsid w:val="00DE667B"/>
    <w:rsid w:val="00DE67DA"/>
    <w:rsid w:val="00DE7783"/>
    <w:rsid w:val="00DE7845"/>
    <w:rsid w:val="00DF0237"/>
    <w:rsid w:val="00DF0B58"/>
    <w:rsid w:val="00DF0B66"/>
    <w:rsid w:val="00DF0CDA"/>
    <w:rsid w:val="00DF0CEE"/>
    <w:rsid w:val="00DF1488"/>
    <w:rsid w:val="00DF166E"/>
    <w:rsid w:val="00DF18C4"/>
    <w:rsid w:val="00DF201F"/>
    <w:rsid w:val="00DF298E"/>
    <w:rsid w:val="00DF2E37"/>
    <w:rsid w:val="00DF311A"/>
    <w:rsid w:val="00DF3159"/>
    <w:rsid w:val="00DF31BD"/>
    <w:rsid w:val="00DF3216"/>
    <w:rsid w:val="00DF3277"/>
    <w:rsid w:val="00DF355C"/>
    <w:rsid w:val="00DF374C"/>
    <w:rsid w:val="00DF3913"/>
    <w:rsid w:val="00DF3AD7"/>
    <w:rsid w:val="00DF3C56"/>
    <w:rsid w:val="00DF3E09"/>
    <w:rsid w:val="00DF4A44"/>
    <w:rsid w:val="00DF5814"/>
    <w:rsid w:val="00DF5CD0"/>
    <w:rsid w:val="00DF611B"/>
    <w:rsid w:val="00DF692C"/>
    <w:rsid w:val="00DF7523"/>
    <w:rsid w:val="00DF76E2"/>
    <w:rsid w:val="00E00985"/>
    <w:rsid w:val="00E00B1B"/>
    <w:rsid w:val="00E00D42"/>
    <w:rsid w:val="00E00DB8"/>
    <w:rsid w:val="00E00F9E"/>
    <w:rsid w:val="00E00FD5"/>
    <w:rsid w:val="00E01226"/>
    <w:rsid w:val="00E015AC"/>
    <w:rsid w:val="00E018DD"/>
    <w:rsid w:val="00E019FA"/>
    <w:rsid w:val="00E020C1"/>
    <w:rsid w:val="00E02624"/>
    <w:rsid w:val="00E026C6"/>
    <w:rsid w:val="00E02AA0"/>
    <w:rsid w:val="00E02C53"/>
    <w:rsid w:val="00E03030"/>
    <w:rsid w:val="00E03326"/>
    <w:rsid w:val="00E0371C"/>
    <w:rsid w:val="00E038E2"/>
    <w:rsid w:val="00E03F04"/>
    <w:rsid w:val="00E04108"/>
    <w:rsid w:val="00E0439D"/>
    <w:rsid w:val="00E04616"/>
    <w:rsid w:val="00E05004"/>
    <w:rsid w:val="00E052CC"/>
    <w:rsid w:val="00E0533F"/>
    <w:rsid w:val="00E053D2"/>
    <w:rsid w:val="00E0573D"/>
    <w:rsid w:val="00E05AFE"/>
    <w:rsid w:val="00E05D9D"/>
    <w:rsid w:val="00E05ED7"/>
    <w:rsid w:val="00E05F1B"/>
    <w:rsid w:val="00E06517"/>
    <w:rsid w:val="00E065B3"/>
    <w:rsid w:val="00E06621"/>
    <w:rsid w:val="00E06CA4"/>
    <w:rsid w:val="00E06DA3"/>
    <w:rsid w:val="00E079AD"/>
    <w:rsid w:val="00E07E44"/>
    <w:rsid w:val="00E10394"/>
    <w:rsid w:val="00E103A0"/>
    <w:rsid w:val="00E1050D"/>
    <w:rsid w:val="00E10B1A"/>
    <w:rsid w:val="00E10DFD"/>
    <w:rsid w:val="00E112B9"/>
    <w:rsid w:val="00E11788"/>
    <w:rsid w:val="00E123A9"/>
    <w:rsid w:val="00E12C78"/>
    <w:rsid w:val="00E12D3C"/>
    <w:rsid w:val="00E12EB7"/>
    <w:rsid w:val="00E1312B"/>
    <w:rsid w:val="00E1317E"/>
    <w:rsid w:val="00E135AB"/>
    <w:rsid w:val="00E1382F"/>
    <w:rsid w:val="00E1393A"/>
    <w:rsid w:val="00E14158"/>
    <w:rsid w:val="00E14C1F"/>
    <w:rsid w:val="00E1508E"/>
    <w:rsid w:val="00E150F4"/>
    <w:rsid w:val="00E15264"/>
    <w:rsid w:val="00E15323"/>
    <w:rsid w:val="00E15BB1"/>
    <w:rsid w:val="00E15EB4"/>
    <w:rsid w:val="00E16344"/>
    <w:rsid w:val="00E165AB"/>
    <w:rsid w:val="00E1682B"/>
    <w:rsid w:val="00E16DFD"/>
    <w:rsid w:val="00E17110"/>
    <w:rsid w:val="00E17290"/>
    <w:rsid w:val="00E17532"/>
    <w:rsid w:val="00E179FE"/>
    <w:rsid w:val="00E20222"/>
    <w:rsid w:val="00E20D57"/>
    <w:rsid w:val="00E212D1"/>
    <w:rsid w:val="00E2145D"/>
    <w:rsid w:val="00E21A96"/>
    <w:rsid w:val="00E21C87"/>
    <w:rsid w:val="00E21D76"/>
    <w:rsid w:val="00E21DE5"/>
    <w:rsid w:val="00E2234D"/>
    <w:rsid w:val="00E22380"/>
    <w:rsid w:val="00E226C6"/>
    <w:rsid w:val="00E2373E"/>
    <w:rsid w:val="00E237CC"/>
    <w:rsid w:val="00E23AD2"/>
    <w:rsid w:val="00E23BA8"/>
    <w:rsid w:val="00E23D95"/>
    <w:rsid w:val="00E23FF6"/>
    <w:rsid w:val="00E240D6"/>
    <w:rsid w:val="00E2420E"/>
    <w:rsid w:val="00E24A45"/>
    <w:rsid w:val="00E24A51"/>
    <w:rsid w:val="00E2537D"/>
    <w:rsid w:val="00E25384"/>
    <w:rsid w:val="00E253C6"/>
    <w:rsid w:val="00E253D6"/>
    <w:rsid w:val="00E25C99"/>
    <w:rsid w:val="00E2648B"/>
    <w:rsid w:val="00E27A5C"/>
    <w:rsid w:val="00E27A9E"/>
    <w:rsid w:val="00E27D42"/>
    <w:rsid w:val="00E310DC"/>
    <w:rsid w:val="00E3179E"/>
    <w:rsid w:val="00E31BD5"/>
    <w:rsid w:val="00E31C4B"/>
    <w:rsid w:val="00E31CC1"/>
    <w:rsid w:val="00E32A0F"/>
    <w:rsid w:val="00E32C40"/>
    <w:rsid w:val="00E32D3F"/>
    <w:rsid w:val="00E332F9"/>
    <w:rsid w:val="00E3339C"/>
    <w:rsid w:val="00E33429"/>
    <w:rsid w:val="00E339D3"/>
    <w:rsid w:val="00E339DB"/>
    <w:rsid w:val="00E339EC"/>
    <w:rsid w:val="00E33B53"/>
    <w:rsid w:val="00E34059"/>
    <w:rsid w:val="00E34264"/>
    <w:rsid w:val="00E342FF"/>
    <w:rsid w:val="00E344A3"/>
    <w:rsid w:val="00E35691"/>
    <w:rsid w:val="00E35A34"/>
    <w:rsid w:val="00E35A9C"/>
    <w:rsid w:val="00E35BF2"/>
    <w:rsid w:val="00E35E2D"/>
    <w:rsid w:val="00E37515"/>
    <w:rsid w:val="00E40530"/>
    <w:rsid w:val="00E406E4"/>
    <w:rsid w:val="00E40CED"/>
    <w:rsid w:val="00E40E38"/>
    <w:rsid w:val="00E40E89"/>
    <w:rsid w:val="00E40EDE"/>
    <w:rsid w:val="00E40FFD"/>
    <w:rsid w:val="00E42423"/>
    <w:rsid w:val="00E428FF"/>
    <w:rsid w:val="00E42EFF"/>
    <w:rsid w:val="00E440F0"/>
    <w:rsid w:val="00E44846"/>
    <w:rsid w:val="00E44B7F"/>
    <w:rsid w:val="00E44DF7"/>
    <w:rsid w:val="00E45356"/>
    <w:rsid w:val="00E45FCA"/>
    <w:rsid w:val="00E462C8"/>
    <w:rsid w:val="00E46618"/>
    <w:rsid w:val="00E46ED4"/>
    <w:rsid w:val="00E46F61"/>
    <w:rsid w:val="00E47513"/>
    <w:rsid w:val="00E47702"/>
    <w:rsid w:val="00E47A8E"/>
    <w:rsid w:val="00E47C0C"/>
    <w:rsid w:val="00E47E6D"/>
    <w:rsid w:val="00E47F5F"/>
    <w:rsid w:val="00E50258"/>
    <w:rsid w:val="00E508B3"/>
    <w:rsid w:val="00E50CC1"/>
    <w:rsid w:val="00E5131B"/>
    <w:rsid w:val="00E513CB"/>
    <w:rsid w:val="00E53BA2"/>
    <w:rsid w:val="00E53C0E"/>
    <w:rsid w:val="00E53DFB"/>
    <w:rsid w:val="00E53E71"/>
    <w:rsid w:val="00E54073"/>
    <w:rsid w:val="00E54D55"/>
    <w:rsid w:val="00E54EDF"/>
    <w:rsid w:val="00E550C8"/>
    <w:rsid w:val="00E55406"/>
    <w:rsid w:val="00E55918"/>
    <w:rsid w:val="00E55CE0"/>
    <w:rsid w:val="00E55E40"/>
    <w:rsid w:val="00E55E69"/>
    <w:rsid w:val="00E56055"/>
    <w:rsid w:val="00E560CE"/>
    <w:rsid w:val="00E57058"/>
    <w:rsid w:val="00E57181"/>
    <w:rsid w:val="00E574FF"/>
    <w:rsid w:val="00E607F4"/>
    <w:rsid w:val="00E6100F"/>
    <w:rsid w:val="00E6104E"/>
    <w:rsid w:val="00E61919"/>
    <w:rsid w:val="00E6224A"/>
    <w:rsid w:val="00E62CBE"/>
    <w:rsid w:val="00E62DEE"/>
    <w:rsid w:val="00E632C6"/>
    <w:rsid w:val="00E6337C"/>
    <w:rsid w:val="00E6342D"/>
    <w:rsid w:val="00E63C42"/>
    <w:rsid w:val="00E63F20"/>
    <w:rsid w:val="00E64102"/>
    <w:rsid w:val="00E65049"/>
    <w:rsid w:val="00E6518F"/>
    <w:rsid w:val="00E65199"/>
    <w:rsid w:val="00E651A5"/>
    <w:rsid w:val="00E652A4"/>
    <w:rsid w:val="00E65CF7"/>
    <w:rsid w:val="00E65D88"/>
    <w:rsid w:val="00E6646D"/>
    <w:rsid w:val="00E664F2"/>
    <w:rsid w:val="00E66616"/>
    <w:rsid w:val="00E66929"/>
    <w:rsid w:val="00E66A58"/>
    <w:rsid w:val="00E66E29"/>
    <w:rsid w:val="00E66E52"/>
    <w:rsid w:val="00E672D4"/>
    <w:rsid w:val="00E67445"/>
    <w:rsid w:val="00E675F8"/>
    <w:rsid w:val="00E67993"/>
    <w:rsid w:val="00E67F92"/>
    <w:rsid w:val="00E67FC5"/>
    <w:rsid w:val="00E70A23"/>
    <w:rsid w:val="00E70A6D"/>
    <w:rsid w:val="00E710A1"/>
    <w:rsid w:val="00E719F9"/>
    <w:rsid w:val="00E71D63"/>
    <w:rsid w:val="00E71E9F"/>
    <w:rsid w:val="00E725BE"/>
    <w:rsid w:val="00E72A0D"/>
    <w:rsid w:val="00E72C87"/>
    <w:rsid w:val="00E72EE5"/>
    <w:rsid w:val="00E7344F"/>
    <w:rsid w:val="00E734AF"/>
    <w:rsid w:val="00E73E3E"/>
    <w:rsid w:val="00E74050"/>
    <w:rsid w:val="00E75224"/>
    <w:rsid w:val="00E7558F"/>
    <w:rsid w:val="00E755C0"/>
    <w:rsid w:val="00E75905"/>
    <w:rsid w:val="00E75A7E"/>
    <w:rsid w:val="00E75B5B"/>
    <w:rsid w:val="00E7600E"/>
    <w:rsid w:val="00E76660"/>
    <w:rsid w:val="00E76A1A"/>
    <w:rsid w:val="00E7755C"/>
    <w:rsid w:val="00E77C07"/>
    <w:rsid w:val="00E80E77"/>
    <w:rsid w:val="00E81770"/>
    <w:rsid w:val="00E822C6"/>
    <w:rsid w:val="00E83388"/>
    <w:rsid w:val="00E839EB"/>
    <w:rsid w:val="00E83E32"/>
    <w:rsid w:val="00E841C0"/>
    <w:rsid w:val="00E84753"/>
    <w:rsid w:val="00E8520E"/>
    <w:rsid w:val="00E8570B"/>
    <w:rsid w:val="00E85F78"/>
    <w:rsid w:val="00E86374"/>
    <w:rsid w:val="00E865C2"/>
    <w:rsid w:val="00E87467"/>
    <w:rsid w:val="00E8747A"/>
    <w:rsid w:val="00E87484"/>
    <w:rsid w:val="00E87545"/>
    <w:rsid w:val="00E8799D"/>
    <w:rsid w:val="00E87AF8"/>
    <w:rsid w:val="00E90AFA"/>
    <w:rsid w:val="00E90BCA"/>
    <w:rsid w:val="00E90D48"/>
    <w:rsid w:val="00E90D5E"/>
    <w:rsid w:val="00E90F98"/>
    <w:rsid w:val="00E91088"/>
    <w:rsid w:val="00E91734"/>
    <w:rsid w:val="00E9175F"/>
    <w:rsid w:val="00E91C87"/>
    <w:rsid w:val="00E92986"/>
    <w:rsid w:val="00E92D72"/>
    <w:rsid w:val="00E92F57"/>
    <w:rsid w:val="00E930FB"/>
    <w:rsid w:val="00E9316B"/>
    <w:rsid w:val="00E93434"/>
    <w:rsid w:val="00E935B2"/>
    <w:rsid w:val="00E938EA"/>
    <w:rsid w:val="00E94117"/>
    <w:rsid w:val="00E94589"/>
    <w:rsid w:val="00E947C7"/>
    <w:rsid w:val="00E94DC0"/>
    <w:rsid w:val="00E95806"/>
    <w:rsid w:val="00E95CC6"/>
    <w:rsid w:val="00E95E6A"/>
    <w:rsid w:val="00E968DA"/>
    <w:rsid w:val="00E96A50"/>
    <w:rsid w:val="00E96C75"/>
    <w:rsid w:val="00E97593"/>
    <w:rsid w:val="00E97845"/>
    <w:rsid w:val="00E97B08"/>
    <w:rsid w:val="00E97F07"/>
    <w:rsid w:val="00EA0161"/>
    <w:rsid w:val="00EA03C8"/>
    <w:rsid w:val="00EA0925"/>
    <w:rsid w:val="00EA1290"/>
    <w:rsid w:val="00EA1413"/>
    <w:rsid w:val="00EA1760"/>
    <w:rsid w:val="00EA196E"/>
    <w:rsid w:val="00EA2270"/>
    <w:rsid w:val="00EA28EE"/>
    <w:rsid w:val="00EA28EF"/>
    <w:rsid w:val="00EA2C80"/>
    <w:rsid w:val="00EA2D17"/>
    <w:rsid w:val="00EA31D8"/>
    <w:rsid w:val="00EA35C1"/>
    <w:rsid w:val="00EA3A68"/>
    <w:rsid w:val="00EA443A"/>
    <w:rsid w:val="00EA4703"/>
    <w:rsid w:val="00EA4704"/>
    <w:rsid w:val="00EA4C17"/>
    <w:rsid w:val="00EA4F9F"/>
    <w:rsid w:val="00EA5104"/>
    <w:rsid w:val="00EA51BB"/>
    <w:rsid w:val="00EA5275"/>
    <w:rsid w:val="00EA5469"/>
    <w:rsid w:val="00EA57CF"/>
    <w:rsid w:val="00EA69FB"/>
    <w:rsid w:val="00EA6CB4"/>
    <w:rsid w:val="00EA6D05"/>
    <w:rsid w:val="00EA71F1"/>
    <w:rsid w:val="00EA756D"/>
    <w:rsid w:val="00EB03E1"/>
    <w:rsid w:val="00EB041C"/>
    <w:rsid w:val="00EB055D"/>
    <w:rsid w:val="00EB05CE"/>
    <w:rsid w:val="00EB085E"/>
    <w:rsid w:val="00EB0B3E"/>
    <w:rsid w:val="00EB0EBF"/>
    <w:rsid w:val="00EB1B57"/>
    <w:rsid w:val="00EB1F09"/>
    <w:rsid w:val="00EB2213"/>
    <w:rsid w:val="00EB24FB"/>
    <w:rsid w:val="00EB2B6C"/>
    <w:rsid w:val="00EB2D4C"/>
    <w:rsid w:val="00EB2DB6"/>
    <w:rsid w:val="00EB344E"/>
    <w:rsid w:val="00EB386F"/>
    <w:rsid w:val="00EB3A64"/>
    <w:rsid w:val="00EB4461"/>
    <w:rsid w:val="00EB4AF3"/>
    <w:rsid w:val="00EB4E81"/>
    <w:rsid w:val="00EB51C8"/>
    <w:rsid w:val="00EB5437"/>
    <w:rsid w:val="00EB5785"/>
    <w:rsid w:val="00EB5C26"/>
    <w:rsid w:val="00EB5C3A"/>
    <w:rsid w:val="00EB5E22"/>
    <w:rsid w:val="00EB60C5"/>
    <w:rsid w:val="00EB625C"/>
    <w:rsid w:val="00EB650D"/>
    <w:rsid w:val="00EB65A5"/>
    <w:rsid w:val="00EB66D0"/>
    <w:rsid w:val="00EB66DF"/>
    <w:rsid w:val="00EB68EF"/>
    <w:rsid w:val="00EB6C90"/>
    <w:rsid w:val="00EB7381"/>
    <w:rsid w:val="00EB76FB"/>
    <w:rsid w:val="00EB791C"/>
    <w:rsid w:val="00EB7CED"/>
    <w:rsid w:val="00EC1166"/>
    <w:rsid w:val="00EC11E3"/>
    <w:rsid w:val="00EC1503"/>
    <w:rsid w:val="00EC1D92"/>
    <w:rsid w:val="00EC1E24"/>
    <w:rsid w:val="00EC203D"/>
    <w:rsid w:val="00EC24F7"/>
    <w:rsid w:val="00EC2866"/>
    <w:rsid w:val="00EC2EF5"/>
    <w:rsid w:val="00EC3239"/>
    <w:rsid w:val="00EC34D7"/>
    <w:rsid w:val="00EC352F"/>
    <w:rsid w:val="00EC3666"/>
    <w:rsid w:val="00EC366D"/>
    <w:rsid w:val="00EC3D3D"/>
    <w:rsid w:val="00EC3FE8"/>
    <w:rsid w:val="00EC4127"/>
    <w:rsid w:val="00EC4191"/>
    <w:rsid w:val="00EC42AF"/>
    <w:rsid w:val="00EC4578"/>
    <w:rsid w:val="00EC467C"/>
    <w:rsid w:val="00EC4864"/>
    <w:rsid w:val="00EC51A2"/>
    <w:rsid w:val="00EC522B"/>
    <w:rsid w:val="00EC5398"/>
    <w:rsid w:val="00EC59D5"/>
    <w:rsid w:val="00EC5F3D"/>
    <w:rsid w:val="00EC60E7"/>
    <w:rsid w:val="00EC6183"/>
    <w:rsid w:val="00EC6D08"/>
    <w:rsid w:val="00EC6F90"/>
    <w:rsid w:val="00EC73EC"/>
    <w:rsid w:val="00ED004B"/>
    <w:rsid w:val="00ED0CD4"/>
    <w:rsid w:val="00ED0E2F"/>
    <w:rsid w:val="00ED1915"/>
    <w:rsid w:val="00ED1E57"/>
    <w:rsid w:val="00ED1E5E"/>
    <w:rsid w:val="00ED2383"/>
    <w:rsid w:val="00ED30C5"/>
    <w:rsid w:val="00ED314C"/>
    <w:rsid w:val="00ED3941"/>
    <w:rsid w:val="00ED3F94"/>
    <w:rsid w:val="00ED4353"/>
    <w:rsid w:val="00ED437F"/>
    <w:rsid w:val="00ED4578"/>
    <w:rsid w:val="00ED4607"/>
    <w:rsid w:val="00ED5193"/>
    <w:rsid w:val="00ED53A5"/>
    <w:rsid w:val="00ED5819"/>
    <w:rsid w:val="00ED5BE8"/>
    <w:rsid w:val="00ED5F3E"/>
    <w:rsid w:val="00ED6EE5"/>
    <w:rsid w:val="00ED7C2A"/>
    <w:rsid w:val="00EE032D"/>
    <w:rsid w:val="00EE1495"/>
    <w:rsid w:val="00EE1859"/>
    <w:rsid w:val="00EE1DDE"/>
    <w:rsid w:val="00EE1F1E"/>
    <w:rsid w:val="00EE24D8"/>
    <w:rsid w:val="00EE2D18"/>
    <w:rsid w:val="00EE2EB9"/>
    <w:rsid w:val="00EE3309"/>
    <w:rsid w:val="00EE3A08"/>
    <w:rsid w:val="00EE3CD6"/>
    <w:rsid w:val="00EE40D9"/>
    <w:rsid w:val="00EE4947"/>
    <w:rsid w:val="00EE4A80"/>
    <w:rsid w:val="00EE4ABD"/>
    <w:rsid w:val="00EE4C51"/>
    <w:rsid w:val="00EE535E"/>
    <w:rsid w:val="00EE54F6"/>
    <w:rsid w:val="00EE5702"/>
    <w:rsid w:val="00EE584D"/>
    <w:rsid w:val="00EE5C35"/>
    <w:rsid w:val="00EE5DCE"/>
    <w:rsid w:val="00EE615C"/>
    <w:rsid w:val="00EE6342"/>
    <w:rsid w:val="00EE6804"/>
    <w:rsid w:val="00EE6A73"/>
    <w:rsid w:val="00EE6B1E"/>
    <w:rsid w:val="00EE6B22"/>
    <w:rsid w:val="00EE701A"/>
    <w:rsid w:val="00EE7220"/>
    <w:rsid w:val="00EE73B1"/>
    <w:rsid w:val="00EE770F"/>
    <w:rsid w:val="00EE7BBF"/>
    <w:rsid w:val="00EE7E33"/>
    <w:rsid w:val="00EF063D"/>
    <w:rsid w:val="00EF1242"/>
    <w:rsid w:val="00EF1D48"/>
    <w:rsid w:val="00EF1DD8"/>
    <w:rsid w:val="00EF1F5D"/>
    <w:rsid w:val="00EF2382"/>
    <w:rsid w:val="00EF332E"/>
    <w:rsid w:val="00EF34B3"/>
    <w:rsid w:val="00EF3CD2"/>
    <w:rsid w:val="00EF3F89"/>
    <w:rsid w:val="00EF4C29"/>
    <w:rsid w:val="00EF4F83"/>
    <w:rsid w:val="00EF5679"/>
    <w:rsid w:val="00EF5A73"/>
    <w:rsid w:val="00EF5CE0"/>
    <w:rsid w:val="00EF5ECF"/>
    <w:rsid w:val="00EF61C1"/>
    <w:rsid w:val="00EF6394"/>
    <w:rsid w:val="00EF66D5"/>
    <w:rsid w:val="00EF6A66"/>
    <w:rsid w:val="00EF709C"/>
    <w:rsid w:val="00EF7938"/>
    <w:rsid w:val="00EF7D73"/>
    <w:rsid w:val="00EF7E01"/>
    <w:rsid w:val="00F00754"/>
    <w:rsid w:val="00F009E3"/>
    <w:rsid w:val="00F00AF7"/>
    <w:rsid w:val="00F00EDA"/>
    <w:rsid w:val="00F00F8F"/>
    <w:rsid w:val="00F01588"/>
    <w:rsid w:val="00F01997"/>
    <w:rsid w:val="00F01BC0"/>
    <w:rsid w:val="00F01C52"/>
    <w:rsid w:val="00F0223F"/>
    <w:rsid w:val="00F02A60"/>
    <w:rsid w:val="00F03121"/>
    <w:rsid w:val="00F03208"/>
    <w:rsid w:val="00F03305"/>
    <w:rsid w:val="00F034E2"/>
    <w:rsid w:val="00F0359D"/>
    <w:rsid w:val="00F039BD"/>
    <w:rsid w:val="00F039BE"/>
    <w:rsid w:val="00F039F4"/>
    <w:rsid w:val="00F03BD5"/>
    <w:rsid w:val="00F03C72"/>
    <w:rsid w:val="00F0432A"/>
    <w:rsid w:val="00F044FA"/>
    <w:rsid w:val="00F0486A"/>
    <w:rsid w:val="00F048DF"/>
    <w:rsid w:val="00F04F2D"/>
    <w:rsid w:val="00F054DC"/>
    <w:rsid w:val="00F05A3F"/>
    <w:rsid w:val="00F05DD6"/>
    <w:rsid w:val="00F06AAD"/>
    <w:rsid w:val="00F06D14"/>
    <w:rsid w:val="00F06DE7"/>
    <w:rsid w:val="00F077A4"/>
    <w:rsid w:val="00F07CA6"/>
    <w:rsid w:val="00F07F78"/>
    <w:rsid w:val="00F07FB6"/>
    <w:rsid w:val="00F10399"/>
    <w:rsid w:val="00F104BE"/>
    <w:rsid w:val="00F10D2F"/>
    <w:rsid w:val="00F10E3F"/>
    <w:rsid w:val="00F111DB"/>
    <w:rsid w:val="00F11887"/>
    <w:rsid w:val="00F11D0F"/>
    <w:rsid w:val="00F1213E"/>
    <w:rsid w:val="00F1238E"/>
    <w:rsid w:val="00F12CE3"/>
    <w:rsid w:val="00F1382E"/>
    <w:rsid w:val="00F138EA"/>
    <w:rsid w:val="00F1397B"/>
    <w:rsid w:val="00F13AD4"/>
    <w:rsid w:val="00F14561"/>
    <w:rsid w:val="00F1479E"/>
    <w:rsid w:val="00F14F96"/>
    <w:rsid w:val="00F158BC"/>
    <w:rsid w:val="00F15F2F"/>
    <w:rsid w:val="00F16038"/>
    <w:rsid w:val="00F164EC"/>
    <w:rsid w:val="00F16A89"/>
    <w:rsid w:val="00F16E3D"/>
    <w:rsid w:val="00F172EB"/>
    <w:rsid w:val="00F17E94"/>
    <w:rsid w:val="00F207EE"/>
    <w:rsid w:val="00F20D4E"/>
    <w:rsid w:val="00F210B3"/>
    <w:rsid w:val="00F21255"/>
    <w:rsid w:val="00F21286"/>
    <w:rsid w:val="00F21C6A"/>
    <w:rsid w:val="00F21CE9"/>
    <w:rsid w:val="00F2223D"/>
    <w:rsid w:val="00F224BE"/>
    <w:rsid w:val="00F2298A"/>
    <w:rsid w:val="00F22DF9"/>
    <w:rsid w:val="00F231F5"/>
    <w:rsid w:val="00F23247"/>
    <w:rsid w:val="00F2346A"/>
    <w:rsid w:val="00F23EA3"/>
    <w:rsid w:val="00F24409"/>
    <w:rsid w:val="00F24559"/>
    <w:rsid w:val="00F24AEC"/>
    <w:rsid w:val="00F25485"/>
    <w:rsid w:val="00F25519"/>
    <w:rsid w:val="00F255BD"/>
    <w:rsid w:val="00F2658C"/>
    <w:rsid w:val="00F27441"/>
    <w:rsid w:val="00F2774B"/>
    <w:rsid w:val="00F3018C"/>
    <w:rsid w:val="00F30363"/>
    <w:rsid w:val="00F30FBB"/>
    <w:rsid w:val="00F31280"/>
    <w:rsid w:val="00F3128C"/>
    <w:rsid w:val="00F31429"/>
    <w:rsid w:val="00F315D9"/>
    <w:rsid w:val="00F31A85"/>
    <w:rsid w:val="00F31B22"/>
    <w:rsid w:val="00F31C14"/>
    <w:rsid w:val="00F31F34"/>
    <w:rsid w:val="00F32096"/>
    <w:rsid w:val="00F322DA"/>
    <w:rsid w:val="00F3250E"/>
    <w:rsid w:val="00F32EB6"/>
    <w:rsid w:val="00F32F9F"/>
    <w:rsid w:val="00F33624"/>
    <w:rsid w:val="00F338F5"/>
    <w:rsid w:val="00F33D7A"/>
    <w:rsid w:val="00F34082"/>
    <w:rsid w:val="00F3411E"/>
    <w:rsid w:val="00F34443"/>
    <w:rsid w:val="00F347DD"/>
    <w:rsid w:val="00F34AB8"/>
    <w:rsid w:val="00F34B92"/>
    <w:rsid w:val="00F35115"/>
    <w:rsid w:val="00F3539F"/>
    <w:rsid w:val="00F359DF"/>
    <w:rsid w:val="00F35A62"/>
    <w:rsid w:val="00F35D8F"/>
    <w:rsid w:val="00F36391"/>
    <w:rsid w:val="00F369C9"/>
    <w:rsid w:val="00F369DD"/>
    <w:rsid w:val="00F376A5"/>
    <w:rsid w:val="00F378C5"/>
    <w:rsid w:val="00F4072E"/>
    <w:rsid w:val="00F40A83"/>
    <w:rsid w:val="00F40CA7"/>
    <w:rsid w:val="00F413E1"/>
    <w:rsid w:val="00F41910"/>
    <w:rsid w:val="00F419DC"/>
    <w:rsid w:val="00F41A84"/>
    <w:rsid w:val="00F42341"/>
    <w:rsid w:val="00F42419"/>
    <w:rsid w:val="00F426D7"/>
    <w:rsid w:val="00F42762"/>
    <w:rsid w:val="00F42B2B"/>
    <w:rsid w:val="00F44726"/>
    <w:rsid w:val="00F44AE9"/>
    <w:rsid w:val="00F44C7C"/>
    <w:rsid w:val="00F44E56"/>
    <w:rsid w:val="00F45A08"/>
    <w:rsid w:val="00F46179"/>
    <w:rsid w:val="00F463B6"/>
    <w:rsid w:val="00F46485"/>
    <w:rsid w:val="00F465C3"/>
    <w:rsid w:val="00F46770"/>
    <w:rsid w:val="00F4691E"/>
    <w:rsid w:val="00F46C4C"/>
    <w:rsid w:val="00F46DAB"/>
    <w:rsid w:val="00F4722C"/>
    <w:rsid w:val="00F47384"/>
    <w:rsid w:val="00F50830"/>
    <w:rsid w:val="00F51143"/>
    <w:rsid w:val="00F5184C"/>
    <w:rsid w:val="00F51A16"/>
    <w:rsid w:val="00F51A5D"/>
    <w:rsid w:val="00F51F2B"/>
    <w:rsid w:val="00F5287C"/>
    <w:rsid w:val="00F52885"/>
    <w:rsid w:val="00F53B95"/>
    <w:rsid w:val="00F5438B"/>
    <w:rsid w:val="00F5442A"/>
    <w:rsid w:val="00F548E9"/>
    <w:rsid w:val="00F55752"/>
    <w:rsid w:val="00F55875"/>
    <w:rsid w:val="00F558E9"/>
    <w:rsid w:val="00F55D9C"/>
    <w:rsid w:val="00F55F90"/>
    <w:rsid w:val="00F5670A"/>
    <w:rsid w:val="00F5694D"/>
    <w:rsid w:val="00F56C4B"/>
    <w:rsid w:val="00F573A9"/>
    <w:rsid w:val="00F57EF7"/>
    <w:rsid w:val="00F57FF2"/>
    <w:rsid w:val="00F6025A"/>
    <w:rsid w:val="00F603BE"/>
    <w:rsid w:val="00F60A87"/>
    <w:rsid w:val="00F60D27"/>
    <w:rsid w:val="00F61517"/>
    <w:rsid w:val="00F61870"/>
    <w:rsid w:val="00F61A12"/>
    <w:rsid w:val="00F61F3A"/>
    <w:rsid w:val="00F61F3C"/>
    <w:rsid w:val="00F620F0"/>
    <w:rsid w:val="00F62BA2"/>
    <w:rsid w:val="00F62BFE"/>
    <w:rsid w:val="00F63243"/>
    <w:rsid w:val="00F6380D"/>
    <w:rsid w:val="00F638FE"/>
    <w:rsid w:val="00F63986"/>
    <w:rsid w:val="00F63E69"/>
    <w:rsid w:val="00F63EA7"/>
    <w:rsid w:val="00F63F0E"/>
    <w:rsid w:val="00F6527C"/>
    <w:rsid w:val="00F65962"/>
    <w:rsid w:val="00F65BE4"/>
    <w:rsid w:val="00F6639D"/>
    <w:rsid w:val="00F66520"/>
    <w:rsid w:val="00F66B75"/>
    <w:rsid w:val="00F66BE8"/>
    <w:rsid w:val="00F66ED4"/>
    <w:rsid w:val="00F67FF5"/>
    <w:rsid w:val="00F70131"/>
    <w:rsid w:val="00F70CBD"/>
    <w:rsid w:val="00F71B31"/>
    <w:rsid w:val="00F71F25"/>
    <w:rsid w:val="00F72050"/>
    <w:rsid w:val="00F720DD"/>
    <w:rsid w:val="00F72969"/>
    <w:rsid w:val="00F72A01"/>
    <w:rsid w:val="00F72A4D"/>
    <w:rsid w:val="00F7326C"/>
    <w:rsid w:val="00F73874"/>
    <w:rsid w:val="00F73F2C"/>
    <w:rsid w:val="00F745C0"/>
    <w:rsid w:val="00F748AB"/>
    <w:rsid w:val="00F750F4"/>
    <w:rsid w:val="00F7531E"/>
    <w:rsid w:val="00F754A5"/>
    <w:rsid w:val="00F757EB"/>
    <w:rsid w:val="00F75CE5"/>
    <w:rsid w:val="00F76497"/>
    <w:rsid w:val="00F765D0"/>
    <w:rsid w:val="00F76653"/>
    <w:rsid w:val="00F76B7D"/>
    <w:rsid w:val="00F76C1B"/>
    <w:rsid w:val="00F775C5"/>
    <w:rsid w:val="00F7772A"/>
    <w:rsid w:val="00F77F1A"/>
    <w:rsid w:val="00F80410"/>
    <w:rsid w:val="00F8048E"/>
    <w:rsid w:val="00F80E3B"/>
    <w:rsid w:val="00F811CB"/>
    <w:rsid w:val="00F8121C"/>
    <w:rsid w:val="00F815CA"/>
    <w:rsid w:val="00F8174C"/>
    <w:rsid w:val="00F81752"/>
    <w:rsid w:val="00F81878"/>
    <w:rsid w:val="00F82269"/>
    <w:rsid w:val="00F82297"/>
    <w:rsid w:val="00F8234C"/>
    <w:rsid w:val="00F82584"/>
    <w:rsid w:val="00F826FF"/>
    <w:rsid w:val="00F82822"/>
    <w:rsid w:val="00F82B71"/>
    <w:rsid w:val="00F83211"/>
    <w:rsid w:val="00F83343"/>
    <w:rsid w:val="00F83516"/>
    <w:rsid w:val="00F8359A"/>
    <w:rsid w:val="00F836EB"/>
    <w:rsid w:val="00F836F1"/>
    <w:rsid w:val="00F83A5D"/>
    <w:rsid w:val="00F83AE7"/>
    <w:rsid w:val="00F8406B"/>
    <w:rsid w:val="00F84248"/>
    <w:rsid w:val="00F84282"/>
    <w:rsid w:val="00F8458C"/>
    <w:rsid w:val="00F84AA3"/>
    <w:rsid w:val="00F84CB5"/>
    <w:rsid w:val="00F855D9"/>
    <w:rsid w:val="00F8587D"/>
    <w:rsid w:val="00F86791"/>
    <w:rsid w:val="00F86A96"/>
    <w:rsid w:val="00F87263"/>
    <w:rsid w:val="00F872DD"/>
    <w:rsid w:val="00F873D6"/>
    <w:rsid w:val="00F87407"/>
    <w:rsid w:val="00F87411"/>
    <w:rsid w:val="00F87581"/>
    <w:rsid w:val="00F878E8"/>
    <w:rsid w:val="00F87FD1"/>
    <w:rsid w:val="00F9009E"/>
    <w:rsid w:val="00F9044B"/>
    <w:rsid w:val="00F907C1"/>
    <w:rsid w:val="00F907FE"/>
    <w:rsid w:val="00F909C6"/>
    <w:rsid w:val="00F909F4"/>
    <w:rsid w:val="00F90E72"/>
    <w:rsid w:val="00F91108"/>
    <w:rsid w:val="00F919E8"/>
    <w:rsid w:val="00F91A88"/>
    <w:rsid w:val="00F91DCB"/>
    <w:rsid w:val="00F9204D"/>
    <w:rsid w:val="00F92333"/>
    <w:rsid w:val="00F92724"/>
    <w:rsid w:val="00F92BF1"/>
    <w:rsid w:val="00F93585"/>
    <w:rsid w:val="00F936B4"/>
    <w:rsid w:val="00F93794"/>
    <w:rsid w:val="00F93AEF"/>
    <w:rsid w:val="00F93D18"/>
    <w:rsid w:val="00F94ACD"/>
    <w:rsid w:val="00F94B09"/>
    <w:rsid w:val="00F94CAA"/>
    <w:rsid w:val="00F94D78"/>
    <w:rsid w:val="00F95702"/>
    <w:rsid w:val="00F95D00"/>
    <w:rsid w:val="00F95E98"/>
    <w:rsid w:val="00F96389"/>
    <w:rsid w:val="00F96810"/>
    <w:rsid w:val="00F96B5C"/>
    <w:rsid w:val="00F96BF6"/>
    <w:rsid w:val="00F96CE4"/>
    <w:rsid w:val="00F97E86"/>
    <w:rsid w:val="00FA010D"/>
    <w:rsid w:val="00FA0552"/>
    <w:rsid w:val="00FA0561"/>
    <w:rsid w:val="00FA0662"/>
    <w:rsid w:val="00FA0B02"/>
    <w:rsid w:val="00FA0FCF"/>
    <w:rsid w:val="00FA100A"/>
    <w:rsid w:val="00FA1998"/>
    <w:rsid w:val="00FA1A33"/>
    <w:rsid w:val="00FA1B88"/>
    <w:rsid w:val="00FA1C05"/>
    <w:rsid w:val="00FA1DA1"/>
    <w:rsid w:val="00FA21CF"/>
    <w:rsid w:val="00FA2426"/>
    <w:rsid w:val="00FA2B35"/>
    <w:rsid w:val="00FA2C4E"/>
    <w:rsid w:val="00FA2F6A"/>
    <w:rsid w:val="00FA3653"/>
    <w:rsid w:val="00FA3E44"/>
    <w:rsid w:val="00FA4863"/>
    <w:rsid w:val="00FA512A"/>
    <w:rsid w:val="00FA6F62"/>
    <w:rsid w:val="00FA7433"/>
    <w:rsid w:val="00FA7462"/>
    <w:rsid w:val="00FA7929"/>
    <w:rsid w:val="00FB0C26"/>
    <w:rsid w:val="00FB16BD"/>
    <w:rsid w:val="00FB1E14"/>
    <w:rsid w:val="00FB2199"/>
    <w:rsid w:val="00FB23A1"/>
    <w:rsid w:val="00FB2528"/>
    <w:rsid w:val="00FB2547"/>
    <w:rsid w:val="00FB258F"/>
    <w:rsid w:val="00FB25C7"/>
    <w:rsid w:val="00FB2BEB"/>
    <w:rsid w:val="00FB2D07"/>
    <w:rsid w:val="00FB2FDF"/>
    <w:rsid w:val="00FB3048"/>
    <w:rsid w:val="00FB35DB"/>
    <w:rsid w:val="00FB38E7"/>
    <w:rsid w:val="00FB3B8F"/>
    <w:rsid w:val="00FB3C58"/>
    <w:rsid w:val="00FB3CF7"/>
    <w:rsid w:val="00FB3DA4"/>
    <w:rsid w:val="00FB3ECF"/>
    <w:rsid w:val="00FB3F23"/>
    <w:rsid w:val="00FB4C2D"/>
    <w:rsid w:val="00FB5032"/>
    <w:rsid w:val="00FB5582"/>
    <w:rsid w:val="00FB57D7"/>
    <w:rsid w:val="00FB58CB"/>
    <w:rsid w:val="00FB5AED"/>
    <w:rsid w:val="00FB5FB8"/>
    <w:rsid w:val="00FB6128"/>
    <w:rsid w:val="00FB6152"/>
    <w:rsid w:val="00FB6422"/>
    <w:rsid w:val="00FB6C50"/>
    <w:rsid w:val="00FB71CB"/>
    <w:rsid w:val="00FB7988"/>
    <w:rsid w:val="00FB7B65"/>
    <w:rsid w:val="00FC0174"/>
    <w:rsid w:val="00FC01C5"/>
    <w:rsid w:val="00FC0C5E"/>
    <w:rsid w:val="00FC0D37"/>
    <w:rsid w:val="00FC12D0"/>
    <w:rsid w:val="00FC1D78"/>
    <w:rsid w:val="00FC1DBC"/>
    <w:rsid w:val="00FC1DD1"/>
    <w:rsid w:val="00FC2250"/>
    <w:rsid w:val="00FC227F"/>
    <w:rsid w:val="00FC238F"/>
    <w:rsid w:val="00FC2689"/>
    <w:rsid w:val="00FC2CDF"/>
    <w:rsid w:val="00FC3201"/>
    <w:rsid w:val="00FC33B4"/>
    <w:rsid w:val="00FC3A99"/>
    <w:rsid w:val="00FC4405"/>
    <w:rsid w:val="00FC4500"/>
    <w:rsid w:val="00FC45A9"/>
    <w:rsid w:val="00FC4956"/>
    <w:rsid w:val="00FC5171"/>
    <w:rsid w:val="00FC5960"/>
    <w:rsid w:val="00FC5A9C"/>
    <w:rsid w:val="00FC5CAE"/>
    <w:rsid w:val="00FC5D27"/>
    <w:rsid w:val="00FC5F69"/>
    <w:rsid w:val="00FC61EA"/>
    <w:rsid w:val="00FC682F"/>
    <w:rsid w:val="00FC692F"/>
    <w:rsid w:val="00FC6A59"/>
    <w:rsid w:val="00FC743F"/>
    <w:rsid w:val="00FD013C"/>
    <w:rsid w:val="00FD0182"/>
    <w:rsid w:val="00FD04D4"/>
    <w:rsid w:val="00FD07BD"/>
    <w:rsid w:val="00FD1331"/>
    <w:rsid w:val="00FD17E8"/>
    <w:rsid w:val="00FD1ADA"/>
    <w:rsid w:val="00FD1BA8"/>
    <w:rsid w:val="00FD1C16"/>
    <w:rsid w:val="00FD213A"/>
    <w:rsid w:val="00FD22BC"/>
    <w:rsid w:val="00FD306D"/>
    <w:rsid w:val="00FD35D6"/>
    <w:rsid w:val="00FD3872"/>
    <w:rsid w:val="00FD38E4"/>
    <w:rsid w:val="00FD3EEF"/>
    <w:rsid w:val="00FD4471"/>
    <w:rsid w:val="00FD48BF"/>
    <w:rsid w:val="00FD4AA7"/>
    <w:rsid w:val="00FD7CD6"/>
    <w:rsid w:val="00FD7FF6"/>
    <w:rsid w:val="00FE00A6"/>
    <w:rsid w:val="00FE00D7"/>
    <w:rsid w:val="00FE01AC"/>
    <w:rsid w:val="00FE0567"/>
    <w:rsid w:val="00FE08E2"/>
    <w:rsid w:val="00FE0905"/>
    <w:rsid w:val="00FE0A64"/>
    <w:rsid w:val="00FE1A07"/>
    <w:rsid w:val="00FE1D10"/>
    <w:rsid w:val="00FE1EF5"/>
    <w:rsid w:val="00FE23EF"/>
    <w:rsid w:val="00FE2B2D"/>
    <w:rsid w:val="00FE2C71"/>
    <w:rsid w:val="00FE2C85"/>
    <w:rsid w:val="00FE2E56"/>
    <w:rsid w:val="00FE3085"/>
    <w:rsid w:val="00FE32EE"/>
    <w:rsid w:val="00FE3D9C"/>
    <w:rsid w:val="00FE460B"/>
    <w:rsid w:val="00FE49F9"/>
    <w:rsid w:val="00FE4C0C"/>
    <w:rsid w:val="00FE4CAB"/>
    <w:rsid w:val="00FE4E13"/>
    <w:rsid w:val="00FE4EE2"/>
    <w:rsid w:val="00FE515E"/>
    <w:rsid w:val="00FE5D91"/>
    <w:rsid w:val="00FE5F07"/>
    <w:rsid w:val="00FE61BD"/>
    <w:rsid w:val="00FE6236"/>
    <w:rsid w:val="00FE659E"/>
    <w:rsid w:val="00FE68D1"/>
    <w:rsid w:val="00FE6D9E"/>
    <w:rsid w:val="00FE7091"/>
    <w:rsid w:val="00FF010A"/>
    <w:rsid w:val="00FF0784"/>
    <w:rsid w:val="00FF0BBC"/>
    <w:rsid w:val="00FF0C22"/>
    <w:rsid w:val="00FF0C50"/>
    <w:rsid w:val="00FF0D1D"/>
    <w:rsid w:val="00FF0D91"/>
    <w:rsid w:val="00FF0FC9"/>
    <w:rsid w:val="00FF113C"/>
    <w:rsid w:val="00FF17D9"/>
    <w:rsid w:val="00FF24AD"/>
    <w:rsid w:val="00FF360A"/>
    <w:rsid w:val="00FF39EB"/>
    <w:rsid w:val="00FF3A79"/>
    <w:rsid w:val="00FF4052"/>
    <w:rsid w:val="00FF4180"/>
    <w:rsid w:val="00FF4520"/>
    <w:rsid w:val="00FF45FC"/>
    <w:rsid w:val="00FF46F1"/>
    <w:rsid w:val="00FF479D"/>
    <w:rsid w:val="00FF4F3B"/>
    <w:rsid w:val="00FF4FAB"/>
    <w:rsid w:val="00FF504C"/>
    <w:rsid w:val="00FF514E"/>
    <w:rsid w:val="00FF5363"/>
    <w:rsid w:val="00FF572D"/>
    <w:rsid w:val="00FF596A"/>
    <w:rsid w:val="00FF5A06"/>
    <w:rsid w:val="00FF6652"/>
    <w:rsid w:val="00FF7772"/>
    <w:rsid w:val="01227D26"/>
    <w:rsid w:val="012A2737"/>
    <w:rsid w:val="01317F69"/>
    <w:rsid w:val="013419A0"/>
    <w:rsid w:val="01765ACD"/>
    <w:rsid w:val="017C6D0A"/>
    <w:rsid w:val="018A10F5"/>
    <w:rsid w:val="01B94B21"/>
    <w:rsid w:val="01E63F54"/>
    <w:rsid w:val="01FA4734"/>
    <w:rsid w:val="0200481C"/>
    <w:rsid w:val="022C24DE"/>
    <w:rsid w:val="02375D33"/>
    <w:rsid w:val="02443CCC"/>
    <w:rsid w:val="02447828"/>
    <w:rsid w:val="02477318"/>
    <w:rsid w:val="02502CBB"/>
    <w:rsid w:val="028C16B2"/>
    <w:rsid w:val="029F7154"/>
    <w:rsid w:val="02B54036"/>
    <w:rsid w:val="02C170CB"/>
    <w:rsid w:val="02D84414"/>
    <w:rsid w:val="02E85BA8"/>
    <w:rsid w:val="03082F4B"/>
    <w:rsid w:val="031C55C6"/>
    <w:rsid w:val="03201783"/>
    <w:rsid w:val="032F34BE"/>
    <w:rsid w:val="03394EB3"/>
    <w:rsid w:val="03433F84"/>
    <w:rsid w:val="034A5312"/>
    <w:rsid w:val="03887BE8"/>
    <w:rsid w:val="03926F6B"/>
    <w:rsid w:val="03C86237"/>
    <w:rsid w:val="03DF7AD1"/>
    <w:rsid w:val="03E77D65"/>
    <w:rsid w:val="03FC3FC1"/>
    <w:rsid w:val="040A684F"/>
    <w:rsid w:val="040D1548"/>
    <w:rsid w:val="04146D82"/>
    <w:rsid w:val="0423034F"/>
    <w:rsid w:val="042B1E5C"/>
    <w:rsid w:val="043D2E67"/>
    <w:rsid w:val="04446205"/>
    <w:rsid w:val="046643CE"/>
    <w:rsid w:val="04B05649"/>
    <w:rsid w:val="04C920D4"/>
    <w:rsid w:val="04F217BD"/>
    <w:rsid w:val="04F80D9E"/>
    <w:rsid w:val="0519242A"/>
    <w:rsid w:val="05257DE5"/>
    <w:rsid w:val="05322502"/>
    <w:rsid w:val="055E7DC7"/>
    <w:rsid w:val="05633A9B"/>
    <w:rsid w:val="05665D07"/>
    <w:rsid w:val="059E79A5"/>
    <w:rsid w:val="05B61A64"/>
    <w:rsid w:val="05CA098C"/>
    <w:rsid w:val="05D47610"/>
    <w:rsid w:val="05E51322"/>
    <w:rsid w:val="05E7509A"/>
    <w:rsid w:val="05EA04AC"/>
    <w:rsid w:val="05FD7F14"/>
    <w:rsid w:val="06005D40"/>
    <w:rsid w:val="061A5470"/>
    <w:rsid w:val="065C1B7D"/>
    <w:rsid w:val="065F7326"/>
    <w:rsid w:val="06695AAF"/>
    <w:rsid w:val="066C6FCD"/>
    <w:rsid w:val="067150CE"/>
    <w:rsid w:val="06A44D39"/>
    <w:rsid w:val="06A72A7B"/>
    <w:rsid w:val="06F537E7"/>
    <w:rsid w:val="07034156"/>
    <w:rsid w:val="071C1C49"/>
    <w:rsid w:val="072D11D3"/>
    <w:rsid w:val="0737494B"/>
    <w:rsid w:val="07591FC8"/>
    <w:rsid w:val="07683B8C"/>
    <w:rsid w:val="07C376B3"/>
    <w:rsid w:val="07F10452"/>
    <w:rsid w:val="084A7B62"/>
    <w:rsid w:val="086511EE"/>
    <w:rsid w:val="08DA2C94"/>
    <w:rsid w:val="08E26C00"/>
    <w:rsid w:val="09243D18"/>
    <w:rsid w:val="092C7268"/>
    <w:rsid w:val="09664528"/>
    <w:rsid w:val="09E464BD"/>
    <w:rsid w:val="0A2549A1"/>
    <w:rsid w:val="0A27015B"/>
    <w:rsid w:val="0A595E3B"/>
    <w:rsid w:val="0A5C79E2"/>
    <w:rsid w:val="0AA25C8D"/>
    <w:rsid w:val="0AAE35C0"/>
    <w:rsid w:val="0AE71698"/>
    <w:rsid w:val="0AF45FD1"/>
    <w:rsid w:val="0B1627A9"/>
    <w:rsid w:val="0B1870B9"/>
    <w:rsid w:val="0B1A381C"/>
    <w:rsid w:val="0B4C689D"/>
    <w:rsid w:val="0B520957"/>
    <w:rsid w:val="0B696551"/>
    <w:rsid w:val="0B6B1867"/>
    <w:rsid w:val="0B8D4DCB"/>
    <w:rsid w:val="0BB8441D"/>
    <w:rsid w:val="0BBD7BBB"/>
    <w:rsid w:val="0C1E10EA"/>
    <w:rsid w:val="0C2760BD"/>
    <w:rsid w:val="0C430B50"/>
    <w:rsid w:val="0C886EAB"/>
    <w:rsid w:val="0CB8153E"/>
    <w:rsid w:val="0D1D3A97"/>
    <w:rsid w:val="0D2A3ABE"/>
    <w:rsid w:val="0D5648B3"/>
    <w:rsid w:val="0D570D57"/>
    <w:rsid w:val="0D5D5C42"/>
    <w:rsid w:val="0D70006B"/>
    <w:rsid w:val="0D731909"/>
    <w:rsid w:val="0D7C6A10"/>
    <w:rsid w:val="0D842BAD"/>
    <w:rsid w:val="0DB37F58"/>
    <w:rsid w:val="0DB67D10"/>
    <w:rsid w:val="0DBE5FD1"/>
    <w:rsid w:val="0DCB5E5E"/>
    <w:rsid w:val="0DD700AC"/>
    <w:rsid w:val="0DD96EE0"/>
    <w:rsid w:val="0DFF319D"/>
    <w:rsid w:val="0E0A401C"/>
    <w:rsid w:val="0E11071B"/>
    <w:rsid w:val="0E1C3D4F"/>
    <w:rsid w:val="0E5B4877"/>
    <w:rsid w:val="0E6935AF"/>
    <w:rsid w:val="0E8A2A67"/>
    <w:rsid w:val="0E941744"/>
    <w:rsid w:val="0E941B37"/>
    <w:rsid w:val="0EA72A82"/>
    <w:rsid w:val="0EC86A0D"/>
    <w:rsid w:val="0EE303C9"/>
    <w:rsid w:val="0F1B7B63"/>
    <w:rsid w:val="0F1F79F8"/>
    <w:rsid w:val="0F545942"/>
    <w:rsid w:val="0F5829A2"/>
    <w:rsid w:val="0F64150A"/>
    <w:rsid w:val="0F7B0E31"/>
    <w:rsid w:val="0FA7589A"/>
    <w:rsid w:val="0FD92952"/>
    <w:rsid w:val="101313A2"/>
    <w:rsid w:val="102847AD"/>
    <w:rsid w:val="102853F9"/>
    <w:rsid w:val="102B33B7"/>
    <w:rsid w:val="10441512"/>
    <w:rsid w:val="104511A7"/>
    <w:rsid w:val="105855AB"/>
    <w:rsid w:val="105D02BD"/>
    <w:rsid w:val="1065378B"/>
    <w:rsid w:val="108C6F6A"/>
    <w:rsid w:val="10E16330"/>
    <w:rsid w:val="10F9359D"/>
    <w:rsid w:val="10FD5216"/>
    <w:rsid w:val="10FE14EA"/>
    <w:rsid w:val="11427629"/>
    <w:rsid w:val="118724A7"/>
    <w:rsid w:val="119D6F55"/>
    <w:rsid w:val="11E626AA"/>
    <w:rsid w:val="11EE5A02"/>
    <w:rsid w:val="12097BB6"/>
    <w:rsid w:val="12502219"/>
    <w:rsid w:val="125706B0"/>
    <w:rsid w:val="12675A01"/>
    <w:rsid w:val="12CB0CC3"/>
    <w:rsid w:val="12DC1A0C"/>
    <w:rsid w:val="12FC3EAE"/>
    <w:rsid w:val="130B0C8E"/>
    <w:rsid w:val="13294F44"/>
    <w:rsid w:val="134F210E"/>
    <w:rsid w:val="135F0966"/>
    <w:rsid w:val="1376180B"/>
    <w:rsid w:val="138C77F2"/>
    <w:rsid w:val="13C726F6"/>
    <w:rsid w:val="13EB54F9"/>
    <w:rsid w:val="13F0266D"/>
    <w:rsid w:val="142E658A"/>
    <w:rsid w:val="14530B16"/>
    <w:rsid w:val="145F49FC"/>
    <w:rsid w:val="14736230"/>
    <w:rsid w:val="147D6BCA"/>
    <w:rsid w:val="147E70F4"/>
    <w:rsid w:val="14885C9A"/>
    <w:rsid w:val="14965030"/>
    <w:rsid w:val="14AB3737"/>
    <w:rsid w:val="14D94748"/>
    <w:rsid w:val="1532259A"/>
    <w:rsid w:val="15354668"/>
    <w:rsid w:val="153F3626"/>
    <w:rsid w:val="155D55AA"/>
    <w:rsid w:val="159468C1"/>
    <w:rsid w:val="15A2668D"/>
    <w:rsid w:val="15D23893"/>
    <w:rsid w:val="15D55902"/>
    <w:rsid w:val="15F1230F"/>
    <w:rsid w:val="160E0421"/>
    <w:rsid w:val="161F43DC"/>
    <w:rsid w:val="16290DB7"/>
    <w:rsid w:val="16300397"/>
    <w:rsid w:val="163946DF"/>
    <w:rsid w:val="163E7A9F"/>
    <w:rsid w:val="1647748F"/>
    <w:rsid w:val="166167A3"/>
    <w:rsid w:val="16663DB9"/>
    <w:rsid w:val="166A2CFA"/>
    <w:rsid w:val="168A7AF4"/>
    <w:rsid w:val="16B9038D"/>
    <w:rsid w:val="16C57A83"/>
    <w:rsid w:val="16D409C7"/>
    <w:rsid w:val="16D927DD"/>
    <w:rsid w:val="16F5513D"/>
    <w:rsid w:val="1700420E"/>
    <w:rsid w:val="17084C11"/>
    <w:rsid w:val="17147CB9"/>
    <w:rsid w:val="173C4B1A"/>
    <w:rsid w:val="174B6FCE"/>
    <w:rsid w:val="176D4D1E"/>
    <w:rsid w:val="17893D20"/>
    <w:rsid w:val="180B1639"/>
    <w:rsid w:val="18253279"/>
    <w:rsid w:val="1835053C"/>
    <w:rsid w:val="183A72AB"/>
    <w:rsid w:val="183D0B4A"/>
    <w:rsid w:val="18405E22"/>
    <w:rsid w:val="184A6479"/>
    <w:rsid w:val="18624A54"/>
    <w:rsid w:val="186D3E03"/>
    <w:rsid w:val="187F73B4"/>
    <w:rsid w:val="18932A3E"/>
    <w:rsid w:val="18980476"/>
    <w:rsid w:val="18AD3F21"/>
    <w:rsid w:val="18BE2049"/>
    <w:rsid w:val="18CF4978"/>
    <w:rsid w:val="18D55226"/>
    <w:rsid w:val="18F41B50"/>
    <w:rsid w:val="192E240E"/>
    <w:rsid w:val="1942519E"/>
    <w:rsid w:val="19632661"/>
    <w:rsid w:val="19647769"/>
    <w:rsid w:val="197734BB"/>
    <w:rsid w:val="19A8293B"/>
    <w:rsid w:val="19AF1F1B"/>
    <w:rsid w:val="19BE3B45"/>
    <w:rsid w:val="19D76D7C"/>
    <w:rsid w:val="1A004525"/>
    <w:rsid w:val="1A02204B"/>
    <w:rsid w:val="1A0F4768"/>
    <w:rsid w:val="1A1813A7"/>
    <w:rsid w:val="1A182DF0"/>
    <w:rsid w:val="1A4C59BC"/>
    <w:rsid w:val="1A6B4094"/>
    <w:rsid w:val="1A730451"/>
    <w:rsid w:val="1AB53561"/>
    <w:rsid w:val="1ACC1FB9"/>
    <w:rsid w:val="1B122762"/>
    <w:rsid w:val="1B3C46ED"/>
    <w:rsid w:val="1B471746"/>
    <w:rsid w:val="1B642891"/>
    <w:rsid w:val="1B6A50F0"/>
    <w:rsid w:val="1B6C00C4"/>
    <w:rsid w:val="1B781DB3"/>
    <w:rsid w:val="1B8D3B96"/>
    <w:rsid w:val="1B8F790E"/>
    <w:rsid w:val="1BC45F82"/>
    <w:rsid w:val="1C4178C8"/>
    <w:rsid w:val="1C4E5B24"/>
    <w:rsid w:val="1C5823F6"/>
    <w:rsid w:val="1C5D17BA"/>
    <w:rsid w:val="1C625233"/>
    <w:rsid w:val="1CB17D58"/>
    <w:rsid w:val="1D48246B"/>
    <w:rsid w:val="1D483C3A"/>
    <w:rsid w:val="1D896745"/>
    <w:rsid w:val="1D8A2A83"/>
    <w:rsid w:val="1DBB0A03"/>
    <w:rsid w:val="1DE01573"/>
    <w:rsid w:val="1E216AC6"/>
    <w:rsid w:val="1E2C3B3A"/>
    <w:rsid w:val="1E321D8E"/>
    <w:rsid w:val="1E613F50"/>
    <w:rsid w:val="1E7C72FC"/>
    <w:rsid w:val="1E895F8B"/>
    <w:rsid w:val="1E984D2C"/>
    <w:rsid w:val="1EB02100"/>
    <w:rsid w:val="1EE53CE9"/>
    <w:rsid w:val="1F161491"/>
    <w:rsid w:val="1F1D7927"/>
    <w:rsid w:val="1F527227"/>
    <w:rsid w:val="1F536EA5"/>
    <w:rsid w:val="1F5B7A1B"/>
    <w:rsid w:val="1F617814"/>
    <w:rsid w:val="1FD55B0C"/>
    <w:rsid w:val="1FDA2848"/>
    <w:rsid w:val="20012DA5"/>
    <w:rsid w:val="20457135"/>
    <w:rsid w:val="204C4020"/>
    <w:rsid w:val="204D5FEA"/>
    <w:rsid w:val="20623843"/>
    <w:rsid w:val="206A26F8"/>
    <w:rsid w:val="20824BCC"/>
    <w:rsid w:val="208C0EFF"/>
    <w:rsid w:val="20BE7648"/>
    <w:rsid w:val="20C37EE5"/>
    <w:rsid w:val="20E424AA"/>
    <w:rsid w:val="20FA3A7C"/>
    <w:rsid w:val="2114213B"/>
    <w:rsid w:val="2138191C"/>
    <w:rsid w:val="21487C2B"/>
    <w:rsid w:val="21831CDA"/>
    <w:rsid w:val="218C669E"/>
    <w:rsid w:val="2191015E"/>
    <w:rsid w:val="219E6AFD"/>
    <w:rsid w:val="21BA145D"/>
    <w:rsid w:val="21D4251F"/>
    <w:rsid w:val="21D56297"/>
    <w:rsid w:val="22001566"/>
    <w:rsid w:val="223905D4"/>
    <w:rsid w:val="223E208E"/>
    <w:rsid w:val="22905161"/>
    <w:rsid w:val="22AF6AE8"/>
    <w:rsid w:val="22D20A11"/>
    <w:rsid w:val="22E26EBD"/>
    <w:rsid w:val="22EC3898"/>
    <w:rsid w:val="22F866E1"/>
    <w:rsid w:val="231A645F"/>
    <w:rsid w:val="23375796"/>
    <w:rsid w:val="234E6301"/>
    <w:rsid w:val="23810484"/>
    <w:rsid w:val="239F4DAE"/>
    <w:rsid w:val="23B056B8"/>
    <w:rsid w:val="23F01166"/>
    <w:rsid w:val="23F348FE"/>
    <w:rsid w:val="23F52639"/>
    <w:rsid w:val="23F76998"/>
    <w:rsid w:val="241A3D14"/>
    <w:rsid w:val="24861ACA"/>
    <w:rsid w:val="248D2E59"/>
    <w:rsid w:val="24C314C3"/>
    <w:rsid w:val="24D70266"/>
    <w:rsid w:val="25011468"/>
    <w:rsid w:val="25020F5A"/>
    <w:rsid w:val="25341526"/>
    <w:rsid w:val="253B28B5"/>
    <w:rsid w:val="255D53B2"/>
    <w:rsid w:val="255E0351"/>
    <w:rsid w:val="25710085"/>
    <w:rsid w:val="25787665"/>
    <w:rsid w:val="2582439F"/>
    <w:rsid w:val="25843A15"/>
    <w:rsid w:val="25933310"/>
    <w:rsid w:val="25BC404B"/>
    <w:rsid w:val="25C428AA"/>
    <w:rsid w:val="25DB4F94"/>
    <w:rsid w:val="25FC2044"/>
    <w:rsid w:val="260333D3"/>
    <w:rsid w:val="2614680A"/>
    <w:rsid w:val="262140CD"/>
    <w:rsid w:val="26924C01"/>
    <w:rsid w:val="26FA7EC0"/>
    <w:rsid w:val="270C4509"/>
    <w:rsid w:val="272110D9"/>
    <w:rsid w:val="2768359D"/>
    <w:rsid w:val="279006DD"/>
    <w:rsid w:val="279B588D"/>
    <w:rsid w:val="27D16199"/>
    <w:rsid w:val="282823F8"/>
    <w:rsid w:val="283A0FC1"/>
    <w:rsid w:val="28470253"/>
    <w:rsid w:val="285A5748"/>
    <w:rsid w:val="287C746C"/>
    <w:rsid w:val="28A16ED3"/>
    <w:rsid w:val="28B5472C"/>
    <w:rsid w:val="28DC615D"/>
    <w:rsid w:val="28F11055"/>
    <w:rsid w:val="291A5083"/>
    <w:rsid w:val="291D4373"/>
    <w:rsid w:val="294A30C6"/>
    <w:rsid w:val="295D4E9F"/>
    <w:rsid w:val="29775441"/>
    <w:rsid w:val="297953EF"/>
    <w:rsid w:val="29891E41"/>
    <w:rsid w:val="299B1B74"/>
    <w:rsid w:val="29BA5754"/>
    <w:rsid w:val="29BF1D06"/>
    <w:rsid w:val="29C56BF1"/>
    <w:rsid w:val="29D67050"/>
    <w:rsid w:val="29DF5F05"/>
    <w:rsid w:val="2A566E5D"/>
    <w:rsid w:val="2A7C19A5"/>
    <w:rsid w:val="2A7C6535"/>
    <w:rsid w:val="2AA04397"/>
    <w:rsid w:val="2AE15CAC"/>
    <w:rsid w:val="2B1E2A5D"/>
    <w:rsid w:val="2B3109E2"/>
    <w:rsid w:val="2B38553E"/>
    <w:rsid w:val="2B42261C"/>
    <w:rsid w:val="2B597FB6"/>
    <w:rsid w:val="2BC96303"/>
    <w:rsid w:val="2C164FCF"/>
    <w:rsid w:val="2C245E51"/>
    <w:rsid w:val="2C26606D"/>
    <w:rsid w:val="2C493B09"/>
    <w:rsid w:val="2C516045"/>
    <w:rsid w:val="2C5524AE"/>
    <w:rsid w:val="2C5A6534"/>
    <w:rsid w:val="2C7E56E5"/>
    <w:rsid w:val="2C9F197B"/>
    <w:rsid w:val="2CCA561D"/>
    <w:rsid w:val="2CD71115"/>
    <w:rsid w:val="2CEF2903"/>
    <w:rsid w:val="2D0636EB"/>
    <w:rsid w:val="2D067C02"/>
    <w:rsid w:val="2D401CB3"/>
    <w:rsid w:val="2D614E83"/>
    <w:rsid w:val="2D6E10CD"/>
    <w:rsid w:val="2D7B4196"/>
    <w:rsid w:val="2D860255"/>
    <w:rsid w:val="2DB325F1"/>
    <w:rsid w:val="2DB41456"/>
    <w:rsid w:val="2DB476A8"/>
    <w:rsid w:val="2DBB5542"/>
    <w:rsid w:val="2DC564F0"/>
    <w:rsid w:val="2DCE1EBA"/>
    <w:rsid w:val="2DEC299E"/>
    <w:rsid w:val="2DEC4D59"/>
    <w:rsid w:val="2DF434B8"/>
    <w:rsid w:val="2DFD1FF4"/>
    <w:rsid w:val="2E3C7568"/>
    <w:rsid w:val="2E8D23D3"/>
    <w:rsid w:val="2EA96AE1"/>
    <w:rsid w:val="2F0F586E"/>
    <w:rsid w:val="2F1403FE"/>
    <w:rsid w:val="2F412617"/>
    <w:rsid w:val="2F66731E"/>
    <w:rsid w:val="2F6847D4"/>
    <w:rsid w:val="2F7009CA"/>
    <w:rsid w:val="2F846413"/>
    <w:rsid w:val="2F974B8C"/>
    <w:rsid w:val="2FA771D7"/>
    <w:rsid w:val="2FDE5B1B"/>
    <w:rsid w:val="2FE4261D"/>
    <w:rsid w:val="2FFB3907"/>
    <w:rsid w:val="30437CE4"/>
    <w:rsid w:val="30450A8C"/>
    <w:rsid w:val="308E0BA7"/>
    <w:rsid w:val="30D454A4"/>
    <w:rsid w:val="30F56787"/>
    <w:rsid w:val="3106021B"/>
    <w:rsid w:val="312D57A8"/>
    <w:rsid w:val="31527647"/>
    <w:rsid w:val="31590203"/>
    <w:rsid w:val="31A11CF2"/>
    <w:rsid w:val="31A54407"/>
    <w:rsid w:val="31A649C7"/>
    <w:rsid w:val="31BC4D7D"/>
    <w:rsid w:val="31C0486E"/>
    <w:rsid w:val="31CC4FC0"/>
    <w:rsid w:val="31CE65EF"/>
    <w:rsid w:val="31D976DD"/>
    <w:rsid w:val="32146092"/>
    <w:rsid w:val="32180110"/>
    <w:rsid w:val="322546D1"/>
    <w:rsid w:val="322D73F8"/>
    <w:rsid w:val="323B0659"/>
    <w:rsid w:val="324D000F"/>
    <w:rsid w:val="32577762"/>
    <w:rsid w:val="328162CD"/>
    <w:rsid w:val="32905061"/>
    <w:rsid w:val="32BA4D21"/>
    <w:rsid w:val="32C0264B"/>
    <w:rsid w:val="32D57EA5"/>
    <w:rsid w:val="32D80882"/>
    <w:rsid w:val="33006681"/>
    <w:rsid w:val="33092F71"/>
    <w:rsid w:val="333A41AC"/>
    <w:rsid w:val="333F5C66"/>
    <w:rsid w:val="33AB2E09"/>
    <w:rsid w:val="33B026C0"/>
    <w:rsid w:val="33C64D45"/>
    <w:rsid w:val="33D53ED4"/>
    <w:rsid w:val="33E86C3E"/>
    <w:rsid w:val="34074FA3"/>
    <w:rsid w:val="344D0EFF"/>
    <w:rsid w:val="344D7D58"/>
    <w:rsid w:val="345C67A9"/>
    <w:rsid w:val="34602469"/>
    <w:rsid w:val="34727975"/>
    <w:rsid w:val="34936269"/>
    <w:rsid w:val="34967B08"/>
    <w:rsid w:val="349F4C0E"/>
    <w:rsid w:val="34A0589E"/>
    <w:rsid w:val="34A16E7D"/>
    <w:rsid w:val="34C62E5D"/>
    <w:rsid w:val="34EA39B0"/>
    <w:rsid w:val="350028F4"/>
    <w:rsid w:val="35101668"/>
    <w:rsid w:val="353C245D"/>
    <w:rsid w:val="35513A2B"/>
    <w:rsid w:val="35643950"/>
    <w:rsid w:val="356B689E"/>
    <w:rsid w:val="3576787D"/>
    <w:rsid w:val="357D027F"/>
    <w:rsid w:val="35B4432A"/>
    <w:rsid w:val="35BA6250"/>
    <w:rsid w:val="35BE10C4"/>
    <w:rsid w:val="35D27D3E"/>
    <w:rsid w:val="35EB3E83"/>
    <w:rsid w:val="35F4776D"/>
    <w:rsid w:val="35FA0C7A"/>
    <w:rsid w:val="36021AA3"/>
    <w:rsid w:val="361C5FF4"/>
    <w:rsid w:val="36314ACE"/>
    <w:rsid w:val="364569CD"/>
    <w:rsid w:val="36513CE6"/>
    <w:rsid w:val="36592B9B"/>
    <w:rsid w:val="366C0BDF"/>
    <w:rsid w:val="366F0610"/>
    <w:rsid w:val="36914A2B"/>
    <w:rsid w:val="36987B67"/>
    <w:rsid w:val="36A04C6E"/>
    <w:rsid w:val="36AC3612"/>
    <w:rsid w:val="36C46BAE"/>
    <w:rsid w:val="36EF52AD"/>
    <w:rsid w:val="36FC78EB"/>
    <w:rsid w:val="37082F44"/>
    <w:rsid w:val="37486C96"/>
    <w:rsid w:val="376318F3"/>
    <w:rsid w:val="376470DE"/>
    <w:rsid w:val="37667C65"/>
    <w:rsid w:val="37AF33BA"/>
    <w:rsid w:val="37C5786B"/>
    <w:rsid w:val="37F840FE"/>
    <w:rsid w:val="38036A56"/>
    <w:rsid w:val="380444D2"/>
    <w:rsid w:val="3829101F"/>
    <w:rsid w:val="383B0553"/>
    <w:rsid w:val="384855BD"/>
    <w:rsid w:val="386A5996"/>
    <w:rsid w:val="386B0CDD"/>
    <w:rsid w:val="387463B2"/>
    <w:rsid w:val="38855EC9"/>
    <w:rsid w:val="38961E6B"/>
    <w:rsid w:val="38B51168"/>
    <w:rsid w:val="38C61C36"/>
    <w:rsid w:val="38CC58A6"/>
    <w:rsid w:val="38D25C01"/>
    <w:rsid w:val="39047696"/>
    <w:rsid w:val="393F251C"/>
    <w:rsid w:val="394D1B49"/>
    <w:rsid w:val="3972568B"/>
    <w:rsid w:val="399860D0"/>
    <w:rsid w:val="39A22AAB"/>
    <w:rsid w:val="39A31125"/>
    <w:rsid w:val="39A36682"/>
    <w:rsid w:val="39A93E39"/>
    <w:rsid w:val="39B5458C"/>
    <w:rsid w:val="39EB4452"/>
    <w:rsid w:val="39FC4F8E"/>
    <w:rsid w:val="3A356FBB"/>
    <w:rsid w:val="3A773D72"/>
    <w:rsid w:val="3A9E14C4"/>
    <w:rsid w:val="3A9E7716"/>
    <w:rsid w:val="3AA12D62"/>
    <w:rsid w:val="3AB331C1"/>
    <w:rsid w:val="3AE128D3"/>
    <w:rsid w:val="3B0B29B1"/>
    <w:rsid w:val="3B181276"/>
    <w:rsid w:val="3B1B48C3"/>
    <w:rsid w:val="3B21656F"/>
    <w:rsid w:val="3B2C7764"/>
    <w:rsid w:val="3B3A743F"/>
    <w:rsid w:val="3B4E2EEA"/>
    <w:rsid w:val="3B8A37F6"/>
    <w:rsid w:val="3B9F72A2"/>
    <w:rsid w:val="3BA7084C"/>
    <w:rsid w:val="3BC35251"/>
    <w:rsid w:val="3BE455FD"/>
    <w:rsid w:val="3BF52EC4"/>
    <w:rsid w:val="3BF91F00"/>
    <w:rsid w:val="3C1F6635"/>
    <w:rsid w:val="3C4869A2"/>
    <w:rsid w:val="3C8D3860"/>
    <w:rsid w:val="3C9949E0"/>
    <w:rsid w:val="3CB95924"/>
    <w:rsid w:val="3CBC20D5"/>
    <w:rsid w:val="3CE91C45"/>
    <w:rsid w:val="3D0A2E41"/>
    <w:rsid w:val="3D3729AB"/>
    <w:rsid w:val="3D3A4A37"/>
    <w:rsid w:val="3D695DB9"/>
    <w:rsid w:val="3D7604D6"/>
    <w:rsid w:val="3D785FFC"/>
    <w:rsid w:val="3DAE1A1E"/>
    <w:rsid w:val="3DBB3361"/>
    <w:rsid w:val="3DBD36B4"/>
    <w:rsid w:val="3DC21BD1"/>
    <w:rsid w:val="3E815385"/>
    <w:rsid w:val="3E852A81"/>
    <w:rsid w:val="3EAB1A1E"/>
    <w:rsid w:val="3ED5122D"/>
    <w:rsid w:val="3EE56C94"/>
    <w:rsid w:val="3EE75404"/>
    <w:rsid w:val="3F1735F3"/>
    <w:rsid w:val="3F1955BD"/>
    <w:rsid w:val="3F79434E"/>
    <w:rsid w:val="3F881C52"/>
    <w:rsid w:val="3FB11C9A"/>
    <w:rsid w:val="3FBA3852"/>
    <w:rsid w:val="3FC90D91"/>
    <w:rsid w:val="3FCE0156"/>
    <w:rsid w:val="40037546"/>
    <w:rsid w:val="40155D85"/>
    <w:rsid w:val="40316936"/>
    <w:rsid w:val="40330901"/>
    <w:rsid w:val="40385F17"/>
    <w:rsid w:val="405320CB"/>
    <w:rsid w:val="40577BF6"/>
    <w:rsid w:val="405C1D53"/>
    <w:rsid w:val="407C4056"/>
    <w:rsid w:val="40A13ABC"/>
    <w:rsid w:val="40B05AAD"/>
    <w:rsid w:val="40F3609F"/>
    <w:rsid w:val="41173D7E"/>
    <w:rsid w:val="412A1EE2"/>
    <w:rsid w:val="415723CD"/>
    <w:rsid w:val="41586871"/>
    <w:rsid w:val="41E40104"/>
    <w:rsid w:val="42010CB6"/>
    <w:rsid w:val="42097B6B"/>
    <w:rsid w:val="421E43D8"/>
    <w:rsid w:val="423F358D"/>
    <w:rsid w:val="42472441"/>
    <w:rsid w:val="42497F67"/>
    <w:rsid w:val="42562684"/>
    <w:rsid w:val="425F68B8"/>
    <w:rsid w:val="42774C0B"/>
    <w:rsid w:val="42A948FC"/>
    <w:rsid w:val="42BE13E4"/>
    <w:rsid w:val="42D357B4"/>
    <w:rsid w:val="42E7478B"/>
    <w:rsid w:val="42F96644"/>
    <w:rsid w:val="42FB3A6B"/>
    <w:rsid w:val="430622FC"/>
    <w:rsid w:val="431B19E5"/>
    <w:rsid w:val="432F533D"/>
    <w:rsid w:val="43387AC5"/>
    <w:rsid w:val="43463D96"/>
    <w:rsid w:val="43805C0B"/>
    <w:rsid w:val="438A0837"/>
    <w:rsid w:val="4391606A"/>
    <w:rsid w:val="43B90FA0"/>
    <w:rsid w:val="43C719C4"/>
    <w:rsid w:val="43C834BE"/>
    <w:rsid w:val="43D47D05"/>
    <w:rsid w:val="43DB3A33"/>
    <w:rsid w:val="43DE0B83"/>
    <w:rsid w:val="43FF13ED"/>
    <w:rsid w:val="444529B0"/>
    <w:rsid w:val="44704E06"/>
    <w:rsid w:val="447119F7"/>
    <w:rsid w:val="448477BC"/>
    <w:rsid w:val="449D0A3E"/>
    <w:rsid w:val="44AB315B"/>
    <w:rsid w:val="44C63AF1"/>
    <w:rsid w:val="44C67F9B"/>
    <w:rsid w:val="44DA759D"/>
    <w:rsid w:val="44DE52DF"/>
    <w:rsid w:val="44F93EC7"/>
    <w:rsid w:val="44FB063E"/>
    <w:rsid w:val="45156827"/>
    <w:rsid w:val="453A3DC4"/>
    <w:rsid w:val="454278DA"/>
    <w:rsid w:val="45467A41"/>
    <w:rsid w:val="454A3D85"/>
    <w:rsid w:val="45530D99"/>
    <w:rsid w:val="455A5B1C"/>
    <w:rsid w:val="45607C4D"/>
    <w:rsid w:val="45750967"/>
    <w:rsid w:val="45A007E6"/>
    <w:rsid w:val="45A543E8"/>
    <w:rsid w:val="45AB2CE7"/>
    <w:rsid w:val="45BC6CA2"/>
    <w:rsid w:val="45C2075D"/>
    <w:rsid w:val="45CC2E39"/>
    <w:rsid w:val="45CF69D6"/>
    <w:rsid w:val="45DC10F2"/>
    <w:rsid w:val="460342EF"/>
    <w:rsid w:val="461204F3"/>
    <w:rsid w:val="461D3BE5"/>
    <w:rsid w:val="46517D32"/>
    <w:rsid w:val="466440A3"/>
    <w:rsid w:val="46911EDD"/>
    <w:rsid w:val="46A2058E"/>
    <w:rsid w:val="46B1257F"/>
    <w:rsid w:val="46B34549"/>
    <w:rsid w:val="46D445FE"/>
    <w:rsid w:val="46DC75FC"/>
    <w:rsid w:val="46FA66EA"/>
    <w:rsid w:val="470D1EAB"/>
    <w:rsid w:val="47460F19"/>
    <w:rsid w:val="4755115C"/>
    <w:rsid w:val="475D6648"/>
    <w:rsid w:val="475F7720"/>
    <w:rsid w:val="47613FA5"/>
    <w:rsid w:val="478B4B7E"/>
    <w:rsid w:val="478D4D9A"/>
    <w:rsid w:val="47CB7671"/>
    <w:rsid w:val="48140818"/>
    <w:rsid w:val="4823125B"/>
    <w:rsid w:val="48912668"/>
    <w:rsid w:val="48B545A9"/>
    <w:rsid w:val="48BF0F83"/>
    <w:rsid w:val="48C540C0"/>
    <w:rsid w:val="48C92504"/>
    <w:rsid w:val="48F30388"/>
    <w:rsid w:val="491646DC"/>
    <w:rsid w:val="493354CD"/>
    <w:rsid w:val="493A2D00"/>
    <w:rsid w:val="495B760C"/>
    <w:rsid w:val="49C55FA9"/>
    <w:rsid w:val="49C600F0"/>
    <w:rsid w:val="49DB1DED"/>
    <w:rsid w:val="49E32F62"/>
    <w:rsid w:val="49EC3D04"/>
    <w:rsid w:val="4A1F71D6"/>
    <w:rsid w:val="4A297CE3"/>
    <w:rsid w:val="4A365275"/>
    <w:rsid w:val="4A58343D"/>
    <w:rsid w:val="4A6C0C97"/>
    <w:rsid w:val="4A8E6E5F"/>
    <w:rsid w:val="4A9638F4"/>
    <w:rsid w:val="4AB33BAC"/>
    <w:rsid w:val="4AF018C8"/>
    <w:rsid w:val="4B0233A9"/>
    <w:rsid w:val="4B03582F"/>
    <w:rsid w:val="4B1B446B"/>
    <w:rsid w:val="4B616322"/>
    <w:rsid w:val="4B7A02E3"/>
    <w:rsid w:val="4B8244EA"/>
    <w:rsid w:val="4B903FA6"/>
    <w:rsid w:val="4BAA4707"/>
    <w:rsid w:val="4BB02E05"/>
    <w:rsid w:val="4BE37435"/>
    <w:rsid w:val="4BF4363A"/>
    <w:rsid w:val="4BF54CBC"/>
    <w:rsid w:val="4C141798"/>
    <w:rsid w:val="4C405568"/>
    <w:rsid w:val="4C4B4628"/>
    <w:rsid w:val="4C5E0AB3"/>
    <w:rsid w:val="4C8D6BD9"/>
    <w:rsid w:val="4CA95044"/>
    <w:rsid w:val="4CB734A9"/>
    <w:rsid w:val="4CBA3FA7"/>
    <w:rsid w:val="4CC44899"/>
    <w:rsid w:val="4CC50080"/>
    <w:rsid w:val="4CC8201C"/>
    <w:rsid w:val="4CD46FC7"/>
    <w:rsid w:val="4CE76CFB"/>
    <w:rsid w:val="4CE94821"/>
    <w:rsid w:val="4CF5766A"/>
    <w:rsid w:val="4D0432BC"/>
    <w:rsid w:val="4D05056F"/>
    <w:rsid w:val="4D332641"/>
    <w:rsid w:val="4D3C7046"/>
    <w:rsid w:val="4D41623C"/>
    <w:rsid w:val="4D49151E"/>
    <w:rsid w:val="4D4C5FE5"/>
    <w:rsid w:val="4D513928"/>
    <w:rsid w:val="4D5F7C52"/>
    <w:rsid w:val="4D9E6EB1"/>
    <w:rsid w:val="4DD85964"/>
    <w:rsid w:val="4DF01BDF"/>
    <w:rsid w:val="4DF26E85"/>
    <w:rsid w:val="4E066B4B"/>
    <w:rsid w:val="4E4D546F"/>
    <w:rsid w:val="4E946D63"/>
    <w:rsid w:val="4EA84268"/>
    <w:rsid w:val="4EBE26FA"/>
    <w:rsid w:val="4F051F32"/>
    <w:rsid w:val="4F0C47F7"/>
    <w:rsid w:val="4F18763F"/>
    <w:rsid w:val="4F45166E"/>
    <w:rsid w:val="4F6C2089"/>
    <w:rsid w:val="4F7253D4"/>
    <w:rsid w:val="4F770500"/>
    <w:rsid w:val="4F895E47"/>
    <w:rsid w:val="4FBF5D0D"/>
    <w:rsid w:val="4FC60E49"/>
    <w:rsid w:val="4FCB2904"/>
    <w:rsid w:val="4FE614EB"/>
    <w:rsid w:val="4FFA0AF3"/>
    <w:rsid w:val="501B1214"/>
    <w:rsid w:val="5042049E"/>
    <w:rsid w:val="505521CD"/>
    <w:rsid w:val="50656FB1"/>
    <w:rsid w:val="50836D3A"/>
    <w:rsid w:val="508971C0"/>
    <w:rsid w:val="50B415EA"/>
    <w:rsid w:val="50B667E4"/>
    <w:rsid w:val="50BB0282"/>
    <w:rsid w:val="50C17AD7"/>
    <w:rsid w:val="50C64E79"/>
    <w:rsid w:val="50DD6DAD"/>
    <w:rsid w:val="50E06518"/>
    <w:rsid w:val="50EF617E"/>
    <w:rsid w:val="50F37A6D"/>
    <w:rsid w:val="50F57014"/>
    <w:rsid w:val="51031C29"/>
    <w:rsid w:val="510C4F82"/>
    <w:rsid w:val="51151574"/>
    <w:rsid w:val="51275918"/>
    <w:rsid w:val="51402E7D"/>
    <w:rsid w:val="514C537E"/>
    <w:rsid w:val="5153670D"/>
    <w:rsid w:val="515A3F3F"/>
    <w:rsid w:val="516052CE"/>
    <w:rsid w:val="51897893"/>
    <w:rsid w:val="519105C3"/>
    <w:rsid w:val="51AB479B"/>
    <w:rsid w:val="51AC406F"/>
    <w:rsid w:val="51F96C04"/>
    <w:rsid w:val="52154C9B"/>
    <w:rsid w:val="521C11F4"/>
    <w:rsid w:val="52264DAC"/>
    <w:rsid w:val="524751DF"/>
    <w:rsid w:val="52481FEA"/>
    <w:rsid w:val="529E42FF"/>
    <w:rsid w:val="52A93FA1"/>
    <w:rsid w:val="52AF497A"/>
    <w:rsid w:val="52CA3AA6"/>
    <w:rsid w:val="52CA7A81"/>
    <w:rsid w:val="52CC0CD2"/>
    <w:rsid w:val="52DD2A0A"/>
    <w:rsid w:val="52FE4D9E"/>
    <w:rsid w:val="530F0D59"/>
    <w:rsid w:val="53206AC2"/>
    <w:rsid w:val="5331436C"/>
    <w:rsid w:val="53861A88"/>
    <w:rsid w:val="5389353E"/>
    <w:rsid w:val="539F20DD"/>
    <w:rsid w:val="53A02049"/>
    <w:rsid w:val="53A6376C"/>
    <w:rsid w:val="53B10062"/>
    <w:rsid w:val="53DC0CED"/>
    <w:rsid w:val="53F01D34"/>
    <w:rsid w:val="53FB1A28"/>
    <w:rsid w:val="53FE09DA"/>
    <w:rsid w:val="540069B2"/>
    <w:rsid w:val="5415239F"/>
    <w:rsid w:val="54153AED"/>
    <w:rsid w:val="541F37B3"/>
    <w:rsid w:val="54253E64"/>
    <w:rsid w:val="544762D1"/>
    <w:rsid w:val="544B5DC1"/>
    <w:rsid w:val="5454111A"/>
    <w:rsid w:val="54682976"/>
    <w:rsid w:val="547D1CF3"/>
    <w:rsid w:val="548F2DD8"/>
    <w:rsid w:val="54A84154"/>
    <w:rsid w:val="54BD13ED"/>
    <w:rsid w:val="54CD4A28"/>
    <w:rsid w:val="54D538DD"/>
    <w:rsid w:val="54D558E9"/>
    <w:rsid w:val="54F85711"/>
    <w:rsid w:val="54FD1407"/>
    <w:rsid w:val="550240DE"/>
    <w:rsid w:val="5507618C"/>
    <w:rsid w:val="55180399"/>
    <w:rsid w:val="555E1A51"/>
    <w:rsid w:val="5563538C"/>
    <w:rsid w:val="55D02059"/>
    <w:rsid w:val="55D63DB0"/>
    <w:rsid w:val="55F85AD5"/>
    <w:rsid w:val="561843C9"/>
    <w:rsid w:val="567726B1"/>
    <w:rsid w:val="568D446F"/>
    <w:rsid w:val="569752EE"/>
    <w:rsid w:val="56E04EE6"/>
    <w:rsid w:val="570326DF"/>
    <w:rsid w:val="57106E4E"/>
    <w:rsid w:val="57376AD1"/>
    <w:rsid w:val="57601B83"/>
    <w:rsid w:val="5766493A"/>
    <w:rsid w:val="57757926"/>
    <w:rsid w:val="57811773"/>
    <w:rsid w:val="57AE2741"/>
    <w:rsid w:val="57BB14B0"/>
    <w:rsid w:val="58027C9C"/>
    <w:rsid w:val="580C394F"/>
    <w:rsid w:val="582A3F3F"/>
    <w:rsid w:val="584F4B0D"/>
    <w:rsid w:val="585F4004"/>
    <w:rsid w:val="5861691A"/>
    <w:rsid w:val="586D4FB8"/>
    <w:rsid w:val="588658D3"/>
    <w:rsid w:val="58975E80"/>
    <w:rsid w:val="58AB32D2"/>
    <w:rsid w:val="58BF6D7E"/>
    <w:rsid w:val="58DC62C3"/>
    <w:rsid w:val="58E97957"/>
    <w:rsid w:val="59230B8D"/>
    <w:rsid w:val="59360E7D"/>
    <w:rsid w:val="593F6A92"/>
    <w:rsid w:val="594F1EAF"/>
    <w:rsid w:val="5963595B"/>
    <w:rsid w:val="596A4F3B"/>
    <w:rsid w:val="5991071A"/>
    <w:rsid w:val="599E4BE5"/>
    <w:rsid w:val="59A541C5"/>
    <w:rsid w:val="59DF0786"/>
    <w:rsid w:val="59FB3DE5"/>
    <w:rsid w:val="5A3C0CDA"/>
    <w:rsid w:val="5A410D7F"/>
    <w:rsid w:val="5A7E027A"/>
    <w:rsid w:val="5A875679"/>
    <w:rsid w:val="5B0B7497"/>
    <w:rsid w:val="5B1433B1"/>
    <w:rsid w:val="5B2246B3"/>
    <w:rsid w:val="5B280C0A"/>
    <w:rsid w:val="5B2F582D"/>
    <w:rsid w:val="5B386973"/>
    <w:rsid w:val="5B5419FF"/>
    <w:rsid w:val="5B55049B"/>
    <w:rsid w:val="5B6F05E7"/>
    <w:rsid w:val="5B7A7787"/>
    <w:rsid w:val="5B7D77BD"/>
    <w:rsid w:val="5B8F0D5C"/>
    <w:rsid w:val="5BAD110F"/>
    <w:rsid w:val="5BB701E0"/>
    <w:rsid w:val="5BC326E1"/>
    <w:rsid w:val="5BC6626E"/>
    <w:rsid w:val="5BCE7A03"/>
    <w:rsid w:val="5BE03293"/>
    <w:rsid w:val="5BF705DC"/>
    <w:rsid w:val="5C0F3B78"/>
    <w:rsid w:val="5C2235BD"/>
    <w:rsid w:val="5C253E64"/>
    <w:rsid w:val="5C3A6CCF"/>
    <w:rsid w:val="5C3B4731"/>
    <w:rsid w:val="5C451348"/>
    <w:rsid w:val="5C580290"/>
    <w:rsid w:val="5C5C4EEC"/>
    <w:rsid w:val="5C5D0B1A"/>
    <w:rsid w:val="5C814A76"/>
    <w:rsid w:val="5CA61E20"/>
    <w:rsid w:val="5CD94967"/>
    <w:rsid w:val="5D0D5E29"/>
    <w:rsid w:val="5DD30ABF"/>
    <w:rsid w:val="5DE05293"/>
    <w:rsid w:val="5E227B93"/>
    <w:rsid w:val="5E361890"/>
    <w:rsid w:val="5E5522DB"/>
    <w:rsid w:val="5E642073"/>
    <w:rsid w:val="5E6C3504"/>
    <w:rsid w:val="5E7E6D93"/>
    <w:rsid w:val="5E9020F1"/>
    <w:rsid w:val="5EA06D09"/>
    <w:rsid w:val="5EA20CD3"/>
    <w:rsid w:val="5EB90EE3"/>
    <w:rsid w:val="5EC549C2"/>
    <w:rsid w:val="5EE03BB1"/>
    <w:rsid w:val="5F047298"/>
    <w:rsid w:val="5F1F0576"/>
    <w:rsid w:val="5F27742B"/>
    <w:rsid w:val="5F2913F5"/>
    <w:rsid w:val="5F36141C"/>
    <w:rsid w:val="5F3C1128"/>
    <w:rsid w:val="5F3D09FC"/>
    <w:rsid w:val="5F4D0194"/>
    <w:rsid w:val="5F546472"/>
    <w:rsid w:val="5FB54A36"/>
    <w:rsid w:val="5FD21144"/>
    <w:rsid w:val="5FD27396"/>
    <w:rsid w:val="60107EBF"/>
    <w:rsid w:val="60255718"/>
    <w:rsid w:val="60637AA4"/>
    <w:rsid w:val="60743588"/>
    <w:rsid w:val="60910B83"/>
    <w:rsid w:val="60A02D04"/>
    <w:rsid w:val="60B92304"/>
    <w:rsid w:val="60C67276"/>
    <w:rsid w:val="60CF1B28"/>
    <w:rsid w:val="60D96503"/>
    <w:rsid w:val="60E23609"/>
    <w:rsid w:val="60E70C20"/>
    <w:rsid w:val="60EC54EB"/>
    <w:rsid w:val="60F63558"/>
    <w:rsid w:val="60FA66B2"/>
    <w:rsid w:val="613C7D5D"/>
    <w:rsid w:val="61617960"/>
    <w:rsid w:val="61690346"/>
    <w:rsid w:val="61E138C1"/>
    <w:rsid w:val="620B6B90"/>
    <w:rsid w:val="621C5807"/>
    <w:rsid w:val="623600B0"/>
    <w:rsid w:val="62676BEE"/>
    <w:rsid w:val="626B23D9"/>
    <w:rsid w:val="626D7CE5"/>
    <w:rsid w:val="62783A56"/>
    <w:rsid w:val="62A96AD4"/>
    <w:rsid w:val="62AA0157"/>
    <w:rsid w:val="62AD1B39"/>
    <w:rsid w:val="62E22F16"/>
    <w:rsid w:val="62F12229"/>
    <w:rsid w:val="62F91F85"/>
    <w:rsid w:val="632A628A"/>
    <w:rsid w:val="63367C3C"/>
    <w:rsid w:val="63584057"/>
    <w:rsid w:val="63755EBC"/>
    <w:rsid w:val="63780255"/>
    <w:rsid w:val="63A1155A"/>
    <w:rsid w:val="63AF0497"/>
    <w:rsid w:val="63DE27AE"/>
    <w:rsid w:val="6410048D"/>
    <w:rsid w:val="64155AA4"/>
    <w:rsid w:val="64184303"/>
    <w:rsid w:val="64284329"/>
    <w:rsid w:val="645442A7"/>
    <w:rsid w:val="64740A1C"/>
    <w:rsid w:val="64A97036"/>
    <w:rsid w:val="64FA2A94"/>
    <w:rsid w:val="650E6626"/>
    <w:rsid w:val="6520293F"/>
    <w:rsid w:val="6521376C"/>
    <w:rsid w:val="656657BF"/>
    <w:rsid w:val="65717652"/>
    <w:rsid w:val="65750EF0"/>
    <w:rsid w:val="65822EA3"/>
    <w:rsid w:val="65905D2A"/>
    <w:rsid w:val="65952324"/>
    <w:rsid w:val="65B37C6A"/>
    <w:rsid w:val="65D025CA"/>
    <w:rsid w:val="65D8322D"/>
    <w:rsid w:val="65E6594A"/>
    <w:rsid w:val="661A250E"/>
    <w:rsid w:val="663F505A"/>
    <w:rsid w:val="66494CB0"/>
    <w:rsid w:val="66551508"/>
    <w:rsid w:val="668A4527"/>
    <w:rsid w:val="66D00EB5"/>
    <w:rsid w:val="66FA6593"/>
    <w:rsid w:val="67204E8B"/>
    <w:rsid w:val="676958DE"/>
    <w:rsid w:val="676C1E7F"/>
    <w:rsid w:val="676C6322"/>
    <w:rsid w:val="67C021CA"/>
    <w:rsid w:val="67D77C40"/>
    <w:rsid w:val="67E1461B"/>
    <w:rsid w:val="68280269"/>
    <w:rsid w:val="687F7DF0"/>
    <w:rsid w:val="688D1FBD"/>
    <w:rsid w:val="68941085"/>
    <w:rsid w:val="68946B2A"/>
    <w:rsid w:val="689E42BA"/>
    <w:rsid w:val="68CD2DF1"/>
    <w:rsid w:val="68E2698B"/>
    <w:rsid w:val="68EB3277"/>
    <w:rsid w:val="69434E61"/>
    <w:rsid w:val="69580B52"/>
    <w:rsid w:val="696077C1"/>
    <w:rsid w:val="696848C8"/>
    <w:rsid w:val="697033BA"/>
    <w:rsid w:val="698546EA"/>
    <w:rsid w:val="69947D51"/>
    <w:rsid w:val="699F1BBD"/>
    <w:rsid w:val="69A9560C"/>
    <w:rsid w:val="69BB70ED"/>
    <w:rsid w:val="69BE41E9"/>
    <w:rsid w:val="6A2C2893"/>
    <w:rsid w:val="6A4470E3"/>
    <w:rsid w:val="6A511D44"/>
    <w:rsid w:val="6A545D63"/>
    <w:rsid w:val="6A5E63F6"/>
    <w:rsid w:val="6A694D9B"/>
    <w:rsid w:val="6AA62270"/>
    <w:rsid w:val="6AB44268"/>
    <w:rsid w:val="6ABE0D2A"/>
    <w:rsid w:val="6AEB309E"/>
    <w:rsid w:val="6B036F9E"/>
    <w:rsid w:val="6B1C3002"/>
    <w:rsid w:val="6B1E5B86"/>
    <w:rsid w:val="6B391093"/>
    <w:rsid w:val="6B511920"/>
    <w:rsid w:val="6B637A3C"/>
    <w:rsid w:val="6B9C0CC3"/>
    <w:rsid w:val="6BB65DBE"/>
    <w:rsid w:val="6BBD40E6"/>
    <w:rsid w:val="6BC81CBB"/>
    <w:rsid w:val="6BD11B7B"/>
    <w:rsid w:val="6BD65D98"/>
    <w:rsid w:val="6BEC7A32"/>
    <w:rsid w:val="6C1F5711"/>
    <w:rsid w:val="6C4C56DA"/>
    <w:rsid w:val="6C523D39"/>
    <w:rsid w:val="6C7041BF"/>
    <w:rsid w:val="6C7E0384"/>
    <w:rsid w:val="6C910FE0"/>
    <w:rsid w:val="6C9C4E32"/>
    <w:rsid w:val="6CA476DC"/>
    <w:rsid w:val="6CAD5413"/>
    <w:rsid w:val="6CB70040"/>
    <w:rsid w:val="6CC22541"/>
    <w:rsid w:val="6CE32972"/>
    <w:rsid w:val="6D050BD9"/>
    <w:rsid w:val="6D08089B"/>
    <w:rsid w:val="6D094044"/>
    <w:rsid w:val="6D1E1E6D"/>
    <w:rsid w:val="6D21195D"/>
    <w:rsid w:val="6D3451EC"/>
    <w:rsid w:val="6D394EF9"/>
    <w:rsid w:val="6D402613"/>
    <w:rsid w:val="6D53301E"/>
    <w:rsid w:val="6D63226D"/>
    <w:rsid w:val="6D674CF6"/>
    <w:rsid w:val="6DAC7479"/>
    <w:rsid w:val="6DB85607"/>
    <w:rsid w:val="6DF6290F"/>
    <w:rsid w:val="6E1051A7"/>
    <w:rsid w:val="6E1F7C4B"/>
    <w:rsid w:val="6E292877"/>
    <w:rsid w:val="6E525890"/>
    <w:rsid w:val="6E5329E8"/>
    <w:rsid w:val="6E5673E4"/>
    <w:rsid w:val="6E6A3973"/>
    <w:rsid w:val="6E8C5829"/>
    <w:rsid w:val="6EC425A0"/>
    <w:rsid w:val="6ED70525"/>
    <w:rsid w:val="6EE92007"/>
    <w:rsid w:val="6F0230C8"/>
    <w:rsid w:val="6F2030BB"/>
    <w:rsid w:val="6F38755C"/>
    <w:rsid w:val="6F387877"/>
    <w:rsid w:val="6F395EF5"/>
    <w:rsid w:val="6F5558EE"/>
    <w:rsid w:val="6F5E47A3"/>
    <w:rsid w:val="6F6F69B0"/>
    <w:rsid w:val="6F983FC7"/>
    <w:rsid w:val="6FD11419"/>
    <w:rsid w:val="6FE64C44"/>
    <w:rsid w:val="700370F8"/>
    <w:rsid w:val="70047F6F"/>
    <w:rsid w:val="703A6C1B"/>
    <w:rsid w:val="70A94143"/>
    <w:rsid w:val="70DF5DB7"/>
    <w:rsid w:val="712437CA"/>
    <w:rsid w:val="71357785"/>
    <w:rsid w:val="713E673B"/>
    <w:rsid w:val="7168479B"/>
    <w:rsid w:val="71A02B29"/>
    <w:rsid w:val="71BA3885"/>
    <w:rsid w:val="71DF5BB8"/>
    <w:rsid w:val="71ED26D4"/>
    <w:rsid w:val="71F66F14"/>
    <w:rsid w:val="71FB452B"/>
    <w:rsid w:val="72353457"/>
    <w:rsid w:val="725E2947"/>
    <w:rsid w:val="72827293"/>
    <w:rsid w:val="72A267B9"/>
    <w:rsid w:val="72E6342D"/>
    <w:rsid w:val="72E92AEE"/>
    <w:rsid w:val="72EC0317"/>
    <w:rsid w:val="72ED0FAD"/>
    <w:rsid w:val="72EF0BFA"/>
    <w:rsid w:val="730127A7"/>
    <w:rsid w:val="73090EC9"/>
    <w:rsid w:val="7318110C"/>
    <w:rsid w:val="7345096E"/>
    <w:rsid w:val="73555EBD"/>
    <w:rsid w:val="73650000"/>
    <w:rsid w:val="73797DFD"/>
    <w:rsid w:val="738E6293"/>
    <w:rsid w:val="739C6873"/>
    <w:rsid w:val="73AA61B2"/>
    <w:rsid w:val="73B04B84"/>
    <w:rsid w:val="73D17C39"/>
    <w:rsid w:val="73DE26C6"/>
    <w:rsid w:val="73E95163"/>
    <w:rsid w:val="73F531FC"/>
    <w:rsid w:val="740759EF"/>
    <w:rsid w:val="74257F85"/>
    <w:rsid w:val="742835D1"/>
    <w:rsid w:val="744A1799"/>
    <w:rsid w:val="74613FF1"/>
    <w:rsid w:val="746740F9"/>
    <w:rsid w:val="74677011"/>
    <w:rsid w:val="748E002A"/>
    <w:rsid w:val="74936D0C"/>
    <w:rsid w:val="749E2A99"/>
    <w:rsid w:val="74AE70CF"/>
    <w:rsid w:val="74D92B51"/>
    <w:rsid w:val="74DA2B1D"/>
    <w:rsid w:val="750E0A19"/>
    <w:rsid w:val="75151DA7"/>
    <w:rsid w:val="753A7B9E"/>
    <w:rsid w:val="754E0E15"/>
    <w:rsid w:val="759058D2"/>
    <w:rsid w:val="75AB44BA"/>
    <w:rsid w:val="75C70789"/>
    <w:rsid w:val="760140DA"/>
    <w:rsid w:val="760D6F22"/>
    <w:rsid w:val="76133454"/>
    <w:rsid w:val="76360227"/>
    <w:rsid w:val="76391AC6"/>
    <w:rsid w:val="764C63FC"/>
    <w:rsid w:val="76766876"/>
    <w:rsid w:val="767945B8"/>
    <w:rsid w:val="76A21419"/>
    <w:rsid w:val="76A258BD"/>
    <w:rsid w:val="76AF73D6"/>
    <w:rsid w:val="771045D5"/>
    <w:rsid w:val="771352E9"/>
    <w:rsid w:val="772E1A47"/>
    <w:rsid w:val="7762504C"/>
    <w:rsid w:val="7791148D"/>
    <w:rsid w:val="77B71898"/>
    <w:rsid w:val="77C43611"/>
    <w:rsid w:val="77D25D2E"/>
    <w:rsid w:val="77E048EF"/>
    <w:rsid w:val="77F55EC0"/>
    <w:rsid w:val="780F5C58"/>
    <w:rsid w:val="785726D7"/>
    <w:rsid w:val="785A710D"/>
    <w:rsid w:val="78744ECD"/>
    <w:rsid w:val="789E20B4"/>
    <w:rsid w:val="78D45AD6"/>
    <w:rsid w:val="78E026CC"/>
    <w:rsid w:val="7912338C"/>
    <w:rsid w:val="79132AA2"/>
    <w:rsid w:val="792151BF"/>
    <w:rsid w:val="793622EC"/>
    <w:rsid w:val="793B5B55"/>
    <w:rsid w:val="794013BD"/>
    <w:rsid w:val="79404F19"/>
    <w:rsid w:val="794E5888"/>
    <w:rsid w:val="79690914"/>
    <w:rsid w:val="796B5D3E"/>
    <w:rsid w:val="797F5A41"/>
    <w:rsid w:val="7985585A"/>
    <w:rsid w:val="79B67A8B"/>
    <w:rsid w:val="79E040A0"/>
    <w:rsid w:val="79E65AC0"/>
    <w:rsid w:val="7A102B3D"/>
    <w:rsid w:val="7A232871"/>
    <w:rsid w:val="7A48677B"/>
    <w:rsid w:val="7A4B1DC7"/>
    <w:rsid w:val="7A877A1F"/>
    <w:rsid w:val="7A965738"/>
    <w:rsid w:val="7ABB12EB"/>
    <w:rsid w:val="7ACE4ED2"/>
    <w:rsid w:val="7AF22A56"/>
    <w:rsid w:val="7AFD18AC"/>
    <w:rsid w:val="7B045647"/>
    <w:rsid w:val="7B063D79"/>
    <w:rsid w:val="7B101FA2"/>
    <w:rsid w:val="7B203254"/>
    <w:rsid w:val="7B620D71"/>
    <w:rsid w:val="7B70048C"/>
    <w:rsid w:val="7B890DF9"/>
    <w:rsid w:val="7BA06143"/>
    <w:rsid w:val="7BC97F5D"/>
    <w:rsid w:val="7C1E3C37"/>
    <w:rsid w:val="7C376AA7"/>
    <w:rsid w:val="7C6562F0"/>
    <w:rsid w:val="7C703D67"/>
    <w:rsid w:val="7CA37C99"/>
    <w:rsid w:val="7CA65DD4"/>
    <w:rsid w:val="7CB85224"/>
    <w:rsid w:val="7CCA791B"/>
    <w:rsid w:val="7CDA3B58"/>
    <w:rsid w:val="7CF77FE5"/>
    <w:rsid w:val="7CF93D5D"/>
    <w:rsid w:val="7D034BDB"/>
    <w:rsid w:val="7D056BA5"/>
    <w:rsid w:val="7D0A4E30"/>
    <w:rsid w:val="7D125F7E"/>
    <w:rsid w:val="7D1846AF"/>
    <w:rsid w:val="7D1A66C6"/>
    <w:rsid w:val="7D1E1A15"/>
    <w:rsid w:val="7D4E344A"/>
    <w:rsid w:val="7D6513F2"/>
    <w:rsid w:val="7D843DC0"/>
    <w:rsid w:val="7D8F5B41"/>
    <w:rsid w:val="7D9F4904"/>
    <w:rsid w:val="7DB83C18"/>
    <w:rsid w:val="7DBD3982"/>
    <w:rsid w:val="7DD6409E"/>
    <w:rsid w:val="7DE02102"/>
    <w:rsid w:val="7DE83CCA"/>
    <w:rsid w:val="7DF017A5"/>
    <w:rsid w:val="7E056EE5"/>
    <w:rsid w:val="7E223B49"/>
    <w:rsid w:val="7E5B4160"/>
    <w:rsid w:val="7E5C27F5"/>
    <w:rsid w:val="7E7E3E97"/>
    <w:rsid w:val="7EA37119"/>
    <w:rsid w:val="7EB77A2B"/>
    <w:rsid w:val="7ECE1C69"/>
    <w:rsid w:val="7ED56104"/>
    <w:rsid w:val="7EE65DEF"/>
    <w:rsid w:val="7EED2764"/>
    <w:rsid w:val="7F007060"/>
    <w:rsid w:val="7F052E8D"/>
    <w:rsid w:val="7F157767"/>
    <w:rsid w:val="7F1C1F84"/>
    <w:rsid w:val="7F421595"/>
    <w:rsid w:val="7F726624"/>
    <w:rsid w:val="7F89586C"/>
    <w:rsid w:val="7F8C710A"/>
    <w:rsid w:val="7F8D63B9"/>
    <w:rsid w:val="7FA93818"/>
    <w:rsid w:val="7FAD3CE1"/>
    <w:rsid w:val="7FB8372D"/>
    <w:rsid w:val="7FCB19C3"/>
    <w:rsid w:val="7FDC2DDF"/>
    <w:rsid w:val="7FF8479F"/>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qFormat="1" w:unhideWhenUsed="0" w:uiPriority="0" w:semiHidden="0"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iPriority="99" w:semiHidden="0" w:name="Body Text 2"/>
    <w:lsdException w:qFormat="1" w:unhideWhenUsed="0" w:uiPriority="99"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lang w:val="en-US" w:eastAsia="zh-CN" w:bidi="ar-SA"/>
    </w:rPr>
  </w:style>
  <w:style w:type="paragraph" w:styleId="3">
    <w:name w:val="heading 1"/>
    <w:basedOn w:val="1"/>
    <w:next w:val="1"/>
    <w:link w:val="178"/>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54"/>
    <w:qFormat/>
    <w:uiPriority w:val="9"/>
    <w:pPr>
      <w:keepNext/>
      <w:keepLines/>
      <w:spacing w:before="260" w:after="260" w:line="416" w:lineRule="auto"/>
      <w:outlineLvl w:val="1"/>
    </w:pPr>
    <w:rPr>
      <w:rFonts w:ascii="Arial" w:hAnsi="Arial" w:eastAsia="黑体"/>
      <w:b/>
      <w:bCs/>
      <w:sz w:val="32"/>
      <w:szCs w:val="32"/>
    </w:rPr>
  </w:style>
  <w:style w:type="paragraph" w:styleId="5">
    <w:name w:val="heading 3"/>
    <w:basedOn w:val="1"/>
    <w:next w:val="6"/>
    <w:link w:val="105"/>
    <w:qFormat/>
    <w:uiPriority w:val="0"/>
    <w:pPr>
      <w:keepNext/>
      <w:keepLines/>
      <w:spacing w:before="260" w:after="260" w:line="416" w:lineRule="auto"/>
      <w:outlineLvl w:val="2"/>
    </w:pPr>
    <w:rPr>
      <w:b/>
      <w:bCs/>
      <w:sz w:val="32"/>
      <w:szCs w:val="32"/>
    </w:rPr>
  </w:style>
  <w:style w:type="paragraph" w:styleId="7">
    <w:name w:val="heading 4"/>
    <w:basedOn w:val="1"/>
    <w:next w:val="1"/>
    <w:link w:val="152"/>
    <w:qFormat/>
    <w:uiPriority w:val="9"/>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link w:val="147"/>
    <w:qFormat/>
    <w:uiPriority w:val="0"/>
    <w:pPr>
      <w:keepNext/>
      <w:keepLines/>
      <w:spacing w:before="280" w:after="290" w:line="376" w:lineRule="auto"/>
      <w:outlineLvl w:val="4"/>
    </w:pPr>
    <w:rPr>
      <w:b/>
      <w:bCs/>
      <w:sz w:val="28"/>
      <w:szCs w:val="28"/>
    </w:rPr>
  </w:style>
  <w:style w:type="paragraph" w:styleId="9">
    <w:name w:val="heading 6"/>
    <w:basedOn w:val="1"/>
    <w:next w:val="1"/>
    <w:link w:val="153"/>
    <w:qFormat/>
    <w:uiPriority w:val="0"/>
    <w:pPr>
      <w:spacing w:before="240" w:after="64" w:line="319" w:lineRule="auto"/>
      <w:ind w:left="1152" w:hanging="1152"/>
      <w:jc w:val="both"/>
      <w:outlineLvl w:val="5"/>
    </w:pPr>
    <w:rPr>
      <w:rFonts w:ascii="Arial" w:hAnsi="Calibri" w:eastAsia="黑体"/>
      <w:b/>
      <w:sz w:val="24"/>
    </w:rPr>
  </w:style>
  <w:style w:type="paragraph" w:styleId="10">
    <w:name w:val="heading 7"/>
    <w:basedOn w:val="1"/>
    <w:next w:val="1"/>
    <w:link w:val="160"/>
    <w:qFormat/>
    <w:uiPriority w:val="0"/>
    <w:pPr>
      <w:spacing w:before="240" w:after="64" w:line="319" w:lineRule="auto"/>
      <w:ind w:left="1296" w:hanging="1296"/>
      <w:jc w:val="both"/>
      <w:outlineLvl w:val="6"/>
    </w:pPr>
    <w:rPr>
      <w:rFonts w:hAnsi="Calibri"/>
      <w:b/>
      <w:sz w:val="24"/>
    </w:rPr>
  </w:style>
  <w:style w:type="paragraph" w:styleId="11">
    <w:name w:val="heading 8"/>
    <w:basedOn w:val="1"/>
    <w:next w:val="1"/>
    <w:link w:val="180"/>
    <w:qFormat/>
    <w:uiPriority w:val="0"/>
    <w:pPr>
      <w:spacing w:before="240" w:after="64" w:line="319" w:lineRule="auto"/>
      <w:ind w:left="1440" w:hanging="1440"/>
      <w:jc w:val="both"/>
      <w:outlineLvl w:val="7"/>
    </w:pPr>
    <w:rPr>
      <w:rFonts w:ascii="Arial" w:hAnsi="Calibri" w:eastAsia="黑体"/>
      <w:sz w:val="24"/>
    </w:rPr>
  </w:style>
  <w:style w:type="paragraph" w:styleId="12">
    <w:name w:val="heading 9"/>
    <w:basedOn w:val="1"/>
    <w:next w:val="1"/>
    <w:link w:val="92"/>
    <w:qFormat/>
    <w:uiPriority w:val="0"/>
    <w:pPr>
      <w:spacing w:before="240" w:after="64" w:line="319" w:lineRule="auto"/>
      <w:ind w:left="1584" w:hanging="1584"/>
      <w:jc w:val="both"/>
      <w:outlineLvl w:val="8"/>
    </w:pPr>
    <w:rPr>
      <w:rFonts w:ascii="Arial" w:hAnsi="Calibri" w:eastAsia="黑体"/>
      <w:sz w:val="21"/>
    </w:rPr>
  </w:style>
  <w:style w:type="character" w:default="1" w:styleId="48">
    <w:name w:val="Default Paragraph Font"/>
    <w:unhideWhenUsed/>
    <w:qFormat/>
    <w:uiPriority w:val="1"/>
  </w:style>
  <w:style w:type="table" w:default="1" w:styleId="56">
    <w:name w:val="Normal Table"/>
    <w:unhideWhenUsed/>
    <w:qFormat/>
    <w:uiPriority w:val="99"/>
    <w:tblPr>
      <w:tblLayout w:type="fixed"/>
      <w:tblCellMar>
        <w:top w:w="0" w:type="dxa"/>
        <w:left w:w="108" w:type="dxa"/>
        <w:bottom w:w="0" w:type="dxa"/>
        <w:right w:w="108" w:type="dxa"/>
      </w:tblCellMar>
    </w:tblPr>
  </w:style>
  <w:style w:type="paragraph" w:customStyle="1" w:styleId="2">
    <w:name w:val="正文（标准）"/>
    <w:basedOn w:val="1"/>
    <w:next w:val="1"/>
    <w:semiHidden/>
    <w:qFormat/>
    <w:uiPriority w:val="99"/>
    <w:pPr>
      <w:ind w:firstLine="525"/>
    </w:pPr>
    <w:rPr>
      <w:rFonts w:ascii="宋体" w:hAnsi="宋体" w:cs="宋体"/>
    </w:rPr>
  </w:style>
  <w:style w:type="paragraph" w:styleId="6">
    <w:name w:val="Normal Indent"/>
    <w:basedOn w:val="1"/>
    <w:next w:val="1"/>
    <w:link w:val="309"/>
    <w:qFormat/>
    <w:uiPriority w:val="0"/>
    <w:pPr>
      <w:ind w:firstLine="420"/>
    </w:pPr>
  </w:style>
  <w:style w:type="paragraph" w:styleId="13">
    <w:name w:val="annotation subject"/>
    <w:basedOn w:val="14"/>
    <w:next w:val="14"/>
    <w:link w:val="63"/>
    <w:unhideWhenUsed/>
    <w:qFormat/>
    <w:uiPriority w:val="99"/>
    <w:pPr>
      <w:widowControl/>
      <w:adjustRightInd/>
      <w:spacing w:line="240" w:lineRule="auto"/>
      <w:textAlignment w:val="auto"/>
    </w:pPr>
    <w:rPr>
      <w:b/>
      <w:bCs/>
    </w:rPr>
  </w:style>
  <w:style w:type="paragraph" w:styleId="14">
    <w:name w:val="annotation text"/>
    <w:basedOn w:val="1"/>
    <w:link w:val="186"/>
    <w:qFormat/>
    <w:uiPriority w:val="0"/>
    <w:pPr>
      <w:widowControl w:val="0"/>
      <w:adjustRightInd w:val="0"/>
      <w:spacing w:line="360" w:lineRule="atLeast"/>
      <w:textAlignment w:val="baseline"/>
    </w:pPr>
    <w:rPr>
      <w:sz w:val="24"/>
    </w:rPr>
  </w:style>
  <w:style w:type="paragraph" w:styleId="15">
    <w:name w:val="toc 7"/>
    <w:next w:val="1"/>
    <w:qFormat/>
    <w:uiPriority w:val="39"/>
    <w:pPr>
      <w:wordWrap w:val="0"/>
      <w:ind w:left="2125"/>
      <w:jc w:val="both"/>
    </w:pPr>
    <w:rPr>
      <w:rFonts w:ascii="Calibri" w:hAnsi="Calibri" w:eastAsia="宋体" w:cs="Times New Roman"/>
      <w:sz w:val="21"/>
      <w:lang w:val="en-US" w:eastAsia="zh-CN" w:bidi="ar-SA"/>
    </w:rPr>
  </w:style>
  <w:style w:type="paragraph" w:styleId="16">
    <w:name w:val="Body Text First Indent"/>
    <w:basedOn w:val="1"/>
    <w:next w:val="17"/>
    <w:link w:val="96"/>
    <w:qFormat/>
    <w:uiPriority w:val="99"/>
    <w:pPr>
      <w:widowControl w:val="0"/>
      <w:spacing w:line="312" w:lineRule="auto"/>
      <w:ind w:firstLine="420"/>
      <w:jc w:val="both"/>
    </w:pPr>
    <w:rPr>
      <w:rFonts w:hAnsi="Calibri"/>
      <w:sz w:val="21"/>
    </w:rPr>
  </w:style>
  <w:style w:type="paragraph" w:styleId="17">
    <w:name w:val="Balloon Text"/>
    <w:basedOn w:val="1"/>
    <w:link w:val="155"/>
    <w:qFormat/>
    <w:uiPriority w:val="99"/>
    <w:rPr>
      <w:sz w:val="18"/>
      <w:szCs w:val="18"/>
    </w:rPr>
  </w:style>
  <w:style w:type="paragraph" w:styleId="18">
    <w:name w:val="caption"/>
    <w:basedOn w:val="1"/>
    <w:next w:val="1"/>
    <w:qFormat/>
    <w:uiPriority w:val="0"/>
    <w:pPr>
      <w:widowControl w:val="0"/>
      <w:jc w:val="both"/>
    </w:pPr>
    <w:rPr>
      <w:rFonts w:ascii="Cambria" w:hAnsi="Calibri" w:eastAsia="黑体"/>
    </w:rPr>
  </w:style>
  <w:style w:type="paragraph" w:styleId="19">
    <w:name w:val="Document Map"/>
    <w:basedOn w:val="1"/>
    <w:link w:val="137"/>
    <w:qFormat/>
    <w:uiPriority w:val="0"/>
    <w:rPr>
      <w:rFonts w:ascii="宋体"/>
      <w:sz w:val="18"/>
      <w:szCs w:val="18"/>
    </w:rPr>
  </w:style>
  <w:style w:type="paragraph" w:styleId="20">
    <w:name w:val="Body Text 3"/>
    <w:basedOn w:val="1"/>
    <w:next w:val="1"/>
    <w:link w:val="203"/>
    <w:qFormat/>
    <w:uiPriority w:val="99"/>
    <w:pPr>
      <w:widowControl w:val="0"/>
      <w:jc w:val="both"/>
    </w:pPr>
    <w:rPr>
      <w:rFonts w:ascii="宋体" w:hAnsi="Calibri"/>
      <w:sz w:val="24"/>
    </w:rPr>
  </w:style>
  <w:style w:type="paragraph" w:styleId="21">
    <w:name w:val="Body Text"/>
    <w:basedOn w:val="1"/>
    <w:next w:val="1"/>
    <w:link w:val="189"/>
    <w:qFormat/>
    <w:uiPriority w:val="99"/>
    <w:pPr>
      <w:spacing w:after="120"/>
    </w:pPr>
  </w:style>
  <w:style w:type="paragraph" w:styleId="22">
    <w:name w:val="Body Text Indent"/>
    <w:basedOn w:val="1"/>
    <w:link w:val="150"/>
    <w:qFormat/>
    <w:uiPriority w:val="0"/>
    <w:pPr>
      <w:spacing w:after="120"/>
      <w:ind w:left="420" w:leftChars="200"/>
    </w:pPr>
  </w:style>
  <w:style w:type="paragraph" w:styleId="23">
    <w:name w:val="Block Text"/>
    <w:basedOn w:val="1"/>
    <w:qFormat/>
    <w:uiPriority w:val="0"/>
    <w:pPr>
      <w:widowControl w:val="0"/>
      <w:adjustRightInd w:val="0"/>
      <w:ind w:left="420" w:right="33"/>
      <w:textAlignment w:val="baseline"/>
    </w:pPr>
    <w:rPr>
      <w:rFonts w:ascii="Calibri" w:hAnsi="Calibri"/>
      <w:sz w:val="24"/>
    </w:rPr>
  </w:style>
  <w:style w:type="paragraph" w:styleId="24">
    <w:name w:val="index 4"/>
    <w:basedOn w:val="1"/>
    <w:next w:val="1"/>
    <w:qFormat/>
    <w:uiPriority w:val="0"/>
    <w:pPr>
      <w:widowControl w:val="0"/>
      <w:ind w:left="600"/>
      <w:jc w:val="both"/>
    </w:pPr>
    <w:rPr>
      <w:rFonts w:hAnsi="Calibri"/>
      <w:sz w:val="21"/>
    </w:rPr>
  </w:style>
  <w:style w:type="paragraph" w:styleId="25">
    <w:name w:val="toc 5"/>
    <w:basedOn w:val="1"/>
    <w:next w:val="1"/>
    <w:qFormat/>
    <w:uiPriority w:val="39"/>
    <w:pPr>
      <w:wordWrap w:val="0"/>
      <w:ind w:left="1275"/>
      <w:jc w:val="both"/>
    </w:pPr>
    <w:rPr>
      <w:rFonts w:ascii="Calibri" w:hAnsi="Calibri" w:eastAsia="宋体" w:cs="Times New Roman"/>
      <w:sz w:val="21"/>
      <w:lang w:val="en-US" w:eastAsia="zh-CN" w:bidi="ar-SA"/>
    </w:rPr>
  </w:style>
  <w:style w:type="paragraph" w:styleId="26">
    <w:name w:val="toc 3"/>
    <w:basedOn w:val="1"/>
    <w:next w:val="1"/>
    <w:qFormat/>
    <w:uiPriority w:val="39"/>
    <w:pPr>
      <w:tabs>
        <w:tab w:val="right" w:leader="dot" w:pos="9628"/>
      </w:tabs>
      <w:spacing w:line="360" w:lineRule="auto"/>
      <w:ind w:firstLine="424" w:firstLineChars="202"/>
    </w:pPr>
    <w:rPr>
      <w:sz w:val="21"/>
    </w:rPr>
  </w:style>
  <w:style w:type="paragraph" w:styleId="27">
    <w:name w:val="Plain Text"/>
    <w:basedOn w:val="1"/>
    <w:link w:val="127"/>
    <w:qFormat/>
    <w:uiPriority w:val="0"/>
    <w:pPr>
      <w:widowControl w:val="0"/>
      <w:jc w:val="both"/>
    </w:pPr>
    <w:rPr>
      <w:rFonts w:ascii="宋体" w:hAnsi="Courier New"/>
      <w:szCs w:val="21"/>
    </w:rPr>
  </w:style>
  <w:style w:type="paragraph" w:styleId="28">
    <w:name w:val="toc 8"/>
    <w:next w:val="1"/>
    <w:qFormat/>
    <w:uiPriority w:val="39"/>
    <w:pPr>
      <w:wordWrap w:val="0"/>
      <w:ind w:left="2550"/>
      <w:jc w:val="both"/>
    </w:pPr>
    <w:rPr>
      <w:rFonts w:ascii="Calibri" w:hAnsi="Calibri" w:eastAsia="宋体" w:cs="Times New Roman"/>
      <w:sz w:val="21"/>
      <w:lang w:val="en-US" w:eastAsia="zh-CN" w:bidi="ar-SA"/>
    </w:rPr>
  </w:style>
  <w:style w:type="paragraph" w:styleId="29">
    <w:name w:val="Date"/>
    <w:basedOn w:val="1"/>
    <w:next w:val="1"/>
    <w:link w:val="107"/>
    <w:qFormat/>
    <w:uiPriority w:val="0"/>
    <w:pPr>
      <w:ind w:left="100" w:leftChars="2500"/>
    </w:pPr>
  </w:style>
  <w:style w:type="paragraph" w:styleId="30">
    <w:name w:val="Body Text Indent 2"/>
    <w:basedOn w:val="1"/>
    <w:link w:val="194"/>
    <w:qFormat/>
    <w:uiPriority w:val="0"/>
    <w:pPr>
      <w:widowControl w:val="0"/>
      <w:spacing w:after="120" w:line="480" w:lineRule="auto"/>
      <w:ind w:left="420" w:leftChars="200"/>
      <w:jc w:val="both"/>
    </w:pPr>
    <w:rPr>
      <w:kern w:val="2"/>
      <w:sz w:val="21"/>
      <w:szCs w:val="24"/>
    </w:rPr>
  </w:style>
  <w:style w:type="paragraph" w:styleId="31">
    <w:name w:val="footer"/>
    <w:basedOn w:val="1"/>
    <w:link w:val="79"/>
    <w:qFormat/>
    <w:uiPriority w:val="0"/>
    <w:pPr>
      <w:tabs>
        <w:tab w:val="center" w:pos="4153"/>
        <w:tab w:val="right" w:pos="8306"/>
      </w:tabs>
      <w:snapToGrid w:val="0"/>
    </w:pPr>
    <w:rPr>
      <w:sz w:val="18"/>
      <w:szCs w:val="18"/>
    </w:rPr>
  </w:style>
  <w:style w:type="paragraph" w:styleId="32">
    <w:name w:val="envelope return"/>
    <w:basedOn w:val="1"/>
    <w:qFormat/>
    <w:uiPriority w:val="0"/>
    <w:pPr>
      <w:snapToGrid w:val="0"/>
    </w:pPr>
    <w:rPr>
      <w:rFonts w:ascii="Arial" w:hAnsi="Arial"/>
    </w:rPr>
  </w:style>
  <w:style w:type="paragraph" w:styleId="33">
    <w:name w:val="Body Text First Indent 2"/>
    <w:basedOn w:val="22"/>
    <w:next w:val="1"/>
    <w:qFormat/>
    <w:uiPriority w:val="0"/>
    <w:pPr>
      <w:widowControl/>
      <w:tabs>
        <w:tab w:val="left" w:pos="3996"/>
      </w:tabs>
      <w:spacing w:after="120" w:line="240" w:lineRule="auto"/>
      <w:ind w:left="420" w:leftChars="200" w:firstLine="420" w:firstLineChars="200"/>
      <w:jc w:val="left"/>
    </w:pPr>
    <w:rPr>
      <w:sz w:val="20"/>
    </w:rPr>
  </w:style>
  <w:style w:type="paragraph" w:styleId="34">
    <w:name w:val="header"/>
    <w:basedOn w:val="1"/>
    <w:link w:val="133"/>
    <w:qFormat/>
    <w:uiPriority w:val="0"/>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39"/>
    <w:pPr>
      <w:tabs>
        <w:tab w:val="right" w:leader="dot" w:pos="9639"/>
      </w:tabs>
    </w:pPr>
    <w:rPr>
      <w:b/>
      <w:sz w:val="24"/>
    </w:rPr>
  </w:style>
  <w:style w:type="paragraph" w:styleId="36">
    <w:name w:val="toc 4"/>
    <w:basedOn w:val="1"/>
    <w:next w:val="1"/>
    <w:unhideWhenUsed/>
    <w:qFormat/>
    <w:uiPriority w:val="39"/>
    <w:pPr>
      <w:tabs>
        <w:tab w:val="right" w:leader="dot" w:pos="9639"/>
      </w:tabs>
      <w:ind w:left="1200" w:leftChars="426" w:hanging="348" w:hangingChars="174"/>
    </w:pPr>
  </w:style>
  <w:style w:type="paragraph" w:styleId="37">
    <w:name w:val="Subtitle"/>
    <w:basedOn w:val="1"/>
    <w:next w:val="1"/>
    <w:link w:val="62"/>
    <w:qFormat/>
    <w:uiPriority w:val="11"/>
    <w:pPr>
      <w:widowControl w:val="0"/>
      <w:spacing w:before="240" w:after="60" w:line="312" w:lineRule="auto"/>
      <w:jc w:val="center"/>
      <w:outlineLvl w:val="1"/>
    </w:pPr>
    <w:rPr>
      <w:rFonts w:ascii="Cambria" w:hAnsi="Calibri"/>
      <w:b/>
      <w:sz w:val="32"/>
    </w:rPr>
  </w:style>
  <w:style w:type="paragraph" w:styleId="38">
    <w:name w:val="List"/>
    <w:basedOn w:val="1"/>
    <w:qFormat/>
    <w:uiPriority w:val="0"/>
    <w:pPr>
      <w:widowControl w:val="0"/>
      <w:tabs>
        <w:tab w:val="left" w:pos="425"/>
      </w:tabs>
      <w:autoSpaceDE w:val="0"/>
      <w:autoSpaceDN w:val="0"/>
      <w:adjustRightInd w:val="0"/>
      <w:spacing w:line="360" w:lineRule="auto"/>
      <w:ind w:left="425" w:hanging="425"/>
      <w:jc w:val="both"/>
      <w:textAlignment w:val="baseline"/>
    </w:pPr>
    <w:rPr>
      <w:color w:val="000000"/>
      <w:kern w:val="44"/>
      <w:sz w:val="28"/>
    </w:rPr>
  </w:style>
  <w:style w:type="paragraph" w:styleId="39">
    <w:name w:val="footnote text"/>
    <w:basedOn w:val="1"/>
    <w:next w:val="1"/>
    <w:link w:val="117"/>
    <w:qFormat/>
    <w:uiPriority w:val="0"/>
    <w:pPr>
      <w:widowControl w:val="0"/>
      <w:spacing w:line="312" w:lineRule="atLeast"/>
      <w:jc w:val="both"/>
    </w:pPr>
    <w:rPr>
      <w:rFonts w:hAnsi="Calibri"/>
      <w:sz w:val="18"/>
    </w:rPr>
  </w:style>
  <w:style w:type="paragraph" w:styleId="40">
    <w:name w:val="toc 6"/>
    <w:next w:val="1"/>
    <w:qFormat/>
    <w:uiPriority w:val="39"/>
    <w:pPr>
      <w:wordWrap w:val="0"/>
      <w:ind w:left="1700"/>
      <w:jc w:val="both"/>
    </w:pPr>
    <w:rPr>
      <w:rFonts w:ascii="Calibri" w:hAnsi="Calibri" w:eastAsia="宋体" w:cs="Times New Roman"/>
      <w:sz w:val="21"/>
      <w:lang w:val="en-US" w:eastAsia="zh-CN" w:bidi="ar-SA"/>
    </w:rPr>
  </w:style>
  <w:style w:type="paragraph" w:styleId="41">
    <w:name w:val="Body Text Indent 3"/>
    <w:basedOn w:val="1"/>
    <w:link w:val="170"/>
    <w:qFormat/>
    <w:uiPriority w:val="0"/>
    <w:pPr>
      <w:spacing w:after="120"/>
      <w:ind w:left="420" w:leftChars="200"/>
    </w:pPr>
    <w:rPr>
      <w:sz w:val="16"/>
      <w:szCs w:val="16"/>
    </w:rPr>
  </w:style>
  <w:style w:type="paragraph" w:styleId="42">
    <w:name w:val="toc 2"/>
    <w:basedOn w:val="1"/>
    <w:next w:val="1"/>
    <w:qFormat/>
    <w:uiPriority w:val="39"/>
    <w:pPr>
      <w:tabs>
        <w:tab w:val="right" w:leader="dot" w:pos="9628"/>
      </w:tabs>
      <w:spacing w:line="360" w:lineRule="auto"/>
      <w:ind w:left="398" w:hanging="398" w:hangingChars="165"/>
    </w:pPr>
    <w:rPr>
      <w:b/>
      <w:sz w:val="24"/>
    </w:rPr>
  </w:style>
  <w:style w:type="paragraph" w:styleId="43">
    <w:name w:val="toc 9"/>
    <w:next w:val="1"/>
    <w:qFormat/>
    <w:uiPriority w:val="39"/>
    <w:pPr>
      <w:wordWrap w:val="0"/>
      <w:ind w:left="2975"/>
      <w:jc w:val="both"/>
    </w:pPr>
    <w:rPr>
      <w:rFonts w:ascii="Calibri" w:hAnsi="Calibri" w:eastAsia="宋体" w:cs="Times New Roman"/>
      <w:sz w:val="21"/>
      <w:lang w:val="en-US" w:eastAsia="zh-CN" w:bidi="ar-SA"/>
    </w:rPr>
  </w:style>
  <w:style w:type="paragraph" w:styleId="44">
    <w:name w:val="Body Text 2"/>
    <w:basedOn w:val="1"/>
    <w:link w:val="275"/>
    <w:unhideWhenUsed/>
    <w:qFormat/>
    <w:uiPriority w:val="99"/>
    <w:pPr>
      <w:wordWrap w:val="0"/>
      <w:topLinePunct/>
      <w:adjustRightInd w:val="0"/>
      <w:snapToGrid w:val="0"/>
      <w:spacing w:after="120" w:afterLines="50" w:line="480" w:lineRule="auto"/>
      <w:ind w:firstLine="480" w:firstLineChars="200"/>
      <w:jc w:val="both"/>
    </w:pPr>
    <w:rPr>
      <w:rFonts w:ascii="Calibri" w:hAnsi="Calibri"/>
      <w:sz w:val="24"/>
    </w:rPr>
  </w:style>
  <w:style w:type="paragraph" w:styleId="45">
    <w:name w:val="HTML Preformatted"/>
    <w:basedOn w:val="1"/>
    <w:next w:val="22"/>
    <w:link w:val="148"/>
    <w:qFormat/>
    <w:uiPriority w:val="99"/>
    <w:pPr>
      <w:spacing w:line="330" w:lineRule="atLeast"/>
      <w:jc w:val="both"/>
    </w:pPr>
    <w:rPr>
      <w:rFonts w:ascii="Arial" w:hAnsi="Calibri"/>
      <w:sz w:val="21"/>
    </w:rPr>
  </w:style>
  <w:style w:type="paragraph" w:styleId="46">
    <w:name w:val="Normal (Web)"/>
    <w:basedOn w:val="1"/>
    <w:unhideWhenUsed/>
    <w:qFormat/>
    <w:uiPriority w:val="0"/>
    <w:pPr>
      <w:spacing w:before="100" w:beforeAutospacing="1" w:after="100" w:afterAutospacing="1"/>
    </w:pPr>
    <w:rPr>
      <w:sz w:val="24"/>
    </w:rPr>
  </w:style>
  <w:style w:type="paragraph" w:styleId="47">
    <w:name w:val="index 1"/>
    <w:basedOn w:val="1"/>
    <w:next w:val="1"/>
    <w:qFormat/>
    <w:uiPriority w:val="0"/>
    <w:pPr>
      <w:widowControl w:val="0"/>
      <w:spacing w:line="220" w:lineRule="exact"/>
      <w:jc w:val="center"/>
    </w:pPr>
    <w:rPr>
      <w:rFonts w:ascii="仿宋_GB2312" w:hAnsi="Calibri" w:eastAsia="仿宋_GB2312"/>
      <w:sz w:val="21"/>
    </w:rPr>
  </w:style>
  <w:style w:type="character" w:styleId="49">
    <w:name w:val="Strong"/>
    <w:qFormat/>
    <w:uiPriority w:val="22"/>
    <w:rPr>
      <w:b/>
      <w:sz w:val="20"/>
    </w:rPr>
  </w:style>
  <w:style w:type="character" w:styleId="50">
    <w:name w:val="page number"/>
    <w:qFormat/>
    <w:uiPriority w:val="0"/>
    <w:rPr>
      <w:sz w:val="20"/>
    </w:rPr>
  </w:style>
  <w:style w:type="character" w:styleId="51">
    <w:name w:val="FollowedHyperlink"/>
    <w:unhideWhenUsed/>
    <w:qFormat/>
    <w:uiPriority w:val="99"/>
    <w:rPr>
      <w:color w:val="551A8B"/>
      <w:u w:val="none"/>
    </w:rPr>
  </w:style>
  <w:style w:type="character" w:styleId="52">
    <w:name w:val="Emphasis"/>
    <w:qFormat/>
    <w:uiPriority w:val="0"/>
    <w:rPr>
      <w:i/>
      <w:iCs/>
    </w:rPr>
  </w:style>
  <w:style w:type="character" w:styleId="53">
    <w:name w:val="Hyperlink"/>
    <w:qFormat/>
    <w:uiPriority w:val="99"/>
    <w:rPr>
      <w:color w:val="0066CC"/>
      <w:u w:val="none"/>
    </w:rPr>
  </w:style>
  <w:style w:type="character" w:styleId="54">
    <w:name w:val="annotation reference"/>
    <w:unhideWhenUsed/>
    <w:qFormat/>
    <w:uiPriority w:val="99"/>
    <w:rPr>
      <w:sz w:val="21"/>
      <w:szCs w:val="21"/>
    </w:rPr>
  </w:style>
  <w:style w:type="character" w:styleId="55">
    <w:name w:val="footnote reference"/>
    <w:qFormat/>
    <w:uiPriority w:val="0"/>
    <w:rPr>
      <w:sz w:val="20"/>
      <w:vertAlign w:val="superscript"/>
    </w:rPr>
  </w:style>
  <w:style w:type="table" w:styleId="57">
    <w:name w:val="Table Grid"/>
    <w:basedOn w:val="5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58">
    <w:name w:val="报告正文1"/>
    <w:basedOn w:val="1"/>
    <w:qFormat/>
    <w:uiPriority w:val="0"/>
    <w:pPr>
      <w:spacing w:line="400" w:lineRule="exact"/>
      <w:ind w:firstLine="200" w:firstLineChars="200"/>
    </w:pPr>
    <w:rPr>
      <w:rFonts w:ascii="宋体" w:hAnsi="宋体"/>
      <w:bCs/>
      <w:szCs w:val="21"/>
    </w:rPr>
  </w:style>
  <w:style w:type="character" w:customStyle="1" w:styleId="59">
    <w:name w:val="标题 5 Char"/>
    <w:qFormat/>
    <w:uiPriority w:val="0"/>
    <w:rPr>
      <w:b/>
      <w:sz w:val="20"/>
    </w:rPr>
  </w:style>
  <w:style w:type="character" w:customStyle="1" w:styleId="60">
    <w:name w:val="Char Char23"/>
    <w:qFormat/>
    <w:uiPriority w:val="0"/>
    <w:rPr>
      <w:b/>
      <w:sz w:val="20"/>
    </w:rPr>
  </w:style>
  <w:style w:type="character" w:customStyle="1" w:styleId="61">
    <w:name w:val="Balloon Text Char"/>
    <w:qFormat/>
    <w:uiPriority w:val="0"/>
    <w:rPr>
      <w:sz w:val="20"/>
    </w:rPr>
  </w:style>
  <w:style w:type="character" w:customStyle="1" w:styleId="62">
    <w:name w:val="副标题 字符"/>
    <w:link w:val="37"/>
    <w:qFormat/>
    <w:uiPriority w:val="11"/>
    <w:rPr>
      <w:rFonts w:ascii="Cambria" w:hAnsi="Calibri"/>
      <w:b/>
      <w:sz w:val="32"/>
    </w:rPr>
  </w:style>
  <w:style w:type="character" w:customStyle="1" w:styleId="63">
    <w:name w:val="批注主题 字符"/>
    <w:link w:val="13"/>
    <w:qFormat/>
    <w:uiPriority w:val="99"/>
    <w:rPr>
      <w:rFonts w:ascii="Times New Roman" w:hAnsi="Times New Roman" w:eastAsia="宋体" w:cs="Times New Roman"/>
      <w:b/>
      <w:bCs/>
      <w:kern w:val="0"/>
      <w:sz w:val="24"/>
      <w:szCs w:val="20"/>
    </w:rPr>
  </w:style>
  <w:style w:type="character" w:customStyle="1" w:styleId="64">
    <w:name w:val="Date Char"/>
    <w:qFormat/>
    <w:uiPriority w:val="0"/>
    <w:rPr>
      <w:sz w:val="20"/>
    </w:rPr>
  </w:style>
  <w:style w:type="character" w:customStyle="1" w:styleId="65">
    <w:name w:val="标题4 Char Char"/>
    <w:qFormat/>
    <w:uiPriority w:val="0"/>
    <w:rPr>
      <w:b/>
      <w:sz w:val="20"/>
    </w:rPr>
  </w:style>
  <w:style w:type="character" w:customStyle="1" w:styleId="66">
    <w:name w:val="批注主题 字符1"/>
    <w:semiHidden/>
    <w:qFormat/>
    <w:uiPriority w:val="99"/>
    <w:rPr>
      <w:b/>
      <w:sz w:val="20"/>
    </w:rPr>
  </w:style>
  <w:style w:type="character" w:customStyle="1" w:styleId="67">
    <w:name w:val="批注框文本 Char"/>
    <w:qFormat/>
    <w:uiPriority w:val="0"/>
    <w:rPr>
      <w:sz w:val="20"/>
    </w:rPr>
  </w:style>
  <w:style w:type="character" w:customStyle="1" w:styleId="68">
    <w:name w:val="Header Char"/>
    <w:qFormat/>
    <w:uiPriority w:val="0"/>
    <w:rPr>
      <w:sz w:val="20"/>
    </w:rPr>
  </w:style>
  <w:style w:type="character" w:customStyle="1" w:styleId="69">
    <w:name w:val="正文首行缩进 Char1"/>
    <w:qFormat/>
    <w:uiPriority w:val="0"/>
    <w:rPr>
      <w:sz w:val="20"/>
    </w:rPr>
  </w:style>
  <w:style w:type="character" w:customStyle="1" w:styleId="70">
    <w:name w:val="apple-converted-space"/>
    <w:qFormat/>
    <w:uiPriority w:val="0"/>
  </w:style>
  <w:style w:type="character" w:customStyle="1" w:styleId="71">
    <w:name w:val="引用 字符"/>
    <w:link w:val="72"/>
    <w:qFormat/>
    <w:uiPriority w:val="0"/>
    <w:rPr>
      <w:rFonts w:hAnsi="Calibri"/>
      <w:i/>
      <w:color w:val="000000"/>
    </w:rPr>
  </w:style>
  <w:style w:type="paragraph" w:customStyle="1" w:styleId="72">
    <w:name w:val="引用1"/>
    <w:basedOn w:val="1"/>
    <w:next w:val="1"/>
    <w:link w:val="71"/>
    <w:qFormat/>
    <w:uiPriority w:val="0"/>
    <w:pPr>
      <w:widowControl w:val="0"/>
      <w:jc w:val="both"/>
    </w:pPr>
    <w:rPr>
      <w:rFonts w:hAnsi="Calibri"/>
      <w:i/>
      <w:color w:val="000000"/>
    </w:rPr>
  </w:style>
  <w:style w:type="character" w:customStyle="1" w:styleId="73">
    <w:name w:val="标题 2 Char1"/>
    <w:qFormat/>
    <w:uiPriority w:val="0"/>
    <w:rPr>
      <w:b/>
      <w:sz w:val="20"/>
    </w:rPr>
  </w:style>
  <w:style w:type="character" w:customStyle="1" w:styleId="74">
    <w:name w:val="Footnote Text Char"/>
    <w:qFormat/>
    <w:uiPriority w:val="0"/>
    <w:rPr>
      <w:sz w:val="20"/>
    </w:rPr>
  </w:style>
  <w:style w:type="character" w:customStyle="1" w:styleId="75">
    <w:name w:val="批注框文本 Char1"/>
    <w:qFormat/>
    <w:uiPriority w:val="0"/>
    <w:rPr>
      <w:sz w:val="20"/>
    </w:rPr>
  </w:style>
  <w:style w:type="character" w:customStyle="1" w:styleId="76">
    <w:name w:val="标题 Char1"/>
    <w:qFormat/>
    <w:uiPriority w:val="0"/>
    <w:rPr>
      <w:b/>
      <w:sz w:val="20"/>
    </w:rPr>
  </w:style>
  <w:style w:type="character" w:customStyle="1" w:styleId="77">
    <w:name w:val="Heading 3 Char"/>
    <w:qFormat/>
    <w:uiPriority w:val="0"/>
    <w:rPr>
      <w:b/>
      <w:sz w:val="20"/>
    </w:rPr>
  </w:style>
  <w:style w:type="character" w:customStyle="1" w:styleId="78">
    <w:name w:val="标题 Char2"/>
    <w:qFormat/>
    <w:uiPriority w:val="0"/>
    <w:rPr>
      <w:b/>
      <w:sz w:val="20"/>
    </w:rPr>
  </w:style>
  <w:style w:type="character" w:customStyle="1" w:styleId="79">
    <w:name w:val="页脚 字符"/>
    <w:link w:val="31"/>
    <w:qFormat/>
    <w:uiPriority w:val="0"/>
    <w:rPr>
      <w:rFonts w:ascii="Times New Roman" w:hAnsi="Times New Roman" w:eastAsia="宋体" w:cs="Times New Roman"/>
      <w:kern w:val="0"/>
      <w:sz w:val="18"/>
      <w:szCs w:val="18"/>
    </w:rPr>
  </w:style>
  <w:style w:type="character" w:customStyle="1" w:styleId="80">
    <w:name w:val="Char Char9"/>
    <w:qFormat/>
    <w:uiPriority w:val="0"/>
    <w:rPr>
      <w:b/>
      <w:sz w:val="20"/>
    </w:rPr>
  </w:style>
  <w:style w:type="character" w:customStyle="1" w:styleId="81">
    <w:name w:val="标题 2 Char"/>
    <w:qFormat/>
    <w:uiPriority w:val="0"/>
    <w:rPr>
      <w:b/>
      <w:sz w:val="20"/>
    </w:rPr>
  </w:style>
  <w:style w:type="character" w:customStyle="1" w:styleId="82">
    <w:name w:val="Body Text Indent 2 Char"/>
    <w:qFormat/>
    <w:uiPriority w:val="0"/>
    <w:rPr>
      <w:sz w:val="20"/>
    </w:rPr>
  </w:style>
  <w:style w:type="character" w:customStyle="1" w:styleId="83">
    <w:name w:val="引用 Char"/>
    <w:qFormat/>
    <w:uiPriority w:val="0"/>
    <w:rPr>
      <w:i/>
      <w:color w:val="000000"/>
      <w:sz w:val="20"/>
    </w:rPr>
  </w:style>
  <w:style w:type="character" w:customStyle="1" w:styleId="84">
    <w:name w:val="Comment Text Char1"/>
    <w:qFormat/>
    <w:uiPriority w:val="0"/>
    <w:rPr>
      <w:sz w:val="20"/>
    </w:rPr>
  </w:style>
  <w:style w:type="character" w:customStyle="1" w:styleId="85">
    <w:name w:val="正文文本 字符1"/>
    <w:semiHidden/>
    <w:qFormat/>
    <w:uiPriority w:val="99"/>
    <w:rPr>
      <w:sz w:val="20"/>
    </w:rPr>
  </w:style>
  <w:style w:type="character" w:customStyle="1" w:styleId="86">
    <w:name w:val="副标题 字符1"/>
    <w:qFormat/>
    <w:uiPriority w:val="11"/>
    <w:rPr>
      <w:b/>
      <w:sz w:val="20"/>
    </w:rPr>
  </w:style>
  <w:style w:type="character" w:customStyle="1" w:styleId="87">
    <w:name w:val="明显引用 字符1"/>
    <w:qFormat/>
    <w:uiPriority w:val="0"/>
    <w:rPr>
      <w:i/>
      <w:color w:val="4472C4"/>
      <w:sz w:val="20"/>
    </w:rPr>
  </w:style>
  <w:style w:type="character" w:customStyle="1" w:styleId="88">
    <w:name w:val="Heading 5 Char"/>
    <w:qFormat/>
    <w:uiPriority w:val="0"/>
    <w:rPr>
      <w:b/>
      <w:sz w:val="20"/>
    </w:rPr>
  </w:style>
  <w:style w:type="character" w:customStyle="1" w:styleId="89">
    <w:name w:val="批注文字 Char"/>
    <w:qFormat/>
    <w:uiPriority w:val="0"/>
    <w:rPr>
      <w:sz w:val="20"/>
    </w:rPr>
  </w:style>
  <w:style w:type="character" w:customStyle="1" w:styleId="90">
    <w:name w:val="日期 Char"/>
    <w:qFormat/>
    <w:uiPriority w:val="0"/>
    <w:rPr>
      <w:sz w:val="20"/>
    </w:rPr>
  </w:style>
  <w:style w:type="character" w:customStyle="1" w:styleId="91">
    <w:name w:val="Heading 3 Char1"/>
    <w:qFormat/>
    <w:uiPriority w:val="0"/>
    <w:rPr>
      <w:b/>
      <w:sz w:val="20"/>
    </w:rPr>
  </w:style>
  <w:style w:type="character" w:customStyle="1" w:styleId="92">
    <w:name w:val="标题 9 字符"/>
    <w:link w:val="12"/>
    <w:qFormat/>
    <w:uiPriority w:val="0"/>
    <w:rPr>
      <w:rFonts w:ascii="Arial" w:hAnsi="Calibri" w:eastAsia="黑体"/>
      <w:sz w:val="21"/>
    </w:rPr>
  </w:style>
  <w:style w:type="character" w:customStyle="1" w:styleId="93">
    <w:name w:val="书籍标题1"/>
    <w:qFormat/>
    <w:uiPriority w:val="0"/>
    <w:rPr>
      <w:b/>
      <w:sz w:val="20"/>
    </w:rPr>
  </w:style>
  <w:style w:type="character" w:customStyle="1" w:styleId="94">
    <w:name w:val="正文文本 Char"/>
    <w:qFormat/>
    <w:uiPriority w:val="0"/>
    <w:rPr>
      <w:sz w:val="20"/>
    </w:rPr>
  </w:style>
  <w:style w:type="character" w:customStyle="1" w:styleId="95">
    <w:name w:val="日期 字符1"/>
    <w:semiHidden/>
    <w:qFormat/>
    <w:uiPriority w:val="99"/>
    <w:rPr>
      <w:sz w:val="20"/>
    </w:rPr>
  </w:style>
  <w:style w:type="character" w:customStyle="1" w:styleId="96">
    <w:name w:val="正文文本首行缩进 字符"/>
    <w:link w:val="16"/>
    <w:qFormat/>
    <w:uiPriority w:val="99"/>
    <w:rPr>
      <w:rFonts w:ascii="Times New Roman" w:hAnsi="Calibri" w:eastAsia="宋体" w:cs="Times New Roman"/>
      <w:kern w:val="0"/>
      <w:sz w:val="21"/>
      <w:szCs w:val="20"/>
    </w:rPr>
  </w:style>
  <w:style w:type="character" w:customStyle="1" w:styleId="97">
    <w:name w:val="批注文字 Char2"/>
    <w:qFormat/>
    <w:uiPriority w:val="99"/>
    <w:rPr>
      <w:sz w:val="20"/>
    </w:rPr>
  </w:style>
  <w:style w:type="character" w:customStyle="1" w:styleId="98">
    <w:name w:val="font161"/>
    <w:qFormat/>
    <w:uiPriority w:val="0"/>
    <w:rPr>
      <w:b/>
      <w:sz w:val="20"/>
    </w:rPr>
  </w:style>
  <w:style w:type="character" w:customStyle="1" w:styleId="99">
    <w:name w:val="明显参考1"/>
    <w:qFormat/>
    <w:uiPriority w:val="0"/>
    <w:rPr>
      <w:b/>
      <w:color w:val="auto"/>
      <w:sz w:val="21"/>
    </w:rPr>
  </w:style>
  <w:style w:type="character" w:customStyle="1" w:styleId="100">
    <w:name w:val="wg正文 仿宋_GB2312 四号"/>
    <w:qFormat/>
    <w:uiPriority w:val="0"/>
    <w:rPr>
      <w:rFonts w:hint="eastAsia" w:ascii="仿宋_GB2312" w:hAnsi="仿宋_GB2312" w:eastAsia="仿宋_GB2312"/>
      <w:sz w:val="28"/>
    </w:rPr>
  </w:style>
  <w:style w:type="character" w:customStyle="1" w:styleId="101">
    <w:name w:val="标题 字符1"/>
    <w:qFormat/>
    <w:uiPriority w:val="0"/>
    <w:rPr>
      <w:b/>
      <w:sz w:val="20"/>
    </w:rPr>
  </w:style>
  <w:style w:type="character" w:customStyle="1" w:styleId="102">
    <w:name w:val="Body Text Indent Char"/>
    <w:qFormat/>
    <w:uiPriority w:val="0"/>
    <w:rPr>
      <w:sz w:val="20"/>
    </w:rPr>
  </w:style>
  <w:style w:type="character" w:customStyle="1" w:styleId="103">
    <w:name w:val="纯文本 Char"/>
    <w:qFormat/>
    <w:uiPriority w:val="0"/>
    <w:rPr>
      <w:color w:val="000000"/>
      <w:sz w:val="20"/>
    </w:rPr>
  </w:style>
  <w:style w:type="character" w:customStyle="1" w:styleId="104">
    <w:name w:val="明显强调1"/>
    <w:qFormat/>
    <w:uiPriority w:val="0"/>
    <w:rPr>
      <w:i/>
      <w:color w:val="auto"/>
      <w:sz w:val="21"/>
    </w:rPr>
  </w:style>
  <w:style w:type="character" w:customStyle="1" w:styleId="105">
    <w:name w:val="标题 3 字符"/>
    <w:link w:val="5"/>
    <w:qFormat/>
    <w:uiPriority w:val="0"/>
    <w:rPr>
      <w:rFonts w:ascii="Times New Roman" w:hAnsi="Times New Roman" w:eastAsia="宋体" w:cs="Times New Roman"/>
      <w:b/>
      <w:bCs/>
      <w:kern w:val="0"/>
      <w:sz w:val="32"/>
      <w:szCs w:val="32"/>
    </w:rPr>
  </w:style>
  <w:style w:type="character" w:customStyle="1" w:styleId="106">
    <w:name w:val="正文文本首行缩进 字符1"/>
    <w:semiHidden/>
    <w:qFormat/>
    <w:uiPriority w:val="0"/>
    <w:rPr>
      <w:sz w:val="20"/>
    </w:rPr>
  </w:style>
  <w:style w:type="character" w:customStyle="1" w:styleId="107">
    <w:name w:val="日期 字符"/>
    <w:link w:val="29"/>
    <w:qFormat/>
    <w:uiPriority w:val="0"/>
    <w:rPr>
      <w:rFonts w:ascii="Times New Roman" w:hAnsi="Times New Roman" w:eastAsia="宋体" w:cs="Times New Roman"/>
      <w:kern w:val="0"/>
      <w:sz w:val="20"/>
      <w:szCs w:val="20"/>
    </w:rPr>
  </w:style>
  <w:style w:type="character" w:customStyle="1" w:styleId="108">
    <w:name w:val="不明显参考1"/>
    <w:qFormat/>
    <w:uiPriority w:val="0"/>
    <w:rPr>
      <w:color w:val="C0504D"/>
      <w:sz w:val="20"/>
      <w:u w:val="single"/>
    </w:rPr>
  </w:style>
  <w:style w:type="character" w:customStyle="1" w:styleId="109">
    <w:name w:val="正文文本缩进 字符1"/>
    <w:semiHidden/>
    <w:qFormat/>
    <w:uiPriority w:val="0"/>
    <w:rPr>
      <w:sz w:val="20"/>
    </w:rPr>
  </w:style>
  <w:style w:type="character" w:customStyle="1" w:styleId="110">
    <w:name w:val="Char Char18"/>
    <w:qFormat/>
    <w:uiPriority w:val="0"/>
    <w:rPr>
      <w:b/>
      <w:sz w:val="20"/>
    </w:rPr>
  </w:style>
  <w:style w:type="character" w:customStyle="1" w:styleId="111">
    <w:name w:val="引用 字符1"/>
    <w:qFormat/>
    <w:uiPriority w:val="0"/>
    <w:rPr>
      <w:i/>
      <w:color w:val="404040"/>
      <w:sz w:val="20"/>
    </w:rPr>
  </w:style>
  <w:style w:type="character" w:customStyle="1" w:styleId="112">
    <w:name w:val="标题 7 Char"/>
    <w:qFormat/>
    <w:uiPriority w:val="0"/>
    <w:rPr>
      <w:b/>
      <w:sz w:val="20"/>
    </w:rPr>
  </w:style>
  <w:style w:type="character" w:customStyle="1" w:styleId="113">
    <w:name w:val="Document Map Char"/>
    <w:qFormat/>
    <w:uiPriority w:val="0"/>
    <w:rPr>
      <w:sz w:val="20"/>
    </w:rPr>
  </w:style>
  <w:style w:type="character" w:customStyle="1" w:styleId="114">
    <w:name w:val="Plain Text Char"/>
    <w:qFormat/>
    <w:uiPriority w:val="0"/>
    <w:rPr>
      <w:sz w:val="20"/>
    </w:rPr>
  </w:style>
  <w:style w:type="character" w:customStyle="1" w:styleId="115">
    <w:name w:val="脚注文本 Char"/>
    <w:qFormat/>
    <w:uiPriority w:val="0"/>
    <w:rPr>
      <w:sz w:val="20"/>
    </w:rPr>
  </w:style>
  <w:style w:type="character" w:customStyle="1" w:styleId="116">
    <w:name w:val="正文文本 Char1"/>
    <w:qFormat/>
    <w:uiPriority w:val="0"/>
    <w:rPr>
      <w:sz w:val="20"/>
    </w:rPr>
  </w:style>
  <w:style w:type="character" w:customStyle="1" w:styleId="117">
    <w:name w:val="脚注文本 字符"/>
    <w:link w:val="39"/>
    <w:qFormat/>
    <w:uiPriority w:val="0"/>
    <w:rPr>
      <w:rFonts w:hAnsi="Calibri"/>
      <w:sz w:val="18"/>
    </w:rPr>
  </w:style>
  <w:style w:type="character" w:customStyle="1" w:styleId="118">
    <w:name w:val="正文文本 3 Char"/>
    <w:qFormat/>
    <w:uiPriority w:val="0"/>
    <w:rPr>
      <w:sz w:val="20"/>
    </w:rPr>
  </w:style>
  <w:style w:type="character" w:customStyle="1" w:styleId="119">
    <w:name w:val="超链接_0"/>
    <w:qFormat/>
    <w:uiPriority w:val="0"/>
    <w:rPr>
      <w:color w:val="0000FF"/>
      <w:sz w:val="20"/>
      <w:u w:val="single"/>
    </w:rPr>
  </w:style>
  <w:style w:type="character" w:customStyle="1" w:styleId="120">
    <w:name w:val="明显引用 字符"/>
    <w:link w:val="121"/>
    <w:qFormat/>
    <w:uiPriority w:val="0"/>
    <w:rPr>
      <w:rFonts w:hAnsi="Calibri"/>
      <w:b/>
      <w:i/>
      <w:color w:val="4F81BD"/>
    </w:rPr>
  </w:style>
  <w:style w:type="paragraph" w:customStyle="1" w:styleId="121">
    <w:name w:val="明显引用1"/>
    <w:basedOn w:val="1"/>
    <w:next w:val="1"/>
    <w:link w:val="120"/>
    <w:qFormat/>
    <w:uiPriority w:val="0"/>
    <w:pPr>
      <w:widowControl w:val="0"/>
      <w:spacing w:before="200" w:after="280"/>
      <w:ind w:left="936" w:right="936"/>
      <w:jc w:val="both"/>
    </w:pPr>
    <w:rPr>
      <w:rFonts w:hAnsi="Calibri"/>
      <w:b/>
      <w:i/>
      <w:color w:val="4F81BD"/>
    </w:rPr>
  </w:style>
  <w:style w:type="character" w:customStyle="1" w:styleId="122">
    <w:name w:val="文档结构图 字符1"/>
    <w:semiHidden/>
    <w:qFormat/>
    <w:uiPriority w:val="99"/>
    <w:rPr>
      <w:sz w:val="20"/>
    </w:rPr>
  </w:style>
  <w:style w:type="character" w:customStyle="1" w:styleId="123">
    <w:name w:val="副标题 Char"/>
    <w:qFormat/>
    <w:uiPriority w:val="0"/>
    <w:rPr>
      <w:b/>
      <w:sz w:val="20"/>
    </w:rPr>
  </w:style>
  <w:style w:type="character" w:customStyle="1" w:styleId="124">
    <w:name w:val="批注主题 Char"/>
    <w:qFormat/>
    <w:uiPriority w:val="0"/>
    <w:rPr>
      <w:b/>
      <w:sz w:val="20"/>
    </w:rPr>
  </w:style>
  <w:style w:type="character" w:customStyle="1" w:styleId="125">
    <w:name w:val="Comment Subject Char"/>
    <w:qFormat/>
    <w:uiPriority w:val="0"/>
    <w:rPr>
      <w:b/>
      <w:sz w:val="20"/>
    </w:rPr>
  </w:style>
  <w:style w:type="character" w:customStyle="1" w:styleId="126">
    <w:name w:val="Char Char91"/>
    <w:qFormat/>
    <w:uiPriority w:val="0"/>
    <w:rPr>
      <w:b/>
      <w:sz w:val="20"/>
    </w:rPr>
  </w:style>
  <w:style w:type="character" w:customStyle="1" w:styleId="127">
    <w:name w:val="纯文本 字符"/>
    <w:link w:val="27"/>
    <w:qFormat/>
    <w:uiPriority w:val="0"/>
    <w:rPr>
      <w:rFonts w:ascii="宋体" w:hAnsi="Courier New" w:eastAsia="宋体" w:cs="Courier New"/>
      <w:szCs w:val="21"/>
    </w:rPr>
  </w:style>
  <w:style w:type="character" w:customStyle="1" w:styleId="128">
    <w:name w:val="明显引用 Char1"/>
    <w:qFormat/>
    <w:uiPriority w:val="0"/>
    <w:rPr>
      <w:b/>
      <w:i/>
      <w:color w:val="4F81BD"/>
      <w:sz w:val="20"/>
    </w:rPr>
  </w:style>
  <w:style w:type="character" w:customStyle="1" w:styleId="129">
    <w:name w:val="zbggmain style9"/>
    <w:qFormat/>
    <w:uiPriority w:val="0"/>
    <w:rPr>
      <w:rFonts w:ascii="Tahoma" w:hAnsi="Tahoma"/>
      <w:sz w:val="24"/>
      <w:szCs w:val="20"/>
    </w:rPr>
  </w:style>
  <w:style w:type="character" w:customStyle="1" w:styleId="130">
    <w:name w:val="正文文本 3 字符1"/>
    <w:semiHidden/>
    <w:qFormat/>
    <w:uiPriority w:val="99"/>
    <w:rPr>
      <w:sz w:val="20"/>
    </w:rPr>
  </w:style>
  <w:style w:type="character" w:customStyle="1" w:styleId="131">
    <w:name w:val="Char Char19"/>
    <w:qFormat/>
    <w:uiPriority w:val="0"/>
    <w:rPr>
      <w:b/>
      <w:sz w:val="20"/>
    </w:rPr>
  </w:style>
  <w:style w:type="character" w:customStyle="1" w:styleId="132">
    <w:name w:val="Char Char20"/>
    <w:qFormat/>
    <w:uiPriority w:val="0"/>
    <w:rPr>
      <w:b/>
      <w:sz w:val="20"/>
    </w:rPr>
  </w:style>
  <w:style w:type="character" w:customStyle="1" w:styleId="133">
    <w:name w:val="页眉 字符"/>
    <w:link w:val="34"/>
    <w:qFormat/>
    <w:uiPriority w:val="0"/>
    <w:rPr>
      <w:rFonts w:ascii="Times New Roman" w:hAnsi="Times New Roman" w:eastAsia="宋体" w:cs="Times New Roman"/>
      <w:kern w:val="0"/>
      <w:sz w:val="18"/>
      <w:szCs w:val="18"/>
    </w:rPr>
  </w:style>
  <w:style w:type="character" w:customStyle="1" w:styleId="134">
    <w:name w:val="明显强调1_0"/>
    <w:qFormat/>
    <w:uiPriority w:val="0"/>
    <w:rPr>
      <w:b/>
      <w:i/>
      <w:color w:val="4F81BD"/>
      <w:sz w:val="20"/>
    </w:rPr>
  </w:style>
  <w:style w:type="character" w:customStyle="1" w:styleId="135">
    <w:name w:val="页脚 Char"/>
    <w:qFormat/>
    <w:uiPriority w:val="0"/>
    <w:rPr>
      <w:sz w:val="20"/>
    </w:rPr>
  </w:style>
  <w:style w:type="character" w:customStyle="1" w:styleId="136">
    <w:name w:val="批注框文本 字符1"/>
    <w:semiHidden/>
    <w:qFormat/>
    <w:uiPriority w:val="99"/>
    <w:rPr>
      <w:sz w:val="20"/>
    </w:rPr>
  </w:style>
  <w:style w:type="character" w:customStyle="1" w:styleId="137">
    <w:name w:val="文档结构图 字符"/>
    <w:link w:val="19"/>
    <w:qFormat/>
    <w:uiPriority w:val="99"/>
    <w:rPr>
      <w:rFonts w:ascii="宋体" w:hAnsi="Times New Roman" w:eastAsia="宋体" w:cs="Times New Roman"/>
      <w:kern w:val="0"/>
      <w:sz w:val="18"/>
      <w:szCs w:val="18"/>
    </w:rPr>
  </w:style>
  <w:style w:type="character" w:customStyle="1" w:styleId="138">
    <w:name w:val="标题 9 Char"/>
    <w:qFormat/>
    <w:uiPriority w:val="0"/>
    <w:rPr>
      <w:sz w:val="20"/>
    </w:rPr>
  </w:style>
  <w:style w:type="character" w:customStyle="1" w:styleId="139">
    <w:name w:val="Heading 1 Char"/>
    <w:qFormat/>
    <w:uiPriority w:val="0"/>
    <w:rPr>
      <w:b/>
      <w:sz w:val="20"/>
    </w:rPr>
  </w:style>
  <w:style w:type="character" w:customStyle="1" w:styleId="140">
    <w:name w:val="Char Char181"/>
    <w:qFormat/>
    <w:uiPriority w:val="0"/>
    <w:rPr>
      <w:b/>
      <w:sz w:val="20"/>
    </w:rPr>
  </w:style>
  <w:style w:type="character" w:customStyle="1" w:styleId="141">
    <w:name w:val="HTML Markup"/>
    <w:qFormat/>
    <w:uiPriority w:val="0"/>
    <w:rPr>
      <w:vanish/>
      <w:color w:val="FF0000"/>
    </w:rPr>
  </w:style>
  <w:style w:type="character" w:customStyle="1" w:styleId="142">
    <w:name w:val="批注文字 Char1"/>
    <w:qFormat/>
    <w:uiPriority w:val="0"/>
    <w:rPr>
      <w:sz w:val="20"/>
    </w:rPr>
  </w:style>
  <w:style w:type="character" w:customStyle="1" w:styleId="143">
    <w:name w:val="引用 Char1"/>
    <w:qFormat/>
    <w:uiPriority w:val="0"/>
    <w:rPr>
      <w:i/>
      <w:color w:val="000000"/>
      <w:sz w:val="20"/>
    </w:rPr>
  </w:style>
  <w:style w:type="character" w:customStyle="1" w:styleId="144">
    <w:name w:val="Char Char22"/>
    <w:qFormat/>
    <w:uiPriority w:val="0"/>
    <w:rPr>
      <w:b/>
      <w:sz w:val="20"/>
    </w:rPr>
  </w:style>
  <w:style w:type="character" w:customStyle="1" w:styleId="145">
    <w:name w:val="HTML 预设格式 Char"/>
    <w:qFormat/>
    <w:uiPriority w:val="0"/>
    <w:rPr>
      <w:sz w:val="20"/>
    </w:rPr>
  </w:style>
  <w:style w:type="character" w:customStyle="1" w:styleId="146">
    <w:name w:val="标题 1 Char1"/>
    <w:qFormat/>
    <w:uiPriority w:val="0"/>
    <w:rPr>
      <w:b/>
      <w:sz w:val="20"/>
    </w:rPr>
  </w:style>
  <w:style w:type="character" w:customStyle="1" w:styleId="147">
    <w:name w:val="标题 5 字符"/>
    <w:link w:val="8"/>
    <w:qFormat/>
    <w:uiPriority w:val="0"/>
    <w:rPr>
      <w:rFonts w:ascii="Times New Roman" w:hAnsi="Times New Roman"/>
      <w:b/>
      <w:bCs/>
      <w:sz w:val="28"/>
      <w:szCs w:val="28"/>
    </w:rPr>
  </w:style>
  <w:style w:type="character" w:customStyle="1" w:styleId="148">
    <w:name w:val="HTML 预设格式 字符"/>
    <w:link w:val="45"/>
    <w:qFormat/>
    <w:uiPriority w:val="99"/>
    <w:rPr>
      <w:rFonts w:ascii="Arial" w:hAnsi="Calibri"/>
      <w:sz w:val="21"/>
    </w:rPr>
  </w:style>
  <w:style w:type="character" w:customStyle="1" w:styleId="149">
    <w:name w:val="页眉 字符1"/>
    <w:semiHidden/>
    <w:qFormat/>
    <w:uiPriority w:val="99"/>
    <w:rPr>
      <w:sz w:val="20"/>
    </w:rPr>
  </w:style>
  <w:style w:type="character" w:customStyle="1" w:styleId="150">
    <w:name w:val="正文文本缩进 字符"/>
    <w:link w:val="22"/>
    <w:qFormat/>
    <w:uiPriority w:val="0"/>
    <w:rPr>
      <w:rFonts w:ascii="Times New Roman" w:hAnsi="Times New Roman" w:eastAsia="宋体" w:cs="Times New Roman"/>
      <w:kern w:val="0"/>
      <w:sz w:val="20"/>
      <w:szCs w:val="20"/>
    </w:rPr>
  </w:style>
  <w:style w:type="character" w:customStyle="1" w:styleId="151">
    <w:name w:val="Heading 4 Char"/>
    <w:qFormat/>
    <w:uiPriority w:val="0"/>
    <w:rPr>
      <w:b/>
      <w:sz w:val="20"/>
    </w:rPr>
  </w:style>
  <w:style w:type="character" w:customStyle="1" w:styleId="152">
    <w:name w:val="标题 4 字符"/>
    <w:link w:val="7"/>
    <w:qFormat/>
    <w:uiPriority w:val="9"/>
    <w:rPr>
      <w:rFonts w:ascii="Arial" w:hAnsi="Arial" w:eastAsia="黑体" w:cs="Times New Roman"/>
      <w:b/>
      <w:bCs/>
      <w:kern w:val="0"/>
      <w:sz w:val="28"/>
      <w:szCs w:val="28"/>
    </w:rPr>
  </w:style>
  <w:style w:type="character" w:customStyle="1" w:styleId="153">
    <w:name w:val="标题 6 字符"/>
    <w:link w:val="9"/>
    <w:qFormat/>
    <w:uiPriority w:val="0"/>
    <w:rPr>
      <w:rFonts w:ascii="Arial" w:hAnsi="Calibri" w:eastAsia="黑体"/>
      <w:b/>
      <w:sz w:val="24"/>
    </w:rPr>
  </w:style>
  <w:style w:type="character" w:customStyle="1" w:styleId="154">
    <w:name w:val="标题 2 字符"/>
    <w:link w:val="4"/>
    <w:qFormat/>
    <w:uiPriority w:val="0"/>
    <w:rPr>
      <w:rFonts w:ascii="Arial" w:hAnsi="Arial" w:eastAsia="黑体" w:cs="Times New Roman"/>
      <w:b/>
      <w:bCs/>
      <w:kern w:val="0"/>
      <w:sz w:val="32"/>
      <w:szCs w:val="32"/>
    </w:rPr>
  </w:style>
  <w:style w:type="character" w:customStyle="1" w:styleId="155">
    <w:name w:val="批注框文本 字符"/>
    <w:link w:val="17"/>
    <w:qFormat/>
    <w:uiPriority w:val="99"/>
    <w:rPr>
      <w:rFonts w:ascii="Times New Roman" w:hAnsi="Times New Roman" w:eastAsia="宋体" w:cs="Times New Roman"/>
      <w:kern w:val="0"/>
      <w:sz w:val="18"/>
      <w:szCs w:val="18"/>
    </w:rPr>
  </w:style>
  <w:style w:type="character" w:customStyle="1" w:styleId="156">
    <w:name w:val="不明显参考2"/>
    <w:qFormat/>
    <w:uiPriority w:val="0"/>
    <w:rPr>
      <w:color w:val="auto"/>
      <w:sz w:val="21"/>
    </w:rPr>
  </w:style>
  <w:style w:type="character" w:customStyle="1" w:styleId="157">
    <w:name w:val="Heading 2 Char"/>
    <w:qFormat/>
    <w:uiPriority w:val="0"/>
    <w:rPr>
      <w:b/>
      <w:sz w:val="20"/>
    </w:rPr>
  </w:style>
  <w:style w:type="character" w:customStyle="1" w:styleId="158">
    <w:name w:val="标题5 Char Char"/>
    <w:qFormat/>
    <w:uiPriority w:val="0"/>
    <w:rPr>
      <w:b/>
      <w:sz w:val="20"/>
    </w:rPr>
  </w:style>
  <w:style w:type="character" w:customStyle="1" w:styleId="159">
    <w:name w:val="脚注文本 字符1"/>
    <w:semiHidden/>
    <w:qFormat/>
    <w:uiPriority w:val="0"/>
    <w:rPr>
      <w:sz w:val="20"/>
    </w:rPr>
  </w:style>
  <w:style w:type="character" w:customStyle="1" w:styleId="160">
    <w:name w:val="标题 7 字符"/>
    <w:link w:val="10"/>
    <w:qFormat/>
    <w:uiPriority w:val="0"/>
    <w:rPr>
      <w:rFonts w:hAnsi="Calibri"/>
      <w:b/>
      <w:sz w:val="24"/>
    </w:rPr>
  </w:style>
  <w:style w:type="character" w:customStyle="1" w:styleId="161">
    <w:name w:val="Char Char21"/>
    <w:qFormat/>
    <w:uiPriority w:val="0"/>
    <w:rPr>
      <w:b/>
      <w:sz w:val="20"/>
    </w:rPr>
  </w:style>
  <w:style w:type="character" w:customStyle="1" w:styleId="162">
    <w:name w:val="书籍标题2"/>
    <w:qFormat/>
    <w:uiPriority w:val="0"/>
    <w:rPr>
      <w:b/>
      <w:i/>
      <w:sz w:val="21"/>
    </w:rPr>
  </w:style>
  <w:style w:type="character" w:customStyle="1" w:styleId="163">
    <w:name w:val="页眉 Char"/>
    <w:qFormat/>
    <w:uiPriority w:val="0"/>
    <w:rPr>
      <w:sz w:val="20"/>
    </w:rPr>
  </w:style>
  <w:style w:type="character" w:customStyle="1" w:styleId="164">
    <w:name w:val="Comment Text Char"/>
    <w:qFormat/>
    <w:uiPriority w:val="0"/>
    <w:rPr>
      <w:sz w:val="20"/>
    </w:rPr>
  </w:style>
  <w:style w:type="character" w:customStyle="1" w:styleId="165">
    <w:name w:val="标题 4 Char"/>
    <w:qFormat/>
    <w:uiPriority w:val="0"/>
    <w:rPr>
      <w:b/>
      <w:sz w:val="20"/>
    </w:rPr>
  </w:style>
  <w:style w:type="character" w:customStyle="1" w:styleId="166">
    <w:name w:val="文档结构图 Char"/>
    <w:qFormat/>
    <w:uiPriority w:val="0"/>
    <w:rPr>
      <w:sz w:val="20"/>
    </w:rPr>
  </w:style>
  <w:style w:type="character" w:customStyle="1" w:styleId="167">
    <w:name w:val="正文文本缩进 3 Char"/>
    <w:qFormat/>
    <w:uiPriority w:val="0"/>
    <w:rPr>
      <w:sz w:val="20"/>
    </w:rPr>
  </w:style>
  <w:style w:type="character" w:customStyle="1" w:styleId="168">
    <w:name w:val="Title Char"/>
    <w:qFormat/>
    <w:uiPriority w:val="0"/>
    <w:rPr>
      <w:b/>
      <w:sz w:val="20"/>
    </w:rPr>
  </w:style>
  <w:style w:type="character" w:customStyle="1" w:styleId="169">
    <w:name w:val="Char Char24"/>
    <w:qFormat/>
    <w:uiPriority w:val="0"/>
    <w:rPr>
      <w:b/>
      <w:sz w:val="20"/>
    </w:rPr>
  </w:style>
  <w:style w:type="character" w:customStyle="1" w:styleId="170">
    <w:name w:val="正文文本缩进 3 字符"/>
    <w:link w:val="41"/>
    <w:qFormat/>
    <w:uiPriority w:val="0"/>
    <w:rPr>
      <w:rFonts w:ascii="Times New Roman" w:hAnsi="Times New Roman" w:eastAsia="宋体" w:cs="Times New Roman"/>
      <w:kern w:val="0"/>
      <w:sz w:val="16"/>
      <w:szCs w:val="16"/>
    </w:rPr>
  </w:style>
  <w:style w:type="character" w:customStyle="1" w:styleId="171">
    <w:name w:val="明显引用 Char"/>
    <w:qFormat/>
    <w:uiPriority w:val="0"/>
    <w:rPr>
      <w:b/>
      <w:i/>
      <w:color w:val="4F81BD"/>
      <w:sz w:val="20"/>
    </w:rPr>
  </w:style>
  <w:style w:type="character" w:customStyle="1" w:styleId="172">
    <w:name w:val="标题 3 Char"/>
    <w:qFormat/>
    <w:uiPriority w:val="0"/>
    <w:rPr>
      <w:sz w:val="20"/>
    </w:rPr>
  </w:style>
  <w:style w:type="character" w:customStyle="1" w:styleId="173">
    <w:name w:val="正文文本缩进 Char1 Char"/>
    <w:qFormat/>
    <w:uiPriority w:val="0"/>
    <w:rPr>
      <w:rFonts w:hint="eastAsia" w:ascii="宋体" w:hAnsi="宋体" w:eastAsia="宋体"/>
      <w:kern w:val="2"/>
      <w:sz w:val="28"/>
      <w:szCs w:val="24"/>
      <w:lang w:val="en-US" w:eastAsia="zh-CN" w:bidi="ar-SA"/>
    </w:rPr>
  </w:style>
  <w:style w:type="character" w:customStyle="1" w:styleId="174">
    <w:name w:val="标题 6 Char"/>
    <w:qFormat/>
    <w:uiPriority w:val="0"/>
    <w:rPr>
      <w:b/>
      <w:sz w:val="20"/>
    </w:rPr>
  </w:style>
  <w:style w:type="character" w:customStyle="1" w:styleId="175">
    <w:name w:val="明显引用 Char2"/>
    <w:qFormat/>
    <w:uiPriority w:val="0"/>
    <w:rPr>
      <w:b/>
      <w:i/>
      <w:color w:val="4F81BD"/>
      <w:sz w:val="20"/>
    </w:rPr>
  </w:style>
  <w:style w:type="character" w:customStyle="1" w:styleId="176">
    <w:name w:val="正文文本缩进 2 字符1"/>
    <w:semiHidden/>
    <w:qFormat/>
    <w:uiPriority w:val="0"/>
    <w:rPr>
      <w:sz w:val="20"/>
    </w:rPr>
  </w:style>
  <w:style w:type="character" w:customStyle="1" w:styleId="177">
    <w:name w:val="标题 Char"/>
    <w:qFormat/>
    <w:uiPriority w:val="0"/>
    <w:rPr>
      <w:b/>
      <w:sz w:val="20"/>
    </w:rPr>
  </w:style>
  <w:style w:type="character" w:customStyle="1" w:styleId="178">
    <w:name w:val="标题 1 字符"/>
    <w:link w:val="3"/>
    <w:qFormat/>
    <w:uiPriority w:val="9"/>
    <w:rPr>
      <w:rFonts w:ascii="Times New Roman" w:hAnsi="Times New Roman" w:eastAsia="宋体" w:cs="Times New Roman"/>
      <w:b/>
      <w:bCs/>
      <w:kern w:val="44"/>
      <w:sz w:val="44"/>
      <w:szCs w:val="44"/>
    </w:rPr>
  </w:style>
  <w:style w:type="character" w:customStyle="1" w:styleId="179">
    <w:name w:val="标题 1 Char"/>
    <w:qFormat/>
    <w:uiPriority w:val="0"/>
    <w:rPr>
      <w:b/>
      <w:sz w:val="20"/>
    </w:rPr>
  </w:style>
  <w:style w:type="character" w:customStyle="1" w:styleId="180">
    <w:name w:val="标题 8 字符"/>
    <w:link w:val="11"/>
    <w:qFormat/>
    <w:uiPriority w:val="0"/>
    <w:rPr>
      <w:rFonts w:ascii="Arial" w:hAnsi="Calibri" w:eastAsia="黑体"/>
      <w:sz w:val="24"/>
    </w:rPr>
  </w:style>
  <w:style w:type="character" w:customStyle="1" w:styleId="181">
    <w:name w:val="正文文本缩进 2 Char"/>
    <w:qFormat/>
    <w:uiPriority w:val="0"/>
    <w:rPr>
      <w:sz w:val="20"/>
    </w:rPr>
  </w:style>
  <w:style w:type="character" w:customStyle="1" w:styleId="182">
    <w:name w:val="页脚 字符1"/>
    <w:semiHidden/>
    <w:qFormat/>
    <w:uiPriority w:val="99"/>
    <w:rPr>
      <w:sz w:val="20"/>
    </w:rPr>
  </w:style>
  <w:style w:type="character" w:customStyle="1" w:styleId="183">
    <w:name w:val="HTML 预设格式 字符1"/>
    <w:semiHidden/>
    <w:qFormat/>
    <w:uiPriority w:val="99"/>
    <w:rPr>
      <w:sz w:val="20"/>
    </w:rPr>
  </w:style>
  <w:style w:type="character" w:customStyle="1" w:styleId="184">
    <w:name w:val="副标题 Char1"/>
    <w:qFormat/>
    <w:uiPriority w:val="0"/>
    <w:rPr>
      <w:b/>
      <w:sz w:val="20"/>
    </w:rPr>
  </w:style>
  <w:style w:type="character" w:customStyle="1" w:styleId="185">
    <w:name w:val="正文文本缩进 Char"/>
    <w:qFormat/>
    <w:uiPriority w:val="0"/>
    <w:rPr>
      <w:sz w:val="20"/>
    </w:rPr>
  </w:style>
  <w:style w:type="character" w:customStyle="1" w:styleId="186">
    <w:name w:val="批注文字 字符"/>
    <w:link w:val="14"/>
    <w:qFormat/>
    <w:uiPriority w:val="0"/>
    <w:rPr>
      <w:rFonts w:ascii="Times New Roman" w:hAnsi="Times New Roman" w:eastAsia="宋体" w:cs="Times New Roman"/>
      <w:kern w:val="0"/>
      <w:sz w:val="24"/>
      <w:szCs w:val="20"/>
    </w:rPr>
  </w:style>
  <w:style w:type="character" w:customStyle="1" w:styleId="187">
    <w:name w:val="正文文本缩进 3 字符1"/>
    <w:semiHidden/>
    <w:qFormat/>
    <w:uiPriority w:val="0"/>
    <w:rPr>
      <w:sz w:val="20"/>
    </w:rPr>
  </w:style>
  <w:style w:type="character" w:customStyle="1" w:styleId="188">
    <w:name w:val="明显参考1_0"/>
    <w:qFormat/>
    <w:uiPriority w:val="0"/>
    <w:rPr>
      <w:b/>
      <w:color w:val="C0504D"/>
      <w:sz w:val="20"/>
      <w:u w:val="single"/>
    </w:rPr>
  </w:style>
  <w:style w:type="character" w:customStyle="1" w:styleId="189">
    <w:name w:val="正文文本 字符"/>
    <w:link w:val="21"/>
    <w:qFormat/>
    <w:uiPriority w:val="0"/>
    <w:rPr>
      <w:rFonts w:ascii="Times New Roman" w:hAnsi="Times New Roman" w:eastAsia="宋体" w:cs="Times New Roman"/>
      <w:kern w:val="0"/>
      <w:sz w:val="20"/>
      <w:szCs w:val="20"/>
    </w:rPr>
  </w:style>
  <w:style w:type="character" w:customStyle="1" w:styleId="190">
    <w:name w:val="标题 3 Char1"/>
    <w:qFormat/>
    <w:uiPriority w:val="0"/>
    <w:rPr>
      <w:b/>
      <w:sz w:val="20"/>
    </w:rPr>
  </w:style>
  <w:style w:type="character" w:customStyle="1" w:styleId="191">
    <w:name w:val="批注主题 Char1"/>
    <w:qFormat/>
    <w:uiPriority w:val="0"/>
    <w:rPr>
      <w:b/>
      <w:sz w:val="20"/>
    </w:rPr>
  </w:style>
  <w:style w:type="character" w:customStyle="1" w:styleId="192">
    <w:name w:val="Footer Char"/>
    <w:qFormat/>
    <w:uiPriority w:val="0"/>
    <w:rPr>
      <w:sz w:val="20"/>
    </w:rPr>
  </w:style>
  <w:style w:type="character" w:customStyle="1" w:styleId="193">
    <w:name w:val="批注文字 Char Char"/>
    <w:qFormat/>
    <w:uiPriority w:val="0"/>
    <w:rPr>
      <w:sz w:val="20"/>
    </w:rPr>
  </w:style>
  <w:style w:type="character" w:customStyle="1" w:styleId="194">
    <w:name w:val="正文文本缩进 2 字符"/>
    <w:link w:val="30"/>
    <w:qFormat/>
    <w:uiPriority w:val="0"/>
    <w:rPr>
      <w:rFonts w:ascii="Times New Roman" w:hAnsi="Times New Roman"/>
      <w:kern w:val="2"/>
      <w:sz w:val="21"/>
      <w:szCs w:val="24"/>
    </w:rPr>
  </w:style>
  <w:style w:type="character" w:customStyle="1" w:styleId="195">
    <w:name w:val="样式 Char"/>
    <w:qFormat/>
    <w:uiPriority w:val="0"/>
    <w:rPr>
      <w:sz w:val="20"/>
    </w:rPr>
  </w:style>
  <w:style w:type="character" w:customStyle="1" w:styleId="196">
    <w:name w:val="textcontents"/>
    <w:qFormat/>
    <w:uiPriority w:val="0"/>
    <w:rPr>
      <w:sz w:val="20"/>
    </w:rPr>
  </w:style>
  <w:style w:type="character" w:customStyle="1" w:styleId="197">
    <w:name w:val="正文首行缩进 Char"/>
    <w:qFormat/>
    <w:uiPriority w:val="99"/>
    <w:rPr>
      <w:sz w:val="20"/>
    </w:rPr>
  </w:style>
  <w:style w:type="character" w:customStyle="1" w:styleId="198">
    <w:name w:val="Char Char6"/>
    <w:qFormat/>
    <w:uiPriority w:val="0"/>
    <w:rPr>
      <w:b/>
      <w:sz w:val="20"/>
    </w:rPr>
  </w:style>
  <w:style w:type="character" w:customStyle="1" w:styleId="199">
    <w:name w:val="纯文本 Char1"/>
    <w:qFormat/>
    <w:uiPriority w:val="0"/>
    <w:rPr>
      <w:sz w:val="20"/>
    </w:rPr>
  </w:style>
  <w:style w:type="character" w:customStyle="1" w:styleId="200">
    <w:name w:val="不明显强调1"/>
    <w:qFormat/>
    <w:uiPriority w:val="0"/>
    <w:rPr>
      <w:i/>
      <w:color w:val="auto"/>
      <w:sz w:val="21"/>
    </w:rPr>
  </w:style>
  <w:style w:type="character" w:customStyle="1" w:styleId="201">
    <w:name w:val="纯文本 字符1"/>
    <w:semiHidden/>
    <w:qFormat/>
    <w:uiPriority w:val="99"/>
    <w:rPr>
      <w:sz w:val="20"/>
    </w:rPr>
  </w:style>
  <w:style w:type="character" w:customStyle="1" w:styleId="202">
    <w:name w:val="不明显强调1_0"/>
    <w:qFormat/>
    <w:uiPriority w:val="0"/>
    <w:rPr>
      <w:i/>
      <w:color w:val="808080"/>
      <w:sz w:val="20"/>
    </w:rPr>
  </w:style>
  <w:style w:type="character" w:customStyle="1" w:styleId="203">
    <w:name w:val="正文文本 3 字符"/>
    <w:link w:val="20"/>
    <w:qFormat/>
    <w:uiPriority w:val="99"/>
    <w:rPr>
      <w:rFonts w:ascii="宋体" w:hAnsi="Calibri"/>
      <w:sz w:val="24"/>
    </w:rPr>
  </w:style>
  <w:style w:type="character" w:customStyle="1" w:styleId="204">
    <w:name w:val="日期 Char1"/>
    <w:qFormat/>
    <w:uiPriority w:val="0"/>
    <w:rPr>
      <w:sz w:val="20"/>
    </w:rPr>
  </w:style>
  <w:style w:type="character" w:customStyle="1" w:styleId="205">
    <w:name w:val="正文缩进 Char"/>
    <w:qFormat/>
    <w:uiPriority w:val="0"/>
    <w:rPr>
      <w:sz w:val="20"/>
    </w:rPr>
  </w:style>
  <w:style w:type="character" w:customStyle="1" w:styleId="206">
    <w:name w:val="标题 8 Char"/>
    <w:qFormat/>
    <w:uiPriority w:val="0"/>
    <w:rPr>
      <w:sz w:val="20"/>
    </w:rPr>
  </w:style>
  <w:style w:type="paragraph" w:customStyle="1" w:styleId="207">
    <w:name w:val="SM正文"/>
    <w:basedOn w:val="1"/>
    <w:qFormat/>
    <w:uiPriority w:val="0"/>
    <w:pPr>
      <w:widowControl w:val="0"/>
      <w:spacing w:line="360" w:lineRule="auto"/>
      <w:ind w:firstLine="225" w:firstLineChars="225"/>
      <w:jc w:val="both"/>
    </w:pPr>
    <w:rPr>
      <w:kern w:val="2"/>
      <w:sz w:val="24"/>
      <w:szCs w:val="24"/>
    </w:rPr>
  </w:style>
  <w:style w:type="paragraph" w:customStyle="1" w:styleId="208">
    <w:name w:val="列出段落1"/>
    <w:basedOn w:val="1"/>
    <w:qFormat/>
    <w:uiPriority w:val="0"/>
    <w:pPr>
      <w:widowControl w:val="0"/>
      <w:ind w:firstLine="420"/>
      <w:jc w:val="both"/>
    </w:pPr>
    <w:rPr>
      <w:rFonts w:ascii="Calibri" w:hAnsi="Calibri"/>
      <w:sz w:val="21"/>
    </w:rPr>
  </w:style>
  <w:style w:type="paragraph" w:customStyle="1" w:styleId="209">
    <w:name w:val="目录 21"/>
    <w:basedOn w:val="1"/>
    <w:next w:val="1"/>
    <w:qFormat/>
    <w:uiPriority w:val="39"/>
    <w:pPr>
      <w:widowControl w:val="0"/>
      <w:ind w:left="210"/>
      <w:jc w:val="both"/>
    </w:pPr>
    <w:rPr>
      <w:rFonts w:hAnsi="Calibri"/>
      <w:smallCaps/>
    </w:rPr>
  </w:style>
  <w:style w:type="paragraph" w:customStyle="1" w:styleId="210">
    <w:name w:val="样式 标题 2 + Times New Roman 四号 非加粗 段前: 5 磅 段后: 0 磅 行距: 固定值 20..."/>
    <w:basedOn w:val="4"/>
    <w:next w:val="208"/>
    <w:qFormat/>
    <w:uiPriority w:val="0"/>
    <w:pPr>
      <w:keepNext w:val="0"/>
      <w:keepLines w:val="0"/>
      <w:widowControl w:val="0"/>
      <w:spacing w:before="100" w:after="0" w:line="400" w:lineRule="exact"/>
      <w:jc w:val="both"/>
    </w:pPr>
    <w:rPr>
      <w:rFonts w:ascii="Times New Roman" w:hAnsi="Calibri"/>
      <w:b w:val="0"/>
      <w:bCs w:val="0"/>
      <w:sz w:val="28"/>
      <w:szCs w:val="20"/>
    </w:rPr>
  </w:style>
  <w:style w:type="paragraph" w:customStyle="1" w:styleId="211">
    <w:name w:val="Blockquote"/>
    <w:basedOn w:val="212"/>
    <w:next w:val="213"/>
    <w:qFormat/>
    <w:uiPriority w:val="0"/>
    <w:pPr>
      <w:spacing w:before="100" w:after="100"/>
      <w:ind w:left="360" w:right="360"/>
    </w:pPr>
    <w:rPr>
      <w:color w:val="000000"/>
      <w:sz w:val="24"/>
    </w:rPr>
  </w:style>
  <w:style w:type="paragraph" w:customStyle="1" w:styleId="212">
    <w:name w:val="Normal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3">
    <w:name w:val="无间隔1"/>
    <w:next w:val="19"/>
    <w:qFormat/>
    <w:uiPriority w:val="0"/>
    <w:pPr>
      <w:widowControl w:val="0"/>
      <w:jc w:val="both"/>
    </w:pPr>
    <w:rPr>
      <w:rFonts w:ascii="Calibri" w:hAnsi="Calibri" w:eastAsia="宋体" w:cs="Times New Roman"/>
      <w:sz w:val="21"/>
      <w:lang w:val="en-US" w:eastAsia="zh-CN" w:bidi="ar-SA"/>
    </w:rPr>
  </w:style>
  <w:style w:type="paragraph" w:customStyle="1" w:styleId="214">
    <w:name w:val="reader-word-layer"/>
    <w:basedOn w:val="1"/>
    <w:next w:val="215"/>
    <w:qFormat/>
    <w:uiPriority w:val="0"/>
    <w:pPr>
      <w:spacing w:before="280" w:after="280"/>
      <w:jc w:val="both"/>
    </w:pPr>
    <w:rPr>
      <w:rFonts w:ascii="宋体" w:hAnsi="Calibri"/>
      <w:sz w:val="24"/>
    </w:rPr>
  </w:style>
  <w:style w:type="paragraph" w:customStyle="1" w:styleId="215">
    <w:name w:val="Default"/>
    <w:next w:val="216"/>
    <w:qFormat/>
    <w:uiPriority w:val="0"/>
    <w:pPr>
      <w:widowControl w:val="0"/>
      <w:autoSpaceDE w:val="0"/>
      <w:autoSpaceDN w:val="0"/>
    </w:pPr>
    <w:rPr>
      <w:rFonts w:ascii="Calibri" w:hAnsi="Calibri" w:eastAsia="宋体" w:cs="Times New Roman"/>
      <w:color w:val="000000"/>
      <w:sz w:val="24"/>
      <w:lang w:val="en-US" w:eastAsia="zh-CN" w:bidi="ar-SA"/>
    </w:rPr>
  </w:style>
  <w:style w:type="paragraph" w:customStyle="1" w:styleId="216">
    <w:name w:val="样式 标题 3 + (中文) 黑体 小四 非加粗 段前: 7.8 磅 段后: 0 磅 行距: 固定值 20 磅"/>
    <w:basedOn w:val="5"/>
    <w:next w:val="217"/>
    <w:qFormat/>
    <w:uiPriority w:val="0"/>
    <w:pPr>
      <w:keepNext w:val="0"/>
      <w:keepLines w:val="0"/>
      <w:widowControl w:val="0"/>
      <w:spacing w:before="0" w:after="0" w:line="400" w:lineRule="exact"/>
      <w:ind w:firstLine="137"/>
      <w:jc w:val="both"/>
    </w:pPr>
    <w:rPr>
      <w:rFonts w:ascii="黑体" w:hAnsi="Calibri" w:eastAsia="黑体"/>
      <w:b w:val="0"/>
      <w:bCs w:val="0"/>
      <w:sz w:val="24"/>
      <w:szCs w:val="20"/>
    </w:rPr>
  </w:style>
  <w:style w:type="paragraph" w:customStyle="1" w:styleId="217">
    <w:name w:val="目录 41"/>
    <w:basedOn w:val="1"/>
    <w:next w:val="1"/>
    <w:qFormat/>
    <w:uiPriority w:val="0"/>
    <w:pPr>
      <w:widowControl w:val="0"/>
      <w:ind w:left="630"/>
      <w:jc w:val="both"/>
    </w:pPr>
    <w:rPr>
      <w:rFonts w:hAnsi="Calibri"/>
      <w:sz w:val="18"/>
    </w:rPr>
  </w:style>
  <w:style w:type="paragraph" w:customStyle="1" w:styleId="218">
    <w:name w:val="标题5"/>
    <w:basedOn w:val="5"/>
    <w:next w:val="219"/>
    <w:qFormat/>
    <w:uiPriority w:val="0"/>
    <w:pPr>
      <w:keepNext w:val="0"/>
      <w:keepLines w:val="0"/>
      <w:widowControl w:val="0"/>
      <w:spacing w:line="413" w:lineRule="auto"/>
      <w:jc w:val="both"/>
    </w:pPr>
    <w:rPr>
      <w:rFonts w:ascii="Arial" w:hAnsi="Calibri"/>
      <w:bCs w:val="0"/>
      <w:sz w:val="24"/>
      <w:szCs w:val="20"/>
    </w:rPr>
  </w:style>
  <w:style w:type="paragraph" w:customStyle="1" w:styleId="219">
    <w:name w:val="Char1"/>
    <w:basedOn w:val="1"/>
    <w:next w:val="27"/>
    <w:qFormat/>
    <w:uiPriority w:val="0"/>
    <w:pPr>
      <w:widowControl w:val="0"/>
      <w:jc w:val="both"/>
    </w:pPr>
    <w:rPr>
      <w:rFonts w:hAnsi="Calibri"/>
      <w:sz w:val="24"/>
    </w:rPr>
  </w:style>
  <w:style w:type="paragraph" w:customStyle="1" w:styleId="220">
    <w:name w:val="Normal_0"/>
    <w:qFormat/>
    <w:uiPriority w:val="0"/>
    <w:pPr>
      <w:widowControl w:val="0"/>
      <w:jc w:val="both"/>
    </w:pPr>
    <w:rPr>
      <w:rFonts w:ascii="Times New Roman" w:hAnsi="Times New Roman" w:eastAsia="宋体" w:cs="Times New Roman"/>
      <w:lang w:val="en-US" w:eastAsia="zh-CN" w:bidi="ar-SA"/>
    </w:rPr>
  </w:style>
  <w:style w:type="paragraph" w:customStyle="1" w:styleId="221">
    <w:name w:val="样式"/>
    <w:next w:val="222"/>
    <w:qFormat/>
    <w:uiPriority w:val="0"/>
    <w:pPr>
      <w:widowControl w:val="0"/>
      <w:autoSpaceDE w:val="0"/>
      <w:autoSpaceDN w:val="0"/>
    </w:pPr>
    <w:rPr>
      <w:rFonts w:ascii="Calibri" w:hAnsi="Calibri" w:eastAsia="宋体" w:cs="Times New Roman"/>
      <w:sz w:val="24"/>
      <w:lang w:val="en-US" w:eastAsia="zh-CN" w:bidi="ar-SA"/>
    </w:rPr>
  </w:style>
  <w:style w:type="paragraph" w:customStyle="1" w:styleId="222">
    <w:name w:val="表格文字"/>
    <w:basedOn w:val="1"/>
    <w:qFormat/>
    <w:uiPriority w:val="0"/>
    <w:pPr>
      <w:widowControl w:val="0"/>
      <w:spacing w:line="420" w:lineRule="atLeast"/>
      <w:jc w:val="both"/>
    </w:pPr>
    <w:rPr>
      <w:rFonts w:hAnsi="Calibri"/>
      <w:sz w:val="21"/>
    </w:rPr>
  </w:style>
  <w:style w:type="paragraph" w:customStyle="1" w:styleId="223">
    <w:name w:val="修订1"/>
    <w:next w:val="224"/>
    <w:semiHidden/>
    <w:qFormat/>
    <w:uiPriority w:val="0"/>
    <w:rPr>
      <w:rFonts w:ascii="Calibri" w:hAnsi="Calibri" w:eastAsia="宋体" w:cs="Times New Roman"/>
      <w:sz w:val="21"/>
      <w:lang w:val="en-US" w:eastAsia="zh-CN" w:bidi="ar-SA"/>
    </w:rPr>
  </w:style>
  <w:style w:type="paragraph" w:customStyle="1" w:styleId="224">
    <w:name w:val="TOC 标题_0"/>
    <w:next w:val="46"/>
    <w:qFormat/>
    <w:uiPriority w:val="0"/>
    <w:pPr>
      <w:widowControl w:val="0"/>
      <w:spacing w:before="340" w:after="330" w:line="576" w:lineRule="auto"/>
      <w:jc w:val="both"/>
    </w:pPr>
    <w:rPr>
      <w:rFonts w:ascii="Calibri" w:hAnsi="Calibri" w:eastAsia="宋体" w:cs="Times New Roman"/>
      <w:b/>
      <w:sz w:val="44"/>
      <w:lang w:val="en-US" w:eastAsia="zh-CN" w:bidi="ar-SA"/>
    </w:rPr>
  </w:style>
  <w:style w:type="paragraph" w:customStyle="1" w:styleId="225">
    <w:name w:val="标题 4_0"/>
    <w:next w:val="46"/>
    <w:qFormat/>
    <w:uiPriority w:val="0"/>
    <w:pPr>
      <w:widowControl w:val="0"/>
      <w:spacing w:before="280" w:after="290" w:line="372" w:lineRule="auto"/>
      <w:jc w:val="both"/>
      <w:outlineLvl w:val="3"/>
    </w:pPr>
    <w:rPr>
      <w:rFonts w:ascii="Cambria" w:hAnsi="Calibri" w:eastAsia="宋体" w:cs="Times New Roman"/>
      <w:b/>
      <w:sz w:val="28"/>
      <w:lang w:val="en-US" w:eastAsia="zh-CN" w:bidi="ar-SA"/>
    </w:rPr>
  </w:style>
  <w:style w:type="paragraph" w:customStyle="1" w:styleId="226">
    <w:name w:val="空半行"/>
    <w:basedOn w:val="1"/>
    <w:next w:val="41"/>
    <w:qFormat/>
    <w:uiPriority w:val="0"/>
    <w:pPr>
      <w:widowControl w:val="0"/>
      <w:spacing w:line="120" w:lineRule="exact"/>
      <w:jc w:val="both"/>
    </w:pPr>
    <w:rPr>
      <w:rFonts w:hAnsi="Calibri" w:eastAsia="仿宋_GB2312"/>
      <w:color w:val="FFFFFF"/>
      <w:sz w:val="30"/>
    </w:rPr>
  </w:style>
  <w:style w:type="paragraph" w:customStyle="1" w:styleId="227">
    <w:name w:val="正文文本_0"/>
    <w:next w:val="228"/>
    <w:qFormat/>
    <w:uiPriority w:val="0"/>
    <w:pPr>
      <w:widowControl w:val="0"/>
      <w:spacing w:after="60" w:line="360" w:lineRule="atLeast"/>
      <w:ind w:left="72" w:right="30"/>
      <w:jc w:val="center"/>
    </w:pPr>
    <w:rPr>
      <w:rFonts w:ascii="Times New Roman" w:hAnsi="Calibri" w:eastAsia="宋体" w:cs="Times New Roman"/>
      <w:lang w:val="en-US" w:eastAsia="zh-CN" w:bidi="ar-SA"/>
    </w:rPr>
  </w:style>
  <w:style w:type="paragraph" w:customStyle="1" w:styleId="228">
    <w:name w:val="目录 61"/>
    <w:basedOn w:val="1"/>
    <w:next w:val="1"/>
    <w:qFormat/>
    <w:uiPriority w:val="0"/>
    <w:pPr>
      <w:widowControl w:val="0"/>
      <w:ind w:left="1050"/>
      <w:jc w:val="both"/>
    </w:pPr>
    <w:rPr>
      <w:rFonts w:hAnsi="Calibri"/>
      <w:sz w:val="18"/>
    </w:rPr>
  </w:style>
  <w:style w:type="paragraph" w:customStyle="1" w:styleId="229">
    <w:name w:val="Char Char Char Char Char Char Char"/>
    <w:basedOn w:val="1"/>
    <w:next w:val="223"/>
    <w:qFormat/>
    <w:uiPriority w:val="0"/>
    <w:pPr>
      <w:spacing w:after="160" w:line="240" w:lineRule="exact"/>
      <w:jc w:val="both"/>
    </w:pPr>
    <w:rPr>
      <w:rFonts w:hAnsi="Calibri"/>
      <w:sz w:val="21"/>
    </w:rPr>
  </w:style>
  <w:style w:type="paragraph" w:customStyle="1" w:styleId="230">
    <w:name w:val="修订1_0"/>
    <w:next w:val="210"/>
    <w:qFormat/>
    <w:uiPriority w:val="99"/>
    <w:rPr>
      <w:rFonts w:ascii="Calibri" w:hAnsi="Calibri" w:eastAsia="宋体" w:cs="Times New Roman"/>
      <w:sz w:val="21"/>
      <w:lang w:val="en-US" w:eastAsia="zh-CN" w:bidi="ar-SA"/>
    </w:rPr>
  </w:style>
  <w:style w:type="paragraph" w:customStyle="1" w:styleId="231">
    <w:name w:val="样式1"/>
    <w:basedOn w:val="1"/>
    <w:next w:val="7"/>
    <w:link w:val="268"/>
    <w:qFormat/>
    <w:uiPriority w:val="0"/>
    <w:pPr>
      <w:widowControl w:val="0"/>
      <w:spacing w:line="360" w:lineRule="auto"/>
      <w:ind w:firstLine="420"/>
      <w:jc w:val="both"/>
    </w:pPr>
    <w:rPr>
      <w:rFonts w:ascii="宋体" w:hAnsi="Calibri"/>
      <w:sz w:val="21"/>
    </w:rPr>
  </w:style>
  <w:style w:type="paragraph" w:customStyle="1" w:styleId="232">
    <w:name w:val="标题4"/>
    <w:basedOn w:val="4"/>
    <w:next w:val="1"/>
    <w:qFormat/>
    <w:uiPriority w:val="0"/>
    <w:pPr>
      <w:keepNext w:val="0"/>
      <w:keepLines w:val="0"/>
      <w:widowControl w:val="0"/>
      <w:spacing w:before="60" w:after="60" w:line="413" w:lineRule="auto"/>
      <w:jc w:val="both"/>
    </w:pPr>
    <w:rPr>
      <w:rFonts w:hAnsi="Calibri" w:eastAsia="宋体"/>
      <w:bCs w:val="0"/>
      <w:sz w:val="24"/>
      <w:szCs w:val="20"/>
    </w:rPr>
  </w:style>
  <w:style w:type="paragraph" w:customStyle="1" w:styleId="233">
    <w:name w:val="标题_0"/>
    <w:next w:val="231"/>
    <w:qFormat/>
    <w:uiPriority w:val="0"/>
    <w:pPr>
      <w:spacing w:before="120" w:after="120" w:line="360" w:lineRule="auto"/>
      <w:jc w:val="center"/>
      <w:outlineLvl w:val="0"/>
    </w:pPr>
    <w:rPr>
      <w:rFonts w:ascii="黑体" w:hAnsi="Calibri" w:eastAsia="黑体" w:cs="Times New Roman"/>
      <w:b/>
      <w:sz w:val="32"/>
      <w:lang w:val="en-US" w:eastAsia="zh-CN" w:bidi="ar-SA"/>
    </w:rPr>
  </w:style>
  <w:style w:type="paragraph" w:customStyle="1" w:styleId="234">
    <w:name w:val="Char"/>
    <w:basedOn w:val="1"/>
    <w:next w:val="35"/>
    <w:qFormat/>
    <w:uiPriority w:val="0"/>
    <w:pPr>
      <w:widowControl w:val="0"/>
      <w:jc w:val="both"/>
    </w:pPr>
    <w:rPr>
      <w:rFonts w:hAnsi="Calibri"/>
      <w:sz w:val="24"/>
    </w:rPr>
  </w:style>
  <w:style w:type="paragraph" w:customStyle="1" w:styleId="235">
    <w:name w:val="1"/>
    <w:basedOn w:val="1"/>
    <w:next w:val="29"/>
    <w:qFormat/>
    <w:uiPriority w:val="39"/>
    <w:pPr>
      <w:widowControl w:val="0"/>
      <w:jc w:val="both"/>
    </w:pPr>
    <w:rPr>
      <w:rFonts w:hAnsi="Calibri"/>
      <w:sz w:val="21"/>
    </w:rPr>
  </w:style>
  <w:style w:type="paragraph" w:customStyle="1" w:styleId="236">
    <w:name w:val="目录 91"/>
    <w:basedOn w:val="1"/>
    <w:next w:val="1"/>
    <w:qFormat/>
    <w:uiPriority w:val="0"/>
    <w:pPr>
      <w:widowControl w:val="0"/>
      <w:ind w:left="1680"/>
      <w:jc w:val="both"/>
    </w:pPr>
    <w:rPr>
      <w:rFonts w:hAnsi="Calibri"/>
      <w:sz w:val="18"/>
    </w:rPr>
  </w:style>
  <w:style w:type="paragraph" w:customStyle="1" w:styleId="237">
    <w:name w:val="标题 1_0"/>
    <w:next w:val="46"/>
    <w:qFormat/>
    <w:uiPriority w:val="0"/>
    <w:pPr>
      <w:widowControl w:val="0"/>
      <w:spacing w:before="340" w:after="330" w:line="576" w:lineRule="auto"/>
      <w:jc w:val="both"/>
      <w:outlineLvl w:val="0"/>
    </w:pPr>
    <w:rPr>
      <w:rFonts w:ascii="Times New Roman" w:hAnsi="Calibri" w:eastAsia="宋体" w:cs="Times New Roman"/>
      <w:b/>
      <w:sz w:val="44"/>
      <w:lang w:val="en-US" w:eastAsia="zh-CN" w:bidi="ar-SA"/>
    </w:rPr>
  </w:style>
  <w:style w:type="paragraph" w:customStyle="1" w:styleId="238">
    <w:name w:val="p0"/>
    <w:basedOn w:val="1"/>
    <w:qFormat/>
    <w:uiPriority w:val="0"/>
    <w:pPr>
      <w:jc w:val="both"/>
    </w:pPr>
    <w:rPr>
      <w:sz w:val="21"/>
      <w:szCs w:val="21"/>
    </w:rPr>
  </w:style>
  <w:style w:type="paragraph" w:customStyle="1" w:styleId="239">
    <w:name w:val="标题 3_0"/>
    <w:next w:val="46"/>
    <w:qFormat/>
    <w:uiPriority w:val="0"/>
    <w:pPr>
      <w:widowControl w:val="0"/>
      <w:spacing w:before="260" w:after="260" w:line="413" w:lineRule="auto"/>
      <w:jc w:val="both"/>
      <w:outlineLvl w:val="2"/>
    </w:pPr>
    <w:rPr>
      <w:rFonts w:ascii="Times New Roman" w:hAnsi="Calibri" w:eastAsia="宋体" w:cs="Times New Roman"/>
      <w:b/>
      <w:sz w:val="32"/>
      <w:lang w:val="en-US" w:eastAsia="zh-CN" w:bidi="ar-SA"/>
    </w:rPr>
  </w:style>
  <w:style w:type="paragraph" w:customStyle="1" w:styleId="240">
    <w:name w:val="正文_1"/>
    <w:next w:val="241"/>
    <w:qFormat/>
    <w:uiPriority w:val="0"/>
    <w:rPr>
      <w:rFonts w:ascii="Calibri" w:hAnsi="Calibri" w:eastAsia="宋体" w:cs="Times New Roman"/>
      <w:sz w:val="21"/>
      <w:lang w:val="en-US" w:eastAsia="zh-CN" w:bidi="ar-SA"/>
    </w:rPr>
  </w:style>
  <w:style w:type="paragraph" w:customStyle="1" w:styleId="241">
    <w:name w:val="6'"/>
    <w:basedOn w:val="1"/>
    <w:next w:val="45"/>
    <w:qFormat/>
    <w:uiPriority w:val="0"/>
    <w:pPr>
      <w:widowControl w:val="0"/>
      <w:autoSpaceDE w:val="0"/>
      <w:autoSpaceDN w:val="0"/>
      <w:spacing w:line="320" w:lineRule="exact"/>
      <w:jc w:val="center"/>
    </w:pPr>
    <w:rPr>
      <w:rFonts w:hAnsi="Calibri"/>
      <w:sz w:val="21"/>
    </w:rPr>
  </w:style>
  <w:style w:type="paragraph" w:customStyle="1" w:styleId="242">
    <w:name w:val="正文_0"/>
    <w:next w:val="46"/>
    <w:qFormat/>
    <w:uiPriority w:val="0"/>
    <w:pPr>
      <w:widowControl w:val="0"/>
      <w:jc w:val="both"/>
    </w:pPr>
    <w:rPr>
      <w:rFonts w:ascii="Calibri" w:hAnsi="Calibri" w:eastAsia="宋体" w:cs="Times New Roman"/>
      <w:sz w:val="21"/>
      <w:lang w:val="en-US" w:eastAsia="zh-CN" w:bidi="ar-SA"/>
    </w:rPr>
  </w:style>
  <w:style w:type="paragraph" w:customStyle="1" w:styleId="243">
    <w:name w:val="Revision_0"/>
    <w:next w:val="14"/>
    <w:qFormat/>
    <w:uiPriority w:val="0"/>
    <w:rPr>
      <w:rFonts w:ascii="Calibri" w:hAnsi="Calibri" w:eastAsia="宋体" w:cs="Times New Roman"/>
      <w:sz w:val="21"/>
      <w:lang w:val="en-US" w:eastAsia="zh-CN" w:bidi="ar-SA"/>
    </w:rPr>
  </w:style>
  <w:style w:type="paragraph" w:customStyle="1" w:styleId="244">
    <w:name w:val="TOC 标题1"/>
    <w:basedOn w:val="3"/>
    <w:next w:val="1"/>
    <w:qFormat/>
    <w:uiPriority w:val="39"/>
    <w:pPr>
      <w:keepNext w:val="0"/>
      <w:keepLines w:val="0"/>
      <w:widowControl w:val="0"/>
      <w:spacing w:line="576" w:lineRule="auto"/>
      <w:jc w:val="both"/>
    </w:pPr>
    <w:rPr>
      <w:rFonts w:ascii="Calibri" w:hAnsi="Calibri" w:eastAsia="黑体"/>
      <w:bCs w:val="0"/>
      <w:kern w:val="0"/>
      <w:szCs w:val="20"/>
    </w:rPr>
  </w:style>
  <w:style w:type="paragraph" w:customStyle="1" w:styleId="245">
    <w:name w:val="正文缩进_0"/>
    <w:next w:val="246"/>
    <w:qFormat/>
    <w:uiPriority w:val="0"/>
    <w:pPr>
      <w:widowControl w:val="0"/>
      <w:ind w:firstLine="420"/>
      <w:jc w:val="both"/>
    </w:pPr>
    <w:rPr>
      <w:rFonts w:ascii="Calibri" w:hAnsi="Calibri" w:eastAsia="宋体" w:cs="Times New Roman"/>
      <w:sz w:val="21"/>
      <w:u w:val="single"/>
      <w:lang w:val="en-US" w:eastAsia="zh-CN" w:bidi="ar-SA"/>
    </w:rPr>
  </w:style>
  <w:style w:type="paragraph" w:customStyle="1" w:styleId="246">
    <w:name w:val="样式2"/>
    <w:basedOn w:val="5"/>
    <w:next w:val="16"/>
    <w:qFormat/>
    <w:uiPriority w:val="0"/>
    <w:pPr>
      <w:keepNext w:val="0"/>
      <w:keepLines w:val="0"/>
      <w:widowControl w:val="0"/>
      <w:spacing w:line="415" w:lineRule="auto"/>
      <w:ind w:firstLine="137"/>
      <w:jc w:val="both"/>
    </w:pPr>
    <w:rPr>
      <w:rFonts w:ascii="黑体" w:hAnsi="Calibri" w:eastAsia="黑体"/>
      <w:b w:val="0"/>
      <w:bCs w:val="0"/>
      <w:i/>
      <w:sz w:val="28"/>
      <w:szCs w:val="20"/>
    </w:rPr>
  </w:style>
  <w:style w:type="paragraph" w:customStyle="1" w:styleId="247">
    <w:name w:val="样式 标题 1 + 黑体 三号 非加粗 居中 段前: 6 磅 段后: 6 磅 行距: 固定值 20 磅"/>
    <w:basedOn w:val="3"/>
    <w:next w:val="248"/>
    <w:qFormat/>
    <w:uiPriority w:val="0"/>
    <w:pPr>
      <w:keepNext w:val="0"/>
      <w:keepLines w:val="0"/>
      <w:widowControl w:val="0"/>
      <w:spacing w:before="120" w:after="120" w:line="400" w:lineRule="exact"/>
      <w:jc w:val="center"/>
    </w:pPr>
    <w:rPr>
      <w:rFonts w:ascii="黑体" w:hAnsi="Calibri" w:eastAsia="黑体"/>
      <w:b w:val="0"/>
      <w:bCs w:val="0"/>
      <w:kern w:val="0"/>
      <w:sz w:val="32"/>
      <w:szCs w:val="20"/>
    </w:rPr>
  </w:style>
  <w:style w:type="paragraph" w:customStyle="1" w:styleId="248">
    <w:name w:val="目录 31"/>
    <w:basedOn w:val="1"/>
    <w:next w:val="1"/>
    <w:qFormat/>
    <w:uiPriority w:val="39"/>
    <w:pPr>
      <w:widowControl w:val="0"/>
      <w:ind w:left="420"/>
      <w:jc w:val="both"/>
    </w:pPr>
    <w:rPr>
      <w:rFonts w:hAnsi="Calibri"/>
    </w:rPr>
  </w:style>
  <w:style w:type="paragraph" w:customStyle="1" w:styleId="249">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rPr>
  </w:style>
  <w:style w:type="paragraph" w:customStyle="1" w:styleId="250">
    <w:name w:val="目录 81"/>
    <w:basedOn w:val="1"/>
    <w:next w:val="1"/>
    <w:qFormat/>
    <w:uiPriority w:val="0"/>
    <w:pPr>
      <w:widowControl w:val="0"/>
      <w:ind w:left="1470"/>
      <w:jc w:val="both"/>
    </w:pPr>
    <w:rPr>
      <w:rFonts w:hAnsi="Calibri"/>
      <w:sz w:val="18"/>
    </w:rPr>
  </w:style>
  <w:style w:type="paragraph" w:customStyle="1" w:styleId="251">
    <w:name w:val="Char3"/>
    <w:basedOn w:val="19"/>
    <w:qFormat/>
    <w:uiPriority w:val="0"/>
    <w:pPr>
      <w:widowControl w:val="0"/>
      <w:shd w:val="clear" w:color="auto" w:fill="000080"/>
      <w:jc w:val="both"/>
    </w:pPr>
    <w:rPr>
      <w:rFonts w:ascii="Times New Roman"/>
      <w:kern w:val="2"/>
      <w:sz w:val="16"/>
      <w:szCs w:val="16"/>
    </w:rPr>
  </w:style>
  <w:style w:type="paragraph" w:customStyle="1" w:styleId="252">
    <w:name w:val="列表段落1"/>
    <w:basedOn w:val="1"/>
    <w:qFormat/>
    <w:uiPriority w:val="0"/>
    <w:pPr>
      <w:widowControl w:val="0"/>
      <w:ind w:firstLine="420" w:firstLineChars="200"/>
      <w:jc w:val="both"/>
    </w:pPr>
    <w:rPr>
      <w:rFonts w:ascii="Calibri" w:hAnsi="Calibri"/>
      <w:kern w:val="2"/>
      <w:sz w:val="21"/>
      <w:szCs w:val="22"/>
    </w:rPr>
  </w:style>
  <w:style w:type="paragraph" w:customStyle="1" w:styleId="253">
    <w:name w:val="Char Char Char Char"/>
    <w:basedOn w:val="1"/>
    <w:next w:val="234"/>
    <w:qFormat/>
    <w:uiPriority w:val="0"/>
    <w:pPr>
      <w:spacing w:line="500" w:lineRule="exact"/>
      <w:jc w:val="both"/>
      <w:outlineLvl w:val="2"/>
    </w:pPr>
    <w:rPr>
      <w:rFonts w:ascii="黑体" w:hAnsi="Calibri" w:eastAsia="黑体"/>
      <w:sz w:val="28"/>
    </w:rPr>
  </w:style>
  <w:style w:type="paragraph" w:customStyle="1" w:styleId="254">
    <w:name w:val="Revision1"/>
    <w:next w:val="1"/>
    <w:semiHidden/>
    <w:qFormat/>
    <w:uiPriority w:val="0"/>
    <w:rPr>
      <w:rFonts w:ascii="Calibri" w:hAnsi="Calibri" w:eastAsia="宋体" w:cs="Times New Roman"/>
      <w:sz w:val="21"/>
      <w:lang w:val="en-US" w:eastAsia="zh-CN" w:bidi="ar-SA"/>
    </w:rPr>
  </w:style>
  <w:style w:type="paragraph" w:customStyle="1" w:styleId="255">
    <w:name w:val="flNote"/>
    <w:basedOn w:val="1"/>
    <w:next w:val="221"/>
    <w:qFormat/>
    <w:uiPriority w:val="0"/>
    <w:pPr>
      <w:widowControl w:val="0"/>
      <w:spacing w:before="320" w:after="160" w:line="360" w:lineRule="atLeast"/>
      <w:jc w:val="center"/>
    </w:pPr>
    <w:rPr>
      <w:rFonts w:ascii="Arial" w:hAnsi="Calibri" w:eastAsia="黑体"/>
      <w:sz w:val="30"/>
    </w:rPr>
  </w:style>
  <w:style w:type="paragraph" w:customStyle="1" w:styleId="256">
    <w:name w:val="TOC 标题2"/>
    <w:next w:val="1"/>
    <w:qFormat/>
    <w:uiPriority w:val="39"/>
    <w:pPr>
      <w:wordWrap w:val="0"/>
    </w:pPr>
    <w:rPr>
      <w:rFonts w:ascii="Calibri" w:hAnsi="Calibri" w:eastAsia="宋体" w:cs="Times New Roman"/>
      <w:sz w:val="32"/>
      <w:lang w:val="en-US" w:eastAsia="zh-CN" w:bidi="ar-SA"/>
    </w:rPr>
  </w:style>
  <w:style w:type="paragraph" w:customStyle="1" w:styleId="257">
    <w:name w:val="pa-15"/>
    <w:basedOn w:val="1"/>
    <w:qFormat/>
    <w:uiPriority w:val="0"/>
    <w:pPr>
      <w:spacing w:line="320" w:lineRule="atLeast"/>
      <w:jc w:val="both"/>
    </w:pPr>
    <w:rPr>
      <w:rFonts w:ascii="宋体" w:hAnsi="宋体" w:cs="宋体"/>
      <w:sz w:val="24"/>
      <w:szCs w:val="24"/>
    </w:rPr>
  </w:style>
  <w:style w:type="paragraph" w:customStyle="1" w:styleId="258">
    <w:name w:val="表格"/>
    <w:basedOn w:val="1"/>
    <w:next w:val="259"/>
    <w:qFormat/>
    <w:uiPriority w:val="0"/>
    <w:pPr>
      <w:widowControl w:val="0"/>
      <w:jc w:val="center"/>
    </w:pPr>
    <w:rPr>
      <w:rFonts w:ascii="华文细黑" w:hAnsi="Calibri"/>
      <w:sz w:val="21"/>
    </w:rPr>
  </w:style>
  <w:style w:type="paragraph" w:customStyle="1" w:styleId="259">
    <w:name w:val="正文缩进1"/>
    <w:basedOn w:val="1"/>
    <w:next w:val="30"/>
    <w:qFormat/>
    <w:uiPriority w:val="0"/>
    <w:pPr>
      <w:widowControl w:val="0"/>
      <w:ind w:firstLine="420"/>
      <w:jc w:val="both"/>
    </w:pPr>
    <w:rPr>
      <w:rFonts w:hAnsi="Calibri"/>
      <w:sz w:val="21"/>
    </w:rPr>
  </w:style>
  <w:style w:type="paragraph" w:customStyle="1" w:styleId="260">
    <w:name w:val="目录 51"/>
    <w:basedOn w:val="1"/>
    <w:next w:val="1"/>
    <w:qFormat/>
    <w:uiPriority w:val="0"/>
    <w:pPr>
      <w:widowControl w:val="0"/>
      <w:ind w:left="840"/>
      <w:jc w:val="both"/>
    </w:pPr>
    <w:rPr>
      <w:rFonts w:hAnsi="Calibri"/>
      <w:sz w:val="18"/>
    </w:rPr>
  </w:style>
  <w:style w:type="paragraph" w:customStyle="1" w:styleId="261">
    <w:name w:val="_Style 37"/>
    <w:basedOn w:val="1"/>
    <w:next w:val="1"/>
    <w:qFormat/>
    <w:uiPriority w:val="0"/>
    <w:pPr>
      <w:widowControl w:val="0"/>
      <w:jc w:val="both"/>
    </w:pPr>
    <w:rPr>
      <w:rFonts w:hAnsi="Calibri"/>
      <w:sz w:val="21"/>
    </w:rPr>
  </w:style>
  <w:style w:type="paragraph" w:customStyle="1" w:styleId="262">
    <w:name w:val="Normal_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3">
    <w:name w:val="目录 71"/>
    <w:basedOn w:val="1"/>
    <w:next w:val="1"/>
    <w:qFormat/>
    <w:uiPriority w:val="0"/>
    <w:pPr>
      <w:widowControl w:val="0"/>
      <w:ind w:left="1260"/>
      <w:jc w:val="both"/>
    </w:pPr>
    <w:rPr>
      <w:rFonts w:hAnsi="Calibri"/>
      <w:sz w:val="18"/>
    </w:rPr>
  </w:style>
  <w:style w:type="paragraph" w:customStyle="1" w:styleId="264">
    <w:name w:val="2-2ji"/>
    <w:basedOn w:val="4"/>
    <w:next w:val="218"/>
    <w:qFormat/>
    <w:uiPriority w:val="0"/>
    <w:pPr>
      <w:keepNext w:val="0"/>
      <w:keepLines w:val="0"/>
      <w:widowControl w:val="0"/>
      <w:spacing w:before="0" w:after="0" w:line="360" w:lineRule="auto"/>
      <w:jc w:val="center"/>
    </w:pPr>
    <w:rPr>
      <w:rFonts w:ascii="宋体" w:hAnsi="Calibri" w:eastAsia="宋体"/>
      <w:bCs w:val="0"/>
      <w:sz w:val="36"/>
      <w:szCs w:val="20"/>
    </w:rPr>
  </w:style>
  <w:style w:type="paragraph" w:customStyle="1" w:styleId="265">
    <w:name w:val="协议书标题2"/>
    <w:basedOn w:val="4"/>
    <w:next w:val="1"/>
    <w:qFormat/>
    <w:uiPriority w:val="0"/>
    <w:pPr>
      <w:keepNext w:val="0"/>
      <w:keepLines w:val="0"/>
      <w:numPr>
        <w:ilvl w:val="0"/>
        <w:numId w:val="1"/>
      </w:numPr>
      <w:tabs>
        <w:tab w:val="left" w:pos="567"/>
      </w:tabs>
      <w:wordWrap w:val="0"/>
      <w:topLinePunct/>
      <w:adjustRightInd w:val="0"/>
      <w:snapToGrid w:val="0"/>
      <w:spacing w:before="0" w:after="120" w:afterLines="50" w:line="360" w:lineRule="auto"/>
    </w:pPr>
    <w:rPr>
      <w:rFonts w:ascii="宋体" w:hAnsi="宋体" w:eastAsia="宋体"/>
      <w:bCs w:val="0"/>
      <w:sz w:val="24"/>
      <w:szCs w:val="20"/>
    </w:rPr>
  </w:style>
  <w:style w:type="paragraph" w:customStyle="1" w:styleId="266">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character" w:customStyle="1" w:styleId="267">
    <w:name w:val="refer-count"/>
    <w:qFormat/>
    <w:uiPriority w:val="0"/>
  </w:style>
  <w:style w:type="character" w:customStyle="1" w:styleId="268">
    <w:name w:val="样式1 字符"/>
    <w:link w:val="231"/>
    <w:qFormat/>
    <w:uiPriority w:val="0"/>
    <w:rPr>
      <w:rFonts w:ascii="宋体" w:hAnsi="Calibri"/>
      <w:sz w:val="21"/>
    </w:rPr>
  </w:style>
  <w:style w:type="character" w:customStyle="1" w:styleId="269">
    <w:name w:val="未处理的提及3"/>
    <w:unhideWhenUsed/>
    <w:qFormat/>
    <w:uiPriority w:val="99"/>
    <w:rPr>
      <w:color w:val="605E5C"/>
      <w:shd w:val="clear" w:color="auto" w:fill="E1DFDD"/>
    </w:rPr>
  </w:style>
  <w:style w:type="character" w:customStyle="1" w:styleId="270">
    <w:name w:val="占位符文本1"/>
    <w:unhideWhenUsed/>
    <w:qFormat/>
    <w:uiPriority w:val="99"/>
    <w:rPr>
      <w:color w:val="808080"/>
    </w:rPr>
  </w:style>
  <w:style w:type="character" w:customStyle="1" w:styleId="271">
    <w:name w:val="content"/>
    <w:qFormat/>
    <w:uiPriority w:val="0"/>
  </w:style>
  <w:style w:type="character" w:customStyle="1" w:styleId="272">
    <w:name w:val="search-in-page-highlight-item"/>
    <w:qFormat/>
    <w:uiPriority w:val="0"/>
  </w:style>
  <w:style w:type="character" w:customStyle="1" w:styleId="273">
    <w:name w:val="未处理的提及1"/>
    <w:unhideWhenUsed/>
    <w:qFormat/>
    <w:uiPriority w:val="99"/>
    <w:rPr>
      <w:color w:val="605E5C"/>
      <w:shd w:val="clear" w:color="auto" w:fill="E1DFDD"/>
    </w:rPr>
  </w:style>
  <w:style w:type="character" w:customStyle="1" w:styleId="274">
    <w:name w:val="law-parenthese"/>
    <w:qFormat/>
    <w:uiPriority w:val="0"/>
  </w:style>
  <w:style w:type="character" w:customStyle="1" w:styleId="275">
    <w:name w:val="正文文本 2 字符"/>
    <w:link w:val="44"/>
    <w:qFormat/>
    <w:uiPriority w:val="99"/>
    <w:rPr>
      <w:rFonts w:ascii="Calibri" w:hAnsi="Calibri"/>
      <w:sz w:val="24"/>
    </w:rPr>
  </w:style>
  <w:style w:type="character" w:customStyle="1" w:styleId="276">
    <w:name w:val="search-in-page-highlight-wrapper"/>
    <w:qFormat/>
    <w:uiPriority w:val="0"/>
  </w:style>
  <w:style w:type="character" w:customStyle="1" w:styleId="277">
    <w:name w:val="未处理的提及2"/>
    <w:unhideWhenUsed/>
    <w:qFormat/>
    <w:uiPriority w:val="99"/>
    <w:rPr>
      <w:color w:val="605E5C"/>
      <w:shd w:val="clear" w:color="auto" w:fill="E1DFDD"/>
    </w:rPr>
  </w:style>
  <w:style w:type="paragraph" w:customStyle="1" w:styleId="278">
    <w:name w:val="专用标题2"/>
    <w:basedOn w:val="4"/>
    <w:next w:val="1"/>
    <w:qFormat/>
    <w:uiPriority w:val="0"/>
    <w:pPr>
      <w:keepNext w:val="0"/>
      <w:keepLines w:val="0"/>
      <w:tabs>
        <w:tab w:val="left" w:pos="993"/>
      </w:tabs>
      <w:adjustRightInd w:val="0"/>
      <w:snapToGrid w:val="0"/>
      <w:spacing w:before="0" w:after="120" w:afterLines="50" w:line="360" w:lineRule="auto"/>
      <w:jc w:val="both"/>
    </w:pPr>
    <w:rPr>
      <w:rFonts w:ascii="宋体" w:hAnsi="宋体" w:eastAsia="宋体" w:cs="Times"/>
      <w:bCs w:val="0"/>
      <w:sz w:val="28"/>
      <w:szCs w:val="20"/>
    </w:rPr>
  </w:style>
  <w:style w:type="paragraph" w:customStyle="1" w:styleId="279">
    <w:name w:val="通用标题4"/>
    <w:next w:val="1"/>
    <w:qFormat/>
    <w:uiPriority w:val="0"/>
    <w:pPr>
      <w:numPr>
        <w:ilvl w:val="2"/>
        <w:numId w:val="2"/>
      </w:numPr>
      <w:tabs>
        <w:tab w:val="left" w:pos="851"/>
      </w:tabs>
      <w:adjustRightInd w:val="0"/>
      <w:snapToGrid w:val="0"/>
      <w:spacing w:after="120" w:afterLines="50" w:line="360" w:lineRule="auto"/>
      <w:jc w:val="both"/>
      <w:outlineLvl w:val="3"/>
    </w:pPr>
    <w:rPr>
      <w:rFonts w:ascii="宋体" w:hAnsi="宋体" w:eastAsia="宋体" w:cs="Times New Roman"/>
      <w:kern w:val="2"/>
      <w:sz w:val="24"/>
      <w:szCs w:val="21"/>
      <w:lang w:val="en-US" w:eastAsia="zh-CN" w:bidi="ar-SA"/>
    </w:rPr>
  </w:style>
  <w:style w:type="paragraph" w:customStyle="1" w:styleId="280">
    <w:name w:val="缩进2中"/>
    <w:qFormat/>
    <w:uiPriority w:val="0"/>
    <w:pPr>
      <w:ind w:left="708" w:leftChars="295"/>
      <w:jc w:val="both"/>
    </w:pPr>
    <w:rPr>
      <w:rFonts w:ascii="Times" w:hAnsi="Times" w:eastAsia="宋体" w:cs="Times New Roman"/>
      <w:kern w:val="2"/>
      <w:sz w:val="24"/>
      <w:szCs w:val="22"/>
      <w:lang w:val="en-US" w:eastAsia="zh-CN" w:bidi="ar-SA"/>
    </w:rPr>
  </w:style>
  <w:style w:type="character" w:customStyle="1" w:styleId="281">
    <w:name w:val="批注文字 字符1"/>
    <w:semiHidden/>
    <w:qFormat/>
    <w:uiPriority w:val="99"/>
    <w:rPr>
      <w:rFonts w:ascii="Times New Roman" w:hAnsi="Times New Roman" w:eastAsia="宋体" w:cs="Times New Roman"/>
      <w:kern w:val="0"/>
      <w:sz w:val="20"/>
      <w:szCs w:val="20"/>
    </w:rPr>
  </w:style>
  <w:style w:type="paragraph" w:customStyle="1" w:styleId="282">
    <w:name w:val="Char Char Char Char Char Char Char Char Char Char Char Char Char"/>
    <w:basedOn w:val="1"/>
    <w:qFormat/>
    <w:uiPriority w:val="0"/>
    <w:pPr>
      <w:widowControl w:val="0"/>
      <w:jc w:val="both"/>
    </w:pPr>
    <w:rPr>
      <w:rFonts w:ascii="宋体" w:hAnsi="宋体"/>
      <w:kern w:val="2"/>
      <w:sz w:val="24"/>
      <w:szCs w:val="24"/>
    </w:rPr>
  </w:style>
  <w:style w:type="paragraph" w:customStyle="1" w:styleId="283">
    <w:name w:val="Title 5"/>
    <w:next w:val="284"/>
    <w:qFormat/>
    <w:uiPriority w:val="0"/>
    <w:pPr>
      <w:numPr>
        <w:ilvl w:val="0"/>
        <w:numId w:val="3"/>
      </w:numPr>
      <w:ind w:left="1701" w:hanging="426"/>
      <w:jc w:val="both"/>
    </w:pPr>
    <w:rPr>
      <w:rFonts w:ascii="Times New Roman" w:hAnsi="Times New Roman" w:eastAsia="宋体" w:cs="Times New Roman"/>
      <w:kern w:val="2"/>
      <w:sz w:val="24"/>
      <w:szCs w:val="24"/>
      <w:lang w:val="en-US" w:eastAsia="zh-CN" w:bidi="ar-SA"/>
    </w:rPr>
  </w:style>
  <w:style w:type="paragraph" w:customStyle="1" w:styleId="284">
    <w:name w:val="Title 5 Chinese"/>
    <w:qFormat/>
    <w:uiPriority w:val="0"/>
    <w:pPr>
      <w:ind w:left="1701"/>
    </w:pPr>
    <w:rPr>
      <w:rFonts w:ascii="Times New Roman" w:hAnsi="Times New Roman" w:eastAsia="宋体" w:cs="Times New Roman"/>
      <w:kern w:val="2"/>
      <w:sz w:val="24"/>
      <w:szCs w:val="24"/>
      <w:lang w:val="en-US" w:eastAsia="zh-CN" w:bidi="ar-SA"/>
    </w:rPr>
  </w:style>
  <w:style w:type="character" w:customStyle="1" w:styleId="285">
    <w:name w:val="正文文本 2 字符1"/>
    <w:basedOn w:val="48"/>
    <w:semiHidden/>
    <w:qFormat/>
    <w:uiPriority w:val="99"/>
  </w:style>
  <w:style w:type="paragraph" w:customStyle="1" w:styleId="286">
    <w:name w:val="通用标题7"/>
    <w:basedOn w:val="1"/>
    <w:qFormat/>
    <w:uiPriority w:val="0"/>
    <w:pPr>
      <w:numPr>
        <w:ilvl w:val="5"/>
        <w:numId w:val="4"/>
      </w:numPr>
      <w:wordWrap w:val="0"/>
      <w:topLinePunct/>
      <w:adjustRightInd w:val="0"/>
      <w:snapToGrid w:val="0"/>
      <w:spacing w:after="120" w:afterLines="50" w:line="360" w:lineRule="auto"/>
      <w:ind w:firstLine="200" w:firstLineChars="200"/>
      <w:jc w:val="both"/>
    </w:pPr>
    <w:rPr>
      <w:rFonts w:ascii="宋体" w:hAnsi="宋体"/>
      <w:sz w:val="24"/>
    </w:rPr>
  </w:style>
  <w:style w:type="paragraph" w:customStyle="1" w:styleId="287">
    <w:name w:val="样式8"/>
    <w:basedOn w:val="1"/>
    <w:qFormat/>
    <w:uiPriority w:val="0"/>
    <w:pPr>
      <w:wordWrap w:val="0"/>
      <w:topLinePunct/>
      <w:autoSpaceDE w:val="0"/>
      <w:autoSpaceDN w:val="0"/>
      <w:adjustRightInd w:val="0"/>
      <w:ind w:left="1274" w:leftChars="531" w:firstLine="2"/>
      <w:jc w:val="both"/>
    </w:pPr>
    <w:rPr>
      <w:rFonts w:ascii="宋体" w:hAnsi="宋体"/>
      <w:bCs/>
      <w:sz w:val="24"/>
    </w:rPr>
  </w:style>
  <w:style w:type="paragraph" w:customStyle="1" w:styleId="288">
    <w:name w:val="附件标题"/>
    <w:basedOn w:val="4"/>
    <w:next w:val="1"/>
    <w:qFormat/>
    <w:uiPriority w:val="0"/>
    <w:pPr>
      <w:numPr>
        <w:ilvl w:val="0"/>
        <w:numId w:val="5"/>
      </w:numPr>
      <w:tabs>
        <w:tab w:val="left" w:pos="1134"/>
      </w:tabs>
      <w:wordWrap w:val="0"/>
      <w:topLinePunct/>
      <w:adjustRightInd w:val="0"/>
      <w:snapToGrid w:val="0"/>
      <w:spacing w:before="0" w:after="120" w:afterLines="50" w:line="360" w:lineRule="auto"/>
      <w:jc w:val="center"/>
    </w:pPr>
    <w:rPr>
      <w:rFonts w:ascii="黑体" w:hAnsi="黑体"/>
      <w:bCs w:val="0"/>
      <w:sz w:val="30"/>
      <w:szCs w:val="30"/>
    </w:rPr>
  </w:style>
  <w:style w:type="paragraph" w:customStyle="1" w:styleId="289">
    <w:name w:val="through-content"/>
    <w:basedOn w:val="1"/>
    <w:qFormat/>
    <w:uiPriority w:val="0"/>
    <w:pPr>
      <w:wordWrap w:val="0"/>
      <w:topLinePunct/>
      <w:spacing w:before="100" w:beforeAutospacing="1" w:after="100" w:afterAutospacing="1"/>
    </w:pPr>
    <w:rPr>
      <w:rFonts w:ascii="宋体" w:hAnsi="宋体" w:cs="宋体"/>
      <w:sz w:val="24"/>
    </w:rPr>
  </w:style>
  <w:style w:type="paragraph" w:customStyle="1" w:styleId="290">
    <w:name w:val="List ALPHA CAPS 1"/>
    <w:basedOn w:val="1"/>
    <w:next w:val="21"/>
    <w:qFormat/>
    <w:uiPriority w:val="0"/>
    <w:pPr>
      <w:numPr>
        <w:ilvl w:val="0"/>
        <w:numId w:val="6"/>
      </w:numPr>
      <w:tabs>
        <w:tab w:val="left" w:pos="22"/>
      </w:tabs>
      <w:wordWrap w:val="0"/>
      <w:topLinePunct/>
      <w:adjustRightInd w:val="0"/>
      <w:snapToGrid w:val="0"/>
      <w:spacing w:after="200" w:afterLines="50" w:line="288" w:lineRule="auto"/>
      <w:ind w:firstLine="200" w:firstLineChars="200"/>
      <w:jc w:val="both"/>
    </w:pPr>
    <w:rPr>
      <w:rFonts w:ascii="CG Times" w:hAnsi="CG Times"/>
      <w:sz w:val="22"/>
      <w:lang w:val="en-GB"/>
    </w:rPr>
  </w:style>
  <w:style w:type="paragraph" w:customStyle="1" w:styleId="291">
    <w:name w:val="TOC 标题2_0"/>
    <w:basedOn w:val="3"/>
    <w:next w:val="1"/>
    <w:qFormat/>
    <w:uiPriority w:val="0"/>
    <w:pPr>
      <w:widowControl w:val="0"/>
      <w:spacing w:before="260" w:after="260" w:line="413" w:lineRule="auto"/>
      <w:jc w:val="center"/>
    </w:pPr>
    <w:rPr>
      <w:rFonts w:ascii="宋体" w:hAnsi="宋体"/>
      <w:sz w:val="36"/>
      <w:lang w:val="zh-CN"/>
    </w:rPr>
  </w:style>
  <w:style w:type="paragraph" w:customStyle="1" w:styleId="292">
    <w:name w:val="专用标题4"/>
    <w:basedOn w:val="7"/>
    <w:next w:val="1"/>
    <w:qFormat/>
    <w:uiPriority w:val="0"/>
    <w:pPr>
      <w:numPr>
        <w:ilvl w:val="2"/>
        <w:numId w:val="7"/>
      </w:numPr>
      <w:adjustRightInd w:val="0"/>
      <w:snapToGrid w:val="0"/>
      <w:spacing w:before="0" w:after="0" w:line="240" w:lineRule="auto"/>
    </w:pPr>
    <w:rPr>
      <w:rFonts w:eastAsia="宋体"/>
      <w:b w:val="0"/>
      <w:bCs w:val="0"/>
      <w:kern w:val="2"/>
      <w:szCs w:val="22"/>
    </w:rPr>
  </w:style>
  <w:style w:type="paragraph" w:customStyle="1" w:styleId="293">
    <w:name w:val="LIST ALPHA CAPS 2"/>
    <w:basedOn w:val="1"/>
    <w:next w:val="44"/>
    <w:qFormat/>
    <w:uiPriority w:val="0"/>
    <w:pPr>
      <w:numPr>
        <w:ilvl w:val="1"/>
        <w:numId w:val="6"/>
      </w:numPr>
      <w:tabs>
        <w:tab w:val="left" w:pos="50"/>
      </w:tabs>
      <w:wordWrap w:val="0"/>
      <w:topLinePunct/>
      <w:adjustRightInd w:val="0"/>
      <w:snapToGrid w:val="0"/>
      <w:spacing w:after="200" w:afterLines="50" w:line="288" w:lineRule="auto"/>
      <w:ind w:firstLine="200" w:firstLineChars="200"/>
      <w:jc w:val="both"/>
    </w:pPr>
    <w:rPr>
      <w:rFonts w:ascii="CG Times" w:hAnsi="CG Times"/>
      <w:sz w:val="22"/>
      <w:lang w:val="en-GB"/>
    </w:rPr>
  </w:style>
  <w:style w:type="paragraph" w:customStyle="1" w:styleId="294">
    <w:name w:val="Title 4 Chinese"/>
    <w:qFormat/>
    <w:uiPriority w:val="0"/>
    <w:pPr>
      <w:ind w:left="1276"/>
    </w:pPr>
    <w:rPr>
      <w:rFonts w:ascii="Times New Roman" w:hAnsi="Times New Roman" w:eastAsia="宋体" w:cs="Times New Roman"/>
      <w:kern w:val="2"/>
      <w:sz w:val="24"/>
      <w:szCs w:val="24"/>
      <w:lang w:val="en-US" w:eastAsia="zh-CN" w:bidi="ar-SA"/>
    </w:rPr>
  </w:style>
  <w:style w:type="paragraph" w:customStyle="1" w:styleId="295">
    <w:name w:val="Title 4"/>
    <w:next w:val="294"/>
    <w:qFormat/>
    <w:uiPriority w:val="0"/>
    <w:pPr>
      <w:numPr>
        <w:ilvl w:val="0"/>
        <w:numId w:val="8"/>
      </w:numPr>
      <w:ind w:left="1276" w:hanging="562"/>
      <w:jc w:val="both"/>
    </w:pPr>
    <w:rPr>
      <w:rFonts w:ascii="Times New Roman" w:hAnsi="Times New Roman" w:eastAsia="宋体" w:cs="Times New Roman"/>
      <w:kern w:val="2"/>
      <w:sz w:val="24"/>
      <w:szCs w:val="24"/>
      <w:lang w:val="en-US" w:eastAsia="zh-CN" w:bidi="ar-SA"/>
    </w:rPr>
  </w:style>
  <w:style w:type="paragraph" w:customStyle="1" w:styleId="296">
    <w:name w:val="通用标题6"/>
    <w:basedOn w:val="1"/>
    <w:qFormat/>
    <w:uiPriority w:val="0"/>
    <w:pPr>
      <w:numPr>
        <w:ilvl w:val="4"/>
        <w:numId w:val="2"/>
      </w:numPr>
      <w:tabs>
        <w:tab w:val="left" w:pos="993"/>
      </w:tabs>
      <w:adjustRightInd w:val="0"/>
      <w:snapToGrid w:val="0"/>
      <w:spacing w:after="120" w:afterLines="50" w:line="360" w:lineRule="auto"/>
      <w:ind w:left="310"/>
      <w:jc w:val="both"/>
    </w:pPr>
    <w:rPr>
      <w:rFonts w:ascii="宋体" w:hAnsi="宋体"/>
      <w:sz w:val="24"/>
    </w:rPr>
  </w:style>
  <w:style w:type="paragraph" w:customStyle="1" w:styleId="297">
    <w:name w:val="样式3"/>
    <w:next w:val="1"/>
    <w:qFormat/>
    <w:uiPriority w:val="0"/>
    <w:pPr>
      <w:numPr>
        <w:ilvl w:val="2"/>
        <w:numId w:val="9"/>
      </w:numPr>
    </w:pPr>
    <w:rPr>
      <w:rFonts w:ascii="Times New Roman" w:hAnsi="Times New Roman" w:eastAsia="宋体" w:cs="Times New Roman"/>
      <w:bCs/>
      <w:kern w:val="2"/>
      <w:sz w:val="24"/>
      <w:szCs w:val="24"/>
      <w:lang w:val="en-US" w:eastAsia="zh-CN" w:bidi="ar-SA"/>
    </w:rPr>
  </w:style>
  <w:style w:type="paragraph" w:customStyle="1" w:styleId="298">
    <w:name w:val="专用标题3"/>
    <w:basedOn w:val="5"/>
    <w:qFormat/>
    <w:uiPriority w:val="0"/>
    <w:pPr>
      <w:numPr>
        <w:ilvl w:val="1"/>
        <w:numId w:val="7"/>
      </w:numPr>
      <w:wordWrap w:val="0"/>
      <w:topLinePunct/>
      <w:adjustRightInd w:val="0"/>
      <w:snapToGrid w:val="0"/>
      <w:spacing w:before="0" w:after="120" w:afterLines="50" w:line="360" w:lineRule="auto"/>
    </w:pPr>
    <w:rPr>
      <w:rFonts w:ascii="宋体" w:hAnsi="宋体"/>
      <w:bCs w:val="0"/>
      <w:sz w:val="24"/>
      <w:szCs w:val="20"/>
    </w:rPr>
  </w:style>
  <w:style w:type="paragraph" w:customStyle="1" w:styleId="299">
    <w:name w:val="通用标题5"/>
    <w:qFormat/>
    <w:uiPriority w:val="0"/>
    <w:pPr>
      <w:widowControl w:val="0"/>
      <w:numPr>
        <w:ilvl w:val="3"/>
        <w:numId w:val="2"/>
      </w:numPr>
      <w:tabs>
        <w:tab w:val="left" w:pos="1134"/>
      </w:tabs>
      <w:autoSpaceDE w:val="0"/>
      <w:autoSpaceDN w:val="0"/>
      <w:adjustRightInd w:val="0"/>
      <w:snapToGrid w:val="0"/>
      <w:spacing w:after="120" w:afterLines="50" w:line="360" w:lineRule="auto"/>
      <w:jc w:val="both"/>
    </w:pPr>
    <w:rPr>
      <w:rFonts w:ascii="宋体" w:hAnsi="宋体" w:eastAsia="宋体" w:cs="Times New Roman"/>
      <w:kern w:val="2"/>
      <w:sz w:val="24"/>
      <w:szCs w:val="21"/>
      <w:lang w:val="en-US" w:eastAsia="zh-CN" w:bidi="ar-SA"/>
    </w:rPr>
  </w:style>
  <w:style w:type="paragraph" w:customStyle="1" w:styleId="300">
    <w:name w:val="LIST ALPHA CAPS 3"/>
    <w:basedOn w:val="1"/>
    <w:next w:val="20"/>
    <w:qFormat/>
    <w:uiPriority w:val="0"/>
    <w:pPr>
      <w:numPr>
        <w:ilvl w:val="2"/>
        <w:numId w:val="6"/>
      </w:numPr>
      <w:tabs>
        <w:tab w:val="left" w:pos="68"/>
      </w:tabs>
      <w:wordWrap w:val="0"/>
      <w:topLinePunct/>
      <w:adjustRightInd w:val="0"/>
      <w:snapToGrid w:val="0"/>
      <w:spacing w:after="200" w:afterLines="50" w:line="288" w:lineRule="auto"/>
      <w:ind w:firstLine="200" w:firstLineChars="200"/>
      <w:jc w:val="both"/>
    </w:pPr>
    <w:rPr>
      <w:rFonts w:ascii="CG Times" w:hAnsi="CG Times"/>
      <w:sz w:val="22"/>
      <w:lang w:val="en-GB"/>
    </w:rPr>
  </w:style>
  <w:style w:type="paragraph" w:customStyle="1" w:styleId="301">
    <w:name w:val="通用标题2"/>
    <w:basedOn w:val="4"/>
    <w:next w:val="1"/>
    <w:qFormat/>
    <w:uiPriority w:val="0"/>
    <w:pPr>
      <w:keepNext w:val="0"/>
      <w:keepLines w:val="0"/>
      <w:numPr>
        <w:ilvl w:val="0"/>
        <w:numId w:val="4"/>
      </w:numPr>
      <w:tabs>
        <w:tab w:val="left" w:pos="993"/>
      </w:tabs>
      <w:wordWrap w:val="0"/>
      <w:topLinePunct/>
      <w:adjustRightInd w:val="0"/>
      <w:snapToGrid w:val="0"/>
      <w:spacing w:before="0" w:after="120" w:afterLines="50" w:line="360" w:lineRule="auto"/>
      <w:jc w:val="both"/>
    </w:pPr>
    <w:rPr>
      <w:rFonts w:ascii="黑体" w:hAnsi="黑体"/>
      <w:bCs w:val="0"/>
      <w:sz w:val="28"/>
      <w:szCs w:val="20"/>
    </w:rPr>
  </w:style>
  <w:style w:type="paragraph" w:customStyle="1" w:styleId="302">
    <w:name w:val="Main Title"/>
    <w:next w:val="1"/>
    <w:qFormat/>
    <w:uiPriority w:val="0"/>
    <w:pPr>
      <w:adjustRightInd w:val="0"/>
      <w:snapToGrid w:val="0"/>
      <w:spacing w:after="120" w:afterLines="50" w:line="360" w:lineRule="auto"/>
      <w:jc w:val="center"/>
    </w:pPr>
    <w:rPr>
      <w:rFonts w:ascii="黑体" w:hAnsi="黑体" w:eastAsia="黑体" w:cs="Times New Roman"/>
      <w:b/>
      <w:kern w:val="2"/>
      <w:sz w:val="36"/>
      <w:szCs w:val="22"/>
      <w:lang w:val="zh-CN" w:eastAsia="zh-CN" w:bidi="ar-SA"/>
    </w:rPr>
  </w:style>
  <w:style w:type="paragraph" w:customStyle="1" w:styleId="303">
    <w:name w:val="小标题"/>
    <w:qFormat/>
    <w:uiPriority w:val="0"/>
    <w:pPr>
      <w:tabs>
        <w:tab w:val="left" w:pos="993"/>
      </w:tabs>
      <w:adjustRightInd w:val="0"/>
      <w:snapToGrid w:val="0"/>
    </w:pPr>
    <w:rPr>
      <w:rFonts w:ascii="Times New Roman" w:hAnsi="Times New Roman" w:eastAsia="宋体" w:cs="Times New Roman"/>
      <w:bCs/>
      <w:kern w:val="2"/>
      <w:sz w:val="24"/>
      <w:szCs w:val="22"/>
      <w:lang w:val="en-US" w:eastAsia="zh-CN" w:bidi="ar-SA"/>
    </w:rPr>
  </w:style>
  <w:style w:type="paragraph" w:customStyle="1" w:styleId="304">
    <w:name w:val="附件标题1"/>
    <w:next w:val="1"/>
    <w:qFormat/>
    <w:uiPriority w:val="0"/>
    <w:pPr>
      <w:numPr>
        <w:ilvl w:val="0"/>
        <w:numId w:val="10"/>
      </w:numPr>
      <w:tabs>
        <w:tab w:val="left" w:pos="567"/>
      </w:tabs>
      <w:adjustRightInd w:val="0"/>
      <w:snapToGrid w:val="0"/>
      <w:spacing w:after="120" w:afterLines="50" w:line="312" w:lineRule="auto"/>
    </w:pPr>
    <w:rPr>
      <w:rFonts w:ascii="黑体" w:hAnsi="黑体" w:eastAsia="黑体" w:cs="Times New Roman"/>
      <w:b/>
      <w:kern w:val="2"/>
      <w:sz w:val="24"/>
      <w:szCs w:val="24"/>
      <w:lang w:val="en-US" w:eastAsia="zh-CN" w:bidi="ar-SA"/>
    </w:rPr>
  </w:style>
  <w:style w:type="paragraph" w:customStyle="1" w:styleId="305">
    <w:name w:val="通用标题3"/>
    <w:next w:val="1"/>
    <w:qFormat/>
    <w:uiPriority w:val="0"/>
    <w:pPr>
      <w:widowControl w:val="0"/>
      <w:numPr>
        <w:ilvl w:val="1"/>
        <w:numId w:val="2"/>
      </w:numPr>
      <w:tabs>
        <w:tab w:val="left" w:pos="851"/>
      </w:tabs>
      <w:adjustRightInd w:val="0"/>
      <w:snapToGrid w:val="0"/>
      <w:spacing w:after="120" w:afterLines="50" w:line="360" w:lineRule="auto"/>
      <w:jc w:val="both"/>
      <w:outlineLvl w:val="2"/>
    </w:pPr>
    <w:rPr>
      <w:rFonts w:ascii="黑体" w:hAnsi="黑体" w:eastAsia="黑体" w:cs="Times New Roman"/>
      <w:b/>
      <w:kern w:val="2"/>
      <w:sz w:val="24"/>
      <w:szCs w:val="24"/>
      <w:lang w:val="en-US" w:eastAsia="zh-CN" w:bidi="ar-SA"/>
    </w:rPr>
  </w:style>
  <w:style w:type="table" w:customStyle="1" w:styleId="306">
    <w:name w:val="网格型1"/>
    <w:basedOn w:val="56"/>
    <w:qFormat/>
    <w:uiPriority w:val="39"/>
    <w:rPr>
      <w:rFonts w:ascii="Calibri" w:hAnsi="Calibri" w:eastAsia="Times New Roman"/>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07">
    <w:name w:val="TableGrid"/>
    <w:qFormat/>
    <w:uiPriority w:val="0"/>
    <w:tblPr>
      <w:tblLayout w:type="fixed"/>
      <w:tblCellMar>
        <w:top w:w="0" w:type="dxa"/>
        <w:left w:w="0" w:type="dxa"/>
        <w:bottom w:w="0" w:type="dxa"/>
        <w:right w:w="0" w:type="dxa"/>
      </w:tblCellMar>
    </w:tblPr>
  </w:style>
  <w:style w:type="paragraph" w:customStyle="1" w:styleId="308">
    <w:name w:val="正文_3_0_0"/>
    <w:qFormat/>
    <w:uiPriority w:val="0"/>
    <w:pPr>
      <w:jc w:val="both"/>
    </w:pPr>
    <w:rPr>
      <w:rFonts w:ascii="等线" w:hAnsi="等线" w:eastAsia="等线" w:cs="Times New Roman"/>
      <w:sz w:val="21"/>
      <w:szCs w:val="21"/>
      <w:lang w:val="en-US" w:eastAsia="zh-CN" w:bidi="ar-SA"/>
    </w:rPr>
  </w:style>
  <w:style w:type="character" w:customStyle="1" w:styleId="309">
    <w:name w:val="正文缩进 字符"/>
    <w:link w:val="6"/>
    <w:qFormat/>
    <w:uiPriority w:val="0"/>
  </w:style>
  <w:style w:type="character" w:customStyle="1" w:styleId="310">
    <w:name w:val="_Style 3"/>
    <w:qFormat/>
    <w:uiPriority w:val="19"/>
    <w:rPr>
      <w:i/>
      <w:iCs/>
      <w:color w:val="808080"/>
    </w:rPr>
  </w:style>
  <w:style w:type="character" w:customStyle="1" w:styleId="311">
    <w:name w:val="未处理的提及4"/>
    <w:basedOn w:val="48"/>
    <w:unhideWhenUsed/>
    <w:qFormat/>
    <w:uiPriority w:val="99"/>
    <w:rPr>
      <w:color w:val="605E5C"/>
      <w:shd w:val="clear" w:color="auto" w:fill="E1DFDD"/>
    </w:rPr>
  </w:style>
  <w:style w:type="paragraph" w:customStyle="1" w:styleId="312">
    <w:name w:val="列表段落11"/>
    <w:basedOn w:val="1"/>
    <w:qFormat/>
    <w:uiPriority w:val="0"/>
    <w:pPr>
      <w:widowControl w:val="0"/>
      <w:ind w:firstLine="420" w:firstLineChars="200"/>
      <w:jc w:val="both"/>
    </w:pPr>
    <w:rPr>
      <w:rFonts w:ascii="Calibri" w:hAnsi="Calibri"/>
      <w:kern w:val="2"/>
      <w:sz w:val="21"/>
      <w:szCs w:val="22"/>
    </w:rPr>
  </w:style>
  <w:style w:type="character" w:customStyle="1" w:styleId="313">
    <w:name w:val="15"/>
    <w:qFormat/>
    <w:uiPriority w:val="0"/>
    <w:rPr>
      <w:rFonts w:hint="default" w:ascii="Times New Roman" w:hAnsi="Times New Roman" w:cs="Times New Roman"/>
      <w:color w:val="464445"/>
      <w:u w:val="none"/>
    </w:rPr>
  </w:style>
  <w:style w:type="paragraph" w:customStyle="1" w:styleId="314">
    <w:name w:val="zhang"/>
    <w:basedOn w:val="1"/>
    <w:qFormat/>
    <w:uiPriority w:val="0"/>
    <w:pPr>
      <w:spacing w:before="100" w:beforeAutospacing="1" w:after="100" w:afterAutospacing="1"/>
    </w:pPr>
    <w:rPr>
      <w:rFonts w:ascii="宋体" w:hAnsi="宋体" w:cs="宋体"/>
      <w:b/>
      <w:bCs/>
      <w:smallCaps/>
      <w:color w:val="000000"/>
    </w:rPr>
  </w:style>
  <w:style w:type="paragraph" w:customStyle="1" w:styleId="315">
    <w:name w:val="正文首行缩进 21"/>
    <w:basedOn w:val="1"/>
    <w:next w:val="1"/>
    <w:qFormat/>
    <w:uiPriority w:val="0"/>
    <w:pPr>
      <w:spacing w:after="120"/>
      <w:ind w:left="420" w:leftChars="200" w:firstLine="420" w:firstLineChars="200"/>
    </w:pPr>
    <w:rPr>
      <w:sz w:val="28"/>
    </w:rPr>
  </w:style>
  <w:style w:type="paragraph" w:customStyle="1" w:styleId="316">
    <w:name w:val="AONormal"/>
    <w:qFormat/>
    <w:uiPriority w:val="0"/>
    <w:pPr>
      <w:spacing w:line="260" w:lineRule="atLeast"/>
      <w:jc w:val="both"/>
    </w:pPr>
    <w:rPr>
      <w:rFonts w:ascii="Times New Roman" w:hAnsi="Times New Roman" w:eastAsia="宋体" w:cs="Times New Roman"/>
      <w:sz w:val="22"/>
      <w:lang w:val="en-GB"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3CFC40-004F-4953-9102-7A44D1187F65}">
  <ds:schemaRefs/>
</ds:datastoreItem>
</file>

<file path=docProps/app.xml><?xml version="1.0" encoding="utf-8"?>
<Properties xmlns="http://schemas.openxmlformats.org/officeDocument/2006/extended-properties" xmlns:vt="http://schemas.openxmlformats.org/officeDocument/2006/docPropsVTypes">
  <Template>Normal</Template>
  <Pages>56</Pages>
  <Words>28284</Words>
  <Characters>30500</Characters>
  <Lines>1</Lines>
  <Paragraphs>1</Paragraphs>
  <TotalTime>0</TotalTime>
  <ScaleCrop>false</ScaleCrop>
  <LinksUpToDate>false</LinksUpToDate>
  <CharactersWithSpaces>32267</CharactersWithSpaces>
  <Application>WPS Office_10.8.0.5950_F1E327BC-269C-435d-A152-05C5408002CA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2024-09-23T03:09:00Z</dcterms:created>
  <dc:creator>liu'y'h</dc:creator>
  <cp:lastModifiedBy>fzj</cp:lastModifiedBy>
  <cp:lastPrinted>2022-11-21T06:00:00Z</cp:lastPrinted>
  <dcterms:modified xsi:type="dcterms:W3CDTF">2026-03-23T09:14:43Z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E1C72BA994294A828760E45483CA8DDA_13</vt:lpwstr>
  </property>
  <property fmtid="{D5CDD505-2E9C-101B-9397-08002B2CF9AE}" pid="3" name="KSOProductBuildVer">
    <vt:lpwstr>2052-10.8.0.5950</vt:lpwstr>
  </property>
  <property fmtid="{D5CDD505-2E9C-101B-9397-08002B2CF9AE}" pid="4" name="KSOTemplateDocerSaveRecord">
    <vt:lpwstr>eyJoZGlkIjoiNGE4YzE5OGFiZjhmZDNhZjFhZTAxMzhjMTE4OGE5MjQiLCJ1c2VySWQiOiI2MTkyOTUwNDIifQ==</vt:lpwstr>
  </property>
</Properties>
</file>