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b/>
          <w:color w:val="auto"/>
          <w:sz w:val="36"/>
          <w:szCs w:val="36"/>
          <w:highlight w:val="none"/>
        </w:rPr>
      </w:pPr>
      <w:r>
        <w:rPr>
          <w:rFonts w:hint="eastAsia" w:ascii="宋体" w:hAnsi="宋体" w:eastAsia="宋体" w:cs="宋体"/>
          <w:b/>
          <w:bCs w:val="0"/>
          <w:color w:val="auto"/>
          <w:sz w:val="36"/>
          <w:szCs w:val="36"/>
          <w:highlight w:val="none"/>
          <w:lang w:eastAsia="zh-CN"/>
        </w:rPr>
        <w:t>曲靖三宝至昆明清水高速公路（昆明段）项目交安、机电工程监理</w:t>
      </w:r>
      <w:r>
        <w:rPr>
          <w:rFonts w:hint="eastAsia" w:ascii="宋体" w:hAnsi="宋体" w:eastAsia="宋体" w:cs="宋体"/>
          <w:b/>
          <w:color w:val="auto"/>
          <w:sz w:val="36"/>
          <w:szCs w:val="36"/>
          <w:highlight w:val="none"/>
        </w:rPr>
        <w:t>招标公告</w:t>
      </w:r>
    </w:p>
    <w:p>
      <w:pPr>
        <w:pStyle w:val="3"/>
        <w:keepNext w:val="0"/>
        <w:keepLines w:val="0"/>
        <w:pageBreakBefore w:val="0"/>
        <w:widowControl w:val="0"/>
        <w:kinsoku/>
        <w:wordWrap w:val="0"/>
        <w:overflowPunct/>
        <w:topLinePunct w:val="0"/>
        <w:autoSpaceDE/>
        <w:autoSpaceDN/>
        <w:bidi w:val="0"/>
        <w:adjustRightInd w:val="0"/>
        <w:snapToGrid w:val="0"/>
        <w:spacing w:before="100" w:after="100" w:line="360" w:lineRule="auto"/>
        <w:textAlignment w:val="baseline"/>
        <w:outlineLvl w:val="2"/>
        <w:rPr>
          <w:rFonts w:hint="eastAsia" w:ascii="宋体" w:hAnsi="宋体" w:eastAsia="宋体" w:cs="宋体"/>
          <w:bCs/>
          <w:color w:val="auto"/>
          <w:sz w:val="24"/>
          <w:szCs w:val="24"/>
          <w:highlight w:val="none"/>
        </w:rPr>
      </w:pPr>
      <w:bookmarkStart w:id="0" w:name="_Toc1743"/>
      <w:bookmarkStart w:id="1" w:name="_Toc5654"/>
      <w:bookmarkStart w:id="2" w:name="_Toc7777"/>
      <w:bookmarkStart w:id="3" w:name="_Toc9909"/>
      <w:bookmarkStart w:id="4" w:name="_Toc19694"/>
      <w:bookmarkStart w:id="5" w:name="_Toc17726"/>
      <w:bookmarkStart w:id="6" w:name="_Toc27609"/>
      <w:r>
        <w:rPr>
          <w:rFonts w:hint="eastAsia" w:ascii="宋体" w:hAnsi="宋体" w:eastAsia="宋体" w:cs="宋体"/>
          <w:bCs/>
          <w:color w:val="auto"/>
          <w:sz w:val="24"/>
          <w:szCs w:val="24"/>
          <w:highlight w:val="none"/>
        </w:rPr>
        <w:t>1.招标条件</w:t>
      </w:r>
      <w:bookmarkEnd w:id="0"/>
      <w:bookmarkEnd w:id="1"/>
      <w:bookmarkEnd w:id="2"/>
      <w:bookmarkEnd w:id="3"/>
      <w:bookmarkEnd w:id="4"/>
      <w:bookmarkEnd w:id="5"/>
      <w:bookmarkEnd w:id="6"/>
    </w:p>
    <w:p>
      <w:pPr>
        <w:spacing w:line="360" w:lineRule="auto"/>
        <w:ind w:firstLine="482" w:firstLineChars="200"/>
        <w:jc w:val="left"/>
        <w:rPr>
          <w:rFonts w:hint="eastAsia" w:ascii="宋体" w:hAnsi="宋体" w:eastAsia="宋体" w:cs="宋体"/>
          <w:i w:val="0"/>
          <w:iCs w:val="0"/>
          <w:snapToGrid w:val="0"/>
          <w:color w:val="auto"/>
          <w:kern w:val="0"/>
          <w:sz w:val="24"/>
          <w:szCs w:val="24"/>
          <w:highlight w:val="none"/>
        </w:rPr>
      </w:pPr>
      <w:bookmarkStart w:id="7" w:name="_Toc22576"/>
      <w:bookmarkStart w:id="8" w:name="_Toc360"/>
      <w:bookmarkStart w:id="9" w:name="_Toc10889"/>
      <w:bookmarkStart w:id="10" w:name="_Toc25436"/>
      <w:bookmarkStart w:id="11" w:name="_Toc7888"/>
      <w:bookmarkStart w:id="12" w:name="_Toc432170101"/>
      <w:r>
        <w:rPr>
          <w:rFonts w:hint="eastAsia" w:ascii="宋体" w:hAnsi="宋体" w:eastAsia="宋体" w:cs="宋体"/>
          <w:b/>
          <w:color w:val="auto"/>
          <w:sz w:val="24"/>
          <w:szCs w:val="24"/>
          <w:highlight w:val="none"/>
          <w:u w:val="none"/>
          <w:lang w:eastAsia="zh-CN"/>
        </w:rPr>
        <w:t>曲靖三宝至昆明清水高速公路工程（昆明段）</w:t>
      </w:r>
      <w:r>
        <w:rPr>
          <w:rFonts w:hint="eastAsia" w:ascii="宋体" w:hAnsi="宋体" w:eastAsia="宋体" w:cs="宋体"/>
          <w:b/>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已由</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b/>
          <w:bCs/>
          <w:color w:val="auto"/>
          <w:sz w:val="24"/>
          <w:szCs w:val="24"/>
          <w:highlight w:val="none"/>
          <w:u w:val="none"/>
        </w:rPr>
        <w:t>云南省发展和改革委员会</w:t>
      </w:r>
      <w:r>
        <w:rPr>
          <w:rFonts w:hint="eastAsia" w:ascii="宋体" w:hAnsi="宋体" w:eastAsia="宋体" w:cs="宋体"/>
          <w:b/>
          <w:bCs/>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以</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b/>
          <w:color w:val="auto"/>
          <w:sz w:val="24"/>
          <w:szCs w:val="24"/>
          <w:highlight w:val="none"/>
          <w:u w:val="none"/>
          <w:lang w:eastAsia="zh-CN"/>
        </w:rPr>
        <w:t>《云南省发展和改革委员会关于曲靖三宝至昆明清水高速公路工程可行性研究报告的批复》</w:t>
      </w:r>
      <w:r>
        <w:rPr>
          <w:rFonts w:hint="eastAsia" w:ascii="宋体" w:hAnsi="宋体" w:eastAsia="宋体" w:cs="宋体"/>
          <w:b/>
          <w:color w:val="auto"/>
          <w:sz w:val="24"/>
          <w:szCs w:val="24"/>
          <w:highlight w:val="none"/>
          <w:u w:val="none"/>
        </w:rPr>
        <w:t>（云发改基础[2019]229号文</w:t>
      </w:r>
      <w:r>
        <w:rPr>
          <w:rFonts w:hint="eastAsia" w:ascii="宋体" w:hAnsi="宋体" w:eastAsia="宋体" w:cs="宋体"/>
          <w:b/>
          <w:color w:val="auto"/>
          <w:sz w:val="24"/>
          <w:szCs w:val="24"/>
          <w:highlight w:val="none"/>
          <w:u w:val="none"/>
          <w:lang w:eastAsia="zh-CN"/>
        </w:rPr>
        <w:t>批准建设，</w:t>
      </w:r>
      <w:r>
        <w:rPr>
          <w:rFonts w:hint="eastAsia" w:ascii="宋体" w:hAnsi="宋体" w:eastAsia="宋体" w:cs="宋体"/>
          <w:i w:val="0"/>
          <w:iCs w:val="0"/>
          <w:snapToGrid w:val="0"/>
          <w:color w:val="auto"/>
          <w:kern w:val="0"/>
          <w:sz w:val="24"/>
          <w:szCs w:val="24"/>
          <w:highlight w:val="none"/>
        </w:rPr>
        <w:t>初步设计已由云南省交通运输厅</w:t>
      </w:r>
      <w:r>
        <w:rPr>
          <w:rFonts w:hint="eastAsia" w:ascii="宋体" w:hAnsi="宋体" w:eastAsia="宋体" w:cs="宋体"/>
          <w:color w:val="auto"/>
          <w:sz w:val="24"/>
          <w:szCs w:val="24"/>
          <w:highlight w:val="none"/>
          <w:u w:val="none"/>
        </w:rPr>
        <w:t>以</w:t>
      </w:r>
      <w:r>
        <w:rPr>
          <w:rFonts w:hint="eastAsia" w:ascii="宋体" w:hAnsi="宋体" w:eastAsia="宋体" w:cs="宋体"/>
          <w:i w:val="0"/>
          <w:iCs w:val="0"/>
          <w:snapToGrid w:val="0"/>
          <w:color w:val="auto"/>
          <w:kern w:val="0"/>
          <w:sz w:val="24"/>
          <w:szCs w:val="24"/>
          <w:highlight w:val="none"/>
        </w:rPr>
        <w:t>《云南省交通运输厅关于曲靖三宝至昆明清水高速公路（昆明段）初步设计的批复》(云交审批便〔2019〕56号)批准。项目业主为昆明市交通投资有限责任公司、昆明三清高速公路有限公司，建设资金来自政府出资、社会投资人出资，项目已具备招标条件，现对该项目的</w:t>
      </w:r>
      <w:r>
        <w:rPr>
          <w:rFonts w:hint="eastAsia" w:ascii="宋体" w:hAnsi="宋体" w:eastAsia="宋体" w:cs="宋体"/>
          <w:i w:val="0"/>
          <w:iCs w:val="0"/>
          <w:snapToGrid w:val="0"/>
          <w:color w:val="auto"/>
          <w:kern w:val="0"/>
          <w:sz w:val="24"/>
          <w:szCs w:val="24"/>
          <w:highlight w:val="none"/>
          <w:lang w:val="en-US" w:eastAsia="zh-CN"/>
        </w:rPr>
        <w:t>房建、绿化</w:t>
      </w:r>
      <w:r>
        <w:rPr>
          <w:rFonts w:hint="eastAsia" w:ascii="宋体" w:hAnsi="宋体" w:eastAsia="宋体" w:cs="宋体"/>
          <w:i w:val="0"/>
          <w:iCs w:val="0"/>
          <w:snapToGrid w:val="0"/>
          <w:color w:val="auto"/>
          <w:kern w:val="0"/>
          <w:sz w:val="24"/>
          <w:szCs w:val="24"/>
          <w:highlight w:val="none"/>
          <w:lang w:eastAsia="zh-CN"/>
        </w:rPr>
        <w:t>工程</w:t>
      </w:r>
      <w:r>
        <w:rPr>
          <w:rFonts w:hint="eastAsia" w:ascii="宋体" w:hAnsi="宋体" w:eastAsia="宋体" w:cs="宋体"/>
          <w:i w:val="0"/>
          <w:iCs w:val="0"/>
          <w:snapToGrid w:val="0"/>
          <w:color w:val="auto"/>
          <w:kern w:val="0"/>
          <w:sz w:val="24"/>
          <w:szCs w:val="24"/>
          <w:highlight w:val="none"/>
        </w:rPr>
        <w:t>监理进行</w:t>
      </w:r>
      <w:r>
        <w:rPr>
          <w:rFonts w:hint="eastAsia" w:ascii="宋体" w:hAnsi="宋体" w:eastAsia="宋体" w:cs="宋体"/>
          <w:i w:val="0"/>
          <w:iCs w:val="0"/>
          <w:color w:val="auto"/>
          <w:sz w:val="24"/>
          <w:szCs w:val="24"/>
          <w:highlight w:val="none"/>
        </w:rPr>
        <w:t>公开招标</w:t>
      </w:r>
      <w:r>
        <w:rPr>
          <w:rFonts w:hint="eastAsia" w:ascii="宋体" w:hAnsi="宋体" w:eastAsia="宋体" w:cs="宋体"/>
          <w:i w:val="0"/>
          <w:iCs w:val="0"/>
          <w:snapToGrid w:val="0"/>
          <w:color w:val="auto"/>
          <w:kern w:val="0"/>
          <w:sz w:val="24"/>
          <w:szCs w:val="24"/>
          <w:highlight w:val="none"/>
        </w:rPr>
        <w:t>。</w:t>
      </w:r>
    </w:p>
    <w:p>
      <w:pPr>
        <w:pStyle w:val="3"/>
        <w:keepNext w:val="0"/>
        <w:keepLines w:val="0"/>
        <w:pageBreakBefore w:val="0"/>
        <w:widowControl w:val="0"/>
        <w:kinsoku/>
        <w:wordWrap w:val="0"/>
        <w:overflowPunct/>
        <w:topLinePunct w:val="0"/>
        <w:autoSpaceDE/>
        <w:autoSpaceDN/>
        <w:bidi w:val="0"/>
        <w:adjustRightInd w:val="0"/>
        <w:snapToGrid w:val="0"/>
        <w:spacing w:before="100" w:after="100" w:line="360" w:lineRule="auto"/>
        <w:textAlignment w:val="baseline"/>
        <w:outlineLvl w:val="2"/>
        <w:rPr>
          <w:rFonts w:hint="eastAsia" w:ascii="宋体" w:hAnsi="宋体" w:eastAsia="宋体" w:cs="宋体"/>
          <w:b/>
          <w:bCs/>
          <w:color w:val="auto"/>
          <w:sz w:val="24"/>
          <w:szCs w:val="24"/>
          <w:highlight w:val="none"/>
        </w:rPr>
      </w:pPr>
      <w:bookmarkStart w:id="13" w:name="_Toc19238"/>
      <w:bookmarkStart w:id="14" w:name="_Toc24879"/>
      <w:r>
        <w:rPr>
          <w:rFonts w:hint="eastAsia" w:ascii="宋体" w:hAnsi="宋体" w:eastAsia="宋体" w:cs="宋体"/>
          <w:b/>
          <w:bCs/>
          <w:color w:val="auto"/>
          <w:sz w:val="24"/>
          <w:szCs w:val="24"/>
          <w:highlight w:val="none"/>
        </w:rPr>
        <w:t>2.项目概况及招标范围</w:t>
      </w:r>
      <w:bookmarkEnd w:id="7"/>
      <w:bookmarkEnd w:id="8"/>
      <w:bookmarkEnd w:id="9"/>
      <w:bookmarkEnd w:id="10"/>
      <w:bookmarkEnd w:id="11"/>
      <w:bookmarkEnd w:id="12"/>
      <w:bookmarkEnd w:id="13"/>
      <w:bookmarkEnd w:id="14"/>
    </w:p>
    <w:p>
      <w:pPr>
        <w:keepNext w:val="0"/>
        <w:keepLines w:val="0"/>
        <w:pageBreakBefore w:val="0"/>
        <w:widowControl w:val="0"/>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2.1建设地点：</w:t>
      </w:r>
      <w:r>
        <w:rPr>
          <w:rFonts w:hint="eastAsia" w:ascii="宋体" w:hAnsi="宋体" w:eastAsia="宋体" w:cs="宋体"/>
          <w:color w:val="auto"/>
          <w:sz w:val="24"/>
          <w:szCs w:val="24"/>
          <w:highlight w:val="none"/>
        </w:rPr>
        <w:t>本项目位于云南省昆明市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途经经开区、宜良县、阳宗海、空港区</w:t>
      </w:r>
      <w:r>
        <w:rPr>
          <w:rFonts w:hint="eastAsia" w:ascii="宋体" w:hAnsi="宋体" w:eastAsia="宋体" w:cs="宋体"/>
          <w:color w:val="auto"/>
          <w:sz w:val="24"/>
          <w:szCs w:val="24"/>
          <w:highlight w:val="none"/>
        </w:rPr>
        <w:t>。</w:t>
      </w:r>
    </w:p>
    <w:p>
      <w:pPr>
        <w:bidi w:val="0"/>
        <w:spacing w:line="360" w:lineRule="auto"/>
        <w:ind w:firstLine="482" w:firstLineChars="200"/>
        <w:jc w:val="left"/>
        <w:rPr>
          <w:rFonts w:hint="eastAsia" w:ascii="宋体" w:hAnsi="宋体" w:cs="宋体"/>
          <w:color w:val="auto"/>
          <w:sz w:val="24"/>
          <w:szCs w:val="24"/>
          <w:highlight w:val="none"/>
          <w:lang w:val="en-US" w:eastAsia="zh-CN"/>
        </w:rPr>
      </w:pPr>
      <w:r>
        <w:rPr>
          <w:rFonts w:hint="eastAsia" w:ascii="宋体" w:hAnsi="宋体" w:eastAsia="宋体" w:cs="宋体"/>
          <w:b/>
          <w:color w:val="auto"/>
          <w:sz w:val="24"/>
          <w:szCs w:val="24"/>
          <w:highlight w:val="none"/>
        </w:rPr>
        <w:t>2.2项目概况</w:t>
      </w:r>
      <w:r>
        <w:rPr>
          <w:rFonts w:hint="eastAsia" w:ascii="宋体" w:hAnsi="宋体" w:eastAsia="宋体" w:cs="宋体"/>
          <w:b/>
          <w:color w:val="auto"/>
          <w:sz w:val="24"/>
          <w:szCs w:val="24"/>
          <w:highlight w:val="none"/>
          <w:lang w:eastAsia="zh-CN"/>
        </w:rPr>
        <w:t>：</w:t>
      </w:r>
      <w:r>
        <w:rPr>
          <w:rFonts w:hint="eastAsia" w:ascii="宋体" w:hAnsi="宋体" w:eastAsia="宋体" w:cs="宋体"/>
          <w:color w:val="auto"/>
          <w:sz w:val="24"/>
          <w:szCs w:val="24"/>
          <w:highlight w:val="none"/>
          <w:lang w:val="en-US" w:eastAsia="zh-CN"/>
        </w:rPr>
        <w:t>项目东接曲靖市（三宝）东过境线，于宜良县与昆明东南绕城高速相交，止于昆明经开区清水接新昆嵩高速。采用双向6车道高速公路标准，设计速度100公里/小时，路基宽度33.5米。批复概算总投资1438851万元，初步设计批复路线全长59.530公里，主线桥梁22座，总长约12081m，其中：特大桥2座、大桥19座、中桥1座；隧道7座，总长约22104.5m，其中：特长隧道3座，长隧道3座，中隧道1座；互通式立交交叉6处、涵洞87道、天桥16座、通道37道，桥隧比63.24%。综合服务区2处、高速公路管理分中心1处、养护中心1处、匝道收费站4处、隧道管理所1处</w:t>
      </w:r>
      <w:r>
        <w:rPr>
          <w:rFonts w:hint="eastAsia" w:ascii="宋体" w:hAnsi="宋体" w:cs="宋体"/>
          <w:color w:val="auto"/>
          <w:sz w:val="24"/>
          <w:szCs w:val="24"/>
          <w:highlight w:val="none"/>
          <w:lang w:val="en-US" w:eastAsia="zh-CN"/>
        </w:rPr>
        <w:t>。</w:t>
      </w:r>
    </w:p>
    <w:p>
      <w:pPr>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其中交安工程建安工程费约为9282万元，机电工程建安工程费约为43548万元，最终建设规模、建安工程费以实际批复为准。</w:t>
      </w:r>
    </w:p>
    <w:p>
      <w:pPr>
        <w:keepNext w:val="0"/>
        <w:keepLines w:val="0"/>
        <w:pageBreakBefore w:val="0"/>
        <w:widowControl w:val="0"/>
        <w:kinsoku/>
        <w:wordWrap/>
        <w:overflowPunct/>
        <w:topLinePunct w:val="0"/>
        <w:autoSpaceDE/>
        <w:autoSpaceDN/>
        <w:bidi w:val="0"/>
        <w:spacing w:line="360" w:lineRule="auto"/>
        <w:ind w:firstLine="422" w:firstLineChars="175"/>
        <w:jc w:val="left"/>
        <w:textAlignment w:val="auto"/>
        <w:rPr>
          <w:rFonts w:hint="eastAsia" w:ascii="宋体" w:hAnsi="宋体" w:eastAsia="宋体" w:cs="宋体"/>
          <w:color w:val="auto"/>
          <w:highlight w:val="none"/>
          <w:lang w:val="en-US" w:eastAsia="zh-CN"/>
        </w:rPr>
      </w:pPr>
      <w:r>
        <w:rPr>
          <w:rFonts w:hint="eastAsia" w:ascii="宋体" w:hAnsi="宋体" w:eastAsia="宋体" w:cs="宋体"/>
          <w:b/>
          <w:color w:val="auto"/>
          <w:sz w:val="24"/>
          <w:szCs w:val="24"/>
          <w:highlight w:val="none"/>
        </w:rPr>
        <w:t>2.3计划监理服务期</w:t>
      </w:r>
      <w:r>
        <w:rPr>
          <w:rFonts w:hint="eastAsia" w:ascii="宋体" w:hAnsi="宋体" w:eastAsia="宋体" w:cs="宋体"/>
          <w:color w:val="auto"/>
          <w:sz w:val="24"/>
          <w:szCs w:val="24"/>
          <w:highlight w:val="none"/>
        </w:rPr>
        <w:t>：</w:t>
      </w:r>
      <w:r>
        <w:rPr>
          <w:rFonts w:hint="eastAsia" w:ascii="宋体" w:hAnsi="宋体" w:eastAsia="宋体" w:cs="宋体"/>
          <w:bCs/>
          <w:snapToGrid w:val="0"/>
          <w:color w:val="auto"/>
          <w:kern w:val="0"/>
          <w:sz w:val="24"/>
          <w:highlight w:val="none"/>
          <w:lang w:val="en-US" w:eastAsia="zh-CN" w:bidi="ar-SA"/>
        </w:rPr>
        <w:t>自监理合同签订之日起至竣工验收合格止，计划监理服务期为32个月，其中，计划工期为8个月，缺陷责任期为24个月。</w:t>
      </w:r>
    </w:p>
    <w:p>
      <w:pPr>
        <w:bidi w:val="0"/>
        <w:spacing w:line="360" w:lineRule="auto"/>
        <w:ind w:firstLine="482" w:firstLineChars="200"/>
        <w:jc w:val="left"/>
        <w:rPr>
          <w:rFonts w:hint="eastAsia" w:ascii="宋体" w:hAnsi="宋体" w:eastAsia="宋体" w:cs="宋体"/>
          <w:i w:val="0"/>
          <w:iCs w:val="0"/>
          <w:snapToGrid w:val="0"/>
          <w:color w:val="auto"/>
          <w:kern w:val="0"/>
          <w:sz w:val="24"/>
          <w:szCs w:val="24"/>
          <w:highlight w:val="none"/>
          <w:u w:val="single"/>
          <w:lang w:val="en-US" w:eastAsia="zh-CN"/>
        </w:rPr>
      </w:pPr>
      <w:r>
        <w:rPr>
          <w:rFonts w:hint="eastAsia" w:ascii="宋体" w:hAnsi="宋体" w:eastAsia="宋体" w:cs="宋体"/>
          <w:b/>
          <w:color w:val="auto"/>
          <w:sz w:val="24"/>
          <w:szCs w:val="24"/>
          <w:highlight w:val="none"/>
        </w:rPr>
        <w:t>2.4招标范围：</w:t>
      </w:r>
      <w:bookmarkStart w:id="15" w:name="_Toc22712"/>
      <w:bookmarkStart w:id="16" w:name="_Toc432170102"/>
      <w:bookmarkStart w:id="17" w:name="_Toc1838"/>
      <w:bookmarkStart w:id="18" w:name="_Toc19993"/>
      <w:r>
        <w:rPr>
          <w:rFonts w:hint="eastAsia" w:ascii="宋体" w:hAnsi="宋体" w:eastAsia="宋体" w:cs="宋体"/>
          <w:bCs/>
          <w:color w:val="auto"/>
          <w:sz w:val="24"/>
          <w:szCs w:val="24"/>
          <w:highlight w:val="none"/>
        </w:rPr>
        <w:t>负责完成全线</w:t>
      </w:r>
      <w:r>
        <w:rPr>
          <w:rFonts w:hint="eastAsia" w:ascii="宋体" w:hAnsi="宋体" w:eastAsia="宋体" w:cs="宋体"/>
          <w:bCs/>
          <w:color w:val="auto"/>
          <w:sz w:val="24"/>
          <w:szCs w:val="24"/>
          <w:highlight w:val="none"/>
          <w:lang w:val="en-US" w:eastAsia="zh-CN"/>
        </w:rPr>
        <w:t>交通安全设施、机电</w:t>
      </w:r>
      <w:r>
        <w:rPr>
          <w:rFonts w:hint="eastAsia" w:ascii="宋体" w:hAnsi="宋体" w:eastAsia="宋体" w:cs="宋体"/>
          <w:bCs/>
          <w:color w:val="auto"/>
          <w:sz w:val="24"/>
          <w:szCs w:val="24"/>
          <w:highlight w:val="none"/>
        </w:rPr>
        <w:t>工程施工阶段（含施工准备阶段）</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交工验收阶段、</w:t>
      </w:r>
      <w:r>
        <w:rPr>
          <w:rFonts w:hint="eastAsia" w:ascii="宋体" w:hAnsi="宋体" w:eastAsia="宋体" w:cs="宋体"/>
          <w:bCs/>
          <w:color w:val="auto"/>
          <w:sz w:val="24"/>
          <w:szCs w:val="24"/>
          <w:highlight w:val="none"/>
        </w:rPr>
        <w:t>缺陷责任期</w:t>
      </w:r>
      <w:r>
        <w:rPr>
          <w:rFonts w:hint="eastAsia" w:ascii="宋体" w:hAnsi="宋体" w:eastAsia="宋体" w:cs="宋体"/>
          <w:bCs/>
          <w:color w:val="auto"/>
          <w:sz w:val="24"/>
          <w:szCs w:val="24"/>
          <w:highlight w:val="none"/>
          <w:lang w:val="en-US" w:eastAsia="zh-CN"/>
        </w:rPr>
        <w:t>阶段</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竣工验收阶段、保修期阶段</w:t>
      </w:r>
      <w:r>
        <w:rPr>
          <w:rFonts w:hint="eastAsia" w:ascii="宋体" w:hAnsi="宋体" w:eastAsia="宋体" w:cs="宋体"/>
          <w:bCs/>
          <w:color w:val="auto"/>
          <w:sz w:val="24"/>
          <w:szCs w:val="24"/>
          <w:highlight w:val="none"/>
        </w:rPr>
        <w:t>的全部监理服务工作</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包含但不限于</w:t>
      </w:r>
      <w:r>
        <w:rPr>
          <w:rFonts w:hint="eastAsia" w:ascii="宋体" w:hAnsi="宋体" w:eastAsia="宋体" w:cs="宋体"/>
          <w:snapToGrid w:val="0"/>
          <w:color w:val="auto"/>
          <w:kern w:val="0"/>
          <w:sz w:val="24"/>
          <w:szCs w:val="24"/>
          <w:highlight w:val="none"/>
          <w:lang w:val="en-US" w:eastAsia="zh-CN" w:bidi="ar"/>
        </w:rPr>
        <w:t>标志、标线、护栏、</w:t>
      </w:r>
      <w:r>
        <w:rPr>
          <w:rFonts w:hint="eastAsia" w:ascii="宋体" w:hAnsi="宋体" w:eastAsia="宋体" w:cs="宋体"/>
          <w:bCs/>
          <w:snapToGrid w:val="0"/>
          <w:color w:val="auto"/>
          <w:kern w:val="0"/>
          <w:sz w:val="24"/>
          <w:szCs w:val="24"/>
          <w:highlight w:val="none"/>
          <w:lang w:val="en-US" w:eastAsia="zh-CN" w:bidi="ar-SA"/>
        </w:rPr>
        <w:t>隔离栏、防护网、</w:t>
      </w:r>
      <w:r>
        <w:rPr>
          <w:rFonts w:hint="eastAsia" w:ascii="宋体" w:hAnsi="宋体" w:eastAsia="宋体" w:cs="宋体"/>
          <w:snapToGrid w:val="0"/>
          <w:color w:val="auto"/>
          <w:kern w:val="0"/>
          <w:sz w:val="24"/>
          <w:szCs w:val="24"/>
          <w:highlight w:val="none"/>
          <w:lang w:val="en-US" w:eastAsia="zh-CN" w:bidi="ar"/>
        </w:rPr>
        <w:t>轮廓标、</w:t>
      </w:r>
      <w:r>
        <w:rPr>
          <w:rFonts w:hint="eastAsia" w:ascii="宋体" w:hAnsi="宋体" w:eastAsia="宋体" w:cs="宋体"/>
          <w:bCs/>
          <w:snapToGrid w:val="0"/>
          <w:color w:val="auto"/>
          <w:kern w:val="0"/>
          <w:sz w:val="24"/>
          <w:szCs w:val="24"/>
          <w:highlight w:val="none"/>
          <w:lang w:val="en-US" w:eastAsia="zh-CN" w:bidi="ar-SA"/>
        </w:rPr>
        <w:t>防眩设施、里程桩、界碑、路钮（突起路标）</w:t>
      </w:r>
      <w:r>
        <w:rPr>
          <w:rFonts w:hint="eastAsia" w:ascii="宋体" w:hAnsi="宋体" w:eastAsia="宋体" w:cs="宋体"/>
          <w:snapToGrid w:val="0"/>
          <w:color w:val="auto"/>
          <w:kern w:val="0"/>
          <w:sz w:val="24"/>
          <w:szCs w:val="24"/>
          <w:highlight w:val="none"/>
          <w:lang w:val="en-US" w:eastAsia="zh-CN" w:bidi="ar"/>
        </w:rPr>
        <w:t>等交通安全设施</w:t>
      </w:r>
      <w:r>
        <w:rPr>
          <w:rFonts w:hint="eastAsia" w:ascii="宋体" w:hAnsi="宋体" w:eastAsia="宋体" w:cs="宋体"/>
          <w:bCs/>
          <w:snapToGrid w:val="0"/>
          <w:color w:val="auto"/>
          <w:kern w:val="0"/>
          <w:sz w:val="24"/>
          <w:szCs w:val="24"/>
          <w:highlight w:val="none"/>
          <w:lang w:val="en-US" w:eastAsia="zh-CN" w:bidi="ar-SA"/>
        </w:rPr>
        <w:t>的监理服务；沿线预埋管线、监控系统、收费系统、通信系统、消防系统、供配电及照明系统等工程的材料设备采购、施工及安装的</w:t>
      </w:r>
      <w:r>
        <w:rPr>
          <w:rFonts w:hint="eastAsia" w:ascii="宋体" w:hAnsi="宋体" w:eastAsia="宋体" w:cs="宋体"/>
          <w:snapToGrid w:val="0"/>
          <w:color w:val="auto"/>
          <w:kern w:val="0"/>
          <w:sz w:val="24"/>
          <w:szCs w:val="24"/>
          <w:highlight w:val="none"/>
          <w:lang w:val="en-US" w:eastAsia="zh-CN" w:bidi="ar"/>
        </w:rPr>
        <w:t>监理服务</w:t>
      </w:r>
      <w:r>
        <w:rPr>
          <w:rFonts w:hint="eastAsia" w:ascii="宋体" w:hAnsi="宋体" w:eastAsia="宋体" w:cs="宋体"/>
          <w:bCs/>
          <w:snapToGrid w:val="0"/>
          <w:color w:val="auto"/>
          <w:kern w:val="0"/>
          <w:sz w:val="24"/>
          <w:szCs w:val="24"/>
          <w:highlight w:val="none"/>
          <w:lang w:val="en-US" w:eastAsia="zh-CN" w:bidi="ar-SA"/>
        </w:rPr>
        <w:t>；隧道机电（隧道通风照明、供配电）工程、隧道消防工程（含隧道电消防和水消防）、智慧高速工程等机电设施</w:t>
      </w:r>
      <w:r>
        <w:rPr>
          <w:rFonts w:hint="eastAsia" w:ascii="宋体" w:hAnsi="宋体" w:eastAsia="宋体" w:cs="宋体"/>
          <w:snapToGrid w:val="0"/>
          <w:color w:val="auto"/>
          <w:kern w:val="0"/>
          <w:sz w:val="24"/>
          <w:szCs w:val="24"/>
          <w:highlight w:val="none"/>
          <w:lang w:val="en-US" w:eastAsia="zh-CN" w:bidi="ar"/>
        </w:rPr>
        <w:t>的监理服务。</w:t>
      </w:r>
      <w:r>
        <w:rPr>
          <w:rFonts w:hint="eastAsia" w:ascii="宋体" w:hAnsi="宋体" w:eastAsia="宋体" w:cs="宋体"/>
          <w:bCs/>
          <w:color w:val="auto"/>
          <w:sz w:val="24"/>
          <w:szCs w:val="24"/>
          <w:highlight w:val="none"/>
        </w:rPr>
        <w:t>主要</w:t>
      </w:r>
      <w:r>
        <w:rPr>
          <w:rFonts w:hint="eastAsia" w:ascii="宋体" w:hAnsi="宋体" w:eastAsia="宋体" w:cs="宋体"/>
          <w:bCs/>
          <w:color w:val="auto"/>
          <w:sz w:val="24"/>
          <w:szCs w:val="24"/>
          <w:highlight w:val="none"/>
          <w:lang w:val="en-US" w:eastAsia="zh-CN"/>
        </w:rPr>
        <w:t>监理</w:t>
      </w:r>
      <w:r>
        <w:rPr>
          <w:rFonts w:hint="eastAsia" w:ascii="宋体" w:hAnsi="宋体" w:eastAsia="宋体" w:cs="宋体"/>
          <w:bCs/>
          <w:color w:val="auto"/>
          <w:sz w:val="24"/>
          <w:szCs w:val="24"/>
          <w:highlight w:val="none"/>
        </w:rPr>
        <w:t>工作包含但不限于</w:t>
      </w:r>
      <w:r>
        <w:rPr>
          <w:rFonts w:hint="eastAsia" w:ascii="宋体" w:hAnsi="宋体" w:eastAsia="宋体" w:cs="宋体"/>
          <w:bCs/>
          <w:color w:val="auto"/>
          <w:sz w:val="24"/>
          <w:szCs w:val="24"/>
          <w:highlight w:val="none"/>
          <w:lang w:eastAsia="zh-CN"/>
        </w:rPr>
        <w:t>：</w:t>
      </w:r>
      <w:r>
        <w:rPr>
          <w:rFonts w:hint="eastAsia" w:ascii="宋体" w:hAnsi="宋体" w:eastAsia="宋体" w:cs="宋体"/>
          <w:bCs/>
          <w:snapToGrid w:val="0"/>
          <w:color w:val="auto"/>
          <w:kern w:val="0"/>
          <w:sz w:val="24"/>
          <w:szCs w:val="20"/>
          <w:highlight w:val="none"/>
          <w:u w:val="none"/>
          <w:lang w:val="en-US" w:eastAsia="zh-CN" w:bidi="ar-SA"/>
        </w:rPr>
        <w:t>负责施工质量控制、安全控制、环保控制、进度控制、投资控制，合同管理、资料管理、变更管理，组织协调等工作。</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
          <w:bCs w:val="0"/>
          <w:color w:val="auto"/>
          <w:sz w:val="24"/>
          <w:highlight w:val="none"/>
          <w:lang w:val="en-US" w:eastAsia="zh-CN"/>
        </w:rPr>
      </w:pPr>
      <w:r>
        <w:rPr>
          <w:rFonts w:hint="eastAsia" w:ascii="宋体" w:hAnsi="宋体" w:eastAsia="宋体" w:cs="宋体"/>
          <w:color w:val="auto"/>
          <w:sz w:val="24"/>
          <w:highlight w:val="none"/>
          <w:lang w:val="en-US" w:eastAsia="zh-CN"/>
        </w:rPr>
        <w:t>2.5标段划分：</w:t>
      </w:r>
      <w:r>
        <w:rPr>
          <w:rFonts w:hint="eastAsia" w:ascii="宋体" w:hAnsi="宋体" w:eastAsia="宋体" w:cs="宋体"/>
          <w:bCs/>
          <w:color w:val="auto"/>
          <w:sz w:val="24"/>
          <w:highlight w:val="none"/>
        </w:rPr>
        <w:t>本项目</w:t>
      </w:r>
      <w:r>
        <w:rPr>
          <w:rFonts w:hint="eastAsia" w:ascii="宋体" w:hAnsi="宋体" w:eastAsia="宋体" w:cs="宋体"/>
          <w:bCs/>
          <w:color w:val="auto"/>
          <w:sz w:val="24"/>
          <w:highlight w:val="none"/>
          <w:lang w:val="en-US" w:eastAsia="zh-CN"/>
        </w:rPr>
        <w:t>划分为1个标段。</w:t>
      </w:r>
    </w:p>
    <w:p>
      <w:pPr>
        <w:pStyle w:val="4"/>
        <w:spacing w:line="360" w:lineRule="auto"/>
        <w:ind w:firstLine="482" w:firstLineChars="200"/>
        <w:jc w:val="left"/>
        <w:rPr>
          <w:rFonts w:hint="eastAsia" w:ascii="宋体" w:hAnsi="宋体" w:eastAsia="宋体" w:cs="宋体"/>
          <w:bCs/>
          <w:color w:val="auto"/>
          <w:kern w:val="2"/>
          <w:sz w:val="24"/>
          <w:highlight w:val="none"/>
          <w:lang w:val="en-US" w:eastAsia="zh-CN" w:bidi="ar-SA"/>
        </w:rPr>
      </w:pPr>
      <w:r>
        <w:rPr>
          <w:rFonts w:hint="eastAsia" w:ascii="宋体" w:hAnsi="宋体" w:eastAsia="宋体" w:cs="宋体"/>
          <w:b/>
          <w:bCs w:val="0"/>
          <w:color w:val="auto"/>
          <w:sz w:val="24"/>
          <w:highlight w:val="none"/>
          <w:lang w:val="en-US" w:eastAsia="zh-CN"/>
        </w:rPr>
        <w:t>2.6</w:t>
      </w:r>
      <w:r>
        <w:rPr>
          <w:rFonts w:hint="eastAsia" w:ascii="宋体" w:hAnsi="宋体" w:eastAsia="宋体" w:cs="宋体"/>
          <w:b/>
          <w:bCs w:val="0"/>
          <w:color w:val="auto"/>
          <w:sz w:val="24"/>
          <w:highlight w:val="none"/>
        </w:rPr>
        <w:t>质量</w:t>
      </w:r>
      <w:r>
        <w:rPr>
          <w:rFonts w:hint="eastAsia" w:ascii="宋体" w:hAnsi="宋体" w:eastAsia="宋体" w:cs="宋体"/>
          <w:b/>
          <w:bCs w:val="0"/>
          <w:color w:val="auto"/>
          <w:sz w:val="24"/>
          <w:highlight w:val="none"/>
          <w:lang w:val="en-US" w:eastAsia="zh-CN"/>
        </w:rPr>
        <w:t>标准</w:t>
      </w:r>
      <w:r>
        <w:rPr>
          <w:rFonts w:hint="eastAsia" w:ascii="宋体" w:hAnsi="宋体" w:eastAsia="宋体" w:cs="宋体"/>
          <w:b/>
          <w:bCs w:val="0"/>
          <w:color w:val="auto"/>
          <w:sz w:val="24"/>
          <w:highlight w:val="none"/>
        </w:rPr>
        <w:t>：</w:t>
      </w:r>
      <w:r>
        <w:rPr>
          <w:rFonts w:hint="eastAsia" w:ascii="宋体" w:hAnsi="宋体" w:eastAsia="宋体" w:cs="宋体"/>
          <w:bCs/>
          <w:color w:val="auto"/>
          <w:kern w:val="2"/>
          <w:sz w:val="24"/>
          <w:highlight w:val="none"/>
          <w:lang w:val="en-US" w:eastAsia="zh-CN" w:bidi="ar-SA"/>
        </w:rPr>
        <w:t>执行《公路工程质量检验评定标准》（JTGF80/1-2017）、《公路工程质量检验评定标准 第二册 机电工程》（JTG 2182—2020)、《建设工程质量管理条例》、《建设工程安全生产管理条例》及国家、云南省现行工程建设强制性标准，确保所监理的工程一次验收合格。</w:t>
      </w:r>
    </w:p>
    <w:p>
      <w:pPr>
        <w:pStyle w:val="3"/>
        <w:keepNext w:val="0"/>
        <w:keepLines w:val="0"/>
        <w:pageBreakBefore w:val="0"/>
        <w:widowControl w:val="0"/>
        <w:kinsoku/>
        <w:wordWrap w:val="0"/>
        <w:overflowPunct/>
        <w:topLinePunct w:val="0"/>
        <w:autoSpaceDE/>
        <w:autoSpaceDN/>
        <w:bidi w:val="0"/>
        <w:adjustRightInd w:val="0"/>
        <w:snapToGrid w:val="0"/>
        <w:spacing w:before="100" w:after="100" w:line="360" w:lineRule="auto"/>
        <w:textAlignment w:val="baseline"/>
        <w:outlineLvl w:val="2"/>
        <w:rPr>
          <w:rFonts w:hint="eastAsia" w:ascii="宋体" w:hAnsi="宋体" w:eastAsia="宋体" w:cs="宋体"/>
          <w:b/>
          <w:bCs/>
          <w:color w:val="auto"/>
          <w:sz w:val="24"/>
          <w:szCs w:val="24"/>
          <w:highlight w:val="none"/>
        </w:rPr>
      </w:pPr>
      <w:bookmarkStart w:id="19" w:name="_Toc29503"/>
      <w:bookmarkStart w:id="20" w:name="_Toc31657"/>
      <w:bookmarkStart w:id="21" w:name="_Toc22897"/>
      <w:bookmarkStart w:id="22" w:name="_Toc9965"/>
      <w:r>
        <w:rPr>
          <w:rFonts w:hint="eastAsia" w:ascii="宋体" w:hAnsi="宋体" w:eastAsia="宋体" w:cs="宋体"/>
          <w:b/>
          <w:bCs/>
          <w:color w:val="auto"/>
          <w:sz w:val="24"/>
          <w:szCs w:val="24"/>
          <w:highlight w:val="none"/>
        </w:rPr>
        <w:t>3.投标人资格要求</w:t>
      </w:r>
      <w:bookmarkEnd w:id="15"/>
      <w:bookmarkEnd w:id="16"/>
      <w:bookmarkEnd w:id="17"/>
      <w:bookmarkEnd w:id="18"/>
      <w:bookmarkEnd w:id="19"/>
      <w:bookmarkEnd w:id="20"/>
      <w:bookmarkEnd w:id="21"/>
      <w:bookmarkEnd w:id="22"/>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3.1</w:t>
      </w:r>
      <w:r>
        <w:rPr>
          <w:rFonts w:hint="eastAsia" w:ascii="宋体" w:hAnsi="宋体" w:eastAsia="宋体" w:cs="宋体"/>
          <w:b/>
          <w:bCs/>
          <w:color w:val="auto"/>
          <w:sz w:val="24"/>
          <w:highlight w:val="none"/>
        </w:rPr>
        <w:t>资质要求：</w:t>
      </w:r>
    </w:p>
    <w:p>
      <w:pPr>
        <w:pStyle w:val="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0" w:leftChars="0" w:firstLine="480" w:firstLineChars="200"/>
        <w:jc w:val="left"/>
        <w:textAlignment w:val="auto"/>
        <w:rPr>
          <w:rFonts w:hint="eastAsia" w:ascii="宋体" w:hAnsi="宋体" w:eastAsia="宋体" w:cs="宋体"/>
          <w:snapToGrid w:val="0"/>
          <w:color w:val="auto"/>
          <w:kern w:val="0"/>
          <w:sz w:val="24"/>
          <w:highlight w:val="none"/>
          <w:lang w:val="en-US" w:eastAsia="zh-CN" w:bidi="ar-SA"/>
        </w:rPr>
      </w:pPr>
      <w:r>
        <w:rPr>
          <w:rFonts w:hint="eastAsia" w:ascii="宋体" w:hAnsi="宋体" w:eastAsia="宋体" w:cs="宋体"/>
          <w:snapToGrid w:val="0"/>
          <w:color w:val="auto"/>
          <w:kern w:val="0"/>
          <w:sz w:val="24"/>
          <w:highlight w:val="none"/>
          <w:lang w:val="en-US" w:eastAsia="zh-CN" w:bidi="ar-SA"/>
        </w:rPr>
        <w:t>3.1.1投标人应具备经行政管理部门登记注册的独立企业（事业）法人或其他组织，具备有效的营业执照。</w:t>
      </w:r>
    </w:p>
    <w:p>
      <w:pPr>
        <w:pStyle w:val="8"/>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0" w:leftChars="0" w:firstLine="480" w:firstLineChars="200"/>
        <w:jc w:val="left"/>
        <w:textAlignment w:val="auto"/>
        <w:rPr>
          <w:rFonts w:hint="eastAsia" w:ascii="宋体" w:hAnsi="宋体" w:eastAsia="宋体" w:cs="宋体"/>
          <w:color w:val="auto"/>
          <w:kern w:val="2"/>
          <w:sz w:val="24"/>
          <w:highlight w:val="none"/>
          <w:shd w:val="clear" w:color="auto" w:fill="auto"/>
          <w:lang w:val="en-US" w:eastAsia="zh-CN" w:bidi="ar-SA"/>
        </w:rPr>
      </w:pPr>
      <w:r>
        <w:rPr>
          <w:rFonts w:hint="eastAsia" w:ascii="宋体" w:hAnsi="宋体" w:eastAsia="宋体" w:cs="宋体"/>
          <w:color w:val="auto"/>
          <w:kern w:val="2"/>
          <w:sz w:val="24"/>
          <w:highlight w:val="none"/>
          <w:shd w:val="clear" w:color="auto" w:fill="auto"/>
          <w:lang w:val="en-US" w:eastAsia="zh-CN" w:bidi="ar-SA"/>
        </w:rPr>
        <w:t>3.1.2同时具备交通运输部颁发的公路工程监理甲级资质及机电专项监理资质。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kern w:val="2"/>
          <w:sz w:val="24"/>
          <w:highlight w:val="none"/>
          <w:shd w:val="clear" w:color="auto" w:fill="auto"/>
          <w:lang w:val="en-US" w:eastAsia="zh-CN" w:bidi="ar-SA"/>
        </w:rPr>
        <w:t>投标人应进入交通运输部“全国公路建设市场信用信息管理系统(https://glxy.mot.gov.cn)”中的公路工程施工监理资质</w:t>
      </w:r>
      <w:r>
        <w:rPr>
          <w:rFonts w:hint="eastAsia" w:ascii="宋体" w:hAnsi="宋体" w:eastAsia="宋体" w:cs="宋体"/>
          <w:color w:val="auto"/>
          <w:sz w:val="24"/>
          <w:highlight w:val="none"/>
          <w:shd w:val="clear" w:color="auto" w:fill="auto"/>
        </w:rPr>
        <w:t>企业名录</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lang w:val="en-US" w:eastAsia="zh-CN"/>
        </w:rPr>
        <w:t>由投标人提供截图证明材料</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,且投标人名称和资质与该名录中的相应企业名称和资质完全一致</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若出现公司名称已变更而系统上暂未进行变更的情况需附变更证明材料。</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3.2业绩要求：</w:t>
      </w:r>
    </w:p>
    <w:p>
      <w:pPr>
        <w:pStyle w:val="8"/>
        <w:numPr>
          <w:ilvl w:val="0"/>
          <w:numId w:val="0"/>
        </w:num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投标单位须同时具备机电及</w:t>
      </w:r>
      <w:r>
        <w:rPr>
          <w:rFonts w:hint="eastAsia" w:ascii="宋体" w:hAnsi="宋体" w:eastAsia="宋体" w:cs="宋体"/>
          <w:color w:val="auto"/>
          <w:sz w:val="24"/>
          <w:szCs w:val="24"/>
          <w:highlight w:val="none"/>
        </w:rPr>
        <w:t>交安</w:t>
      </w:r>
      <w:r>
        <w:rPr>
          <w:rFonts w:hint="eastAsia" w:ascii="宋体" w:hAnsi="宋体" w:eastAsia="宋体" w:cs="宋体"/>
          <w:color w:val="auto"/>
          <w:sz w:val="24"/>
          <w:szCs w:val="24"/>
          <w:highlight w:val="none"/>
          <w:lang w:val="en-US" w:eastAsia="zh-CN"/>
        </w:rPr>
        <w:t>工程两项业绩，（1）机电工程业绩要求为：</w:t>
      </w:r>
      <w:r>
        <w:rPr>
          <w:rFonts w:hint="eastAsia" w:ascii="宋体" w:hAnsi="宋体" w:eastAsia="宋体" w:cs="宋体"/>
          <w:color w:val="auto"/>
          <w:sz w:val="24"/>
          <w:szCs w:val="24"/>
          <w:highlight w:val="none"/>
        </w:rPr>
        <w:t>2017年至今（以交工验收时间为准）</w:t>
      </w:r>
      <w:r>
        <w:rPr>
          <w:rFonts w:hint="eastAsia" w:ascii="宋体" w:hAnsi="宋体" w:eastAsia="宋体" w:cs="宋体"/>
          <w:color w:val="auto"/>
          <w:sz w:val="24"/>
          <w:szCs w:val="24"/>
          <w:highlight w:val="none"/>
          <w:lang w:val="en-US" w:eastAsia="zh-CN"/>
        </w:rPr>
        <w:t>完成过</w:t>
      </w:r>
      <w:r>
        <w:rPr>
          <w:rFonts w:hint="eastAsia" w:ascii="宋体" w:hAnsi="宋体" w:eastAsia="宋体" w:cs="宋体"/>
          <w:color w:val="auto"/>
          <w:sz w:val="24"/>
          <w:szCs w:val="24"/>
          <w:highlight w:val="none"/>
        </w:rPr>
        <w:t>1项单项监理服务费合同价不少于</w:t>
      </w:r>
      <w:r>
        <w:rPr>
          <w:rFonts w:hint="eastAsia" w:ascii="宋体" w:hAnsi="宋体" w:eastAsia="宋体" w:cs="宋体"/>
          <w:color w:val="auto"/>
          <w:sz w:val="24"/>
          <w:szCs w:val="24"/>
          <w:highlight w:val="none"/>
          <w:lang w:val="en-US" w:eastAsia="zh-CN"/>
        </w:rPr>
        <w:t>350</w:t>
      </w:r>
      <w:r>
        <w:rPr>
          <w:rFonts w:hint="eastAsia" w:ascii="宋体" w:hAnsi="宋体" w:eastAsia="宋体" w:cs="宋体"/>
          <w:color w:val="auto"/>
          <w:sz w:val="24"/>
          <w:szCs w:val="24"/>
          <w:highlight w:val="none"/>
        </w:rPr>
        <w:t>万元的高速公路机电施工监理业绩</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1项单项建安费不少于3</w:t>
      </w:r>
      <w:r>
        <w:rPr>
          <w:rFonts w:hint="eastAsia" w:ascii="宋体" w:hAnsi="宋体" w:eastAsia="宋体" w:cs="宋体"/>
          <w:color w:val="auto"/>
          <w:sz w:val="24"/>
          <w:szCs w:val="24"/>
          <w:highlight w:val="none"/>
          <w:lang w:val="en-US" w:eastAsia="zh-CN"/>
        </w:rPr>
        <w:t>5000</w:t>
      </w:r>
      <w:r>
        <w:rPr>
          <w:rFonts w:hint="eastAsia" w:ascii="宋体" w:hAnsi="宋体" w:eastAsia="宋体" w:cs="宋体"/>
          <w:color w:val="auto"/>
          <w:sz w:val="24"/>
          <w:szCs w:val="24"/>
          <w:highlight w:val="none"/>
        </w:rPr>
        <w:t>万元的高速公路机电施工监理业绩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交安工程业绩要求为：</w:t>
      </w:r>
      <w:r>
        <w:rPr>
          <w:rFonts w:hint="eastAsia" w:ascii="宋体" w:hAnsi="宋体" w:eastAsia="宋体" w:cs="宋体"/>
          <w:color w:val="auto"/>
          <w:sz w:val="24"/>
          <w:szCs w:val="24"/>
          <w:highlight w:val="none"/>
        </w:rPr>
        <w:t>2017年至今（以交工验收时间为准）</w:t>
      </w:r>
      <w:r>
        <w:rPr>
          <w:rFonts w:hint="eastAsia" w:ascii="宋体" w:hAnsi="宋体" w:eastAsia="宋体" w:cs="宋体"/>
          <w:color w:val="auto"/>
          <w:sz w:val="24"/>
          <w:szCs w:val="24"/>
          <w:highlight w:val="none"/>
          <w:lang w:val="en-US" w:eastAsia="zh-CN"/>
        </w:rPr>
        <w:t>完成过</w:t>
      </w:r>
      <w:r>
        <w:rPr>
          <w:rFonts w:hint="eastAsia" w:ascii="宋体" w:hAnsi="宋体" w:eastAsia="宋体" w:cs="宋体"/>
          <w:color w:val="auto"/>
          <w:sz w:val="24"/>
          <w:szCs w:val="24"/>
          <w:highlight w:val="none"/>
        </w:rPr>
        <w:t>1项不少于70万元的高速公路交安施工监理业绩</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1项单项建安费不少于</w:t>
      </w:r>
      <w:r>
        <w:rPr>
          <w:rFonts w:hint="eastAsia" w:ascii="宋体" w:hAnsi="宋体" w:eastAsia="宋体" w:cs="宋体"/>
          <w:color w:val="auto"/>
          <w:sz w:val="24"/>
          <w:szCs w:val="24"/>
          <w:highlight w:val="none"/>
          <w:lang w:val="en-US" w:eastAsia="zh-CN"/>
        </w:rPr>
        <w:t>7500</w:t>
      </w:r>
      <w:r>
        <w:rPr>
          <w:rFonts w:hint="eastAsia" w:ascii="宋体" w:hAnsi="宋体" w:eastAsia="宋体" w:cs="宋体"/>
          <w:color w:val="auto"/>
          <w:sz w:val="24"/>
          <w:szCs w:val="24"/>
          <w:highlight w:val="none"/>
        </w:rPr>
        <w:t>万元的高速公路交安施工监理业绩</w:t>
      </w:r>
      <w:r>
        <w:rPr>
          <w:rFonts w:hint="eastAsia" w:ascii="宋体" w:hAnsi="宋体" w:eastAsia="宋体" w:cs="宋体"/>
          <w:color w:val="auto"/>
          <w:sz w:val="24"/>
          <w:szCs w:val="24"/>
          <w:highlight w:val="none"/>
          <w:lang w:eastAsia="zh-CN"/>
        </w:rPr>
        <w:t>。</w:t>
      </w:r>
    </w:p>
    <w:p>
      <w:pPr>
        <w:pStyle w:val="8"/>
        <w:numPr>
          <w:ilvl w:val="0"/>
          <w:numId w:val="0"/>
        </w:numPr>
        <w:spacing w:line="360" w:lineRule="auto"/>
        <w:ind w:firstLine="482" w:firstLineChars="200"/>
        <w:jc w:val="left"/>
        <w:rPr>
          <w:rFonts w:hint="eastAsia" w:ascii="宋体" w:hAnsi="宋体" w:eastAsia="宋体" w:cs="宋体"/>
          <w:b w:val="0"/>
          <w:bCs w:val="0"/>
          <w:snapToGrid w:val="0"/>
          <w:color w:val="auto"/>
          <w:kern w:val="0"/>
          <w:sz w:val="24"/>
          <w:szCs w:val="24"/>
          <w:highlight w:val="none"/>
          <w:u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业绩证明材料须提供交工验收证书、中标通知书或合同协议书或业主证明等有效证明材料，且证明材料能体现工作内容、规模（</w:t>
      </w:r>
      <w:r>
        <w:rPr>
          <w:rFonts w:hint="eastAsia" w:ascii="宋体" w:hAnsi="宋体" w:eastAsia="宋体" w:cs="宋体"/>
          <w:b/>
          <w:bCs/>
          <w:color w:val="auto"/>
          <w:sz w:val="24"/>
          <w:szCs w:val="24"/>
          <w:highlight w:val="none"/>
          <w:lang w:val="en-US" w:eastAsia="zh-CN"/>
        </w:rPr>
        <w:t>建安工程费或</w:t>
      </w:r>
      <w:r>
        <w:rPr>
          <w:rFonts w:hint="eastAsia" w:ascii="宋体" w:hAnsi="宋体" w:eastAsia="宋体" w:cs="宋体"/>
          <w:b/>
          <w:bCs/>
          <w:color w:val="auto"/>
          <w:sz w:val="24"/>
          <w:szCs w:val="24"/>
          <w:highlight w:val="none"/>
        </w:rPr>
        <w:t>合同金额）</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3.3财务要求</w:t>
      </w:r>
      <w:r>
        <w:rPr>
          <w:rFonts w:hint="eastAsia" w:ascii="宋体" w:hAnsi="宋体" w:eastAsia="宋体" w:cs="宋体"/>
          <w:color w:val="auto"/>
          <w:sz w:val="24"/>
          <w:highlight w:val="none"/>
        </w:rPr>
        <w:t>：</w:t>
      </w:r>
    </w:p>
    <w:p>
      <w:pPr>
        <w:pStyle w:val="8"/>
        <w:numPr>
          <w:ilvl w:val="0"/>
          <w:numId w:val="0"/>
        </w:numPr>
        <w:adjustRightInd w:val="0"/>
        <w:spacing w:line="360" w:lineRule="auto"/>
        <w:ind w:firstLine="480" w:firstLineChars="200"/>
        <w:rPr>
          <w:rFonts w:hint="eastAsia" w:ascii="宋体" w:hAnsi="宋体" w:eastAsia="宋体" w:cs="宋体"/>
          <w:i w:val="0"/>
          <w:iCs w:val="0"/>
          <w:snapToGrid w:val="0"/>
          <w:color w:val="auto"/>
          <w:kern w:val="0"/>
          <w:sz w:val="24"/>
          <w:szCs w:val="24"/>
          <w:highlight w:val="none"/>
          <w:u w:val="none"/>
          <w:lang w:eastAsia="zh-CN"/>
        </w:rPr>
      </w:pPr>
      <w:r>
        <w:rPr>
          <w:rFonts w:hint="eastAsia" w:ascii="宋体" w:hAnsi="宋体" w:eastAsia="宋体" w:cs="宋体"/>
          <w:i w:val="0"/>
          <w:iCs w:val="0"/>
          <w:snapToGrid w:val="0"/>
          <w:color w:val="auto"/>
          <w:kern w:val="0"/>
          <w:sz w:val="24"/>
          <w:szCs w:val="24"/>
          <w:highlight w:val="none"/>
          <w:u w:val="none"/>
        </w:rPr>
        <w:t>投标人财务状况良好，未处于财产被接管、冻结和破产状态。提供近三年</w:t>
      </w: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rPr>
        <w:t>201</w:t>
      </w:r>
      <w:r>
        <w:rPr>
          <w:rFonts w:hint="eastAsia" w:ascii="宋体" w:hAnsi="宋体" w:eastAsia="宋体" w:cs="宋体"/>
          <w:i w:val="0"/>
          <w:iCs w:val="0"/>
          <w:snapToGrid w:val="0"/>
          <w:color w:val="auto"/>
          <w:kern w:val="0"/>
          <w:sz w:val="24"/>
          <w:szCs w:val="24"/>
          <w:highlight w:val="none"/>
          <w:u w:val="none"/>
          <w:lang w:val="en-US" w:eastAsia="zh-CN"/>
        </w:rPr>
        <w:t>9</w:t>
      </w:r>
      <w:r>
        <w:rPr>
          <w:rFonts w:hint="eastAsia" w:ascii="宋体" w:hAnsi="宋体" w:eastAsia="宋体" w:cs="宋体"/>
          <w:i w:val="0"/>
          <w:iCs w:val="0"/>
          <w:snapToGrid w:val="0"/>
          <w:color w:val="auto"/>
          <w:kern w:val="0"/>
          <w:sz w:val="24"/>
          <w:szCs w:val="24"/>
          <w:highlight w:val="none"/>
          <w:u w:val="none"/>
        </w:rPr>
        <w:t>年至20</w:t>
      </w:r>
      <w:r>
        <w:rPr>
          <w:rFonts w:hint="eastAsia" w:ascii="宋体" w:hAnsi="宋体" w:eastAsia="宋体" w:cs="宋体"/>
          <w:i w:val="0"/>
          <w:iCs w:val="0"/>
          <w:snapToGrid w:val="0"/>
          <w:color w:val="auto"/>
          <w:kern w:val="0"/>
          <w:sz w:val="24"/>
          <w:szCs w:val="24"/>
          <w:highlight w:val="none"/>
          <w:u w:val="none"/>
          <w:lang w:val="en-US" w:eastAsia="zh-CN"/>
        </w:rPr>
        <w:t>21</w:t>
      </w:r>
      <w:r>
        <w:rPr>
          <w:rFonts w:hint="eastAsia" w:ascii="宋体" w:hAnsi="宋体" w:eastAsia="宋体" w:cs="宋体"/>
          <w:i w:val="0"/>
          <w:iCs w:val="0"/>
          <w:snapToGrid w:val="0"/>
          <w:color w:val="auto"/>
          <w:kern w:val="0"/>
          <w:sz w:val="24"/>
          <w:szCs w:val="24"/>
          <w:highlight w:val="none"/>
          <w:u w:val="none"/>
        </w:rPr>
        <w:t>年）经审计的财务报表及审计报告</w:t>
      </w:r>
      <w:r>
        <w:rPr>
          <w:rFonts w:hint="eastAsia" w:ascii="宋体" w:hAnsi="宋体" w:eastAsia="宋体" w:cs="宋体"/>
          <w:color w:val="auto"/>
          <w:sz w:val="24"/>
          <w:szCs w:val="24"/>
          <w:highlight w:val="none"/>
          <w:u w:val="none"/>
        </w:rPr>
        <w:t>（若成立时间在20</w:t>
      </w:r>
      <w:r>
        <w:rPr>
          <w:rFonts w:hint="eastAsia" w:ascii="宋体" w:hAnsi="宋体" w:eastAsia="宋体" w:cs="宋体"/>
          <w:color w:val="auto"/>
          <w:sz w:val="24"/>
          <w:szCs w:val="24"/>
          <w:highlight w:val="none"/>
          <w:u w:val="none"/>
          <w:lang w:val="en-US" w:eastAsia="zh-CN"/>
        </w:rPr>
        <w:t>19</w:t>
      </w:r>
      <w:r>
        <w:rPr>
          <w:rFonts w:hint="eastAsia" w:ascii="宋体" w:hAnsi="宋体" w:eastAsia="宋体" w:cs="宋体"/>
          <w:color w:val="auto"/>
          <w:sz w:val="24"/>
          <w:szCs w:val="24"/>
          <w:highlight w:val="none"/>
          <w:u w:val="none"/>
        </w:rPr>
        <w:t>年或以后的，提供成立至今经审计的财务报告及报表）</w:t>
      </w:r>
      <w:r>
        <w:rPr>
          <w:rFonts w:hint="eastAsia" w:ascii="宋体" w:hAnsi="宋体" w:eastAsia="宋体" w:cs="宋体"/>
          <w:i w:val="0"/>
          <w:iCs w:val="0"/>
          <w:snapToGrid w:val="0"/>
          <w:color w:val="auto"/>
          <w:kern w:val="0"/>
          <w:sz w:val="24"/>
          <w:szCs w:val="24"/>
          <w:highlight w:val="none"/>
          <w:u w:val="none"/>
          <w:lang w:eastAsia="zh-CN"/>
        </w:rPr>
        <w:t>。</w:t>
      </w:r>
    </w:p>
    <w:p>
      <w:pPr>
        <w:pStyle w:val="8"/>
        <w:numPr>
          <w:ilvl w:val="0"/>
          <w:numId w:val="0"/>
        </w:numPr>
        <w:adjustRightInd w:val="0"/>
        <w:spacing w:line="360" w:lineRule="auto"/>
        <w:ind w:firstLine="482" w:firstLineChars="200"/>
        <w:rPr>
          <w:rFonts w:hint="eastAsia" w:ascii="宋体" w:hAnsi="宋体" w:eastAsia="宋体" w:cs="宋体"/>
          <w:i w:val="0"/>
          <w:iCs w:val="0"/>
          <w:snapToGrid w:val="0"/>
          <w:color w:val="auto"/>
          <w:kern w:val="0"/>
          <w:sz w:val="24"/>
          <w:szCs w:val="24"/>
          <w:highlight w:val="none"/>
          <w:u w:val="none"/>
          <w:lang w:val="en-US" w:eastAsia="zh-CN" w:bidi="ar-SA"/>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4总监理工程师资质要求：</w:t>
      </w:r>
    </w:p>
    <w:p>
      <w:pPr>
        <w:pStyle w:val="8"/>
        <w:numPr>
          <w:ilvl w:val="0"/>
          <w:numId w:val="0"/>
        </w:numPr>
        <w:adjustRightInd w:val="0"/>
        <w:spacing w:line="360" w:lineRule="auto"/>
        <w:ind w:firstLine="480" w:firstLineChars="200"/>
        <w:rPr>
          <w:rFonts w:hint="eastAsia" w:ascii="宋体" w:hAnsi="宋体" w:eastAsia="宋体" w:cs="宋体"/>
          <w:i w:val="0"/>
          <w:iCs w:val="0"/>
          <w:snapToGrid w:val="0"/>
          <w:color w:val="auto"/>
          <w:kern w:val="0"/>
          <w:sz w:val="24"/>
          <w:szCs w:val="24"/>
          <w:highlight w:val="none"/>
          <w:u w:val="none"/>
          <w:lang w:val="en-US" w:eastAsia="zh-CN" w:bidi="ar-SA"/>
        </w:rPr>
      </w:pPr>
      <w:r>
        <w:rPr>
          <w:rFonts w:hint="eastAsia" w:ascii="宋体" w:hAnsi="宋体" w:eastAsia="宋体" w:cs="宋体"/>
          <w:i w:val="0"/>
          <w:iCs w:val="0"/>
          <w:snapToGrid w:val="0"/>
          <w:color w:val="auto"/>
          <w:kern w:val="0"/>
          <w:sz w:val="24"/>
          <w:szCs w:val="24"/>
          <w:highlight w:val="none"/>
          <w:u w:val="none"/>
          <w:lang w:val="en-US" w:eastAsia="zh-CN" w:bidi="ar-SA"/>
        </w:rPr>
        <w:t>3.4.1同时具备高级工程师职称、</w:t>
      </w:r>
      <w:r>
        <w:rPr>
          <w:rFonts w:hint="eastAsia" w:ascii="宋体" w:hAnsi="宋体" w:eastAsia="宋体" w:cs="宋体"/>
          <w:color w:val="auto"/>
          <w:sz w:val="24"/>
          <w:szCs w:val="24"/>
          <w:highlight w:val="none"/>
        </w:rPr>
        <w:t>交通建设工程安全监理培训合格证书</w:t>
      </w:r>
      <w:r>
        <w:rPr>
          <w:rFonts w:hint="eastAsia" w:ascii="宋体" w:hAnsi="宋体" w:cs="宋体"/>
          <w:color w:val="auto"/>
          <w:sz w:val="24"/>
          <w:szCs w:val="24"/>
          <w:highlight w:val="none"/>
          <w:lang w:val="en-US" w:eastAsia="zh-CN"/>
        </w:rPr>
        <w:t>以及</w:t>
      </w:r>
      <w:r>
        <w:rPr>
          <w:rFonts w:hint="eastAsia" w:ascii="宋体" w:hAnsi="宋体" w:eastAsia="宋体" w:cs="宋体"/>
          <w:i w:val="0"/>
          <w:iCs w:val="0"/>
          <w:snapToGrid w:val="0"/>
          <w:color w:val="auto"/>
          <w:kern w:val="0"/>
          <w:sz w:val="24"/>
          <w:szCs w:val="24"/>
          <w:highlight w:val="none"/>
          <w:u w:val="none"/>
          <w:lang w:val="en-US" w:eastAsia="zh-CN" w:bidi="ar-SA"/>
        </w:rPr>
        <w:t>交通运输部颁发的监理工程师资格（</w:t>
      </w:r>
      <w:r>
        <w:rPr>
          <w:rFonts w:hint="eastAsia" w:ascii="宋体" w:hAnsi="宋体" w:eastAsia="宋体" w:cs="宋体"/>
          <w:color w:val="auto"/>
          <w:sz w:val="24"/>
          <w:szCs w:val="24"/>
          <w:highlight w:val="none"/>
        </w:rPr>
        <w:t>专业为：机电工程或交通运输工程</w:t>
      </w:r>
      <w:r>
        <w:rPr>
          <w:rFonts w:hint="eastAsia" w:ascii="宋体" w:hAnsi="宋体" w:eastAsia="宋体" w:cs="宋体"/>
          <w:color w:val="auto"/>
          <w:sz w:val="24"/>
          <w:szCs w:val="24"/>
          <w:highlight w:val="none"/>
          <w:lang w:eastAsia="zh-CN"/>
        </w:rPr>
        <w:t>）；</w:t>
      </w:r>
    </w:p>
    <w:p>
      <w:pPr>
        <w:pStyle w:val="8"/>
        <w:numPr>
          <w:ilvl w:val="0"/>
          <w:numId w:val="0"/>
        </w:numPr>
        <w:adjustRightInd w:val="0"/>
        <w:spacing w:line="360" w:lineRule="auto"/>
        <w:ind w:firstLine="480" w:firstLineChars="200"/>
        <w:rPr>
          <w:rFonts w:hint="eastAsia" w:ascii="宋体" w:hAnsi="宋体" w:eastAsia="宋体" w:cs="宋体"/>
          <w:i w:val="0"/>
          <w:iCs w:val="0"/>
          <w:snapToGrid w:val="0"/>
          <w:color w:val="auto"/>
          <w:kern w:val="0"/>
          <w:sz w:val="24"/>
          <w:szCs w:val="24"/>
          <w:highlight w:val="none"/>
          <w:u w:val="none"/>
          <w:lang w:val="en-US" w:eastAsia="zh-CN" w:bidi="ar-SA"/>
        </w:rPr>
      </w:pPr>
      <w:r>
        <w:rPr>
          <w:rFonts w:hint="eastAsia" w:ascii="宋体" w:hAnsi="宋体" w:eastAsia="宋体" w:cs="宋体"/>
          <w:i w:val="0"/>
          <w:iCs w:val="0"/>
          <w:snapToGrid w:val="0"/>
          <w:color w:val="auto"/>
          <w:kern w:val="0"/>
          <w:sz w:val="24"/>
          <w:szCs w:val="24"/>
          <w:highlight w:val="none"/>
          <w:u w:val="none"/>
          <w:lang w:val="en-US" w:eastAsia="zh-CN" w:bidi="ar-SA"/>
        </w:rPr>
        <w:t xml:space="preserve">3.4.2 </w:t>
      </w:r>
      <w:r>
        <w:rPr>
          <w:rFonts w:hint="eastAsia" w:ascii="宋体" w:hAnsi="宋体" w:eastAsia="宋体" w:cs="宋体"/>
          <w:color w:val="auto"/>
          <w:sz w:val="24"/>
          <w:szCs w:val="24"/>
          <w:highlight w:val="none"/>
        </w:rPr>
        <w:t>2017年至今（以交工验收时间为准）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none"/>
          <w:lang w:eastAsia="zh-CN"/>
        </w:rPr>
        <w:t>以总监理工程师</w:t>
      </w:r>
      <w:r>
        <w:rPr>
          <w:rFonts w:hint="eastAsia" w:ascii="宋体" w:hAnsi="宋体" w:eastAsia="宋体" w:cs="宋体"/>
          <w:color w:val="auto"/>
          <w:sz w:val="24"/>
          <w:szCs w:val="24"/>
          <w:highlight w:val="none"/>
          <w:u w:val="none"/>
          <w:lang w:val="en-US" w:eastAsia="zh-CN"/>
        </w:rPr>
        <w:t>身份</w:t>
      </w:r>
      <w:r>
        <w:rPr>
          <w:rFonts w:hint="eastAsia" w:ascii="宋体" w:hAnsi="宋体" w:eastAsia="宋体" w:cs="宋体"/>
          <w:color w:val="auto"/>
          <w:sz w:val="24"/>
          <w:szCs w:val="24"/>
          <w:highlight w:val="none"/>
          <w:lang w:val="en-US" w:eastAsia="zh-CN"/>
        </w:rPr>
        <w:t>完成过</w:t>
      </w:r>
      <w:r>
        <w:rPr>
          <w:rFonts w:hint="eastAsia" w:ascii="宋体" w:hAnsi="宋体" w:eastAsia="宋体" w:cs="宋体"/>
          <w:color w:val="auto"/>
          <w:sz w:val="24"/>
          <w:szCs w:val="24"/>
          <w:highlight w:val="none"/>
        </w:rPr>
        <w:t>1项单项监理服务费合同价不少于</w:t>
      </w:r>
      <w:r>
        <w:rPr>
          <w:rFonts w:hint="eastAsia" w:ascii="宋体" w:hAnsi="宋体" w:eastAsia="宋体" w:cs="宋体"/>
          <w:color w:val="auto"/>
          <w:sz w:val="24"/>
          <w:szCs w:val="24"/>
          <w:highlight w:val="none"/>
          <w:lang w:val="en-US" w:eastAsia="zh-CN"/>
        </w:rPr>
        <w:t>350</w:t>
      </w:r>
      <w:r>
        <w:rPr>
          <w:rFonts w:hint="eastAsia" w:ascii="宋体" w:hAnsi="宋体" w:eastAsia="宋体" w:cs="宋体"/>
          <w:color w:val="auto"/>
          <w:sz w:val="24"/>
          <w:szCs w:val="24"/>
          <w:highlight w:val="none"/>
        </w:rPr>
        <w:t>万元的高速公路机电施工监理业绩</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1项单项建安费不少于3</w:t>
      </w:r>
      <w:r>
        <w:rPr>
          <w:rFonts w:hint="eastAsia" w:ascii="宋体" w:hAnsi="宋体" w:eastAsia="宋体" w:cs="宋体"/>
          <w:color w:val="auto"/>
          <w:sz w:val="24"/>
          <w:szCs w:val="24"/>
          <w:highlight w:val="none"/>
          <w:lang w:val="en-US" w:eastAsia="zh-CN"/>
        </w:rPr>
        <w:t>5000</w:t>
      </w:r>
      <w:r>
        <w:rPr>
          <w:rFonts w:hint="eastAsia" w:ascii="宋体" w:hAnsi="宋体" w:eastAsia="宋体" w:cs="宋体"/>
          <w:color w:val="auto"/>
          <w:sz w:val="24"/>
          <w:szCs w:val="24"/>
          <w:highlight w:val="none"/>
        </w:rPr>
        <w:t>万元的高速公路机电施工监理业绩</w:t>
      </w:r>
      <w:r>
        <w:rPr>
          <w:rFonts w:hint="eastAsia" w:ascii="宋体" w:hAnsi="宋体" w:eastAsia="宋体" w:cs="宋体"/>
          <w:color w:val="auto"/>
          <w:sz w:val="24"/>
          <w:szCs w:val="24"/>
          <w:highlight w:val="none"/>
          <w:lang w:eastAsia="zh-CN"/>
        </w:rPr>
        <w:t>；</w:t>
      </w:r>
    </w:p>
    <w:p>
      <w:pPr>
        <w:pStyle w:val="8"/>
        <w:numPr>
          <w:ilvl w:val="0"/>
          <w:numId w:val="0"/>
        </w:numPr>
        <w:adjustRightInd w:val="0"/>
        <w:spacing w:line="360" w:lineRule="auto"/>
        <w:ind w:firstLine="482" w:firstLineChars="200"/>
        <w:rPr>
          <w:rFonts w:hint="eastAsia" w:ascii="宋体" w:hAnsi="宋体" w:eastAsia="宋体" w:cs="宋体"/>
          <w:color w:val="auto"/>
          <w:sz w:val="24"/>
          <w:szCs w:val="24"/>
          <w:highlight w:val="none"/>
          <w:u w:val="none"/>
          <w:lang w:val="en-US" w:eastAsia="zh-CN"/>
        </w:rPr>
      </w:pPr>
      <w:r>
        <w:rPr>
          <w:rFonts w:hint="eastAsia" w:ascii="宋体" w:hAnsi="宋体" w:eastAsia="宋体" w:cs="宋体"/>
          <w:b/>
          <w:bCs/>
          <w:i w:val="0"/>
          <w:iCs w:val="0"/>
          <w:snapToGrid w:val="0"/>
          <w:color w:val="auto"/>
          <w:kern w:val="0"/>
          <w:sz w:val="24"/>
          <w:szCs w:val="24"/>
          <w:highlight w:val="none"/>
          <w:u w:val="none"/>
          <w:lang w:val="en-US" w:eastAsia="zh-CN" w:bidi="ar-SA"/>
        </w:rPr>
        <w:t>注：</w:t>
      </w:r>
      <w:r>
        <w:rPr>
          <w:rFonts w:hint="eastAsia" w:ascii="宋体" w:hAnsi="宋体" w:eastAsia="宋体" w:cs="宋体"/>
          <w:b/>
          <w:bCs/>
          <w:color w:val="auto"/>
          <w:sz w:val="24"/>
          <w:szCs w:val="24"/>
          <w:highlight w:val="none"/>
          <w:u w:val="none"/>
          <w:lang w:val="en-US" w:eastAsia="zh-CN"/>
        </w:rPr>
        <w:t>（1）</w:t>
      </w:r>
      <w:r>
        <w:rPr>
          <w:rFonts w:hint="eastAsia" w:ascii="宋体" w:hAnsi="宋体" w:eastAsia="宋体" w:cs="宋体"/>
          <w:b/>
          <w:bCs/>
          <w:color w:val="auto"/>
          <w:sz w:val="24"/>
          <w:szCs w:val="24"/>
          <w:highlight w:val="none"/>
        </w:rPr>
        <w:t>业绩证明材料须提供交工验收证书、中标通知书或合同协议书或业主证明等有效证明材料，且证明材料能体现工作内容、规模（</w:t>
      </w:r>
      <w:r>
        <w:rPr>
          <w:rFonts w:hint="eastAsia" w:ascii="宋体" w:hAnsi="宋体" w:eastAsia="宋体" w:cs="宋体"/>
          <w:b/>
          <w:bCs/>
          <w:color w:val="auto"/>
          <w:sz w:val="24"/>
          <w:szCs w:val="24"/>
          <w:highlight w:val="none"/>
          <w:lang w:val="en-US" w:eastAsia="zh-CN"/>
        </w:rPr>
        <w:t>建安工程费或</w:t>
      </w:r>
      <w:r>
        <w:rPr>
          <w:rFonts w:hint="eastAsia" w:ascii="宋体" w:hAnsi="宋体" w:eastAsia="宋体" w:cs="宋体"/>
          <w:b/>
          <w:bCs/>
          <w:color w:val="auto"/>
          <w:sz w:val="24"/>
          <w:szCs w:val="24"/>
          <w:highlight w:val="none"/>
        </w:rPr>
        <w:t>合同金额）</w:t>
      </w:r>
      <w:r>
        <w:rPr>
          <w:rFonts w:hint="eastAsia" w:ascii="宋体" w:hAnsi="宋体" w:eastAsia="宋体" w:cs="宋体"/>
          <w:b/>
          <w:bCs/>
          <w:color w:val="auto"/>
          <w:sz w:val="24"/>
          <w:szCs w:val="24"/>
          <w:highlight w:val="none"/>
          <w:u w:val="none"/>
          <w:lang w:val="en-US" w:eastAsia="zh-CN"/>
        </w:rPr>
        <w:t>及总监理工程师身份。（2）总监理工程师须为投标人本单位人员，需提供投标人为其购买的社保证明。</w:t>
      </w:r>
    </w:p>
    <w:p>
      <w:pPr>
        <w:pStyle w:val="8"/>
        <w:numPr>
          <w:ilvl w:val="-1"/>
          <w:numId w:val="0"/>
        </w:numPr>
        <w:adjustRightInd w:val="0"/>
        <w:spacing w:line="360" w:lineRule="auto"/>
        <w:ind w:firstLine="482" w:firstLineChars="200"/>
        <w:rPr>
          <w:rFonts w:hint="eastAsia" w:ascii="宋体" w:hAnsi="宋体" w:eastAsia="宋体" w:cs="宋体"/>
          <w:b w:val="0"/>
          <w:bCs w:val="0"/>
          <w:color w:val="auto"/>
          <w:kern w:val="2"/>
          <w:sz w:val="21"/>
          <w:szCs w:val="20"/>
          <w:highlight w:val="none"/>
          <w:u w:val="none"/>
          <w:lang w:val="en-US" w:eastAsia="zh-CN" w:bidi="ar-SA"/>
        </w:rPr>
      </w:pPr>
      <w:r>
        <w:rPr>
          <w:rFonts w:hint="eastAsia" w:ascii="宋体" w:hAnsi="宋体" w:eastAsia="宋体" w:cs="宋体"/>
          <w:b/>
          <w:bCs/>
          <w:color w:val="auto"/>
          <w:sz w:val="24"/>
          <w:highlight w:val="none"/>
          <w:lang w:val="en-US" w:eastAsia="zh-CN"/>
        </w:rPr>
        <w:t>3.5拟派本项目组成人员要求：</w:t>
      </w:r>
      <w:r>
        <w:rPr>
          <w:rFonts w:hint="eastAsia" w:ascii="宋体" w:hAnsi="宋体" w:eastAsia="宋体" w:cs="宋体"/>
          <w:color w:val="auto"/>
          <w:sz w:val="24"/>
          <w:szCs w:val="24"/>
          <w:highlight w:val="none"/>
          <w:u w:val="none"/>
        </w:rPr>
        <w:t>除项目总监理工程师外，具体项目组成员配备最低要求详见招标文件</w:t>
      </w:r>
      <w:r>
        <w:rPr>
          <w:rFonts w:hint="eastAsia" w:ascii="宋体" w:hAnsi="宋体" w:eastAsia="宋体" w:cs="宋体"/>
          <w:color w:val="auto"/>
          <w:sz w:val="24"/>
          <w:szCs w:val="24"/>
          <w:highlight w:val="none"/>
          <w:u w:val="none"/>
          <w:lang w:eastAsia="zh-CN"/>
        </w:rPr>
        <w:t>附录</w:t>
      </w:r>
      <w:r>
        <w:rPr>
          <w:rFonts w:hint="eastAsia" w:ascii="宋体" w:hAnsi="宋体" w:eastAsia="宋体" w:cs="宋体"/>
          <w:color w:val="auto"/>
          <w:sz w:val="24"/>
          <w:szCs w:val="24"/>
          <w:highlight w:val="none"/>
          <w:u w:val="none"/>
          <w:lang w:val="en-US" w:eastAsia="zh-CN"/>
        </w:rPr>
        <w:t>6</w:t>
      </w:r>
      <w:r>
        <w:rPr>
          <w:rFonts w:hint="eastAsia" w:ascii="宋体" w:hAnsi="宋体" w:cs="宋体"/>
          <w:color w:val="auto"/>
          <w:sz w:val="24"/>
          <w:szCs w:val="24"/>
          <w:highlight w:val="none"/>
          <w:u w:val="none"/>
          <w:lang w:eastAsia="zh-CN"/>
        </w:rPr>
        <w:t>拟派人员要求</w:t>
      </w:r>
      <w:r>
        <w:rPr>
          <w:rFonts w:hint="eastAsia" w:ascii="宋体" w:hAnsi="宋体" w:eastAsia="宋体" w:cs="宋体"/>
          <w:color w:val="auto"/>
          <w:sz w:val="24"/>
          <w:szCs w:val="24"/>
          <w:highlight w:val="none"/>
          <w:u w:val="none"/>
          <w:lang w:eastAsia="zh-CN"/>
        </w:rPr>
        <w:t>；</w:t>
      </w:r>
    </w:p>
    <w:p>
      <w:pPr>
        <w:pStyle w:val="8"/>
        <w:numPr>
          <w:ilvl w:val="0"/>
          <w:numId w:val="0"/>
        </w:numPr>
        <w:adjustRightInd w:val="0"/>
        <w:spacing w:line="360" w:lineRule="auto"/>
        <w:ind w:firstLine="482"/>
        <w:rPr>
          <w:rFonts w:hint="eastAsia" w:ascii="宋体" w:hAnsi="宋体" w:eastAsia="宋体" w:cs="宋体"/>
          <w:b/>
          <w:bCs/>
          <w:i w:val="0"/>
          <w:iCs w:val="0"/>
          <w:snapToGrid w:val="0"/>
          <w:color w:val="auto"/>
          <w:kern w:val="0"/>
          <w:sz w:val="24"/>
          <w:szCs w:val="24"/>
          <w:highlight w:val="none"/>
          <w:u w:val="none"/>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6</w:t>
      </w:r>
      <w:r>
        <w:rPr>
          <w:rFonts w:hint="eastAsia" w:ascii="宋体" w:hAnsi="宋体" w:eastAsia="宋体" w:cs="宋体"/>
          <w:b/>
          <w:bCs/>
          <w:i w:val="0"/>
          <w:iCs w:val="0"/>
          <w:snapToGrid w:val="0"/>
          <w:color w:val="auto"/>
          <w:kern w:val="0"/>
          <w:sz w:val="24"/>
          <w:szCs w:val="24"/>
          <w:highlight w:val="none"/>
          <w:u w:val="none"/>
        </w:rPr>
        <w:t>其他要求：</w:t>
      </w:r>
    </w:p>
    <w:p>
      <w:pPr>
        <w:numPr>
          <w:ilvl w:val="0"/>
          <w:numId w:val="0"/>
        </w:numPr>
        <w:spacing w:line="360" w:lineRule="auto"/>
        <w:ind w:firstLine="480" w:firstLineChars="200"/>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trike w:val="0"/>
          <w:dstrike w:val="0"/>
          <w:snapToGrid w:val="0"/>
          <w:color w:val="auto"/>
          <w:kern w:val="0"/>
          <w:sz w:val="24"/>
          <w:szCs w:val="24"/>
          <w:highlight w:val="none"/>
          <w:u w:val="none"/>
          <w:lang w:eastAsia="zh-CN"/>
        </w:rPr>
        <w:t>（</w:t>
      </w:r>
      <w:r>
        <w:rPr>
          <w:rFonts w:hint="eastAsia" w:ascii="宋体" w:hAnsi="宋体" w:eastAsia="宋体" w:cs="宋体"/>
          <w:i w:val="0"/>
          <w:iCs w:val="0"/>
          <w:strike w:val="0"/>
          <w:dstrike w:val="0"/>
          <w:snapToGrid w:val="0"/>
          <w:color w:val="auto"/>
          <w:kern w:val="0"/>
          <w:sz w:val="24"/>
          <w:szCs w:val="24"/>
          <w:highlight w:val="none"/>
          <w:u w:val="none"/>
          <w:lang w:val="en-US" w:eastAsia="zh-CN"/>
        </w:rPr>
        <w:t>1</w:t>
      </w:r>
      <w:r>
        <w:rPr>
          <w:rFonts w:hint="eastAsia" w:ascii="宋体" w:hAnsi="宋体" w:eastAsia="宋体" w:cs="宋体"/>
          <w:i w:val="0"/>
          <w:iCs w:val="0"/>
          <w:strike w:val="0"/>
          <w:dstrike w:val="0"/>
          <w:snapToGrid w:val="0"/>
          <w:color w:val="auto"/>
          <w:kern w:val="0"/>
          <w:sz w:val="24"/>
          <w:szCs w:val="24"/>
          <w:highlight w:val="none"/>
          <w:u w:val="none"/>
          <w:lang w:eastAsia="zh-CN"/>
        </w:rPr>
        <w:t>）</w:t>
      </w:r>
      <w:r>
        <w:rPr>
          <w:rFonts w:hint="eastAsia" w:ascii="宋体" w:hAnsi="宋体" w:eastAsia="宋体" w:cs="宋体"/>
          <w:i w:val="0"/>
          <w:iCs w:val="0"/>
          <w:color w:val="auto"/>
          <w:sz w:val="24"/>
          <w:szCs w:val="24"/>
          <w:highlight w:val="none"/>
          <w:u w:val="none"/>
        </w:rPr>
        <w:t>第一中标候选人的行贿犯罪档案信息查询，招标人等可以通过“中国裁判文书网”查询相关信息。</w:t>
      </w:r>
    </w:p>
    <w:p>
      <w:pPr>
        <w:numPr>
          <w:ilvl w:val="0"/>
          <w:numId w:val="0"/>
        </w:numPr>
        <w:spacing w:line="360" w:lineRule="auto"/>
        <w:ind w:firstLine="480" w:firstLineChars="200"/>
        <w:jc w:val="left"/>
        <w:rPr>
          <w:rFonts w:hint="eastAsia" w:ascii="宋体" w:hAnsi="宋体" w:eastAsia="宋体" w:cs="宋体"/>
          <w:i w:val="0"/>
          <w:iCs w:val="0"/>
          <w:snapToGrid w:val="0"/>
          <w:color w:val="auto"/>
          <w:kern w:val="0"/>
          <w:sz w:val="24"/>
          <w:szCs w:val="24"/>
          <w:highlight w:val="none"/>
          <w:u w:val="none"/>
        </w:rPr>
      </w:pP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lang w:val="en-US" w:eastAsia="zh-CN"/>
        </w:rPr>
        <w:t>2</w:t>
      </w: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rPr>
        <w:t>具有投资参股关系的关联企业，或具有直接管理和被管理关系的母子公司，或同一母公司的子公司，或法定代表人为同一人的两个及两个以上法人不得同时对同一标段进行投标，否则其投标将被否决。国务院国有资产监督管理机构直接监管的中央企业均不属于本条规定的“母公司”，其一级子公司不按前述关联企业对待，但同属一个子公司的二级子公司则按前述关联企业对待（提供国家企业信息公示系统查询截图）。</w:t>
      </w:r>
    </w:p>
    <w:p>
      <w:pPr>
        <w:numPr>
          <w:ilvl w:val="0"/>
          <w:numId w:val="0"/>
        </w:numPr>
        <w:spacing w:line="360" w:lineRule="auto"/>
        <w:ind w:firstLine="480" w:firstLineChars="200"/>
        <w:jc w:val="left"/>
        <w:rPr>
          <w:rFonts w:hint="eastAsia" w:ascii="宋体" w:hAnsi="宋体" w:eastAsia="宋体" w:cs="宋体"/>
          <w:i w:val="0"/>
          <w:iCs w:val="0"/>
          <w:snapToGrid w:val="0"/>
          <w:color w:val="auto"/>
          <w:kern w:val="0"/>
          <w:sz w:val="24"/>
          <w:szCs w:val="24"/>
          <w:highlight w:val="none"/>
          <w:u w:val="none"/>
        </w:rPr>
      </w:pP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lang w:val="en-US" w:eastAsia="zh-CN"/>
        </w:rPr>
        <w:t>3</w:t>
      </w: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rPr>
        <w:t>同本项目投资人、施工单位有关联关系的不得参与投标，否则其投标将被否决（提供国家企业信息公示系统查询截图）。</w:t>
      </w:r>
    </w:p>
    <w:p>
      <w:pPr>
        <w:spacing w:line="360" w:lineRule="auto"/>
        <w:ind w:firstLine="480" w:firstLineChars="200"/>
        <w:rPr>
          <w:rFonts w:hint="eastAsia" w:ascii="宋体" w:hAnsi="宋体" w:eastAsia="宋体" w:cs="宋体"/>
          <w:i w:val="0"/>
          <w:iCs w:val="0"/>
          <w:snapToGrid w:val="0"/>
          <w:color w:val="auto"/>
          <w:kern w:val="0"/>
          <w:sz w:val="24"/>
          <w:szCs w:val="24"/>
          <w:highlight w:val="none"/>
          <w:u w:val="none"/>
        </w:rPr>
      </w:pP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lang w:val="en-US" w:eastAsia="zh-CN"/>
        </w:rPr>
        <w:t>4</w:t>
      </w: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rPr>
        <w:t>信誉要求：①投标人没有涉及正在诉讼的案件，或涉及正在诉讼的案件但经评标委员会认定不会对承担本项目造成重大影响；②投标人近五年内（201</w:t>
      </w:r>
      <w:r>
        <w:rPr>
          <w:rFonts w:hint="eastAsia" w:ascii="宋体" w:hAnsi="宋体" w:eastAsia="宋体" w:cs="宋体"/>
          <w:i w:val="0"/>
          <w:iCs w:val="0"/>
          <w:snapToGrid w:val="0"/>
          <w:color w:val="auto"/>
          <w:kern w:val="0"/>
          <w:sz w:val="24"/>
          <w:szCs w:val="24"/>
          <w:highlight w:val="none"/>
          <w:u w:val="none"/>
          <w:lang w:val="en-US" w:eastAsia="zh-CN"/>
        </w:rPr>
        <w:t>7</w:t>
      </w:r>
      <w:r>
        <w:rPr>
          <w:rFonts w:hint="eastAsia" w:ascii="宋体" w:hAnsi="宋体" w:eastAsia="宋体" w:cs="宋体"/>
          <w:i w:val="0"/>
          <w:iCs w:val="0"/>
          <w:snapToGrid w:val="0"/>
          <w:color w:val="auto"/>
          <w:kern w:val="0"/>
          <w:sz w:val="24"/>
          <w:szCs w:val="24"/>
          <w:highlight w:val="none"/>
          <w:u w:val="none"/>
        </w:rPr>
        <w:t>年1月1日至今）在合同履约过程中未曾因不能实现履约工期等受过市级及以上行政主管部门、安全生产监督部门行政处罚的记录；③投标人当前未被最高人民法院列入失信被执行人名单；</w:t>
      </w:r>
      <w:r>
        <w:rPr>
          <w:rFonts w:hint="eastAsia" w:ascii="宋体" w:hAnsi="宋体" w:eastAsia="宋体" w:cs="宋体"/>
          <w:i w:val="0"/>
          <w:iCs w:val="0"/>
          <w:snapToGrid w:val="0"/>
          <w:color w:val="auto"/>
          <w:kern w:val="0"/>
          <w:sz w:val="24"/>
          <w:szCs w:val="24"/>
          <w:highlight w:val="none"/>
          <w:u w:val="none"/>
          <w:lang w:val="en-US" w:eastAsia="zh-CN"/>
        </w:rPr>
        <w:t>④</w:t>
      </w:r>
      <w:r>
        <w:rPr>
          <w:rFonts w:hint="eastAsia" w:ascii="宋体" w:hAnsi="宋体" w:eastAsia="宋体" w:cs="宋体"/>
          <w:i w:val="0"/>
          <w:iCs w:val="0"/>
          <w:snapToGrid w:val="0"/>
          <w:color w:val="auto"/>
          <w:kern w:val="0"/>
          <w:sz w:val="24"/>
          <w:szCs w:val="24"/>
          <w:highlight w:val="none"/>
          <w:u w:val="none"/>
        </w:rPr>
        <w:t>未被列入“信用中国（http://www.creditchina.gov.cn）”的“重大税收违法案件当事人”名单内</w:t>
      </w:r>
      <w:r>
        <w:rPr>
          <w:rFonts w:hint="eastAsia" w:ascii="宋体" w:hAnsi="宋体" w:eastAsia="宋体" w:cs="宋体"/>
          <w:i w:val="0"/>
          <w:iCs w:val="0"/>
          <w:snapToGrid w:val="0"/>
          <w:color w:val="auto"/>
          <w:kern w:val="0"/>
          <w:sz w:val="24"/>
          <w:szCs w:val="24"/>
          <w:highlight w:val="none"/>
          <w:u w:val="none"/>
          <w:lang w:eastAsia="zh-CN"/>
        </w:rPr>
        <w:t>，</w:t>
      </w:r>
      <w:r>
        <w:rPr>
          <w:rFonts w:hint="eastAsia" w:ascii="宋体" w:hAnsi="宋体" w:eastAsia="宋体" w:cs="宋体"/>
          <w:i w:val="0"/>
          <w:iCs w:val="0"/>
          <w:snapToGrid w:val="0"/>
          <w:color w:val="auto"/>
          <w:kern w:val="0"/>
          <w:sz w:val="24"/>
          <w:szCs w:val="24"/>
          <w:highlight w:val="none"/>
          <w:u w:val="none"/>
          <w:lang w:val="en-US" w:eastAsia="zh-CN"/>
        </w:rPr>
        <w:t>⑤</w:t>
      </w:r>
      <w:r>
        <w:rPr>
          <w:rFonts w:hint="eastAsia" w:ascii="宋体" w:hAnsi="宋体" w:eastAsia="宋体" w:cs="宋体"/>
          <w:i w:val="0"/>
          <w:iCs w:val="0"/>
          <w:snapToGrid w:val="0"/>
          <w:color w:val="auto"/>
          <w:kern w:val="0"/>
          <w:sz w:val="24"/>
          <w:szCs w:val="24"/>
          <w:highlight w:val="none"/>
          <w:u w:val="none"/>
        </w:rPr>
        <w:t>未被列入中国执行信息公开网（http://zxgk.court.gov.cn）列入“失信被执行人行为记录”，由投标人自行查询截图，招标代理机构或招标人可通过“信用中国”网站（www.creditchina.gov.cn）或各级信用信息共享平台查询投标人是否为失信被执行人，提供给评标委员会。对被列入失信被执行人的投标人处理方法和评标标准：按否决投标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3.7</w:t>
      </w:r>
      <w:r>
        <w:rPr>
          <w:rFonts w:hint="eastAsia" w:ascii="宋体" w:hAnsi="宋体" w:eastAsia="宋体" w:cs="宋体"/>
          <w:color w:val="auto"/>
          <w:sz w:val="24"/>
          <w:highlight w:val="none"/>
        </w:rPr>
        <w:t>本次招标</w:t>
      </w:r>
      <w:r>
        <w:rPr>
          <w:rFonts w:hint="eastAsia" w:ascii="宋体" w:hAnsi="宋体" w:eastAsia="宋体" w:cs="宋体"/>
          <w:b/>
          <w:bCs/>
          <w:color w:val="auto"/>
          <w:sz w:val="24"/>
          <w:highlight w:val="none"/>
          <w:u w:val="single"/>
        </w:rPr>
        <w:t>接受</w:t>
      </w:r>
      <w:r>
        <w:rPr>
          <w:rFonts w:hint="eastAsia" w:ascii="宋体" w:hAnsi="宋体" w:eastAsia="宋体" w:cs="宋体"/>
          <w:color w:val="auto"/>
          <w:sz w:val="24"/>
          <w:highlight w:val="none"/>
        </w:rPr>
        <w:t>联合体投标，联合体成员最多为2个，联合体牵头人为具备公路机电工程专项监理资质的单位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但</w:t>
      </w:r>
      <w:r>
        <w:rPr>
          <w:rFonts w:hint="eastAsia" w:ascii="宋体" w:hAnsi="宋体" w:eastAsia="宋体" w:cs="宋体"/>
          <w:color w:val="auto"/>
          <w:sz w:val="24"/>
          <w:highlight w:val="none"/>
        </w:rPr>
        <w:t>中标后不得分包或转包。</w:t>
      </w:r>
    </w:p>
    <w:p>
      <w:pPr>
        <w:pStyle w:val="3"/>
        <w:keepNext w:val="0"/>
        <w:keepLines w:val="0"/>
        <w:pageBreakBefore w:val="0"/>
        <w:widowControl w:val="0"/>
        <w:kinsoku/>
        <w:wordWrap w:val="0"/>
        <w:overflowPunct/>
        <w:topLinePunct w:val="0"/>
        <w:autoSpaceDE/>
        <w:autoSpaceDN/>
        <w:bidi w:val="0"/>
        <w:adjustRightInd w:val="0"/>
        <w:snapToGrid w:val="0"/>
        <w:spacing w:before="100" w:after="100" w:line="360" w:lineRule="auto"/>
        <w:textAlignment w:val="baseline"/>
        <w:outlineLvl w:val="2"/>
        <w:rPr>
          <w:rFonts w:hint="eastAsia" w:ascii="宋体" w:hAnsi="宋体" w:eastAsia="宋体" w:cs="宋体"/>
          <w:b/>
          <w:bCs/>
          <w:color w:val="auto"/>
          <w:sz w:val="24"/>
          <w:szCs w:val="24"/>
          <w:highlight w:val="none"/>
        </w:rPr>
      </w:pPr>
      <w:bookmarkStart w:id="23" w:name="_Toc491416153"/>
      <w:bookmarkStart w:id="24" w:name="_Toc29665"/>
      <w:bookmarkStart w:id="25" w:name="_Toc6872"/>
      <w:bookmarkStart w:id="26" w:name="_Toc3110"/>
      <w:bookmarkStart w:id="27" w:name="_Toc11099"/>
      <w:bookmarkStart w:id="28" w:name="_Toc5621"/>
      <w:bookmarkStart w:id="29" w:name="_Toc7594"/>
      <w:bookmarkStart w:id="30" w:name="_Toc21448"/>
      <w:bookmarkStart w:id="31" w:name="_Toc501046504"/>
      <w:r>
        <w:rPr>
          <w:rFonts w:hint="eastAsia" w:ascii="宋体" w:hAnsi="宋体" w:eastAsia="宋体" w:cs="宋体"/>
          <w:b/>
          <w:bCs/>
          <w:color w:val="auto"/>
          <w:sz w:val="24"/>
          <w:szCs w:val="24"/>
          <w:highlight w:val="none"/>
        </w:rPr>
        <w:t>4.评标办法</w:t>
      </w:r>
      <w:bookmarkEnd w:id="23"/>
      <w:bookmarkEnd w:id="24"/>
      <w:bookmarkEnd w:id="25"/>
      <w:bookmarkEnd w:id="26"/>
      <w:bookmarkEnd w:id="27"/>
      <w:bookmarkEnd w:id="28"/>
      <w:bookmarkEnd w:id="29"/>
      <w:bookmarkEnd w:id="30"/>
      <w:bookmarkEnd w:id="31"/>
    </w:p>
    <w:p>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本次评标采用</w:t>
      </w:r>
      <w:r>
        <w:rPr>
          <w:rFonts w:hint="eastAsia" w:ascii="宋体" w:hAnsi="宋体" w:eastAsia="宋体" w:cs="宋体"/>
          <w:b/>
          <w:bCs/>
          <w:color w:val="auto"/>
          <w:sz w:val="24"/>
          <w:highlight w:val="none"/>
          <w:u w:val="single"/>
          <w:lang w:eastAsia="zh-CN"/>
        </w:rPr>
        <w:t>综合评分法</w:t>
      </w:r>
      <w:r>
        <w:rPr>
          <w:rFonts w:hint="eastAsia" w:ascii="宋体" w:hAnsi="宋体" w:eastAsia="宋体" w:cs="宋体"/>
          <w:color w:val="auto"/>
          <w:sz w:val="24"/>
          <w:highlight w:val="none"/>
        </w:rPr>
        <w:t>。</w:t>
      </w:r>
    </w:p>
    <w:p>
      <w:pPr>
        <w:pStyle w:val="3"/>
        <w:keepNext w:val="0"/>
        <w:keepLines w:val="0"/>
        <w:pageBreakBefore w:val="0"/>
        <w:widowControl w:val="0"/>
        <w:kinsoku/>
        <w:wordWrap w:val="0"/>
        <w:overflowPunct/>
        <w:topLinePunct w:val="0"/>
        <w:autoSpaceDE/>
        <w:autoSpaceDN/>
        <w:bidi w:val="0"/>
        <w:adjustRightInd w:val="0"/>
        <w:snapToGrid w:val="0"/>
        <w:spacing w:before="100" w:after="100" w:line="360" w:lineRule="auto"/>
        <w:textAlignment w:val="baseline"/>
        <w:outlineLvl w:val="2"/>
        <w:rPr>
          <w:rFonts w:hint="eastAsia" w:ascii="宋体" w:hAnsi="宋体" w:eastAsia="宋体" w:cs="宋体"/>
          <w:b/>
          <w:bCs/>
          <w:color w:val="auto"/>
          <w:sz w:val="24"/>
          <w:szCs w:val="24"/>
          <w:highlight w:val="none"/>
        </w:rPr>
      </w:pPr>
      <w:bookmarkStart w:id="32" w:name="_Toc9291"/>
      <w:bookmarkStart w:id="33" w:name="_Toc13028"/>
      <w:bookmarkStart w:id="34" w:name="_Toc9372"/>
      <w:bookmarkStart w:id="35" w:name="_Toc10158"/>
      <w:bookmarkStart w:id="36" w:name="_Toc432170103"/>
      <w:bookmarkStart w:id="37" w:name="_Toc18614"/>
      <w:bookmarkStart w:id="38" w:name="_Toc14410"/>
      <w:bookmarkStart w:id="39" w:name="_Toc6478"/>
      <w:bookmarkStart w:id="40" w:name="_Toc28476"/>
      <w:r>
        <w:rPr>
          <w:rFonts w:hint="eastAsia" w:ascii="宋体" w:hAnsi="宋体" w:eastAsia="宋体" w:cs="宋体"/>
          <w:b/>
          <w:bCs/>
          <w:color w:val="auto"/>
          <w:sz w:val="24"/>
          <w:szCs w:val="24"/>
          <w:highlight w:val="none"/>
        </w:rPr>
        <w:t>5.招标文件的获取</w:t>
      </w:r>
      <w:bookmarkEnd w:id="32"/>
      <w:bookmarkEnd w:id="33"/>
      <w:bookmarkEnd w:id="34"/>
      <w:bookmarkEnd w:id="35"/>
      <w:bookmarkEnd w:id="36"/>
      <w:bookmarkEnd w:id="37"/>
      <w:bookmarkEnd w:id="38"/>
      <w:bookmarkEnd w:id="39"/>
      <w:bookmarkEnd w:id="40"/>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凡有意参加投标者，请登录昆</w:t>
      </w:r>
      <w:r>
        <w:rPr>
          <w:rFonts w:hint="eastAsia" w:ascii="宋体" w:hAnsi="宋体" w:eastAsia="宋体" w:cs="宋体"/>
          <w:color w:val="auto"/>
          <w:spacing w:val="-2"/>
          <w:sz w:val="24"/>
          <w:highlight w:val="none"/>
        </w:rPr>
        <w:t>本次招标公告在</w:t>
      </w:r>
      <w:r>
        <w:rPr>
          <w:rFonts w:hint="eastAsia" w:ascii="宋体" w:hAnsi="宋体" w:eastAsia="宋体" w:cs="宋体"/>
          <w:color w:val="auto"/>
          <w:sz w:val="24"/>
          <w:highlight w:val="none"/>
          <w:lang w:val="en-US" w:eastAsia="zh-CN"/>
        </w:rPr>
        <w:t>云南省公共资源交易中心（昆明市）（https://ggzy.yn.gov.cn/ynggfwpt-home-web/#/homePage）</w:t>
      </w:r>
      <w:r>
        <w:rPr>
          <w:rFonts w:hint="eastAsia" w:ascii="宋体" w:hAnsi="宋体" w:eastAsia="宋体" w:cs="宋体"/>
          <w:color w:val="auto"/>
          <w:sz w:val="24"/>
          <w:highlight w:val="none"/>
        </w:rPr>
        <w:t>，凭企业数字证书（CA）在网上获取招标文件及其它招标资料（含电子招标文件，格式为*.BZBJ）；未办理企业数字证书（CA）的企业需要按照云南省公共资源交易电子认证的要求，办理企业数字证书（CA），并在云南省公共资源交易中心网完成注册通过后，便可获取招标文件，此为获取招标文件的唯一途径。</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数字证书（CA）办理流程详见云南省公共资源交易信息网（点击切换至“</w:t>
      </w:r>
      <w:r>
        <w:rPr>
          <w:rFonts w:hint="eastAsia" w:ascii="宋体" w:hAnsi="宋体" w:eastAsia="宋体" w:cs="宋体"/>
          <w:bCs/>
          <w:color w:val="auto"/>
          <w:sz w:val="24"/>
          <w:highlight w:val="none"/>
          <w:lang w:val="en-US" w:eastAsia="zh-CN"/>
        </w:rPr>
        <w:t>昆明市</w:t>
      </w:r>
      <w:r>
        <w:rPr>
          <w:rFonts w:hint="eastAsia" w:ascii="宋体" w:hAnsi="宋体" w:eastAsia="宋体" w:cs="宋体"/>
          <w:bCs/>
          <w:color w:val="auto"/>
          <w:sz w:val="24"/>
          <w:highlight w:val="none"/>
        </w:rPr>
        <w:t>”）（http://ggzy.yn.gov.cn/#/homePage）网站的相关要求，交易平台技术支持服务电话：010-86483801；在线服务QQ：4009618998。</w:t>
      </w:r>
    </w:p>
    <w:p>
      <w:pPr>
        <w:pStyle w:val="3"/>
        <w:keepNext w:val="0"/>
        <w:keepLines w:val="0"/>
        <w:pageBreakBefore w:val="0"/>
        <w:widowControl w:val="0"/>
        <w:kinsoku/>
        <w:wordWrap w:val="0"/>
        <w:overflowPunct/>
        <w:topLinePunct w:val="0"/>
        <w:autoSpaceDE/>
        <w:autoSpaceDN/>
        <w:bidi w:val="0"/>
        <w:adjustRightInd w:val="0"/>
        <w:snapToGrid w:val="0"/>
        <w:spacing w:before="100" w:after="100" w:line="360" w:lineRule="auto"/>
        <w:textAlignment w:val="baseline"/>
        <w:outlineLvl w:val="2"/>
        <w:rPr>
          <w:rFonts w:hint="eastAsia" w:ascii="宋体" w:hAnsi="宋体" w:eastAsia="宋体" w:cs="宋体"/>
          <w:b/>
          <w:bCs/>
          <w:color w:val="auto"/>
          <w:sz w:val="24"/>
          <w:szCs w:val="24"/>
          <w:highlight w:val="none"/>
        </w:rPr>
      </w:pPr>
      <w:bookmarkStart w:id="41" w:name="_Toc5113"/>
      <w:bookmarkStart w:id="42" w:name="_Toc422745610"/>
      <w:bookmarkStart w:id="43" w:name="_Toc5233"/>
      <w:bookmarkStart w:id="44" w:name="_Toc8618"/>
      <w:bookmarkStart w:id="45" w:name="_Toc422"/>
      <w:bookmarkStart w:id="46" w:name="_Toc515006469"/>
      <w:bookmarkStart w:id="47" w:name="_Toc13622"/>
      <w:bookmarkStart w:id="48" w:name="_Toc14348"/>
      <w:bookmarkStart w:id="49" w:name="_Toc7147"/>
      <w:bookmarkStart w:id="50" w:name="_Toc23979"/>
      <w:bookmarkStart w:id="51" w:name="_Toc2884"/>
      <w:bookmarkStart w:id="52" w:name="_Toc12293"/>
      <w:bookmarkStart w:id="53" w:name="_Toc28254"/>
      <w:bookmarkStart w:id="54" w:name="_Toc20840"/>
      <w:bookmarkStart w:id="55" w:name="_Toc24562"/>
      <w:r>
        <w:rPr>
          <w:rFonts w:hint="eastAsia" w:ascii="宋体" w:hAnsi="宋体" w:eastAsia="宋体" w:cs="宋体"/>
          <w:b/>
          <w:bCs/>
          <w:color w:val="auto"/>
          <w:sz w:val="24"/>
          <w:szCs w:val="24"/>
          <w:highlight w:val="none"/>
        </w:rPr>
        <w:t>6.投标文件的递交</w:t>
      </w:r>
      <w:bookmarkEnd w:id="41"/>
      <w:bookmarkEnd w:id="42"/>
      <w:bookmarkEnd w:id="43"/>
      <w:bookmarkEnd w:id="44"/>
      <w:bookmarkEnd w:id="45"/>
      <w:r>
        <w:rPr>
          <w:rFonts w:hint="eastAsia" w:ascii="宋体" w:hAnsi="宋体" w:eastAsia="宋体" w:cs="宋体"/>
          <w:b/>
          <w:bCs/>
          <w:color w:val="auto"/>
          <w:sz w:val="24"/>
          <w:szCs w:val="24"/>
          <w:highlight w:val="none"/>
        </w:rPr>
        <w:t>及相关事宜</w:t>
      </w:r>
      <w:bookmarkEnd w:id="46"/>
      <w:bookmarkEnd w:id="47"/>
      <w:bookmarkEnd w:id="48"/>
      <w:bookmarkEnd w:id="49"/>
      <w:bookmarkEnd w:id="50"/>
      <w:bookmarkEnd w:id="51"/>
      <w:bookmarkEnd w:id="52"/>
      <w:bookmarkEnd w:id="53"/>
      <w:bookmarkEnd w:id="54"/>
      <w:bookmarkEnd w:id="55"/>
    </w:p>
    <w:p>
      <w:pPr>
        <w:keepNext w:val="0"/>
        <w:keepLines w:val="0"/>
        <w:pageBreakBefore w:val="0"/>
        <w:widowControl w:val="0"/>
        <w:kinsoku/>
        <w:wordWrap/>
        <w:overflowPunct/>
        <w:topLinePunct w:val="0"/>
        <w:autoSpaceDE/>
        <w:autoSpaceDN/>
        <w:bidi w:val="0"/>
        <w:adjustRightInd w:val="0"/>
        <w:snapToGrid w:val="0"/>
        <w:spacing w:line="360" w:lineRule="auto"/>
        <w:ind w:firstLine="472" w:firstLineChars="200"/>
        <w:textAlignment w:val="auto"/>
        <w:rPr>
          <w:rFonts w:hint="eastAsia" w:ascii="宋体" w:hAnsi="宋体" w:eastAsia="宋体" w:cs="宋体"/>
          <w:color w:val="auto"/>
          <w:spacing w:val="-2"/>
          <w:sz w:val="24"/>
          <w:highlight w:val="none"/>
        </w:rPr>
      </w:pPr>
      <w:bookmarkStart w:id="56" w:name="_Toc23340"/>
      <w:bookmarkStart w:id="57" w:name="_Toc1991"/>
      <w:bookmarkStart w:id="58" w:name="_Toc12034"/>
      <w:bookmarkStart w:id="59" w:name="_Toc6344"/>
      <w:bookmarkStart w:id="60" w:name="_Toc3888"/>
      <w:r>
        <w:rPr>
          <w:rFonts w:hint="eastAsia" w:ascii="宋体" w:hAnsi="宋体" w:eastAsia="宋体" w:cs="宋体"/>
          <w:color w:val="auto"/>
          <w:spacing w:val="-2"/>
          <w:sz w:val="24"/>
          <w:highlight w:val="none"/>
          <w:lang w:val="en-US" w:eastAsia="zh-CN"/>
        </w:rPr>
        <w:t>6</w:t>
      </w:r>
      <w:r>
        <w:rPr>
          <w:rFonts w:hint="eastAsia" w:ascii="宋体" w:hAnsi="宋体" w:eastAsia="宋体" w:cs="宋体"/>
          <w:color w:val="auto"/>
          <w:spacing w:val="-2"/>
          <w:sz w:val="24"/>
          <w:highlight w:val="none"/>
        </w:rPr>
        <w:t>.1 投标文件递交的截止时间（投标截止时间，下同）为     年  月  日  时  分［详见附件</w:t>
      </w:r>
      <w:r>
        <w:rPr>
          <w:rFonts w:hint="eastAsia" w:ascii="宋体" w:hAnsi="宋体" w:eastAsia="宋体" w:cs="宋体"/>
          <w:color w:val="auto"/>
          <w:spacing w:val="-2"/>
          <w:sz w:val="24"/>
          <w:highlight w:val="none"/>
          <w:lang w:eastAsia="zh-CN"/>
        </w:rPr>
        <w:t>曲靖三宝至昆明清水高速公路（昆明段）项目交安、机电工程监理</w:t>
      </w:r>
      <w:r>
        <w:rPr>
          <w:rFonts w:hint="eastAsia" w:ascii="宋体" w:hAnsi="宋体" w:eastAsia="宋体" w:cs="宋体"/>
          <w:color w:val="auto"/>
          <w:spacing w:val="-2"/>
          <w:sz w:val="24"/>
          <w:highlight w:val="none"/>
        </w:rPr>
        <w:t>(项目名称)招标文件有关时间安排］。</w:t>
      </w:r>
    </w:p>
    <w:p>
      <w:pPr>
        <w:keepNext w:val="0"/>
        <w:keepLines w:val="0"/>
        <w:pageBreakBefore w:val="0"/>
        <w:widowControl w:val="0"/>
        <w:kinsoku/>
        <w:wordWrap/>
        <w:overflowPunct/>
        <w:topLinePunct w:val="0"/>
        <w:autoSpaceDE/>
        <w:autoSpaceDN/>
        <w:bidi w:val="0"/>
        <w:adjustRightInd w:val="0"/>
        <w:snapToGrid w:val="0"/>
        <w:spacing w:line="360" w:lineRule="auto"/>
        <w:ind w:firstLine="472" w:firstLineChars="20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lang w:val="en-US" w:eastAsia="zh-CN"/>
        </w:rPr>
        <w:t>6</w:t>
      </w:r>
      <w:r>
        <w:rPr>
          <w:rFonts w:hint="eastAsia" w:ascii="宋体" w:hAnsi="宋体" w:eastAsia="宋体" w:cs="宋体"/>
          <w:color w:val="auto"/>
          <w:spacing w:val="-2"/>
          <w:sz w:val="24"/>
          <w:highlight w:val="none"/>
        </w:rPr>
        <w:t>.2电子投标文件递交方式：</w:t>
      </w:r>
    </w:p>
    <w:p>
      <w:pPr>
        <w:keepNext w:val="0"/>
        <w:keepLines w:val="0"/>
        <w:pageBreakBefore w:val="0"/>
        <w:widowControl w:val="0"/>
        <w:kinsoku/>
        <w:wordWrap/>
        <w:overflowPunct/>
        <w:topLinePunct w:val="0"/>
        <w:autoSpaceDE/>
        <w:autoSpaceDN/>
        <w:bidi w:val="0"/>
        <w:adjustRightInd w:val="0"/>
        <w:snapToGrid w:val="0"/>
        <w:spacing w:line="360" w:lineRule="auto"/>
        <w:ind w:firstLine="472" w:firstLineChars="20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网上递交：网上递交网址为：http://116.55.195.71:8001/#/homePage，投标人须在投标截止时间前完成所有投标文件的上传，网上确认电子签名，并打印“上传投标文件回执”，投标截止时间前未完成投标文件传输的，视为撤回投标文件；</w:t>
      </w:r>
    </w:p>
    <w:p>
      <w:pPr>
        <w:keepNext w:val="0"/>
        <w:keepLines w:val="0"/>
        <w:pageBreakBefore w:val="0"/>
        <w:widowControl w:val="0"/>
        <w:kinsoku/>
        <w:wordWrap/>
        <w:overflowPunct/>
        <w:topLinePunct w:val="0"/>
        <w:autoSpaceDE/>
        <w:autoSpaceDN/>
        <w:bidi w:val="0"/>
        <w:adjustRightInd w:val="0"/>
        <w:snapToGrid w:val="0"/>
        <w:spacing w:line="360" w:lineRule="auto"/>
        <w:ind w:firstLine="472" w:firstLineChars="20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lang w:val="en-US" w:eastAsia="zh-CN"/>
        </w:rPr>
        <w:t>6</w:t>
      </w:r>
      <w:r>
        <w:rPr>
          <w:rFonts w:hint="eastAsia" w:ascii="宋体" w:hAnsi="宋体" w:eastAsia="宋体" w:cs="宋体"/>
          <w:color w:val="auto"/>
          <w:spacing w:val="-2"/>
          <w:sz w:val="24"/>
          <w:highlight w:val="none"/>
        </w:rPr>
        <w:t>.3其他（开标规定等）: 根据昆明市政务服务管理局昆政务笺【2021】2号文规定，开标采用“智能开标”的方式，开标网址为：昆明市公共资源交易电子服务系统 全国公共资源交易平台（云南省•昆明市）(网址：http://116.55.195.71:8001/#/homePage）。注：①智能开标的操作流程详见《云南省公共资源交易电子化平台智能开标系统操作手册（适用投标人/供应商）》。②投标人应提前熟悉网上开标远程解密有关操作事项。③投标人须在招标文件规定的投标截止时间前登录“网上开标室”，根据网上远程解密、开标的要求，在规定的时间完成在线签到、解密、开标一览表确认等操作。若投标人未在规定时间完成相关操作，则视为撤销其投标文件，不再进入评标阶段。④投标人无需到现场参加开标会议。⑤技术操作咨询：北京筑龙信息技术有限责任公司服务热线：010-86483801。</w:t>
      </w:r>
    </w:p>
    <w:p>
      <w:pPr>
        <w:keepNext w:val="0"/>
        <w:keepLines w:val="0"/>
        <w:pageBreakBefore w:val="0"/>
        <w:widowControl w:val="0"/>
        <w:kinsoku/>
        <w:wordWrap/>
        <w:overflowPunct/>
        <w:topLinePunct w:val="0"/>
        <w:autoSpaceDE/>
        <w:autoSpaceDN/>
        <w:bidi w:val="0"/>
        <w:adjustRightInd w:val="0"/>
        <w:snapToGrid w:val="0"/>
        <w:spacing w:line="360" w:lineRule="auto"/>
        <w:ind w:firstLine="472" w:firstLineChars="20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因开标系统、开标现场网络、设备及其他特殊原因，导致不能正常解密投标文件的，经核实和上报相关部门同意后，可再次下达网上解密指令来延长解密时间。</w:t>
      </w:r>
    </w:p>
    <w:p>
      <w:pPr>
        <w:keepNext w:val="0"/>
        <w:keepLines w:val="0"/>
        <w:pageBreakBefore w:val="0"/>
        <w:widowControl w:val="0"/>
        <w:kinsoku/>
        <w:wordWrap/>
        <w:overflowPunct/>
        <w:topLinePunct w:val="0"/>
        <w:autoSpaceDE/>
        <w:autoSpaceDN/>
        <w:bidi w:val="0"/>
        <w:adjustRightInd w:val="0"/>
        <w:snapToGrid w:val="0"/>
        <w:spacing w:line="360" w:lineRule="auto"/>
        <w:ind w:firstLine="472" w:firstLineChars="20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开标过程中如有问题，可以在线提出异议，由代理机构给予对应的回复。在规定的统一提出异议时间内不提出异议的，则视为对开标结果无异议。</w:t>
      </w:r>
      <w:bookmarkEnd w:id="56"/>
      <w:bookmarkEnd w:id="57"/>
    </w:p>
    <w:p>
      <w:pPr>
        <w:pStyle w:val="3"/>
        <w:keepNext w:val="0"/>
        <w:keepLines w:val="0"/>
        <w:pageBreakBefore w:val="0"/>
        <w:widowControl w:val="0"/>
        <w:kinsoku/>
        <w:wordWrap w:val="0"/>
        <w:overflowPunct/>
        <w:topLinePunct w:val="0"/>
        <w:autoSpaceDE/>
        <w:autoSpaceDN/>
        <w:bidi w:val="0"/>
        <w:adjustRightInd w:val="0"/>
        <w:snapToGrid w:val="0"/>
        <w:spacing w:before="100" w:after="100" w:line="360" w:lineRule="auto"/>
        <w:textAlignment w:val="baseline"/>
        <w:outlineLvl w:val="2"/>
        <w:rPr>
          <w:rFonts w:hint="eastAsia" w:ascii="宋体" w:hAnsi="宋体" w:eastAsia="宋体" w:cs="宋体"/>
          <w:b/>
          <w:bCs/>
          <w:color w:val="auto"/>
          <w:sz w:val="24"/>
          <w:szCs w:val="24"/>
          <w:highlight w:val="none"/>
        </w:rPr>
      </w:pPr>
      <w:bookmarkStart w:id="61" w:name="_Toc2117"/>
      <w:bookmarkStart w:id="62" w:name="_Toc25536"/>
      <w:bookmarkStart w:id="63" w:name="_Toc2876"/>
      <w:bookmarkStart w:id="64" w:name="_Toc23113"/>
      <w:bookmarkStart w:id="65" w:name="_Toc29236"/>
      <w:bookmarkStart w:id="66" w:name="_Toc19082"/>
      <w:r>
        <w:rPr>
          <w:rFonts w:hint="eastAsia" w:ascii="宋体" w:hAnsi="宋体" w:eastAsia="宋体" w:cs="宋体"/>
          <w:b/>
          <w:bCs/>
          <w:color w:val="auto"/>
          <w:sz w:val="24"/>
          <w:szCs w:val="24"/>
          <w:highlight w:val="none"/>
        </w:rPr>
        <w:t>7.发布公告的媒介</w:t>
      </w:r>
      <w:bookmarkEnd w:id="58"/>
      <w:bookmarkEnd w:id="59"/>
      <w:bookmarkEnd w:id="60"/>
      <w:bookmarkEnd w:id="61"/>
      <w:bookmarkEnd w:id="62"/>
      <w:bookmarkEnd w:id="63"/>
      <w:bookmarkEnd w:id="64"/>
      <w:bookmarkEnd w:id="65"/>
      <w:bookmarkEnd w:id="66"/>
    </w:p>
    <w:p>
      <w:pPr>
        <w:keepNext w:val="0"/>
        <w:keepLines w:val="0"/>
        <w:pageBreakBefore w:val="0"/>
        <w:widowControl w:val="0"/>
        <w:kinsoku/>
        <w:wordWrap/>
        <w:overflowPunct/>
        <w:topLinePunct w:val="0"/>
        <w:autoSpaceDE/>
        <w:autoSpaceDN/>
        <w:bidi w:val="0"/>
        <w:adjustRightInd w:val="0"/>
        <w:snapToGrid w:val="0"/>
        <w:spacing w:line="360" w:lineRule="auto"/>
        <w:ind w:firstLine="472" w:firstLineChars="200"/>
        <w:textAlignment w:val="auto"/>
        <w:rPr>
          <w:rFonts w:hint="eastAsia" w:ascii="宋体" w:hAnsi="宋体" w:eastAsia="宋体" w:cs="宋体"/>
          <w:color w:val="auto"/>
          <w:spacing w:val="-2"/>
          <w:sz w:val="24"/>
          <w:highlight w:val="none"/>
        </w:rPr>
      </w:pPr>
      <w:bookmarkStart w:id="67" w:name="_Toc432170106"/>
      <w:bookmarkStart w:id="68" w:name="_Toc29724"/>
      <w:bookmarkStart w:id="69" w:name="_Toc7355"/>
      <w:bookmarkStart w:id="70" w:name="_Toc19479"/>
      <w:r>
        <w:rPr>
          <w:rFonts w:hint="eastAsia" w:ascii="宋体" w:hAnsi="宋体" w:eastAsia="宋体" w:cs="宋体"/>
          <w:color w:val="auto"/>
          <w:spacing w:val="-2"/>
          <w:sz w:val="24"/>
          <w:highlight w:val="none"/>
        </w:rPr>
        <w:t>本次招标公告在</w:t>
      </w:r>
      <w:r>
        <w:rPr>
          <w:rFonts w:hint="eastAsia" w:ascii="宋体" w:hAnsi="宋体" w:eastAsia="宋体" w:cs="宋体"/>
          <w:color w:val="auto"/>
          <w:sz w:val="24"/>
          <w:highlight w:val="none"/>
          <w:lang w:val="en-US" w:eastAsia="zh-CN"/>
        </w:rPr>
        <w:t>云南省公共资源交易中心（昆明市）（https://ggzy.yn.gov.cn/ynggfwpt-home-web/#/homePage）</w:t>
      </w:r>
      <w:r>
        <w:rPr>
          <w:rFonts w:hint="eastAsia" w:ascii="宋体" w:hAnsi="宋体" w:eastAsia="宋体" w:cs="宋体"/>
          <w:color w:val="auto"/>
          <w:spacing w:val="-2"/>
          <w:sz w:val="24"/>
          <w:highlight w:val="none"/>
        </w:rPr>
        <w:fldChar w:fldCharType="begin"/>
      </w:r>
      <w:r>
        <w:rPr>
          <w:rFonts w:hint="eastAsia" w:ascii="宋体" w:hAnsi="宋体" w:eastAsia="宋体" w:cs="宋体"/>
          <w:color w:val="auto"/>
          <w:spacing w:val="-2"/>
          <w:sz w:val="24"/>
          <w:highlight w:val="none"/>
        </w:rPr>
        <w:instrText xml:space="preserve"> HYPERLINK "http://116.55.195.71:8001/#/homePage）上发布，我公司对其他网站或媒体转载的公告及公告内容不承担任何责任。" </w:instrText>
      </w:r>
      <w:r>
        <w:rPr>
          <w:rFonts w:hint="eastAsia" w:ascii="宋体" w:hAnsi="宋体" w:eastAsia="宋体" w:cs="宋体"/>
          <w:color w:val="auto"/>
          <w:spacing w:val="-2"/>
          <w:sz w:val="24"/>
          <w:highlight w:val="none"/>
        </w:rPr>
        <w:fldChar w:fldCharType="separate"/>
      </w:r>
      <w:r>
        <w:rPr>
          <w:rFonts w:hint="eastAsia" w:ascii="宋体" w:hAnsi="宋体" w:eastAsia="宋体" w:cs="宋体"/>
          <w:color w:val="auto"/>
          <w:spacing w:val="-2"/>
          <w:sz w:val="24"/>
          <w:highlight w:val="none"/>
        </w:rPr>
        <w:t>，我公司对其他网站或媒体转载的公告及公告内容不承担任何责任。</w:t>
      </w:r>
      <w:r>
        <w:rPr>
          <w:rFonts w:hint="eastAsia" w:ascii="宋体" w:hAnsi="宋体" w:eastAsia="宋体" w:cs="宋体"/>
          <w:color w:val="auto"/>
          <w:spacing w:val="-2"/>
          <w:sz w:val="24"/>
          <w:highlight w:val="none"/>
        </w:rPr>
        <w:fldChar w:fldCharType="end"/>
      </w:r>
    </w:p>
    <w:p>
      <w:pPr>
        <w:pStyle w:val="3"/>
        <w:keepNext w:val="0"/>
        <w:keepLines w:val="0"/>
        <w:pageBreakBefore w:val="0"/>
        <w:widowControl w:val="0"/>
        <w:kinsoku/>
        <w:wordWrap w:val="0"/>
        <w:overflowPunct/>
        <w:topLinePunct w:val="0"/>
        <w:autoSpaceDE/>
        <w:autoSpaceDN/>
        <w:bidi w:val="0"/>
        <w:adjustRightInd w:val="0"/>
        <w:snapToGrid w:val="0"/>
        <w:spacing w:before="100" w:after="100" w:line="360" w:lineRule="auto"/>
        <w:textAlignment w:val="baseline"/>
        <w:outlineLvl w:val="2"/>
        <w:rPr>
          <w:rFonts w:hint="eastAsia" w:ascii="宋体" w:hAnsi="宋体" w:eastAsia="宋体" w:cs="宋体"/>
          <w:b/>
          <w:bCs/>
          <w:color w:val="auto"/>
          <w:sz w:val="24"/>
          <w:szCs w:val="24"/>
          <w:highlight w:val="none"/>
        </w:rPr>
      </w:pPr>
      <w:bookmarkStart w:id="71" w:name="_Toc27672"/>
      <w:bookmarkStart w:id="72" w:name="_Toc6814"/>
      <w:bookmarkStart w:id="73" w:name="_Toc9438"/>
      <w:bookmarkStart w:id="74" w:name="_Toc21845"/>
      <w:bookmarkStart w:id="75" w:name="_Toc10568"/>
      <w:r>
        <w:rPr>
          <w:rFonts w:hint="eastAsia" w:ascii="宋体" w:hAnsi="宋体" w:eastAsia="宋体" w:cs="宋体"/>
          <w:b/>
          <w:bCs/>
          <w:color w:val="auto"/>
          <w:sz w:val="24"/>
          <w:szCs w:val="24"/>
          <w:highlight w:val="none"/>
        </w:rPr>
        <w:t>8.联系方式</w:t>
      </w:r>
      <w:bookmarkEnd w:id="67"/>
      <w:bookmarkEnd w:id="68"/>
      <w:bookmarkEnd w:id="69"/>
      <w:bookmarkEnd w:id="70"/>
      <w:bookmarkEnd w:id="71"/>
      <w:bookmarkEnd w:id="72"/>
      <w:bookmarkEnd w:id="73"/>
      <w:bookmarkEnd w:id="74"/>
      <w:bookmarkEnd w:id="75"/>
    </w:p>
    <w:tbl>
      <w:tblPr>
        <w:tblStyle w:val="6"/>
        <w:tblW w:w="9288" w:type="dxa"/>
        <w:jc w:val="center"/>
        <w:tblLayout w:type="fixed"/>
        <w:tblCellMar>
          <w:top w:w="0" w:type="dxa"/>
          <w:left w:w="108" w:type="dxa"/>
          <w:bottom w:w="0" w:type="dxa"/>
          <w:right w:w="108" w:type="dxa"/>
        </w:tblCellMar>
      </w:tblPr>
      <w:tblGrid>
        <w:gridCol w:w="1363"/>
        <w:gridCol w:w="3035"/>
        <w:gridCol w:w="1806"/>
        <w:gridCol w:w="3084"/>
      </w:tblGrid>
      <w:tr>
        <w:tblPrEx>
          <w:tblCellMar>
            <w:top w:w="0" w:type="dxa"/>
            <w:left w:w="108" w:type="dxa"/>
            <w:bottom w:w="0" w:type="dxa"/>
            <w:right w:w="108" w:type="dxa"/>
          </w:tblCellMar>
        </w:tblPrEx>
        <w:trPr>
          <w:trHeight w:val="510" w:hRule="atLeast"/>
          <w:jc w:val="center"/>
        </w:trPr>
        <w:tc>
          <w:tcPr>
            <w:tcW w:w="1363"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招 标 人：</w:t>
            </w:r>
          </w:p>
        </w:tc>
        <w:tc>
          <w:tcPr>
            <w:tcW w:w="3035"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color w:val="auto"/>
                <w:sz w:val="24"/>
                <w:szCs w:val="24"/>
                <w:highlight w:val="none"/>
              </w:rPr>
              <w:t>昆明市交通投资有限责任公司</w:t>
            </w:r>
          </w:p>
        </w:tc>
        <w:tc>
          <w:tcPr>
            <w:tcW w:w="1806"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招标代理机构：</w:t>
            </w:r>
          </w:p>
        </w:tc>
        <w:tc>
          <w:tcPr>
            <w:tcW w:w="3084"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lang w:eastAsia="zh-CN"/>
              </w:rPr>
            </w:pPr>
            <w:r>
              <w:rPr>
                <w:rFonts w:hint="eastAsia" w:ascii="宋体" w:hAnsi="宋体" w:eastAsia="宋体" w:cs="宋体"/>
                <w:i w:val="0"/>
                <w:iCs w:val="0"/>
                <w:color w:val="auto"/>
                <w:sz w:val="24"/>
                <w:szCs w:val="24"/>
                <w:highlight w:val="none"/>
                <w:lang w:eastAsia="zh-CN"/>
              </w:rPr>
              <w:t>中德高路咨询（云南）有限公司</w:t>
            </w:r>
          </w:p>
        </w:tc>
      </w:tr>
      <w:tr>
        <w:tblPrEx>
          <w:tblCellMar>
            <w:top w:w="0" w:type="dxa"/>
            <w:left w:w="108" w:type="dxa"/>
            <w:bottom w:w="0" w:type="dxa"/>
            <w:right w:w="108" w:type="dxa"/>
          </w:tblCellMar>
        </w:tblPrEx>
        <w:trPr>
          <w:trHeight w:val="510" w:hRule="atLeast"/>
          <w:jc w:val="center"/>
        </w:trPr>
        <w:tc>
          <w:tcPr>
            <w:tcW w:w="1363"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地    址：</w:t>
            </w:r>
          </w:p>
        </w:tc>
        <w:tc>
          <w:tcPr>
            <w:tcW w:w="3035"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color w:val="auto"/>
                <w:sz w:val="24"/>
                <w:szCs w:val="24"/>
                <w:highlight w:val="none"/>
              </w:rPr>
              <w:t>昆明市盘龙路25号</w:t>
            </w:r>
          </w:p>
        </w:tc>
        <w:tc>
          <w:tcPr>
            <w:tcW w:w="1806"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地    址：</w:t>
            </w:r>
          </w:p>
        </w:tc>
        <w:tc>
          <w:tcPr>
            <w:tcW w:w="3084"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lang w:val="en-US" w:eastAsia="zh-CN"/>
              </w:rPr>
            </w:pPr>
            <w:r>
              <w:rPr>
                <w:rFonts w:hint="eastAsia" w:ascii="宋体" w:hAnsi="宋体" w:eastAsia="宋体" w:cs="宋体"/>
                <w:i w:val="0"/>
                <w:iCs w:val="0"/>
                <w:snapToGrid w:val="0"/>
                <w:color w:val="auto"/>
                <w:kern w:val="0"/>
                <w:sz w:val="24"/>
                <w:szCs w:val="24"/>
                <w:highlight w:val="none"/>
                <w:lang w:val="en-US" w:eastAsia="zh-CN"/>
              </w:rPr>
              <w:t>中国（云南）自由贸易试验区</w:t>
            </w:r>
            <w:r>
              <w:rPr>
                <w:rFonts w:hint="eastAsia" w:ascii="宋体" w:hAnsi="宋体" w:eastAsia="宋体" w:cs="宋体"/>
                <w:i w:val="0"/>
                <w:iCs w:val="0"/>
                <w:snapToGrid w:val="0"/>
                <w:color w:val="auto"/>
                <w:kern w:val="0"/>
                <w:sz w:val="24"/>
                <w:szCs w:val="24"/>
                <w:highlight w:val="none"/>
              </w:rPr>
              <w:t>昆明</w:t>
            </w:r>
            <w:r>
              <w:rPr>
                <w:rFonts w:hint="eastAsia" w:ascii="宋体" w:hAnsi="宋体" w:eastAsia="宋体" w:cs="宋体"/>
                <w:i w:val="0"/>
                <w:iCs w:val="0"/>
                <w:snapToGrid w:val="0"/>
                <w:color w:val="auto"/>
                <w:kern w:val="0"/>
                <w:sz w:val="24"/>
                <w:szCs w:val="24"/>
                <w:highlight w:val="none"/>
                <w:lang w:val="en-US" w:eastAsia="zh-CN"/>
              </w:rPr>
              <w:t>片区</w:t>
            </w:r>
            <w:r>
              <w:rPr>
                <w:rFonts w:hint="eastAsia" w:ascii="宋体" w:hAnsi="宋体" w:eastAsia="宋体" w:cs="宋体"/>
                <w:i w:val="0"/>
                <w:iCs w:val="0"/>
                <w:snapToGrid w:val="0"/>
                <w:color w:val="auto"/>
                <w:kern w:val="0"/>
                <w:sz w:val="24"/>
                <w:szCs w:val="24"/>
                <w:highlight w:val="none"/>
              </w:rPr>
              <w:t>官渡区吴井路183号百富琪商业广场B座709</w:t>
            </w:r>
            <w:r>
              <w:rPr>
                <w:rFonts w:hint="eastAsia" w:ascii="宋体" w:hAnsi="宋体" w:eastAsia="宋体" w:cs="宋体"/>
                <w:i w:val="0"/>
                <w:iCs w:val="0"/>
                <w:snapToGrid w:val="0"/>
                <w:color w:val="auto"/>
                <w:kern w:val="0"/>
                <w:sz w:val="24"/>
                <w:szCs w:val="24"/>
                <w:highlight w:val="none"/>
                <w:lang w:val="en-US" w:eastAsia="zh-CN"/>
              </w:rPr>
              <w:t>号</w:t>
            </w:r>
          </w:p>
        </w:tc>
      </w:tr>
      <w:tr>
        <w:tblPrEx>
          <w:tblCellMar>
            <w:top w:w="0" w:type="dxa"/>
            <w:left w:w="108" w:type="dxa"/>
            <w:bottom w:w="0" w:type="dxa"/>
            <w:right w:w="108" w:type="dxa"/>
          </w:tblCellMar>
        </w:tblPrEx>
        <w:trPr>
          <w:trHeight w:val="510" w:hRule="atLeast"/>
          <w:jc w:val="center"/>
        </w:trPr>
        <w:tc>
          <w:tcPr>
            <w:tcW w:w="1363"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联 系 人：</w:t>
            </w:r>
          </w:p>
        </w:tc>
        <w:tc>
          <w:tcPr>
            <w:tcW w:w="3035"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color w:val="auto"/>
                <w:sz w:val="24"/>
                <w:szCs w:val="24"/>
                <w:highlight w:val="none"/>
              </w:rPr>
              <w:t>陈工</w:t>
            </w:r>
          </w:p>
        </w:tc>
        <w:tc>
          <w:tcPr>
            <w:tcW w:w="1806"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联 系 人：</w:t>
            </w:r>
          </w:p>
        </w:tc>
        <w:tc>
          <w:tcPr>
            <w:tcW w:w="3084"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color w:val="auto"/>
                <w:sz w:val="24"/>
                <w:szCs w:val="24"/>
                <w:highlight w:val="none"/>
              </w:rPr>
              <w:t>王工、</w:t>
            </w:r>
            <w:r>
              <w:rPr>
                <w:rFonts w:hint="eastAsia" w:ascii="宋体" w:hAnsi="宋体" w:eastAsia="宋体" w:cs="宋体"/>
                <w:i w:val="0"/>
                <w:iCs w:val="0"/>
                <w:color w:val="auto"/>
                <w:sz w:val="24"/>
                <w:szCs w:val="24"/>
                <w:highlight w:val="none"/>
                <w:lang w:val="en-US" w:eastAsia="zh-CN"/>
              </w:rPr>
              <w:t>陈工、</w:t>
            </w:r>
            <w:r>
              <w:rPr>
                <w:rFonts w:hint="eastAsia" w:ascii="宋体" w:hAnsi="宋体" w:eastAsia="宋体" w:cs="宋体"/>
                <w:i w:val="0"/>
                <w:iCs w:val="0"/>
                <w:color w:val="auto"/>
                <w:sz w:val="24"/>
                <w:szCs w:val="24"/>
                <w:highlight w:val="none"/>
              </w:rPr>
              <w:t>沈工</w:t>
            </w:r>
          </w:p>
        </w:tc>
      </w:tr>
      <w:tr>
        <w:tblPrEx>
          <w:tblCellMar>
            <w:top w:w="0" w:type="dxa"/>
            <w:left w:w="108" w:type="dxa"/>
            <w:bottom w:w="0" w:type="dxa"/>
            <w:right w:w="108" w:type="dxa"/>
          </w:tblCellMar>
        </w:tblPrEx>
        <w:trPr>
          <w:trHeight w:val="510" w:hRule="atLeast"/>
          <w:jc w:val="center"/>
        </w:trPr>
        <w:tc>
          <w:tcPr>
            <w:tcW w:w="1363"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电    话：</w:t>
            </w:r>
          </w:p>
        </w:tc>
        <w:tc>
          <w:tcPr>
            <w:tcW w:w="3035"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color w:val="auto"/>
                <w:sz w:val="24"/>
                <w:szCs w:val="24"/>
                <w:highlight w:val="none"/>
              </w:rPr>
              <w:t>0871-63115128</w:t>
            </w:r>
          </w:p>
        </w:tc>
        <w:tc>
          <w:tcPr>
            <w:tcW w:w="1806"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电    话：</w:t>
            </w:r>
          </w:p>
        </w:tc>
        <w:tc>
          <w:tcPr>
            <w:tcW w:w="3084"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lang w:val="en-US" w:eastAsia="zh-CN"/>
              </w:rPr>
            </w:pPr>
            <w:r>
              <w:rPr>
                <w:rFonts w:hint="eastAsia" w:ascii="宋体" w:hAnsi="宋体" w:eastAsia="宋体" w:cs="宋体"/>
                <w:i w:val="0"/>
                <w:iCs w:val="0"/>
                <w:color w:val="auto"/>
                <w:sz w:val="24"/>
                <w:szCs w:val="24"/>
                <w:highlight w:val="none"/>
              </w:rPr>
              <w:t>15987174061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15123937881</w:t>
            </w:r>
          </w:p>
        </w:tc>
      </w:tr>
      <w:tr>
        <w:tblPrEx>
          <w:tblCellMar>
            <w:top w:w="0" w:type="dxa"/>
            <w:left w:w="108" w:type="dxa"/>
            <w:bottom w:w="0" w:type="dxa"/>
            <w:right w:w="108" w:type="dxa"/>
          </w:tblCellMar>
        </w:tblPrEx>
        <w:trPr>
          <w:trHeight w:val="510" w:hRule="atLeast"/>
          <w:jc w:val="center"/>
        </w:trPr>
        <w:tc>
          <w:tcPr>
            <w:tcW w:w="1363"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传    真：</w:t>
            </w:r>
          </w:p>
        </w:tc>
        <w:tc>
          <w:tcPr>
            <w:tcW w:w="3035"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rPr>
            </w:pPr>
          </w:p>
        </w:tc>
        <w:tc>
          <w:tcPr>
            <w:tcW w:w="1806" w:type="dxa"/>
            <w:shd w:val="clear" w:color="auto" w:fill="auto"/>
            <w:vAlign w:val="center"/>
          </w:tcPr>
          <w:p>
            <w:pPr>
              <w:spacing w:line="360" w:lineRule="auto"/>
              <w:jc w:val="right"/>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snapToGrid w:val="0"/>
                <w:color w:val="auto"/>
                <w:kern w:val="0"/>
                <w:sz w:val="24"/>
                <w:szCs w:val="24"/>
                <w:highlight w:val="none"/>
              </w:rPr>
              <w:t>传    真：</w:t>
            </w:r>
          </w:p>
        </w:tc>
        <w:tc>
          <w:tcPr>
            <w:tcW w:w="3084" w:type="dxa"/>
            <w:shd w:val="clear" w:color="auto" w:fill="auto"/>
            <w:vAlign w:val="center"/>
          </w:tcPr>
          <w:p>
            <w:pPr>
              <w:spacing w:line="360" w:lineRule="auto"/>
              <w:rPr>
                <w:rFonts w:hint="eastAsia" w:ascii="宋体" w:hAnsi="宋体" w:eastAsia="宋体" w:cs="宋体"/>
                <w:i w:val="0"/>
                <w:iCs w:val="0"/>
                <w:snapToGrid w:val="0"/>
                <w:color w:val="auto"/>
                <w:kern w:val="0"/>
                <w:sz w:val="24"/>
                <w:szCs w:val="24"/>
                <w:highlight w:val="none"/>
              </w:rPr>
            </w:pPr>
            <w:r>
              <w:rPr>
                <w:rFonts w:hint="eastAsia" w:ascii="宋体" w:hAnsi="宋体" w:eastAsia="宋体" w:cs="宋体"/>
                <w:i w:val="0"/>
                <w:iCs w:val="0"/>
                <w:color w:val="auto"/>
                <w:sz w:val="24"/>
                <w:szCs w:val="24"/>
                <w:highlight w:val="none"/>
              </w:rPr>
              <w:t>0871-63355782</w:t>
            </w:r>
          </w:p>
        </w:tc>
      </w:tr>
    </w:tbl>
    <w:p>
      <w:bookmarkStart w:id="76" w:name="_GoBack"/>
      <w:bookmarkEnd w:id="7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JkY2FkMDNmNTU0YTQzODU4MTRmYjg0MDNmY2FiZjkifQ=="/>
  </w:docVars>
  <w:rsids>
    <w:rsidRoot w:val="00000000"/>
    <w:rsid w:val="0591079D"/>
    <w:rsid w:val="05E31C54"/>
    <w:rsid w:val="084B6C30"/>
    <w:rsid w:val="0C021F55"/>
    <w:rsid w:val="0F55118F"/>
    <w:rsid w:val="10500558"/>
    <w:rsid w:val="1141031B"/>
    <w:rsid w:val="18D559E4"/>
    <w:rsid w:val="201A4D05"/>
    <w:rsid w:val="212F513C"/>
    <w:rsid w:val="25D0015E"/>
    <w:rsid w:val="27373D6D"/>
    <w:rsid w:val="2C39798E"/>
    <w:rsid w:val="2D2B0B68"/>
    <w:rsid w:val="30B74D99"/>
    <w:rsid w:val="34C541D5"/>
    <w:rsid w:val="35FD4B1A"/>
    <w:rsid w:val="36121A43"/>
    <w:rsid w:val="366C24CC"/>
    <w:rsid w:val="3FA60A6D"/>
    <w:rsid w:val="408A1AA5"/>
    <w:rsid w:val="461A6D47"/>
    <w:rsid w:val="521C0C6F"/>
    <w:rsid w:val="57512790"/>
    <w:rsid w:val="57DF4A59"/>
    <w:rsid w:val="5B301CC1"/>
    <w:rsid w:val="5B9E7E7D"/>
    <w:rsid w:val="5D714CAE"/>
    <w:rsid w:val="61706E5B"/>
    <w:rsid w:val="623124A5"/>
    <w:rsid w:val="639D6255"/>
    <w:rsid w:val="6D135B61"/>
    <w:rsid w:val="6D1F4A0E"/>
    <w:rsid w:val="6DF66AAD"/>
    <w:rsid w:val="6E4F6DD3"/>
    <w:rsid w:val="713A2FED"/>
    <w:rsid w:val="739F6233"/>
    <w:rsid w:val="78552969"/>
    <w:rsid w:val="791D1A1C"/>
    <w:rsid w:val="79C6176F"/>
    <w:rsid w:val="7B2C579A"/>
    <w:rsid w:val="7BA664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0"/>
  </w:style>
  <w:style w:type="paragraph" w:styleId="5">
    <w:name w:val="toc 5"/>
    <w:basedOn w:val="1"/>
    <w:next w:val="1"/>
    <w:qFormat/>
    <w:uiPriority w:val="0"/>
    <w:pPr>
      <w:ind w:left="1680" w:leftChars="800"/>
    </w:pPr>
  </w:style>
  <w:style w:type="paragraph" w:customStyle="1" w:styleId="8">
    <w:name w:val="Normal_0"/>
    <w:qFormat/>
    <w:uiPriority w:val="99"/>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2021-11-08T01:17:00Z</dcterms:created>
  <dc:creator>Administrator</dc:creator>
  <cp:lastModifiedBy>惜楊（飞）</cp:lastModifiedBy>
  <dcterms:modified xsi:type="dcterms:W3CDTF">2022-12-14T04:03:09Z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87D47FAD9EC0404B95470E2AE5173B9F</vt:lpwstr>
  </property>
</Properties>
</file>