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A2233FE">
      <w:pPr>
        <w:tabs>
          <w:tab w:val="left" w:pos="5748"/>
        </w:tabs>
        <w:spacing w:line="360" w:lineRule="auto"/>
        <w:jc w:val="center"/>
        <w:rPr>
          <w:rFonts w:hint="eastAsia" w:hAnsi="宋体"/>
          <w:b/>
          <w:bCs/>
          <w:color w:val="auto"/>
          <w:sz w:val="52"/>
          <w:szCs w:val="52"/>
          <w:lang w:eastAsia="zh-CN"/>
        </w:rPr>
      </w:pPr>
      <w:bookmarkStart w:id="0" w:name="_Hlk83486406"/>
    </w:p>
    <w:p w14:paraId="7A9CCC24">
      <w:pPr>
        <w:keepNext w:val="0"/>
        <w:keepLines w:val="0"/>
        <w:pageBreakBefore w:val="0"/>
        <w:widowControl w:val="0"/>
        <w:tabs>
          <w:tab w:val="left" w:pos="5748"/>
        </w:tabs>
        <w:kinsoku/>
        <w:wordWrap/>
        <w:overflowPunct/>
        <w:topLinePunct w:val="0"/>
        <w:autoSpaceDE/>
        <w:autoSpaceDN/>
        <w:bidi w:val="0"/>
        <w:adjustRightInd/>
        <w:snapToGrid/>
        <w:spacing w:line="240" w:lineRule="auto"/>
        <w:jc w:val="center"/>
        <w:textAlignment w:val="auto"/>
        <w:rPr>
          <w:rFonts w:ascii="宋体" w:hAnsi="宋体"/>
          <w:color w:val="auto"/>
          <w:sz w:val="52"/>
          <w:szCs w:val="40"/>
        </w:rPr>
      </w:pPr>
      <w:r>
        <w:rPr>
          <w:rFonts w:hint="eastAsia" w:hAnsi="宋体"/>
          <w:b/>
          <w:bCs/>
          <w:color w:val="auto"/>
          <w:sz w:val="56"/>
          <w:szCs w:val="56"/>
          <w:lang w:eastAsia="zh-CN"/>
        </w:rPr>
        <w:t>镇雄县旧府街道松林湾村石门坎“千万工程”配套基础设施建设项目EPC</w:t>
      </w:r>
    </w:p>
    <w:p w14:paraId="213BAE8C">
      <w:pPr>
        <w:pStyle w:val="4"/>
        <w:spacing w:before="157"/>
        <w:ind w:left="0" w:firstLine="0"/>
        <w:jc w:val="center"/>
        <w:rPr>
          <w:rFonts w:hAnsi="宋体"/>
          <w:color w:val="auto"/>
          <w:sz w:val="44"/>
          <w:szCs w:val="44"/>
        </w:rPr>
      </w:pPr>
    </w:p>
    <w:bookmarkEnd w:id="0"/>
    <w:p w14:paraId="1B9D3AEF">
      <w:pPr>
        <w:spacing w:line="360" w:lineRule="auto"/>
        <w:jc w:val="center"/>
        <w:rPr>
          <w:rFonts w:hint="eastAsia" w:ascii="宋体" w:hAnsi="宋体"/>
          <w:color w:val="auto"/>
          <w:sz w:val="100"/>
          <w:szCs w:val="32"/>
        </w:rPr>
      </w:pPr>
    </w:p>
    <w:p w14:paraId="68C8B70B">
      <w:pPr>
        <w:spacing w:line="360" w:lineRule="auto"/>
        <w:jc w:val="center"/>
        <w:rPr>
          <w:b/>
          <w:bCs/>
          <w:color w:val="auto"/>
        </w:rPr>
      </w:pPr>
      <w:r>
        <w:rPr>
          <w:rFonts w:hint="eastAsia" w:ascii="宋体" w:hAnsi="宋体"/>
          <w:b/>
          <w:bCs/>
          <w:color w:val="auto"/>
          <w:sz w:val="100"/>
          <w:szCs w:val="32"/>
        </w:rPr>
        <w:t>招 标 文 件</w:t>
      </w:r>
    </w:p>
    <w:p w14:paraId="05397B65">
      <w:pPr>
        <w:spacing w:line="360" w:lineRule="auto"/>
        <w:jc w:val="center"/>
        <w:rPr>
          <w:rFonts w:hint="eastAsia" w:ascii="宋体" w:hAnsi="宋体" w:eastAsia="宋体"/>
          <w:b/>
          <w:bCs/>
          <w:color w:val="auto"/>
          <w:sz w:val="36"/>
          <w:szCs w:val="40"/>
          <w:highlight w:val="green"/>
          <w:lang w:eastAsia="zh-CN"/>
        </w:rPr>
      </w:pPr>
      <w:r>
        <w:rPr>
          <w:rFonts w:hint="eastAsia" w:ascii="宋体" w:hAnsi="宋体"/>
          <w:b/>
          <w:bCs/>
          <w:color w:val="auto"/>
          <w:sz w:val="36"/>
          <w:szCs w:val="40"/>
          <w:lang w:eastAsia="zh-CN"/>
        </w:rPr>
        <w:t>项目编号：YNPZZB-2026-11</w:t>
      </w:r>
      <w:r>
        <w:rPr>
          <w:rFonts w:hint="eastAsia" w:ascii="宋体" w:hAnsi="宋体"/>
          <w:b/>
          <w:bCs/>
          <w:color w:val="auto"/>
          <w:sz w:val="36"/>
          <w:szCs w:val="40"/>
          <w:lang w:val="en-US" w:eastAsia="zh-CN"/>
        </w:rPr>
        <w:t>8</w:t>
      </w:r>
    </w:p>
    <w:p w14:paraId="080EA1A8">
      <w:pPr>
        <w:spacing w:line="360" w:lineRule="auto"/>
        <w:jc w:val="center"/>
        <w:rPr>
          <w:rFonts w:ascii="宋体" w:hAnsi="宋体"/>
          <w:color w:val="auto"/>
          <w:sz w:val="44"/>
          <w:szCs w:val="44"/>
        </w:rPr>
      </w:pPr>
    </w:p>
    <w:p w14:paraId="1D757859">
      <w:pPr>
        <w:spacing w:line="360" w:lineRule="auto"/>
        <w:jc w:val="center"/>
        <w:rPr>
          <w:rFonts w:ascii="宋体" w:hAnsi="宋体"/>
          <w:color w:val="auto"/>
          <w:sz w:val="28"/>
          <w:szCs w:val="32"/>
        </w:rPr>
      </w:pPr>
    </w:p>
    <w:p w14:paraId="136759F2">
      <w:pPr>
        <w:spacing w:line="360" w:lineRule="auto"/>
        <w:jc w:val="center"/>
        <w:rPr>
          <w:rFonts w:ascii="宋体" w:hAnsi="宋体"/>
          <w:color w:val="auto"/>
          <w:sz w:val="28"/>
          <w:szCs w:val="32"/>
        </w:rPr>
      </w:pPr>
    </w:p>
    <w:p w14:paraId="5F753E6B">
      <w:pPr>
        <w:spacing w:line="360" w:lineRule="auto"/>
        <w:rPr>
          <w:rFonts w:ascii="宋体" w:hAnsi="宋体"/>
          <w:color w:val="auto"/>
          <w:sz w:val="28"/>
          <w:szCs w:val="32"/>
        </w:rPr>
      </w:pPr>
    </w:p>
    <w:p w14:paraId="5FEA6713">
      <w:pPr>
        <w:spacing w:line="480" w:lineRule="auto"/>
        <w:ind w:firstLine="723" w:firstLineChars="200"/>
        <w:rPr>
          <w:rFonts w:hint="eastAsia" w:ascii="宋体" w:hAnsi="宋体"/>
          <w:b/>
          <w:bCs w:val="0"/>
          <w:color w:val="auto"/>
          <w:sz w:val="36"/>
          <w:szCs w:val="36"/>
          <w:u w:val="none"/>
        </w:rPr>
      </w:pPr>
    </w:p>
    <w:p w14:paraId="1369075F">
      <w:pPr>
        <w:spacing w:line="480" w:lineRule="auto"/>
        <w:ind w:firstLine="402" w:firstLineChars="100"/>
        <w:jc w:val="center"/>
        <w:rPr>
          <w:rFonts w:hint="eastAsia" w:ascii="宋体" w:hAnsi="宋体"/>
          <w:b/>
          <w:bCs w:val="0"/>
          <w:color w:val="auto"/>
          <w:sz w:val="36"/>
          <w:szCs w:val="36"/>
          <w:u w:val="none"/>
          <w:lang w:eastAsia="zh-CN"/>
        </w:rPr>
      </w:pPr>
      <w:r>
        <w:rPr>
          <w:rFonts w:hint="eastAsia" w:ascii="宋体" w:hAnsi="宋体"/>
          <w:b/>
          <w:bCs w:val="0"/>
          <w:color w:val="auto"/>
          <w:sz w:val="40"/>
          <w:szCs w:val="40"/>
          <w:u w:val="none"/>
        </w:rPr>
        <w:t>招</w:t>
      </w:r>
      <w:r>
        <w:rPr>
          <w:rFonts w:hint="eastAsia" w:ascii="宋体" w:hAnsi="宋体"/>
          <w:b/>
          <w:bCs w:val="0"/>
          <w:color w:val="auto"/>
          <w:sz w:val="40"/>
          <w:szCs w:val="40"/>
          <w:u w:val="none"/>
          <w:lang w:val="en-US" w:eastAsia="zh-CN"/>
        </w:rPr>
        <w:t xml:space="preserve">  </w:t>
      </w:r>
      <w:r>
        <w:rPr>
          <w:rFonts w:hint="eastAsia" w:ascii="宋体" w:hAnsi="宋体"/>
          <w:b/>
          <w:bCs w:val="0"/>
          <w:color w:val="auto"/>
          <w:sz w:val="40"/>
          <w:szCs w:val="40"/>
          <w:u w:val="none"/>
        </w:rPr>
        <w:t>标</w:t>
      </w:r>
      <w:r>
        <w:rPr>
          <w:rFonts w:hint="eastAsia" w:ascii="宋体" w:hAnsi="宋体"/>
          <w:b/>
          <w:bCs w:val="0"/>
          <w:color w:val="auto"/>
          <w:sz w:val="40"/>
          <w:szCs w:val="40"/>
          <w:u w:val="none"/>
          <w:lang w:val="en-US" w:eastAsia="zh-CN"/>
        </w:rPr>
        <w:t xml:space="preserve">  </w:t>
      </w:r>
      <w:r>
        <w:rPr>
          <w:rFonts w:hint="eastAsia" w:ascii="宋体" w:hAnsi="宋体"/>
          <w:b/>
          <w:bCs w:val="0"/>
          <w:color w:val="auto"/>
          <w:sz w:val="40"/>
          <w:szCs w:val="40"/>
          <w:u w:val="none"/>
        </w:rPr>
        <w:t>人：</w:t>
      </w:r>
      <w:r>
        <w:rPr>
          <w:rFonts w:hint="eastAsia" w:ascii="宋体" w:hAnsi="宋体"/>
          <w:b/>
          <w:bCs w:val="0"/>
          <w:color w:val="auto"/>
          <w:sz w:val="36"/>
          <w:szCs w:val="36"/>
          <w:u w:val="none"/>
          <w:lang w:eastAsia="zh-CN"/>
        </w:rPr>
        <w:t>镇雄县旧府街道办事处</w:t>
      </w:r>
    </w:p>
    <w:p w14:paraId="64B68923">
      <w:pPr>
        <w:spacing w:line="480" w:lineRule="auto"/>
        <w:ind w:firstLine="402" w:firstLineChars="100"/>
        <w:jc w:val="center"/>
        <w:rPr>
          <w:rFonts w:hint="eastAsia" w:ascii="宋体" w:hAnsi="宋体"/>
          <w:b/>
          <w:bCs w:val="0"/>
          <w:color w:val="auto"/>
          <w:sz w:val="40"/>
          <w:szCs w:val="40"/>
          <w:u w:val="none"/>
        </w:rPr>
      </w:pPr>
    </w:p>
    <w:p w14:paraId="7F0B0DF9">
      <w:pPr>
        <w:spacing w:line="480" w:lineRule="auto"/>
        <w:ind w:firstLine="402" w:firstLineChars="100"/>
        <w:jc w:val="center"/>
        <w:rPr>
          <w:rFonts w:hint="eastAsia" w:ascii="宋体" w:hAnsi="宋体" w:eastAsia="宋体"/>
          <w:b/>
          <w:bCs w:val="0"/>
          <w:color w:val="auto"/>
          <w:sz w:val="36"/>
          <w:szCs w:val="36"/>
          <w:u w:val="none"/>
          <w:lang w:eastAsia="zh-CN"/>
        </w:rPr>
      </w:pPr>
      <w:r>
        <w:rPr>
          <w:rFonts w:hint="eastAsia" w:ascii="宋体" w:hAnsi="宋体"/>
          <w:b/>
          <w:bCs w:val="0"/>
          <w:color w:val="auto"/>
          <w:sz w:val="40"/>
          <w:szCs w:val="40"/>
          <w:u w:val="none"/>
        </w:rPr>
        <w:t>招标代理机构：</w:t>
      </w:r>
      <w:r>
        <w:rPr>
          <w:rFonts w:hint="eastAsia" w:ascii="宋体" w:hAnsi="宋体"/>
          <w:b/>
          <w:bCs w:val="0"/>
          <w:color w:val="auto"/>
          <w:sz w:val="36"/>
          <w:szCs w:val="36"/>
          <w:u w:val="none"/>
          <w:lang w:eastAsia="zh-CN"/>
        </w:rPr>
        <w:t>云南品众招标咨询有限公司</w:t>
      </w:r>
    </w:p>
    <w:p w14:paraId="4FABB84B">
      <w:pPr>
        <w:rPr>
          <w:rFonts w:ascii="宋体" w:hAnsi="宋体"/>
          <w:bCs/>
          <w:color w:val="auto"/>
          <w:sz w:val="36"/>
          <w:szCs w:val="36"/>
        </w:rPr>
      </w:pPr>
    </w:p>
    <w:p w14:paraId="1CEB2513">
      <w:pPr>
        <w:jc w:val="center"/>
        <w:rPr>
          <w:rFonts w:ascii="宋体" w:hAnsi="宋体"/>
          <w:b/>
          <w:bCs/>
          <w:color w:val="auto"/>
          <w:sz w:val="36"/>
          <w:szCs w:val="36"/>
        </w:rPr>
      </w:pPr>
      <w:r>
        <w:rPr>
          <w:rFonts w:hint="eastAsia" w:ascii="宋体" w:hAnsi="宋体"/>
          <w:b/>
          <w:bCs/>
          <w:color w:val="auto"/>
          <w:sz w:val="36"/>
          <w:szCs w:val="36"/>
        </w:rPr>
        <w:t xml:space="preserve">  </w:t>
      </w:r>
      <w:r>
        <w:rPr>
          <w:rFonts w:hint="eastAsia" w:ascii="宋体" w:hAnsi="宋体"/>
          <w:b/>
          <w:bCs/>
          <w:color w:val="auto"/>
          <w:sz w:val="36"/>
          <w:szCs w:val="36"/>
          <w:lang w:val="en-US" w:eastAsia="zh-CN"/>
        </w:rPr>
        <w:t>二〇二六</w:t>
      </w:r>
      <w:r>
        <w:rPr>
          <w:rFonts w:hint="eastAsia" w:ascii="宋体" w:hAnsi="宋体"/>
          <w:b/>
          <w:bCs/>
          <w:color w:val="auto"/>
          <w:sz w:val="36"/>
          <w:szCs w:val="36"/>
        </w:rPr>
        <w:t>年</w:t>
      </w:r>
      <w:r>
        <w:rPr>
          <w:rFonts w:hint="eastAsia" w:ascii="宋体" w:hAnsi="宋体"/>
          <w:b/>
          <w:bCs/>
          <w:color w:val="auto"/>
          <w:sz w:val="36"/>
          <w:szCs w:val="36"/>
          <w:lang w:val="en-US" w:eastAsia="zh-CN"/>
        </w:rPr>
        <w:t>八</w:t>
      </w:r>
      <w:r>
        <w:rPr>
          <w:rFonts w:hint="eastAsia" w:ascii="宋体" w:hAnsi="宋体"/>
          <w:b/>
          <w:bCs/>
          <w:color w:val="auto"/>
          <w:sz w:val="36"/>
          <w:szCs w:val="36"/>
        </w:rPr>
        <w:t>月</w:t>
      </w:r>
    </w:p>
    <w:p w14:paraId="25A2CA93">
      <w:pPr>
        <w:spacing w:line="900" w:lineRule="exact"/>
        <w:ind w:firstLine="3092" w:firstLineChars="700"/>
        <w:rPr>
          <w:rFonts w:ascii="宋体" w:hAnsi="宋体"/>
          <w:b/>
          <w:color w:val="auto"/>
          <w:sz w:val="44"/>
          <w:szCs w:val="22"/>
        </w:rPr>
      </w:pPr>
    </w:p>
    <w:p w14:paraId="21711C47">
      <w:pPr>
        <w:pStyle w:val="66"/>
        <w:rPr>
          <w:color w:val="auto"/>
        </w:rPr>
        <w:sectPr>
          <w:headerReference r:id="rId3" w:type="default"/>
          <w:footerReference r:id="rId5" w:type="default"/>
          <w:headerReference r:id="rId4" w:type="even"/>
          <w:footerReference r:id="rId6" w:type="even"/>
          <w:pgSz w:w="11906" w:h="16838"/>
          <w:pgMar w:top="1191" w:right="1020" w:bottom="1191" w:left="1077" w:header="851" w:footer="851" w:gutter="0"/>
          <w:pgNumType w:fmt="decimal" w:start="0"/>
          <w:cols w:space="720" w:num="1"/>
          <w:titlePg/>
          <w:docGrid w:type="lines" w:linePitch="314" w:charSpace="0"/>
        </w:sectPr>
      </w:pPr>
    </w:p>
    <w:p w14:paraId="2AA3E56A">
      <w:pPr>
        <w:pStyle w:val="66"/>
        <w:rPr>
          <w:color w:val="auto"/>
        </w:rPr>
      </w:pPr>
    </w:p>
    <w:p w14:paraId="13274163">
      <w:pPr>
        <w:pStyle w:val="57"/>
        <w:rPr>
          <w:rFonts w:ascii="宋体" w:hAnsi="宋体"/>
          <w:color w:val="auto"/>
        </w:rPr>
      </w:pPr>
    </w:p>
    <w:p w14:paraId="11AB81EC">
      <w:pPr>
        <w:pStyle w:val="584"/>
        <w:spacing w:line="360" w:lineRule="auto"/>
        <w:rPr>
          <w:rFonts w:ascii="宋体" w:hAnsi="宋体" w:eastAsia="宋体"/>
          <w:color w:val="auto"/>
          <w:sz w:val="44"/>
          <w:szCs w:val="44"/>
        </w:rPr>
      </w:pPr>
      <w:bookmarkStart w:id="1" w:name="_Toc7527"/>
      <w:r>
        <w:rPr>
          <w:rFonts w:hint="eastAsia" w:ascii="宋体" w:hAnsi="宋体" w:eastAsia="宋体"/>
          <w:color w:val="auto"/>
          <w:sz w:val="44"/>
          <w:szCs w:val="44"/>
        </w:rPr>
        <w:t>注意事项</w:t>
      </w:r>
      <w:bookmarkEnd w:id="1"/>
    </w:p>
    <w:p w14:paraId="749CA8D5">
      <w:pPr>
        <w:spacing w:line="500" w:lineRule="exact"/>
        <w:ind w:firstLine="420" w:firstLineChars="200"/>
        <w:rPr>
          <w:color w:val="auto"/>
        </w:rPr>
      </w:pPr>
      <w:r>
        <w:rPr>
          <w:rFonts w:hint="eastAsia"/>
          <w:color w:val="auto"/>
          <w:lang w:eastAsia="zh-CN"/>
        </w:rPr>
        <w:t>1.</w:t>
      </w:r>
      <w:r>
        <w:rPr>
          <w:rFonts w:hint="eastAsia"/>
          <w:color w:val="auto"/>
        </w:rPr>
        <w:t>申请人原则上采用网上远程解密方式参与投标。如有特殊情况，也可以选择在投标文件递交截止时间前，持</w:t>
      </w:r>
      <w:r>
        <w:rPr>
          <w:rFonts w:hint="eastAsia"/>
          <w:color w:val="auto"/>
          <w:lang w:eastAsia="zh-CN"/>
        </w:rPr>
        <w:t>加密</w:t>
      </w:r>
      <w:r>
        <w:rPr>
          <w:rFonts w:hint="eastAsia"/>
          <w:color w:val="auto"/>
        </w:rPr>
        <w:t>投标文件的CA数字证书到招标公告中明确的开标地点进行现场解密，招标文件其他要求不变。如因申请人自身原因导致所递交的投标文件无法解密的，后果及责任由投标人自行负责。</w:t>
      </w:r>
    </w:p>
    <w:p w14:paraId="05851160">
      <w:pPr>
        <w:spacing w:line="500" w:lineRule="exact"/>
        <w:ind w:firstLine="420" w:firstLineChars="200"/>
        <w:rPr>
          <w:color w:val="auto"/>
        </w:rPr>
      </w:pPr>
      <w:r>
        <w:rPr>
          <w:rFonts w:hint="eastAsia"/>
          <w:color w:val="auto"/>
          <w:lang w:eastAsia="zh-CN"/>
        </w:rPr>
        <w:t>2.</w:t>
      </w:r>
      <w:r>
        <w:rPr>
          <w:rFonts w:hint="eastAsia"/>
          <w:color w:val="auto"/>
        </w:rPr>
        <w:t>针对网上远程解密方式开标的项目，申请人登录云南省公共资源交易信息网，按照《云南省公共资源交易电子化平台电子交易系统2.0培训教材》，在截标时间前提前</w:t>
      </w:r>
      <w:r>
        <w:rPr>
          <w:rFonts w:hint="eastAsia"/>
          <w:color w:val="auto"/>
          <w:lang w:eastAsia="zh-CN"/>
        </w:rPr>
        <w:t>进入</w:t>
      </w:r>
      <w:r>
        <w:rPr>
          <w:rFonts w:hint="eastAsia"/>
          <w:color w:val="auto"/>
        </w:rPr>
        <w:t>“网上开标室”，根据网上远程解密、开标要求，在下达投标文件解密指令后30分钟内完成远程解密、查看开标一览表和签名确认等相关操作。若投标人没有在规定时</w:t>
      </w:r>
      <w:r>
        <w:rPr>
          <w:rFonts w:hint="eastAsia"/>
          <w:color w:val="auto"/>
          <w:lang w:eastAsia="zh-CN"/>
        </w:rPr>
        <w:t>间内</w:t>
      </w:r>
      <w:r>
        <w:rPr>
          <w:rFonts w:hint="eastAsia"/>
          <w:color w:val="auto"/>
        </w:rPr>
        <w:t>完成以上相关操作，则视为其撤销投标文件，放弃投标。开标过程中如有疑问，可以在线提出异议，由代理机构（招标人）回复。在规定的签名确认时间内不进行开标一览表确认的，视为对开标结果无异议。</w:t>
      </w:r>
    </w:p>
    <w:p w14:paraId="3251F17F">
      <w:pPr>
        <w:spacing w:line="500" w:lineRule="exact"/>
        <w:ind w:firstLine="420" w:firstLineChars="200"/>
        <w:rPr>
          <w:color w:val="auto"/>
        </w:rPr>
      </w:pPr>
      <w:r>
        <w:rPr>
          <w:rFonts w:hint="eastAsia"/>
          <w:color w:val="auto"/>
        </w:rPr>
        <w:t>技术操作咨询：北京筑龙信息技术有限责任公司</w:t>
      </w:r>
    </w:p>
    <w:p w14:paraId="5BDAC9C6">
      <w:pPr>
        <w:spacing w:line="500" w:lineRule="exact"/>
        <w:ind w:firstLine="420" w:firstLineChars="200"/>
        <w:rPr>
          <w:color w:val="auto"/>
        </w:rPr>
      </w:pPr>
      <w:r>
        <w:rPr>
          <w:rFonts w:hint="eastAsia"/>
          <w:color w:val="auto"/>
        </w:rPr>
        <w:t>服务热线：</w:t>
      </w:r>
      <w:r>
        <w:rPr>
          <w:rFonts w:hint="eastAsia"/>
          <w:color w:val="auto"/>
          <w:lang w:eastAsia="zh-CN"/>
        </w:rPr>
        <w:t>010-86483801</w:t>
      </w:r>
      <w:r>
        <w:rPr>
          <w:color w:val="auto"/>
        </w:rPr>
        <w:t xml:space="preserve"> </w:t>
      </w:r>
    </w:p>
    <w:p w14:paraId="235CAFE4">
      <w:pPr>
        <w:spacing w:line="500" w:lineRule="exact"/>
        <w:ind w:firstLine="420" w:firstLineChars="200"/>
        <w:rPr>
          <w:color w:val="auto"/>
        </w:rPr>
      </w:pPr>
      <w:r>
        <w:rPr>
          <w:rFonts w:hint="eastAsia"/>
          <w:color w:val="auto"/>
        </w:rPr>
        <w:t>注：上传投标文件时加密使用的CA数字证书是开标时对投标文件进行解密的必要工具，否则将不能解密。因投标人自身原因导致所递交的投标文件无法解密、导入失败的，均视为其撤销投标文件，后果及责任由投标人自行承担。</w:t>
      </w:r>
    </w:p>
    <w:p w14:paraId="6D667336">
      <w:pPr>
        <w:spacing w:line="500" w:lineRule="exact"/>
        <w:ind w:firstLine="420" w:firstLineChars="200"/>
        <w:rPr>
          <w:rFonts w:ascii="宋体" w:hAnsi="宋体"/>
          <w:color w:val="auto"/>
        </w:rPr>
      </w:pPr>
    </w:p>
    <w:p w14:paraId="70B50C7F">
      <w:pPr>
        <w:rPr>
          <w:color w:val="auto"/>
        </w:rPr>
      </w:pPr>
    </w:p>
    <w:p w14:paraId="51BCE491">
      <w:pPr>
        <w:rPr>
          <w:rFonts w:ascii="宋体" w:hAnsi="宋体"/>
          <w:color w:val="auto"/>
        </w:rPr>
      </w:pPr>
    </w:p>
    <w:p w14:paraId="61821F16">
      <w:pPr>
        <w:rPr>
          <w:color w:val="auto"/>
        </w:rPr>
      </w:pPr>
    </w:p>
    <w:p w14:paraId="414804D4">
      <w:pPr>
        <w:rPr>
          <w:rFonts w:ascii="宋体" w:hAnsi="宋体"/>
          <w:color w:val="auto"/>
        </w:rPr>
      </w:pPr>
    </w:p>
    <w:p w14:paraId="285B6D8F">
      <w:pPr>
        <w:rPr>
          <w:color w:val="auto"/>
        </w:rPr>
      </w:pPr>
    </w:p>
    <w:p w14:paraId="6D3C3516">
      <w:pPr>
        <w:spacing w:before="157" w:beforeLines="50" w:after="157" w:afterLines="50"/>
        <w:jc w:val="center"/>
        <w:rPr>
          <w:rFonts w:ascii="宋体" w:hAnsi="宋体"/>
          <w:color w:val="auto"/>
        </w:rPr>
      </w:pPr>
    </w:p>
    <w:p w14:paraId="401B9484">
      <w:pPr>
        <w:spacing w:before="157" w:beforeLines="50" w:after="157" w:afterLines="50"/>
        <w:jc w:val="center"/>
        <w:rPr>
          <w:rFonts w:ascii="宋体" w:hAnsi="宋体"/>
          <w:color w:val="auto"/>
        </w:rPr>
      </w:pPr>
    </w:p>
    <w:p w14:paraId="5C1F6996">
      <w:pPr>
        <w:spacing w:before="157" w:beforeLines="50" w:after="157" w:afterLines="50"/>
        <w:jc w:val="center"/>
        <w:rPr>
          <w:rFonts w:ascii="宋体" w:hAnsi="宋体"/>
          <w:color w:val="auto"/>
        </w:rPr>
      </w:pPr>
    </w:p>
    <w:p w14:paraId="2EAA3D65">
      <w:pPr>
        <w:rPr>
          <w:color w:val="auto"/>
        </w:rPr>
      </w:pPr>
    </w:p>
    <w:p w14:paraId="6924DD06">
      <w:pPr>
        <w:rPr>
          <w:color w:val="auto"/>
        </w:rPr>
      </w:pPr>
    </w:p>
    <w:p w14:paraId="325E0A31">
      <w:pPr>
        <w:spacing w:before="157" w:beforeLines="50" w:after="157" w:afterLines="50"/>
        <w:jc w:val="center"/>
        <w:rPr>
          <w:rFonts w:ascii="宋体" w:hAnsi="宋体"/>
          <w:color w:val="auto"/>
        </w:rPr>
      </w:pPr>
    </w:p>
    <w:p w14:paraId="777A7A4D">
      <w:pPr>
        <w:rPr>
          <w:rFonts w:ascii="宋体" w:hAnsi="宋体"/>
          <w:color w:val="auto"/>
          <w:sz w:val="36"/>
          <w:szCs w:val="36"/>
        </w:rPr>
      </w:pPr>
    </w:p>
    <w:p w14:paraId="0DA4F268">
      <w:pPr>
        <w:pStyle w:val="2"/>
        <w:rPr>
          <w:color w:val="auto"/>
        </w:rPr>
        <w:sectPr>
          <w:footerReference r:id="rId9" w:type="first"/>
          <w:footerReference r:id="rId7" w:type="default"/>
          <w:footerReference r:id="rId8" w:type="even"/>
          <w:pgSz w:w="11906" w:h="16838"/>
          <w:pgMar w:top="1191" w:right="1020" w:bottom="1191" w:left="1077" w:header="851" w:footer="851" w:gutter="0"/>
          <w:pgNumType w:fmt="decimal" w:start="1"/>
          <w:cols w:space="720" w:num="1"/>
          <w:docGrid w:type="lines" w:linePitch="314" w:charSpace="0"/>
        </w:sectPr>
      </w:pPr>
    </w:p>
    <w:p w14:paraId="5A2A01EC">
      <w:pPr>
        <w:pStyle w:val="2"/>
        <w:rPr>
          <w:color w:val="auto"/>
        </w:rPr>
      </w:pPr>
    </w:p>
    <w:p w14:paraId="0AA4DBE9">
      <w:pPr>
        <w:spacing w:before="157" w:beforeLines="50" w:after="157" w:afterLines="50"/>
        <w:jc w:val="center"/>
        <w:rPr>
          <w:rFonts w:ascii="宋体" w:hAnsi="宋体"/>
          <w:color w:val="auto"/>
          <w:sz w:val="36"/>
          <w:szCs w:val="36"/>
        </w:rPr>
      </w:pPr>
      <w:r>
        <w:rPr>
          <w:rFonts w:hint="eastAsia" w:ascii="宋体" w:hAnsi="宋体"/>
          <w:color w:val="auto"/>
          <w:sz w:val="36"/>
          <w:szCs w:val="36"/>
        </w:rPr>
        <w:t>电子投标文件编制及报送要求</w:t>
      </w:r>
    </w:p>
    <w:p w14:paraId="32914C21">
      <w:pPr>
        <w:spacing w:line="500" w:lineRule="exact"/>
        <w:ind w:firstLine="482"/>
        <w:rPr>
          <w:rFonts w:ascii="宋体" w:hAnsi="宋体" w:cs="Arial"/>
          <w:color w:val="auto"/>
        </w:rPr>
      </w:pPr>
      <w:r>
        <w:rPr>
          <w:rFonts w:hint="eastAsia" w:ascii="宋体" w:hAnsi="宋体" w:cs="Arial"/>
          <w:color w:val="auto"/>
          <w:lang w:eastAsia="zh-CN"/>
        </w:rPr>
        <w:t>1.</w:t>
      </w:r>
      <w:r>
        <w:rPr>
          <w:rFonts w:hint="eastAsia" w:ascii="宋体" w:hAnsi="宋体" w:cs="Arial"/>
          <w:color w:val="auto"/>
        </w:rPr>
        <w:t>电子投标文件的制作应使用《云南省工程建设模块化投标文件编制系统》，生成电子签名的投标文件，格式</w:t>
      </w:r>
      <w:r>
        <w:rPr>
          <w:rFonts w:hint="eastAsia" w:ascii="宋体" w:hAnsi="宋体" w:cs="Arial"/>
          <w:color w:val="auto"/>
          <w:lang w:eastAsia="zh-CN"/>
        </w:rPr>
        <w:t>为</w:t>
      </w:r>
      <w:r>
        <w:rPr>
          <w:rFonts w:ascii="宋体" w:hAnsi="宋体" w:cs="Arial"/>
          <w:color w:val="auto"/>
        </w:rPr>
        <w:t>*.BTBJ</w:t>
      </w:r>
      <w:r>
        <w:rPr>
          <w:rFonts w:hint="eastAsia" w:ascii="宋体" w:hAnsi="宋体" w:cs="Arial"/>
          <w:color w:val="auto"/>
        </w:rPr>
        <w:t>（此文件须网上递交）。</w:t>
      </w:r>
    </w:p>
    <w:p w14:paraId="5AB91F8B">
      <w:pPr>
        <w:spacing w:line="500" w:lineRule="exact"/>
        <w:ind w:firstLine="482"/>
        <w:rPr>
          <w:rFonts w:ascii="宋体" w:hAnsi="宋体" w:cs="Arial"/>
          <w:color w:val="auto"/>
        </w:rPr>
      </w:pPr>
      <w:r>
        <w:rPr>
          <w:rFonts w:hint="eastAsia" w:ascii="宋体" w:hAnsi="宋体" w:cs="Arial"/>
          <w:color w:val="auto"/>
          <w:lang w:eastAsia="zh-CN"/>
        </w:rPr>
        <w:t>2.</w:t>
      </w:r>
      <w:r>
        <w:rPr>
          <w:rFonts w:hint="eastAsia" w:ascii="宋体" w:hAnsi="宋体" w:cs="Arial"/>
          <w:color w:val="auto"/>
        </w:rPr>
        <w:t>《云南省工程建设模块化投标文件编制系统》提供数字证书（CA）对投标文件进行加密功能。投标人对网上递交的投标文件应加密，如果投标人使用某个数字证书（CA）对投标文件进行了数字证书（CA）加密，需要在开标会上使用该数字证书（CA）进行远程解密，才能读取或导入投标文件，因投标人原因造成投标文件未解密的，视为撤回其投标文件。</w:t>
      </w:r>
    </w:p>
    <w:p w14:paraId="44B5CBED">
      <w:pPr>
        <w:spacing w:line="500" w:lineRule="exact"/>
        <w:ind w:firstLine="482"/>
        <w:rPr>
          <w:rFonts w:ascii="宋体" w:hAnsi="宋体" w:cs="Arial"/>
          <w:color w:val="auto"/>
        </w:rPr>
      </w:pPr>
      <w:r>
        <w:rPr>
          <w:rFonts w:hint="eastAsia" w:ascii="宋体" w:hAnsi="宋体" w:cs="Arial"/>
          <w:color w:val="auto"/>
          <w:lang w:eastAsia="zh-CN"/>
        </w:rPr>
        <w:t>3.</w:t>
      </w:r>
      <w:r>
        <w:rPr>
          <w:rFonts w:hint="eastAsia" w:ascii="宋体" w:hAnsi="宋体" w:cs="Arial"/>
          <w:color w:val="auto"/>
        </w:rPr>
        <w:t>网上递交投标文件应根据招标文件要求，在投标截止时间前将电子投标文件通过云南省公共资源交易信息网（网址：https://ggzy.yn.gov.cn/）上传至指定的开标项目，并打印“网上递交投标文件回执”，以表明上传成功。同时，应自行核验下载上传成功的投标文件，并进行查看和解密以确保上传投标文件的正确性。</w:t>
      </w:r>
    </w:p>
    <w:p w14:paraId="69BEACC0">
      <w:pPr>
        <w:spacing w:line="500" w:lineRule="exact"/>
        <w:ind w:firstLine="482"/>
        <w:rPr>
          <w:rFonts w:ascii="宋体" w:hAnsi="宋体" w:cs="宋体"/>
          <w:color w:val="auto"/>
          <w:kern w:val="1"/>
        </w:rPr>
      </w:pPr>
      <w:r>
        <w:rPr>
          <w:rFonts w:hint="eastAsia" w:ascii="宋体" w:hAnsi="宋体" w:cs="Arial"/>
          <w:color w:val="auto"/>
          <w:lang w:eastAsia="zh-CN"/>
        </w:rPr>
        <w:t>4.</w:t>
      </w:r>
      <w:r>
        <w:rPr>
          <w:rFonts w:hint="eastAsia" w:ascii="宋体" w:hAnsi="宋体" w:cs="Arial"/>
          <w:color w:val="auto"/>
        </w:rPr>
        <w:t>投标人投标时，须按本附件“电子投标文件编制及报送要求”规定编制及网上递交电子投标文件，如果投标人没有按规定网上递交电子投标文件，视为投标无效，现场光盘不再接收。</w:t>
      </w:r>
    </w:p>
    <w:p w14:paraId="2D3D75C1">
      <w:pPr>
        <w:spacing w:line="500" w:lineRule="exact"/>
        <w:ind w:firstLine="482"/>
        <w:rPr>
          <w:rFonts w:ascii="宋体" w:hAnsi="宋体" w:cs="宋体"/>
          <w:color w:val="auto"/>
          <w:kern w:val="1"/>
        </w:rPr>
      </w:pPr>
      <w:r>
        <w:rPr>
          <w:rFonts w:hint="eastAsia" w:ascii="宋体" w:hAnsi="宋体" w:cs="宋体"/>
          <w:color w:val="auto"/>
          <w:kern w:val="1"/>
          <w:lang w:eastAsia="zh-CN"/>
        </w:rPr>
        <w:t>5.</w:t>
      </w:r>
      <w:r>
        <w:rPr>
          <w:rFonts w:hint="eastAsia" w:ascii="宋体" w:hAnsi="宋体" w:cs="宋体"/>
          <w:color w:val="auto"/>
          <w:kern w:val="1"/>
        </w:rPr>
        <w:t>该投标文件制作及报送要求如果与招标文件规定不一致，以此投标文件制作及报送要求为准。</w:t>
      </w:r>
    </w:p>
    <w:p w14:paraId="583B706E">
      <w:pPr>
        <w:spacing w:line="500" w:lineRule="exact"/>
        <w:ind w:firstLine="482"/>
        <w:rPr>
          <w:rFonts w:ascii="宋体" w:hAnsi="宋体" w:cs="宋体"/>
          <w:color w:val="auto"/>
          <w:kern w:val="1"/>
        </w:rPr>
      </w:pPr>
      <w:r>
        <w:rPr>
          <w:rFonts w:hint="eastAsia" w:ascii="宋体" w:hAnsi="宋体" w:cs="宋体"/>
          <w:color w:val="auto"/>
          <w:kern w:val="1"/>
          <w:lang w:eastAsia="zh-CN"/>
        </w:rPr>
        <w:t>6.</w:t>
      </w:r>
      <w:r>
        <w:rPr>
          <w:rFonts w:hint="eastAsia" w:ascii="宋体" w:hAnsi="宋体" w:cs="宋体"/>
          <w:color w:val="auto"/>
          <w:kern w:val="1"/>
        </w:rPr>
        <w:t>在编制技术标投标文件时，粘贴图片使用JPG格式的文件，</w:t>
      </w:r>
      <w:r>
        <w:rPr>
          <w:rFonts w:hint="eastAsia" w:ascii="宋体" w:hAnsi="宋体" w:cs="宋体"/>
          <w:color w:val="auto"/>
          <w:kern w:val="1"/>
          <w:lang w:eastAsia="zh-CN"/>
        </w:rPr>
        <w:t>并且每张图片的分辨率</w:t>
      </w:r>
      <w:r>
        <w:rPr>
          <w:rFonts w:hint="eastAsia" w:ascii="宋体" w:hAnsi="宋体" w:cs="宋体"/>
          <w:color w:val="auto"/>
          <w:kern w:val="1"/>
        </w:rPr>
        <w:t>应小于100dpi。</w:t>
      </w:r>
    </w:p>
    <w:p w14:paraId="19851DD6">
      <w:pPr>
        <w:pStyle w:val="57"/>
        <w:rPr>
          <w:color w:val="auto"/>
        </w:rPr>
      </w:pPr>
    </w:p>
    <w:p w14:paraId="1B9AED0F">
      <w:pPr>
        <w:rPr>
          <w:color w:val="auto"/>
        </w:rPr>
      </w:pPr>
    </w:p>
    <w:p w14:paraId="3F49F745">
      <w:pPr>
        <w:pStyle w:val="57"/>
        <w:rPr>
          <w:color w:val="auto"/>
        </w:rPr>
      </w:pPr>
    </w:p>
    <w:p w14:paraId="02AC2C53">
      <w:pPr>
        <w:rPr>
          <w:color w:val="auto"/>
        </w:rPr>
      </w:pPr>
    </w:p>
    <w:p w14:paraId="55AA9702">
      <w:pPr>
        <w:pStyle w:val="57"/>
        <w:rPr>
          <w:color w:val="auto"/>
        </w:rPr>
      </w:pPr>
    </w:p>
    <w:p w14:paraId="4D99B367">
      <w:pPr>
        <w:rPr>
          <w:color w:val="auto"/>
        </w:rPr>
      </w:pPr>
    </w:p>
    <w:p w14:paraId="68699F7F">
      <w:pPr>
        <w:pStyle w:val="57"/>
        <w:rPr>
          <w:color w:val="auto"/>
        </w:rPr>
      </w:pPr>
    </w:p>
    <w:p w14:paraId="56E42836">
      <w:pPr>
        <w:rPr>
          <w:color w:val="auto"/>
        </w:rPr>
      </w:pPr>
    </w:p>
    <w:p w14:paraId="592D1E26">
      <w:pPr>
        <w:pStyle w:val="57"/>
        <w:ind w:left="0"/>
        <w:rPr>
          <w:color w:val="auto"/>
        </w:rPr>
        <w:sectPr>
          <w:footerReference r:id="rId10" w:type="default"/>
          <w:footerReference r:id="rId11" w:type="even"/>
          <w:pgSz w:w="11906" w:h="16838"/>
          <w:pgMar w:top="1191" w:right="1020" w:bottom="1191" w:left="1077" w:header="851" w:footer="851" w:gutter="0"/>
          <w:pgNumType w:fmt="decimal" w:start="1"/>
          <w:cols w:space="720" w:num="1"/>
          <w:docGrid w:type="lines" w:linePitch="314" w:charSpace="0"/>
        </w:sectPr>
      </w:pPr>
    </w:p>
    <w:p w14:paraId="7C8C6DB2">
      <w:pPr>
        <w:spacing w:line="540" w:lineRule="exact"/>
        <w:jc w:val="center"/>
        <w:rPr>
          <w:rFonts w:hint="eastAsia" w:ascii="宋体" w:hAnsi="宋体"/>
          <w:b/>
          <w:color w:val="auto"/>
          <w:sz w:val="44"/>
          <w:szCs w:val="44"/>
        </w:rPr>
      </w:pPr>
    </w:p>
    <w:p w14:paraId="455148F3">
      <w:pPr>
        <w:spacing w:line="540" w:lineRule="exact"/>
        <w:jc w:val="center"/>
        <w:rPr>
          <w:rFonts w:ascii="宋体" w:hAnsi="宋体"/>
          <w:b/>
          <w:color w:val="auto"/>
          <w:sz w:val="44"/>
          <w:szCs w:val="44"/>
        </w:rPr>
      </w:pPr>
      <w:r>
        <w:rPr>
          <w:rFonts w:hint="eastAsia" w:ascii="宋体" w:hAnsi="宋体"/>
          <w:b/>
          <w:color w:val="auto"/>
          <w:sz w:val="44"/>
          <w:szCs w:val="44"/>
        </w:rPr>
        <w:t>目  录</w:t>
      </w:r>
    </w:p>
    <w:p w14:paraId="37FE0EAE">
      <w:pPr>
        <w:pStyle w:val="46"/>
        <w:spacing w:line="440" w:lineRule="exact"/>
        <w:ind w:firstLine="482" w:firstLineChars="200"/>
        <w:rPr>
          <w:rFonts w:ascii="宋体" w:hAnsi="宋体" w:eastAsia="宋体" w:cs="Times New Roman"/>
          <w:b/>
          <w:bCs/>
          <w:caps/>
          <w:color w:val="auto"/>
          <w:kern w:val="0"/>
          <w:sz w:val="24"/>
          <w:szCs w:val="20"/>
          <w:lang w:val="en-US" w:eastAsia="zh-CN" w:bidi="ar-SA"/>
        </w:rPr>
      </w:pPr>
      <w:r>
        <w:rPr>
          <w:rFonts w:hint="eastAsia" w:ascii="宋体" w:hAnsi="宋体"/>
          <w:color w:val="auto"/>
          <w:sz w:val="24"/>
          <w:szCs w:val="24"/>
        </w:rPr>
        <w:t xml:space="preserve">  </w:t>
      </w:r>
      <w:r>
        <w:rPr>
          <w:rFonts w:ascii="宋体" w:hAnsi="宋体"/>
          <w:color w:val="auto"/>
          <w:sz w:val="24"/>
          <w:szCs w:val="24"/>
        </w:rPr>
        <w:fldChar w:fldCharType="begin"/>
      </w:r>
      <w:r>
        <w:rPr>
          <w:rFonts w:ascii="宋体" w:hAnsi="宋体"/>
          <w:color w:val="auto"/>
          <w:sz w:val="24"/>
          <w:szCs w:val="24"/>
        </w:rPr>
        <w:instrText xml:space="preserve"> TOC \o "1-3" \h \z \u </w:instrText>
      </w:r>
      <w:r>
        <w:rPr>
          <w:rFonts w:ascii="宋体" w:hAnsi="宋体"/>
          <w:color w:val="auto"/>
          <w:sz w:val="24"/>
          <w:szCs w:val="24"/>
        </w:rPr>
        <w:fldChar w:fldCharType="separate"/>
      </w:r>
    </w:p>
    <w:p w14:paraId="5DAE35F3">
      <w:pPr>
        <w:pStyle w:val="46"/>
        <w:keepNext w:val="0"/>
        <w:keepLines w:val="0"/>
        <w:pageBreakBefore w:val="0"/>
        <w:widowControl/>
        <w:tabs>
          <w:tab w:val="right" w:leader="dot" w:pos="9411"/>
          <w:tab w:val="clear" w:pos="9540"/>
        </w:tabs>
        <w:kinsoku/>
        <w:wordWrap/>
        <w:overflowPunct/>
        <w:topLinePunct w:val="0"/>
        <w:autoSpaceDE/>
        <w:autoSpaceDN/>
        <w:bidi w:val="0"/>
        <w:adjustRightInd/>
        <w:snapToGrid/>
        <w:spacing w:line="1000" w:lineRule="exact"/>
        <w:textAlignment w:val="auto"/>
        <w:rPr>
          <w:color w:val="auto"/>
          <w:sz w:val="28"/>
          <w:szCs w:val="28"/>
        </w:rPr>
      </w:pPr>
      <w:r>
        <w:rPr>
          <w:rFonts w:ascii="宋体" w:hAnsi="宋体"/>
          <w:color w:val="auto"/>
          <w:sz w:val="28"/>
          <w:szCs w:val="28"/>
        </w:rPr>
        <w:fldChar w:fldCharType="begin"/>
      </w:r>
      <w:r>
        <w:rPr>
          <w:rFonts w:ascii="宋体" w:hAnsi="宋体"/>
          <w:color w:val="auto"/>
          <w:sz w:val="28"/>
          <w:szCs w:val="28"/>
        </w:rPr>
        <w:instrText xml:space="preserve"> HYPERLINK \l _Toc414 </w:instrText>
      </w:r>
      <w:r>
        <w:rPr>
          <w:rFonts w:ascii="宋体" w:hAnsi="宋体"/>
          <w:color w:val="auto"/>
          <w:sz w:val="28"/>
          <w:szCs w:val="28"/>
        </w:rPr>
        <w:fldChar w:fldCharType="separate"/>
      </w:r>
      <w:r>
        <w:rPr>
          <w:rFonts w:hint="eastAsia" w:hAnsi="宋体"/>
          <w:color w:val="auto"/>
          <w:sz w:val="28"/>
          <w:szCs w:val="48"/>
          <w:lang w:val="en-US" w:eastAsia="zh-CN"/>
        </w:rPr>
        <w:t xml:space="preserve">第一章 </w:t>
      </w:r>
      <w:r>
        <w:rPr>
          <w:rFonts w:hint="eastAsia" w:hAnsi="宋体"/>
          <w:color w:val="auto"/>
          <w:sz w:val="28"/>
          <w:szCs w:val="48"/>
        </w:rPr>
        <w:t>招标公告</w:t>
      </w:r>
      <w:r>
        <w:rPr>
          <w:color w:val="auto"/>
          <w:sz w:val="28"/>
          <w:szCs w:val="28"/>
        </w:rPr>
        <w:tab/>
      </w:r>
      <w:r>
        <w:rPr>
          <w:color w:val="auto"/>
          <w:sz w:val="28"/>
          <w:szCs w:val="28"/>
        </w:rPr>
        <w:fldChar w:fldCharType="begin"/>
      </w:r>
      <w:r>
        <w:rPr>
          <w:color w:val="auto"/>
          <w:sz w:val="28"/>
          <w:szCs w:val="28"/>
        </w:rPr>
        <w:instrText xml:space="preserve"> PAGEREF _Toc414 \h </w:instrText>
      </w:r>
      <w:r>
        <w:rPr>
          <w:color w:val="auto"/>
          <w:sz w:val="28"/>
          <w:szCs w:val="28"/>
        </w:rPr>
        <w:fldChar w:fldCharType="separate"/>
      </w:r>
      <w:r>
        <w:rPr>
          <w:color w:val="auto"/>
          <w:sz w:val="28"/>
          <w:szCs w:val="28"/>
        </w:rPr>
        <w:t>- 1 -</w:t>
      </w:r>
      <w:r>
        <w:rPr>
          <w:color w:val="auto"/>
          <w:sz w:val="28"/>
          <w:szCs w:val="28"/>
        </w:rPr>
        <w:fldChar w:fldCharType="end"/>
      </w:r>
      <w:r>
        <w:rPr>
          <w:rFonts w:ascii="宋体" w:hAnsi="宋体"/>
          <w:color w:val="auto"/>
          <w:sz w:val="28"/>
          <w:szCs w:val="28"/>
        </w:rPr>
        <w:fldChar w:fldCharType="end"/>
      </w:r>
    </w:p>
    <w:p w14:paraId="6983E0C1">
      <w:pPr>
        <w:pStyle w:val="46"/>
        <w:keepNext w:val="0"/>
        <w:keepLines w:val="0"/>
        <w:pageBreakBefore w:val="0"/>
        <w:widowControl/>
        <w:tabs>
          <w:tab w:val="right" w:leader="dot" w:pos="9411"/>
          <w:tab w:val="clear" w:pos="9540"/>
        </w:tabs>
        <w:kinsoku/>
        <w:wordWrap/>
        <w:overflowPunct/>
        <w:topLinePunct w:val="0"/>
        <w:autoSpaceDE/>
        <w:autoSpaceDN/>
        <w:bidi w:val="0"/>
        <w:adjustRightInd/>
        <w:snapToGrid/>
        <w:spacing w:line="1000" w:lineRule="exact"/>
        <w:textAlignment w:val="auto"/>
        <w:rPr>
          <w:color w:val="auto"/>
          <w:sz w:val="28"/>
          <w:szCs w:val="28"/>
        </w:rPr>
      </w:pPr>
      <w:r>
        <w:rPr>
          <w:rFonts w:ascii="宋体" w:hAnsi="宋体"/>
          <w:color w:val="auto"/>
          <w:sz w:val="28"/>
          <w:szCs w:val="28"/>
        </w:rPr>
        <w:fldChar w:fldCharType="begin"/>
      </w:r>
      <w:r>
        <w:rPr>
          <w:rFonts w:ascii="宋体" w:hAnsi="宋体"/>
          <w:color w:val="auto"/>
          <w:sz w:val="28"/>
          <w:szCs w:val="28"/>
        </w:rPr>
        <w:instrText xml:space="preserve"> HYPERLINK \l _Toc28818 </w:instrText>
      </w:r>
      <w:r>
        <w:rPr>
          <w:rFonts w:ascii="宋体" w:hAnsi="宋体"/>
          <w:color w:val="auto"/>
          <w:sz w:val="28"/>
          <w:szCs w:val="28"/>
        </w:rPr>
        <w:fldChar w:fldCharType="separate"/>
      </w:r>
      <w:r>
        <w:rPr>
          <w:rFonts w:hint="eastAsia"/>
          <w:color w:val="auto"/>
          <w:sz w:val="28"/>
          <w:szCs w:val="60"/>
        </w:rPr>
        <w:t>第二章 投标须知及投</w:t>
      </w:r>
      <w:bookmarkStart w:id="504" w:name="_GoBack"/>
      <w:bookmarkEnd w:id="504"/>
      <w:r>
        <w:rPr>
          <w:rFonts w:hint="eastAsia"/>
          <w:color w:val="auto"/>
          <w:sz w:val="28"/>
          <w:szCs w:val="60"/>
        </w:rPr>
        <w:t>标须知前附表</w:t>
      </w:r>
      <w:r>
        <w:rPr>
          <w:color w:val="auto"/>
          <w:sz w:val="28"/>
          <w:szCs w:val="28"/>
        </w:rPr>
        <w:tab/>
      </w:r>
      <w:r>
        <w:rPr>
          <w:color w:val="auto"/>
          <w:sz w:val="28"/>
          <w:szCs w:val="28"/>
        </w:rPr>
        <w:fldChar w:fldCharType="begin"/>
      </w:r>
      <w:r>
        <w:rPr>
          <w:color w:val="auto"/>
          <w:sz w:val="28"/>
          <w:szCs w:val="28"/>
        </w:rPr>
        <w:instrText xml:space="preserve"> PAGEREF _Toc28818 \h </w:instrText>
      </w:r>
      <w:r>
        <w:rPr>
          <w:color w:val="auto"/>
          <w:sz w:val="28"/>
          <w:szCs w:val="28"/>
        </w:rPr>
        <w:fldChar w:fldCharType="separate"/>
      </w:r>
      <w:r>
        <w:rPr>
          <w:color w:val="auto"/>
          <w:sz w:val="28"/>
          <w:szCs w:val="28"/>
        </w:rPr>
        <w:t>- 6 -</w:t>
      </w:r>
      <w:r>
        <w:rPr>
          <w:color w:val="auto"/>
          <w:sz w:val="28"/>
          <w:szCs w:val="28"/>
        </w:rPr>
        <w:fldChar w:fldCharType="end"/>
      </w:r>
      <w:r>
        <w:rPr>
          <w:rFonts w:ascii="宋体" w:hAnsi="宋体"/>
          <w:color w:val="auto"/>
          <w:sz w:val="28"/>
          <w:szCs w:val="28"/>
        </w:rPr>
        <w:fldChar w:fldCharType="end"/>
      </w:r>
    </w:p>
    <w:p w14:paraId="31672F11">
      <w:pPr>
        <w:pStyle w:val="46"/>
        <w:keepNext w:val="0"/>
        <w:keepLines w:val="0"/>
        <w:pageBreakBefore w:val="0"/>
        <w:widowControl/>
        <w:tabs>
          <w:tab w:val="right" w:leader="dot" w:pos="9411"/>
          <w:tab w:val="clear" w:pos="9540"/>
        </w:tabs>
        <w:kinsoku/>
        <w:wordWrap/>
        <w:overflowPunct/>
        <w:topLinePunct w:val="0"/>
        <w:autoSpaceDE/>
        <w:autoSpaceDN/>
        <w:bidi w:val="0"/>
        <w:adjustRightInd/>
        <w:snapToGrid/>
        <w:spacing w:line="1000" w:lineRule="exact"/>
        <w:textAlignment w:val="auto"/>
        <w:rPr>
          <w:color w:val="auto"/>
          <w:sz w:val="28"/>
          <w:szCs w:val="28"/>
        </w:rPr>
      </w:pPr>
      <w:r>
        <w:rPr>
          <w:rFonts w:ascii="宋体" w:hAnsi="宋体"/>
          <w:color w:val="auto"/>
          <w:sz w:val="28"/>
          <w:szCs w:val="28"/>
        </w:rPr>
        <w:fldChar w:fldCharType="begin"/>
      </w:r>
      <w:r>
        <w:rPr>
          <w:rFonts w:ascii="宋体" w:hAnsi="宋体"/>
          <w:color w:val="auto"/>
          <w:sz w:val="28"/>
          <w:szCs w:val="28"/>
        </w:rPr>
        <w:instrText xml:space="preserve"> HYPERLINK \l _Toc13004 </w:instrText>
      </w:r>
      <w:r>
        <w:rPr>
          <w:rFonts w:ascii="宋体" w:hAnsi="宋体"/>
          <w:color w:val="auto"/>
          <w:sz w:val="28"/>
          <w:szCs w:val="28"/>
        </w:rPr>
        <w:fldChar w:fldCharType="separate"/>
      </w:r>
      <w:r>
        <w:rPr>
          <w:rFonts w:hint="eastAsia" w:hAnsi="宋体"/>
          <w:bCs w:val="0"/>
          <w:color w:val="auto"/>
          <w:sz w:val="28"/>
          <w:szCs w:val="28"/>
        </w:rPr>
        <w:t>第三章 评标办法（综合评估法）</w:t>
      </w:r>
      <w:r>
        <w:rPr>
          <w:color w:val="auto"/>
          <w:sz w:val="28"/>
          <w:szCs w:val="28"/>
        </w:rPr>
        <w:tab/>
      </w:r>
      <w:r>
        <w:rPr>
          <w:color w:val="auto"/>
          <w:sz w:val="28"/>
          <w:szCs w:val="28"/>
        </w:rPr>
        <w:fldChar w:fldCharType="begin"/>
      </w:r>
      <w:r>
        <w:rPr>
          <w:color w:val="auto"/>
          <w:sz w:val="28"/>
          <w:szCs w:val="28"/>
        </w:rPr>
        <w:instrText xml:space="preserve"> PAGEREF _Toc13004 \h </w:instrText>
      </w:r>
      <w:r>
        <w:rPr>
          <w:color w:val="auto"/>
          <w:sz w:val="28"/>
          <w:szCs w:val="28"/>
        </w:rPr>
        <w:fldChar w:fldCharType="separate"/>
      </w:r>
      <w:r>
        <w:rPr>
          <w:color w:val="auto"/>
          <w:sz w:val="28"/>
          <w:szCs w:val="28"/>
        </w:rPr>
        <w:t>- 25 -</w:t>
      </w:r>
      <w:r>
        <w:rPr>
          <w:color w:val="auto"/>
          <w:sz w:val="28"/>
          <w:szCs w:val="28"/>
        </w:rPr>
        <w:fldChar w:fldCharType="end"/>
      </w:r>
      <w:r>
        <w:rPr>
          <w:rFonts w:ascii="宋体" w:hAnsi="宋体"/>
          <w:color w:val="auto"/>
          <w:sz w:val="28"/>
          <w:szCs w:val="28"/>
        </w:rPr>
        <w:fldChar w:fldCharType="end"/>
      </w:r>
    </w:p>
    <w:p w14:paraId="09D33CD3">
      <w:pPr>
        <w:pStyle w:val="46"/>
        <w:keepNext w:val="0"/>
        <w:keepLines w:val="0"/>
        <w:pageBreakBefore w:val="0"/>
        <w:widowControl/>
        <w:tabs>
          <w:tab w:val="right" w:leader="dot" w:pos="9411"/>
          <w:tab w:val="clear" w:pos="9540"/>
        </w:tabs>
        <w:kinsoku/>
        <w:wordWrap/>
        <w:overflowPunct/>
        <w:topLinePunct w:val="0"/>
        <w:autoSpaceDE/>
        <w:autoSpaceDN/>
        <w:bidi w:val="0"/>
        <w:adjustRightInd/>
        <w:snapToGrid/>
        <w:spacing w:line="1000" w:lineRule="exact"/>
        <w:textAlignment w:val="auto"/>
        <w:rPr>
          <w:color w:val="auto"/>
          <w:sz w:val="28"/>
          <w:szCs w:val="28"/>
        </w:rPr>
      </w:pPr>
      <w:r>
        <w:rPr>
          <w:rFonts w:ascii="宋体" w:hAnsi="宋体"/>
          <w:color w:val="auto"/>
          <w:sz w:val="28"/>
          <w:szCs w:val="28"/>
        </w:rPr>
        <w:fldChar w:fldCharType="begin"/>
      </w:r>
      <w:r>
        <w:rPr>
          <w:rFonts w:ascii="宋体" w:hAnsi="宋体"/>
          <w:color w:val="auto"/>
          <w:sz w:val="28"/>
          <w:szCs w:val="28"/>
        </w:rPr>
        <w:instrText xml:space="preserve"> HYPERLINK \l _Toc4012 </w:instrText>
      </w:r>
      <w:r>
        <w:rPr>
          <w:rFonts w:ascii="宋体" w:hAnsi="宋体"/>
          <w:color w:val="auto"/>
          <w:sz w:val="28"/>
          <w:szCs w:val="28"/>
        </w:rPr>
        <w:fldChar w:fldCharType="separate"/>
      </w:r>
      <w:r>
        <w:rPr>
          <w:rFonts w:hint="eastAsia" w:hAnsi="宋体"/>
          <w:bCs w:val="0"/>
          <w:color w:val="auto"/>
          <w:sz w:val="28"/>
          <w:szCs w:val="28"/>
        </w:rPr>
        <w:t>第四章</w:t>
      </w:r>
      <w:r>
        <w:rPr>
          <w:rFonts w:hint="eastAsia" w:hAnsi="宋体"/>
          <w:bCs w:val="0"/>
          <w:color w:val="auto"/>
          <w:sz w:val="28"/>
          <w:szCs w:val="28"/>
          <w:lang w:val="en-US" w:eastAsia="zh-CN"/>
        </w:rPr>
        <w:t xml:space="preserve"> </w:t>
      </w:r>
      <w:r>
        <w:rPr>
          <w:rFonts w:hint="eastAsia" w:hAnsi="宋体"/>
          <w:bCs w:val="0"/>
          <w:color w:val="auto"/>
          <w:sz w:val="28"/>
          <w:szCs w:val="28"/>
        </w:rPr>
        <w:t>合同条款及格式</w:t>
      </w:r>
      <w:r>
        <w:rPr>
          <w:color w:val="auto"/>
          <w:sz w:val="28"/>
          <w:szCs w:val="28"/>
        </w:rPr>
        <w:tab/>
      </w:r>
      <w:r>
        <w:rPr>
          <w:color w:val="auto"/>
          <w:sz w:val="28"/>
          <w:szCs w:val="28"/>
        </w:rPr>
        <w:fldChar w:fldCharType="begin"/>
      </w:r>
      <w:r>
        <w:rPr>
          <w:color w:val="auto"/>
          <w:sz w:val="28"/>
          <w:szCs w:val="28"/>
        </w:rPr>
        <w:instrText xml:space="preserve"> PAGEREF _Toc4012 \h </w:instrText>
      </w:r>
      <w:r>
        <w:rPr>
          <w:color w:val="auto"/>
          <w:sz w:val="28"/>
          <w:szCs w:val="28"/>
        </w:rPr>
        <w:fldChar w:fldCharType="separate"/>
      </w:r>
      <w:r>
        <w:rPr>
          <w:color w:val="auto"/>
          <w:sz w:val="28"/>
          <w:szCs w:val="28"/>
        </w:rPr>
        <w:t>- 33 -</w:t>
      </w:r>
      <w:r>
        <w:rPr>
          <w:color w:val="auto"/>
          <w:sz w:val="28"/>
          <w:szCs w:val="28"/>
        </w:rPr>
        <w:fldChar w:fldCharType="end"/>
      </w:r>
      <w:r>
        <w:rPr>
          <w:rFonts w:ascii="宋体" w:hAnsi="宋体"/>
          <w:color w:val="auto"/>
          <w:sz w:val="28"/>
          <w:szCs w:val="28"/>
        </w:rPr>
        <w:fldChar w:fldCharType="end"/>
      </w:r>
    </w:p>
    <w:p w14:paraId="565BC5CB">
      <w:pPr>
        <w:pStyle w:val="46"/>
        <w:keepNext w:val="0"/>
        <w:keepLines w:val="0"/>
        <w:pageBreakBefore w:val="0"/>
        <w:widowControl/>
        <w:tabs>
          <w:tab w:val="right" w:leader="dot" w:pos="9411"/>
          <w:tab w:val="clear" w:pos="9540"/>
        </w:tabs>
        <w:kinsoku/>
        <w:wordWrap/>
        <w:overflowPunct/>
        <w:topLinePunct w:val="0"/>
        <w:autoSpaceDE/>
        <w:autoSpaceDN/>
        <w:bidi w:val="0"/>
        <w:adjustRightInd/>
        <w:snapToGrid/>
        <w:spacing w:line="1000" w:lineRule="exact"/>
        <w:textAlignment w:val="auto"/>
        <w:rPr>
          <w:color w:val="auto"/>
          <w:sz w:val="28"/>
          <w:szCs w:val="28"/>
        </w:rPr>
      </w:pPr>
      <w:r>
        <w:rPr>
          <w:rFonts w:ascii="宋体" w:hAnsi="宋体"/>
          <w:color w:val="auto"/>
          <w:sz w:val="28"/>
          <w:szCs w:val="28"/>
        </w:rPr>
        <w:fldChar w:fldCharType="begin"/>
      </w:r>
      <w:r>
        <w:rPr>
          <w:rFonts w:ascii="宋体" w:hAnsi="宋体"/>
          <w:color w:val="auto"/>
          <w:sz w:val="28"/>
          <w:szCs w:val="28"/>
        </w:rPr>
        <w:instrText xml:space="preserve"> HYPERLINK \l _Toc22912 </w:instrText>
      </w:r>
      <w:r>
        <w:rPr>
          <w:rFonts w:ascii="宋体" w:hAnsi="宋体"/>
          <w:color w:val="auto"/>
          <w:sz w:val="28"/>
          <w:szCs w:val="28"/>
        </w:rPr>
        <w:fldChar w:fldCharType="separate"/>
      </w:r>
      <w:r>
        <w:rPr>
          <w:rFonts w:hint="eastAsia" w:hAnsi="宋体"/>
          <w:bCs w:val="0"/>
          <w:color w:val="auto"/>
          <w:sz w:val="28"/>
          <w:szCs w:val="28"/>
        </w:rPr>
        <w:t>第五章 投标文件</w:t>
      </w:r>
      <w:r>
        <w:rPr>
          <w:rFonts w:hAnsi="宋体"/>
          <w:bCs w:val="0"/>
          <w:color w:val="auto"/>
          <w:sz w:val="28"/>
          <w:szCs w:val="28"/>
        </w:rPr>
        <w:t>格式</w:t>
      </w:r>
      <w:r>
        <w:rPr>
          <w:color w:val="auto"/>
          <w:sz w:val="28"/>
          <w:szCs w:val="28"/>
        </w:rPr>
        <w:tab/>
      </w:r>
      <w:r>
        <w:rPr>
          <w:color w:val="auto"/>
          <w:sz w:val="28"/>
          <w:szCs w:val="28"/>
        </w:rPr>
        <w:fldChar w:fldCharType="begin"/>
      </w:r>
      <w:r>
        <w:rPr>
          <w:color w:val="auto"/>
          <w:sz w:val="28"/>
          <w:szCs w:val="28"/>
        </w:rPr>
        <w:instrText xml:space="preserve"> PAGEREF _Toc22912 \h </w:instrText>
      </w:r>
      <w:r>
        <w:rPr>
          <w:color w:val="auto"/>
          <w:sz w:val="28"/>
          <w:szCs w:val="28"/>
        </w:rPr>
        <w:fldChar w:fldCharType="separate"/>
      </w:r>
      <w:r>
        <w:rPr>
          <w:color w:val="auto"/>
          <w:sz w:val="28"/>
          <w:szCs w:val="28"/>
        </w:rPr>
        <w:t>- 102 -</w:t>
      </w:r>
      <w:r>
        <w:rPr>
          <w:color w:val="auto"/>
          <w:sz w:val="28"/>
          <w:szCs w:val="28"/>
        </w:rPr>
        <w:fldChar w:fldCharType="end"/>
      </w:r>
      <w:r>
        <w:rPr>
          <w:rFonts w:ascii="宋体" w:hAnsi="宋体"/>
          <w:color w:val="auto"/>
          <w:sz w:val="28"/>
          <w:szCs w:val="28"/>
        </w:rPr>
        <w:fldChar w:fldCharType="end"/>
      </w:r>
    </w:p>
    <w:p w14:paraId="7FCA5F12">
      <w:pPr>
        <w:pStyle w:val="57"/>
        <w:tabs>
          <w:tab w:val="right" w:leader="dot" w:pos="9411"/>
          <w:tab w:val="clear" w:pos="9540"/>
        </w:tabs>
        <w:rPr>
          <w:color w:val="auto"/>
        </w:rPr>
      </w:pPr>
    </w:p>
    <w:p w14:paraId="606FA54F">
      <w:pPr>
        <w:pStyle w:val="57"/>
        <w:spacing w:line="440" w:lineRule="exact"/>
        <w:ind w:firstLine="480" w:firstLineChars="200"/>
        <w:rPr>
          <w:rFonts w:ascii="宋体" w:hAnsi="宋体"/>
          <w:color w:val="auto"/>
        </w:rPr>
        <w:sectPr>
          <w:footerReference r:id="rId12" w:type="default"/>
          <w:footerReference r:id="rId13" w:type="even"/>
          <w:pgSz w:w="11906" w:h="16838"/>
          <w:pgMar w:top="1191" w:right="1191" w:bottom="1191" w:left="1304" w:header="851" w:footer="851" w:gutter="0"/>
          <w:pgNumType w:fmt="decimal"/>
          <w:cols w:space="720" w:num="1"/>
          <w:docGrid w:type="lines" w:linePitch="314" w:charSpace="0"/>
        </w:sectPr>
      </w:pPr>
      <w:r>
        <w:rPr>
          <w:rFonts w:ascii="宋体" w:hAnsi="宋体"/>
          <w:color w:val="auto"/>
          <w:sz w:val="24"/>
        </w:rPr>
        <w:fldChar w:fldCharType="end"/>
      </w:r>
    </w:p>
    <w:p w14:paraId="35B01D6D">
      <w:pPr>
        <w:pStyle w:val="3"/>
        <w:numPr>
          <w:ilvl w:val="0"/>
          <w:numId w:val="0"/>
        </w:numPr>
        <w:spacing w:before="312" w:after="312"/>
        <w:ind w:left="228" w:leftChars="0"/>
        <w:jc w:val="center"/>
        <w:rPr>
          <w:rFonts w:hint="eastAsia" w:hAnsi="宋体"/>
          <w:color w:val="auto"/>
          <w:sz w:val="32"/>
          <w:szCs w:val="32"/>
        </w:rPr>
      </w:pPr>
      <w:bookmarkStart w:id="2" w:name="_Toc414"/>
      <w:bookmarkStart w:id="3" w:name="_Hlk47531578"/>
      <w:bookmarkStart w:id="4" w:name="_Hlk525828275"/>
      <w:bookmarkStart w:id="5" w:name="_Toc310437961"/>
      <w:bookmarkStart w:id="6" w:name="_Toc306981297"/>
      <w:r>
        <w:rPr>
          <w:rFonts w:hint="eastAsia" w:hAnsi="宋体"/>
          <w:color w:val="auto"/>
          <w:sz w:val="32"/>
          <w:szCs w:val="32"/>
          <w:lang w:val="en-US" w:eastAsia="zh-CN"/>
        </w:rPr>
        <w:t xml:space="preserve">第一章 </w:t>
      </w:r>
      <w:r>
        <w:rPr>
          <w:rFonts w:hint="eastAsia" w:hAnsi="宋体"/>
          <w:color w:val="auto"/>
          <w:sz w:val="32"/>
          <w:szCs w:val="32"/>
          <w:lang w:eastAsia="zh-CN"/>
        </w:rPr>
        <w:t>镇雄县旧府街道松林湾村石门坎“千万工程”配套基础设施建设项目EPC</w:t>
      </w:r>
      <w:r>
        <w:rPr>
          <w:rFonts w:hint="eastAsia" w:hAnsi="宋体"/>
          <w:color w:val="auto"/>
          <w:sz w:val="32"/>
          <w:szCs w:val="32"/>
        </w:rPr>
        <w:t>招标公告</w:t>
      </w:r>
      <w:bookmarkEnd w:id="2"/>
    </w:p>
    <w:bookmarkEnd w:id="3"/>
    <w:bookmarkEnd w:id="4"/>
    <w:p w14:paraId="08AD511F">
      <w:pPr>
        <w:pStyle w:val="381"/>
        <w:keepNext w:val="0"/>
        <w:keepLines w:val="0"/>
        <w:pageBreakBefore w:val="0"/>
        <w:kinsoku/>
        <w:wordWrap/>
        <w:overflowPunct/>
        <w:topLinePunct w:val="0"/>
        <w:autoSpaceDE/>
        <w:autoSpaceDN/>
        <w:bidi w:val="0"/>
        <w:adjustRightInd/>
        <w:snapToGrid w:val="0"/>
        <w:spacing w:line="400" w:lineRule="exact"/>
        <w:ind w:firstLine="422" w:firstLineChars="200"/>
        <w:textAlignment w:val="auto"/>
        <w:rPr>
          <w:rFonts w:ascii="宋体" w:hAnsi="宋体"/>
          <w:b/>
          <w:bCs/>
          <w:color w:val="auto"/>
        </w:rPr>
      </w:pPr>
      <w:bookmarkStart w:id="7" w:name="_Hlk114834834"/>
      <w:bookmarkStart w:id="8" w:name="_Hlk85469975"/>
      <w:r>
        <w:rPr>
          <w:rFonts w:ascii="宋体" w:hAnsi="宋体"/>
          <w:b/>
          <w:bCs/>
          <w:color w:val="auto"/>
        </w:rPr>
        <w:t>1.</w:t>
      </w:r>
      <w:r>
        <w:rPr>
          <w:rFonts w:hint="eastAsia" w:ascii="宋体" w:hAnsi="宋体"/>
          <w:b/>
          <w:bCs/>
          <w:color w:val="auto"/>
        </w:rPr>
        <w:t>招标条件</w:t>
      </w:r>
    </w:p>
    <w:p w14:paraId="6F9C9BA4">
      <w:pPr>
        <w:pStyle w:val="381"/>
        <w:keepNext w:val="0"/>
        <w:keepLines w:val="0"/>
        <w:pageBreakBefore w:val="0"/>
        <w:kinsoku/>
        <w:wordWrap/>
        <w:overflowPunct/>
        <w:topLinePunct w:val="0"/>
        <w:autoSpaceDE/>
        <w:autoSpaceDN/>
        <w:bidi w:val="0"/>
        <w:adjustRightInd/>
        <w:snapToGrid w:val="0"/>
        <w:spacing w:line="400" w:lineRule="exact"/>
        <w:ind w:firstLine="420" w:firstLineChars="200"/>
        <w:textAlignment w:val="auto"/>
        <w:rPr>
          <w:rFonts w:ascii="宋体" w:hAnsi="宋体"/>
          <w:bCs/>
          <w:color w:val="auto"/>
        </w:rPr>
      </w:pPr>
      <w:r>
        <w:rPr>
          <w:rFonts w:hint="eastAsia" w:ascii="宋体" w:hAnsi="宋体"/>
          <w:bCs/>
          <w:color w:val="auto"/>
          <w:u w:val="none"/>
          <w:lang w:eastAsia="zh-CN"/>
        </w:rPr>
        <w:t>镇雄县旧府街道松林湾村石门坎“千万工程”配套基础设施建设项目EPC</w:t>
      </w:r>
      <w:r>
        <w:rPr>
          <w:rFonts w:hint="eastAsia" w:ascii="宋体" w:hAnsi="宋体"/>
          <w:bCs/>
          <w:color w:val="auto"/>
          <w:u w:val="none"/>
        </w:rPr>
        <w:t>已由</w:t>
      </w:r>
      <w:r>
        <w:rPr>
          <w:rFonts w:hint="eastAsia" w:ascii="宋体" w:hAnsi="宋体"/>
          <w:bCs/>
          <w:color w:val="auto"/>
          <w:u w:val="none"/>
          <w:lang w:val="en-US" w:eastAsia="zh-CN"/>
        </w:rPr>
        <w:t>中共镇雄县委农村工作领导小组</w:t>
      </w:r>
      <w:r>
        <w:rPr>
          <w:rFonts w:hint="eastAsia" w:eastAsiaTheme="minorEastAsia"/>
          <w:color w:val="auto"/>
          <w:sz w:val="21"/>
          <w:szCs w:val="21"/>
          <w:highlight w:val="none"/>
          <w:u w:val="none"/>
          <w:lang w:val="en-US" w:eastAsia="zh-CN"/>
        </w:rPr>
        <w:t>以镇农领复〔2026〕129</w:t>
      </w:r>
      <w:r>
        <w:rPr>
          <w:rFonts w:hint="eastAsia" w:ascii="宋体" w:hAnsi="宋体"/>
          <w:bCs/>
          <w:color w:val="auto"/>
        </w:rPr>
        <w:t>号文批准建设，建设资金为</w:t>
      </w:r>
      <w:r>
        <w:rPr>
          <w:rFonts w:hint="eastAsia" w:ascii="宋体" w:hAnsi="宋体"/>
          <w:bCs/>
          <w:color w:val="auto"/>
          <w:lang w:val="en-US" w:eastAsia="zh-CN"/>
        </w:rPr>
        <w:t>常态化帮扶资金</w:t>
      </w:r>
      <w:r>
        <w:rPr>
          <w:rFonts w:hint="eastAsia" w:ascii="宋体" w:hAnsi="宋体"/>
          <w:bCs/>
          <w:color w:val="auto"/>
        </w:rPr>
        <w:t>。项目资金已落实</w:t>
      </w:r>
      <w:r>
        <w:rPr>
          <w:rFonts w:hint="eastAsia" w:ascii="宋体" w:hAnsi="宋体"/>
          <w:bCs/>
          <w:color w:val="auto"/>
          <w:lang w:eastAsia="zh-CN"/>
        </w:rPr>
        <w:t>；</w:t>
      </w:r>
      <w:r>
        <w:rPr>
          <w:rFonts w:hint="eastAsia" w:ascii="宋体" w:hAnsi="宋体"/>
          <w:bCs/>
          <w:color w:val="auto"/>
        </w:rPr>
        <w:t>招标人为</w:t>
      </w:r>
      <w:r>
        <w:rPr>
          <w:rFonts w:hint="eastAsia" w:ascii="宋体" w:hAnsi="宋体"/>
          <w:bCs/>
          <w:color w:val="auto"/>
          <w:lang w:eastAsia="zh-CN"/>
        </w:rPr>
        <w:t>镇雄县旧府街道办事处，</w:t>
      </w:r>
      <w:r>
        <w:rPr>
          <w:rFonts w:hint="eastAsia" w:ascii="宋体" w:hAnsi="宋体"/>
          <w:bCs/>
          <w:color w:val="auto"/>
        </w:rPr>
        <w:t>招标代理机构为</w:t>
      </w:r>
      <w:r>
        <w:rPr>
          <w:rFonts w:hint="eastAsia" w:ascii="宋体" w:hAnsi="宋体"/>
          <w:bCs/>
          <w:color w:val="auto"/>
          <w:lang w:eastAsia="zh-CN"/>
        </w:rPr>
        <w:t>云南品众招标咨询有限公司</w:t>
      </w:r>
      <w:r>
        <w:rPr>
          <w:rFonts w:hint="eastAsia" w:ascii="宋体" w:hAnsi="宋体"/>
          <w:bCs/>
          <w:color w:val="auto"/>
        </w:rPr>
        <w:t>。项目已具备招标条件，现对该项目的</w:t>
      </w:r>
      <w:r>
        <w:rPr>
          <w:rFonts w:hint="eastAsia" w:ascii="宋体" w:hAnsi="宋体"/>
          <w:bCs/>
          <w:color w:val="auto"/>
          <w:lang w:eastAsia="zh-CN"/>
        </w:rPr>
        <w:t>勘察－设计－施工</w:t>
      </w:r>
      <w:r>
        <w:rPr>
          <w:rFonts w:hint="eastAsia" w:ascii="宋体" w:hAnsi="宋体"/>
          <w:bCs/>
          <w:color w:val="auto"/>
        </w:rPr>
        <w:t>（EPC）工程总承包进行公开招标。</w:t>
      </w:r>
    </w:p>
    <w:p w14:paraId="13FA9025">
      <w:pPr>
        <w:pStyle w:val="381"/>
        <w:keepNext w:val="0"/>
        <w:keepLines w:val="0"/>
        <w:pageBreakBefore w:val="0"/>
        <w:kinsoku/>
        <w:wordWrap/>
        <w:overflowPunct/>
        <w:topLinePunct w:val="0"/>
        <w:autoSpaceDE/>
        <w:autoSpaceDN/>
        <w:bidi w:val="0"/>
        <w:adjustRightInd/>
        <w:snapToGrid w:val="0"/>
        <w:spacing w:line="400" w:lineRule="exact"/>
        <w:ind w:firstLine="422" w:firstLineChars="200"/>
        <w:textAlignment w:val="auto"/>
        <w:rPr>
          <w:rFonts w:ascii="宋体" w:hAnsi="宋体"/>
          <w:b/>
          <w:bCs/>
          <w:color w:val="auto"/>
        </w:rPr>
      </w:pPr>
      <w:r>
        <w:rPr>
          <w:rFonts w:ascii="宋体" w:hAnsi="宋体"/>
          <w:b/>
          <w:bCs/>
          <w:color w:val="auto"/>
        </w:rPr>
        <w:t>2.</w:t>
      </w:r>
      <w:r>
        <w:rPr>
          <w:rFonts w:hint="eastAsia" w:ascii="宋体" w:hAnsi="宋体"/>
          <w:b/>
          <w:bCs/>
          <w:color w:val="auto"/>
        </w:rPr>
        <w:t>项目概况与招标范围</w:t>
      </w:r>
    </w:p>
    <w:p w14:paraId="7CFF6DBB">
      <w:pPr>
        <w:pStyle w:val="381"/>
        <w:keepNext w:val="0"/>
        <w:keepLines w:val="0"/>
        <w:pageBreakBefore w:val="0"/>
        <w:kinsoku/>
        <w:wordWrap/>
        <w:overflowPunct/>
        <w:topLinePunct w:val="0"/>
        <w:autoSpaceDE/>
        <w:autoSpaceDN/>
        <w:bidi w:val="0"/>
        <w:adjustRightInd/>
        <w:snapToGrid w:val="0"/>
        <w:spacing w:line="400" w:lineRule="exact"/>
        <w:ind w:firstLine="420" w:firstLineChars="200"/>
        <w:textAlignment w:val="auto"/>
        <w:rPr>
          <w:rFonts w:ascii="宋体" w:hAnsi="宋体"/>
          <w:bCs/>
          <w:color w:val="auto"/>
        </w:rPr>
      </w:pPr>
      <w:r>
        <w:rPr>
          <w:rFonts w:ascii="宋体" w:hAnsi="宋体"/>
          <w:bCs/>
          <w:color w:val="auto"/>
        </w:rPr>
        <w:t>2.1</w:t>
      </w:r>
      <w:r>
        <w:rPr>
          <w:rFonts w:hint="eastAsia" w:ascii="宋体" w:hAnsi="宋体"/>
          <w:bCs/>
          <w:color w:val="auto"/>
        </w:rPr>
        <w:t>项目名称：</w:t>
      </w:r>
      <w:r>
        <w:rPr>
          <w:rFonts w:hint="eastAsia" w:ascii="宋体" w:hAnsi="宋体"/>
          <w:bCs/>
          <w:color w:val="auto"/>
          <w:lang w:eastAsia="zh-CN"/>
        </w:rPr>
        <w:t>镇雄县旧府街道松林湾村石门坎“千万工程”配套基础设施建设项目EPC</w:t>
      </w:r>
      <w:r>
        <w:rPr>
          <w:rFonts w:hint="eastAsia" w:ascii="宋体" w:hAnsi="宋体"/>
          <w:bCs/>
          <w:color w:val="auto"/>
        </w:rPr>
        <w:t>。</w:t>
      </w:r>
    </w:p>
    <w:p w14:paraId="2CF9B18F">
      <w:pPr>
        <w:pStyle w:val="381"/>
        <w:keepNext w:val="0"/>
        <w:keepLines w:val="0"/>
        <w:pageBreakBefore w:val="0"/>
        <w:kinsoku/>
        <w:wordWrap/>
        <w:overflowPunct/>
        <w:topLinePunct w:val="0"/>
        <w:autoSpaceDE/>
        <w:autoSpaceDN/>
        <w:bidi w:val="0"/>
        <w:adjustRightInd/>
        <w:snapToGrid w:val="0"/>
        <w:spacing w:line="400" w:lineRule="exact"/>
        <w:ind w:firstLine="420" w:firstLineChars="200"/>
        <w:textAlignment w:val="auto"/>
        <w:rPr>
          <w:rFonts w:hint="eastAsia" w:ascii="宋体" w:hAnsi="宋体"/>
          <w:bCs/>
          <w:color w:val="auto"/>
          <w:lang w:val="en-US" w:eastAsia="zh-CN"/>
        </w:rPr>
      </w:pPr>
      <w:r>
        <w:rPr>
          <w:rFonts w:hint="eastAsia" w:ascii="宋体" w:hAnsi="宋体"/>
          <w:bCs/>
          <w:color w:val="auto"/>
          <w:lang w:val="en-US" w:eastAsia="zh-CN"/>
        </w:rPr>
        <w:t>2.1.1项目编号：YNPZZB-2026-118</w:t>
      </w:r>
    </w:p>
    <w:p w14:paraId="5B15801A">
      <w:pPr>
        <w:pStyle w:val="381"/>
        <w:keepNext w:val="0"/>
        <w:keepLines w:val="0"/>
        <w:pageBreakBefore w:val="0"/>
        <w:kinsoku/>
        <w:wordWrap/>
        <w:overflowPunct/>
        <w:topLinePunct w:val="0"/>
        <w:autoSpaceDE/>
        <w:autoSpaceDN/>
        <w:bidi w:val="0"/>
        <w:adjustRightInd/>
        <w:snapToGrid w:val="0"/>
        <w:spacing w:line="400" w:lineRule="exact"/>
        <w:ind w:firstLine="420" w:firstLineChars="200"/>
        <w:textAlignment w:val="auto"/>
        <w:rPr>
          <w:rFonts w:ascii="宋体" w:hAnsi="宋体"/>
          <w:bCs/>
          <w:color w:val="auto"/>
        </w:rPr>
      </w:pPr>
      <w:r>
        <w:rPr>
          <w:rFonts w:hint="eastAsia" w:ascii="宋体" w:hAnsi="宋体"/>
          <w:bCs/>
          <w:color w:val="auto"/>
        </w:rPr>
        <w:t>2.2建设性质：新建。</w:t>
      </w:r>
    </w:p>
    <w:p w14:paraId="46EA21C5">
      <w:pPr>
        <w:pStyle w:val="381"/>
        <w:keepNext w:val="0"/>
        <w:keepLines w:val="0"/>
        <w:pageBreakBefore w:val="0"/>
        <w:kinsoku/>
        <w:wordWrap/>
        <w:overflowPunct/>
        <w:topLinePunct w:val="0"/>
        <w:autoSpaceDE/>
        <w:autoSpaceDN/>
        <w:bidi w:val="0"/>
        <w:adjustRightInd/>
        <w:snapToGrid w:val="0"/>
        <w:spacing w:line="400" w:lineRule="exact"/>
        <w:ind w:firstLine="420" w:firstLineChars="200"/>
        <w:textAlignment w:val="auto"/>
        <w:rPr>
          <w:rFonts w:ascii="宋体" w:hAnsi="宋体"/>
          <w:bCs/>
          <w:color w:val="auto"/>
        </w:rPr>
      </w:pPr>
      <w:r>
        <w:rPr>
          <w:rFonts w:ascii="宋体" w:hAnsi="宋体"/>
          <w:bCs/>
          <w:color w:val="auto"/>
        </w:rPr>
        <w:t>2.</w:t>
      </w:r>
      <w:r>
        <w:rPr>
          <w:rFonts w:hint="eastAsia" w:ascii="宋体" w:hAnsi="宋体"/>
          <w:bCs/>
          <w:color w:val="auto"/>
        </w:rPr>
        <w:t>3建设地点：</w:t>
      </w:r>
      <w:r>
        <w:rPr>
          <w:rFonts w:hint="eastAsia" w:ascii="宋体" w:hAnsi="宋体"/>
          <w:bCs/>
          <w:color w:val="auto"/>
          <w:lang w:val="en-US" w:eastAsia="zh-CN"/>
        </w:rPr>
        <w:t>旧府街道松林湾村石门坎村民组</w:t>
      </w:r>
      <w:r>
        <w:rPr>
          <w:rFonts w:hint="eastAsia" w:ascii="宋体" w:hAnsi="宋体"/>
          <w:bCs/>
          <w:color w:val="auto"/>
        </w:rPr>
        <w:t>。</w:t>
      </w:r>
    </w:p>
    <w:p w14:paraId="5AED0DD0">
      <w:pPr>
        <w:pStyle w:val="381"/>
        <w:keepNext w:val="0"/>
        <w:keepLines w:val="0"/>
        <w:pageBreakBefore w:val="0"/>
        <w:kinsoku/>
        <w:wordWrap/>
        <w:overflowPunct/>
        <w:topLinePunct w:val="0"/>
        <w:autoSpaceDE/>
        <w:autoSpaceDN/>
        <w:bidi w:val="0"/>
        <w:adjustRightInd/>
        <w:snapToGrid w:val="0"/>
        <w:spacing w:line="400" w:lineRule="exact"/>
        <w:ind w:firstLine="420" w:firstLineChars="200"/>
        <w:textAlignment w:val="auto"/>
        <w:rPr>
          <w:rFonts w:ascii="宋体" w:hAnsi="宋体"/>
          <w:bCs/>
          <w:color w:val="auto"/>
        </w:rPr>
      </w:pPr>
      <w:r>
        <w:rPr>
          <w:rFonts w:ascii="宋体" w:hAnsi="宋体"/>
          <w:bCs/>
          <w:color w:val="auto"/>
        </w:rPr>
        <w:t>2.</w:t>
      </w:r>
      <w:r>
        <w:rPr>
          <w:rFonts w:hint="eastAsia" w:ascii="宋体" w:hAnsi="宋体"/>
          <w:bCs/>
          <w:color w:val="auto"/>
        </w:rPr>
        <w:t>4估算总投资：</w:t>
      </w:r>
      <w:r>
        <w:rPr>
          <w:rFonts w:hint="eastAsia" w:ascii="宋体" w:hAnsi="宋体"/>
          <w:bCs/>
          <w:color w:val="auto"/>
          <w:lang w:eastAsia="zh-CN"/>
        </w:rPr>
        <w:t>1157.14</w:t>
      </w:r>
      <w:r>
        <w:rPr>
          <w:rFonts w:hint="eastAsia" w:ascii="宋体" w:hAnsi="宋体"/>
          <w:bCs/>
          <w:color w:val="auto"/>
        </w:rPr>
        <w:t>万元，最终以相关部门</w:t>
      </w:r>
      <w:r>
        <w:rPr>
          <w:rFonts w:hint="eastAsia" w:ascii="宋体" w:hAnsi="宋体"/>
          <w:bCs/>
          <w:color w:val="auto"/>
          <w:lang w:val="en-US" w:eastAsia="zh-CN"/>
        </w:rPr>
        <w:t>审定的建安费为准</w:t>
      </w:r>
      <w:r>
        <w:rPr>
          <w:rFonts w:hint="eastAsia" w:ascii="宋体" w:hAnsi="宋体"/>
          <w:bCs/>
          <w:color w:val="auto"/>
        </w:rPr>
        <w:t>。</w:t>
      </w:r>
    </w:p>
    <w:p w14:paraId="40660A10">
      <w:pPr>
        <w:pStyle w:val="381"/>
        <w:keepNext w:val="0"/>
        <w:keepLines w:val="0"/>
        <w:pageBreakBefore w:val="0"/>
        <w:kinsoku/>
        <w:wordWrap/>
        <w:overflowPunct/>
        <w:topLinePunct w:val="0"/>
        <w:autoSpaceDE/>
        <w:autoSpaceDN/>
        <w:bidi w:val="0"/>
        <w:adjustRightInd/>
        <w:snapToGrid w:val="0"/>
        <w:spacing w:line="400" w:lineRule="exact"/>
        <w:ind w:firstLine="420" w:firstLineChars="200"/>
        <w:textAlignment w:val="auto"/>
        <w:rPr>
          <w:rFonts w:hint="eastAsia" w:ascii="宋体" w:hAnsi="宋体" w:eastAsia="宋体"/>
          <w:bCs/>
          <w:color w:val="auto"/>
          <w:lang w:eastAsia="zh-CN"/>
        </w:rPr>
      </w:pPr>
      <w:r>
        <w:rPr>
          <w:rFonts w:ascii="宋体" w:hAnsi="宋体"/>
          <w:bCs/>
          <w:color w:val="auto"/>
        </w:rPr>
        <w:t>2.</w:t>
      </w:r>
      <w:r>
        <w:rPr>
          <w:rFonts w:hint="eastAsia" w:ascii="宋体" w:hAnsi="宋体"/>
          <w:bCs/>
          <w:color w:val="auto"/>
        </w:rPr>
        <w:t>5计划工期：180日历天</w:t>
      </w:r>
      <w:r>
        <w:rPr>
          <w:rFonts w:hint="eastAsia" w:ascii="宋体" w:hAnsi="宋体"/>
          <w:bCs/>
          <w:color w:val="auto"/>
          <w:lang w:eastAsia="zh-CN"/>
        </w:rPr>
        <w:t>（</w:t>
      </w:r>
      <w:r>
        <w:rPr>
          <w:rFonts w:hint="eastAsia" w:ascii="宋体" w:hAnsi="宋体"/>
          <w:bCs/>
          <w:color w:val="auto"/>
          <w:lang w:val="en-US" w:eastAsia="zh-CN"/>
        </w:rPr>
        <w:t>含</w:t>
      </w:r>
      <w:r>
        <w:rPr>
          <w:rFonts w:hint="eastAsia" w:ascii="宋体" w:hAnsi="宋体"/>
          <w:bCs/>
          <w:color w:val="auto"/>
        </w:rPr>
        <w:t>勘察设计周期</w:t>
      </w:r>
      <w:r>
        <w:rPr>
          <w:rFonts w:hint="eastAsia" w:ascii="宋体" w:hAnsi="宋体"/>
          <w:bCs/>
          <w:color w:val="auto"/>
          <w:lang w:eastAsia="zh-CN"/>
        </w:rPr>
        <w:t>）</w:t>
      </w:r>
    </w:p>
    <w:p w14:paraId="333F6492">
      <w:pPr>
        <w:pStyle w:val="381"/>
        <w:keepNext w:val="0"/>
        <w:keepLines w:val="0"/>
        <w:pageBreakBefore w:val="0"/>
        <w:kinsoku/>
        <w:wordWrap/>
        <w:overflowPunct/>
        <w:topLinePunct w:val="0"/>
        <w:autoSpaceDE/>
        <w:autoSpaceDN/>
        <w:bidi w:val="0"/>
        <w:adjustRightInd/>
        <w:snapToGrid w:val="0"/>
        <w:spacing w:line="400" w:lineRule="exact"/>
        <w:ind w:firstLine="420" w:firstLineChars="200"/>
        <w:textAlignment w:val="auto"/>
        <w:rPr>
          <w:rFonts w:hint="default" w:ascii="宋体" w:hAnsi="宋体" w:eastAsia="宋体"/>
          <w:bCs/>
          <w:color w:val="auto"/>
          <w:lang w:val="en-US" w:eastAsia="zh-CN"/>
        </w:rPr>
      </w:pPr>
      <w:r>
        <w:rPr>
          <w:rFonts w:hint="eastAsia" w:ascii="宋体" w:hAnsi="宋体"/>
          <w:bCs/>
          <w:color w:val="auto"/>
          <w:lang w:val="en-US" w:eastAsia="zh-CN"/>
        </w:rPr>
        <w:t>2.5.1</w:t>
      </w:r>
      <w:r>
        <w:rPr>
          <w:rFonts w:hint="eastAsia" w:ascii="宋体" w:hAnsi="宋体"/>
          <w:bCs/>
          <w:color w:val="auto"/>
        </w:rPr>
        <w:t>勘察设计周期</w:t>
      </w:r>
      <w:r>
        <w:rPr>
          <w:rFonts w:hint="eastAsia" w:ascii="宋体" w:hAnsi="宋体"/>
          <w:bCs/>
          <w:color w:val="auto"/>
          <w:lang w:eastAsia="zh-CN"/>
        </w:rPr>
        <w:t>：</w:t>
      </w:r>
      <w:r>
        <w:rPr>
          <w:rFonts w:hint="eastAsia" w:ascii="宋体" w:hAnsi="宋体"/>
          <w:bCs/>
          <w:color w:val="auto"/>
        </w:rPr>
        <w:t>30日历天</w:t>
      </w:r>
      <w:r>
        <w:rPr>
          <w:rFonts w:hint="eastAsia" w:ascii="宋体" w:hAnsi="宋体"/>
          <w:bCs/>
          <w:color w:val="auto"/>
          <w:lang w:val="en-US" w:eastAsia="zh-CN"/>
        </w:rPr>
        <w:t>提交成果资料</w:t>
      </w:r>
    </w:p>
    <w:p w14:paraId="3F81A1FA">
      <w:pPr>
        <w:pStyle w:val="381"/>
        <w:keepNext w:val="0"/>
        <w:keepLines w:val="0"/>
        <w:pageBreakBefore w:val="0"/>
        <w:kinsoku/>
        <w:wordWrap/>
        <w:overflowPunct/>
        <w:topLinePunct w:val="0"/>
        <w:autoSpaceDE/>
        <w:autoSpaceDN/>
        <w:bidi w:val="0"/>
        <w:adjustRightInd/>
        <w:snapToGrid w:val="0"/>
        <w:spacing w:line="400" w:lineRule="exact"/>
        <w:ind w:firstLine="420" w:firstLineChars="200"/>
        <w:textAlignment w:val="auto"/>
        <w:rPr>
          <w:rFonts w:ascii="宋体" w:hAnsi="宋体"/>
          <w:bCs/>
          <w:color w:val="auto"/>
        </w:rPr>
      </w:pPr>
      <w:r>
        <w:rPr>
          <w:rFonts w:ascii="宋体" w:hAnsi="宋体"/>
          <w:bCs/>
          <w:color w:val="auto"/>
        </w:rPr>
        <w:t>2.</w:t>
      </w:r>
      <w:r>
        <w:rPr>
          <w:rFonts w:hint="eastAsia" w:ascii="宋体" w:hAnsi="宋体"/>
          <w:bCs/>
          <w:color w:val="auto"/>
        </w:rPr>
        <w:t>6建设规模及内容：</w:t>
      </w:r>
      <w:r>
        <w:rPr>
          <w:rFonts w:hint="eastAsia" w:ascii="宋体" w:hAnsi="宋体"/>
          <w:bCs/>
          <w:color w:val="auto"/>
          <w:lang w:val="en-US" w:eastAsia="zh-CN"/>
        </w:rPr>
        <w:t>包括但不限于</w:t>
      </w:r>
      <w:r>
        <w:rPr>
          <w:rFonts w:hint="eastAsia" w:ascii="宋体" w:hAnsi="宋体"/>
          <w:bCs/>
          <w:color w:val="auto"/>
          <w:lang w:eastAsia="zh-CN"/>
        </w:rPr>
        <w:t>场地平整35743.05m²（挖土方、清淤、回填、场坪压实、余方弃置）；道路工程7094.22m²（路基整形、路基填片石、填土夹石、级配碎石、C30混凝土路面）；M7.5水泥砂浆浆砌片石挡墙15163.3m³；排水管网2539.5m（土方开挖、回填砂、DN500HDPE钢带增强螺旋波纹管、DN110入户管、砂垫层、混凝土包管、检查井、玻璃钢化粪池（100m³）、垃圾收集池；给水管网2873.26m。</w:t>
      </w:r>
    </w:p>
    <w:p w14:paraId="3B0872EB">
      <w:pPr>
        <w:pStyle w:val="381"/>
        <w:keepNext w:val="0"/>
        <w:keepLines w:val="0"/>
        <w:pageBreakBefore w:val="0"/>
        <w:kinsoku/>
        <w:wordWrap/>
        <w:overflowPunct/>
        <w:topLinePunct w:val="0"/>
        <w:autoSpaceDE/>
        <w:autoSpaceDN/>
        <w:bidi w:val="0"/>
        <w:adjustRightInd/>
        <w:snapToGrid w:val="0"/>
        <w:spacing w:line="400" w:lineRule="exact"/>
        <w:ind w:firstLine="420" w:firstLineChars="200"/>
        <w:textAlignment w:val="auto"/>
        <w:rPr>
          <w:rFonts w:hint="eastAsia" w:ascii="宋体" w:hAnsi="宋体" w:eastAsia="宋体"/>
          <w:color w:val="auto"/>
          <w:lang w:val="en-US" w:eastAsia="zh-CN"/>
        </w:rPr>
      </w:pPr>
      <w:r>
        <w:rPr>
          <w:rFonts w:hint="eastAsia" w:ascii="宋体" w:hAnsi="宋体"/>
          <w:bCs/>
          <w:color w:val="auto"/>
        </w:rPr>
        <w:t>2.7招标范围：</w:t>
      </w:r>
      <w:r>
        <w:rPr>
          <w:rFonts w:hint="eastAsia" w:ascii="宋体" w:hAnsi="宋体"/>
          <w:bCs/>
          <w:color w:val="auto"/>
          <w:lang w:val="en-US" w:eastAsia="zh-CN"/>
        </w:rPr>
        <w:t>包括但不限于</w:t>
      </w:r>
      <w:r>
        <w:rPr>
          <w:rFonts w:hint="eastAsia" w:ascii="宋体" w:hAnsi="宋体"/>
          <w:color w:val="auto"/>
          <w:lang w:val="zh-TW"/>
        </w:rPr>
        <w:t>本项目的设计</w:t>
      </w:r>
      <w:r>
        <w:rPr>
          <w:rFonts w:hint="eastAsia" w:ascii="宋体" w:hAnsi="宋体"/>
          <w:color w:val="auto"/>
          <w:lang w:val="zh-TW" w:eastAsia="zh-CN"/>
        </w:rPr>
        <w:t>、</w:t>
      </w:r>
      <w:r>
        <w:rPr>
          <w:rFonts w:hint="eastAsia" w:ascii="宋体" w:hAnsi="宋体"/>
          <w:color w:val="auto"/>
          <w:lang w:val="en-US" w:eastAsia="zh-CN"/>
        </w:rPr>
        <w:t>勘察（测绘、地勘）</w:t>
      </w:r>
      <w:r>
        <w:rPr>
          <w:rFonts w:hint="eastAsia" w:ascii="宋体" w:hAnsi="宋体"/>
          <w:color w:val="auto"/>
          <w:lang w:val="zh-TW"/>
        </w:rPr>
        <w:t>、施工（包括竣工验收、移交）等全过程的承包。</w:t>
      </w:r>
      <w:r>
        <w:rPr>
          <w:rFonts w:hint="eastAsia" w:ascii="宋体" w:hAnsi="宋体"/>
          <w:color w:val="auto"/>
          <w:lang w:val="zh-TW" w:eastAsia="zh-CN"/>
        </w:rPr>
        <w:t>（具体以发包人委托的本工程施工内容为准，招标人有权对发包范围进行调整）</w:t>
      </w:r>
    </w:p>
    <w:p w14:paraId="581C0502">
      <w:pPr>
        <w:pStyle w:val="381"/>
        <w:keepNext w:val="0"/>
        <w:keepLines w:val="0"/>
        <w:pageBreakBefore w:val="0"/>
        <w:kinsoku/>
        <w:wordWrap/>
        <w:overflowPunct/>
        <w:topLinePunct w:val="0"/>
        <w:autoSpaceDE/>
        <w:autoSpaceDN/>
        <w:bidi w:val="0"/>
        <w:adjustRightInd/>
        <w:snapToGrid w:val="0"/>
        <w:spacing w:line="400" w:lineRule="exact"/>
        <w:ind w:firstLine="420" w:firstLineChars="200"/>
        <w:textAlignment w:val="auto"/>
        <w:rPr>
          <w:rFonts w:ascii="宋体" w:hAnsi="宋体"/>
          <w:color w:val="auto"/>
          <w:lang w:val="zh-TW"/>
        </w:rPr>
      </w:pPr>
      <w:r>
        <w:rPr>
          <w:rFonts w:ascii="宋体" w:hAnsi="宋体"/>
          <w:bCs/>
          <w:color w:val="auto"/>
        </w:rPr>
        <w:t>2.</w:t>
      </w:r>
      <w:r>
        <w:rPr>
          <w:rFonts w:hint="eastAsia" w:ascii="宋体" w:hAnsi="宋体"/>
          <w:bCs/>
          <w:color w:val="auto"/>
        </w:rPr>
        <w:t>8</w:t>
      </w:r>
      <w:r>
        <w:rPr>
          <w:rFonts w:hint="eastAsia" w:ascii="宋体" w:hAnsi="宋体"/>
          <w:color w:val="auto"/>
          <w:lang w:val="zh-TW" w:eastAsia="zh-TW"/>
        </w:rPr>
        <w:t>质量要求：符合《建设项目工程总承包管理规范》（GB</w:t>
      </w:r>
      <w:r>
        <w:rPr>
          <w:rFonts w:hint="eastAsia" w:ascii="宋体" w:hAnsi="宋体"/>
          <w:color w:val="auto"/>
          <w:lang w:val="zh-TW" w:eastAsia="zh-CN"/>
        </w:rPr>
        <w:t>/T 50358</w:t>
      </w:r>
      <w:r>
        <w:rPr>
          <w:rFonts w:hint="eastAsia" w:ascii="宋体" w:hAnsi="宋体"/>
          <w:color w:val="auto"/>
          <w:lang w:val="zh-TW" w:eastAsia="zh-TW"/>
        </w:rPr>
        <w:t>-2017）和国家、行业及地方现行的相关标准及规范</w:t>
      </w:r>
      <w:r>
        <w:rPr>
          <w:rFonts w:hint="eastAsia" w:ascii="宋体" w:hAnsi="宋体"/>
          <w:color w:val="auto"/>
          <w:lang w:val="zh-TW" w:eastAsia="zh-CN"/>
        </w:rPr>
        <w:t>，一次性</w:t>
      </w:r>
      <w:r>
        <w:rPr>
          <w:rFonts w:hint="eastAsia" w:ascii="宋体" w:hAnsi="宋体"/>
          <w:color w:val="auto"/>
          <w:lang w:val="zh-TW" w:eastAsia="zh-TW"/>
        </w:rPr>
        <w:t>验收合格。</w:t>
      </w:r>
      <w:r>
        <w:rPr>
          <w:rFonts w:hint="eastAsia" w:ascii="宋体" w:hAnsi="宋体"/>
          <w:color w:val="auto"/>
          <w:lang w:val="zh-TW"/>
        </w:rPr>
        <w:t>所有工程缺陷责任期自竣工验收之日起计算24个月。</w:t>
      </w:r>
    </w:p>
    <w:p w14:paraId="67DD613C">
      <w:pPr>
        <w:pStyle w:val="381"/>
        <w:keepNext w:val="0"/>
        <w:keepLines w:val="0"/>
        <w:pageBreakBefore w:val="0"/>
        <w:kinsoku/>
        <w:wordWrap/>
        <w:overflowPunct/>
        <w:topLinePunct w:val="0"/>
        <w:autoSpaceDE/>
        <w:autoSpaceDN/>
        <w:bidi w:val="0"/>
        <w:adjustRightInd/>
        <w:snapToGrid w:val="0"/>
        <w:spacing w:line="400" w:lineRule="exact"/>
        <w:ind w:firstLine="420" w:firstLineChars="200"/>
        <w:textAlignment w:val="auto"/>
        <w:rPr>
          <w:rFonts w:ascii="宋体" w:hAnsi="宋体"/>
          <w:color w:val="auto"/>
        </w:rPr>
      </w:pPr>
      <w:r>
        <w:rPr>
          <w:rFonts w:hint="eastAsia" w:ascii="宋体" w:hAnsi="宋体"/>
          <w:color w:val="auto"/>
        </w:rPr>
        <w:t>2.9服务周期：自工程总承包合同签订至所有项目竣工验收、缺陷责任期满为止。</w:t>
      </w:r>
    </w:p>
    <w:p w14:paraId="13C76021">
      <w:pPr>
        <w:pStyle w:val="381"/>
        <w:keepNext w:val="0"/>
        <w:keepLines w:val="0"/>
        <w:pageBreakBefore w:val="0"/>
        <w:kinsoku/>
        <w:wordWrap/>
        <w:overflowPunct/>
        <w:topLinePunct w:val="0"/>
        <w:autoSpaceDE/>
        <w:autoSpaceDN/>
        <w:bidi w:val="0"/>
        <w:adjustRightInd/>
        <w:snapToGrid w:val="0"/>
        <w:spacing w:line="400" w:lineRule="exact"/>
        <w:ind w:firstLine="420" w:firstLineChars="200"/>
        <w:textAlignment w:val="auto"/>
        <w:rPr>
          <w:rFonts w:ascii="宋体" w:hAnsi="宋体"/>
          <w:color w:val="auto"/>
        </w:rPr>
      </w:pPr>
      <w:r>
        <w:rPr>
          <w:rFonts w:hint="eastAsia" w:ascii="宋体" w:hAnsi="宋体"/>
          <w:color w:val="auto"/>
        </w:rPr>
        <w:t>2.1</w:t>
      </w:r>
      <w:r>
        <w:rPr>
          <w:rFonts w:hint="eastAsia" w:ascii="宋体" w:hAnsi="宋体"/>
          <w:color w:val="auto"/>
          <w:lang w:val="en-US" w:eastAsia="zh-CN"/>
        </w:rPr>
        <w:t>0</w:t>
      </w:r>
      <w:r>
        <w:rPr>
          <w:rFonts w:hint="eastAsia" w:ascii="宋体" w:hAnsi="宋体"/>
          <w:color w:val="auto"/>
        </w:rPr>
        <w:t>本项目共划分为一个标段，接受联合体投标。</w:t>
      </w:r>
    </w:p>
    <w:p w14:paraId="6F7B969A">
      <w:pPr>
        <w:pStyle w:val="381"/>
        <w:keepNext w:val="0"/>
        <w:keepLines w:val="0"/>
        <w:pageBreakBefore w:val="0"/>
        <w:kinsoku/>
        <w:wordWrap/>
        <w:overflowPunct/>
        <w:topLinePunct w:val="0"/>
        <w:autoSpaceDE/>
        <w:autoSpaceDN/>
        <w:bidi w:val="0"/>
        <w:adjustRightInd/>
        <w:snapToGrid w:val="0"/>
        <w:spacing w:line="400" w:lineRule="exact"/>
        <w:ind w:firstLine="422" w:firstLineChars="200"/>
        <w:textAlignment w:val="auto"/>
        <w:rPr>
          <w:rFonts w:ascii="宋体" w:hAnsi="宋体"/>
          <w:b/>
          <w:bCs/>
          <w:color w:val="auto"/>
        </w:rPr>
      </w:pPr>
      <w:r>
        <w:rPr>
          <w:rFonts w:hint="eastAsia" w:ascii="宋体" w:hAnsi="宋体"/>
          <w:b/>
          <w:bCs/>
          <w:color w:val="auto"/>
        </w:rPr>
        <w:t>3.投标人资格要求</w:t>
      </w:r>
    </w:p>
    <w:p w14:paraId="39F70EC1">
      <w:pPr>
        <w:pStyle w:val="381"/>
        <w:keepNext w:val="0"/>
        <w:keepLines w:val="0"/>
        <w:pageBreakBefore w:val="0"/>
        <w:kinsoku/>
        <w:wordWrap/>
        <w:overflowPunct/>
        <w:topLinePunct w:val="0"/>
        <w:autoSpaceDE/>
        <w:autoSpaceDN/>
        <w:bidi w:val="0"/>
        <w:adjustRightInd/>
        <w:snapToGrid w:val="0"/>
        <w:spacing w:line="400" w:lineRule="exact"/>
        <w:ind w:firstLine="422" w:firstLineChars="200"/>
        <w:textAlignment w:val="auto"/>
        <w:rPr>
          <w:rFonts w:ascii="宋体" w:hAnsi="宋体"/>
          <w:b/>
          <w:bCs/>
          <w:color w:val="auto"/>
          <w:highlight w:val="none"/>
        </w:rPr>
      </w:pPr>
      <w:r>
        <w:rPr>
          <w:rFonts w:ascii="宋体" w:hAnsi="宋体"/>
          <w:b/>
          <w:color w:val="auto"/>
          <w:highlight w:val="none"/>
        </w:rPr>
        <w:t>3.1</w:t>
      </w:r>
      <w:r>
        <w:rPr>
          <w:rFonts w:hint="eastAsia" w:ascii="宋体" w:hAnsi="宋体"/>
          <w:b/>
          <w:color w:val="auto"/>
          <w:highlight w:val="none"/>
        </w:rPr>
        <w:t>企业资质要求：</w:t>
      </w:r>
      <w:r>
        <w:rPr>
          <w:rFonts w:hint="eastAsia" w:ascii="宋体" w:hAnsi="宋体"/>
          <w:bCs/>
          <w:color w:val="auto"/>
          <w:highlight w:val="none"/>
        </w:rPr>
        <w:t>投标人为依法设立且有效存续的具有法人资格的企业，且具备较强的投资能力、融资能力、财务管理能力，能从事资质范围内相应的建设工程总承包业务；投标人应同时满足下列资格条件要求：</w:t>
      </w:r>
    </w:p>
    <w:p w14:paraId="0CEBE94E">
      <w:pPr>
        <w:pStyle w:val="381"/>
        <w:keepNext w:val="0"/>
        <w:keepLines w:val="0"/>
        <w:pageBreakBefore w:val="0"/>
        <w:kinsoku/>
        <w:wordWrap/>
        <w:overflowPunct/>
        <w:topLinePunct w:val="0"/>
        <w:autoSpaceDE/>
        <w:autoSpaceDN/>
        <w:bidi w:val="0"/>
        <w:adjustRightInd/>
        <w:snapToGrid w:val="0"/>
        <w:spacing w:line="400" w:lineRule="exact"/>
        <w:ind w:firstLine="420" w:firstLineChars="200"/>
        <w:textAlignment w:val="auto"/>
        <w:rPr>
          <w:rFonts w:ascii="宋体" w:hAnsi="宋体"/>
          <w:color w:val="auto"/>
          <w:highlight w:val="none"/>
        </w:rPr>
      </w:pPr>
      <w:r>
        <w:rPr>
          <w:rFonts w:hint="eastAsia" w:ascii="宋体" w:hAnsi="宋体"/>
          <w:color w:val="auto"/>
          <w:highlight w:val="none"/>
        </w:rPr>
        <w:t>3.1.1勘察资质要求：具备建设行政主管部门颁发的工程勘察专业（岩土工程）乙级以上（含乙级）资质。</w:t>
      </w:r>
    </w:p>
    <w:p w14:paraId="674AD2B0">
      <w:pPr>
        <w:pStyle w:val="381"/>
        <w:keepNext w:val="0"/>
        <w:keepLines w:val="0"/>
        <w:pageBreakBefore w:val="0"/>
        <w:kinsoku/>
        <w:wordWrap/>
        <w:overflowPunct/>
        <w:topLinePunct w:val="0"/>
        <w:autoSpaceDE/>
        <w:autoSpaceDN/>
        <w:bidi w:val="0"/>
        <w:adjustRightInd/>
        <w:snapToGrid w:val="0"/>
        <w:spacing w:line="400" w:lineRule="exact"/>
        <w:ind w:firstLine="420" w:firstLineChars="200"/>
        <w:textAlignment w:val="auto"/>
        <w:rPr>
          <w:rFonts w:ascii="宋体" w:hAnsi="宋体"/>
          <w:color w:val="auto"/>
          <w:highlight w:val="none"/>
          <w:lang w:val="zh-TW" w:eastAsia="zh-TW"/>
        </w:rPr>
      </w:pPr>
      <w:r>
        <w:rPr>
          <w:rFonts w:hint="eastAsia" w:ascii="宋体" w:hAnsi="宋体"/>
          <w:color w:val="auto"/>
          <w:highlight w:val="none"/>
        </w:rPr>
        <w:t>3.1.2设计资质要求：</w:t>
      </w:r>
      <w:r>
        <w:rPr>
          <w:rFonts w:hint="eastAsia" w:ascii="宋体" w:hAnsi="宋体"/>
          <w:color w:val="auto"/>
          <w:highlight w:val="none"/>
          <w:lang w:val="zh-TW" w:eastAsia="zh-CN"/>
        </w:rPr>
        <w:t>具有工程设计综合资质或者市政行业（给水工程、排水工程和道路工程）专业乙级及其以上资质</w:t>
      </w:r>
      <w:r>
        <w:rPr>
          <w:rFonts w:hint="eastAsia" w:ascii="宋体" w:hAnsi="宋体"/>
          <w:color w:val="auto"/>
          <w:highlight w:val="none"/>
          <w:lang w:val="zh-TW" w:eastAsia="zh-TW"/>
        </w:rPr>
        <w:t>。</w:t>
      </w:r>
    </w:p>
    <w:p w14:paraId="424F3E86">
      <w:pPr>
        <w:pStyle w:val="381"/>
        <w:keepNext w:val="0"/>
        <w:keepLines w:val="0"/>
        <w:pageBreakBefore w:val="0"/>
        <w:kinsoku/>
        <w:wordWrap/>
        <w:overflowPunct/>
        <w:topLinePunct w:val="0"/>
        <w:autoSpaceDE/>
        <w:autoSpaceDN/>
        <w:bidi w:val="0"/>
        <w:adjustRightInd/>
        <w:snapToGrid w:val="0"/>
        <w:spacing w:line="400" w:lineRule="exact"/>
        <w:ind w:firstLine="420" w:firstLineChars="200"/>
        <w:textAlignment w:val="auto"/>
        <w:rPr>
          <w:rFonts w:hint="eastAsia" w:ascii="宋体" w:hAnsi="宋体"/>
          <w:bCs/>
          <w:color w:val="auto"/>
          <w:highlight w:val="none"/>
          <w:lang w:val="zh-TW" w:eastAsia="zh-TW"/>
        </w:rPr>
      </w:pPr>
      <w:r>
        <w:rPr>
          <w:rFonts w:hint="eastAsia" w:ascii="宋体" w:hAnsi="宋体"/>
          <w:bCs/>
          <w:color w:val="auto"/>
          <w:highlight w:val="none"/>
        </w:rPr>
        <w:t>3.1.3施工资质要求：具备市政公用工程</w:t>
      </w:r>
      <w:r>
        <w:rPr>
          <w:rFonts w:hint="eastAsia" w:ascii="宋体" w:hAnsi="宋体"/>
          <w:bCs/>
          <w:color w:val="auto"/>
          <w:highlight w:val="none"/>
          <w:lang w:eastAsia="zh-CN"/>
        </w:rPr>
        <w:t>施工总承包三级</w:t>
      </w:r>
      <w:r>
        <w:rPr>
          <w:rFonts w:hint="eastAsia" w:ascii="宋体" w:hAnsi="宋体"/>
          <w:bCs/>
          <w:color w:val="auto"/>
          <w:highlight w:val="none"/>
        </w:rPr>
        <w:t>及以上资质，</w:t>
      </w:r>
      <w:r>
        <w:rPr>
          <w:rFonts w:hint="eastAsia" w:ascii="宋体" w:hAnsi="宋体"/>
          <w:bCs/>
          <w:color w:val="auto"/>
          <w:highlight w:val="none"/>
          <w:lang w:val="en-US" w:eastAsia="zh-CN"/>
        </w:rPr>
        <w:t>并具有有效的安全生产许可证</w:t>
      </w:r>
      <w:r>
        <w:rPr>
          <w:rFonts w:hint="eastAsia" w:ascii="宋体" w:hAnsi="宋体"/>
          <w:bCs/>
          <w:color w:val="auto"/>
          <w:highlight w:val="none"/>
        </w:rPr>
        <w:t>，并在人员、设备、资金等方面具有相应的施工能力</w:t>
      </w:r>
      <w:r>
        <w:rPr>
          <w:rFonts w:hint="eastAsia" w:ascii="宋体" w:hAnsi="宋体"/>
          <w:bCs/>
          <w:color w:val="auto"/>
          <w:highlight w:val="none"/>
          <w:lang w:val="zh-TW" w:eastAsia="zh-TW"/>
        </w:rPr>
        <w:t>。</w:t>
      </w:r>
    </w:p>
    <w:p w14:paraId="7DD7EBD5">
      <w:pPr>
        <w:pStyle w:val="381"/>
        <w:keepNext w:val="0"/>
        <w:keepLines w:val="0"/>
        <w:pageBreakBefore w:val="0"/>
        <w:kinsoku/>
        <w:wordWrap/>
        <w:overflowPunct/>
        <w:topLinePunct w:val="0"/>
        <w:autoSpaceDE/>
        <w:autoSpaceDN/>
        <w:bidi w:val="0"/>
        <w:adjustRightInd/>
        <w:snapToGrid w:val="0"/>
        <w:spacing w:line="400" w:lineRule="exact"/>
        <w:ind w:firstLine="422" w:firstLineChars="200"/>
        <w:textAlignment w:val="auto"/>
        <w:rPr>
          <w:rFonts w:ascii="宋体" w:hAnsi="宋体"/>
          <w:b/>
          <w:color w:val="auto"/>
          <w:highlight w:val="none"/>
        </w:rPr>
      </w:pPr>
      <w:r>
        <w:rPr>
          <w:rFonts w:ascii="宋体" w:hAnsi="宋体"/>
          <w:b/>
          <w:color w:val="auto"/>
          <w:highlight w:val="none"/>
        </w:rPr>
        <w:t>3.</w:t>
      </w:r>
      <w:r>
        <w:rPr>
          <w:rFonts w:hint="eastAsia" w:ascii="宋体" w:hAnsi="宋体"/>
          <w:b/>
          <w:color w:val="auto"/>
          <w:highlight w:val="none"/>
        </w:rPr>
        <w:t>2</w:t>
      </w:r>
      <w:r>
        <w:rPr>
          <w:rFonts w:ascii="宋体" w:hAnsi="宋体"/>
          <w:b/>
          <w:color w:val="auto"/>
          <w:highlight w:val="none"/>
        </w:rPr>
        <w:t xml:space="preserve"> </w:t>
      </w:r>
      <w:r>
        <w:rPr>
          <w:rFonts w:hint="eastAsia" w:ascii="宋体" w:hAnsi="宋体"/>
          <w:b/>
          <w:color w:val="auto"/>
          <w:highlight w:val="none"/>
        </w:rPr>
        <w:t>人员要求</w:t>
      </w:r>
    </w:p>
    <w:p w14:paraId="44FDB923">
      <w:pPr>
        <w:pStyle w:val="381"/>
        <w:keepNext w:val="0"/>
        <w:keepLines w:val="0"/>
        <w:pageBreakBefore w:val="0"/>
        <w:kinsoku/>
        <w:wordWrap/>
        <w:overflowPunct/>
        <w:topLinePunct w:val="0"/>
        <w:autoSpaceDE/>
        <w:autoSpaceDN/>
        <w:bidi w:val="0"/>
        <w:adjustRightInd/>
        <w:snapToGrid w:val="0"/>
        <w:spacing w:line="400" w:lineRule="exact"/>
        <w:ind w:firstLine="420" w:firstLineChars="200"/>
        <w:textAlignment w:val="auto"/>
        <w:rPr>
          <w:rFonts w:hint="eastAsia" w:ascii="宋体" w:hAnsi="宋体"/>
          <w:bCs/>
          <w:color w:val="auto"/>
          <w:highlight w:val="none"/>
          <w:lang w:val="zh-TW" w:eastAsia="zh-TW"/>
        </w:rPr>
      </w:pPr>
      <w:r>
        <w:rPr>
          <w:rFonts w:hint="eastAsia" w:ascii="宋体" w:hAnsi="宋体"/>
          <w:bCs/>
          <w:color w:val="auto"/>
          <w:highlight w:val="none"/>
        </w:rPr>
        <w:t>3.2.1勘察负责人：</w:t>
      </w:r>
      <w:r>
        <w:rPr>
          <w:rFonts w:hint="eastAsia" w:ascii="宋体" w:hAnsi="宋体"/>
          <w:bCs/>
          <w:color w:val="auto"/>
          <w:highlight w:val="none"/>
          <w:lang w:val="zh-TW" w:eastAsia="zh-TW"/>
        </w:rPr>
        <w:t>拟派往本项目的勘察负责人应具备国家注册</w:t>
      </w:r>
      <w:r>
        <w:rPr>
          <w:rFonts w:hint="eastAsia" w:ascii="宋体" w:hAnsi="宋体"/>
          <w:bCs/>
          <w:color w:val="auto"/>
          <w:highlight w:val="none"/>
        </w:rPr>
        <w:t>土木工程师（岩土）</w:t>
      </w:r>
      <w:r>
        <w:rPr>
          <w:rFonts w:hint="eastAsia" w:ascii="宋体" w:hAnsi="宋体"/>
          <w:bCs/>
          <w:color w:val="auto"/>
          <w:highlight w:val="none"/>
          <w:lang w:val="zh-TW" w:eastAsia="zh-TW"/>
        </w:rPr>
        <w:t>执业资格</w:t>
      </w:r>
      <w:r>
        <w:rPr>
          <w:rFonts w:hint="eastAsia" w:ascii="宋体" w:hAnsi="宋体"/>
          <w:bCs/>
          <w:color w:val="auto"/>
          <w:highlight w:val="none"/>
          <w:lang w:val="zh-TW" w:eastAsia="zh-CN"/>
        </w:rPr>
        <w:t>，</w:t>
      </w:r>
      <w:r>
        <w:rPr>
          <w:rFonts w:hint="eastAsia" w:ascii="宋体" w:hAnsi="宋体"/>
          <w:bCs/>
          <w:color w:val="auto"/>
          <w:highlight w:val="none"/>
          <w:lang w:val="en-US" w:eastAsia="zh-CN"/>
        </w:rPr>
        <w:t>且</w:t>
      </w:r>
      <w:r>
        <w:rPr>
          <w:rFonts w:hint="eastAsia" w:ascii="宋体" w:hAnsi="宋体"/>
          <w:bCs/>
          <w:color w:val="auto"/>
          <w:highlight w:val="none"/>
          <w:lang w:val="zh-TW" w:eastAsia="zh-TW"/>
        </w:rPr>
        <w:t>为单位正式职员。</w:t>
      </w:r>
    </w:p>
    <w:p w14:paraId="10D7394A">
      <w:pPr>
        <w:pStyle w:val="381"/>
        <w:keepNext w:val="0"/>
        <w:keepLines w:val="0"/>
        <w:pageBreakBefore w:val="0"/>
        <w:kinsoku/>
        <w:wordWrap/>
        <w:overflowPunct/>
        <w:topLinePunct w:val="0"/>
        <w:autoSpaceDE/>
        <w:autoSpaceDN/>
        <w:bidi w:val="0"/>
        <w:adjustRightInd/>
        <w:snapToGrid w:val="0"/>
        <w:spacing w:line="400" w:lineRule="exact"/>
        <w:ind w:firstLine="420" w:firstLineChars="200"/>
        <w:textAlignment w:val="auto"/>
        <w:rPr>
          <w:rFonts w:ascii="宋体" w:hAnsi="宋体"/>
          <w:bCs/>
          <w:color w:val="auto"/>
          <w:highlight w:val="none"/>
        </w:rPr>
      </w:pPr>
      <w:r>
        <w:rPr>
          <w:rFonts w:hint="eastAsia" w:ascii="宋体" w:hAnsi="宋体"/>
          <w:bCs/>
          <w:color w:val="auto"/>
          <w:highlight w:val="none"/>
          <w:lang w:val="en-US" w:eastAsia="zh-CN"/>
        </w:rPr>
        <w:t>3.2.2</w:t>
      </w:r>
      <w:r>
        <w:rPr>
          <w:rFonts w:hint="eastAsia" w:ascii="宋体" w:hAnsi="宋体"/>
          <w:bCs/>
          <w:color w:val="auto"/>
          <w:highlight w:val="none"/>
        </w:rPr>
        <w:t>设计负责人：</w:t>
      </w:r>
      <w:r>
        <w:rPr>
          <w:rFonts w:hint="eastAsia" w:ascii="宋体" w:hAnsi="宋体"/>
          <w:bCs/>
          <w:color w:val="auto"/>
          <w:highlight w:val="none"/>
          <w:lang w:eastAsia="zh-CN"/>
        </w:rPr>
        <w:t>拟派本项目的设计负责人须具有注册给水排水工程师或注册道路工程师证书，且为单位正式职员，并提供有效劳动合同或其他证明材料</w:t>
      </w:r>
      <w:r>
        <w:rPr>
          <w:rFonts w:hint="eastAsia" w:ascii="宋体" w:hAnsi="宋体"/>
          <w:bCs/>
          <w:color w:val="auto"/>
          <w:highlight w:val="none"/>
        </w:rPr>
        <w:t>。</w:t>
      </w:r>
    </w:p>
    <w:p w14:paraId="4C5B0132">
      <w:pPr>
        <w:pStyle w:val="381"/>
        <w:keepNext w:val="0"/>
        <w:keepLines w:val="0"/>
        <w:pageBreakBefore w:val="0"/>
        <w:kinsoku/>
        <w:wordWrap/>
        <w:overflowPunct/>
        <w:topLinePunct w:val="0"/>
        <w:autoSpaceDE/>
        <w:autoSpaceDN/>
        <w:bidi w:val="0"/>
        <w:adjustRightInd/>
        <w:snapToGrid w:val="0"/>
        <w:spacing w:line="400" w:lineRule="exact"/>
        <w:ind w:firstLine="420" w:firstLineChars="200"/>
        <w:textAlignment w:val="auto"/>
        <w:rPr>
          <w:rFonts w:hint="eastAsia" w:ascii="宋体" w:hAnsi="宋体"/>
          <w:bCs/>
          <w:color w:val="auto"/>
          <w:lang w:val="zh-TW"/>
        </w:rPr>
      </w:pPr>
      <w:r>
        <w:rPr>
          <w:rFonts w:hint="eastAsia" w:ascii="宋体" w:hAnsi="宋体"/>
          <w:bCs/>
          <w:color w:val="auto"/>
        </w:rPr>
        <w:t>3.2.</w:t>
      </w:r>
      <w:r>
        <w:rPr>
          <w:rFonts w:hint="eastAsia" w:ascii="宋体" w:hAnsi="宋体"/>
          <w:bCs/>
          <w:color w:val="auto"/>
          <w:lang w:val="en-US" w:eastAsia="zh-CN"/>
        </w:rPr>
        <w:t>3</w:t>
      </w:r>
      <w:r>
        <w:rPr>
          <w:rFonts w:hint="eastAsia" w:ascii="宋体" w:hAnsi="宋体"/>
          <w:bCs/>
          <w:color w:val="auto"/>
          <w:lang w:val="zh-TW"/>
        </w:rPr>
        <w:t>施工</w:t>
      </w:r>
      <w:r>
        <w:rPr>
          <w:rFonts w:hint="eastAsia" w:ascii="宋体" w:hAnsi="宋体"/>
          <w:bCs/>
          <w:color w:val="auto"/>
          <w:lang w:val="zh-TW" w:eastAsia="zh-TW"/>
        </w:rPr>
        <w:t>项目</w:t>
      </w:r>
      <w:r>
        <w:rPr>
          <w:rFonts w:hint="eastAsia" w:ascii="宋体" w:hAnsi="宋体"/>
          <w:bCs/>
          <w:color w:val="auto"/>
          <w:lang w:val="zh-TW"/>
        </w:rPr>
        <w:t>负责人</w:t>
      </w:r>
      <w:r>
        <w:rPr>
          <w:rFonts w:hint="eastAsia" w:ascii="宋体" w:hAnsi="宋体"/>
          <w:bCs/>
          <w:color w:val="auto"/>
          <w:lang w:val="zh-TW" w:eastAsia="zh-TW"/>
        </w:rPr>
        <w:t>：拟派往本项目的项目经理应具备</w:t>
      </w:r>
      <w:r>
        <w:rPr>
          <w:rFonts w:hint="eastAsia" w:ascii="宋体" w:hAnsi="宋体"/>
          <w:bCs/>
          <w:color w:val="auto"/>
          <w:lang w:val="zh-TW"/>
        </w:rPr>
        <w:t>市政公用工程专业二级及其以上注册建造师执业资格</w:t>
      </w:r>
      <w:r>
        <w:rPr>
          <w:rFonts w:hint="eastAsia" w:ascii="宋体" w:hAnsi="宋体"/>
          <w:bCs/>
          <w:color w:val="auto"/>
          <w:lang w:val="zh-TW" w:eastAsia="zh-TW"/>
        </w:rPr>
        <w:t>，且</w:t>
      </w:r>
      <w:r>
        <w:rPr>
          <w:rFonts w:hint="eastAsia" w:ascii="宋体" w:hAnsi="宋体"/>
          <w:bCs/>
          <w:color w:val="auto"/>
          <w:lang w:val="en-US" w:eastAsia="zh-CN"/>
        </w:rPr>
        <w:t>取得</w:t>
      </w:r>
      <w:r>
        <w:rPr>
          <w:rFonts w:hint="eastAsia" w:ascii="宋体" w:hAnsi="宋体"/>
          <w:bCs/>
          <w:color w:val="auto"/>
          <w:lang w:val="zh-TW" w:eastAsia="zh-TW"/>
        </w:rPr>
        <w:t>有效的安全生产</w:t>
      </w:r>
      <w:r>
        <w:rPr>
          <w:rFonts w:hint="eastAsia" w:ascii="宋体" w:hAnsi="宋体"/>
          <w:bCs/>
          <w:color w:val="auto"/>
          <w:lang w:val="zh-TW" w:eastAsia="zh-CN"/>
        </w:rPr>
        <w:t>考核</w:t>
      </w:r>
      <w:r>
        <w:rPr>
          <w:rFonts w:hint="eastAsia" w:ascii="宋体" w:hAnsi="宋体"/>
          <w:bCs/>
          <w:color w:val="auto"/>
          <w:lang w:val="zh-TW" w:eastAsia="zh-TW"/>
        </w:rPr>
        <w:t>B</w:t>
      </w:r>
      <w:r>
        <w:rPr>
          <w:rFonts w:hint="eastAsia" w:ascii="宋体" w:hAnsi="宋体"/>
          <w:bCs/>
          <w:color w:val="auto"/>
          <w:lang w:val="zh-TW"/>
        </w:rPr>
        <w:t>证</w:t>
      </w:r>
      <w:r>
        <w:rPr>
          <w:rFonts w:hint="eastAsia" w:ascii="宋体" w:hAnsi="宋体"/>
          <w:bCs/>
          <w:color w:val="auto"/>
          <w:lang w:val="zh-TW" w:eastAsia="zh-CN"/>
        </w:rPr>
        <w:t>，</w:t>
      </w:r>
      <w:r>
        <w:rPr>
          <w:rFonts w:hint="eastAsia" w:ascii="宋体" w:hAnsi="宋体" w:eastAsia="宋体" w:cs="宋体"/>
          <w:b w:val="0"/>
          <w:bCs w:val="0"/>
          <w:color w:val="auto"/>
          <w:sz w:val="21"/>
          <w:szCs w:val="21"/>
          <w:lang w:val="zh-TW" w:eastAsia="zh-CN"/>
        </w:rPr>
        <w:t>无在建项目。拟派项目经理及技术负责人须为单位正式职员</w:t>
      </w:r>
      <w:r>
        <w:rPr>
          <w:rFonts w:hint="eastAsia" w:ascii="宋体" w:hAnsi="宋体"/>
          <w:bCs/>
          <w:color w:val="auto"/>
          <w:lang w:val="zh-TW"/>
        </w:rPr>
        <w:t>。</w:t>
      </w:r>
    </w:p>
    <w:p w14:paraId="387E2425">
      <w:pPr>
        <w:pStyle w:val="381"/>
        <w:keepNext w:val="0"/>
        <w:keepLines w:val="0"/>
        <w:pageBreakBefore w:val="0"/>
        <w:kinsoku/>
        <w:wordWrap/>
        <w:overflowPunct/>
        <w:topLinePunct w:val="0"/>
        <w:autoSpaceDE/>
        <w:autoSpaceDN/>
        <w:bidi w:val="0"/>
        <w:adjustRightInd/>
        <w:snapToGrid w:val="0"/>
        <w:spacing w:line="400" w:lineRule="exact"/>
        <w:ind w:firstLine="422" w:firstLineChars="200"/>
        <w:textAlignment w:val="auto"/>
        <w:rPr>
          <w:rFonts w:ascii="宋体" w:hAnsi="宋体"/>
          <w:bCs/>
          <w:color w:val="auto"/>
        </w:rPr>
      </w:pPr>
      <w:r>
        <w:rPr>
          <w:rFonts w:hint="eastAsia" w:ascii="宋体" w:hAnsi="宋体"/>
          <w:b/>
          <w:color w:val="auto"/>
        </w:rPr>
        <w:t>3.3财务要求：</w:t>
      </w:r>
      <w:r>
        <w:rPr>
          <w:rFonts w:hint="eastAsia" w:ascii="宋体" w:hAnsi="宋体"/>
          <w:bCs/>
          <w:color w:val="auto"/>
        </w:rPr>
        <w:t>财务状况良好，未处于财产被接管、冻结和破产状态，提供</w:t>
      </w:r>
      <w:r>
        <w:rPr>
          <w:rFonts w:hint="eastAsia" w:ascii="宋体" w:hAnsi="宋体"/>
          <w:bCs/>
          <w:color w:val="auto"/>
          <w:lang w:eastAsia="zh-CN"/>
        </w:rPr>
        <w:t>2023年—2025年</w:t>
      </w:r>
      <w:r>
        <w:rPr>
          <w:rFonts w:hint="eastAsia" w:ascii="宋体" w:hAnsi="宋体"/>
          <w:bCs/>
          <w:color w:val="auto"/>
        </w:rPr>
        <w:t>经第三方审计的财务审计报告，审计报告至少包括资产负债表、现金流量表、利润表；若公司成立时间不足3年的则提交成立至今有效的财务报表及健全的财务制度</w:t>
      </w:r>
      <w:r>
        <w:rPr>
          <w:rFonts w:hint="eastAsia" w:ascii="宋体" w:hAnsi="宋体"/>
          <w:bCs/>
          <w:color w:val="auto"/>
          <w:lang w:eastAsia="zh-CN"/>
        </w:rPr>
        <w:t>，</w:t>
      </w:r>
      <w:r>
        <w:rPr>
          <w:rFonts w:hint="eastAsia" w:ascii="宋体" w:hAnsi="宋体"/>
          <w:bCs/>
          <w:color w:val="auto"/>
          <w:lang w:val="en-US" w:eastAsia="zh-CN"/>
        </w:rPr>
        <w:t>新成立的公司提供相应的资信证明</w:t>
      </w:r>
      <w:r>
        <w:rPr>
          <w:rFonts w:hint="eastAsia" w:ascii="宋体" w:hAnsi="宋体"/>
          <w:bCs/>
          <w:color w:val="auto"/>
        </w:rPr>
        <w:t>（若为联合体，由联合体中牵头方提供）。</w:t>
      </w:r>
    </w:p>
    <w:p w14:paraId="5239E41D">
      <w:pPr>
        <w:pStyle w:val="381"/>
        <w:keepNext w:val="0"/>
        <w:keepLines w:val="0"/>
        <w:pageBreakBefore w:val="0"/>
        <w:kinsoku/>
        <w:wordWrap/>
        <w:overflowPunct/>
        <w:topLinePunct w:val="0"/>
        <w:autoSpaceDE/>
        <w:autoSpaceDN/>
        <w:bidi w:val="0"/>
        <w:adjustRightInd/>
        <w:snapToGrid w:val="0"/>
        <w:spacing w:line="400" w:lineRule="exact"/>
        <w:ind w:firstLine="422" w:firstLineChars="200"/>
        <w:textAlignment w:val="auto"/>
        <w:rPr>
          <w:rFonts w:ascii="宋体" w:hAnsi="宋体"/>
          <w:b/>
          <w:color w:val="auto"/>
        </w:rPr>
      </w:pPr>
      <w:r>
        <w:rPr>
          <w:rFonts w:hint="eastAsia" w:ascii="宋体" w:hAnsi="宋体"/>
          <w:b/>
          <w:color w:val="auto"/>
        </w:rPr>
        <w:t>3.4信誉要求</w:t>
      </w:r>
    </w:p>
    <w:p w14:paraId="3DE5A544">
      <w:pPr>
        <w:pStyle w:val="381"/>
        <w:keepNext w:val="0"/>
        <w:keepLines w:val="0"/>
        <w:pageBreakBefore w:val="0"/>
        <w:kinsoku/>
        <w:wordWrap/>
        <w:overflowPunct/>
        <w:topLinePunct w:val="0"/>
        <w:autoSpaceDE/>
        <w:autoSpaceDN/>
        <w:bidi w:val="0"/>
        <w:adjustRightInd/>
        <w:snapToGrid w:val="0"/>
        <w:spacing w:line="400" w:lineRule="exact"/>
        <w:ind w:firstLine="420" w:firstLineChars="200"/>
        <w:textAlignment w:val="auto"/>
        <w:rPr>
          <w:rFonts w:ascii="宋体" w:hAnsi="宋体"/>
          <w:bCs/>
          <w:color w:val="auto"/>
        </w:rPr>
      </w:pPr>
      <w:r>
        <w:rPr>
          <w:rFonts w:hint="eastAsia" w:ascii="宋体" w:hAnsi="宋体"/>
          <w:bCs/>
          <w:color w:val="auto"/>
        </w:rPr>
        <w:t>3.4.1</w:t>
      </w:r>
      <w:r>
        <w:rPr>
          <w:rFonts w:hint="eastAsia" w:ascii="宋体" w:hAnsi="宋体" w:eastAsia="宋体" w:cs="宋体"/>
          <w:b w:val="0"/>
          <w:bCs w:val="0"/>
          <w:color w:val="auto"/>
          <w:kern w:val="0"/>
          <w:sz w:val="21"/>
          <w:szCs w:val="21"/>
          <w:lang w:val="zh-TW" w:eastAsia="zh-TW"/>
        </w:rPr>
        <w:t>（若为联合体，则为联合体各方）（1）投标人没有处于被责令停业，投标资格被取消，财产被接管、冻结、破产状态；在最近三年内没有骗取中标和严重违约及重大质量问题</w:t>
      </w:r>
      <w:r>
        <w:rPr>
          <w:rFonts w:hint="eastAsia" w:ascii="宋体" w:hAnsi="宋体"/>
          <w:bCs/>
          <w:color w:val="auto"/>
        </w:rPr>
        <w:t>。</w:t>
      </w:r>
    </w:p>
    <w:p w14:paraId="4A1C5E36">
      <w:pPr>
        <w:pStyle w:val="381"/>
        <w:keepNext w:val="0"/>
        <w:keepLines w:val="0"/>
        <w:pageBreakBefore w:val="0"/>
        <w:kinsoku/>
        <w:wordWrap/>
        <w:overflowPunct/>
        <w:topLinePunct w:val="0"/>
        <w:autoSpaceDE/>
        <w:autoSpaceDN/>
        <w:bidi w:val="0"/>
        <w:adjustRightInd/>
        <w:snapToGrid w:val="0"/>
        <w:spacing w:line="400" w:lineRule="exact"/>
        <w:ind w:firstLine="420" w:firstLineChars="200"/>
        <w:textAlignment w:val="auto"/>
        <w:rPr>
          <w:rFonts w:ascii="宋体" w:hAnsi="宋体"/>
          <w:bCs/>
          <w:color w:val="auto"/>
        </w:rPr>
      </w:pPr>
      <w:r>
        <w:rPr>
          <w:rFonts w:hint="eastAsia" w:ascii="宋体" w:hAnsi="宋体"/>
          <w:bCs/>
          <w:color w:val="auto"/>
        </w:rPr>
        <w:t>3.4.2</w:t>
      </w:r>
      <w:r>
        <w:rPr>
          <w:rFonts w:hint="eastAsia" w:ascii="宋体" w:hAnsi="宋体" w:eastAsia="宋体" w:cs="宋体"/>
          <w:b w:val="0"/>
          <w:bCs w:val="0"/>
          <w:color w:val="auto"/>
          <w:kern w:val="0"/>
          <w:sz w:val="21"/>
          <w:szCs w:val="21"/>
          <w:lang w:val="zh-TW" w:eastAsia="zh-TW"/>
        </w:rPr>
        <w:t>投标人信誉良好，在递交投标文件截止之日前未被列入“信用中国（https://www.creditchina.gov.cn/）”税收违法黑名单、中国执行信息公开网（http://zxgk.court.gov.cn/）失信被执行人名单、“国家企业信用信息公示系统”（http://www.gsxt.gov.cn</w:t>
      </w:r>
      <w:r>
        <w:rPr>
          <w:rFonts w:hint="eastAsia" w:ascii="宋体" w:hAnsi="宋体" w:cs="宋体"/>
          <w:b w:val="0"/>
          <w:bCs w:val="0"/>
          <w:color w:val="auto"/>
          <w:kern w:val="0"/>
          <w:sz w:val="21"/>
          <w:szCs w:val="21"/>
          <w:lang w:val="en-US" w:eastAsia="zh-CN"/>
        </w:rPr>
        <w:t>/</w:t>
      </w:r>
      <w:r>
        <w:rPr>
          <w:rFonts w:hint="eastAsia" w:ascii="宋体" w:hAnsi="宋体" w:eastAsia="宋体" w:cs="宋体"/>
          <w:b w:val="0"/>
          <w:bCs w:val="0"/>
          <w:color w:val="auto"/>
          <w:kern w:val="0"/>
          <w:sz w:val="21"/>
          <w:szCs w:val="21"/>
          <w:lang w:val="zh-TW" w:eastAsia="zh-TW"/>
        </w:rPr>
        <w:t>）经营异常名录</w:t>
      </w:r>
      <w:r>
        <w:rPr>
          <w:rFonts w:hint="eastAsia" w:ascii="宋体" w:hAnsi="宋体"/>
          <w:bCs/>
          <w:color w:val="auto"/>
        </w:rPr>
        <w:t>。</w:t>
      </w:r>
    </w:p>
    <w:p w14:paraId="0C59D10B">
      <w:pPr>
        <w:pStyle w:val="381"/>
        <w:keepNext w:val="0"/>
        <w:keepLines w:val="0"/>
        <w:pageBreakBefore w:val="0"/>
        <w:kinsoku/>
        <w:wordWrap/>
        <w:overflowPunct/>
        <w:topLinePunct w:val="0"/>
        <w:autoSpaceDE/>
        <w:autoSpaceDN/>
        <w:bidi w:val="0"/>
        <w:adjustRightInd/>
        <w:snapToGrid w:val="0"/>
        <w:spacing w:line="400" w:lineRule="exact"/>
        <w:ind w:firstLine="420" w:firstLineChars="200"/>
        <w:textAlignment w:val="auto"/>
        <w:rPr>
          <w:rFonts w:hint="eastAsia" w:ascii="宋体" w:hAnsi="宋体" w:eastAsia="宋体" w:cs="宋体"/>
          <w:b w:val="0"/>
          <w:bCs w:val="0"/>
          <w:color w:val="auto"/>
          <w:kern w:val="0"/>
          <w:sz w:val="21"/>
          <w:szCs w:val="21"/>
          <w:lang w:val="zh-TW" w:eastAsia="zh-CN"/>
        </w:rPr>
      </w:pPr>
      <w:r>
        <w:rPr>
          <w:rFonts w:hint="eastAsia" w:ascii="宋体" w:hAnsi="宋体"/>
          <w:bCs/>
          <w:color w:val="auto"/>
        </w:rPr>
        <w:t>3.4.3</w:t>
      </w:r>
      <w:r>
        <w:rPr>
          <w:rFonts w:hint="eastAsia" w:ascii="宋体" w:hAnsi="宋体" w:eastAsia="宋体" w:cs="宋体"/>
          <w:b w:val="0"/>
          <w:bCs w:val="0"/>
          <w:color w:val="auto"/>
          <w:kern w:val="0"/>
          <w:sz w:val="21"/>
          <w:szCs w:val="21"/>
          <w:lang w:val="zh-TW" w:eastAsia="zh-TW"/>
        </w:rPr>
        <w:t>投标人及其法定代表人、项目</w:t>
      </w:r>
      <w:r>
        <w:rPr>
          <w:rFonts w:hint="eastAsia" w:ascii="宋体" w:hAnsi="宋体" w:cs="宋体"/>
          <w:b w:val="0"/>
          <w:bCs w:val="0"/>
          <w:color w:val="auto"/>
          <w:kern w:val="0"/>
          <w:sz w:val="21"/>
          <w:szCs w:val="21"/>
          <w:lang w:val="en-US" w:eastAsia="zh-CN"/>
        </w:rPr>
        <w:t>经理</w:t>
      </w:r>
      <w:r>
        <w:rPr>
          <w:rFonts w:hint="eastAsia" w:ascii="宋体" w:hAnsi="宋体" w:eastAsia="宋体" w:cs="宋体"/>
          <w:b w:val="0"/>
          <w:bCs w:val="0"/>
          <w:color w:val="auto"/>
          <w:kern w:val="0"/>
          <w:sz w:val="21"/>
          <w:szCs w:val="21"/>
          <w:lang w:val="zh-TW" w:eastAsia="zh-TW"/>
        </w:rPr>
        <w:t>、设计负责人及</w:t>
      </w:r>
      <w:r>
        <w:rPr>
          <w:rFonts w:hint="eastAsia" w:ascii="宋体" w:hAnsi="宋体" w:eastAsia="宋体" w:cs="宋体"/>
          <w:b w:val="0"/>
          <w:bCs w:val="0"/>
          <w:color w:val="auto"/>
          <w:kern w:val="0"/>
          <w:sz w:val="21"/>
          <w:szCs w:val="21"/>
          <w:lang w:val="en-US" w:eastAsia="zh-CN"/>
        </w:rPr>
        <w:t>勘察</w:t>
      </w:r>
      <w:r>
        <w:rPr>
          <w:rFonts w:hint="eastAsia" w:ascii="宋体" w:hAnsi="宋体" w:eastAsia="宋体" w:cs="宋体"/>
          <w:b w:val="0"/>
          <w:bCs w:val="0"/>
          <w:color w:val="auto"/>
          <w:kern w:val="0"/>
          <w:sz w:val="21"/>
          <w:szCs w:val="21"/>
          <w:lang w:val="zh-TW" w:eastAsia="zh-TW"/>
        </w:rPr>
        <w:t>负责人无行贿犯罪行为记录（以中国裁判文书网“https://wenshu.court.gov.cn/”查询结果为准）</w:t>
      </w:r>
      <w:r>
        <w:rPr>
          <w:rFonts w:hint="eastAsia" w:ascii="宋体" w:hAnsi="宋体" w:eastAsia="宋体" w:cs="宋体"/>
          <w:b w:val="0"/>
          <w:bCs w:val="0"/>
          <w:color w:val="auto"/>
          <w:kern w:val="0"/>
          <w:sz w:val="21"/>
          <w:szCs w:val="21"/>
          <w:lang w:val="zh-TW" w:eastAsia="zh-CN"/>
        </w:rPr>
        <w:t>。</w:t>
      </w:r>
    </w:p>
    <w:p w14:paraId="27AB94A7">
      <w:pPr>
        <w:pStyle w:val="381"/>
        <w:keepNext w:val="0"/>
        <w:keepLines w:val="0"/>
        <w:pageBreakBefore w:val="0"/>
        <w:kinsoku/>
        <w:wordWrap/>
        <w:overflowPunct/>
        <w:topLinePunct w:val="0"/>
        <w:autoSpaceDE/>
        <w:autoSpaceDN/>
        <w:bidi w:val="0"/>
        <w:adjustRightInd/>
        <w:snapToGrid w:val="0"/>
        <w:spacing w:line="400" w:lineRule="exact"/>
        <w:ind w:firstLine="420" w:firstLineChars="200"/>
        <w:textAlignment w:val="auto"/>
        <w:rPr>
          <w:rFonts w:ascii="宋体" w:hAnsi="宋体"/>
          <w:bCs/>
          <w:color w:val="auto"/>
        </w:rPr>
      </w:pPr>
      <w:r>
        <w:rPr>
          <w:rFonts w:hint="eastAsia" w:ascii="宋体" w:hAnsi="宋体" w:eastAsia="宋体" w:cs="宋体"/>
          <w:b w:val="0"/>
          <w:bCs w:val="0"/>
          <w:color w:val="auto"/>
          <w:kern w:val="0"/>
          <w:sz w:val="21"/>
          <w:szCs w:val="21"/>
          <w:lang w:val="en-US" w:eastAsia="zh-CN"/>
        </w:rPr>
        <w:t>3.4.4根据《云南省住房和城乡建设厅关于印发云南省房屋市政工程安全生产监督管理十九条整治措施的通知》（云建质</w:t>
      </w:r>
      <w:r>
        <w:rPr>
          <w:rFonts w:hint="eastAsia" w:ascii="宋体" w:hAnsi="宋体" w:cs="宋体"/>
          <w:b w:val="0"/>
          <w:bCs w:val="0"/>
          <w:color w:val="auto"/>
          <w:kern w:val="0"/>
          <w:sz w:val="21"/>
          <w:szCs w:val="21"/>
          <w:lang w:val="en-US" w:eastAsia="zh-CN"/>
        </w:rPr>
        <w:t>〔2023〕1号</w:t>
      </w:r>
      <w:r>
        <w:rPr>
          <w:rFonts w:hint="eastAsia" w:ascii="宋体" w:hAnsi="宋体" w:eastAsia="宋体" w:cs="宋体"/>
          <w:b w:val="0"/>
          <w:bCs w:val="0"/>
          <w:color w:val="auto"/>
          <w:kern w:val="0"/>
          <w:sz w:val="21"/>
          <w:szCs w:val="21"/>
          <w:lang w:val="en-US" w:eastAsia="zh-CN"/>
        </w:rPr>
        <w:t>）对在云南省内发生生产安全责任事故的生产经营单位，且不具备安全生产条件的，在云南省行政区域范围内不得参与新的招投标活动；生产经营单位安全生产条件符合后，应当逐级向属地行业行政主管部门申请复核，经省级行业行政主管部门核准通过后，方可在云南省行政区域范围内参与新的招投标活动</w:t>
      </w:r>
      <w:r>
        <w:rPr>
          <w:rFonts w:hint="eastAsia" w:ascii="宋体" w:hAnsi="宋体"/>
          <w:bCs/>
          <w:color w:val="auto"/>
        </w:rPr>
        <w:t>。</w:t>
      </w:r>
    </w:p>
    <w:p w14:paraId="19CB8A3A">
      <w:pPr>
        <w:pStyle w:val="381"/>
        <w:keepNext w:val="0"/>
        <w:keepLines w:val="0"/>
        <w:pageBreakBefore w:val="0"/>
        <w:kinsoku/>
        <w:wordWrap/>
        <w:overflowPunct/>
        <w:topLinePunct w:val="0"/>
        <w:autoSpaceDE/>
        <w:autoSpaceDN/>
        <w:bidi w:val="0"/>
        <w:adjustRightInd/>
        <w:snapToGrid w:val="0"/>
        <w:spacing w:line="400" w:lineRule="exact"/>
        <w:ind w:firstLine="422" w:firstLineChars="200"/>
        <w:textAlignment w:val="auto"/>
        <w:rPr>
          <w:rFonts w:ascii="宋体" w:hAnsi="宋体"/>
          <w:b/>
          <w:color w:val="auto"/>
        </w:rPr>
      </w:pPr>
      <w:r>
        <w:rPr>
          <w:rFonts w:hint="eastAsia" w:ascii="宋体" w:hAnsi="宋体"/>
          <w:b/>
          <w:color w:val="auto"/>
        </w:rPr>
        <w:t>3.5</w:t>
      </w:r>
      <w:r>
        <w:rPr>
          <w:rFonts w:ascii="宋体" w:hAnsi="宋体"/>
          <w:b/>
          <w:color w:val="auto"/>
        </w:rPr>
        <w:t>其他要求</w:t>
      </w:r>
    </w:p>
    <w:p w14:paraId="715EA2BC">
      <w:pPr>
        <w:pStyle w:val="381"/>
        <w:keepNext w:val="0"/>
        <w:keepLines w:val="0"/>
        <w:pageBreakBefore w:val="0"/>
        <w:kinsoku/>
        <w:wordWrap/>
        <w:overflowPunct/>
        <w:topLinePunct w:val="0"/>
        <w:autoSpaceDE/>
        <w:autoSpaceDN/>
        <w:bidi w:val="0"/>
        <w:adjustRightInd/>
        <w:snapToGrid w:val="0"/>
        <w:spacing w:line="400" w:lineRule="exact"/>
        <w:ind w:firstLine="420" w:firstLineChars="200"/>
        <w:textAlignment w:val="auto"/>
        <w:rPr>
          <w:rFonts w:ascii="宋体" w:hAnsi="宋体"/>
          <w:bCs/>
          <w:color w:val="auto"/>
        </w:rPr>
      </w:pPr>
      <w:r>
        <w:rPr>
          <w:rFonts w:hint="eastAsia" w:ascii="宋体" w:hAnsi="宋体"/>
          <w:bCs/>
          <w:color w:val="auto"/>
        </w:rPr>
        <w:t>3.5.1</w:t>
      </w:r>
      <w:r>
        <w:rPr>
          <w:rFonts w:ascii="宋体" w:hAnsi="宋体"/>
          <w:bCs/>
          <w:color w:val="auto"/>
        </w:rPr>
        <w:t>单位负责人为同一人或者存在控股、管理关系的不同单位，不得参加同一标段投标或者未划分标段的同一招标项目投标。</w:t>
      </w:r>
    </w:p>
    <w:p w14:paraId="6C218A30">
      <w:pPr>
        <w:pStyle w:val="381"/>
        <w:keepNext w:val="0"/>
        <w:keepLines w:val="0"/>
        <w:pageBreakBefore w:val="0"/>
        <w:kinsoku/>
        <w:wordWrap/>
        <w:overflowPunct/>
        <w:topLinePunct w:val="0"/>
        <w:autoSpaceDE/>
        <w:autoSpaceDN/>
        <w:bidi w:val="0"/>
        <w:adjustRightInd/>
        <w:snapToGrid w:val="0"/>
        <w:spacing w:line="400" w:lineRule="exact"/>
        <w:ind w:firstLine="420" w:firstLineChars="200"/>
        <w:textAlignment w:val="auto"/>
        <w:rPr>
          <w:rFonts w:ascii="宋体" w:hAnsi="宋体"/>
          <w:bCs/>
          <w:color w:val="auto"/>
        </w:rPr>
      </w:pPr>
      <w:r>
        <w:rPr>
          <w:rFonts w:hint="eastAsia" w:ascii="宋体" w:hAnsi="宋体"/>
          <w:bCs/>
          <w:color w:val="auto"/>
        </w:rPr>
        <w:t>3.5.2</w:t>
      </w:r>
      <w:r>
        <w:rPr>
          <w:rFonts w:ascii="宋体" w:hAnsi="宋体"/>
          <w:bCs/>
          <w:color w:val="auto"/>
        </w:rPr>
        <w:t>联合体要求：不能同时具有以上资质的独立申请人，可组成联合体投标，但联合体成员必须具有</w:t>
      </w:r>
      <w:r>
        <w:rPr>
          <w:rFonts w:hint="eastAsia" w:ascii="宋体" w:hAnsi="宋体"/>
          <w:bCs/>
          <w:color w:val="auto"/>
        </w:rPr>
        <w:t>勘察、</w:t>
      </w:r>
      <w:r>
        <w:rPr>
          <w:rFonts w:ascii="宋体" w:hAnsi="宋体"/>
          <w:bCs/>
          <w:color w:val="auto"/>
        </w:rPr>
        <w:t>设计、施工资质，联合体单位不得超过</w:t>
      </w:r>
      <w:r>
        <w:rPr>
          <w:rFonts w:hint="eastAsia" w:ascii="宋体" w:hAnsi="宋体"/>
          <w:bCs/>
          <w:color w:val="auto"/>
          <w:lang w:val="en-US" w:eastAsia="zh-CN"/>
        </w:rPr>
        <w:t>3</w:t>
      </w:r>
      <w:r>
        <w:rPr>
          <w:rFonts w:ascii="宋体" w:hAnsi="宋体"/>
          <w:bCs/>
          <w:color w:val="auto"/>
        </w:rPr>
        <w:t>家，联合体投标的牵头人必须为施工企业；联合体各方签订联合体协议后，不得再以自己名义单独投标，也不得组成新的联合体或参加其他联合体在同一项目中投标。</w:t>
      </w:r>
    </w:p>
    <w:p w14:paraId="6D731BAB">
      <w:pPr>
        <w:pStyle w:val="381"/>
        <w:keepNext w:val="0"/>
        <w:keepLines w:val="0"/>
        <w:pageBreakBefore w:val="0"/>
        <w:kinsoku/>
        <w:wordWrap/>
        <w:overflowPunct/>
        <w:topLinePunct w:val="0"/>
        <w:autoSpaceDE/>
        <w:autoSpaceDN/>
        <w:bidi w:val="0"/>
        <w:adjustRightInd/>
        <w:snapToGrid w:val="0"/>
        <w:spacing w:line="400" w:lineRule="exact"/>
        <w:ind w:firstLine="420" w:firstLineChars="200"/>
        <w:textAlignment w:val="auto"/>
        <w:rPr>
          <w:rFonts w:ascii="宋体" w:hAnsi="宋体"/>
          <w:bCs/>
          <w:color w:val="auto"/>
        </w:rPr>
      </w:pPr>
      <w:r>
        <w:rPr>
          <w:rFonts w:ascii="宋体" w:hAnsi="宋体"/>
          <w:bCs/>
          <w:color w:val="auto"/>
        </w:rPr>
        <w:t>3</w:t>
      </w:r>
      <w:r>
        <w:rPr>
          <w:rFonts w:hint="eastAsia" w:ascii="宋体" w:hAnsi="宋体"/>
          <w:bCs/>
          <w:color w:val="auto"/>
        </w:rPr>
        <w:t>.5.3</w:t>
      </w:r>
      <w:r>
        <w:rPr>
          <w:rFonts w:ascii="宋体" w:hAnsi="宋体"/>
          <w:bCs/>
          <w:color w:val="auto"/>
        </w:rPr>
        <w:t>投标人需提供无行贿犯罪行为情况承诺</w:t>
      </w:r>
      <w:r>
        <w:rPr>
          <w:rFonts w:hint="eastAsia" w:ascii="宋体" w:hAnsi="宋体"/>
          <w:bCs/>
          <w:color w:val="auto"/>
          <w:lang w:eastAsia="zh-CN"/>
        </w:rPr>
        <w:t>，</w:t>
      </w:r>
      <w:r>
        <w:rPr>
          <w:rFonts w:hint="eastAsia" w:ascii="宋体" w:hAnsi="宋体"/>
          <w:bCs/>
          <w:color w:val="auto"/>
          <w:lang w:val="en-US" w:eastAsia="zh-CN"/>
        </w:rPr>
        <w:t>若</w:t>
      </w:r>
      <w:r>
        <w:rPr>
          <w:rFonts w:ascii="宋体" w:hAnsi="宋体"/>
          <w:bCs/>
          <w:color w:val="auto"/>
        </w:rPr>
        <w:t>联合体参与投标的，联合体各成员均需提供。</w:t>
      </w:r>
    </w:p>
    <w:p w14:paraId="6210E258">
      <w:pPr>
        <w:pStyle w:val="381"/>
        <w:keepNext w:val="0"/>
        <w:keepLines w:val="0"/>
        <w:pageBreakBefore w:val="0"/>
        <w:kinsoku/>
        <w:wordWrap/>
        <w:overflowPunct/>
        <w:topLinePunct w:val="0"/>
        <w:autoSpaceDE/>
        <w:autoSpaceDN/>
        <w:bidi w:val="0"/>
        <w:adjustRightInd/>
        <w:snapToGrid w:val="0"/>
        <w:spacing w:line="400" w:lineRule="exact"/>
        <w:ind w:firstLine="420" w:firstLineChars="200"/>
        <w:textAlignment w:val="auto"/>
        <w:rPr>
          <w:rFonts w:hint="eastAsia" w:ascii="宋体" w:hAnsi="宋体"/>
          <w:bCs/>
          <w:color w:val="auto"/>
        </w:rPr>
      </w:pPr>
      <w:r>
        <w:rPr>
          <w:rFonts w:hint="eastAsia" w:ascii="宋体" w:hAnsi="宋体"/>
          <w:bCs/>
          <w:color w:val="auto"/>
        </w:rPr>
        <w:t>3.5.4</w:t>
      </w:r>
      <w:r>
        <w:rPr>
          <w:rFonts w:hint="eastAsia" w:ascii="宋体" w:hAnsi="宋体"/>
          <w:bCs/>
          <w:color w:val="auto"/>
          <w:lang w:eastAsia="zh-CN"/>
        </w:rPr>
        <w:t>根据《昭通市人力资源和社会保障局关于取消农民工工资支付信用记录查询的函》，自2025年10月13日起，凡参与昭通市工程建设领域投标的企业，无需再通过邮件或其他任何方式申请农民工工资支付信用记录查询。各投标企业实名登录“信用中国（云南）”、云南政务服务网站，免费查询下载专项信用报告，替代开具有无违法违规记录证明</w:t>
      </w:r>
      <w:r>
        <w:rPr>
          <w:rFonts w:hint="eastAsia" w:ascii="宋体" w:hAnsi="宋体"/>
          <w:bCs/>
          <w:color w:val="auto"/>
        </w:rPr>
        <w:t>当日）反馈结果，申请查询企业通过服务平台直接下载查询结果即可，农民工工资支付信用记录有效期为出具之日起20个自然日内有效。结果运用不作变更，与《昭通市根治拖欠农民工工资工作领导小组办公室关于再次优化农民工工资支付信用查询方式的通知》（昭治欠办通〔2024〕1号）有关要求一致，即：“各投标企业必须将农民工工资支付信用记录查询结果作为要件编入投标文件，评标委员会对未提供工资支付信用记录查询或发生农民工工资拖欠行为的建筑施工企业，在投标评审时予以扣分；有拖欠工资重大违法行为的施工企业，在投标评审时，</w:t>
      </w:r>
      <w:r>
        <w:rPr>
          <w:rFonts w:hint="eastAsia" w:ascii="宋体" w:hAnsi="宋体"/>
          <w:bCs/>
          <w:color w:val="auto"/>
          <w:lang w:eastAsia="zh-CN"/>
        </w:rPr>
        <w:t>不予</w:t>
      </w:r>
      <w:r>
        <w:rPr>
          <w:rFonts w:hint="eastAsia" w:ascii="宋体" w:hAnsi="宋体"/>
          <w:bCs/>
          <w:color w:val="auto"/>
        </w:rPr>
        <w:t>通过其资格。”（由施工单位提供）。</w:t>
      </w:r>
    </w:p>
    <w:p w14:paraId="52E7F65A">
      <w:pPr>
        <w:pStyle w:val="381"/>
        <w:keepNext w:val="0"/>
        <w:keepLines w:val="0"/>
        <w:pageBreakBefore w:val="0"/>
        <w:kinsoku/>
        <w:wordWrap/>
        <w:overflowPunct/>
        <w:topLinePunct w:val="0"/>
        <w:autoSpaceDE/>
        <w:autoSpaceDN/>
        <w:bidi w:val="0"/>
        <w:adjustRightInd/>
        <w:snapToGrid w:val="0"/>
        <w:spacing w:line="400" w:lineRule="exact"/>
        <w:ind w:firstLine="420" w:firstLineChars="200"/>
        <w:textAlignment w:val="auto"/>
        <w:rPr>
          <w:rFonts w:hAnsi="宋体"/>
          <w:color w:val="auto"/>
        </w:rPr>
      </w:pPr>
      <w:r>
        <w:rPr>
          <w:rFonts w:hint="eastAsia" w:ascii="宋体" w:hAnsi="宋体"/>
          <w:bCs/>
          <w:color w:val="auto"/>
        </w:rPr>
        <w:t>3.5.5</w:t>
      </w:r>
      <w:r>
        <w:rPr>
          <w:rFonts w:hint="eastAsia" w:hAnsi="宋体"/>
          <w:color w:val="auto"/>
          <w:lang w:eastAsia="zh-CN"/>
        </w:rPr>
        <w:t>投标人严格执行《保障农民工工资支付条例》（中华人民共和国国务院令第724号），按照有关规定开设农民工工资专用账户，专项用于支付该工程建设项目农民工工资。开设、使用农民工工资专用账户有关资料应当由施工总承包单位妥善保存备查。按时足额保障农民工工资，不得拖欠农民工工资。出具不拖欠农民工工资承诺函</w:t>
      </w:r>
      <w:r>
        <w:rPr>
          <w:rFonts w:hint="eastAsia" w:hAnsi="宋体"/>
          <w:color w:val="auto"/>
        </w:rPr>
        <w:t>（由牵头单位提供）。</w:t>
      </w:r>
    </w:p>
    <w:p w14:paraId="232AC8BD">
      <w:pPr>
        <w:pStyle w:val="381"/>
        <w:keepNext w:val="0"/>
        <w:keepLines w:val="0"/>
        <w:pageBreakBefore w:val="0"/>
        <w:kinsoku/>
        <w:wordWrap/>
        <w:overflowPunct/>
        <w:topLinePunct w:val="0"/>
        <w:autoSpaceDE/>
        <w:autoSpaceDN/>
        <w:bidi w:val="0"/>
        <w:adjustRightInd/>
        <w:snapToGrid w:val="0"/>
        <w:spacing w:line="400" w:lineRule="exact"/>
        <w:ind w:firstLine="420" w:firstLineChars="200"/>
        <w:textAlignment w:val="auto"/>
        <w:rPr>
          <w:rFonts w:hAnsi="宋体"/>
          <w:color w:val="auto"/>
        </w:rPr>
      </w:pPr>
      <w:r>
        <w:rPr>
          <w:rFonts w:hint="eastAsia" w:ascii="宋体" w:hAnsi="宋体"/>
          <w:bCs/>
          <w:color w:val="auto"/>
        </w:rPr>
        <w:t>3.5.6承</w:t>
      </w:r>
      <w:r>
        <w:rPr>
          <w:rFonts w:hint="eastAsia" w:hAnsi="宋体"/>
          <w:color w:val="auto"/>
        </w:rPr>
        <w:t>包人不能将项目整体转包，</w:t>
      </w:r>
      <w:r>
        <w:rPr>
          <w:rFonts w:hint="eastAsia" w:hAnsi="宋体"/>
          <w:color w:val="auto"/>
          <w:lang w:eastAsia="zh-CN"/>
        </w:rPr>
        <w:t>并且</w:t>
      </w:r>
      <w:r>
        <w:rPr>
          <w:rFonts w:hint="eastAsia" w:hAnsi="宋体"/>
          <w:color w:val="auto"/>
        </w:rPr>
        <w:t>不能以任何方式要求或接受分包商垫资施工；在项目的施工建设过程中，必须优先保证农民工工资。</w:t>
      </w:r>
    </w:p>
    <w:p w14:paraId="31D4F938">
      <w:pPr>
        <w:pStyle w:val="381"/>
        <w:keepNext w:val="0"/>
        <w:keepLines w:val="0"/>
        <w:pageBreakBefore w:val="0"/>
        <w:kinsoku/>
        <w:wordWrap/>
        <w:overflowPunct/>
        <w:topLinePunct w:val="0"/>
        <w:autoSpaceDE/>
        <w:autoSpaceDN/>
        <w:bidi w:val="0"/>
        <w:adjustRightInd/>
        <w:snapToGrid w:val="0"/>
        <w:spacing w:line="400" w:lineRule="exact"/>
        <w:ind w:firstLine="420" w:firstLineChars="200"/>
        <w:textAlignment w:val="auto"/>
        <w:rPr>
          <w:color w:val="auto"/>
        </w:rPr>
      </w:pPr>
      <w:r>
        <w:rPr>
          <w:rFonts w:hint="eastAsia" w:ascii="宋体" w:hAnsi="宋体"/>
          <w:b w:val="0"/>
          <w:bCs/>
          <w:color w:val="auto"/>
        </w:rPr>
        <w:t>3.6资格审查方式</w:t>
      </w:r>
      <w:r>
        <w:rPr>
          <w:rFonts w:hint="eastAsia" w:ascii="宋体" w:hAnsi="宋体"/>
          <w:b w:val="0"/>
          <w:bCs/>
          <w:color w:val="auto"/>
          <w:lang w:eastAsia="zh-CN"/>
        </w:rPr>
        <w:t>：</w:t>
      </w:r>
      <w:r>
        <w:rPr>
          <w:rFonts w:hint="eastAsia" w:ascii="宋体" w:hAnsi="宋体"/>
          <w:b w:val="0"/>
          <w:bCs/>
          <w:color w:val="auto"/>
        </w:rPr>
        <w:t>资格后审。</w:t>
      </w:r>
    </w:p>
    <w:p w14:paraId="5662CD28">
      <w:pPr>
        <w:pStyle w:val="381"/>
        <w:keepNext w:val="0"/>
        <w:keepLines w:val="0"/>
        <w:pageBreakBefore w:val="0"/>
        <w:kinsoku/>
        <w:wordWrap/>
        <w:overflowPunct/>
        <w:topLinePunct w:val="0"/>
        <w:autoSpaceDE/>
        <w:autoSpaceDN/>
        <w:bidi w:val="0"/>
        <w:adjustRightInd/>
        <w:snapToGrid w:val="0"/>
        <w:spacing w:line="400" w:lineRule="exact"/>
        <w:ind w:firstLine="422" w:firstLineChars="200"/>
        <w:textAlignment w:val="auto"/>
        <w:rPr>
          <w:rFonts w:ascii="宋体" w:hAnsi="宋体"/>
          <w:b/>
          <w:bCs/>
          <w:color w:val="auto"/>
        </w:rPr>
      </w:pPr>
      <w:r>
        <w:rPr>
          <w:rFonts w:ascii="宋体" w:hAnsi="宋体"/>
          <w:b/>
          <w:bCs/>
          <w:color w:val="auto"/>
        </w:rPr>
        <w:t>4.</w:t>
      </w:r>
      <w:r>
        <w:rPr>
          <w:rFonts w:hint="eastAsia" w:ascii="宋体" w:hAnsi="宋体"/>
          <w:b/>
          <w:bCs/>
          <w:color w:val="auto"/>
        </w:rPr>
        <w:t>招标文件的获取</w:t>
      </w:r>
    </w:p>
    <w:p w14:paraId="204F1328">
      <w:pPr>
        <w:keepNext w:val="0"/>
        <w:keepLines w:val="0"/>
        <w:pageBreakBefore w:val="0"/>
        <w:kinsoku/>
        <w:wordWrap/>
        <w:overflowPunct/>
        <w:topLinePunct w:val="0"/>
        <w:autoSpaceDE/>
        <w:autoSpaceDN/>
        <w:bidi w:val="0"/>
        <w:adjustRightInd/>
        <w:spacing w:line="400" w:lineRule="exact"/>
        <w:ind w:firstLine="420" w:firstLineChars="200"/>
        <w:textAlignment w:val="auto"/>
        <w:rPr>
          <w:rFonts w:ascii="宋体" w:hAnsi="宋体"/>
          <w:bCs/>
          <w:color w:val="auto"/>
        </w:rPr>
      </w:pPr>
      <w:bookmarkStart w:id="9" w:name="_Toc294557436"/>
      <w:bookmarkStart w:id="10" w:name="_Toc329172865"/>
      <w:r>
        <w:rPr>
          <w:rFonts w:hint="eastAsia" w:ascii="宋体" w:hAnsi="宋体"/>
          <w:bCs/>
          <w:color w:val="auto"/>
        </w:rPr>
        <w:t>4.1凡有意参加投标者，请于</w:t>
      </w:r>
      <w:r>
        <w:rPr>
          <w:rFonts w:hint="eastAsia" w:ascii="宋体" w:hAnsi="宋体"/>
          <w:bCs/>
          <w:color w:val="auto"/>
          <w:lang w:eastAsia="zh-CN"/>
        </w:rPr>
        <w:t>2026年8月</w:t>
      </w:r>
      <w:r>
        <w:rPr>
          <w:rFonts w:hint="eastAsia" w:ascii="宋体" w:hAnsi="宋体"/>
          <w:bCs/>
          <w:color w:val="auto"/>
          <w:highlight w:val="none"/>
          <w:lang w:val="en-US" w:eastAsia="zh-CN"/>
        </w:rPr>
        <w:t xml:space="preserve">  </w:t>
      </w:r>
      <w:r>
        <w:rPr>
          <w:rFonts w:hint="eastAsia" w:ascii="宋体" w:hAnsi="宋体"/>
          <w:bCs/>
          <w:color w:val="auto"/>
          <w:highlight w:val="none"/>
        </w:rPr>
        <w:t>日</w:t>
      </w:r>
      <w:r>
        <w:rPr>
          <w:rFonts w:hint="eastAsia" w:ascii="宋体" w:hAnsi="宋体"/>
          <w:bCs/>
          <w:color w:val="auto"/>
          <w:highlight w:val="none"/>
          <w:lang w:val="en-US" w:eastAsia="zh-CN"/>
        </w:rPr>
        <w:t>23</w:t>
      </w:r>
      <w:r>
        <w:rPr>
          <w:rFonts w:hint="eastAsia" w:ascii="宋体" w:hAnsi="宋体"/>
          <w:bCs/>
          <w:color w:val="auto"/>
          <w:highlight w:val="none"/>
        </w:rPr>
        <w:t>时至</w:t>
      </w:r>
      <w:r>
        <w:rPr>
          <w:rFonts w:hint="eastAsia" w:ascii="宋体" w:hAnsi="宋体"/>
          <w:bCs/>
          <w:color w:val="auto"/>
          <w:highlight w:val="none"/>
          <w:lang w:eastAsia="zh-CN"/>
        </w:rPr>
        <w:t>2026年8月</w:t>
      </w:r>
      <w:r>
        <w:rPr>
          <w:rFonts w:hint="eastAsia" w:ascii="宋体" w:hAnsi="宋体"/>
          <w:bCs/>
          <w:color w:val="auto"/>
          <w:highlight w:val="none"/>
          <w:lang w:val="en-US" w:eastAsia="zh-CN"/>
        </w:rPr>
        <w:t xml:space="preserve">  </w:t>
      </w:r>
      <w:r>
        <w:rPr>
          <w:rFonts w:hint="eastAsia" w:ascii="宋体" w:hAnsi="宋体"/>
          <w:bCs/>
          <w:color w:val="auto"/>
          <w:highlight w:val="none"/>
        </w:rPr>
        <w:t>日23:59时（北京时间，下同），</w:t>
      </w:r>
      <w:r>
        <w:rPr>
          <w:rFonts w:hint="eastAsia" w:ascii="宋体" w:hAnsi="宋体"/>
          <w:bCs/>
          <w:color w:val="auto"/>
          <w:highlight w:val="none"/>
          <w:lang w:eastAsia="zh-CN"/>
        </w:rPr>
        <w:t>登录“云南省公共资源交易信息网”（网址https://ggzy.yn.gov.cn/homePage），凭企业数字证书（CA）在网上获取电子招标文件及其它招标资料；未办理企业数字证书（CA）的企业需要按照云南省公共资源交易电子认证的要求，办理企业数字证书（CA），并在云南省公共资源交易信息网完成注册通过后，获取招标文件</w:t>
      </w:r>
      <w:r>
        <w:rPr>
          <w:rFonts w:hint="eastAsia" w:ascii="宋体" w:hAnsi="宋体"/>
          <w:bCs/>
          <w:color w:val="auto"/>
        </w:rPr>
        <w:t>。</w:t>
      </w:r>
    </w:p>
    <w:p w14:paraId="314DCAC1">
      <w:pPr>
        <w:keepNext w:val="0"/>
        <w:keepLines w:val="0"/>
        <w:pageBreakBefore w:val="0"/>
        <w:kinsoku/>
        <w:wordWrap/>
        <w:overflowPunct/>
        <w:topLinePunct w:val="0"/>
        <w:autoSpaceDE/>
        <w:autoSpaceDN/>
        <w:bidi w:val="0"/>
        <w:adjustRightInd/>
        <w:spacing w:line="400" w:lineRule="exact"/>
        <w:ind w:firstLine="422" w:firstLineChars="200"/>
        <w:textAlignment w:val="auto"/>
        <w:rPr>
          <w:rFonts w:ascii="宋体" w:hAnsi="宋体"/>
          <w:b/>
          <w:bCs w:val="0"/>
          <w:color w:val="auto"/>
        </w:rPr>
      </w:pPr>
      <w:r>
        <w:rPr>
          <w:rFonts w:hint="eastAsia" w:ascii="宋体" w:hAnsi="宋体"/>
          <w:b/>
          <w:bCs w:val="0"/>
          <w:color w:val="auto"/>
        </w:rPr>
        <w:t>注：此为获取招标文件的唯一途径。</w:t>
      </w:r>
    </w:p>
    <w:p w14:paraId="4327D86E">
      <w:pPr>
        <w:keepNext w:val="0"/>
        <w:keepLines w:val="0"/>
        <w:pageBreakBefore w:val="0"/>
        <w:kinsoku/>
        <w:wordWrap/>
        <w:overflowPunct/>
        <w:topLinePunct w:val="0"/>
        <w:autoSpaceDE/>
        <w:autoSpaceDN/>
        <w:bidi w:val="0"/>
        <w:adjustRightInd/>
        <w:spacing w:line="400" w:lineRule="exact"/>
        <w:ind w:firstLine="422" w:firstLineChars="200"/>
        <w:textAlignment w:val="auto"/>
        <w:rPr>
          <w:rFonts w:ascii="宋体" w:hAnsi="宋体"/>
          <w:b/>
          <w:bCs w:val="0"/>
          <w:color w:val="auto"/>
        </w:rPr>
      </w:pPr>
      <w:r>
        <w:rPr>
          <w:rFonts w:hint="eastAsia" w:ascii="宋体" w:hAnsi="宋体"/>
          <w:b/>
          <w:bCs w:val="0"/>
          <w:color w:val="auto"/>
        </w:rPr>
        <w:t>投标人应对所上传的公司证照、人员证书等电子证明材料的真实性、完整性及合法性负责。</w:t>
      </w:r>
    </w:p>
    <w:p w14:paraId="2638CCA7">
      <w:pPr>
        <w:keepNext w:val="0"/>
        <w:keepLines w:val="0"/>
        <w:pageBreakBefore w:val="0"/>
        <w:kinsoku/>
        <w:wordWrap/>
        <w:overflowPunct/>
        <w:topLinePunct w:val="0"/>
        <w:autoSpaceDE/>
        <w:autoSpaceDN/>
        <w:bidi w:val="0"/>
        <w:adjustRightInd/>
        <w:spacing w:line="400" w:lineRule="exact"/>
        <w:ind w:firstLine="420" w:firstLineChars="200"/>
        <w:textAlignment w:val="auto"/>
        <w:rPr>
          <w:rFonts w:ascii="宋体" w:hAnsi="宋体"/>
          <w:bCs/>
          <w:color w:val="auto"/>
        </w:rPr>
      </w:pPr>
      <w:r>
        <w:rPr>
          <w:rFonts w:hint="eastAsia" w:ascii="宋体" w:hAnsi="宋体"/>
          <w:bCs/>
          <w:color w:val="auto"/>
        </w:rPr>
        <w:t>4.2各投标人应在规定时间内完成网上获取</w:t>
      </w:r>
      <w:r>
        <w:rPr>
          <w:rFonts w:hint="eastAsia" w:ascii="宋体" w:hAnsi="宋体"/>
          <w:bCs/>
          <w:color w:val="auto"/>
          <w:lang w:val="en-US" w:eastAsia="zh-CN"/>
        </w:rPr>
        <w:t>招标文件</w:t>
      </w:r>
      <w:r>
        <w:rPr>
          <w:rFonts w:hint="eastAsia" w:ascii="宋体" w:hAnsi="宋体"/>
          <w:bCs/>
          <w:color w:val="auto"/>
        </w:rPr>
        <w:t>，因投标人未能及时网上获取</w:t>
      </w:r>
      <w:r>
        <w:rPr>
          <w:rFonts w:hint="eastAsia" w:ascii="宋体" w:hAnsi="宋体"/>
          <w:bCs/>
          <w:color w:val="auto"/>
          <w:lang w:val="en-US" w:eastAsia="zh-CN"/>
        </w:rPr>
        <w:t>招标文件</w:t>
      </w:r>
      <w:r>
        <w:rPr>
          <w:rFonts w:hint="eastAsia" w:ascii="宋体" w:hAnsi="宋体"/>
          <w:bCs/>
          <w:color w:val="auto"/>
        </w:rPr>
        <w:t>带来的后果由投标人自行承担。</w:t>
      </w:r>
    </w:p>
    <w:p w14:paraId="0DBB4C03">
      <w:pPr>
        <w:keepNext w:val="0"/>
        <w:keepLines w:val="0"/>
        <w:pageBreakBefore w:val="0"/>
        <w:kinsoku/>
        <w:wordWrap/>
        <w:overflowPunct/>
        <w:topLinePunct w:val="0"/>
        <w:autoSpaceDE/>
        <w:autoSpaceDN/>
        <w:bidi w:val="0"/>
        <w:adjustRightInd/>
        <w:spacing w:line="400" w:lineRule="exact"/>
        <w:ind w:firstLine="422" w:firstLineChars="200"/>
        <w:textAlignment w:val="auto"/>
        <w:outlineLvl w:val="1"/>
        <w:rPr>
          <w:rFonts w:ascii="宋体" w:hAnsi="宋体"/>
          <w:b/>
          <w:color w:val="auto"/>
        </w:rPr>
      </w:pPr>
      <w:bookmarkStart w:id="11" w:name="_Toc3769"/>
      <w:bookmarkStart w:id="12" w:name="_Toc97752013"/>
      <w:bookmarkStart w:id="13" w:name="_Toc85368285"/>
      <w:bookmarkStart w:id="14" w:name="_Toc85443476"/>
      <w:bookmarkStart w:id="15" w:name="_Toc408"/>
      <w:bookmarkStart w:id="16" w:name="_Toc19578"/>
      <w:r>
        <w:rPr>
          <w:rFonts w:hint="eastAsia" w:ascii="宋体" w:hAnsi="宋体"/>
          <w:b/>
          <w:color w:val="auto"/>
        </w:rPr>
        <w:t>5.投标文件的递交</w:t>
      </w:r>
      <w:bookmarkEnd w:id="11"/>
      <w:bookmarkEnd w:id="12"/>
      <w:bookmarkEnd w:id="13"/>
      <w:bookmarkEnd w:id="14"/>
      <w:bookmarkEnd w:id="15"/>
      <w:bookmarkEnd w:id="16"/>
    </w:p>
    <w:p w14:paraId="77277B29">
      <w:pPr>
        <w:keepNext w:val="0"/>
        <w:keepLines w:val="0"/>
        <w:pageBreakBefore w:val="0"/>
        <w:kinsoku/>
        <w:wordWrap/>
        <w:overflowPunct/>
        <w:topLinePunct w:val="0"/>
        <w:autoSpaceDE/>
        <w:autoSpaceDN/>
        <w:bidi w:val="0"/>
        <w:adjustRightInd/>
        <w:spacing w:line="400" w:lineRule="exact"/>
        <w:ind w:firstLine="420" w:firstLineChars="200"/>
        <w:textAlignment w:val="auto"/>
        <w:rPr>
          <w:rFonts w:ascii="宋体" w:hAnsi="宋体"/>
          <w:bCs/>
          <w:color w:val="auto"/>
          <w:highlight w:val="none"/>
        </w:rPr>
      </w:pPr>
      <w:r>
        <w:rPr>
          <w:rFonts w:hint="eastAsia" w:ascii="宋体" w:hAnsi="宋体"/>
          <w:bCs/>
          <w:color w:val="auto"/>
        </w:rPr>
        <w:t>5.1递交的截止时间（投标截止时间，下同）为</w:t>
      </w:r>
      <w:r>
        <w:rPr>
          <w:rFonts w:hint="eastAsia" w:ascii="宋体" w:hAnsi="宋体"/>
          <w:bCs/>
          <w:color w:val="auto"/>
          <w:lang w:eastAsia="zh-CN"/>
        </w:rPr>
        <w:t>2026年8月</w:t>
      </w:r>
      <w:r>
        <w:rPr>
          <w:rFonts w:hint="eastAsia" w:ascii="宋体" w:hAnsi="宋体"/>
          <w:bCs/>
          <w:color w:val="auto"/>
          <w:highlight w:val="none"/>
          <w:lang w:val="en-US" w:eastAsia="zh-CN"/>
        </w:rPr>
        <w:t xml:space="preserve">  日</w:t>
      </w:r>
      <w:r>
        <w:rPr>
          <w:rFonts w:hint="eastAsia" w:ascii="宋体" w:hAnsi="宋体"/>
          <w:bCs/>
          <w:color w:val="auto"/>
          <w:highlight w:val="none"/>
        </w:rPr>
        <w:t>09时</w:t>
      </w:r>
      <w:r>
        <w:rPr>
          <w:rFonts w:hint="eastAsia" w:ascii="宋体" w:hAnsi="宋体"/>
          <w:bCs/>
          <w:color w:val="auto"/>
          <w:highlight w:val="none"/>
          <w:lang w:val="en-US" w:eastAsia="zh-CN"/>
        </w:rPr>
        <w:t>3</w:t>
      </w:r>
      <w:r>
        <w:rPr>
          <w:rFonts w:hint="eastAsia" w:ascii="宋体" w:hAnsi="宋体"/>
          <w:bCs/>
          <w:color w:val="auto"/>
          <w:highlight w:val="none"/>
        </w:rPr>
        <w:t>0分。</w:t>
      </w:r>
    </w:p>
    <w:p w14:paraId="06CAFCEB">
      <w:pPr>
        <w:keepNext w:val="0"/>
        <w:keepLines w:val="0"/>
        <w:pageBreakBefore w:val="0"/>
        <w:kinsoku/>
        <w:wordWrap/>
        <w:overflowPunct/>
        <w:topLinePunct w:val="0"/>
        <w:autoSpaceDE/>
        <w:autoSpaceDN/>
        <w:bidi w:val="0"/>
        <w:adjustRightInd/>
        <w:spacing w:line="400" w:lineRule="exact"/>
        <w:ind w:firstLine="420" w:firstLineChars="200"/>
        <w:textAlignment w:val="auto"/>
        <w:rPr>
          <w:rFonts w:ascii="宋体" w:hAnsi="宋体"/>
          <w:bCs/>
          <w:color w:val="auto"/>
        </w:rPr>
      </w:pPr>
      <w:r>
        <w:rPr>
          <w:rFonts w:hint="eastAsia" w:ascii="宋体" w:hAnsi="宋体"/>
          <w:bCs/>
          <w:color w:val="auto"/>
        </w:rPr>
        <w:t>5.2递交方式：网上递交，递交网址</w:t>
      </w:r>
      <w:r>
        <w:rPr>
          <w:rFonts w:hint="eastAsia" w:ascii="宋体" w:hAnsi="宋体"/>
          <w:bCs/>
          <w:color w:val="auto"/>
          <w:lang w:val="en-US" w:eastAsia="zh-CN"/>
        </w:rPr>
        <w:t>为</w:t>
      </w:r>
      <w:r>
        <w:rPr>
          <w:rFonts w:hint="eastAsia" w:ascii="宋体" w:hAnsi="宋体"/>
          <w:bCs/>
          <w:color w:val="auto"/>
        </w:rPr>
        <w:t>https://ggzy.yn.gov.cn/，投标人须在投标截止时间前完成所有投标文件的上传，网上确认电子签名，并打印“上传投标文件回执”，投标截止时间前未完成投标文件传输的，视为撤回投标文件。</w:t>
      </w:r>
    </w:p>
    <w:p w14:paraId="0C9CDC42">
      <w:pPr>
        <w:keepNext w:val="0"/>
        <w:keepLines w:val="0"/>
        <w:pageBreakBefore w:val="0"/>
        <w:kinsoku/>
        <w:wordWrap/>
        <w:overflowPunct/>
        <w:topLinePunct w:val="0"/>
        <w:autoSpaceDE/>
        <w:autoSpaceDN/>
        <w:bidi w:val="0"/>
        <w:adjustRightInd/>
        <w:spacing w:line="400" w:lineRule="exact"/>
        <w:ind w:firstLine="420" w:firstLineChars="200"/>
        <w:textAlignment w:val="auto"/>
        <w:rPr>
          <w:rFonts w:hint="eastAsia" w:ascii="宋体" w:hAnsi="宋体"/>
          <w:bCs/>
          <w:color w:val="auto"/>
        </w:rPr>
      </w:pPr>
      <w:r>
        <w:rPr>
          <w:rFonts w:hint="eastAsia" w:ascii="宋体" w:hAnsi="宋体"/>
          <w:bCs/>
          <w:color w:val="auto"/>
        </w:rPr>
        <w:t>5.3网上递交电子投标文件后，不再递交刻录投标文件的光盘。</w:t>
      </w:r>
    </w:p>
    <w:p w14:paraId="5E4AAEF3">
      <w:pPr>
        <w:keepNext w:val="0"/>
        <w:keepLines w:val="0"/>
        <w:pageBreakBefore w:val="0"/>
        <w:kinsoku/>
        <w:wordWrap/>
        <w:overflowPunct/>
        <w:topLinePunct w:val="0"/>
        <w:autoSpaceDE/>
        <w:autoSpaceDN/>
        <w:bidi w:val="0"/>
        <w:adjustRightInd/>
        <w:spacing w:line="400" w:lineRule="exact"/>
        <w:ind w:firstLine="422" w:firstLineChars="200"/>
        <w:textAlignment w:val="auto"/>
        <w:rPr>
          <w:rFonts w:ascii="宋体" w:hAnsi="宋体"/>
          <w:b/>
          <w:color w:val="auto"/>
        </w:rPr>
      </w:pPr>
      <w:bookmarkStart w:id="17" w:name="_Toc120635501"/>
      <w:bookmarkStart w:id="18" w:name="_Toc132907436"/>
      <w:bookmarkStart w:id="19" w:name="_Toc114135437"/>
      <w:bookmarkStart w:id="20" w:name="_Toc97544854"/>
      <w:bookmarkStart w:id="21" w:name="_Toc103587496"/>
      <w:bookmarkStart w:id="22" w:name="_Toc97564673"/>
      <w:r>
        <w:rPr>
          <w:rFonts w:hint="eastAsia" w:ascii="宋体" w:hAnsi="宋体"/>
          <w:b/>
          <w:color w:val="auto"/>
        </w:rPr>
        <w:t>6.开标方式</w:t>
      </w:r>
      <w:bookmarkEnd w:id="17"/>
      <w:bookmarkEnd w:id="18"/>
      <w:bookmarkEnd w:id="19"/>
      <w:bookmarkEnd w:id="20"/>
      <w:bookmarkEnd w:id="21"/>
      <w:bookmarkEnd w:id="22"/>
    </w:p>
    <w:p w14:paraId="742D9001">
      <w:pPr>
        <w:keepNext w:val="0"/>
        <w:keepLines w:val="0"/>
        <w:pageBreakBefore w:val="0"/>
        <w:kinsoku/>
        <w:wordWrap/>
        <w:overflowPunct/>
        <w:topLinePunct w:val="0"/>
        <w:autoSpaceDE/>
        <w:autoSpaceDN/>
        <w:bidi w:val="0"/>
        <w:adjustRightInd/>
        <w:spacing w:line="400" w:lineRule="exact"/>
        <w:ind w:firstLine="420" w:firstLineChars="200"/>
        <w:textAlignment w:val="auto"/>
        <w:rPr>
          <w:rFonts w:hint="eastAsia" w:ascii="宋体" w:hAnsi="宋体"/>
          <w:bCs/>
          <w:color w:val="auto"/>
          <w:lang w:val="en-US" w:eastAsia="zh-CN"/>
        </w:rPr>
      </w:pPr>
      <w:r>
        <w:rPr>
          <w:rFonts w:hint="eastAsia" w:ascii="宋体" w:hAnsi="宋体"/>
          <w:bCs/>
          <w:color w:val="auto"/>
          <w:lang w:val="en-US" w:eastAsia="zh-CN"/>
        </w:rPr>
        <w:t>6.1开标方式：网上远程开标。</w:t>
      </w:r>
    </w:p>
    <w:p w14:paraId="7B7B4B68">
      <w:pPr>
        <w:keepNext w:val="0"/>
        <w:keepLines w:val="0"/>
        <w:pageBreakBefore w:val="0"/>
        <w:kinsoku/>
        <w:wordWrap/>
        <w:overflowPunct/>
        <w:topLinePunct w:val="0"/>
        <w:autoSpaceDE/>
        <w:autoSpaceDN/>
        <w:bidi w:val="0"/>
        <w:adjustRightInd/>
        <w:spacing w:line="400" w:lineRule="exact"/>
        <w:ind w:firstLine="420" w:firstLineChars="200"/>
        <w:textAlignment w:val="auto"/>
        <w:rPr>
          <w:rFonts w:hint="eastAsia" w:ascii="宋体" w:hAnsi="宋体"/>
          <w:bCs/>
          <w:color w:val="auto"/>
          <w:lang w:val="en-US" w:eastAsia="zh-CN"/>
        </w:rPr>
      </w:pPr>
      <w:r>
        <w:rPr>
          <w:rFonts w:hint="eastAsia" w:ascii="宋体" w:hAnsi="宋体"/>
          <w:bCs/>
          <w:color w:val="auto"/>
          <w:lang w:val="en-US" w:eastAsia="zh-CN"/>
        </w:rPr>
        <w:t>6.2投标人登录“http://ggzy.yn.gov.cn”，在截标时间前进入到“网上开标室”，根据网上远程解密、开标要求，在下达投标文件解密指令后30分钟内完成远程解密、查看开标一览表和签名确认等相关操作。若投标人没有在规定时间内完成以上相关操作，则视为其撤销投标文件，放弃投标。开标过程中如有疑问，可以在线提出异议，由代理机构（招标人）回复。在规定的签名确认时间内不进行开标一览表确认的，视为对开标结果无异议。</w:t>
      </w:r>
    </w:p>
    <w:p w14:paraId="4DF83C24">
      <w:pPr>
        <w:keepNext w:val="0"/>
        <w:keepLines w:val="0"/>
        <w:pageBreakBefore w:val="0"/>
        <w:kinsoku/>
        <w:wordWrap/>
        <w:overflowPunct/>
        <w:topLinePunct w:val="0"/>
        <w:autoSpaceDE/>
        <w:autoSpaceDN/>
        <w:bidi w:val="0"/>
        <w:adjustRightInd/>
        <w:spacing w:line="400" w:lineRule="exact"/>
        <w:ind w:left="-2" w:leftChars="-1" w:firstLine="426"/>
        <w:textAlignment w:val="auto"/>
        <w:rPr>
          <w:rFonts w:hAnsi="宋体"/>
          <w:color w:val="auto"/>
        </w:rPr>
      </w:pPr>
      <w:r>
        <w:rPr>
          <w:rFonts w:hint="eastAsia" w:hAnsi="宋体"/>
          <w:color w:val="auto"/>
        </w:rPr>
        <w:t>技术服务咨询：北京筑龙信息技术有限责任公司</w:t>
      </w:r>
    </w:p>
    <w:p w14:paraId="728D6C5D">
      <w:pPr>
        <w:keepNext w:val="0"/>
        <w:keepLines w:val="0"/>
        <w:pageBreakBefore w:val="0"/>
        <w:kinsoku/>
        <w:wordWrap/>
        <w:overflowPunct/>
        <w:topLinePunct w:val="0"/>
        <w:autoSpaceDE/>
        <w:autoSpaceDN/>
        <w:bidi w:val="0"/>
        <w:adjustRightInd/>
        <w:spacing w:line="400" w:lineRule="exact"/>
        <w:ind w:left="-2" w:leftChars="-1" w:firstLine="426"/>
        <w:textAlignment w:val="auto"/>
        <w:rPr>
          <w:rFonts w:hAnsi="宋体"/>
          <w:color w:val="auto"/>
        </w:rPr>
      </w:pPr>
      <w:r>
        <w:rPr>
          <w:rFonts w:hint="eastAsia" w:hAnsi="宋体"/>
          <w:color w:val="auto"/>
        </w:rPr>
        <w:t>服务热线：010-86483801。</w:t>
      </w:r>
    </w:p>
    <w:p w14:paraId="5EE9BCF9">
      <w:pPr>
        <w:keepNext w:val="0"/>
        <w:keepLines w:val="0"/>
        <w:pageBreakBefore w:val="0"/>
        <w:kinsoku/>
        <w:wordWrap/>
        <w:overflowPunct/>
        <w:topLinePunct w:val="0"/>
        <w:autoSpaceDE/>
        <w:autoSpaceDN/>
        <w:bidi w:val="0"/>
        <w:adjustRightInd/>
        <w:spacing w:line="400" w:lineRule="exact"/>
        <w:ind w:firstLine="422" w:firstLineChars="200"/>
        <w:textAlignment w:val="auto"/>
        <w:rPr>
          <w:rFonts w:ascii="宋体" w:hAnsi="宋体"/>
          <w:b/>
          <w:color w:val="auto"/>
        </w:rPr>
      </w:pPr>
      <w:r>
        <w:rPr>
          <w:rFonts w:hint="eastAsia" w:ascii="宋体" w:hAnsi="宋体"/>
          <w:b/>
          <w:color w:val="auto"/>
        </w:rPr>
        <w:t>注：上传投标文件时加密使用的CA数字证书是开标时对投标文件进行解密的必要工具，否则将不能解密。因投标人自身原因导致所递交的投标文件无法解密、导入失败的，均视为其撤销投标文件，后果及责任由投标人自行承担。</w:t>
      </w:r>
    </w:p>
    <w:p w14:paraId="777BB782">
      <w:pPr>
        <w:keepNext w:val="0"/>
        <w:keepLines w:val="0"/>
        <w:pageBreakBefore w:val="0"/>
        <w:kinsoku/>
        <w:wordWrap/>
        <w:overflowPunct/>
        <w:topLinePunct w:val="0"/>
        <w:autoSpaceDE/>
        <w:autoSpaceDN/>
        <w:bidi w:val="0"/>
        <w:adjustRightInd/>
        <w:spacing w:line="400" w:lineRule="exact"/>
        <w:ind w:firstLine="422" w:firstLineChars="200"/>
        <w:textAlignment w:val="auto"/>
        <w:rPr>
          <w:rFonts w:ascii="宋体" w:hAnsi="宋体"/>
          <w:b/>
          <w:bCs/>
          <w:color w:val="auto"/>
        </w:rPr>
      </w:pPr>
      <w:bookmarkStart w:id="23" w:name="_Toc85443477"/>
      <w:bookmarkStart w:id="24" w:name="_Toc22442"/>
      <w:bookmarkStart w:id="25" w:name="_Toc85368286"/>
      <w:bookmarkStart w:id="26" w:name="_Toc50964026"/>
      <w:r>
        <w:rPr>
          <w:rFonts w:hint="eastAsia" w:ascii="宋体" w:hAnsi="宋体"/>
          <w:b/>
          <w:bCs/>
          <w:color w:val="auto"/>
        </w:rPr>
        <w:t>7.发布公告的媒介</w:t>
      </w:r>
      <w:bookmarkEnd w:id="23"/>
      <w:bookmarkEnd w:id="24"/>
      <w:bookmarkEnd w:id="25"/>
      <w:bookmarkEnd w:id="26"/>
    </w:p>
    <w:p w14:paraId="4183DEFF">
      <w:pPr>
        <w:keepNext w:val="0"/>
        <w:keepLines w:val="0"/>
        <w:pageBreakBefore w:val="0"/>
        <w:kinsoku/>
        <w:wordWrap/>
        <w:overflowPunct/>
        <w:topLinePunct w:val="0"/>
        <w:autoSpaceDE/>
        <w:autoSpaceDN/>
        <w:bidi w:val="0"/>
        <w:adjustRightInd/>
        <w:spacing w:line="400" w:lineRule="exact"/>
        <w:ind w:firstLine="420" w:firstLineChars="200"/>
        <w:textAlignment w:val="auto"/>
        <w:rPr>
          <w:rFonts w:ascii="宋体" w:hAnsi="宋体"/>
          <w:color w:val="auto"/>
        </w:rPr>
      </w:pPr>
      <w:r>
        <w:rPr>
          <w:rFonts w:hint="eastAsia" w:ascii="宋体" w:hAnsi="宋体"/>
          <w:color w:val="auto"/>
        </w:rPr>
        <w:t>本公告在云南省公共资源交易信息网（地址：</w:t>
      </w:r>
      <w:r>
        <w:rPr>
          <w:color w:val="auto"/>
        </w:rPr>
        <w:fldChar w:fldCharType="begin"/>
      </w:r>
      <w:r>
        <w:rPr>
          <w:color w:val="auto"/>
        </w:rPr>
        <w:instrText xml:space="preserve"> HYPERLINK "https://ggzy.yn.gov.cn/）上发布。对在其他网站或媒体转载的招标公告及公告内容，招标人和招标代理机构不承担任何法律责任，招标期间所有变更、澄清及补遗等内容均在云南省公共资源交易信息网上发布，请投标人留意。" </w:instrText>
      </w:r>
      <w:r>
        <w:rPr>
          <w:color w:val="auto"/>
        </w:rPr>
        <w:fldChar w:fldCharType="separate"/>
      </w:r>
      <w:r>
        <w:rPr>
          <w:rFonts w:hint="eastAsia" w:ascii="宋体" w:hAnsi="宋体"/>
          <w:color w:val="auto"/>
        </w:rPr>
        <w:t>https://ggzy.yn.gov.cn/）。对在其他网站或媒体转载的招标公告及公告内容，招标人和招标代理机构不承担任何法律责任，招标期间所有变更、澄清及补遗等内容均在云南省公共资源交易信息网上发布，请投标人留意。</w:t>
      </w:r>
      <w:r>
        <w:rPr>
          <w:rFonts w:hint="eastAsia" w:ascii="宋体" w:hAnsi="宋体"/>
          <w:color w:val="auto"/>
        </w:rPr>
        <w:fldChar w:fldCharType="end"/>
      </w:r>
    </w:p>
    <w:p w14:paraId="6DBE6738">
      <w:pPr>
        <w:spacing w:line="360" w:lineRule="auto"/>
        <w:ind w:firstLine="422" w:firstLineChars="200"/>
        <w:rPr>
          <w:rFonts w:ascii="宋体" w:hAnsi="宋体"/>
          <w:b/>
          <w:bCs/>
          <w:color w:val="auto"/>
        </w:rPr>
      </w:pPr>
      <w:r>
        <w:rPr>
          <w:rFonts w:hint="eastAsia" w:ascii="宋体" w:hAnsi="宋体"/>
          <w:b/>
          <w:bCs/>
          <w:color w:val="auto"/>
        </w:rPr>
        <w:t>8.联系方式</w:t>
      </w:r>
      <w:bookmarkEnd w:id="9"/>
      <w:bookmarkEnd w:id="10"/>
    </w:p>
    <w:p w14:paraId="1DC6EB82">
      <w:pPr>
        <w:spacing w:line="360" w:lineRule="auto"/>
        <w:ind w:left="5250" w:hanging="5250" w:hangingChars="2500"/>
        <w:rPr>
          <w:rFonts w:hint="eastAsia" w:ascii="宋体" w:hAnsi="宋体" w:eastAsia="宋体"/>
          <w:color w:val="auto"/>
          <w:lang w:eastAsia="zh-CN"/>
        </w:rPr>
      </w:pPr>
      <w:r>
        <w:rPr>
          <w:rFonts w:hint="eastAsia" w:ascii="宋体" w:hAnsi="宋体"/>
          <w:color w:val="auto"/>
        </w:rPr>
        <w:t>招 标 人：</w:t>
      </w:r>
      <w:r>
        <w:rPr>
          <w:rFonts w:hint="eastAsia" w:ascii="宋体" w:hAnsi="宋体"/>
          <w:color w:val="auto"/>
          <w:lang w:eastAsia="zh-CN"/>
        </w:rPr>
        <w:t>镇雄县旧府街道办事处</w:t>
      </w:r>
      <w:r>
        <w:rPr>
          <w:rFonts w:hint="eastAsia" w:ascii="宋体" w:hAnsi="宋体"/>
          <w:color w:val="auto"/>
        </w:rPr>
        <w:t xml:space="preserve">  </w:t>
      </w:r>
    </w:p>
    <w:p w14:paraId="10733234">
      <w:pPr>
        <w:spacing w:line="360" w:lineRule="auto"/>
        <w:ind w:left="5460" w:hanging="5460" w:hangingChars="2600"/>
        <w:jc w:val="both"/>
        <w:rPr>
          <w:rFonts w:ascii="宋体" w:hAnsi="宋体"/>
          <w:color w:val="auto"/>
        </w:rPr>
      </w:pPr>
      <w:r>
        <w:rPr>
          <w:rFonts w:hint="eastAsia" w:ascii="宋体" w:hAnsi="宋体"/>
          <w:color w:val="auto"/>
        </w:rPr>
        <w:t>地    址：</w:t>
      </w:r>
      <w:r>
        <w:rPr>
          <w:rFonts w:hint="eastAsia" w:ascii="宋体" w:hAnsi="宋体"/>
          <w:color w:val="auto"/>
          <w:lang w:eastAsia="zh-CN"/>
        </w:rPr>
        <w:t>云南省昭通市镇雄县旧府街道办事处凤翅社区凤翥路35号</w:t>
      </w:r>
      <w:r>
        <w:rPr>
          <w:rFonts w:hint="eastAsia" w:ascii="宋体" w:hAnsi="宋体"/>
          <w:color w:val="auto"/>
          <w:lang w:val="en-US" w:eastAsia="zh-CN"/>
        </w:rPr>
        <w:t xml:space="preserve">   </w:t>
      </w:r>
    </w:p>
    <w:p w14:paraId="788A9644">
      <w:pPr>
        <w:spacing w:line="360" w:lineRule="auto"/>
        <w:rPr>
          <w:rFonts w:hint="eastAsia" w:ascii="宋体" w:hAnsi="宋体"/>
          <w:color w:val="auto"/>
          <w:lang w:val="en-US" w:eastAsia="zh-CN"/>
        </w:rPr>
      </w:pPr>
      <w:r>
        <w:rPr>
          <w:rFonts w:hint="eastAsia" w:ascii="宋体" w:hAnsi="宋体"/>
          <w:color w:val="auto"/>
        </w:rPr>
        <w:t>联 系 人：</w:t>
      </w:r>
      <w:r>
        <w:rPr>
          <w:rFonts w:hint="eastAsia" w:ascii="宋体" w:hAnsi="宋体"/>
          <w:color w:val="auto"/>
          <w:lang w:val="en-US" w:eastAsia="zh-CN"/>
        </w:rPr>
        <w:t>王国领</w:t>
      </w:r>
    </w:p>
    <w:p w14:paraId="3BD44E65">
      <w:pPr>
        <w:spacing w:line="360" w:lineRule="auto"/>
        <w:rPr>
          <w:rFonts w:hint="default" w:ascii="宋体" w:hAnsi="宋体" w:eastAsia="宋体"/>
          <w:color w:val="auto"/>
          <w:lang w:val="en-US" w:eastAsia="zh-CN"/>
        </w:rPr>
      </w:pPr>
      <w:r>
        <w:rPr>
          <w:rFonts w:hint="eastAsia" w:ascii="宋体" w:hAnsi="宋体"/>
          <w:color w:val="auto"/>
        </w:rPr>
        <w:t>电    话：</w:t>
      </w:r>
      <w:bookmarkEnd w:id="7"/>
      <w:bookmarkEnd w:id="8"/>
      <w:r>
        <w:rPr>
          <w:rFonts w:hint="eastAsia" w:ascii="宋体" w:hAnsi="宋体"/>
          <w:color w:val="auto"/>
          <w:lang w:val="en-US" w:eastAsia="zh-CN"/>
        </w:rPr>
        <w:t>13408813049</w:t>
      </w:r>
    </w:p>
    <w:p w14:paraId="13425861">
      <w:pPr>
        <w:spacing w:line="360" w:lineRule="auto"/>
        <w:ind w:left="5250" w:hanging="5250" w:hangingChars="2500"/>
        <w:rPr>
          <w:rFonts w:hint="eastAsia" w:ascii="宋体" w:hAnsi="宋体"/>
          <w:color w:val="auto"/>
          <w:lang w:val="en-US" w:eastAsia="zh-CN"/>
        </w:rPr>
      </w:pPr>
    </w:p>
    <w:p w14:paraId="1EF63386">
      <w:pPr>
        <w:spacing w:line="360" w:lineRule="auto"/>
        <w:ind w:left="5250" w:hanging="5250" w:hangingChars="2500"/>
        <w:rPr>
          <w:rFonts w:hint="eastAsia" w:ascii="宋体" w:hAnsi="宋体"/>
          <w:color w:val="auto"/>
          <w:lang w:eastAsia="zh-CN"/>
        </w:rPr>
      </w:pPr>
      <w:r>
        <w:rPr>
          <w:rFonts w:hint="eastAsia" w:ascii="宋体" w:hAnsi="宋体"/>
          <w:color w:val="auto"/>
          <w:lang w:val="en-US" w:eastAsia="zh-CN"/>
        </w:rPr>
        <w:t>招标代理</w:t>
      </w:r>
      <w:r>
        <w:rPr>
          <w:rFonts w:hint="eastAsia" w:ascii="宋体" w:hAnsi="宋体"/>
          <w:color w:val="auto"/>
        </w:rPr>
        <w:t>：</w:t>
      </w:r>
      <w:r>
        <w:rPr>
          <w:rFonts w:hint="eastAsia" w:ascii="宋体" w:hAnsi="宋体"/>
          <w:color w:val="auto"/>
          <w:lang w:eastAsia="zh-CN"/>
        </w:rPr>
        <w:t>云南品众招标咨询有限公司</w:t>
      </w:r>
    </w:p>
    <w:p w14:paraId="7BCA0247">
      <w:pPr>
        <w:spacing w:line="360" w:lineRule="auto"/>
        <w:ind w:left="5250" w:hanging="5250" w:hangingChars="2500"/>
        <w:rPr>
          <w:rFonts w:hint="eastAsia" w:ascii="宋体" w:hAnsi="宋体" w:eastAsia="宋体"/>
          <w:color w:val="auto"/>
          <w:lang w:eastAsia="zh-CN"/>
        </w:rPr>
      </w:pPr>
      <w:r>
        <w:rPr>
          <w:rFonts w:hint="eastAsia" w:ascii="宋体" w:hAnsi="宋体"/>
          <w:color w:val="auto"/>
        </w:rPr>
        <w:t>地    址：</w:t>
      </w:r>
      <w:r>
        <w:rPr>
          <w:rFonts w:hint="eastAsia" w:ascii="宋体" w:hAnsi="宋体"/>
          <w:color w:val="auto"/>
          <w:lang w:eastAsia="zh-CN"/>
        </w:rPr>
        <w:t>云南省昭通市昭阳区龙韵雅苑29栋一单元602室</w:t>
      </w:r>
    </w:p>
    <w:p w14:paraId="7CDFA595">
      <w:pPr>
        <w:spacing w:line="360" w:lineRule="auto"/>
        <w:ind w:left="5250" w:hanging="5250" w:hangingChars="2500"/>
        <w:rPr>
          <w:rFonts w:hint="eastAsia" w:ascii="宋体" w:hAnsi="宋体" w:eastAsia="宋体"/>
          <w:color w:val="auto"/>
          <w:lang w:eastAsia="zh-CN"/>
        </w:rPr>
      </w:pPr>
      <w:r>
        <w:rPr>
          <w:rFonts w:hint="eastAsia" w:ascii="宋体" w:hAnsi="宋体"/>
          <w:color w:val="auto"/>
        </w:rPr>
        <w:t>联 系 人：</w:t>
      </w:r>
      <w:r>
        <w:rPr>
          <w:rFonts w:hint="eastAsia" w:ascii="宋体" w:hAnsi="宋体"/>
          <w:color w:val="auto"/>
          <w:lang w:eastAsia="zh-CN"/>
        </w:rPr>
        <w:t>杨付祥</w:t>
      </w:r>
    </w:p>
    <w:p w14:paraId="722A8143">
      <w:pPr>
        <w:spacing w:line="360" w:lineRule="auto"/>
        <w:ind w:left="5250" w:hanging="5250" w:hangingChars="2500"/>
        <w:rPr>
          <w:rFonts w:hint="eastAsia" w:ascii="宋体" w:hAnsi="宋体"/>
          <w:color w:val="auto"/>
          <w:lang w:eastAsia="zh-CN"/>
        </w:rPr>
      </w:pPr>
      <w:r>
        <w:rPr>
          <w:rFonts w:hint="eastAsia" w:ascii="宋体" w:hAnsi="宋体"/>
          <w:color w:val="auto"/>
        </w:rPr>
        <w:t>电    话：</w:t>
      </w:r>
      <w:r>
        <w:rPr>
          <w:rFonts w:hint="eastAsia" w:ascii="宋体" w:hAnsi="宋体"/>
          <w:color w:val="auto"/>
          <w:lang w:eastAsia="zh-CN"/>
        </w:rPr>
        <w:t>18587352888</w:t>
      </w:r>
    </w:p>
    <w:p w14:paraId="199C5504">
      <w:pPr>
        <w:spacing w:line="360" w:lineRule="auto"/>
        <w:ind w:left="5250" w:hanging="5250" w:hangingChars="2500"/>
        <w:rPr>
          <w:rFonts w:hint="eastAsia" w:ascii="宋体" w:hAnsi="宋体"/>
          <w:color w:val="auto"/>
          <w:lang w:val="en-US" w:eastAsia="zh-CN"/>
        </w:rPr>
      </w:pPr>
    </w:p>
    <w:p w14:paraId="040E9A01">
      <w:pPr>
        <w:spacing w:line="360" w:lineRule="auto"/>
        <w:ind w:left="5250" w:hanging="5250" w:hangingChars="2500"/>
        <w:rPr>
          <w:rFonts w:ascii="宋体" w:hAnsi="宋体"/>
          <w:color w:val="auto"/>
        </w:rPr>
      </w:pPr>
      <w:r>
        <w:rPr>
          <w:rFonts w:hint="eastAsia" w:ascii="宋体" w:hAnsi="宋体"/>
          <w:color w:val="auto"/>
          <w:lang w:val="en-US" w:eastAsia="zh-CN"/>
        </w:rPr>
        <w:t>监督部门：镇雄县农业农村局0870-3182819</w:t>
      </w:r>
      <w:r>
        <w:rPr>
          <w:rFonts w:hint="eastAsia" w:ascii="宋体" w:hAnsi="宋体"/>
          <w:color w:val="auto"/>
        </w:rPr>
        <w:br w:type="page"/>
      </w:r>
    </w:p>
    <w:p w14:paraId="3A42EBAF">
      <w:pPr>
        <w:widowControl/>
        <w:autoSpaceDE/>
        <w:autoSpaceDN/>
        <w:spacing w:after="0" w:line="240" w:lineRule="auto"/>
        <w:jc w:val="center"/>
        <w:rPr>
          <w:rFonts w:hint="eastAsia" w:ascii="宋体" w:eastAsia="宋体" w:cs="宋体"/>
          <w:b/>
          <w:color w:val="auto"/>
          <w:sz w:val="32"/>
          <w:szCs w:val="32"/>
          <w:highlight w:val="none"/>
        </w:rPr>
      </w:pPr>
      <w:r>
        <w:rPr>
          <w:rFonts w:hint="eastAsia" w:ascii="宋体" w:eastAsia="宋体" w:cs="宋体"/>
          <w:b/>
          <w:color w:val="auto"/>
          <w:sz w:val="32"/>
          <w:szCs w:val="32"/>
          <w:highlight w:val="none"/>
          <w:lang w:val="en-US" w:eastAsia="zh-CN"/>
        </w:rPr>
        <w:t>EPC总承包现场</w:t>
      </w:r>
      <w:r>
        <w:rPr>
          <w:rFonts w:hint="eastAsia" w:ascii="宋体" w:eastAsia="宋体" w:cs="宋体"/>
          <w:b/>
          <w:color w:val="auto"/>
          <w:sz w:val="32"/>
          <w:szCs w:val="32"/>
          <w:highlight w:val="none"/>
        </w:rPr>
        <w:t>专业（管理）人员配备</w:t>
      </w:r>
      <w:r>
        <w:rPr>
          <w:rFonts w:hint="eastAsia" w:ascii="宋体" w:eastAsia="宋体" w:cs="宋体"/>
          <w:b/>
          <w:color w:val="auto"/>
          <w:sz w:val="32"/>
          <w:szCs w:val="32"/>
          <w:highlight w:val="none"/>
          <w:lang w:val="en-US" w:eastAsia="zh-CN"/>
        </w:rPr>
        <w:t>要求</w:t>
      </w:r>
      <w:r>
        <w:rPr>
          <w:rFonts w:hint="eastAsia" w:ascii="宋体" w:eastAsia="宋体" w:cs="宋体"/>
          <w:b/>
          <w:color w:val="auto"/>
          <w:sz w:val="32"/>
          <w:szCs w:val="32"/>
          <w:highlight w:val="none"/>
        </w:rPr>
        <w:t>表</w:t>
      </w:r>
    </w:p>
    <w:tbl>
      <w:tblPr>
        <w:tblStyle w:val="68"/>
        <w:tblW w:w="92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6"/>
        <w:gridCol w:w="1843"/>
        <w:gridCol w:w="2126"/>
        <w:gridCol w:w="1933"/>
        <w:gridCol w:w="1858"/>
      </w:tblGrid>
      <w:tr w14:paraId="495358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7" w:hRule="atLeast"/>
          <w:jc w:val="center"/>
        </w:trPr>
        <w:tc>
          <w:tcPr>
            <w:tcW w:w="1526" w:type="dxa"/>
            <w:tcBorders>
              <w:top w:val="single" w:color="000000" w:sz="4" w:space="0"/>
              <w:left w:val="single" w:color="000000" w:sz="4" w:space="0"/>
              <w:bottom w:val="single" w:color="000000" w:sz="4" w:space="0"/>
              <w:right w:val="single" w:color="000000" w:sz="4" w:space="0"/>
            </w:tcBorders>
            <w:noWrap/>
          </w:tcPr>
          <w:p w14:paraId="589ECA11">
            <w:pPr>
              <w:spacing w:line="240" w:lineRule="auto"/>
              <w:jc w:val="center"/>
              <w:rPr>
                <w:rFonts w:hint="eastAsia" w:ascii="宋体" w:eastAsia="宋体" w:cs="宋体"/>
                <w:color w:val="auto"/>
                <w:sz w:val="24"/>
                <w:szCs w:val="32"/>
                <w:highlight w:val="none"/>
              </w:rPr>
            </w:pPr>
            <w:r>
              <w:rPr>
                <w:rFonts w:hint="eastAsia" w:ascii="宋体" w:eastAsia="宋体" w:cs="宋体"/>
                <w:color w:val="auto"/>
                <w:sz w:val="24"/>
                <w:szCs w:val="32"/>
                <w:highlight w:val="none"/>
              </w:rPr>
              <w:t>专业岗位</w:t>
            </w:r>
          </w:p>
        </w:tc>
        <w:tc>
          <w:tcPr>
            <w:tcW w:w="1843" w:type="dxa"/>
            <w:tcBorders>
              <w:top w:val="single" w:color="000000" w:sz="4" w:space="0"/>
              <w:left w:val="single" w:color="000000" w:sz="4" w:space="0"/>
              <w:bottom w:val="single" w:color="000000" w:sz="4" w:space="0"/>
              <w:right w:val="single" w:color="000000" w:sz="4" w:space="0"/>
            </w:tcBorders>
            <w:noWrap/>
          </w:tcPr>
          <w:p w14:paraId="3B6B5D25">
            <w:pPr>
              <w:spacing w:line="240" w:lineRule="auto"/>
              <w:jc w:val="center"/>
              <w:rPr>
                <w:rFonts w:hint="eastAsia" w:ascii="宋体" w:eastAsia="宋体" w:cs="宋体"/>
                <w:color w:val="auto"/>
                <w:sz w:val="24"/>
                <w:szCs w:val="32"/>
                <w:highlight w:val="none"/>
              </w:rPr>
            </w:pPr>
            <w:r>
              <w:rPr>
                <w:rFonts w:hint="eastAsia" w:ascii="宋体" w:eastAsia="宋体" w:cs="宋体"/>
                <w:color w:val="auto"/>
                <w:sz w:val="24"/>
                <w:szCs w:val="32"/>
                <w:highlight w:val="none"/>
              </w:rPr>
              <w:t>人员数量最低要求</w:t>
            </w:r>
          </w:p>
        </w:tc>
        <w:tc>
          <w:tcPr>
            <w:tcW w:w="2126" w:type="dxa"/>
            <w:tcBorders>
              <w:top w:val="single" w:color="000000" w:sz="4" w:space="0"/>
              <w:left w:val="single" w:color="000000" w:sz="4" w:space="0"/>
              <w:bottom w:val="single" w:color="000000" w:sz="4" w:space="0"/>
              <w:right w:val="single" w:color="000000" w:sz="4" w:space="0"/>
            </w:tcBorders>
            <w:noWrap/>
          </w:tcPr>
          <w:p w14:paraId="2327434E">
            <w:pPr>
              <w:spacing w:line="240" w:lineRule="auto"/>
              <w:jc w:val="center"/>
              <w:rPr>
                <w:rFonts w:hint="eastAsia" w:ascii="宋体" w:eastAsia="宋体" w:cs="宋体"/>
                <w:color w:val="auto"/>
                <w:sz w:val="24"/>
                <w:szCs w:val="32"/>
                <w:highlight w:val="none"/>
              </w:rPr>
            </w:pPr>
            <w:r>
              <w:rPr>
                <w:rFonts w:hint="eastAsia" w:ascii="宋体" w:eastAsia="宋体" w:cs="宋体"/>
                <w:color w:val="auto"/>
                <w:sz w:val="24"/>
                <w:szCs w:val="32"/>
                <w:highlight w:val="none"/>
              </w:rPr>
              <w:t>岗位资格要求</w:t>
            </w:r>
          </w:p>
        </w:tc>
        <w:tc>
          <w:tcPr>
            <w:tcW w:w="1933" w:type="dxa"/>
            <w:tcBorders>
              <w:top w:val="single" w:color="000000" w:sz="4" w:space="0"/>
              <w:left w:val="single" w:color="000000" w:sz="4" w:space="0"/>
              <w:bottom w:val="single" w:color="000000" w:sz="4" w:space="0"/>
              <w:right w:val="single" w:color="000000" w:sz="4" w:space="0"/>
            </w:tcBorders>
            <w:noWrap/>
          </w:tcPr>
          <w:p w14:paraId="693E2609">
            <w:pPr>
              <w:spacing w:line="240" w:lineRule="auto"/>
              <w:jc w:val="center"/>
              <w:rPr>
                <w:rFonts w:hint="eastAsia" w:ascii="宋体" w:eastAsia="宋体" w:cs="宋体"/>
                <w:color w:val="auto"/>
                <w:sz w:val="24"/>
                <w:szCs w:val="32"/>
                <w:highlight w:val="none"/>
              </w:rPr>
            </w:pPr>
            <w:r>
              <w:rPr>
                <w:rFonts w:hint="eastAsia" w:ascii="宋体" w:eastAsia="宋体" w:cs="宋体"/>
                <w:color w:val="auto"/>
                <w:sz w:val="24"/>
                <w:szCs w:val="32"/>
                <w:highlight w:val="none"/>
              </w:rPr>
              <w:t>岗位要求</w:t>
            </w:r>
          </w:p>
        </w:tc>
        <w:tc>
          <w:tcPr>
            <w:tcW w:w="1858" w:type="dxa"/>
            <w:tcBorders>
              <w:top w:val="single" w:color="000000" w:sz="4" w:space="0"/>
              <w:left w:val="single" w:color="000000" w:sz="4" w:space="0"/>
              <w:bottom w:val="single" w:color="000000" w:sz="4" w:space="0"/>
              <w:right w:val="single" w:color="000000" w:sz="4" w:space="0"/>
            </w:tcBorders>
            <w:noWrap/>
          </w:tcPr>
          <w:p w14:paraId="5127A906">
            <w:pPr>
              <w:spacing w:line="240" w:lineRule="auto"/>
              <w:jc w:val="center"/>
              <w:rPr>
                <w:rFonts w:hint="eastAsia" w:ascii="宋体" w:eastAsia="宋体" w:cs="宋体"/>
                <w:color w:val="auto"/>
                <w:sz w:val="24"/>
                <w:szCs w:val="32"/>
                <w:highlight w:val="none"/>
              </w:rPr>
            </w:pPr>
            <w:r>
              <w:rPr>
                <w:rFonts w:hint="eastAsia" w:ascii="宋体" w:eastAsia="宋体" w:cs="宋体"/>
                <w:color w:val="auto"/>
                <w:sz w:val="24"/>
                <w:szCs w:val="32"/>
                <w:highlight w:val="none"/>
              </w:rPr>
              <w:t>备注</w:t>
            </w:r>
          </w:p>
        </w:tc>
      </w:tr>
      <w:tr w14:paraId="210AA7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tcBorders>
              <w:top w:val="single" w:color="000000" w:sz="4" w:space="0"/>
              <w:left w:val="single" w:color="000000" w:sz="4" w:space="0"/>
              <w:bottom w:val="single" w:color="000000" w:sz="4" w:space="0"/>
              <w:right w:val="single" w:color="000000" w:sz="4" w:space="0"/>
            </w:tcBorders>
            <w:noWrap/>
          </w:tcPr>
          <w:p w14:paraId="55B06C0C">
            <w:pPr>
              <w:spacing w:line="240" w:lineRule="auto"/>
              <w:jc w:val="center"/>
              <w:rPr>
                <w:rFonts w:hint="default" w:ascii="宋体" w:eastAsia="宋体" w:cs="宋体"/>
                <w:b/>
                <w:bCs/>
                <w:color w:val="auto"/>
                <w:sz w:val="24"/>
                <w:szCs w:val="32"/>
                <w:highlight w:val="none"/>
                <w:lang w:val="en-US" w:eastAsia="zh-CN"/>
              </w:rPr>
            </w:pPr>
            <w:r>
              <w:rPr>
                <w:rFonts w:hint="eastAsia" w:ascii="宋体" w:cs="宋体"/>
                <w:b/>
                <w:bCs/>
                <w:color w:val="auto"/>
                <w:sz w:val="24"/>
                <w:szCs w:val="32"/>
                <w:highlight w:val="none"/>
                <w:lang w:val="en-US" w:eastAsia="zh-CN"/>
              </w:rPr>
              <w:t>勘察负责人</w:t>
            </w:r>
          </w:p>
        </w:tc>
        <w:tc>
          <w:tcPr>
            <w:tcW w:w="1843" w:type="dxa"/>
            <w:tcBorders>
              <w:top w:val="single" w:color="000000" w:sz="4" w:space="0"/>
              <w:left w:val="single" w:color="000000" w:sz="4" w:space="0"/>
              <w:bottom w:val="single" w:color="000000" w:sz="4" w:space="0"/>
              <w:right w:val="single" w:color="000000" w:sz="4" w:space="0"/>
            </w:tcBorders>
            <w:noWrap/>
          </w:tcPr>
          <w:p w14:paraId="3EA5F2D0">
            <w:pPr>
              <w:spacing w:line="240" w:lineRule="auto"/>
              <w:rPr>
                <w:rFonts w:hint="eastAsia" w:ascii="宋体" w:eastAsia="宋体" w:cs="宋体"/>
                <w:color w:val="auto"/>
                <w:highlight w:val="none"/>
                <w:u w:val="none"/>
                <w:lang w:val="en-US" w:eastAsia="zh-CN"/>
              </w:rPr>
            </w:pPr>
            <w:r>
              <w:rPr>
                <w:rFonts w:hint="eastAsia" w:ascii="宋体" w:cs="宋体"/>
                <w:color w:val="auto"/>
                <w:highlight w:val="none"/>
                <w:u w:val="none"/>
                <w:lang w:val="en-US" w:eastAsia="zh-CN"/>
              </w:rPr>
              <w:t>1</w:t>
            </w:r>
          </w:p>
        </w:tc>
        <w:tc>
          <w:tcPr>
            <w:tcW w:w="2126" w:type="dxa"/>
            <w:tcBorders>
              <w:top w:val="single" w:color="000000" w:sz="4" w:space="0"/>
              <w:left w:val="single" w:color="000000" w:sz="4" w:space="0"/>
              <w:bottom w:val="single" w:color="000000" w:sz="4" w:space="0"/>
              <w:right w:val="single" w:color="000000" w:sz="4" w:space="0"/>
            </w:tcBorders>
            <w:noWrap/>
            <w:vAlign w:val="top"/>
          </w:tcPr>
          <w:p w14:paraId="2A13A740">
            <w:pPr>
              <w:spacing w:line="240" w:lineRule="auto"/>
              <w:rPr>
                <w:rFonts w:hint="eastAsia" w:ascii="宋体" w:eastAsia="宋体" w:cs="宋体"/>
                <w:color w:val="auto"/>
                <w:sz w:val="24"/>
                <w:szCs w:val="32"/>
                <w:highlight w:val="none"/>
              </w:rPr>
            </w:pPr>
            <w:r>
              <w:rPr>
                <w:rFonts w:hint="eastAsia" w:ascii="宋体" w:eastAsia="宋体" w:cs="宋体"/>
                <w:color w:val="auto"/>
                <w:sz w:val="24"/>
                <w:szCs w:val="32"/>
                <w:highlight w:val="none"/>
              </w:rPr>
              <w:t>是：</w:t>
            </w:r>
            <w:r>
              <w:rPr>
                <w:rFonts w:hint="eastAsia" w:ascii="宋体" w:eastAsia="宋体" w:cs="宋体"/>
                <w:color w:val="auto"/>
                <w:highlight w:val="none"/>
              </w:rPr>
              <w:fldChar w:fldCharType="begin"/>
            </w:r>
            <w:r>
              <w:rPr>
                <w:rFonts w:hint="eastAsia" w:ascii="宋体" w:eastAsia="宋体" w:cs="宋体"/>
                <w:color w:val="auto"/>
                <w:highlight w:val="none"/>
              </w:rPr>
              <w:instrText xml:space="preserve">AUTOTEXT  input539 \* MERGEFORMAT</w:instrText>
            </w:r>
            <w:r>
              <w:rPr>
                <w:rFonts w:hint="eastAsia" w:ascii="宋体" w:eastAsia="宋体" w:cs="宋体"/>
                <w:color w:val="auto"/>
                <w:highlight w:val="none"/>
              </w:rPr>
              <w:fldChar w:fldCharType="separate"/>
            </w:r>
            <w:r>
              <w:rPr>
                <w:rFonts w:hint="eastAsia" w:ascii="宋体" w:eastAsia="宋体" w:cs="宋体"/>
                <w:color w:val="auto"/>
                <w:sz w:val="32"/>
                <w:szCs w:val="32"/>
                <w:highlight w:val="none"/>
              </w:rPr>
              <w:t>☑</w:t>
            </w:r>
            <w:r>
              <w:rPr>
                <w:rFonts w:hint="eastAsia" w:ascii="宋体" w:eastAsia="宋体" w:cs="宋体"/>
                <w:color w:val="auto"/>
                <w:sz w:val="32"/>
                <w:szCs w:val="32"/>
                <w:highlight w:val="none"/>
              </w:rPr>
              <w:fldChar w:fldCharType="end"/>
            </w:r>
          </w:p>
        </w:tc>
        <w:tc>
          <w:tcPr>
            <w:tcW w:w="1933" w:type="dxa"/>
            <w:tcBorders>
              <w:top w:val="single" w:color="000000" w:sz="4" w:space="0"/>
              <w:left w:val="single" w:color="000000" w:sz="4" w:space="0"/>
              <w:bottom w:val="single" w:color="000000" w:sz="4" w:space="0"/>
              <w:right w:val="single" w:color="000000" w:sz="4" w:space="0"/>
            </w:tcBorders>
            <w:noWrap/>
            <w:vAlign w:val="top"/>
          </w:tcPr>
          <w:p w14:paraId="62F2BCC7">
            <w:pPr>
              <w:spacing w:line="240" w:lineRule="auto"/>
              <w:rPr>
                <w:rFonts w:hint="eastAsia" w:ascii="宋体" w:eastAsia="宋体" w:cs="宋体"/>
                <w:color w:val="auto"/>
                <w:sz w:val="24"/>
                <w:szCs w:val="32"/>
                <w:highlight w:val="none"/>
              </w:rPr>
            </w:pPr>
            <w:r>
              <w:rPr>
                <w:rFonts w:hint="eastAsia" w:ascii="宋体" w:cs="宋体"/>
                <w:color w:val="auto"/>
                <w:sz w:val="24"/>
                <w:szCs w:val="32"/>
                <w:highlight w:val="none"/>
                <w:lang w:val="en-US" w:eastAsia="zh-CN"/>
              </w:rPr>
              <w:t>专</w:t>
            </w:r>
            <w:r>
              <w:rPr>
                <w:rFonts w:hint="eastAsia" w:ascii="宋体" w:eastAsia="宋体" w:cs="宋体"/>
                <w:color w:val="auto"/>
                <w:sz w:val="24"/>
                <w:szCs w:val="32"/>
                <w:highlight w:val="none"/>
              </w:rPr>
              <w:t>职：</w:t>
            </w:r>
            <w:r>
              <w:rPr>
                <w:rFonts w:hint="eastAsia" w:ascii="宋体" w:eastAsia="宋体" w:cs="宋体"/>
                <w:color w:val="auto"/>
                <w:highlight w:val="none"/>
              </w:rPr>
              <w:fldChar w:fldCharType="begin"/>
            </w:r>
            <w:r>
              <w:rPr>
                <w:rFonts w:hint="eastAsia" w:ascii="宋体" w:eastAsia="宋体" w:cs="宋体"/>
                <w:color w:val="auto"/>
                <w:highlight w:val="none"/>
              </w:rPr>
              <w:instrText xml:space="preserve">AUTOTEXT  input539 \* MERGEFORMAT</w:instrText>
            </w:r>
            <w:r>
              <w:rPr>
                <w:rFonts w:hint="eastAsia" w:ascii="宋体" w:eastAsia="宋体" w:cs="宋体"/>
                <w:color w:val="auto"/>
                <w:highlight w:val="none"/>
              </w:rPr>
              <w:fldChar w:fldCharType="separate"/>
            </w:r>
            <w:r>
              <w:rPr>
                <w:rFonts w:hint="eastAsia" w:ascii="宋体" w:cs="宋体"/>
                <w:color w:val="auto"/>
                <w:sz w:val="32"/>
                <w:szCs w:val="32"/>
                <w:highlight w:val="none"/>
                <w:lang w:eastAsia="zh-CN"/>
              </w:rPr>
              <w:t>☑</w:t>
            </w:r>
            <w:r>
              <w:rPr>
                <w:rFonts w:hint="eastAsia" w:ascii="宋体" w:eastAsia="宋体" w:cs="宋体"/>
                <w:color w:val="auto"/>
                <w:sz w:val="32"/>
                <w:szCs w:val="32"/>
                <w:highlight w:val="none"/>
              </w:rPr>
              <w:fldChar w:fldCharType="end"/>
            </w:r>
          </w:p>
        </w:tc>
        <w:tc>
          <w:tcPr>
            <w:tcW w:w="1858" w:type="dxa"/>
            <w:vMerge w:val="restart"/>
            <w:tcBorders>
              <w:top w:val="single" w:color="000000" w:sz="4" w:space="0"/>
              <w:left w:val="single" w:color="000000" w:sz="4" w:space="0"/>
              <w:right w:val="single" w:color="000000" w:sz="4" w:space="0"/>
            </w:tcBorders>
            <w:noWrap/>
          </w:tcPr>
          <w:p w14:paraId="7BFC38DD">
            <w:pPr>
              <w:spacing w:line="240" w:lineRule="auto"/>
              <w:rPr>
                <w:rFonts w:hint="eastAsia" w:ascii="宋体" w:eastAsia="宋体" w:cs="宋体"/>
                <w:b/>
                <w:bCs/>
                <w:color w:val="auto"/>
                <w:sz w:val="24"/>
                <w:szCs w:val="32"/>
                <w:highlight w:val="none"/>
                <w:lang w:val="en-US" w:eastAsia="zh-CN"/>
              </w:rPr>
            </w:pPr>
          </w:p>
          <w:p w14:paraId="46311510">
            <w:pPr>
              <w:spacing w:line="240" w:lineRule="auto"/>
              <w:rPr>
                <w:rFonts w:hint="eastAsia" w:ascii="宋体" w:eastAsia="宋体" w:cs="宋体"/>
                <w:b/>
                <w:bCs/>
                <w:color w:val="auto"/>
                <w:sz w:val="24"/>
                <w:szCs w:val="32"/>
                <w:highlight w:val="none"/>
                <w:lang w:val="en-US" w:eastAsia="zh-CN"/>
              </w:rPr>
            </w:pPr>
          </w:p>
          <w:p w14:paraId="52DBAB75">
            <w:pPr>
              <w:spacing w:line="240" w:lineRule="auto"/>
              <w:rPr>
                <w:rFonts w:hint="eastAsia" w:ascii="宋体" w:eastAsia="宋体" w:cs="宋体"/>
                <w:b/>
                <w:bCs/>
                <w:color w:val="auto"/>
                <w:sz w:val="24"/>
                <w:szCs w:val="32"/>
                <w:highlight w:val="none"/>
                <w:lang w:val="en-US" w:eastAsia="zh-CN"/>
              </w:rPr>
            </w:pPr>
            <w:r>
              <w:rPr>
                <w:rFonts w:hint="eastAsia" w:ascii="宋体" w:eastAsia="宋体" w:cs="宋体"/>
                <w:b/>
                <w:bCs/>
                <w:color w:val="auto"/>
                <w:sz w:val="24"/>
                <w:szCs w:val="32"/>
                <w:highlight w:val="none"/>
                <w:lang w:val="en-US" w:eastAsia="zh-CN"/>
              </w:rPr>
              <w:t>由</w:t>
            </w:r>
            <w:r>
              <w:rPr>
                <w:rFonts w:hint="eastAsia" w:ascii="宋体" w:cs="宋体"/>
                <w:b/>
                <w:bCs/>
                <w:color w:val="auto"/>
                <w:sz w:val="24"/>
                <w:szCs w:val="32"/>
                <w:highlight w:val="none"/>
                <w:lang w:val="en-US" w:eastAsia="zh-CN"/>
              </w:rPr>
              <w:t>勘察</w:t>
            </w:r>
            <w:r>
              <w:rPr>
                <w:rFonts w:hint="eastAsia" w:ascii="宋体" w:eastAsia="宋体" w:cs="宋体"/>
                <w:b/>
                <w:bCs/>
                <w:color w:val="auto"/>
                <w:sz w:val="24"/>
                <w:szCs w:val="32"/>
                <w:highlight w:val="none"/>
                <w:lang w:val="en-US" w:eastAsia="zh-CN"/>
              </w:rPr>
              <w:t>单位负责提供相关人员证明材料</w:t>
            </w:r>
          </w:p>
        </w:tc>
      </w:tr>
      <w:tr w14:paraId="511B33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tcBorders>
              <w:top w:val="single" w:color="000000" w:sz="4" w:space="0"/>
              <w:left w:val="single" w:color="000000" w:sz="4" w:space="0"/>
              <w:bottom w:val="single" w:color="000000" w:sz="4" w:space="0"/>
              <w:right w:val="single" w:color="000000" w:sz="4" w:space="0"/>
            </w:tcBorders>
            <w:noWrap/>
          </w:tcPr>
          <w:p w14:paraId="7C176042">
            <w:pPr>
              <w:spacing w:line="240" w:lineRule="auto"/>
              <w:jc w:val="center"/>
              <w:rPr>
                <w:rFonts w:hint="default" w:ascii="宋体" w:eastAsia="宋体" w:cs="宋体"/>
                <w:b/>
                <w:bCs/>
                <w:color w:val="auto"/>
                <w:sz w:val="24"/>
                <w:szCs w:val="32"/>
                <w:highlight w:val="none"/>
                <w:lang w:val="en-US" w:eastAsia="zh-CN"/>
              </w:rPr>
            </w:pPr>
            <w:r>
              <w:rPr>
                <w:rFonts w:hint="eastAsia" w:ascii="宋体" w:cs="宋体"/>
                <w:b/>
                <w:bCs/>
                <w:color w:val="auto"/>
                <w:sz w:val="24"/>
                <w:szCs w:val="32"/>
                <w:highlight w:val="none"/>
                <w:lang w:val="en-US" w:eastAsia="zh-CN"/>
              </w:rPr>
              <w:t>测绘负责人</w:t>
            </w:r>
          </w:p>
        </w:tc>
        <w:tc>
          <w:tcPr>
            <w:tcW w:w="1843" w:type="dxa"/>
            <w:tcBorders>
              <w:top w:val="single" w:color="000000" w:sz="4" w:space="0"/>
              <w:left w:val="single" w:color="000000" w:sz="4" w:space="0"/>
              <w:bottom w:val="single" w:color="000000" w:sz="4" w:space="0"/>
              <w:right w:val="single" w:color="000000" w:sz="4" w:space="0"/>
            </w:tcBorders>
            <w:noWrap/>
          </w:tcPr>
          <w:p w14:paraId="4090825B">
            <w:pPr>
              <w:spacing w:line="240" w:lineRule="auto"/>
              <w:rPr>
                <w:rFonts w:hint="eastAsia" w:ascii="宋体" w:eastAsia="宋体" w:cs="宋体"/>
                <w:color w:val="auto"/>
                <w:highlight w:val="none"/>
                <w:u w:val="none"/>
                <w:lang w:val="en-US" w:eastAsia="zh-CN"/>
              </w:rPr>
            </w:pPr>
            <w:r>
              <w:rPr>
                <w:rFonts w:hint="eastAsia" w:ascii="宋体" w:cs="宋体"/>
                <w:color w:val="auto"/>
                <w:highlight w:val="none"/>
                <w:u w:val="none"/>
                <w:lang w:val="en-US" w:eastAsia="zh-CN"/>
              </w:rPr>
              <w:t>1</w:t>
            </w:r>
          </w:p>
        </w:tc>
        <w:tc>
          <w:tcPr>
            <w:tcW w:w="2126" w:type="dxa"/>
            <w:tcBorders>
              <w:top w:val="single" w:color="000000" w:sz="4" w:space="0"/>
              <w:left w:val="single" w:color="000000" w:sz="4" w:space="0"/>
              <w:bottom w:val="single" w:color="000000" w:sz="4" w:space="0"/>
              <w:right w:val="single" w:color="000000" w:sz="4" w:space="0"/>
            </w:tcBorders>
            <w:noWrap/>
            <w:vAlign w:val="top"/>
          </w:tcPr>
          <w:p w14:paraId="2CFD0DAC">
            <w:pPr>
              <w:spacing w:line="240" w:lineRule="auto"/>
              <w:rPr>
                <w:rFonts w:hint="eastAsia" w:ascii="宋体" w:eastAsia="宋体" w:cs="宋体"/>
                <w:color w:val="auto"/>
                <w:sz w:val="24"/>
                <w:szCs w:val="32"/>
                <w:highlight w:val="none"/>
              </w:rPr>
            </w:pPr>
            <w:r>
              <w:rPr>
                <w:rFonts w:hint="eastAsia" w:ascii="宋体" w:eastAsia="宋体" w:cs="宋体"/>
                <w:color w:val="auto"/>
                <w:sz w:val="24"/>
                <w:szCs w:val="32"/>
                <w:highlight w:val="none"/>
              </w:rPr>
              <w:t>是：</w:t>
            </w:r>
            <w:r>
              <w:rPr>
                <w:rFonts w:hint="eastAsia" w:ascii="宋体" w:eastAsia="宋体" w:cs="宋体"/>
                <w:color w:val="auto"/>
                <w:highlight w:val="none"/>
              </w:rPr>
              <w:fldChar w:fldCharType="begin"/>
            </w:r>
            <w:r>
              <w:rPr>
                <w:rFonts w:hint="eastAsia" w:ascii="宋体" w:eastAsia="宋体" w:cs="宋体"/>
                <w:color w:val="auto"/>
                <w:highlight w:val="none"/>
              </w:rPr>
              <w:instrText xml:space="preserve">AUTOTEXT  input539 \* MERGEFORMAT</w:instrText>
            </w:r>
            <w:r>
              <w:rPr>
                <w:rFonts w:hint="eastAsia" w:ascii="宋体" w:eastAsia="宋体" w:cs="宋体"/>
                <w:color w:val="auto"/>
                <w:highlight w:val="none"/>
              </w:rPr>
              <w:fldChar w:fldCharType="separate"/>
            </w:r>
            <w:r>
              <w:rPr>
                <w:rFonts w:hint="eastAsia" w:ascii="宋体" w:eastAsia="宋体" w:cs="宋体"/>
                <w:color w:val="auto"/>
                <w:sz w:val="32"/>
                <w:szCs w:val="32"/>
                <w:highlight w:val="none"/>
              </w:rPr>
              <w:t>☑</w:t>
            </w:r>
            <w:r>
              <w:rPr>
                <w:rFonts w:hint="eastAsia" w:ascii="宋体" w:eastAsia="宋体" w:cs="宋体"/>
                <w:color w:val="auto"/>
                <w:sz w:val="32"/>
                <w:szCs w:val="32"/>
                <w:highlight w:val="none"/>
              </w:rPr>
              <w:fldChar w:fldCharType="end"/>
            </w:r>
          </w:p>
        </w:tc>
        <w:tc>
          <w:tcPr>
            <w:tcW w:w="1933" w:type="dxa"/>
            <w:tcBorders>
              <w:top w:val="single" w:color="000000" w:sz="4" w:space="0"/>
              <w:left w:val="single" w:color="000000" w:sz="4" w:space="0"/>
              <w:bottom w:val="single" w:color="000000" w:sz="4" w:space="0"/>
              <w:right w:val="single" w:color="000000" w:sz="4" w:space="0"/>
            </w:tcBorders>
            <w:noWrap/>
            <w:vAlign w:val="top"/>
          </w:tcPr>
          <w:p w14:paraId="38991C02">
            <w:pPr>
              <w:spacing w:line="240" w:lineRule="auto"/>
              <w:rPr>
                <w:rFonts w:hint="eastAsia" w:ascii="宋体" w:eastAsia="宋体" w:cs="宋体"/>
                <w:color w:val="auto"/>
                <w:sz w:val="24"/>
                <w:szCs w:val="32"/>
                <w:highlight w:val="none"/>
              </w:rPr>
            </w:pPr>
            <w:r>
              <w:rPr>
                <w:rFonts w:hint="eastAsia" w:ascii="宋体" w:cs="宋体"/>
                <w:color w:val="auto"/>
                <w:sz w:val="24"/>
                <w:szCs w:val="32"/>
                <w:highlight w:val="none"/>
                <w:lang w:val="en-US" w:eastAsia="zh-CN"/>
              </w:rPr>
              <w:t>专</w:t>
            </w:r>
            <w:r>
              <w:rPr>
                <w:rFonts w:hint="eastAsia" w:ascii="宋体" w:eastAsia="宋体" w:cs="宋体"/>
                <w:color w:val="auto"/>
                <w:sz w:val="24"/>
                <w:szCs w:val="32"/>
                <w:highlight w:val="none"/>
              </w:rPr>
              <w:t>职：</w:t>
            </w:r>
            <w:r>
              <w:rPr>
                <w:rFonts w:hint="eastAsia" w:ascii="宋体" w:eastAsia="宋体" w:cs="宋体"/>
                <w:color w:val="auto"/>
                <w:highlight w:val="none"/>
              </w:rPr>
              <w:fldChar w:fldCharType="begin"/>
            </w:r>
            <w:r>
              <w:rPr>
                <w:rFonts w:hint="eastAsia" w:ascii="宋体" w:eastAsia="宋体" w:cs="宋体"/>
                <w:color w:val="auto"/>
                <w:highlight w:val="none"/>
              </w:rPr>
              <w:instrText xml:space="preserve">AUTOTEXT  input539 \* MERGEFORMAT</w:instrText>
            </w:r>
            <w:r>
              <w:rPr>
                <w:rFonts w:hint="eastAsia" w:ascii="宋体" w:eastAsia="宋体" w:cs="宋体"/>
                <w:color w:val="auto"/>
                <w:highlight w:val="none"/>
              </w:rPr>
              <w:fldChar w:fldCharType="separate"/>
            </w:r>
            <w:r>
              <w:rPr>
                <w:rFonts w:hint="eastAsia" w:ascii="宋体" w:cs="宋体"/>
                <w:color w:val="auto"/>
                <w:sz w:val="32"/>
                <w:szCs w:val="32"/>
                <w:highlight w:val="none"/>
                <w:lang w:eastAsia="zh-CN"/>
              </w:rPr>
              <w:t>☑</w:t>
            </w:r>
            <w:r>
              <w:rPr>
                <w:rFonts w:hint="eastAsia" w:ascii="宋体" w:eastAsia="宋体" w:cs="宋体"/>
                <w:color w:val="auto"/>
                <w:sz w:val="32"/>
                <w:szCs w:val="32"/>
                <w:highlight w:val="none"/>
              </w:rPr>
              <w:fldChar w:fldCharType="end"/>
            </w:r>
          </w:p>
        </w:tc>
        <w:tc>
          <w:tcPr>
            <w:tcW w:w="1858" w:type="dxa"/>
            <w:vMerge w:val="continue"/>
            <w:tcBorders>
              <w:left w:val="single" w:color="000000" w:sz="4" w:space="0"/>
              <w:right w:val="single" w:color="000000" w:sz="4" w:space="0"/>
            </w:tcBorders>
            <w:noWrap/>
          </w:tcPr>
          <w:p w14:paraId="120F04B7">
            <w:pPr>
              <w:spacing w:line="240" w:lineRule="auto"/>
              <w:rPr>
                <w:rFonts w:hint="eastAsia" w:ascii="宋体" w:eastAsia="宋体" w:cs="宋体"/>
                <w:b/>
                <w:bCs/>
                <w:color w:val="auto"/>
                <w:sz w:val="24"/>
                <w:szCs w:val="32"/>
                <w:highlight w:val="none"/>
                <w:lang w:val="en-US" w:eastAsia="zh-CN"/>
              </w:rPr>
            </w:pPr>
          </w:p>
        </w:tc>
      </w:tr>
      <w:tr w14:paraId="6C0115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tcBorders>
              <w:top w:val="single" w:color="000000" w:sz="4" w:space="0"/>
              <w:left w:val="single" w:color="000000" w:sz="4" w:space="0"/>
              <w:bottom w:val="single" w:color="000000" w:sz="4" w:space="0"/>
              <w:right w:val="single" w:color="000000" w:sz="4" w:space="0"/>
            </w:tcBorders>
            <w:noWrap/>
          </w:tcPr>
          <w:p w14:paraId="36888378">
            <w:pPr>
              <w:spacing w:line="240" w:lineRule="auto"/>
              <w:jc w:val="center"/>
              <w:rPr>
                <w:rFonts w:hint="default" w:ascii="宋体" w:eastAsia="宋体" w:cs="宋体"/>
                <w:b/>
                <w:bCs/>
                <w:color w:val="auto"/>
                <w:sz w:val="24"/>
                <w:szCs w:val="32"/>
                <w:highlight w:val="none"/>
                <w:lang w:val="en-US" w:eastAsia="zh-CN"/>
              </w:rPr>
            </w:pPr>
            <w:r>
              <w:rPr>
                <w:rFonts w:hint="eastAsia" w:ascii="宋体" w:cs="宋体"/>
                <w:b/>
                <w:bCs/>
                <w:color w:val="auto"/>
                <w:sz w:val="24"/>
                <w:szCs w:val="32"/>
                <w:highlight w:val="none"/>
                <w:lang w:val="en-US" w:eastAsia="zh-CN"/>
              </w:rPr>
              <w:t>测绘工程师</w:t>
            </w:r>
          </w:p>
        </w:tc>
        <w:tc>
          <w:tcPr>
            <w:tcW w:w="1843" w:type="dxa"/>
            <w:tcBorders>
              <w:top w:val="single" w:color="000000" w:sz="4" w:space="0"/>
              <w:left w:val="single" w:color="000000" w:sz="4" w:space="0"/>
              <w:bottom w:val="single" w:color="000000" w:sz="4" w:space="0"/>
              <w:right w:val="single" w:color="000000" w:sz="4" w:space="0"/>
            </w:tcBorders>
            <w:noWrap/>
          </w:tcPr>
          <w:p w14:paraId="7310D6A8">
            <w:pPr>
              <w:spacing w:line="240" w:lineRule="auto"/>
              <w:rPr>
                <w:rFonts w:hint="eastAsia" w:ascii="宋体" w:eastAsia="宋体" w:cs="宋体"/>
                <w:color w:val="auto"/>
                <w:highlight w:val="none"/>
                <w:u w:val="none"/>
                <w:lang w:val="en-US" w:eastAsia="zh-CN"/>
              </w:rPr>
            </w:pPr>
            <w:r>
              <w:rPr>
                <w:rFonts w:hint="eastAsia" w:ascii="宋体" w:cs="宋体"/>
                <w:color w:val="auto"/>
                <w:highlight w:val="none"/>
                <w:u w:val="none"/>
                <w:lang w:val="en-US" w:eastAsia="zh-CN"/>
              </w:rPr>
              <w:t>1</w:t>
            </w:r>
          </w:p>
        </w:tc>
        <w:tc>
          <w:tcPr>
            <w:tcW w:w="2126" w:type="dxa"/>
            <w:tcBorders>
              <w:top w:val="single" w:color="000000" w:sz="4" w:space="0"/>
              <w:left w:val="single" w:color="000000" w:sz="4" w:space="0"/>
              <w:bottom w:val="single" w:color="000000" w:sz="4" w:space="0"/>
              <w:right w:val="single" w:color="000000" w:sz="4" w:space="0"/>
            </w:tcBorders>
            <w:noWrap/>
            <w:vAlign w:val="top"/>
          </w:tcPr>
          <w:p w14:paraId="5A3B72F6">
            <w:pPr>
              <w:spacing w:line="240" w:lineRule="auto"/>
              <w:rPr>
                <w:rFonts w:hint="eastAsia" w:ascii="宋体" w:eastAsia="宋体" w:cs="宋体"/>
                <w:color w:val="auto"/>
                <w:sz w:val="24"/>
                <w:szCs w:val="32"/>
                <w:highlight w:val="none"/>
              </w:rPr>
            </w:pPr>
            <w:r>
              <w:rPr>
                <w:rFonts w:hint="eastAsia" w:ascii="宋体" w:eastAsia="宋体" w:cs="宋体"/>
                <w:color w:val="auto"/>
                <w:sz w:val="24"/>
                <w:szCs w:val="32"/>
                <w:highlight w:val="none"/>
              </w:rPr>
              <w:t>是：</w:t>
            </w:r>
            <w:r>
              <w:rPr>
                <w:rFonts w:hint="eastAsia" w:ascii="宋体" w:eastAsia="宋体" w:cs="宋体"/>
                <w:color w:val="auto"/>
                <w:highlight w:val="none"/>
              </w:rPr>
              <w:fldChar w:fldCharType="begin"/>
            </w:r>
            <w:r>
              <w:rPr>
                <w:rFonts w:hint="eastAsia" w:ascii="宋体" w:eastAsia="宋体" w:cs="宋体"/>
                <w:color w:val="auto"/>
                <w:highlight w:val="none"/>
              </w:rPr>
              <w:instrText xml:space="preserve">AUTOTEXT  input539 \* MERGEFORMAT</w:instrText>
            </w:r>
            <w:r>
              <w:rPr>
                <w:rFonts w:hint="eastAsia" w:ascii="宋体" w:eastAsia="宋体" w:cs="宋体"/>
                <w:color w:val="auto"/>
                <w:highlight w:val="none"/>
              </w:rPr>
              <w:fldChar w:fldCharType="separate"/>
            </w:r>
            <w:r>
              <w:rPr>
                <w:rFonts w:hint="eastAsia" w:ascii="宋体" w:eastAsia="宋体" w:cs="宋体"/>
                <w:color w:val="auto"/>
                <w:sz w:val="32"/>
                <w:szCs w:val="32"/>
                <w:highlight w:val="none"/>
              </w:rPr>
              <w:t>☑</w:t>
            </w:r>
            <w:r>
              <w:rPr>
                <w:rFonts w:hint="eastAsia" w:ascii="宋体" w:eastAsia="宋体" w:cs="宋体"/>
                <w:color w:val="auto"/>
                <w:sz w:val="32"/>
                <w:szCs w:val="32"/>
                <w:highlight w:val="none"/>
              </w:rPr>
              <w:fldChar w:fldCharType="end"/>
            </w:r>
          </w:p>
        </w:tc>
        <w:tc>
          <w:tcPr>
            <w:tcW w:w="1933" w:type="dxa"/>
            <w:tcBorders>
              <w:top w:val="single" w:color="000000" w:sz="4" w:space="0"/>
              <w:left w:val="single" w:color="000000" w:sz="4" w:space="0"/>
              <w:bottom w:val="single" w:color="000000" w:sz="4" w:space="0"/>
              <w:right w:val="single" w:color="000000" w:sz="4" w:space="0"/>
            </w:tcBorders>
            <w:noWrap/>
            <w:vAlign w:val="top"/>
          </w:tcPr>
          <w:p w14:paraId="023A2110">
            <w:pPr>
              <w:spacing w:line="240" w:lineRule="auto"/>
              <w:rPr>
                <w:rFonts w:hint="eastAsia" w:ascii="宋体" w:eastAsia="宋体" w:cs="宋体"/>
                <w:color w:val="auto"/>
                <w:sz w:val="24"/>
                <w:szCs w:val="32"/>
                <w:highlight w:val="none"/>
              </w:rPr>
            </w:pPr>
            <w:r>
              <w:rPr>
                <w:rFonts w:hint="eastAsia" w:ascii="宋体" w:eastAsia="宋体" w:cs="宋体"/>
                <w:color w:val="auto"/>
                <w:sz w:val="24"/>
                <w:szCs w:val="32"/>
                <w:highlight w:val="none"/>
                <w:lang w:val="en-US" w:eastAsia="zh-CN"/>
              </w:rPr>
              <w:t>兼</w:t>
            </w:r>
            <w:r>
              <w:rPr>
                <w:rFonts w:hint="eastAsia" w:ascii="宋体" w:eastAsia="宋体" w:cs="宋体"/>
                <w:color w:val="auto"/>
                <w:sz w:val="24"/>
                <w:szCs w:val="32"/>
                <w:highlight w:val="none"/>
              </w:rPr>
              <w:t>职：</w:t>
            </w:r>
            <w:r>
              <w:rPr>
                <w:rFonts w:hint="eastAsia" w:ascii="宋体" w:eastAsia="宋体" w:cs="宋体"/>
                <w:color w:val="auto"/>
                <w:highlight w:val="none"/>
              </w:rPr>
              <w:fldChar w:fldCharType="begin"/>
            </w:r>
            <w:r>
              <w:rPr>
                <w:rFonts w:hint="eastAsia" w:ascii="宋体" w:eastAsia="宋体" w:cs="宋体"/>
                <w:color w:val="auto"/>
                <w:highlight w:val="none"/>
              </w:rPr>
              <w:instrText xml:space="preserve">AUTOTEXT  input539 \* MERGEFORMAT</w:instrText>
            </w:r>
            <w:r>
              <w:rPr>
                <w:rFonts w:hint="eastAsia" w:ascii="宋体" w:eastAsia="宋体" w:cs="宋体"/>
                <w:color w:val="auto"/>
                <w:highlight w:val="none"/>
              </w:rPr>
              <w:fldChar w:fldCharType="separate"/>
            </w:r>
            <w:r>
              <w:rPr>
                <w:rFonts w:hint="eastAsia" w:ascii="宋体" w:cs="宋体"/>
                <w:color w:val="auto"/>
                <w:sz w:val="32"/>
                <w:szCs w:val="32"/>
                <w:highlight w:val="none"/>
                <w:lang w:eastAsia="zh-CN"/>
              </w:rPr>
              <w:t>☑</w:t>
            </w:r>
            <w:r>
              <w:rPr>
                <w:rFonts w:hint="eastAsia" w:ascii="宋体" w:eastAsia="宋体" w:cs="宋体"/>
                <w:color w:val="auto"/>
                <w:sz w:val="32"/>
                <w:szCs w:val="32"/>
                <w:highlight w:val="none"/>
              </w:rPr>
              <w:fldChar w:fldCharType="end"/>
            </w:r>
          </w:p>
        </w:tc>
        <w:tc>
          <w:tcPr>
            <w:tcW w:w="1858" w:type="dxa"/>
            <w:vMerge w:val="continue"/>
            <w:tcBorders>
              <w:left w:val="single" w:color="000000" w:sz="4" w:space="0"/>
              <w:bottom w:val="single" w:color="000000" w:sz="4" w:space="0"/>
              <w:right w:val="single" w:color="000000" w:sz="4" w:space="0"/>
            </w:tcBorders>
            <w:noWrap/>
          </w:tcPr>
          <w:p w14:paraId="3473F9DB">
            <w:pPr>
              <w:spacing w:line="240" w:lineRule="auto"/>
              <w:rPr>
                <w:rFonts w:hint="eastAsia" w:ascii="宋体" w:eastAsia="宋体" w:cs="宋体"/>
                <w:b/>
                <w:bCs/>
                <w:color w:val="auto"/>
                <w:sz w:val="24"/>
                <w:szCs w:val="32"/>
                <w:highlight w:val="none"/>
                <w:lang w:val="en-US" w:eastAsia="zh-CN"/>
              </w:rPr>
            </w:pPr>
          </w:p>
        </w:tc>
      </w:tr>
      <w:tr w14:paraId="048983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tcBorders>
              <w:top w:val="single" w:color="000000" w:sz="4" w:space="0"/>
              <w:left w:val="single" w:color="000000" w:sz="4" w:space="0"/>
              <w:bottom w:val="single" w:color="000000" w:sz="4" w:space="0"/>
              <w:right w:val="single" w:color="000000" w:sz="4" w:space="0"/>
            </w:tcBorders>
            <w:noWrap/>
          </w:tcPr>
          <w:p w14:paraId="1A7CEE42">
            <w:pPr>
              <w:spacing w:line="240" w:lineRule="auto"/>
              <w:jc w:val="center"/>
              <w:rPr>
                <w:rFonts w:ascii="宋体" w:eastAsia="宋体" w:cs="宋体"/>
                <w:b/>
                <w:bCs/>
                <w:color w:val="auto"/>
                <w:sz w:val="24"/>
                <w:szCs w:val="32"/>
                <w:highlight w:val="none"/>
                <w:lang w:val="en-US" w:eastAsia="zh-CN"/>
              </w:rPr>
            </w:pPr>
            <w:r>
              <w:rPr>
                <w:rFonts w:hint="eastAsia" w:ascii="宋体" w:eastAsia="宋体" w:cs="宋体"/>
                <w:b/>
                <w:bCs/>
                <w:color w:val="auto"/>
                <w:sz w:val="24"/>
                <w:szCs w:val="32"/>
                <w:highlight w:val="none"/>
                <w:lang w:val="en-US" w:eastAsia="zh-CN"/>
              </w:rPr>
              <w:t>设计负责人</w:t>
            </w:r>
          </w:p>
        </w:tc>
        <w:tc>
          <w:tcPr>
            <w:tcW w:w="1843" w:type="dxa"/>
            <w:tcBorders>
              <w:top w:val="single" w:color="000000" w:sz="4" w:space="0"/>
              <w:left w:val="single" w:color="000000" w:sz="4" w:space="0"/>
              <w:bottom w:val="single" w:color="000000" w:sz="4" w:space="0"/>
              <w:right w:val="single" w:color="000000" w:sz="4" w:space="0"/>
            </w:tcBorders>
            <w:noWrap/>
          </w:tcPr>
          <w:p w14:paraId="3A412C86">
            <w:pPr>
              <w:spacing w:line="240" w:lineRule="auto"/>
              <w:rPr>
                <w:rFonts w:hint="eastAsia" w:ascii="宋体" w:eastAsia="宋体" w:cs="宋体"/>
                <w:color w:val="auto"/>
                <w:highlight w:val="none"/>
                <w:u w:val="none"/>
              </w:rPr>
            </w:pPr>
            <w:r>
              <w:rPr>
                <w:rFonts w:hint="eastAsia" w:ascii="宋体" w:eastAsia="宋体" w:cs="宋体"/>
                <w:color w:val="auto"/>
                <w:highlight w:val="none"/>
                <w:u w:val="none"/>
              </w:rPr>
              <w:fldChar w:fldCharType="begin"/>
            </w:r>
            <w:r>
              <w:rPr>
                <w:rFonts w:hint="eastAsia" w:ascii="宋体" w:eastAsia="宋体" w:cs="宋体"/>
                <w:color w:val="auto"/>
                <w:highlight w:val="none"/>
                <w:u w:val="none"/>
              </w:rPr>
              <w:instrText xml:space="preserve">AUTOTEXT  input538 \* MERGEFORMAT</w:instrText>
            </w:r>
            <w:r>
              <w:rPr>
                <w:rFonts w:hint="eastAsia" w:ascii="宋体" w:eastAsia="宋体" w:cs="宋体"/>
                <w:color w:val="auto"/>
                <w:highlight w:val="none"/>
                <w:u w:val="none"/>
              </w:rPr>
              <w:fldChar w:fldCharType="separate"/>
            </w:r>
            <w:r>
              <w:rPr>
                <w:rFonts w:hint="eastAsia" w:ascii="宋体" w:eastAsia="宋体" w:cs="宋体"/>
                <w:color w:val="auto"/>
                <w:sz w:val="24"/>
                <w:szCs w:val="32"/>
                <w:highlight w:val="none"/>
                <w:u w:val="none"/>
              </w:rPr>
              <w:t>1</w:t>
            </w:r>
            <w:r>
              <w:rPr>
                <w:rFonts w:hint="eastAsia" w:ascii="宋体" w:eastAsia="宋体" w:cs="宋体"/>
                <w:color w:val="auto"/>
                <w:sz w:val="24"/>
                <w:szCs w:val="32"/>
                <w:highlight w:val="none"/>
                <w:u w:val="none"/>
              </w:rPr>
              <w:fldChar w:fldCharType="end"/>
            </w:r>
          </w:p>
        </w:tc>
        <w:tc>
          <w:tcPr>
            <w:tcW w:w="2126" w:type="dxa"/>
            <w:tcBorders>
              <w:top w:val="single" w:color="000000" w:sz="4" w:space="0"/>
              <w:left w:val="single" w:color="000000" w:sz="4" w:space="0"/>
              <w:bottom w:val="single" w:color="000000" w:sz="4" w:space="0"/>
              <w:right w:val="single" w:color="000000" w:sz="4" w:space="0"/>
            </w:tcBorders>
            <w:noWrap/>
          </w:tcPr>
          <w:p w14:paraId="7E9B5AD1">
            <w:pPr>
              <w:spacing w:line="240" w:lineRule="auto"/>
              <w:rPr>
                <w:rFonts w:hint="eastAsia" w:ascii="宋体" w:eastAsia="宋体" w:cs="宋体"/>
                <w:color w:val="auto"/>
                <w:sz w:val="24"/>
                <w:szCs w:val="32"/>
                <w:highlight w:val="none"/>
              </w:rPr>
            </w:pPr>
            <w:r>
              <w:rPr>
                <w:rFonts w:hint="eastAsia" w:ascii="宋体" w:eastAsia="宋体" w:cs="宋体"/>
                <w:color w:val="auto"/>
                <w:sz w:val="24"/>
                <w:szCs w:val="32"/>
                <w:highlight w:val="none"/>
              </w:rPr>
              <w:t>是：</w:t>
            </w:r>
            <w:r>
              <w:rPr>
                <w:rFonts w:hint="eastAsia" w:ascii="宋体" w:eastAsia="宋体" w:cs="宋体"/>
                <w:color w:val="auto"/>
                <w:highlight w:val="none"/>
              </w:rPr>
              <w:fldChar w:fldCharType="begin"/>
            </w:r>
            <w:r>
              <w:rPr>
                <w:rFonts w:hint="eastAsia" w:ascii="宋体" w:eastAsia="宋体" w:cs="宋体"/>
                <w:color w:val="auto"/>
                <w:highlight w:val="none"/>
              </w:rPr>
              <w:instrText xml:space="preserve">AUTOTEXT  input539 \* MERGEFORMAT</w:instrText>
            </w:r>
            <w:r>
              <w:rPr>
                <w:rFonts w:hint="eastAsia" w:ascii="宋体" w:eastAsia="宋体" w:cs="宋体"/>
                <w:color w:val="auto"/>
                <w:highlight w:val="none"/>
              </w:rPr>
              <w:fldChar w:fldCharType="separate"/>
            </w:r>
            <w:r>
              <w:rPr>
                <w:rFonts w:hint="eastAsia" w:ascii="宋体" w:eastAsia="宋体" w:cs="宋体"/>
                <w:color w:val="auto"/>
                <w:sz w:val="32"/>
                <w:szCs w:val="32"/>
                <w:highlight w:val="none"/>
              </w:rPr>
              <w:t>☑</w:t>
            </w:r>
            <w:r>
              <w:rPr>
                <w:rFonts w:hint="eastAsia" w:ascii="宋体" w:eastAsia="宋体" w:cs="宋体"/>
                <w:color w:val="auto"/>
                <w:sz w:val="32"/>
                <w:szCs w:val="32"/>
                <w:highlight w:val="none"/>
              </w:rPr>
              <w:fldChar w:fldCharType="end"/>
            </w:r>
          </w:p>
        </w:tc>
        <w:tc>
          <w:tcPr>
            <w:tcW w:w="1933" w:type="dxa"/>
            <w:tcBorders>
              <w:top w:val="single" w:color="000000" w:sz="4" w:space="0"/>
              <w:left w:val="single" w:color="000000" w:sz="4" w:space="0"/>
              <w:bottom w:val="single" w:color="000000" w:sz="4" w:space="0"/>
              <w:right w:val="single" w:color="000000" w:sz="4" w:space="0"/>
            </w:tcBorders>
            <w:noWrap/>
          </w:tcPr>
          <w:p w14:paraId="028C353E">
            <w:pPr>
              <w:spacing w:line="240" w:lineRule="auto"/>
              <w:rPr>
                <w:rFonts w:hint="eastAsia" w:ascii="宋体" w:eastAsia="宋体" w:cs="宋体"/>
                <w:color w:val="auto"/>
                <w:sz w:val="24"/>
                <w:szCs w:val="32"/>
                <w:highlight w:val="none"/>
              </w:rPr>
            </w:pPr>
            <w:r>
              <w:rPr>
                <w:rFonts w:hint="eastAsia" w:ascii="宋体" w:cs="宋体"/>
                <w:color w:val="auto"/>
                <w:sz w:val="24"/>
                <w:szCs w:val="32"/>
                <w:highlight w:val="none"/>
                <w:lang w:val="en-US" w:eastAsia="zh-CN"/>
              </w:rPr>
              <w:t>专</w:t>
            </w:r>
            <w:r>
              <w:rPr>
                <w:rFonts w:hint="eastAsia" w:ascii="宋体" w:eastAsia="宋体" w:cs="宋体"/>
                <w:color w:val="auto"/>
                <w:sz w:val="24"/>
                <w:szCs w:val="32"/>
                <w:highlight w:val="none"/>
              </w:rPr>
              <w:t>职：</w:t>
            </w:r>
            <w:r>
              <w:rPr>
                <w:rFonts w:hint="eastAsia" w:ascii="宋体" w:eastAsia="宋体" w:cs="宋体"/>
                <w:color w:val="auto"/>
                <w:highlight w:val="none"/>
              </w:rPr>
              <w:fldChar w:fldCharType="begin"/>
            </w:r>
            <w:r>
              <w:rPr>
                <w:rFonts w:hint="eastAsia" w:ascii="宋体" w:eastAsia="宋体" w:cs="宋体"/>
                <w:color w:val="auto"/>
                <w:highlight w:val="none"/>
              </w:rPr>
              <w:instrText xml:space="preserve">AUTOTEXT  input539 \* MERGEFORMAT</w:instrText>
            </w:r>
            <w:r>
              <w:rPr>
                <w:rFonts w:hint="eastAsia" w:ascii="宋体" w:eastAsia="宋体" w:cs="宋体"/>
                <w:color w:val="auto"/>
                <w:highlight w:val="none"/>
              </w:rPr>
              <w:fldChar w:fldCharType="separate"/>
            </w:r>
            <w:r>
              <w:rPr>
                <w:rFonts w:hint="eastAsia" w:ascii="宋体" w:cs="宋体"/>
                <w:color w:val="auto"/>
                <w:sz w:val="32"/>
                <w:szCs w:val="32"/>
                <w:highlight w:val="none"/>
                <w:lang w:eastAsia="zh-CN"/>
              </w:rPr>
              <w:t>☑</w:t>
            </w:r>
            <w:r>
              <w:rPr>
                <w:rFonts w:hint="eastAsia" w:ascii="宋体" w:eastAsia="宋体" w:cs="宋体"/>
                <w:color w:val="auto"/>
                <w:sz w:val="32"/>
                <w:szCs w:val="32"/>
                <w:highlight w:val="none"/>
              </w:rPr>
              <w:fldChar w:fldCharType="end"/>
            </w:r>
          </w:p>
        </w:tc>
        <w:tc>
          <w:tcPr>
            <w:tcW w:w="1858" w:type="dxa"/>
            <w:vMerge w:val="restart"/>
            <w:tcBorders>
              <w:top w:val="single" w:color="000000" w:sz="4" w:space="0"/>
              <w:left w:val="single" w:color="000000" w:sz="4" w:space="0"/>
              <w:bottom w:val="single" w:color="000000" w:sz="4" w:space="0"/>
              <w:right w:val="single" w:color="000000" w:sz="4" w:space="0"/>
            </w:tcBorders>
            <w:noWrap/>
          </w:tcPr>
          <w:p w14:paraId="39FD54D8">
            <w:pPr>
              <w:spacing w:line="240" w:lineRule="auto"/>
              <w:rPr>
                <w:rFonts w:ascii="宋体" w:eastAsia="宋体" w:cs="宋体"/>
                <w:color w:val="auto"/>
                <w:sz w:val="24"/>
                <w:szCs w:val="32"/>
                <w:highlight w:val="none"/>
                <w:lang w:val="en-US" w:eastAsia="zh-CN"/>
              </w:rPr>
            </w:pPr>
            <w:r>
              <w:rPr>
                <w:rFonts w:hint="eastAsia" w:ascii="宋体" w:eastAsia="宋体" w:cs="宋体"/>
                <w:b/>
                <w:bCs/>
                <w:color w:val="auto"/>
                <w:sz w:val="24"/>
                <w:szCs w:val="32"/>
                <w:highlight w:val="none"/>
                <w:lang w:val="en-US" w:eastAsia="zh-CN"/>
              </w:rPr>
              <w:t>由设计单位负责提供相关人员证明材料</w:t>
            </w:r>
            <w:r>
              <w:rPr>
                <w:rFonts w:hint="eastAsia" w:ascii="宋体" w:eastAsia="宋体" w:cs="宋体"/>
                <w:b/>
                <w:bCs/>
                <w:color w:val="auto"/>
                <w:sz w:val="24"/>
                <w:szCs w:val="32"/>
                <w:highlight w:val="none"/>
              </w:rPr>
              <w:fldChar w:fldCharType="begin"/>
            </w:r>
            <w:r>
              <w:rPr>
                <w:rFonts w:hint="eastAsia" w:ascii="宋体" w:eastAsia="宋体" w:cs="宋体"/>
                <w:b/>
                <w:bCs/>
                <w:color w:val="auto"/>
                <w:sz w:val="24"/>
                <w:szCs w:val="32"/>
                <w:highlight w:val="none"/>
              </w:rPr>
              <w:instrText xml:space="preserve">AUTOTEXT  input543 \* MERGEFORMAT</w:instrText>
            </w:r>
            <w:r>
              <w:rPr>
                <w:rFonts w:hint="eastAsia" w:ascii="宋体" w:eastAsia="宋体" w:cs="宋体"/>
                <w:b/>
                <w:bCs/>
                <w:color w:val="auto"/>
                <w:sz w:val="24"/>
                <w:szCs w:val="32"/>
                <w:highlight w:val="none"/>
              </w:rPr>
              <w:fldChar w:fldCharType="separate"/>
            </w:r>
            <w:r>
              <w:rPr>
                <w:rFonts w:hint="eastAsia" w:ascii="宋体" w:eastAsia="宋体" w:cs="宋体"/>
                <w:b/>
                <w:bCs/>
                <w:color w:val="auto"/>
                <w:sz w:val="24"/>
                <w:szCs w:val="32"/>
                <w:highlight w:val="none"/>
              </w:rPr>
              <w:fldChar w:fldCharType="end"/>
            </w:r>
          </w:p>
        </w:tc>
      </w:tr>
      <w:tr w14:paraId="1C6267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tcBorders>
              <w:top w:val="single" w:color="000000" w:sz="4" w:space="0"/>
              <w:left w:val="single" w:color="000000" w:sz="4" w:space="0"/>
              <w:bottom w:val="single" w:color="000000" w:sz="4" w:space="0"/>
              <w:right w:val="single" w:color="000000" w:sz="4" w:space="0"/>
            </w:tcBorders>
            <w:noWrap/>
          </w:tcPr>
          <w:p w14:paraId="2539B253">
            <w:pPr>
              <w:spacing w:line="240" w:lineRule="auto"/>
              <w:jc w:val="center"/>
              <w:rPr>
                <w:rFonts w:hint="default" w:ascii="宋体" w:eastAsia="宋体" w:cs="宋体"/>
                <w:b/>
                <w:bCs/>
                <w:color w:val="auto"/>
                <w:sz w:val="24"/>
                <w:szCs w:val="32"/>
                <w:highlight w:val="none"/>
                <w:lang w:val="en-US"/>
              </w:rPr>
            </w:pPr>
            <w:r>
              <w:rPr>
                <w:rFonts w:hint="eastAsia" w:ascii="宋体" w:cs="宋体"/>
                <w:b/>
                <w:bCs/>
                <w:color w:val="auto"/>
                <w:kern w:val="36"/>
                <w:sz w:val="24"/>
                <w:szCs w:val="24"/>
                <w:highlight w:val="none"/>
                <w:lang w:val="en-US" w:eastAsia="zh-CN"/>
              </w:rPr>
              <w:t>市政行业</w:t>
            </w:r>
          </w:p>
        </w:tc>
        <w:tc>
          <w:tcPr>
            <w:tcW w:w="1843" w:type="dxa"/>
            <w:tcBorders>
              <w:top w:val="single" w:color="000000" w:sz="4" w:space="0"/>
              <w:left w:val="single" w:color="000000" w:sz="4" w:space="0"/>
              <w:bottom w:val="single" w:color="000000" w:sz="4" w:space="0"/>
              <w:right w:val="single" w:color="000000" w:sz="4" w:space="0"/>
            </w:tcBorders>
            <w:noWrap/>
          </w:tcPr>
          <w:p w14:paraId="5C179FC1">
            <w:pPr>
              <w:spacing w:line="240" w:lineRule="auto"/>
              <w:rPr>
                <w:rFonts w:hint="eastAsia" w:ascii="宋体" w:eastAsia="宋体" w:cs="宋体"/>
                <w:color w:val="auto"/>
                <w:highlight w:val="none"/>
                <w:u w:val="none"/>
                <w:lang w:eastAsia="zh-CN"/>
              </w:rPr>
            </w:pPr>
            <w:r>
              <w:rPr>
                <w:rFonts w:hint="eastAsia" w:ascii="宋体" w:cs="宋体"/>
                <w:color w:val="auto"/>
                <w:highlight w:val="none"/>
                <w:u w:val="none"/>
                <w:lang w:val="en-US" w:eastAsia="zh-CN"/>
              </w:rPr>
              <w:t>1</w:t>
            </w:r>
          </w:p>
        </w:tc>
        <w:tc>
          <w:tcPr>
            <w:tcW w:w="2126" w:type="dxa"/>
            <w:tcBorders>
              <w:top w:val="single" w:color="000000" w:sz="4" w:space="0"/>
              <w:left w:val="single" w:color="000000" w:sz="4" w:space="0"/>
              <w:bottom w:val="single" w:color="000000" w:sz="4" w:space="0"/>
              <w:right w:val="single" w:color="000000" w:sz="4" w:space="0"/>
            </w:tcBorders>
            <w:noWrap/>
          </w:tcPr>
          <w:p w14:paraId="56F09029">
            <w:pPr>
              <w:spacing w:line="240" w:lineRule="auto"/>
              <w:rPr>
                <w:rFonts w:hint="eastAsia" w:ascii="宋体" w:eastAsia="宋体" w:cs="宋体"/>
                <w:color w:val="auto"/>
                <w:sz w:val="24"/>
                <w:szCs w:val="32"/>
                <w:highlight w:val="none"/>
              </w:rPr>
            </w:pPr>
            <w:r>
              <w:rPr>
                <w:rFonts w:hint="eastAsia" w:ascii="宋体" w:eastAsia="宋体" w:cs="宋体"/>
                <w:color w:val="auto"/>
                <w:sz w:val="24"/>
                <w:szCs w:val="32"/>
                <w:highlight w:val="none"/>
              </w:rPr>
              <w:t>是：</w:t>
            </w:r>
            <w:r>
              <w:rPr>
                <w:rFonts w:hint="eastAsia" w:ascii="宋体" w:eastAsia="宋体" w:cs="宋体"/>
                <w:color w:val="auto"/>
                <w:highlight w:val="none"/>
              </w:rPr>
              <w:fldChar w:fldCharType="begin"/>
            </w:r>
            <w:r>
              <w:rPr>
                <w:rFonts w:hint="eastAsia" w:ascii="宋体" w:eastAsia="宋体" w:cs="宋体"/>
                <w:color w:val="auto"/>
                <w:highlight w:val="none"/>
              </w:rPr>
              <w:instrText xml:space="preserve">AUTOTEXT  input539 \* MERGEFORMAT</w:instrText>
            </w:r>
            <w:r>
              <w:rPr>
                <w:rFonts w:hint="eastAsia" w:ascii="宋体" w:eastAsia="宋体" w:cs="宋体"/>
                <w:color w:val="auto"/>
                <w:highlight w:val="none"/>
              </w:rPr>
              <w:fldChar w:fldCharType="separate"/>
            </w:r>
            <w:r>
              <w:rPr>
                <w:rFonts w:hint="eastAsia" w:ascii="宋体" w:eastAsia="宋体" w:cs="宋体"/>
                <w:color w:val="auto"/>
                <w:sz w:val="32"/>
                <w:szCs w:val="32"/>
                <w:highlight w:val="none"/>
              </w:rPr>
              <w:t>☑</w:t>
            </w:r>
            <w:r>
              <w:rPr>
                <w:rFonts w:hint="eastAsia" w:ascii="宋体" w:eastAsia="宋体" w:cs="宋体"/>
                <w:color w:val="auto"/>
                <w:sz w:val="32"/>
                <w:szCs w:val="32"/>
                <w:highlight w:val="none"/>
              </w:rPr>
              <w:fldChar w:fldCharType="end"/>
            </w:r>
          </w:p>
        </w:tc>
        <w:tc>
          <w:tcPr>
            <w:tcW w:w="1933" w:type="dxa"/>
            <w:tcBorders>
              <w:top w:val="single" w:color="000000" w:sz="4" w:space="0"/>
              <w:left w:val="single" w:color="000000" w:sz="4" w:space="0"/>
              <w:bottom w:val="single" w:color="000000" w:sz="4" w:space="0"/>
              <w:right w:val="single" w:color="000000" w:sz="4" w:space="0"/>
            </w:tcBorders>
            <w:noWrap/>
          </w:tcPr>
          <w:p w14:paraId="7633EA97">
            <w:pPr>
              <w:spacing w:line="240" w:lineRule="auto"/>
              <w:rPr>
                <w:rFonts w:hint="eastAsia" w:ascii="宋体" w:eastAsia="宋体" w:cs="宋体"/>
                <w:color w:val="auto"/>
                <w:sz w:val="24"/>
                <w:szCs w:val="32"/>
                <w:highlight w:val="none"/>
              </w:rPr>
            </w:pPr>
            <w:r>
              <w:rPr>
                <w:rFonts w:hint="eastAsia" w:ascii="宋体" w:eastAsia="宋体" w:cs="宋体"/>
                <w:color w:val="auto"/>
                <w:sz w:val="24"/>
                <w:szCs w:val="32"/>
                <w:highlight w:val="none"/>
                <w:lang w:val="en-US" w:eastAsia="zh-CN"/>
              </w:rPr>
              <w:t>兼</w:t>
            </w:r>
            <w:r>
              <w:rPr>
                <w:rFonts w:hint="eastAsia" w:ascii="宋体" w:eastAsia="宋体" w:cs="宋体"/>
                <w:color w:val="auto"/>
                <w:sz w:val="24"/>
                <w:szCs w:val="32"/>
                <w:highlight w:val="none"/>
              </w:rPr>
              <w:t>职：</w:t>
            </w:r>
            <w:r>
              <w:rPr>
                <w:rFonts w:hint="eastAsia" w:ascii="宋体" w:eastAsia="宋体" w:cs="宋体"/>
                <w:color w:val="auto"/>
                <w:highlight w:val="none"/>
              </w:rPr>
              <w:fldChar w:fldCharType="begin"/>
            </w:r>
            <w:r>
              <w:rPr>
                <w:rFonts w:hint="eastAsia" w:ascii="宋体" w:eastAsia="宋体" w:cs="宋体"/>
                <w:color w:val="auto"/>
                <w:highlight w:val="none"/>
              </w:rPr>
              <w:instrText xml:space="preserve">AUTOTEXT  input539 \* MERGEFORMAT</w:instrText>
            </w:r>
            <w:r>
              <w:rPr>
                <w:rFonts w:hint="eastAsia" w:ascii="宋体" w:eastAsia="宋体" w:cs="宋体"/>
                <w:color w:val="auto"/>
                <w:highlight w:val="none"/>
              </w:rPr>
              <w:fldChar w:fldCharType="separate"/>
            </w:r>
            <w:r>
              <w:rPr>
                <w:rFonts w:hint="eastAsia" w:ascii="宋体" w:cs="宋体"/>
                <w:color w:val="auto"/>
                <w:sz w:val="32"/>
                <w:szCs w:val="32"/>
                <w:highlight w:val="none"/>
                <w:lang w:eastAsia="zh-CN"/>
              </w:rPr>
              <w:t>☑</w:t>
            </w:r>
            <w:r>
              <w:rPr>
                <w:rFonts w:hint="eastAsia" w:ascii="宋体" w:eastAsia="宋体" w:cs="宋体"/>
                <w:color w:val="auto"/>
                <w:sz w:val="32"/>
                <w:szCs w:val="32"/>
                <w:highlight w:val="none"/>
              </w:rPr>
              <w:fldChar w:fldCharType="end"/>
            </w:r>
          </w:p>
        </w:tc>
        <w:tc>
          <w:tcPr>
            <w:tcW w:w="1858" w:type="dxa"/>
            <w:vMerge w:val="continue"/>
            <w:tcBorders>
              <w:top w:val="single" w:color="000000" w:sz="4" w:space="0"/>
              <w:left w:val="single" w:color="000000" w:sz="4" w:space="0"/>
              <w:bottom w:val="single" w:color="000000" w:sz="4" w:space="0"/>
              <w:right w:val="single" w:color="000000" w:sz="4" w:space="0"/>
            </w:tcBorders>
            <w:noWrap/>
          </w:tcPr>
          <w:p w14:paraId="76D64714">
            <w:pPr>
              <w:rPr>
                <w:color w:val="auto"/>
              </w:rPr>
            </w:pPr>
          </w:p>
        </w:tc>
      </w:tr>
      <w:tr w14:paraId="5240CC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1526" w:type="dxa"/>
            <w:tcBorders>
              <w:top w:val="single" w:color="000000" w:sz="4" w:space="0"/>
              <w:left w:val="single" w:color="000000" w:sz="4" w:space="0"/>
              <w:bottom w:val="single" w:color="000000" w:sz="4" w:space="0"/>
              <w:right w:val="single" w:color="000000" w:sz="4" w:space="0"/>
            </w:tcBorders>
            <w:noWrap/>
          </w:tcPr>
          <w:p w14:paraId="5AC01AB5">
            <w:pPr>
              <w:spacing w:line="240" w:lineRule="auto"/>
              <w:jc w:val="center"/>
              <w:rPr>
                <w:rFonts w:hint="eastAsia" w:ascii="宋体" w:eastAsia="宋体" w:cs="宋体"/>
                <w:b/>
                <w:bCs/>
                <w:color w:val="auto"/>
                <w:sz w:val="24"/>
                <w:szCs w:val="32"/>
                <w:highlight w:val="none"/>
              </w:rPr>
            </w:pPr>
            <w:r>
              <w:rPr>
                <w:rFonts w:hint="eastAsia" w:ascii="宋体" w:eastAsia="宋体" w:cs="宋体"/>
                <w:b/>
                <w:bCs/>
                <w:color w:val="auto"/>
                <w:sz w:val="24"/>
                <w:szCs w:val="32"/>
                <w:highlight w:val="none"/>
              </w:rPr>
              <w:t>项目负责人</w:t>
            </w:r>
          </w:p>
        </w:tc>
        <w:tc>
          <w:tcPr>
            <w:tcW w:w="1843" w:type="dxa"/>
            <w:tcBorders>
              <w:top w:val="single" w:color="000000" w:sz="4" w:space="0"/>
              <w:left w:val="single" w:color="000000" w:sz="4" w:space="0"/>
              <w:bottom w:val="single" w:color="000000" w:sz="4" w:space="0"/>
              <w:right w:val="single" w:color="000000" w:sz="4" w:space="0"/>
            </w:tcBorders>
            <w:noWrap/>
          </w:tcPr>
          <w:p w14:paraId="0EBB666E">
            <w:pPr>
              <w:spacing w:line="240" w:lineRule="auto"/>
              <w:rPr>
                <w:rFonts w:hint="eastAsia" w:ascii="宋体" w:eastAsia="宋体" w:cs="宋体"/>
                <w:color w:val="auto"/>
                <w:sz w:val="24"/>
                <w:szCs w:val="32"/>
                <w:highlight w:val="none"/>
                <w:u w:val="none"/>
              </w:rPr>
            </w:pPr>
            <w:r>
              <w:rPr>
                <w:rFonts w:hint="eastAsia" w:ascii="宋体" w:eastAsia="宋体" w:cs="宋体"/>
                <w:color w:val="auto"/>
                <w:highlight w:val="none"/>
                <w:u w:val="none"/>
              </w:rPr>
              <w:fldChar w:fldCharType="begin"/>
            </w:r>
            <w:r>
              <w:rPr>
                <w:rFonts w:hint="eastAsia" w:ascii="宋体" w:eastAsia="宋体" w:cs="宋体"/>
                <w:color w:val="auto"/>
                <w:highlight w:val="none"/>
                <w:u w:val="none"/>
              </w:rPr>
              <w:instrText xml:space="preserve">AUTOTEXT  input538 \* MERGEFORMAT</w:instrText>
            </w:r>
            <w:r>
              <w:rPr>
                <w:rFonts w:hint="eastAsia" w:ascii="宋体" w:eastAsia="宋体" w:cs="宋体"/>
                <w:color w:val="auto"/>
                <w:highlight w:val="none"/>
                <w:u w:val="none"/>
              </w:rPr>
              <w:fldChar w:fldCharType="separate"/>
            </w:r>
            <w:r>
              <w:rPr>
                <w:rFonts w:hint="eastAsia" w:ascii="宋体" w:eastAsia="宋体" w:cs="宋体"/>
                <w:color w:val="auto"/>
                <w:sz w:val="24"/>
                <w:szCs w:val="32"/>
                <w:highlight w:val="none"/>
                <w:u w:val="none"/>
              </w:rPr>
              <w:t>1</w:t>
            </w:r>
            <w:r>
              <w:rPr>
                <w:rFonts w:hint="eastAsia" w:ascii="宋体" w:eastAsia="宋体" w:cs="宋体"/>
                <w:color w:val="auto"/>
                <w:sz w:val="24"/>
                <w:szCs w:val="32"/>
                <w:highlight w:val="none"/>
                <w:u w:val="none"/>
              </w:rPr>
              <w:fldChar w:fldCharType="end"/>
            </w:r>
          </w:p>
        </w:tc>
        <w:tc>
          <w:tcPr>
            <w:tcW w:w="2126" w:type="dxa"/>
            <w:tcBorders>
              <w:top w:val="single" w:color="000000" w:sz="4" w:space="0"/>
              <w:left w:val="single" w:color="000000" w:sz="4" w:space="0"/>
              <w:bottom w:val="single" w:color="000000" w:sz="4" w:space="0"/>
              <w:right w:val="single" w:color="000000" w:sz="4" w:space="0"/>
            </w:tcBorders>
            <w:noWrap/>
          </w:tcPr>
          <w:p w14:paraId="25EEC889">
            <w:pPr>
              <w:spacing w:line="240" w:lineRule="auto"/>
              <w:rPr>
                <w:rFonts w:hint="eastAsia" w:ascii="宋体" w:eastAsia="宋体" w:cs="宋体"/>
                <w:color w:val="auto"/>
                <w:sz w:val="24"/>
                <w:szCs w:val="32"/>
                <w:highlight w:val="none"/>
              </w:rPr>
            </w:pPr>
            <w:r>
              <w:rPr>
                <w:rFonts w:hint="eastAsia" w:ascii="宋体" w:eastAsia="宋体" w:cs="宋体"/>
                <w:color w:val="auto"/>
                <w:sz w:val="24"/>
                <w:szCs w:val="32"/>
                <w:highlight w:val="none"/>
              </w:rPr>
              <w:t>是：</w:t>
            </w:r>
            <w:r>
              <w:rPr>
                <w:rFonts w:hint="eastAsia" w:ascii="宋体" w:eastAsia="宋体" w:cs="宋体"/>
                <w:color w:val="auto"/>
                <w:highlight w:val="none"/>
              </w:rPr>
              <w:fldChar w:fldCharType="begin"/>
            </w:r>
            <w:r>
              <w:rPr>
                <w:rFonts w:hint="eastAsia" w:ascii="宋体" w:eastAsia="宋体" w:cs="宋体"/>
                <w:color w:val="auto"/>
                <w:highlight w:val="none"/>
              </w:rPr>
              <w:instrText xml:space="preserve">AUTOTEXT  input539 \* MERGEFORMAT</w:instrText>
            </w:r>
            <w:r>
              <w:rPr>
                <w:rFonts w:hint="eastAsia" w:ascii="宋体" w:eastAsia="宋体" w:cs="宋体"/>
                <w:color w:val="auto"/>
                <w:highlight w:val="none"/>
              </w:rPr>
              <w:fldChar w:fldCharType="separate"/>
            </w:r>
            <w:r>
              <w:rPr>
                <w:rFonts w:hint="eastAsia" w:ascii="宋体" w:eastAsia="宋体" w:cs="宋体"/>
                <w:color w:val="auto"/>
                <w:sz w:val="32"/>
                <w:szCs w:val="32"/>
                <w:highlight w:val="none"/>
              </w:rPr>
              <w:t>☑</w:t>
            </w:r>
            <w:r>
              <w:rPr>
                <w:rFonts w:hint="eastAsia" w:ascii="宋体" w:eastAsia="宋体" w:cs="宋体"/>
                <w:color w:val="auto"/>
                <w:sz w:val="32"/>
                <w:szCs w:val="32"/>
                <w:highlight w:val="none"/>
              </w:rPr>
              <w:fldChar w:fldCharType="end"/>
            </w:r>
          </w:p>
        </w:tc>
        <w:tc>
          <w:tcPr>
            <w:tcW w:w="1933" w:type="dxa"/>
            <w:tcBorders>
              <w:top w:val="single" w:color="000000" w:sz="4" w:space="0"/>
              <w:left w:val="single" w:color="000000" w:sz="4" w:space="0"/>
              <w:bottom w:val="single" w:color="000000" w:sz="4" w:space="0"/>
              <w:right w:val="single" w:color="000000" w:sz="4" w:space="0"/>
            </w:tcBorders>
            <w:noWrap/>
          </w:tcPr>
          <w:p w14:paraId="491F5343">
            <w:pPr>
              <w:spacing w:line="240" w:lineRule="auto"/>
              <w:rPr>
                <w:rFonts w:hint="eastAsia" w:ascii="宋体" w:eastAsia="宋体" w:cs="宋体"/>
                <w:color w:val="auto"/>
                <w:sz w:val="24"/>
                <w:szCs w:val="32"/>
                <w:highlight w:val="none"/>
              </w:rPr>
            </w:pPr>
            <w:r>
              <w:rPr>
                <w:rFonts w:hint="eastAsia" w:ascii="宋体" w:eastAsia="宋体" w:cs="宋体"/>
                <w:color w:val="auto"/>
                <w:sz w:val="24"/>
                <w:szCs w:val="32"/>
                <w:highlight w:val="none"/>
              </w:rPr>
              <w:t>专职：</w:t>
            </w:r>
            <w:r>
              <w:rPr>
                <w:rFonts w:hint="eastAsia" w:ascii="宋体" w:eastAsia="宋体" w:cs="宋体"/>
                <w:color w:val="auto"/>
                <w:highlight w:val="none"/>
              </w:rPr>
              <w:fldChar w:fldCharType="begin"/>
            </w:r>
            <w:r>
              <w:rPr>
                <w:rFonts w:hint="eastAsia" w:ascii="宋体" w:eastAsia="宋体" w:cs="宋体"/>
                <w:color w:val="auto"/>
                <w:highlight w:val="none"/>
              </w:rPr>
              <w:instrText xml:space="preserve">AUTOTEXT  input541 \* MERGEFORMAT</w:instrText>
            </w:r>
            <w:r>
              <w:rPr>
                <w:rFonts w:hint="eastAsia" w:ascii="宋体" w:eastAsia="宋体" w:cs="宋体"/>
                <w:color w:val="auto"/>
                <w:highlight w:val="none"/>
              </w:rPr>
              <w:fldChar w:fldCharType="separate"/>
            </w:r>
            <w:r>
              <w:rPr>
                <w:rFonts w:hint="eastAsia" w:ascii="宋体" w:cs="宋体"/>
                <w:color w:val="auto"/>
                <w:sz w:val="32"/>
                <w:szCs w:val="32"/>
                <w:highlight w:val="none"/>
                <w:lang w:eastAsia="zh-CN"/>
              </w:rPr>
              <w:t>☑</w:t>
            </w:r>
            <w:r>
              <w:rPr>
                <w:rFonts w:hint="eastAsia" w:ascii="宋体" w:eastAsia="宋体" w:cs="宋体"/>
                <w:color w:val="auto"/>
                <w:sz w:val="32"/>
                <w:szCs w:val="32"/>
                <w:highlight w:val="none"/>
              </w:rPr>
              <w:fldChar w:fldCharType="end"/>
            </w:r>
          </w:p>
        </w:tc>
        <w:tc>
          <w:tcPr>
            <w:tcW w:w="1858" w:type="dxa"/>
            <w:vMerge w:val="restart"/>
            <w:tcBorders>
              <w:top w:val="single" w:color="000000" w:sz="4" w:space="0"/>
              <w:left w:val="single" w:color="000000" w:sz="4" w:space="0"/>
              <w:bottom w:val="single" w:color="000000" w:sz="4" w:space="0"/>
              <w:right w:val="single" w:color="000000" w:sz="4" w:space="0"/>
            </w:tcBorders>
            <w:noWrap/>
          </w:tcPr>
          <w:p w14:paraId="7205BD04">
            <w:pPr>
              <w:spacing w:line="240" w:lineRule="auto"/>
              <w:rPr>
                <w:rFonts w:hint="eastAsia" w:ascii="宋体" w:eastAsia="宋体" w:cs="宋体"/>
                <w:color w:val="auto"/>
                <w:sz w:val="24"/>
                <w:szCs w:val="32"/>
                <w:highlight w:val="none"/>
                <w:lang w:val="en-US" w:eastAsia="zh-CN"/>
              </w:rPr>
            </w:pPr>
          </w:p>
          <w:p w14:paraId="661620C7">
            <w:pPr>
              <w:spacing w:line="240" w:lineRule="auto"/>
              <w:rPr>
                <w:rFonts w:hint="eastAsia" w:ascii="宋体" w:eastAsia="宋体" w:cs="宋体"/>
                <w:color w:val="auto"/>
                <w:sz w:val="24"/>
                <w:szCs w:val="32"/>
                <w:highlight w:val="none"/>
                <w:lang w:val="en-US" w:eastAsia="zh-CN"/>
              </w:rPr>
            </w:pPr>
          </w:p>
          <w:p w14:paraId="11DF40F5">
            <w:pPr>
              <w:spacing w:line="240" w:lineRule="auto"/>
              <w:rPr>
                <w:rFonts w:hint="eastAsia" w:ascii="宋体" w:eastAsia="宋体" w:cs="宋体"/>
                <w:color w:val="auto"/>
                <w:sz w:val="24"/>
                <w:szCs w:val="32"/>
                <w:highlight w:val="none"/>
                <w:lang w:val="en-US" w:eastAsia="zh-CN"/>
              </w:rPr>
            </w:pPr>
          </w:p>
          <w:p w14:paraId="261F95AC">
            <w:pPr>
              <w:spacing w:line="240" w:lineRule="auto"/>
              <w:rPr>
                <w:rFonts w:hint="eastAsia" w:ascii="宋体" w:eastAsia="宋体" w:cs="宋体"/>
                <w:b/>
                <w:bCs/>
                <w:color w:val="auto"/>
                <w:sz w:val="24"/>
                <w:szCs w:val="32"/>
                <w:highlight w:val="none"/>
                <w:lang w:val="en-US" w:eastAsia="zh-CN"/>
              </w:rPr>
            </w:pPr>
            <w:r>
              <w:rPr>
                <w:rFonts w:hint="eastAsia" w:ascii="宋体" w:eastAsia="宋体" w:cs="宋体"/>
                <w:b/>
                <w:bCs/>
                <w:color w:val="auto"/>
                <w:sz w:val="24"/>
                <w:szCs w:val="32"/>
                <w:highlight w:val="none"/>
                <w:lang w:val="en-US" w:eastAsia="zh-CN"/>
              </w:rPr>
              <w:t>由施工单位负责提供相关人员证明材料</w:t>
            </w:r>
            <w:r>
              <w:rPr>
                <w:rFonts w:hint="eastAsia" w:ascii="宋体" w:eastAsia="宋体" w:cs="宋体"/>
                <w:b/>
                <w:bCs/>
                <w:color w:val="auto"/>
                <w:sz w:val="24"/>
                <w:szCs w:val="32"/>
                <w:highlight w:val="none"/>
              </w:rPr>
              <w:fldChar w:fldCharType="begin"/>
            </w:r>
            <w:r>
              <w:rPr>
                <w:rFonts w:hint="eastAsia" w:ascii="宋体" w:eastAsia="宋体" w:cs="宋体"/>
                <w:b/>
                <w:bCs/>
                <w:color w:val="auto"/>
                <w:sz w:val="24"/>
                <w:szCs w:val="32"/>
                <w:highlight w:val="none"/>
              </w:rPr>
              <w:instrText xml:space="preserve">AUTOTEXT  input543 \* MERGEFORMAT</w:instrText>
            </w:r>
            <w:r>
              <w:rPr>
                <w:rFonts w:hint="eastAsia" w:ascii="宋体" w:eastAsia="宋体" w:cs="宋体"/>
                <w:b/>
                <w:bCs/>
                <w:color w:val="auto"/>
                <w:sz w:val="24"/>
                <w:szCs w:val="32"/>
                <w:highlight w:val="none"/>
              </w:rPr>
              <w:fldChar w:fldCharType="separate"/>
            </w:r>
            <w:r>
              <w:rPr>
                <w:rFonts w:hint="eastAsia" w:ascii="宋体" w:eastAsia="宋体" w:cs="宋体"/>
                <w:b/>
                <w:bCs/>
                <w:color w:val="auto"/>
                <w:sz w:val="24"/>
                <w:szCs w:val="32"/>
                <w:highlight w:val="none"/>
              </w:rPr>
              <w:fldChar w:fldCharType="end"/>
            </w:r>
          </w:p>
          <w:p w14:paraId="687D5F67">
            <w:pPr>
              <w:spacing w:line="240" w:lineRule="auto"/>
              <w:rPr>
                <w:rFonts w:hint="eastAsia" w:ascii="宋体" w:eastAsia="宋体" w:cs="宋体"/>
                <w:color w:val="auto"/>
                <w:sz w:val="24"/>
                <w:szCs w:val="32"/>
                <w:highlight w:val="none"/>
              </w:rPr>
            </w:pPr>
            <w:r>
              <w:rPr>
                <w:rFonts w:hint="eastAsia" w:ascii="宋体" w:eastAsia="宋体" w:cs="宋体"/>
                <w:color w:val="auto"/>
                <w:sz w:val="24"/>
                <w:szCs w:val="32"/>
                <w:highlight w:val="none"/>
                <w:u w:val="single"/>
              </w:rPr>
              <w:fldChar w:fldCharType="begin"/>
            </w:r>
            <w:r>
              <w:rPr>
                <w:rFonts w:hint="eastAsia" w:ascii="宋体" w:eastAsia="宋体" w:cs="宋体"/>
                <w:color w:val="auto"/>
                <w:sz w:val="24"/>
                <w:szCs w:val="32"/>
                <w:highlight w:val="none"/>
                <w:u w:val="single"/>
              </w:rPr>
              <w:instrText xml:space="preserve">AUTOTEXT  input549 \* MERGEFORMAT</w:instrText>
            </w:r>
            <w:r>
              <w:rPr>
                <w:rFonts w:hint="eastAsia" w:ascii="宋体" w:eastAsia="宋体" w:cs="宋体"/>
                <w:color w:val="auto"/>
                <w:sz w:val="24"/>
                <w:szCs w:val="32"/>
                <w:highlight w:val="none"/>
                <w:u w:val="single"/>
              </w:rPr>
              <w:fldChar w:fldCharType="separate"/>
            </w:r>
            <w:r>
              <w:rPr>
                <w:rFonts w:hint="eastAsia" w:ascii="宋体" w:eastAsia="宋体" w:cs="宋体"/>
                <w:color w:val="auto"/>
                <w:sz w:val="24"/>
                <w:szCs w:val="32"/>
                <w:highlight w:val="none"/>
                <w:u w:val="single"/>
              </w:rPr>
              <w:fldChar w:fldCharType="end"/>
            </w:r>
          </w:p>
          <w:p w14:paraId="119746AA">
            <w:pPr>
              <w:spacing w:line="240" w:lineRule="auto"/>
              <w:rPr>
                <w:rFonts w:hint="eastAsia" w:ascii="宋体" w:eastAsia="宋体" w:cs="宋体"/>
                <w:color w:val="auto"/>
                <w:sz w:val="24"/>
                <w:szCs w:val="32"/>
                <w:highlight w:val="none"/>
              </w:rPr>
            </w:pPr>
            <w:r>
              <w:rPr>
                <w:rFonts w:hint="eastAsia" w:ascii="宋体" w:eastAsia="宋体" w:cs="宋体"/>
                <w:color w:val="auto"/>
                <w:sz w:val="24"/>
                <w:szCs w:val="32"/>
                <w:highlight w:val="none"/>
                <w:u w:val="single"/>
              </w:rPr>
              <w:fldChar w:fldCharType="begin"/>
            </w:r>
            <w:r>
              <w:rPr>
                <w:rFonts w:hint="eastAsia" w:ascii="宋体" w:eastAsia="宋体" w:cs="宋体"/>
                <w:color w:val="auto"/>
                <w:sz w:val="24"/>
                <w:szCs w:val="32"/>
                <w:highlight w:val="none"/>
                <w:u w:val="single"/>
              </w:rPr>
              <w:instrText xml:space="preserve">AUTOTEXT  input555 \* MERGEFORMAT</w:instrText>
            </w:r>
            <w:r>
              <w:rPr>
                <w:rFonts w:hint="eastAsia" w:ascii="宋体" w:eastAsia="宋体" w:cs="宋体"/>
                <w:color w:val="auto"/>
                <w:sz w:val="24"/>
                <w:szCs w:val="32"/>
                <w:highlight w:val="none"/>
                <w:u w:val="single"/>
              </w:rPr>
              <w:fldChar w:fldCharType="separate"/>
            </w:r>
            <w:r>
              <w:rPr>
                <w:rFonts w:hint="eastAsia" w:ascii="宋体" w:eastAsia="宋体" w:cs="宋体"/>
                <w:color w:val="auto"/>
                <w:sz w:val="24"/>
                <w:szCs w:val="32"/>
                <w:highlight w:val="none"/>
                <w:u w:val="single"/>
              </w:rPr>
              <w:fldChar w:fldCharType="end"/>
            </w:r>
          </w:p>
          <w:p w14:paraId="5B082578">
            <w:pPr>
              <w:spacing w:line="240" w:lineRule="auto"/>
              <w:rPr>
                <w:rFonts w:hint="eastAsia" w:ascii="宋体" w:eastAsia="宋体" w:cs="宋体"/>
                <w:color w:val="auto"/>
                <w:sz w:val="24"/>
                <w:szCs w:val="32"/>
                <w:highlight w:val="none"/>
              </w:rPr>
            </w:pPr>
            <w:r>
              <w:rPr>
                <w:rFonts w:hint="eastAsia" w:ascii="宋体" w:eastAsia="宋体" w:cs="宋体"/>
                <w:color w:val="auto"/>
                <w:sz w:val="24"/>
                <w:szCs w:val="32"/>
                <w:highlight w:val="none"/>
                <w:u w:val="single"/>
              </w:rPr>
              <w:fldChar w:fldCharType="begin"/>
            </w:r>
            <w:r>
              <w:rPr>
                <w:rFonts w:hint="eastAsia" w:ascii="宋体" w:eastAsia="宋体" w:cs="宋体"/>
                <w:color w:val="auto"/>
                <w:sz w:val="24"/>
                <w:szCs w:val="32"/>
                <w:highlight w:val="none"/>
                <w:u w:val="single"/>
              </w:rPr>
              <w:instrText xml:space="preserve">AUTOTEXT  input561 \* MERGEFORMAT</w:instrText>
            </w:r>
            <w:r>
              <w:rPr>
                <w:rFonts w:hint="eastAsia" w:ascii="宋体" w:eastAsia="宋体" w:cs="宋体"/>
                <w:color w:val="auto"/>
                <w:sz w:val="24"/>
                <w:szCs w:val="32"/>
                <w:highlight w:val="none"/>
                <w:u w:val="single"/>
              </w:rPr>
              <w:fldChar w:fldCharType="separate"/>
            </w:r>
            <w:r>
              <w:rPr>
                <w:rFonts w:hint="eastAsia" w:ascii="宋体" w:eastAsia="宋体" w:cs="宋体"/>
                <w:color w:val="auto"/>
                <w:sz w:val="24"/>
                <w:szCs w:val="32"/>
                <w:highlight w:val="none"/>
                <w:u w:val="single"/>
              </w:rPr>
              <w:fldChar w:fldCharType="end"/>
            </w:r>
          </w:p>
          <w:p w14:paraId="42BD3983">
            <w:pPr>
              <w:spacing w:line="240" w:lineRule="auto"/>
              <w:rPr>
                <w:rFonts w:hint="eastAsia" w:ascii="宋体" w:eastAsia="宋体" w:cs="宋体"/>
                <w:color w:val="auto"/>
                <w:sz w:val="24"/>
                <w:szCs w:val="32"/>
                <w:highlight w:val="none"/>
              </w:rPr>
            </w:pPr>
            <w:r>
              <w:rPr>
                <w:rFonts w:hint="eastAsia" w:ascii="宋体" w:eastAsia="宋体" w:cs="宋体"/>
                <w:color w:val="auto"/>
                <w:sz w:val="24"/>
                <w:szCs w:val="32"/>
                <w:highlight w:val="none"/>
                <w:u w:val="single"/>
              </w:rPr>
              <w:fldChar w:fldCharType="begin"/>
            </w:r>
            <w:r>
              <w:rPr>
                <w:rFonts w:hint="eastAsia" w:ascii="宋体" w:eastAsia="宋体" w:cs="宋体"/>
                <w:color w:val="auto"/>
                <w:sz w:val="24"/>
                <w:szCs w:val="32"/>
                <w:highlight w:val="none"/>
                <w:u w:val="single"/>
              </w:rPr>
              <w:instrText xml:space="preserve">AUTOTEXT  input567 \* MERGEFORMAT</w:instrText>
            </w:r>
            <w:r>
              <w:rPr>
                <w:rFonts w:hint="eastAsia" w:ascii="宋体" w:eastAsia="宋体" w:cs="宋体"/>
                <w:color w:val="auto"/>
                <w:sz w:val="24"/>
                <w:szCs w:val="32"/>
                <w:highlight w:val="none"/>
                <w:u w:val="single"/>
              </w:rPr>
              <w:fldChar w:fldCharType="separate"/>
            </w:r>
            <w:r>
              <w:rPr>
                <w:rFonts w:hint="eastAsia" w:ascii="宋体" w:eastAsia="宋体" w:cs="宋体"/>
                <w:color w:val="auto"/>
                <w:sz w:val="24"/>
                <w:szCs w:val="32"/>
                <w:highlight w:val="none"/>
                <w:u w:val="single"/>
              </w:rPr>
              <w:fldChar w:fldCharType="end"/>
            </w:r>
          </w:p>
          <w:p w14:paraId="3E68C03D">
            <w:pPr>
              <w:adjustRightInd w:val="0"/>
              <w:snapToGrid w:val="0"/>
              <w:spacing w:line="240" w:lineRule="auto"/>
              <w:rPr>
                <w:rFonts w:hint="eastAsia" w:ascii="宋体" w:eastAsia="宋体" w:cs="宋体"/>
                <w:color w:val="auto"/>
                <w:sz w:val="24"/>
                <w:szCs w:val="32"/>
                <w:highlight w:val="none"/>
              </w:rPr>
            </w:pPr>
            <w:r>
              <w:rPr>
                <w:rFonts w:hint="eastAsia" w:ascii="宋体" w:eastAsia="宋体" w:cs="宋体"/>
                <w:color w:val="auto"/>
                <w:sz w:val="24"/>
                <w:szCs w:val="32"/>
                <w:highlight w:val="none"/>
                <w:u w:val="single"/>
              </w:rPr>
              <w:fldChar w:fldCharType="begin"/>
            </w:r>
            <w:r>
              <w:rPr>
                <w:rFonts w:hint="eastAsia" w:ascii="宋体" w:eastAsia="宋体" w:cs="宋体"/>
                <w:color w:val="auto"/>
                <w:sz w:val="24"/>
                <w:szCs w:val="32"/>
                <w:highlight w:val="none"/>
                <w:u w:val="single"/>
              </w:rPr>
              <w:instrText xml:space="preserve">AUTOTEXT  input573 \* MERGEFORMAT</w:instrText>
            </w:r>
            <w:r>
              <w:rPr>
                <w:rFonts w:hint="eastAsia" w:ascii="宋体" w:eastAsia="宋体" w:cs="宋体"/>
                <w:color w:val="auto"/>
                <w:sz w:val="24"/>
                <w:szCs w:val="32"/>
                <w:highlight w:val="none"/>
                <w:u w:val="single"/>
              </w:rPr>
              <w:fldChar w:fldCharType="separate"/>
            </w:r>
            <w:r>
              <w:rPr>
                <w:rFonts w:hint="eastAsia" w:ascii="宋体" w:eastAsia="宋体" w:cs="宋体"/>
                <w:color w:val="auto"/>
                <w:sz w:val="24"/>
                <w:szCs w:val="32"/>
                <w:highlight w:val="none"/>
                <w:u w:val="single"/>
              </w:rPr>
              <w:fldChar w:fldCharType="end"/>
            </w:r>
          </w:p>
          <w:p w14:paraId="151DE66D">
            <w:pPr>
              <w:adjustRightInd w:val="0"/>
              <w:snapToGrid w:val="0"/>
              <w:spacing w:line="240" w:lineRule="auto"/>
              <w:rPr>
                <w:rFonts w:hint="eastAsia" w:ascii="宋体" w:eastAsia="宋体" w:cs="宋体"/>
                <w:color w:val="auto"/>
                <w:sz w:val="24"/>
                <w:szCs w:val="32"/>
                <w:highlight w:val="none"/>
              </w:rPr>
            </w:pPr>
            <w:r>
              <w:rPr>
                <w:rFonts w:hint="eastAsia" w:ascii="宋体" w:eastAsia="宋体" w:cs="宋体"/>
                <w:color w:val="auto"/>
                <w:sz w:val="24"/>
                <w:szCs w:val="32"/>
                <w:highlight w:val="none"/>
                <w:u w:val="single"/>
              </w:rPr>
              <w:fldChar w:fldCharType="begin"/>
            </w:r>
            <w:r>
              <w:rPr>
                <w:rFonts w:hint="eastAsia" w:ascii="宋体" w:eastAsia="宋体" w:cs="宋体"/>
                <w:color w:val="auto"/>
                <w:sz w:val="24"/>
                <w:szCs w:val="32"/>
                <w:highlight w:val="none"/>
                <w:u w:val="single"/>
              </w:rPr>
              <w:instrText xml:space="preserve">AUTOTEXT  input579 \* MERGEFORMAT</w:instrText>
            </w:r>
            <w:r>
              <w:rPr>
                <w:rFonts w:hint="eastAsia" w:ascii="宋体" w:eastAsia="宋体" w:cs="宋体"/>
                <w:color w:val="auto"/>
                <w:sz w:val="24"/>
                <w:szCs w:val="32"/>
                <w:highlight w:val="none"/>
                <w:u w:val="single"/>
              </w:rPr>
              <w:fldChar w:fldCharType="separate"/>
            </w:r>
            <w:r>
              <w:rPr>
                <w:rFonts w:hint="eastAsia" w:ascii="宋体" w:eastAsia="宋体" w:cs="宋体"/>
                <w:color w:val="auto"/>
                <w:sz w:val="24"/>
                <w:szCs w:val="32"/>
                <w:highlight w:val="none"/>
                <w:u w:val="single"/>
              </w:rPr>
              <w:fldChar w:fldCharType="end"/>
            </w:r>
          </w:p>
          <w:p w14:paraId="120B1F8E">
            <w:pPr>
              <w:adjustRightInd w:val="0"/>
              <w:snapToGrid w:val="0"/>
              <w:spacing w:line="240" w:lineRule="auto"/>
              <w:rPr>
                <w:rFonts w:hint="eastAsia" w:ascii="宋体" w:eastAsia="宋体" w:cs="宋体"/>
                <w:color w:val="auto"/>
                <w:sz w:val="24"/>
                <w:szCs w:val="32"/>
                <w:highlight w:val="none"/>
              </w:rPr>
            </w:pPr>
            <w:r>
              <w:rPr>
                <w:rFonts w:hint="eastAsia" w:ascii="宋体" w:eastAsia="宋体" w:cs="宋体"/>
                <w:color w:val="auto"/>
                <w:sz w:val="24"/>
                <w:szCs w:val="32"/>
                <w:highlight w:val="none"/>
                <w:u w:val="single"/>
              </w:rPr>
              <w:fldChar w:fldCharType="begin"/>
            </w:r>
            <w:r>
              <w:rPr>
                <w:rFonts w:hint="eastAsia" w:ascii="宋体" w:eastAsia="宋体" w:cs="宋体"/>
                <w:color w:val="auto"/>
                <w:sz w:val="24"/>
                <w:szCs w:val="32"/>
                <w:highlight w:val="none"/>
                <w:u w:val="single"/>
              </w:rPr>
              <w:instrText xml:space="preserve">AUTOTEXT  input585 \* MERGEFORMAT</w:instrText>
            </w:r>
            <w:r>
              <w:rPr>
                <w:rFonts w:hint="eastAsia" w:ascii="宋体" w:eastAsia="宋体" w:cs="宋体"/>
                <w:color w:val="auto"/>
                <w:sz w:val="24"/>
                <w:szCs w:val="32"/>
                <w:highlight w:val="none"/>
                <w:u w:val="single"/>
              </w:rPr>
              <w:fldChar w:fldCharType="separate"/>
            </w:r>
            <w:r>
              <w:rPr>
                <w:rFonts w:hint="eastAsia" w:ascii="宋体" w:eastAsia="宋体" w:cs="宋体"/>
                <w:color w:val="auto"/>
                <w:sz w:val="24"/>
                <w:szCs w:val="32"/>
                <w:highlight w:val="none"/>
                <w:u w:val="single"/>
              </w:rPr>
              <w:fldChar w:fldCharType="end"/>
            </w:r>
          </w:p>
          <w:p w14:paraId="5E6FE3DA">
            <w:pPr>
              <w:adjustRightInd w:val="0"/>
              <w:snapToGrid w:val="0"/>
              <w:spacing w:line="240" w:lineRule="auto"/>
              <w:rPr>
                <w:rFonts w:hint="eastAsia" w:ascii="宋体" w:eastAsia="宋体" w:cs="宋体"/>
                <w:color w:val="auto"/>
                <w:sz w:val="24"/>
                <w:szCs w:val="32"/>
                <w:highlight w:val="none"/>
              </w:rPr>
            </w:pPr>
            <w:r>
              <w:rPr>
                <w:rFonts w:hint="eastAsia" w:ascii="宋体" w:eastAsia="宋体" w:cs="宋体"/>
                <w:color w:val="auto"/>
                <w:sz w:val="24"/>
                <w:szCs w:val="32"/>
                <w:highlight w:val="none"/>
                <w:u w:val="single"/>
              </w:rPr>
              <w:fldChar w:fldCharType="begin"/>
            </w:r>
            <w:r>
              <w:rPr>
                <w:rFonts w:hint="eastAsia" w:ascii="宋体" w:eastAsia="宋体" w:cs="宋体"/>
                <w:color w:val="auto"/>
                <w:sz w:val="24"/>
                <w:szCs w:val="32"/>
                <w:highlight w:val="none"/>
                <w:u w:val="single"/>
              </w:rPr>
              <w:instrText xml:space="preserve">AUTOTEXT  input591 \* MERGEFORMAT</w:instrText>
            </w:r>
            <w:r>
              <w:rPr>
                <w:rFonts w:hint="eastAsia" w:ascii="宋体" w:eastAsia="宋体" w:cs="宋体"/>
                <w:color w:val="auto"/>
                <w:sz w:val="24"/>
                <w:szCs w:val="32"/>
                <w:highlight w:val="none"/>
                <w:u w:val="single"/>
              </w:rPr>
              <w:fldChar w:fldCharType="separate"/>
            </w:r>
            <w:r>
              <w:rPr>
                <w:rFonts w:hint="eastAsia" w:ascii="宋体" w:eastAsia="宋体" w:cs="宋体"/>
                <w:color w:val="auto"/>
                <w:sz w:val="24"/>
                <w:szCs w:val="32"/>
                <w:highlight w:val="none"/>
                <w:u w:val="single"/>
              </w:rPr>
              <w:fldChar w:fldCharType="end"/>
            </w:r>
            <w:r>
              <w:rPr>
                <w:rFonts w:hint="eastAsia" w:ascii="宋体" w:eastAsia="宋体" w:cs="宋体"/>
                <w:color w:val="auto"/>
                <w:sz w:val="24"/>
                <w:szCs w:val="32"/>
                <w:highlight w:val="none"/>
                <w:u w:val="single"/>
              </w:rPr>
              <w:fldChar w:fldCharType="begin"/>
            </w:r>
            <w:r>
              <w:rPr>
                <w:rFonts w:hint="eastAsia" w:ascii="宋体" w:eastAsia="宋体" w:cs="宋体"/>
                <w:color w:val="auto"/>
                <w:sz w:val="24"/>
                <w:szCs w:val="32"/>
                <w:highlight w:val="none"/>
                <w:u w:val="single"/>
              </w:rPr>
              <w:instrText xml:space="preserve">AUTOTEXT  input597 \* MERGEFORMAT</w:instrText>
            </w:r>
            <w:r>
              <w:rPr>
                <w:rFonts w:hint="eastAsia" w:ascii="宋体" w:eastAsia="宋体" w:cs="宋体"/>
                <w:color w:val="auto"/>
                <w:sz w:val="24"/>
                <w:szCs w:val="32"/>
                <w:highlight w:val="none"/>
                <w:u w:val="single"/>
              </w:rPr>
              <w:fldChar w:fldCharType="separate"/>
            </w:r>
            <w:r>
              <w:rPr>
                <w:rFonts w:hint="eastAsia" w:ascii="宋体" w:eastAsia="宋体" w:cs="宋体"/>
                <w:color w:val="auto"/>
                <w:sz w:val="24"/>
                <w:szCs w:val="32"/>
                <w:highlight w:val="none"/>
                <w:u w:val="single"/>
              </w:rPr>
              <w:fldChar w:fldCharType="end"/>
            </w:r>
          </w:p>
        </w:tc>
      </w:tr>
      <w:tr w14:paraId="20CC8C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tcBorders>
              <w:top w:val="single" w:color="000000" w:sz="4" w:space="0"/>
              <w:left w:val="single" w:color="000000" w:sz="4" w:space="0"/>
              <w:bottom w:val="single" w:color="000000" w:sz="4" w:space="0"/>
              <w:right w:val="single" w:color="000000" w:sz="4" w:space="0"/>
            </w:tcBorders>
            <w:noWrap/>
          </w:tcPr>
          <w:p w14:paraId="2B4F8B84">
            <w:pPr>
              <w:spacing w:line="240" w:lineRule="auto"/>
              <w:jc w:val="center"/>
              <w:rPr>
                <w:rFonts w:hint="eastAsia" w:ascii="宋体" w:eastAsia="宋体" w:cs="宋体"/>
                <w:b/>
                <w:bCs/>
                <w:color w:val="auto"/>
                <w:sz w:val="24"/>
                <w:szCs w:val="32"/>
                <w:highlight w:val="none"/>
              </w:rPr>
            </w:pPr>
            <w:r>
              <w:rPr>
                <w:rFonts w:hint="eastAsia" w:ascii="宋体" w:eastAsia="宋体" w:cs="宋体"/>
                <w:b/>
                <w:bCs/>
                <w:color w:val="auto"/>
                <w:sz w:val="24"/>
                <w:szCs w:val="32"/>
                <w:highlight w:val="none"/>
              </w:rPr>
              <w:t>技术负责人</w:t>
            </w:r>
          </w:p>
        </w:tc>
        <w:tc>
          <w:tcPr>
            <w:tcW w:w="1843" w:type="dxa"/>
            <w:tcBorders>
              <w:top w:val="single" w:color="000000" w:sz="4" w:space="0"/>
              <w:left w:val="single" w:color="000000" w:sz="4" w:space="0"/>
              <w:bottom w:val="single" w:color="000000" w:sz="4" w:space="0"/>
              <w:right w:val="single" w:color="000000" w:sz="4" w:space="0"/>
            </w:tcBorders>
            <w:noWrap/>
          </w:tcPr>
          <w:p w14:paraId="1AD9D39D">
            <w:pPr>
              <w:spacing w:line="240" w:lineRule="auto"/>
              <w:rPr>
                <w:rFonts w:hint="eastAsia" w:ascii="宋体" w:eastAsia="宋体" w:cs="宋体"/>
                <w:color w:val="auto"/>
                <w:sz w:val="24"/>
                <w:szCs w:val="32"/>
                <w:highlight w:val="none"/>
                <w:u w:val="none"/>
              </w:rPr>
            </w:pPr>
            <w:r>
              <w:rPr>
                <w:rFonts w:hint="eastAsia" w:ascii="宋体" w:eastAsia="宋体" w:cs="宋体"/>
                <w:color w:val="auto"/>
                <w:highlight w:val="none"/>
                <w:u w:val="none"/>
              </w:rPr>
              <w:fldChar w:fldCharType="begin"/>
            </w:r>
            <w:r>
              <w:rPr>
                <w:rFonts w:hint="eastAsia" w:ascii="宋体" w:eastAsia="宋体" w:cs="宋体"/>
                <w:color w:val="auto"/>
                <w:highlight w:val="none"/>
                <w:u w:val="none"/>
              </w:rPr>
              <w:instrText xml:space="preserve">AUTOTEXT  input538 \* MERGEFORMAT</w:instrText>
            </w:r>
            <w:r>
              <w:rPr>
                <w:rFonts w:hint="eastAsia" w:ascii="宋体" w:eastAsia="宋体" w:cs="宋体"/>
                <w:color w:val="auto"/>
                <w:highlight w:val="none"/>
                <w:u w:val="none"/>
              </w:rPr>
              <w:fldChar w:fldCharType="separate"/>
            </w:r>
            <w:r>
              <w:rPr>
                <w:rFonts w:hint="eastAsia" w:ascii="宋体" w:eastAsia="宋体" w:cs="宋体"/>
                <w:color w:val="auto"/>
                <w:sz w:val="24"/>
                <w:szCs w:val="32"/>
                <w:highlight w:val="none"/>
                <w:u w:val="none"/>
              </w:rPr>
              <w:t>1</w:t>
            </w:r>
            <w:r>
              <w:rPr>
                <w:rFonts w:hint="eastAsia" w:ascii="宋体" w:eastAsia="宋体" w:cs="宋体"/>
                <w:color w:val="auto"/>
                <w:sz w:val="24"/>
                <w:szCs w:val="32"/>
                <w:highlight w:val="none"/>
                <w:u w:val="none"/>
              </w:rPr>
              <w:fldChar w:fldCharType="end"/>
            </w:r>
          </w:p>
        </w:tc>
        <w:tc>
          <w:tcPr>
            <w:tcW w:w="2126" w:type="dxa"/>
            <w:tcBorders>
              <w:top w:val="single" w:color="000000" w:sz="4" w:space="0"/>
              <w:left w:val="single" w:color="000000" w:sz="4" w:space="0"/>
              <w:bottom w:val="single" w:color="000000" w:sz="4" w:space="0"/>
              <w:right w:val="single" w:color="000000" w:sz="4" w:space="0"/>
            </w:tcBorders>
            <w:noWrap/>
          </w:tcPr>
          <w:p w14:paraId="380A77E1">
            <w:pPr>
              <w:spacing w:line="240" w:lineRule="auto"/>
              <w:rPr>
                <w:rFonts w:hint="eastAsia" w:ascii="宋体" w:eastAsia="宋体" w:cs="宋体"/>
                <w:color w:val="auto"/>
                <w:sz w:val="24"/>
                <w:szCs w:val="32"/>
                <w:highlight w:val="none"/>
              </w:rPr>
            </w:pPr>
            <w:r>
              <w:rPr>
                <w:rFonts w:hint="eastAsia" w:ascii="宋体" w:eastAsia="宋体" w:cs="宋体"/>
                <w:color w:val="auto"/>
                <w:sz w:val="24"/>
                <w:szCs w:val="32"/>
                <w:highlight w:val="none"/>
              </w:rPr>
              <w:t>是：</w:t>
            </w:r>
            <w:r>
              <w:rPr>
                <w:rFonts w:hint="eastAsia" w:ascii="宋体" w:eastAsia="宋体" w:cs="宋体"/>
                <w:color w:val="auto"/>
                <w:highlight w:val="none"/>
              </w:rPr>
              <w:fldChar w:fldCharType="begin"/>
            </w:r>
            <w:r>
              <w:rPr>
                <w:rFonts w:hint="eastAsia" w:ascii="宋体" w:eastAsia="宋体" w:cs="宋体"/>
                <w:color w:val="auto"/>
                <w:highlight w:val="none"/>
              </w:rPr>
              <w:instrText xml:space="preserve">AUTOTEXT  input539 \* MERGEFORMAT</w:instrText>
            </w:r>
            <w:r>
              <w:rPr>
                <w:rFonts w:hint="eastAsia" w:ascii="宋体" w:eastAsia="宋体" w:cs="宋体"/>
                <w:color w:val="auto"/>
                <w:highlight w:val="none"/>
              </w:rPr>
              <w:fldChar w:fldCharType="separate"/>
            </w:r>
            <w:r>
              <w:rPr>
                <w:rFonts w:hint="eastAsia" w:ascii="宋体" w:eastAsia="宋体" w:cs="宋体"/>
                <w:color w:val="auto"/>
                <w:sz w:val="32"/>
                <w:szCs w:val="32"/>
                <w:highlight w:val="none"/>
              </w:rPr>
              <w:t>☑</w:t>
            </w:r>
            <w:r>
              <w:rPr>
                <w:rFonts w:hint="eastAsia" w:ascii="宋体" w:eastAsia="宋体" w:cs="宋体"/>
                <w:color w:val="auto"/>
                <w:sz w:val="32"/>
                <w:szCs w:val="32"/>
                <w:highlight w:val="none"/>
              </w:rPr>
              <w:fldChar w:fldCharType="end"/>
            </w:r>
          </w:p>
        </w:tc>
        <w:tc>
          <w:tcPr>
            <w:tcW w:w="1933" w:type="dxa"/>
            <w:tcBorders>
              <w:top w:val="single" w:color="000000" w:sz="4" w:space="0"/>
              <w:left w:val="single" w:color="000000" w:sz="4" w:space="0"/>
              <w:bottom w:val="single" w:color="000000" w:sz="4" w:space="0"/>
              <w:right w:val="single" w:color="000000" w:sz="4" w:space="0"/>
            </w:tcBorders>
            <w:noWrap/>
          </w:tcPr>
          <w:p w14:paraId="1B01E170">
            <w:pPr>
              <w:spacing w:line="240" w:lineRule="auto"/>
              <w:rPr>
                <w:rFonts w:hint="eastAsia" w:ascii="宋体" w:eastAsia="宋体" w:cs="宋体"/>
                <w:color w:val="auto"/>
                <w:sz w:val="24"/>
                <w:szCs w:val="32"/>
                <w:highlight w:val="none"/>
              </w:rPr>
            </w:pPr>
            <w:r>
              <w:rPr>
                <w:rFonts w:hint="eastAsia" w:ascii="宋体" w:cs="宋体"/>
                <w:color w:val="auto"/>
                <w:sz w:val="24"/>
                <w:szCs w:val="32"/>
                <w:highlight w:val="none"/>
                <w:lang w:val="en-US" w:eastAsia="zh-CN"/>
              </w:rPr>
              <w:t>专</w:t>
            </w:r>
            <w:r>
              <w:rPr>
                <w:rFonts w:hint="eastAsia" w:ascii="宋体" w:eastAsia="宋体" w:cs="宋体"/>
                <w:color w:val="auto"/>
                <w:sz w:val="24"/>
                <w:szCs w:val="32"/>
                <w:highlight w:val="none"/>
              </w:rPr>
              <w:t>职：</w:t>
            </w:r>
            <w:r>
              <w:rPr>
                <w:rFonts w:hint="eastAsia" w:ascii="宋体" w:eastAsia="宋体" w:cs="宋体"/>
                <w:color w:val="auto"/>
                <w:highlight w:val="none"/>
              </w:rPr>
              <w:fldChar w:fldCharType="begin"/>
            </w:r>
            <w:r>
              <w:rPr>
                <w:rFonts w:hint="eastAsia" w:ascii="宋体" w:eastAsia="宋体" w:cs="宋体"/>
                <w:color w:val="auto"/>
                <w:highlight w:val="none"/>
              </w:rPr>
              <w:instrText xml:space="preserve">AUTOTEXT  input539 \* MERGEFORMAT</w:instrText>
            </w:r>
            <w:r>
              <w:rPr>
                <w:rFonts w:hint="eastAsia" w:ascii="宋体" w:eastAsia="宋体" w:cs="宋体"/>
                <w:color w:val="auto"/>
                <w:highlight w:val="none"/>
              </w:rPr>
              <w:fldChar w:fldCharType="separate"/>
            </w:r>
            <w:r>
              <w:rPr>
                <w:rFonts w:hint="eastAsia" w:ascii="宋体" w:cs="宋体"/>
                <w:color w:val="auto"/>
                <w:sz w:val="32"/>
                <w:szCs w:val="32"/>
                <w:highlight w:val="none"/>
                <w:lang w:eastAsia="zh-CN"/>
              </w:rPr>
              <w:t>☑</w:t>
            </w:r>
            <w:r>
              <w:rPr>
                <w:rFonts w:hint="eastAsia" w:ascii="宋体" w:eastAsia="宋体" w:cs="宋体"/>
                <w:color w:val="auto"/>
                <w:sz w:val="32"/>
                <w:szCs w:val="32"/>
                <w:highlight w:val="none"/>
              </w:rPr>
              <w:fldChar w:fldCharType="end"/>
            </w:r>
          </w:p>
        </w:tc>
        <w:tc>
          <w:tcPr>
            <w:tcW w:w="1858" w:type="dxa"/>
            <w:vMerge w:val="continue"/>
            <w:tcBorders>
              <w:top w:val="single" w:color="000000" w:sz="4" w:space="0"/>
              <w:left w:val="single" w:color="000000" w:sz="4" w:space="0"/>
              <w:bottom w:val="single" w:color="000000" w:sz="4" w:space="0"/>
              <w:right w:val="single" w:color="000000" w:sz="4" w:space="0"/>
            </w:tcBorders>
            <w:noWrap/>
          </w:tcPr>
          <w:p w14:paraId="35C17559">
            <w:pPr>
              <w:rPr>
                <w:color w:val="auto"/>
              </w:rPr>
            </w:pPr>
          </w:p>
        </w:tc>
      </w:tr>
      <w:tr w14:paraId="0BD2A6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jc w:val="center"/>
        </w:trPr>
        <w:tc>
          <w:tcPr>
            <w:tcW w:w="1526" w:type="dxa"/>
            <w:tcBorders>
              <w:top w:val="single" w:color="000000" w:sz="4" w:space="0"/>
              <w:left w:val="single" w:color="000000" w:sz="4" w:space="0"/>
              <w:bottom w:val="single" w:color="000000" w:sz="4" w:space="0"/>
              <w:right w:val="single" w:color="000000" w:sz="4" w:space="0"/>
            </w:tcBorders>
            <w:noWrap/>
          </w:tcPr>
          <w:p w14:paraId="6A7AE1F6">
            <w:pPr>
              <w:spacing w:line="240" w:lineRule="auto"/>
              <w:jc w:val="center"/>
              <w:rPr>
                <w:rFonts w:hint="eastAsia" w:ascii="宋体" w:eastAsia="宋体" w:cs="宋体"/>
                <w:b/>
                <w:bCs/>
                <w:color w:val="auto"/>
                <w:sz w:val="24"/>
                <w:szCs w:val="32"/>
                <w:highlight w:val="none"/>
              </w:rPr>
            </w:pPr>
            <w:r>
              <w:rPr>
                <w:rFonts w:hint="eastAsia" w:ascii="宋体" w:eastAsia="宋体" w:cs="宋体"/>
                <w:b/>
                <w:bCs/>
                <w:color w:val="auto"/>
                <w:sz w:val="24"/>
                <w:szCs w:val="32"/>
                <w:highlight w:val="none"/>
              </w:rPr>
              <w:t>施工员</w:t>
            </w:r>
          </w:p>
        </w:tc>
        <w:tc>
          <w:tcPr>
            <w:tcW w:w="1843" w:type="dxa"/>
            <w:tcBorders>
              <w:top w:val="single" w:color="000000" w:sz="4" w:space="0"/>
              <w:left w:val="single" w:color="000000" w:sz="4" w:space="0"/>
              <w:bottom w:val="single" w:color="000000" w:sz="4" w:space="0"/>
              <w:right w:val="single" w:color="000000" w:sz="4" w:space="0"/>
            </w:tcBorders>
            <w:noWrap/>
          </w:tcPr>
          <w:p w14:paraId="04C1702F">
            <w:pPr>
              <w:spacing w:line="240" w:lineRule="auto"/>
              <w:rPr>
                <w:rFonts w:hint="eastAsia" w:ascii="宋体" w:eastAsia="宋体" w:cs="宋体"/>
                <w:color w:val="auto"/>
                <w:sz w:val="24"/>
                <w:szCs w:val="32"/>
                <w:highlight w:val="none"/>
                <w:u w:val="none"/>
              </w:rPr>
            </w:pPr>
            <w:r>
              <w:rPr>
                <w:rFonts w:hint="eastAsia" w:ascii="宋体" w:eastAsia="宋体" w:cs="宋体"/>
                <w:color w:val="auto"/>
                <w:highlight w:val="none"/>
                <w:u w:val="none"/>
              </w:rPr>
              <w:fldChar w:fldCharType="begin"/>
            </w:r>
            <w:r>
              <w:rPr>
                <w:rFonts w:hint="eastAsia" w:ascii="宋体" w:eastAsia="宋体" w:cs="宋体"/>
                <w:color w:val="auto"/>
                <w:highlight w:val="none"/>
                <w:u w:val="none"/>
              </w:rPr>
              <w:instrText xml:space="preserve">AUTOTEXT  input538 \* MERGEFORMAT</w:instrText>
            </w:r>
            <w:r>
              <w:rPr>
                <w:rFonts w:hint="eastAsia" w:ascii="宋体" w:eastAsia="宋体" w:cs="宋体"/>
                <w:color w:val="auto"/>
                <w:highlight w:val="none"/>
                <w:u w:val="none"/>
              </w:rPr>
              <w:fldChar w:fldCharType="separate"/>
            </w:r>
            <w:r>
              <w:rPr>
                <w:rFonts w:hint="eastAsia" w:ascii="宋体" w:eastAsia="宋体" w:cs="宋体"/>
                <w:color w:val="auto"/>
                <w:sz w:val="24"/>
                <w:szCs w:val="32"/>
                <w:highlight w:val="none"/>
                <w:u w:val="none"/>
              </w:rPr>
              <w:t>1</w:t>
            </w:r>
            <w:r>
              <w:rPr>
                <w:rFonts w:hint="eastAsia" w:ascii="宋体" w:eastAsia="宋体" w:cs="宋体"/>
                <w:color w:val="auto"/>
                <w:sz w:val="24"/>
                <w:szCs w:val="32"/>
                <w:highlight w:val="none"/>
                <w:u w:val="none"/>
              </w:rPr>
              <w:fldChar w:fldCharType="end"/>
            </w:r>
          </w:p>
        </w:tc>
        <w:tc>
          <w:tcPr>
            <w:tcW w:w="2126" w:type="dxa"/>
            <w:tcBorders>
              <w:top w:val="single" w:color="000000" w:sz="4" w:space="0"/>
              <w:left w:val="single" w:color="000000" w:sz="4" w:space="0"/>
              <w:bottom w:val="single" w:color="000000" w:sz="4" w:space="0"/>
              <w:right w:val="single" w:color="000000" w:sz="4" w:space="0"/>
            </w:tcBorders>
            <w:noWrap/>
          </w:tcPr>
          <w:p w14:paraId="41F5B4EF">
            <w:pPr>
              <w:spacing w:line="240" w:lineRule="auto"/>
              <w:rPr>
                <w:rFonts w:hint="eastAsia" w:ascii="宋体" w:eastAsia="宋体" w:cs="宋体"/>
                <w:color w:val="auto"/>
                <w:sz w:val="24"/>
                <w:szCs w:val="32"/>
                <w:highlight w:val="none"/>
              </w:rPr>
            </w:pPr>
            <w:r>
              <w:rPr>
                <w:rFonts w:hint="eastAsia" w:ascii="宋体" w:eastAsia="宋体" w:cs="宋体"/>
                <w:color w:val="auto"/>
                <w:sz w:val="24"/>
                <w:szCs w:val="32"/>
                <w:highlight w:val="none"/>
              </w:rPr>
              <w:t>是：</w:t>
            </w:r>
            <w:r>
              <w:rPr>
                <w:rFonts w:hint="eastAsia" w:ascii="宋体" w:eastAsia="宋体" w:cs="宋体"/>
                <w:color w:val="auto"/>
                <w:highlight w:val="none"/>
              </w:rPr>
              <w:fldChar w:fldCharType="begin"/>
            </w:r>
            <w:r>
              <w:rPr>
                <w:rFonts w:hint="eastAsia" w:ascii="宋体" w:eastAsia="宋体" w:cs="宋体"/>
                <w:color w:val="auto"/>
                <w:highlight w:val="none"/>
              </w:rPr>
              <w:instrText xml:space="preserve">AUTOTEXT  input539 \* MERGEFORMAT</w:instrText>
            </w:r>
            <w:r>
              <w:rPr>
                <w:rFonts w:hint="eastAsia" w:ascii="宋体" w:eastAsia="宋体" w:cs="宋体"/>
                <w:color w:val="auto"/>
                <w:highlight w:val="none"/>
              </w:rPr>
              <w:fldChar w:fldCharType="separate"/>
            </w:r>
            <w:r>
              <w:rPr>
                <w:rFonts w:hint="eastAsia" w:ascii="宋体" w:eastAsia="宋体" w:cs="宋体"/>
                <w:color w:val="auto"/>
                <w:sz w:val="32"/>
                <w:szCs w:val="32"/>
                <w:highlight w:val="none"/>
              </w:rPr>
              <w:t>☑</w:t>
            </w:r>
            <w:r>
              <w:rPr>
                <w:rFonts w:hint="eastAsia" w:ascii="宋体" w:eastAsia="宋体" w:cs="宋体"/>
                <w:color w:val="auto"/>
                <w:sz w:val="32"/>
                <w:szCs w:val="32"/>
                <w:highlight w:val="none"/>
              </w:rPr>
              <w:fldChar w:fldCharType="end"/>
            </w:r>
          </w:p>
        </w:tc>
        <w:tc>
          <w:tcPr>
            <w:tcW w:w="1933" w:type="dxa"/>
            <w:tcBorders>
              <w:top w:val="single" w:color="000000" w:sz="4" w:space="0"/>
              <w:left w:val="single" w:color="000000" w:sz="4" w:space="0"/>
              <w:bottom w:val="single" w:color="000000" w:sz="4" w:space="0"/>
              <w:right w:val="single" w:color="000000" w:sz="4" w:space="0"/>
            </w:tcBorders>
            <w:noWrap/>
          </w:tcPr>
          <w:p w14:paraId="7BBD1E3D">
            <w:pPr>
              <w:spacing w:line="240" w:lineRule="auto"/>
              <w:rPr>
                <w:rFonts w:hint="eastAsia" w:ascii="宋体" w:eastAsia="宋体" w:cs="宋体"/>
                <w:color w:val="auto"/>
                <w:sz w:val="24"/>
                <w:szCs w:val="32"/>
                <w:highlight w:val="none"/>
              </w:rPr>
            </w:pPr>
            <w:r>
              <w:rPr>
                <w:rFonts w:hint="eastAsia" w:ascii="宋体" w:eastAsia="宋体" w:cs="宋体"/>
                <w:color w:val="auto"/>
                <w:sz w:val="24"/>
                <w:szCs w:val="32"/>
                <w:highlight w:val="none"/>
                <w:lang w:val="en-US" w:eastAsia="zh-CN"/>
              </w:rPr>
              <w:t>兼</w:t>
            </w:r>
            <w:r>
              <w:rPr>
                <w:rFonts w:hint="eastAsia" w:ascii="宋体" w:eastAsia="宋体" w:cs="宋体"/>
                <w:color w:val="auto"/>
                <w:sz w:val="24"/>
                <w:szCs w:val="32"/>
                <w:highlight w:val="none"/>
              </w:rPr>
              <w:t>职：</w:t>
            </w:r>
            <w:r>
              <w:rPr>
                <w:rFonts w:hint="eastAsia" w:ascii="宋体" w:eastAsia="宋体" w:cs="宋体"/>
                <w:color w:val="auto"/>
                <w:highlight w:val="none"/>
              </w:rPr>
              <w:fldChar w:fldCharType="begin"/>
            </w:r>
            <w:r>
              <w:rPr>
                <w:rFonts w:hint="eastAsia" w:ascii="宋体" w:eastAsia="宋体" w:cs="宋体"/>
                <w:color w:val="auto"/>
                <w:highlight w:val="none"/>
              </w:rPr>
              <w:instrText xml:space="preserve">AUTOTEXT  input539 \* MERGEFORMAT</w:instrText>
            </w:r>
            <w:r>
              <w:rPr>
                <w:rFonts w:hint="eastAsia" w:ascii="宋体" w:eastAsia="宋体" w:cs="宋体"/>
                <w:color w:val="auto"/>
                <w:highlight w:val="none"/>
              </w:rPr>
              <w:fldChar w:fldCharType="separate"/>
            </w:r>
            <w:r>
              <w:rPr>
                <w:rFonts w:hint="eastAsia" w:ascii="宋体" w:cs="宋体"/>
                <w:color w:val="auto"/>
                <w:sz w:val="32"/>
                <w:szCs w:val="32"/>
                <w:highlight w:val="none"/>
                <w:lang w:eastAsia="zh-CN"/>
              </w:rPr>
              <w:t>☑</w:t>
            </w:r>
            <w:r>
              <w:rPr>
                <w:rFonts w:hint="eastAsia" w:ascii="宋体" w:eastAsia="宋体" w:cs="宋体"/>
                <w:color w:val="auto"/>
                <w:sz w:val="32"/>
                <w:szCs w:val="32"/>
                <w:highlight w:val="none"/>
              </w:rPr>
              <w:fldChar w:fldCharType="end"/>
            </w:r>
          </w:p>
        </w:tc>
        <w:tc>
          <w:tcPr>
            <w:tcW w:w="1858" w:type="dxa"/>
            <w:vMerge w:val="continue"/>
            <w:tcBorders>
              <w:top w:val="single" w:color="000000" w:sz="4" w:space="0"/>
              <w:left w:val="single" w:color="000000" w:sz="4" w:space="0"/>
              <w:bottom w:val="single" w:color="000000" w:sz="4" w:space="0"/>
              <w:right w:val="single" w:color="000000" w:sz="4" w:space="0"/>
            </w:tcBorders>
            <w:noWrap/>
          </w:tcPr>
          <w:p w14:paraId="58A816D9">
            <w:pPr>
              <w:rPr>
                <w:color w:val="auto"/>
              </w:rPr>
            </w:pPr>
          </w:p>
        </w:tc>
      </w:tr>
      <w:tr w14:paraId="11BB39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tcBorders>
              <w:top w:val="single" w:color="000000" w:sz="4" w:space="0"/>
              <w:left w:val="single" w:color="000000" w:sz="4" w:space="0"/>
              <w:bottom w:val="single" w:color="000000" w:sz="4" w:space="0"/>
              <w:right w:val="single" w:color="000000" w:sz="4" w:space="0"/>
            </w:tcBorders>
            <w:noWrap/>
          </w:tcPr>
          <w:p w14:paraId="3A60A6DA">
            <w:pPr>
              <w:spacing w:line="240" w:lineRule="auto"/>
              <w:jc w:val="center"/>
              <w:rPr>
                <w:rFonts w:hint="eastAsia" w:ascii="宋体" w:eastAsia="宋体" w:cs="宋体"/>
                <w:b/>
                <w:bCs/>
                <w:color w:val="auto"/>
                <w:sz w:val="24"/>
                <w:szCs w:val="32"/>
                <w:highlight w:val="none"/>
              </w:rPr>
            </w:pPr>
            <w:r>
              <w:rPr>
                <w:rFonts w:hint="eastAsia" w:ascii="宋体" w:eastAsia="宋体" w:cs="宋体"/>
                <w:b/>
                <w:bCs/>
                <w:color w:val="auto"/>
                <w:sz w:val="24"/>
                <w:szCs w:val="32"/>
                <w:highlight w:val="none"/>
              </w:rPr>
              <w:t>安全员</w:t>
            </w:r>
          </w:p>
        </w:tc>
        <w:tc>
          <w:tcPr>
            <w:tcW w:w="1843" w:type="dxa"/>
            <w:tcBorders>
              <w:top w:val="single" w:color="000000" w:sz="4" w:space="0"/>
              <w:left w:val="single" w:color="000000" w:sz="4" w:space="0"/>
              <w:bottom w:val="single" w:color="000000" w:sz="4" w:space="0"/>
              <w:right w:val="single" w:color="000000" w:sz="4" w:space="0"/>
            </w:tcBorders>
            <w:noWrap/>
          </w:tcPr>
          <w:p w14:paraId="37722A38">
            <w:pPr>
              <w:spacing w:line="240" w:lineRule="auto"/>
              <w:rPr>
                <w:rFonts w:hint="eastAsia" w:ascii="宋体" w:eastAsia="宋体" w:cs="宋体"/>
                <w:color w:val="auto"/>
                <w:sz w:val="24"/>
                <w:szCs w:val="32"/>
                <w:highlight w:val="none"/>
                <w:u w:val="none"/>
              </w:rPr>
            </w:pPr>
            <w:r>
              <w:rPr>
                <w:rFonts w:hint="eastAsia" w:ascii="宋体" w:eastAsia="宋体" w:cs="宋体"/>
                <w:color w:val="auto"/>
                <w:highlight w:val="none"/>
                <w:u w:val="none"/>
              </w:rPr>
              <w:fldChar w:fldCharType="begin"/>
            </w:r>
            <w:r>
              <w:rPr>
                <w:rFonts w:hint="eastAsia" w:ascii="宋体" w:eastAsia="宋体" w:cs="宋体"/>
                <w:color w:val="auto"/>
                <w:highlight w:val="none"/>
                <w:u w:val="none"/>
              </w:rPr>
              <w:instrText xml:space="preserve">AUTOTEXT  input538 \* MERGEFORMAT</w:instrText>
            </w:r>
            <w:r>
              <w:rPr>
                <w:rFonts w:hint="eastAsia" w:ascii="宋体" w:eastAsia="宋体" w:cs="宋体"/>
                <w:color w:val="auto"/>
                <w:highlight w:val="none"/>
                <w:u w:val="none"/>
              </w:rPr>
              <w:fldChar w:fldCharType="separate"/>
            </w:r>
            <w:r>
              <w:rPr>
                <w:rFonts w:hint="eastAsia" w:ascii="宋体" w:eastAsia="宋体" w:cs="宋体"/>
                <w:color w:val="auto"/>
                <w:sz w:val="24"/>
                <w:szCs w:val="32"/>
                <w:highlight w:val="none"/>
                <w:u w:val="none"/>
              </w:rPr>
              <w:t>1</w:t>
            </w:r>
            <w:r>
              <w:rPr>
                <w:rFonts w:hint="eastAsia" w:ascii="宋体" w:eastAsia="宋体" w:cs="宋体"/>
                <w:color w:val="auto"/>
                <w:sz w:val="24"/>
                <w:szCs w:val="32"/>
                <w:highlight w:val="none"/>
                <w:u w:val="none"/>
              </w:rPr>
              <w:fldChar w:fldCharType="end"/>
            </w:r>
          </w:p>
        </w:tc>
        <w:tc>
          <w:tcPr>
            <w:tcW w:w="2126" w:type="dxa"/>
            <w:tcBorders>
              <w:top w:val="single" w:color="000000" w:sz="4" w:space="0"/>
              <w:left w:val="single" w:color="000000" w:sz="4" w:space="0"/>
              <w:bottom w:val="single" w:color="000000" w:sz="4" w:space="0"/>
              <w:right w:val="single" w:color="000000" w:sz="4" w:space="0"/>
            </w:tcBorders>
            <w:noWrap/>
          </w:tcPr>
          <w:p w14:paraId="5A8A02CA">
            <w:pPr>
              <w:spacing w:line="240" w:lineRule="auto"/>
              <w:rPr>
                <w:rFonts w:hint="eastAsia" w:ascii="宋体" w:eastAsia="宋体" w:cs="宋体"/>
                <w:color w:val="auto"/>
                <w:sz w:val="24"/>
                <w:szCs w:val="32"/>
                <w:highlight w:val="none"/>
              </w:rPr>
            </w:pPr>
            <w:r>
              <w:rPr>
                <w:rFonts w:hint="eastAsia" w:ascii="宋体" w:eastAsia="宋体" w:cs="宋体"/>
                <w:color w:val="auto"/>
                <w:sz w:val="24"/>
                <w:szCs w:val="32"/>
                <w:highlight w:val="none"/>
              </w:rPr>
              <w:t>是：</w:t>
            </w:r>
            <w:r>
              <w:rPr>
                <w:rFonts w:hint="eastAsia" w:ascii="宋体" w:eastAsia="宋体" w:cs="宋体"/>
                <w:color w:val="auto"/>
                <w:highlight w:val="none"/>
              </w:rPr>
              <w:fldChar w:fldCharType="begin"/>
            </w:r>
            <w:r>
              <w:rPr>
                <w:rFonts w:hint="eastAsia" w:ascii="宋体" w:eastAsia="宋体" w:cs="宋体"/>
                <w:color w:val="auto"/>
                <w:highlight w:val="none"/>
              </w:rPr>
              <w:instrText xml:space="preserve">AUTOTEXT  input539 \* MERGEFORMAT</w:instrText>
            </w:r>
            <w:r>
              <w:rPr>
                <w:rFonts w:hint="eastAsia" w:ascii="宋体" w:eastAsia="宋体" w:cs="宋体"/>
                <w:color w:val="auto"/>
                <w:highlight w:val="none"/>
              </w:rPr>
              <w:fldChar w:fldCharType="separate"/>
            </w:r>
            <w:r>
              <w:rPr>
                <w:rFonts w:hint="eastAsia" w:ascii="宋体" w:eastAsia="宋体" w:cs="宋体"/>
                <w:color w:val="auto"/>
                <w:sz w:val="32"/>
                <w:szCs w:val="32"/>
                <w:highlight w:val="none"/>
              </w:rPr>
              <w:t>☑</w:t>
            </w:r>
            <w:r>
              <w:rPr>
                <w:rFonts w:hint="eastAsia" w:ascii="宋体" w:eastAsia="宋体" w:cs="宋体"/>
                <w:color w:val="auto"/>
                <w:sz w:val="32"/>
                <w:szCs w:val="32"/>
                <w:highlight w:val="none"/>
              </w:rPr>
              <w:fldChar w:fldCharType="end"/>
            </w:r>
          </w:p>
        </w:tc>
        <w:tc>
          <w:tcPr>
            <w:tcW w:w="1933" w:type="dxa"/>
            <w:tcBorders>
              <w:top w:val="single" w:color="000000" w:sz="4" w:space="0"/>
              <w:left w:val="single" w:color="000000" w:sz="4" w:space="0"/>
              <w:bottom w:val="single" w:color="000000" w:sz="4" w:space="0"/>
              <w:right w:val="single" w:color="000000" w:sz="4" w:space="0"/>
            </w:tcBorders>
            <w:noWrap/>
          </w:tcPr>
          <w:p w14:paraId="267C7A90">
            <w:pPr>
              <w:spacing w:line="240" w:lineRule="auto"/>
              <w:rPr>
                <w:rFonts w:hint="eastAsia" w:ascii="宋体" w:eastAsia="宋体" w:cs="宋体"/>
                <w:color w:val="auto"/>
                <w:sz w:val="24"/>
                <w:szCs w:val="32"/>
                <w:highlight w:val="none"/>
              </w:rPr>
            </w:pPr>
            <w:r>
              <w:rPr>
                <w:rFonts w:hint="eastAsia" w:ascii="宋体" w:cs="宋体"/>
                <w:color w:val="auto"/>
                <w:sz w:val="24"/>
                <w:szCs w:val="32"/>
                <w:highlight w:val="none"/>
                <w:lang w:val="en-US" w:eastAsia="zh-CN"/>
              </w:rPr>
              <w:t>专</w:t>
            </w:r>
            <w:r>
              <w:rPr>
                <w:rFonts w:hint="eastAsia" w:ascii="宋体" w:eastAsia="宋体" w:cs="宋体"/>
                <w:color w:val="auto"/>
                <w:sz w:val="24"/>
                <w:szCs w:val="32"/>
                <w:highlight w:val="none"/>
              </w:rPr>
              <w:t>职：</w:t>
            </w:r>
            <w:r>
              <w:rPr>
                <w:rFonts w:hint="eastAsia" w:ascii="宋体" w:eastAsia="宋体" w:cs="宋体"/>
                <w:color w:val="auto"/>
                <w:highlight w:val="none"/>
              </w:rPr>
              <w:fldChar w:fldCharType="begin"/>
            </w:r>
            <w:r>
              <w:rPr>
                <w:rFonts w:hint="eastAsia" w:ascii="宋体" w:eastAsia="宋体" w:cs="宋体"/>
                <w:color w:val="auto"/>
                <w:highlight w:val="none"/>
              </w:rPr>
              <w:instrText xml:space="preserve">AUTOTEXT  input539 \* MERGEFORMAT</w:instrText>
            </w:r>
            <w:r>
              <w:rPr>
                <w:rFonts w:hint="eastAsia" w:ascii="宋体" w:eastAsia="宋体" w:cs="宋体"/>
                <w:color w:val="auto"/>
                <w:highlight w:val="none"/>
              </w:rPr>
              <w:fldChar w:fldCharType="separate"/>
            </w:r>
            <w:r>
              <w:rPr>
                <w:rFonts w:hint="eastAsia" w:ascii="宋体" w:cs="宋体"/>
                <w:color w:val="auto"/>
                <w:sz w:val="32"/>
                <w:szCs w:val="32"/>
                <w:highlight w:val="none"/>
                <w:lang w:eastAsia="zh-CN"/>
              </w:rPr>
              <w:t>☑</w:t>
            </w:r>
            <w:r>
              <w:rPr>
                <w:rFonts w:hint="eastAsia" w:ascii="宋体" w:eastAsia="宋体" w:cs="宋体"/>
                <w:color w:val="auto"/>
                <w:sz w:val="32"/>
                <w:szCs w:val="32"/>
                <w:highlight w:val="none"/>
              </w:rPr>
              <w:fldChar w:fldCharType="end"/>
            </w:r>
          </w:p>
        </w:tc>
        <w:tc>
          <w:tcPr>
            <w:tcW w:w="1858" w:type="dxa"/>
            <w:vMerge w:val="continue"/>
            <w:tcBorders>
              <w:top w:val="single" w:color="000000" w:sz="4" w:space="0"/>
              <w:left w:val="single" w:color="000000" w:sz="4" w:space="0"/>
              <w:bottom w:val="single" w:color="000000" w:sz="4" w:space="0"/>
              <w:right w:val="single" w:color="000000" w:sz="4" w:space="0"/>
            </w:tcBorders>
            <w:noWrap/>
          </w:tcPr>
          <w:p w14:paraId="48607AA6">
            <w:pPr>
              <w:rPr>
                <w:color w:val="auto"/>
              </w:rPr>
            </w:pPr>
          </w:p>
        </w:tc>
      </w:tr>
      <w:tr w14:paraId="59EBD4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tcBorders>
              <w:top w:val="single" w:color="000000" w:sz="4" w:space="0"/>
              <w:left w:val="single" w:color="000000" w:sz="4" w:space="0"/>
              <w:bottom w:val="single" w:color="000000" w:sz="4" w:space="0"/>
              <w:right w:val="single" w:color="000000" w:sz="4" w:space="0"/>
            </w:tcBorders>
            <w:noWrap/>
          </w:tcPr>
          <w:p w14:paraId="49898137">
            <w:pPr>
              <w:spacing w:line="240" w:lineRule="auto"/>
              <w:jc w:val="center"/>
              <w:rPr>
                <w:rFonts w:hint="eastAsia" w:ascii="宋体" w:eastAsia="宋体" w:cs="宋体"/>
                <w:b/>
                <w:bCs/>
                <w:color w:val="auto"/>
                <w:sz w:val="24"/>
                <w:szCs w:val="32"/>
                <w:highlight w:val="none"/>
              </w:rPr>
            </w:pPr>
            <w:r>
              <w:rPr>
                <w:rFonts w:hint="eastAsia" w:ascii="宋体" w:eastAsia="宋体" w:cs="宋体"/>
                <w:b/>
                <w:bCs/>
                <w:color w:val="auto"/>
                <w:sz w:val="24"/>
                <w:szCs w:val="32"/>
                <w:highlight w:val="none"/>
              </w:rPr>
              <w:t>质量员</w:t>
            </w:r>
          </w:p>
        </w:tc>
        <w:tc>
          <w:tcPr>
            <w:tcW w:w="1843" w:type="dxa"/>
            <w:tcBorders>
              <w:top w:val="single" w:color="000000" w:sz="4" w:space="0"/>
              <w:left w:val="single" w:color="000000" w:sz="4" w:space="0"/>
              <w:bottom w:val="single" w:color="000000" w:sz="4" w:space="0"/>
              <w:right w:val="single" w:color="000000" w:sz="4" w:space="0"/>
            </w:tcBorders>
            <w:noWrap/>
          </w:tcPr>
          <w:p w14:paraId="0B6889FF">
            <w:pPr>
              <w:spacing w:line="240" w:lineRule="auto"/>
              <w:rPr>
                <w:rFonts w:hint="eastAsia" w:ascii="宋体" w:eastAsia="宋体" w:cs="宋体"/>
                <w:color w:val="auto"/>
                <w:highlight w:val="none"/>
                <w:u w:val="none"/>
              </w:rPr>
            </w:pPr>
            <w:r>
              <w:rPr>
                <w:rFonts w:hint="eastAsia" w:ascii="宋体" w:eastAsia="宋体" w:cs="宋体"/>
                <w:color w:val="auto"/>
                <w:highlight w:val="none"/>
                <w:u w:val="none"/>
              </w:rPr>
              <w:fldChar w:fldCharType="begin"/>
            </w:r>
            <w:r>
              <w:rPr>
                <w:rFonts w:hint="eastAsia" w:ascii="宋体" w:eastAsia="宋体" w:cs="宋体"/>
                <w:color w:val="auto"/>
                <w:highlight w:val="none"/>
                <w:u w:val="none"/>
              </w:rPr>
              <w:instrText xml:space="preserve">AUTOTEXT  input538 \* MERGEFORMAT</w:instrText>
            </w:r>
            <w:r>
              <w:rPr>
                <w:rFonts w:hint="eastAsia" w:ascii="宋体" w:eastAsia="宋体" w:cs="宋体"/>
                <w:color w:val="auto"/>
                <w:highlight w:val="none"/>
                <w:u w:val="none"/>
              </w:rPr>
              <w:fldChar w:fldCharType="separate"/>
            </w:r>
            <w:r>
              <w:rPr>
                <w:rFonts w:hint="eastAsia" w:ascii="宋体" w:eastAsia="宋体" w:cs="宋体"/>
                <w:color w:val="auto"/>
                <w:highlight w:val="none"/>
                <w:u w:val="none"/>
              </w:rPr>
              <w:t>1</w:t>
            </w:r>
            <w:r>
              <w:rPr>
                <w:rFonts w:hint="eastAsia" w:ascii="宋体" w:eastAsia="宋体" w:cs="宋体"/>
                <w:color w:val="auto"/>
                <w:highlight w:val="none"/>
                <w:u w:val="none"/>
              </w:rPr>
              <w:fldChar w:fldCharType="end"/>
            </w:r>
          </w:p>
        </w:tc>
        <w:tc>
          <w:tcPr>
            <w:tcW w:w="2126" w:type="dxa"/>
            <w:tcBorders>
              <w:top w:val="single" w:color="000000" w:sz="4" w:space="0"/>
              <w:left w:val="single" w:color="000000" w:sz="4" w:space="0"/>
              <w:bottom w:val="single" w:color="000000" w:sz="4" w:space="0"/>
              <w:right w:val="single" w:color="000000" w:sz="4" w:space="0"/>
            </w:tcBorders>
            <w:noWrap/>
          </w:tcPr>
          <w:p w14:paraId="3B2EE2D0">
            <w:pPr>
              <w:spacing w:line="240" w:lineRule="auto"/>
              <w:rPr>
                <w:rFonts w:hint="eastAsia" w:ascii="宋体" w:eastAsia="宋体" w:cs="宋体"/>
                <w:color w:val="auto"/>
                <w:sz w:val="24"/>
                <w:szCs w:val="32"/>
                <w:highlight w:val="none"/>
              </w:rPr>
            </w:pPr>
            <w:r>
              <w:rPr>
                <w:rFonts w:hint="eastAsia" w:ascii="宋体" w:eastAsia="宋体" w:cs="宋体"/>
                <w:color w:val="auto"/>
                <w:sz w:val="24"/>
                <w:szCs w:val="32"/>
                <w:highlight w:val="none"/>
              </w:rPr>
              <w:t>是：</w:t>
            </w:r>
            <w:r>
              <w:rPr>
                <w:rFonts w:hint="eastAsia" w:ascii="宋体" w:eastAsia="宋体" w:cs="宋体"/>
                <w:color w:val="auto"/>
                <w:highlight w:val="none"/>
              </w:rPr>
              <w:fldChar w:fldCharType="begin"/>
            </w:r>
            <w:r>
              <w:rPr>
                <w:rFonts w:hint="eastAsia" w:ascii="宋体" w:eastAsia="宋体" w:cs="宋体"/>
                <w:color w:val="auto"/>
                <w:highlight w:val="none"/>
              </w:rPr>
              <w:instrText xml:space="preserve">AUTOTEXT  input539 \* MERGEFORMAT</w:instrText>
            </w:r>
            <w:r>
              <w:rPr>
                <w:rFonts w:hint="eastAsia" w:ascii="宋体" w:eastAsia="宋体" w:cs="宋体"/>
                <w:color w:val="auto"/>
                <w:highlight w:val="none"/>
              </w:rPr>
              <w:fldChar w:fldCharType="separate"/>
            </w:r>
            <w:r>
              <w:rPr>
                <w:rFonts w:hint="eastAsia" w:ascii="宋体" w:eastAsia="宋体" w:cs="宋体"/>
                <w:color w:val="auto"/>
                <w:sz w:val="32"/>
                <w:szCs w:val="32"/>
                <w:highlight w:val="none"/>
              </w:rPr>
              <w:t>☑</w:t>
            </w:r>
            <w:r>
              <w:rPr>
                <w:rFonts w:hint="eastAsia" w:ascii="宋体" w:eastAsia="宋体" w:cs="宋体"/>
                <w:color w:val="auto"/>
                <w:sz w:val="32"/>
                <w:szCs w:val="32"/>
                <w:highlight w:val="none"/>
              </w:rPr>
              <w:fldChar w:fldCharType="end"/>
            </w:r>
          </w:p>
        </w:tc>
        <w:tc>
          <w:tcPr>
            <w:tcW w:w="1933" w:type="dxa"/>
            <w:tcBorders>
              <w:top w:val="single" w:color="000000" w:sz="4" w:space="0"/>
              <w:left w:val="single" w:color="000000" w:sz="4" w:space="0"/>
              <w:bottom w:val="single" w:color="000000" w:sz="4" w:space="0"/>
              <w:right w:val="single" w:color="000000" w:sz="4" w:space="0"/>
            </w:tcBorders>
            <w:noWrap/>
          </w:tcPr>
          <w:p w14:paraId="0F371BF0">
            <w:pPr>
              <w:spacing w:line="240" w:lineRule="auto"/>
              <w:rPr>
                <w:rFonts w:hint="eastAsia" w:ascii="宋体" w:eastAsia="宋体" w:cs="宋体"/>
                <w:color w:val="auto"/>
                <w:sz w:val="24"/>
                <w:szCs w:val="32"/>
                <w:highlight w:val="none"/>
              </w:rPr>
            </w:pPr>
            <w:r>
              <w:rPr>
                <w:rFonts w:hint="eastAsia" w:ascii="宋体" w:eastAsia="宋体" w:cs="宋体"/>
                <w:color w:val="auto"/>
                <w:sz w:val="24"/>
                <w:szCs w:val="32"/>
                <w:highlight w:val="none"/>
                <w:lang w:val="en-US" w:eastAsia="zh-CN"/>
              </w:rPr>
              <w:t>兼</w:t>
            </w:r>
            <w:r>
              <w:rPr>
                <w:rFonts w:hint="eastAsia" w:ascii="宋体" w:eastAsia="宋体" w:cs="宋体"/>
                <w:color w:val="auto"/>
                <w:sz w:val="24"/>
                <w:szCs w:val="32"/>
                <w:highlight w:val="none"/>
              </w:rPr>
              <w:t>职：</w:t>
            </w:r>
            <w:r>
              <w:rPr>
                <w:rFonts w:hint="eastAsia" w:ascii="宋体" w:eastAsia="宋体" w:cs="宋体"/>
                <w:color w:val="auto"/>
                <w:highlight w:val="none"/>
              </w:rPr>
              <w:fldChar w:fldCharType="begin"/>
            </w:r>
            <w:r>
              <w:rPr>
                <w:rFonts w:hint="eastAsia" w:ascii="宋体" w:eastAsia="宋体" w:cs="宋体"/>
                <w:color w:val="auto"/>
                <w:highlight w:val="none"/>
              </w:rPr>
              <w:instrText xml:space="preserve">AUTOTEXT  input539 \* MERGEFORMAT</w:instrText>
            </w:r>
            <w:r>
              <w:rPr>
                <w:rFonts w:hint="eastAsia" w:ascii="宋体" w:eastAsia="宋体" w:cs="宋体"/>
                <w:color w:val="auto"/>
                <w:highlight w:val="none"/>
              </w:rPr>
              <w:fldChar w:fldCharType="separate"/>
            </w:r>
            <w:r>
              <w:rPr>
                <w:rFonts w:hint="eastAsia" w:ascii="宋体" w:cs="宋体"/>
                <w:color w:val="auto"/>
                <w:sz w:val="32"/>
                <w:szCs w:val="32"/>
                <w:highlight w:val="none"/>
                <w:lang w:eastAsia="zh-CN"/>
              </w:rPr>
              <w:t>☑</w:t>
            </w:r>
            <w:r>
              <w:rPr>
                <w:rFonts w:hint="eastAsia" w:ascii="宋体" w:eastAsia="宋体" w:cs="宋体"/>
                <w:color w:val="auto"/>
                <w:sz w:val="32"/>
                <w:szCs w:val="32"/>
                <w:highlight w:val="none"/>
              </w:rPr>
              <w:fldChar w:fldCharType="end"/>
            </w:r>
          </w:p>
        </w:tc>
        <w:tc>
          <w:tcPr>
            <w:tcW w:w="1858" w:type="dxa"/>
            <w:vMerge w:val="continue"/>
            <w:tcBorders>
              <w:top w:val="single" w:color="000000" w:sz="4" w:space="0"/>
              <w:left w:val="single" w:color="000000" w:sz="4" w:space="0"/>
              <w:bottom w:val="single" w:color="000000" w:sz="4" w:space="0"/>
              <w:right w:val="single" w:color="000000" w:sz="4" w:space="0"/>
            </w:tcBorders>
            <w:noWrap/>
          </w:tcPr>
          <w:p w14:paraId="525C17F8">
            <w:pPr>
              <w:rPr>
                <w:color w:val="auto"/>
              </w:rPr>
            </w:pPr>
          </w:p>
        </w:tc>
      </w:tr>
      <w:tr w14:paraId="03A309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tcBorders>
              <w:top w:val="single" w:color="000000" w:sz="4" w:space="0"/>
              <w:left w:val="single" w:color="000000" w:sz="4" w:space="0"/>
              <w:bottom w:val="single" w:color="000000" w:sz="4" w:space="0"/>
              <w:right w:val="single" w:color="000000" w:sz="4" w:space="0"/>
            </w:tcBorders>
            <w:noWrap/>
          </w:tcPr>
          <w:p w14:paraId="62B234BA">
            <w:pPr>
              <w:spacing w:line="240" w:lineRule="auto"/>
              <w:jc w:val="center"/>
              <w:rPr>
                <w:rFonts w:hint="eastAsia" w:ascii="宋体" w:eastAsia="宋体" w:cs="宋体"/>
                <w:b/>
                <w:bCs/>
                <w:color w:val="auto"/>
                <w:sz w:val="24"/>
                <w:szCs w:val="32"/>
                <w:highlight w:val="none"/>
              </w:rPr>
            </w:pPr>
            <w:r>
              <w:rPr>
                <w:rFonts w:hint="eastAsia" w:ascii="宋体" w:eastAsia="宋体" w:cs="宋体"/>
                <w:b/>
                <w:bCs/>
                <w:color w:val="auto"/>
                <w:sz w:val="24"/>
                <w:szCs w:val="32"/>
                <w:highlight w:val="none"/>
              </w:rPr>
              <w:t>标准员</w:t>
            </w:r>
          </w:p>
        </w:tc>
        <w:tc>
          <w:tcPr>
            <w:tcW w:w="1843" w:type="dxa"/>
            <w:tcBorders>
              <w:top w:val="single" w:color="000000" w:sz="4" w:space="0"/>
              <w:left w:val="single" w:color="000000" w:sz="4" w:space="0"/>
              <w:bottom w:val="single" w:color="000000" w:sz="4" w:space="0"/>
              <w:right w:val="single" w:color="000000" w:sz="4" w:space="0"/>
            </w:tcBorders>
            <w:noWrap/>
          </w:tcPr>
          <w:p w14:paraId="30A93798">
            <w:pPr>
              <w:spacing w:line="240" w:lineRule="auto"/>
              <w:rPr>
                <w:rFonts w:hint="eastAsia" w:ascii="宋体" w:eastAsia="宋体" w:cs="宋体"/>
                <w:color w:val="auto"/>
                <w:highlight w:val="none"/>
                <w:u w:val="none"/>
              </w:rPr>
            </w:pPr>
            <w:r>
              <w:rPr>
                <w:rFonts w:hint="eastAsia" w:ascii="宋体" w:eastAsia="宋体" w:cs="宋体"/>
                <w:color w:val="auto"/>
                <w:highlight w:val="none"/>
                <w:u w:val="none"/>
              </w:rPr>
              <w:fldChar w:fldCharType="begin"/>
            </w:r>
            <w:r>
              <w:rPr>
                <w:rFonts w:hint="eastAsia" w:ascii="宋体" w:eastAsia="宋体" w:cs="宋体"/>
                <w:color w:val="auto"/>
                <w:highlight w:val="none"/>
                <w:u w:val="none"/>
              </w:rPr>
              <w:instrText xml:space="preserve">AUTOTEXT  input538 \* MERGEFORMAT</w:instrText>
            </w:r>
            <w:r>
              <w:rPr>
                <w:rFonts w:hint="eastAsia" w:ascii="宋体" w:eastAsia="宋体" w:cs="宋体"/>
                <w:color w:val="auto"/>
                <w:highlight w:val="none"/>
                <w:u w:val="none"/>
              </w:rPr>
              <w:fldChar w:fldCharType="separate"/>
            </w:r>
            <w:r>
              <w:rPr>
                <w:rFonts w:hint="eastAsia" w:ascii="宋体" w:eastAsia="宋体" w:cs="宋体"/>
                <w:color w:val="auto"/>
                <w:highlight w:val="none"/>
                <w:u w:val="none"/>
              </w:rPr>
              <w:t>1</w:t>
            </w:r>
            <w:r>
              <w:rPr>
                <w:rFonts w:hint="eastAsia" w:ascii="宋体" w:eastAsia="宋体" w:cs="宋体"/>
                <w:color w:val="auto"/>
                <w:highlight w:val="none"/>
                <w:u w:val="none"/>
              </w:rPr>
              <w:fldChar w:fldCharType="end"/>
            </w:r>
          </w:p>
        </w:tc>
        <w:tc>
          <w:tcPr>
            <w:tcW w:w="2126" w:type="dxa"/>
            <w:tcBorders>
              <w:top w:val="single" w:color="000000" w:sz="4" w:space="0"/>
              <w:left w:val="single" w:color="000000" w:sz="4" w:space="0"/>
              <w:bottom w:val="single" w:color="000000" w:sz="4" w:space="0"/>
              <w:right w:val="single" w:color="000000" w:sz="4" w:space="0"/>
            </w:tcBorders>
            <w:noWrap/>
          </w:tcPr>
          <w:p w14:paraId="5B9A3C05">
            <w:pPr>
              <w:spacing w:line="240" w:lineRule="auto"/>
              <w:rPr>
                <w:rFonts w:hint="eastAsia" w:ascii="宋体" w:eastAsia="宋体" w:cs="宋体"/>
                <w:color w:val="auto"/>
                <w:sz w:val="24"/>
                <w:szCs w:val="32"/>
                <w:highlight w:val="none"/>
              </w:rPr>
            </w:pPr>
            <w:r>
              <w:rPr>
                <w:rFonts w:hint="eastAsia" w:ascii="宋体" w:eastAsia="宋体" w:cs="宋体"/>
                <w:color w:val="auto"/>
                <w:sz w:val="24"/>
                <w:szCs w:val="32"/>
                <w:highlight w:val="none"/>
              </w:rPr>
              <w:t>是：</w:t>
            </w:r>
            <w:r>
              <w:rPr>
                <w:rFonts w:hint="eastAsia" w:ascii="宋体" w:eastAsia="宋体" w:cs="宋体"/>
                <w:color w:val="auto"/>
                <w:highlight w:val="none"/>
              </w:rPr>
              <w:fldChar w:fldCharType="begin"/>
            </w:r>
            <w:r>
              <w:rPr>
                <w:rFonts w:hint="eastAsia" w:ascii="宋体" w:eastAsia="宋体" w:cs="宋体"/>
                <w:color w:val="auto"/>
                <w:highlight w:val="none"/>
              </w:rPr>
              <w:instrText xml:space="preserve">AUTOTEXT  input539 \* MERGEFORMAT</w:instrText>
            </w:r>
            <w:r>
              <w:rPr>
                <w:rFonts w:hint="eastAsia" w:ascii="宋体" w:eastAsia="宋体" w:cs="宋体"/>
                <w:color w:val="auto"/>
                <w:highlight w:val="none"/>
              </w:rPr>
              <w:fldChar w:fldCharType="separate"/>
            </w:r>
            <w:r>
              <w:rPr>
                <w:rFonts w:hint="eastAsia" w:ascii="宋体" w:eastAsia="宋体" w:cs="宋体"/>
                <w:color w:val="auto"/>
                <w:sz w:val="32"/>
                <w:szCs w:val="32"/>
                <w:highlight w:val="none"/>
              </w:rPr>
              <w:t>☑</w:t>
            </w:r>
            <w:r>
              <w:rPr>
                <w:rFonts w:hint="eastAsia" w:ascii="宋体" w:eastAsia="宋体" w:cs="宋体"/>
                <w:color w:val="auto"/>
                <w:sz w:val="32"/>
                <w:szCs w:val="32"/>
                <w:highlight w:val="none"/>
              </w:rPr>
              <w:fldChar w:fldCharType="end"/>
            </w:r>
          </w:p>
        </w:tc>
        <w:tc>
          <w:tcPr>
            <w:tcW w:w="1933" w:type="dxa"/>
            <w:tcBorders>
              <w:top w:val="single" w:color="000000" w:sz="4" w:space="0"/>
              <w:left w:val="single" w:color="000000" w:sz="4" w:space="0"/>
              <w:bottom w:val="single" w:color="000000" w:sz="4" w:space="0"/>
              <w:right w:val="single" w:color="000000" w:sz="4" w:space="0"/>
            </w:tcBorders>
            <w:noWrap/>
          </w:tcPr>
          <w:p w14:paraId="2868E789">
            <w:pPr>
              <w:spacing w:line="240" w:lineRule="auto"/>
              <w:rPr>
                <w:rFonts w:hint="eastAsia" w:ascii="宋体" w:eastAsia="宋体" w:cs="宋体"/>
                <w:color w:val="auto"/>
                <w:sz w:val="24"/>
                <w:szCs w:val="32"/>
                <w:highlight w:val="none"/>
              </w:rPr>
            </w:pPr>
            <w:r>
              <w:rPr>
                <w:rFonts w:hint="eastAsia" w:ascii="宋体" w:eastAsia="宋体" w:cs="宋体"/>
                <w:color w:val="auto"/>
                <w:sz w:val="24"/>
                <w:szCs w:val="32"/>
                <w:highlight w:val="none"/>
                <w:lang w:val="en-US" w:eastAsia="zh-CN"/>
              </w:rPr>
              <w:t>兼</w:t>
            </w:r>
            <w:r>
              <w:rPr>
                <w:rFonts w:hint="eastAsia" w:ascii="宋体" w:eastAsia="宋体" w:cs="宋体"/>
                <w:color w:val="auto"/>
                <w:sz w:val="24"/>
                <w:szCs w:val="32"/>
                <w:highlight w:val="none"/>
              </w:rPr>
              <w:t>职：</w:t>
            </w:r>
            <w:r>
              <w:rPr>
                <w:rFonts w:hint="eastAsia" w:ascii="宋体" w:eastAsia="宋体" w:cs="宋体"/>
                <w:color w:val="auto"/>
                <w:highlight w:val="none"/>
              </w:rPr>
              <w:fldChar w:fldCharType="begin"/>
            </w:r>
            <w:r>
              <w:rPr>
                <w:rFonts w:hint="eastAsia" w:ascii="宋体" w:eastAsia="宋体" w:cs="宋体"/>
                <w:color w:val="auto"/>
                <w:highlight w:val="none"/>
              </w:rPr>
              <w:instrText xml:space="preserve">AUTOTEXT  input539 \* MERGEFORMAT</w:instrText>
            </w:r>
            <w:r>
              <w:rPr>
                <w:rFonts w:hint="eastAsia" w:ascii="宋体" w:eastAsia="宋体" w:cs="宋体"/>
                <w:color w:val="auto"/>
                <w:highlight w:val="none"/>
              </w:rPr>
              <w:fldChar w:fldCharType="separate"/>
            </w:r>
            <w:r>
              <w:rPr>
                <w:rFonts w:hint="eastAsia" w:ascii="宋体" w:cs="宋体"/>
                <w:color w:val="auto"/>
                <w:sz w:val="32"/>
                <w:szCs w:val="32"/>
                <w:highlight w:val="none"/>
                <w:lang w:eastAsia="zh-CN"/>
              </w:rPr>
              <w:t>☑</w:t>
            </w:r>
            <w:r>
              <w:rPr>
                <w:rFonts w:hint="eastAsia" w:ascii="宋体" w:eastAsia="宋体" w:cs="宋体"/>
                <w:color w:val="auto"/>
                <w:sz w:val="32"/>
                <w:szCs w:val="32"/>
                <w:highlight w:val="none"/>
              </w:rPr>
              <w:fldChar w:fldCharType="end"/>
            </w:r>
          </w:p>
        </w:tc>
        <w:tc>
          <w:tcPr>
            <w:tcW w:w="1858" w:type="dxa"/>
            <w:vMerge w:val="continue"/>
            <w:tcBorders>
              <w:top w:val="single" w:color="000000" w:sz="4" w:space="0"/>
              <w:left w:val="single" w:color="000000" w:sz="4" w:space="0"/>
              <w:bottom w:val="single" w:color="000000" w:sz="4" w:space="0"/>
              <w:right w:val="single" w:color="000000" w:sz="4" w:space="0"/>
            </w:tcBorders>
            <w:noWrap/>
          </w:tcPr>
          <w:p w14:paraId="57AD9D00">
            <w:pPr>
              <w:rPr>
                <w:color w:val="auto"/>
              </w:rPr>
            </w:pPr>
          </w:p>
        </w:tc>
      </w:tr>
      <w:tr w14:paraId="320435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tcBorders>
              <w:top w:val="single" w:color="000000" w:sz="4" w:space="0"/>
              <w:left w:val="single" w:color="000000" w:sz="4" w:space="0"/>
              <w:bottom w:val="single" w:color="000000" w:sz="4" w:space="0"/>
              <w:right w:val="single" w:color="000000" w:sz="4" w:space="0"/>
            </w:tcBorders>
            <w:noWrap/>
          </w:tcPr>
          <w:p w14:paraId="42742C86">
            <w:pPr>
              <w:spacing w:line="240" w:lineRule="auto"/>
              <w:jc w:val="center"/>
              <w:rPr>
                <w:rFonts w:hint="eastAsia" w:ascii="宋体" w:eastAsia="宋体" w:cs="宋体"/>
                <w:b/>
                <w:bCs/>
                <w:color w:val="auto"/>
                <w:sz w:val="24"/>
                <w:szCs w:val="32"/>
                <w:highlight w:val="none"/>
              </w:rPr>
            </w:pPr>
            <w:r>
              <w:rPr>
                <w:rFonts w:hint="eastAsia" w:ascii="宋体" w:eastAsia="宋体" w:cs="宋体"/>
                <w:b/>
                <w:bCs/>
                <w:color w:val="auto"/>
                <w:sz w:val="24"/>
                <w:szCs w:val="32"/>
                <w:highlight w:val="none"/>
              </w:rPr>
              <w:t>材料员</w:t>
            </w:r>
          </w:p>
        </w:tc>
        <w:tc>
          <w:tcPr>
            <w:tcW w:w="1843" w:type="dxa"/>
            <w:tcBorders>
              <w:top w:val="single" w:color="000000" w:sz="4" w:space="0"/>
              <w:left w:val="single" w:color="000000" w:sz="4" w:space="0"/>
              <w:bottom w:val="single" w:color="000000" w:sz="4" w:space="0"/>
              <w:right w:val="single" w:color="000000" w:sz="4" w:space="0"/>
            </w:tcBorders>
            <w:noWrap/>
          </w:tcPr>
          <w:p w14:paraId="30324295">
            <w:pPr>
              <w:spacing w:line="240" w:lineRule="auto"/>
              <w:rPr>
                <w:rFonts w:hint="eastAsia" w:ascii="宋体" w:eastAsia="宋体" w:cs="宋体"/>
                <w:color w:val="auto"/>
                <w:highlight w:val="none"/>
                <w:u w:val="none"/>
              </w:rPr>
            </w:pPr>
            <w:r>
              <w:rPr>
                <w:rFonts w:hint="eastAsia" w:ascii="宋体" w:eastAsia="宋体" w:cs="宋体"/>
                <w:color w:val="auto"/>
                <w:highlight w:val="none"/>
                <w:u w:val="none"/>
              </w:rPr>
              <w:fldChar w:fldCharType="begin"/>
            </w:r>
            <w:r>
              <w:rPr>
                <w:rFonts w:hint="eastAsia" w:ascii="宋体" w:eastAsia="宋体" w:cs="宋体"/>
                <w:color w:val="auto"/>
                <w:highlight w:val="none"/>
                <w:u w:val="none"/>
              </w:rPr>
              <w:instrText xml:space="preserve">AUTOTEXT  input538 \* MERGEFORMAT</w:instrText>
            </w:r>
            <w:r>
              <w:rPr>
                <w:rFonts w:hint="eastAsia" w:ascii="宋体" w:eastAsia="宋体" w:cs="宋体"/>
                <w:color w:val="auto"/>
                <w:highlight w:val="none"/>
                <w:u w:val="none"/>
              </w:rPr>
              <w:fldChar w:fldCharType="separate"/>
            </w:r>
            <w:r>
              <w:rPr>
                <w:rFonts w:hint="eastAsia" w:ascii="宋体" w:eastAsia="宋体" w:cs="宋体"/>
                <w:color w:val="auto"/>
                <w:highlight w:val="none"/>
                <w:u w:val="none"/>
              </w:rPr>
              <w:t>1</w:t>
            </w:r>
            <w:r>
              <w:rPr>
                <w:rFonts w:hint="eastAsia" w:ascii="宋体" w:eastAsia="宋体" w:cs="宋体"/>
                <w:color w:val="auto"/>
                <w:highlight w:val="none"/>
                <w:u w:val="none"/>
              </w:rPr>
              <w:fldChar w:fldCharType="end"/>
            </w:r>
          </w:p>
        </w:tc>
        <w:tc>
          <w:tcPr>
            <w:tcW w:w="2126" w:type="dxa"/>
            <w:tcBorders>
              <w:top w:val="single" w:color="000000" w:sz="4" w:space="0"/>
              <w:left w:val="single" w:color="000000" w:sz="4" w:space="0"/>
              <w:bottom w:val="single" w:color="000000" w:sz="4" w:space="0"/>
              <w:right w:val="single" w:color="000000" w:sz="4" w:space="0"/>
            </w:tcBorders>
            <w:noWrap/>
          </w:tcPr>
          <w:p w14:paraId="52BDC58D">
            <w:pPr>
              <w:spacing w:line="240" w:lineRule="auto"/>
              <w:rPr>
                <w:rFonts w:hint="eastAsia" w:ascii="宋体" w:eastAsia="宋体" w:cs="宋体"/>
                <w:color w:val="auto"/>
                <w:sz w:val="24"/>
                <w:szCs w:val="32"/>
                <w:highlight w:val="none"/>
              </w:rPr>
            </w:pPr>
            <w:r>
              <w:rPr>
                <w:rFonts w:hint="eastAsia" w:ascii="宋体" w:eastAsia="宋体" w:cs="宋体"/>
                <w:color w:val="auto"/>
                <w:sz w:val="24"/>
                <w:szCs w:val="32"/>
                <w:highlight w:val="none"/>
              </w:rPr>
              <w:t>是：</w:t>
            </w:r>
            <w:r>
              <w:rPr>
                <w:rFonts w:hint="eastAsia" w:ascii="宋体" w:eastAsia="宋体" w:cs="宋体"/>
                <w:color w:val="auto"/>
                <w:highlight w:val="none"/>
              </w:rPr>
              <w:fldChar w:fldCharType="begin"/>
            </w:r>
            <w:r>
              <w:rPr>
                <w:rFonts w:hint="eastAsia" w:ascii="宋体" w:eastAsia="宋体" w:cs="宋体"/>
                <w:color w:val="auto"/>
                <w:highlight w:val="none"/>
              </w:rPr>
              <w:instrText xml:space="preserve">AUTOTEXT  input539 \* MERGEFORMAT</w:instrText>
            </w:r>
            <w:r>
              <w:rPr>
                <w:rFonts w:hint="eastAsia" w:ascii="宋体" w:eastAsia="宋体" w:cs="宋体"/>
                <w:color w:val="auto"/>
                <w:highlight w:val="none"/>
              </w:rPr>
              <w:fldChar w:fldCharType="separate"/>
            </w:r>
            <w:r>
              <w:rPr>
                <w:rFonts w:hint="eastAsia" w:ascii="宋体" w:eastAsia="宋体" w:cs="宋体"/>
                <w:color w:val="auto"/>
                <w:sz w:val="32"/>
                <w:szCs w:val="32"/>
                <w:highlight w:val="none"/>
              </w:rPr>
              <w:t>☑</w:t>
            </w:r>
            <w:r>
              <w:rPr>
                <w:rFonts w:hint="eastAsia" w:ascii="宋体" w:eastAsia="宋体" w:cs="宋体"/>
                <w:color w:val="auto"/>
                <w:sz w:val="32"/>
                <w:szCs w:val="32"/>
                <w:highlight w:val="none"/>
              </w:rPr>
              <w:fldChar w:fldCharType="end"/>
            </w:r>
          </w:p>
        </w:tc>
        <w:tc>
          <w:tcPr>
            <w:tcW w:w="1933" w:type="dxa"/>
            <w:tcBorders>
              <w:top w:val="single" w:color="000000" w:sz="4" w:space="0"/>
              <w:left w:val="single" w:color="000000" w:sz="4" w:space="0"/>
              <w:bottom w:val="single" w:color="000000" w:sz="4" w:space="0"/>
              <w:right w:val="single" w:color="000000" w:sz="4" w:space="0"/>
            </w:tcBorders>
            <w:noWrap/>
          </w:tcPr>
          <w:p w14:paraId="0F42A4BA">
            <w:pPr>
              <w:spacing w:line="240" w:lineRule="auto"/>
              <w:rPr>
                <w:rFonts w:hint="eastAsia" w:ascii="宋体" w:eastAsia="宋体" w:cs="宋体"/>
                <w:color w:val="auto"/>
                <w:sz w:val="24"/>
                <w:szCs w:val="32"/>
                <w:highlight w:val="none"/>
              </w:rPr>
            </w:pPr>
            <w:r>
              <w:rPr>
                <w:rFonts w:hint="eastAsia" w:ascii="宋体" w:eastAsia="宋体" w:cs="宋体"/>
                <w:color w:val="auto"/>
                <w:sz w:val="24"/>
                <w:szCs w:val="32"/>
                <w:highlight w:val="none"/>
                <w:lang w:val="en-US" w:eastAsia="zh-CN"/>
              </w:rPr>
              <w:t>兼</w:t>
            </w:r>
            <w:r>
              <w:rPr>
                <w:rFonts w:hint="eastAsia" w:ascii="宋体" w:eastAsia="宋体" w:cs="宋体"/>
                <w:color w:val="auto"/>
                <w:sz w:val="24"/>
                <w:szCs w:val="32"/>
                <w:highlight w:val="none"/>
              </w:rPr>
              <w:t>职：</w:t>
            </w:r>
            <w:r>
              <w:rPr>
                <w:rFonts w:hint="eastAsia" w:ascii="宋体" w:eastAsia="宋体" w:cs="宋体"/>
                <w:color w:val="auto"/>
                <w:highlight w:val="none"/>
              </w:rPr>
              <w:fldChar w:fldCharType="begin"/>
            </w:r>
            <w:r>
              <w:rPr>
                <w:rFonts w:hint="eastAsia" w:ascii="宋体" w:eastAsia="宋体" w:cs="宋体"/>
                <w:color w:val="auto"/>
                <w:highlight w:val="none"/>
              </w:rPr>
              <w:instrText xml:space="preserve">AUTOTEXT  input539 \* MERGEFORMAT</w:instrText>
            </w:r>
            <w:r>
              <w:rPr>
                <w:rFonts w:hint="eastAsia" w:ascii="宋体" w:eastAsia="宋体" w:cs="宋体"/>
                <w:color w:val="auto"/>
                <w:highlight w:val="none"/>
              </w:rPr>
              <w:fldChar w:fldCharType="separate"/>
            </w:r>
            <w:r>
              <w:rPr>
                <w:rFonts w:hint="eastAsia" w:ascii="宋体" w:cs="宋体"/>
                <w:color w:val="auto"/>
                <w:sz w:val="32"/>
                <w:szCs w:val="32"/>
                <w:highlight w:val="none"/>
                <w:lang w:eastAsia="zh-CN"/>
              </w:rPr>
              <w:t>☑</w:t>
            </w:r>
            <w:r>
              <w:rPr>
                <w:rFonts w:hint="eastAsia" w:ascii="宋体" w:eastAsia="宋体" w:cs="宋体"/>
                <w:color w:val="auto"/>
                <w:sz w:val="32"/>
                <w:szCs w:val="32"/>
                <w:highlight w:val="none"/>
              </w:rPr>
              <w:fldChar w:fldCharType="end"/>
            </w:r>
          </w:p>
        </w:tc>
        <w:tc>
          <w:tcPr>
            <w:tcW w:w="1858" w:type="dxa"/>
            <w:vMerge w:val="continue"/>
            <w:tcBorders>
              <w:top w:val="single" w:color="000000" w:sz="4" w:space="0"/>
              <w:left w:val="single" w:color="000000" w:sz="4" w:space="0"/>
              <w:bottom w:val="single" w:color="000000" w:sz="4" w:space="0"/>
              <w:right w:val="single" w:color="000000" w:sz="4" w:space="0"/>
            </w:tcBorders>
            <w:noWrap/>
          </w:tcPr>
          <w:p w14:paraId="7892BF5B">
            <w:pPr>
              <w:rPr>
                <w:color w:val="auto"/>
              </w:rPr>
            </w:pPr>
          </w:p>
        </w:tc>
      </w:tr>
      <w:tr w14:paraId="65325F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tcBorders>
              <w:top w:val="single" w:color="000000" w:sz="4" w:space="0"/>
              <w:left w:val="single" w:color="000000" w:sz="4" w:space="0"/>
              <w:bottom w:val="single" w:color="000000" w:sz="4" w:space="0"/>
              <w:right w:val="single" w:color="000000" w:sz="4" w:space="0"/>
            </w:tcBorders>
            <w:noWrap/>
          </w:tcPr>
          <w:p w14:paraId="434BFF15">
            <w:pPr>
              <w:spacing w:line="240" w:lineRule="auto"/>
              <w:jc w:val="center"/>
              <w:rPr>
                <w:rFonts w:hint="eastAsia" w:ascii="宋体" w:eastAsia="宋体" w:cs="宋体"/>
                <w:b/>
                <w:bCs/>
                <w:color w:val="auto"/>
                <w:sz w:val="24"/>
                <w:szCs w:val="32"/>
                <w:highlight w:val="none"/>
              </w:rPr>
            </w:pPr>
            <w:r>
              <w:rPr>
                <w:rFonts w:hint="eastAsia" w:ascii="宋体" w:eastAsia="宋体" w:cs="宋体"/>
                <w:b/>
                <w:bCs/>
                <w:color w:val="auto"/>
                <w:sz w:val="24"/>
                <w:szCs w:val="32"/>
                <w:highlight w:val="none"/>
              </w:rPr>
              <w:t>机械员</w:t>
            </w:r>
          </w:p>
        </w:tc>
        <w:tc>
          <w:tcPr>
            <w:tcW w:w="1843" w:type="dxa"/>
            <w:tcBorders>
              <w:top w:val="single" w:color="000000" w:sz="4" w:space="0"/>
              <w:left w:val="single" w:color="000000" w:sz="4" w:space="0"/>
              <w:bottom w:val="single" w:color="000000" w:sz="4" w:space="0"/>
              <w:right w:val="single" w:color="000000" w:sz="4" w:space="0"/>
            </w:tcBorders>
            <w:noWrap/>
          </w:tcPr>
          <w:p w14:paraId="7F9917E9">
            <w:pPr>
              <w:spacing w:line="240" w:lineRule="auto"/>
              <w:rPr>
                <w:rFonts w:hint="eastAsia" w:ascii="宋体" w:eastAsia="宋体" w:cs="宋体"/>
                <w:color w:val="auto"/>
                <w:highlight w:val="none"/>
                <w:u w:val="none"/>
              </w:rPr>
            </w:pPr>
            <w:r>
              <w:rPr>
                <w:rFonts w:hint="eastAsia" w:ascii="宋体" w:eastAsia="宋体" w:cs="宋体"/>
                <w:color w:val="auto"/>
                <w:highlight w:val="none"/>
                <w:u w:val="none"/>
              </w:rPr>
              <w:fldChar w:fldCharType="begin"/>
            </w:r>
            <w:r>
              <w:rPr>
                <w:rFonts w:hint="eastAsia" w:ascii="宋体" w:eastAsia="宋体" w:cs="宋体"/>
                <w:color w:val="auto"/>
                <w:highlight w:val="none"/>
                <w:u w:val="none"/>
              </w:rPr>
              <w:instrText xml:space="preserve">AUTOTEXT  input538 \* MERGEFORMAT</w:instrText>
            </w:r>
            <w:r>
              <w:rPr>
                <w:rFonts w:hint="eastAsia" w:ascii="宋体" w:eastAsia="宋体" w:cs="宋体"/>
                <w:color w:val="auto"/>
                <w:highlight w:val="none"/>
                <w:u w:val="none"/>
              </w:rPr>
              <w:fldChar w:fldCharType="separate"/>
            </w:r>
            <w:r>
              <w:rPr>
                <w:rFonts w:hint="eastAsia" w:ascii="宋体" w:eastAsia="宋体" w:cs="宋体"/>
                <w:color w:val="auto"/>
                <w:highlight w:val="none"/>
                <w:u w:val="none"/>
              </w:rPr>
              <w:t>1</w:t>
            </w:r>
            <w:r>
              <w:rPr>
                <w:rFonts w:hint="eastAsia" w:ascii="宋体" w:eastAsia="宋体" w:cs="宋体"/>
                <w:color w:val="auto"/>
                <w:highlight w:val="none"/>
                <w:u w:val="none"/>
              </w:rPr>
              <w:fldChar w:fldCharType="end"/>
            </w:r>
          </w:p>
        </w:tc>
        <w:tc>
          <w:tcPr>
            <w:tcW w:w="2126" w:type="dxa"/>
            <w:tcBorders>
              <w:top w:val="single" w:color="000000" w:sz="4" w:space="0"/>
              <w:left w:val="single" w:color="000000" w:sz="4" w:space="0"/>
              <w:bottom w:val="single" w:color="000000" w:sz="4" w:space="0"/>
              <w:right w:val="single" w:color="000000" w:sz="4" w:space="0"/>
            </w:tcBorders>
            <w:noWrap/>
          </w:tcPr>
          <w:p w14:paraId="22A44939">
            <w:pPr>
              <w:spacing w:line="240" w:lineRule="auto"/>
              <w:rPr>
                <w:rFonts w:hint="eastAsia" w:ascii="宋体" w:eastAsia="宋体" w:cs="宋体"/>
                <w:color w:val="auto"/>
                <w:sz w:val="24"/>
                <w:szCs w:val="32"/>
                <w:highlight w:val="none"/>
              </w:rPr>
            </w:pPr>
            <w:r>
              <w:rPr>
                <w:rFonts w:hint="eastAsia" w:ascii="宋体" w:eastAsia="宋体" w:cs="宋体"/>
                <w:color w:val="auto"/>
                <w:sz w:val="24"/>
                <w:szCs w:val="32"/>
                <w:highlight w:val="none"/>
              </w:rPr>
              <w:t>是：</w:t>
            </w:r>
            <w:r>
              <w:rPr>
                <w:rFonts w:hint="eastAsia" w:ascii="宋体" w:eastAsia="宋体" w:cs="宋体"/>
                <w:color w:val="auto"/>
                <w:highlight w:val="none"/>
              </w:rPr>
              <w:fldChar w:fldCharType="begin"/>
            </w:r>
            <w:r>
              <w:rPr>
                <w:rFonts w:hint="eastAsia" w:ascii="宋体" w:eastAsia="宋体" w:cs="宋体"/>
                <w:color w:val="auto"/>
                <w:highlight w:val="none"/>
              </w:rPr>
              <w:instrText xml:space="preserve">AUTOTEXT  input539 \* MERGEFORMAT</w:instrText>
            </w:r>
            <w:r>
              <w:rPr>
                <w:rFonts w:hint="eastAsia" w:ascii="宋体" w:eastAsia="宋体" w:cs="宋体"/>
                <w:color w:val="auto"/>
                <w:highlight w:val="none"/>
              </w:rPr>
              <w:fldChar w:fldCharType="separate"/>
            </w:r>
            <w:r>
              <w:rPr>
                <w:rFonts w:hint="eastAsia" w:ascii="宋体" w:eastAsia="宋体" w:cs="宋体"/>
                <w:color w:val="auto"/>
                <w:sz w:val="32"/>
                <w:szCs w:val="32"/>
                <w:highlight w:val="none"/>
              </w:rPr>
              <w:t>☑</w:t>
            </w:r>
            <w:r>
              <w:rPr>
                <w:rFonts w:hint="eastAsia" w:ascii="宋体" w:eastAsia="宋体" w:cs="宋体"/>
                <w:color w:val="auto"/>
                <w:sz w:val="32"/>
                <w:szCs w:val="32"/>
                <w:highlight w:val="none"/>
              </w:rPr>
              <w:fldChar w:fldCharType="end"/>
            </w:r>
          </w:p>
        </w:tc>
        <w:tc>
          <w:tcPr>
            <w:tcW w:w="1933" w:type="dxa"/>
            <w:tcBorders>
              <w:top w:val="single" w:color="000000" w:sz="4" w:space="0"/>
              <w:left w:val="single" w:color="000000" w:sz="4" w:space="0"/>
              <w:bottom w:val="single" w:color="000000" w:sz="4" w:space="0"/>
              <w:right w:val="single" w:color="000000" w:sz="4" w:space="0"/>
            </w:tcBorders>
            <w:noWrap/>
          </w:tcPr>
          <w:p w14:paraId="6CC373C8">
            <w:pPr>
              <w:spacing w:line="240" w:lineRule="auto"/>
              <w:rPr>
                <w:rFonts w:hint="eastAsia" w:ascii="宋体" w:eastAsia="宋体" w:cs="宋体"/>
                <w:color w:val="auto"/>
                <w:sz w:val="24"/>
                <w:szCs w:val="32"/>
                <w:highlight w:val="none"/>
              </w:rPr>
            </w:pPr>
            <w:r>
              <w:rPr>
                <w:rFonts w:hint="eastAsia" w:ascii="宋体" w:eastAsia="宋体" w:cs="宋体"/>
                <w:color w:val="auto"/>
                <w:sz w:val="24"/>
                <w:szCs w:val="32"/>
                <w:highlight w:val="none"/>
                <w:lang w:val="en-US" w:eastAsia="zh-CN"/>
              </w:rPr>
              <w:t>兼</w:t>
            </w:r>
            <w:r>
              <w:rPr>
                <w:rFonts w:hint="eastAsia" w:ascii="宋体" w:eastAsia="宋体" w:cs="宋体"/>
                <w:color w:val="auto"/>
                <w:sz w:val="24"/>
                <w:szCs w:val="32"/>
                <w:highlight w:val="none"/>
              </w:rPr>
              <w:t>职：</w:t>
            </w:r>
            <w:r>
              <w:rPr>
                <w:rFonts w:hint="eastAsia" w:ascii="宋体" w:eastAsia="宋体" w:cs="宋体"/>
                <w:color w:val="auto"/>
                <w:highlight w:val="none"/>
              </w:rPr>
              <w:fldChar w:fldCharType="begin"/>
            </w:r>
            <w:r>
              <w:rPr>
                <w:rFonts w:hint="eastAsia" w:ascii="宋体" w:eastAsia="宋体" w:cs="宋体"/>
                <w:color w:val="auto"/>
                <w:highlight w:val="none"/>
              </w:rPr>
              <w:instrText xml:space="preserve">AUTOTEXT  input539 \* MERGEFORMAT</w:instrText>
            </w:r>
            <w:r>
              <w:rPr>
                <w:rFonts w:hint="eastAsia" w:ascii="宋体" w:eastAsia="宋体" w:cs="宋体"/>
                <w:color w:val="auto"/>
                <w:highlight w:val="none"/>
              </w:rPr>
              <w:fldChar w:fldCharType="separate"/>
            </w:r>
            <w:r>
              <w:rPr>
                <w:rFonts w:hint="eastAsia" w:ascii="宋体" w:cs="宋体"/>
                <w:color w:val="auto"/>
                <w:sz w:val="32"/>
                <w:szCs w:val="32"/>
                <w:highlight w:val="none"/>
                <w:lang w:eastAsia="zh-CN"/>
              </w:rPr>
              <w:t>☑</w:t>
            </w:r>
            <w:r>
              <w:rPr>
                <w:rFonts w:hint="eastAsia" w:ascii="宋体" w:eastAsia="宋体" w:cs="宋体"/>
                <w:color w:val="auto"/>
                <w:sz w:val="32"/>
                <w:szCs w:val="32"/>
                <w:highlight w:val="none"/>
              </w:rPr>
              <w:fldChar w:fldCharType="end"/>
            </w:r>
          </w:p>
        </w:tc>
        <w:tc>
          <w:tcPr>
            <w:tcW w:w="1858" w:type="dxa"/>
            <w:vMerge w:val="continue"/>
            <w:tcBorders>
              <w:top w:val="single" w:color="000000" w:sz="4" w:space="0"/>
              <w:left w:val="single" w:color="000000" w:sz="4" w:space="0"/>
              <w:bottom w:val="single" w:color="000000" w:sz="4" w:space="0"/>
              <w:right w:val="single" w:color="000000" w:sz="4" w:space="0"/>
            </w:tcBorders>
            <w:noWrap/>
          </w:tcPr>
          <w:p w14:paraId="00EA0C96">
            <w:pPr>
              <w:rPr>
                <w:color w:val="auto"/>
              </w:rPr>
            </w:pPr>
          </w:p>
        </w:tc>
      </w:tr>
      <w:tr w14:paraId="403705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1526" w:type="dxa"/>
            <w:tcBorders>
              <w:top w:val="single" w:color="000000" w:sz="4" w:space="0"/>
              <w:left w:val="single" w:color="000000" w:sz="4" w:space="0"/>
              <w:bottom w:val="single" w:color="000000" w:sz="4" w:space="0"/>
              <w:right w:val="single" w:color="000000" w:sz="4" w:space="0"/>
            </w:tcBorders>
            <w:noWrap/>
          </w:tcPr>
          <w:p w14:paraId="275D1996">
            <w:pPr>
              <w:spacing w:line="240" w:lineRule="auto"/>
              <w:jc w:val="center"/>
              <w:rPr>
                <w:rFonts w:hint="eastAsia" w:ascii="宋体" w:eastAsia="宋体" w:cs="宋体"/>
                <w:b/>
                <w:bCs/>
                <w:color w:val="auto"/>
                <w:sz w:val="24"/>
                <w:szCs w:val="32"/>
                <w:highlight w:val="none"/>
              </w:rPr>
            </w:pPr>
            <w:r>
              <w:rPr>
                <w:rFonts w:hint="eastAsia" w:ascii="宋体" w:eastAsia="宋体" w:cs="宋体"/>
                <w:b/>
                <w:bCs/>
                <w:color w:val="auto"/>
                <w:sz w:val="24"/>
                <w:szCs w:val="32"/>
                <w:highlight w:val="none"/>
              </w:rPr>
              <w:t>劳务员</w:t>
            </w:r>
          </w:p>
        </w:tc>
        <w:tc>
          <w:tcPr>
            <w:tcW w:w="1843" w:type="dxa"/>
            <w:tcBorders>
              <w:top w:val="single" w:color="000000" w:sz="4" w:space="0"/>
              <w:left w:val="single" w:color="000000" w:sz="4" w:space="0"/>
              <w:bottom w:val="single" w:color="000000" w:sz="4" w:space="0"/>
              <w:right w:val="single" w:color="000000" w:sz="4" w:space="0"/>
            </w:tcBorders>
            <w:noWrap/>
          </w:tcPr>
          <w:p w14:paraId="266D8AF4">
            <w:pPr>
              <w:spacing w:line="240" w:lineRule="auto"/>
              <w:rPr>
                <w:rFonts w:hint="eastAsia" w:ascii="宋体" w:eastAsia="宋体" w:cs="宋体"/>
                <w:color w:val="auto"/>
                <w:highlight w:val="none"/>
                <w:u w:val="none"/>
              </w:rPr>
            </w:pPr>
            <w:r>
              <w:rPr>
                <w:rFonts w:hint="eastAsia" w:ascii="宋体" w:eastAsia="宋体" w:cs="宋体"/>
                <w:color w:val="auto"/>
                <w:highlight w:val="none"/>
                <w:u w:val="none"/>
              </w:rPr>
              <w:fldChar w:fldCharType="begin"/>
            </w:r>
            <w:r>
              <w:rPr>
                <w:rFonts w:hint="eastAsia" w:ascii="宋体" w:eastAsia="宋体" w:cs="宋体"/>
                <w:color w:val="auto"/>
                <w:highlight w:val="none"/>
                <w:u w:val="none"/>
              </w:rPr>
              <w:instrText xml:space="preserve">AUTOTEXT  input538 \* MERGEFORMAT</w:instrText>
            </w:r>
            <w:r>
              <w:rPr>
                <w:rFonts w:hint="eastAsia" w:ascii="宋体" w:eastAsia="宋体" w:cs="宋体"/>
                <w:color w:val="auto"/>
                <w:highlight w:val="none"/>
                <w:u w:val="none"/>
              </w:rPr>
              <w:fldChar w:fldCharType="separate"/>
            </w:r>
            <w:r>
              <w:rPr>
                <w:rFonts w:hint="eastAsia" w:ascii="宋体" w:eastAsia="宋体" w:cs="宋体"/>
                <w:color w:val="auto"/>
                <w:highlight w:val="none"/>
                <w:u w:val="none"/>
              </w:rPr>
              <w:t>1</w:t>
            </w:r>
            <w:r>
              <w:rPr>
                <w:rFonts w:hint="eastAsia" w:ascii="宋体" w:eastAsia="宋体" w:cs="宋体"/>
                <w:color w:val="auto"/>
                <w:highlight w:val="none"/>
                <w:u w:val="none"/>
              </w:rPr>
              <w:fldChar w:fldCharType="end"/>
            </w:r>
          </w:p>
        </w:tc>
        <w:tc>
          <w:tcPr>
            <w:tcW w:w="2126" w:type="dxa"/>
            <w:tcBorders>
              <w:top w:val="single" w:color="000000" w:sz="4" w:space="0"/>
              <w:left w:val="single" w:color="000000" w:sz="4" w:space="0"/>
              <w:bottom w:val="single" w:color="000000" w:sz="4" w:space="0"/>
              <w:right w:val="single" w:color="000000" w:sz="4" w:space="0"/>
            </w:tcBorders>
            <w:noWrap/>
          </w:tcPr>
          <w:p w14:paraId="6316FF41">
            <w:pPr>
              <w:spacing w:line="240" w:lineRule="auto"/>
              <w:rPr>
                <w:rFonts w:hint="eastAsia" w:ascii="宋体" w:eastAsia="宋体" w:cs="宋体"/>
                <w:color w:val="auto"/>
                <w:sz w:val="24"/>
                <w:szCs w:val="32"/>
                <w:highlight w:val="none"/>
              </w:rPr>
            </w:pPr>
            <w:r>
              <w:rPr>
                <w:rFonts w:hint="eastAsia" w:ascii="宋体" w:eastAsia="宋体" w:cs="宋体"/>
                <w:color w:val="auto"/>
                <w:sz w:val="24"/>
                <w:szCs w:val="32"/>
                <w:highlight w:val="none"/>
              </w:rPr>
              <w:t>是：</w:t>
            </w:r>
            <w:r>
              <w:rPr>
                <w:rFonts w:hint="eastAsia" w:ascii="宋体" w:eastAsia="宋体" w:cs="宋体"/>
                <w:color w:val="auto"/>
                <w:highlight w:val="none"/>
              </w:rPr>
              <w:fldChar w:fldCharType="begin"/>
            </w:r>
            <w:r>
              <w:rPr>
                <w:rFonts w:hint="eastAsia" w:ascii="宋体" w:eastAsia="宋体" w:cs="宋体"/>
                <w:color w:val="auto"/>
                <w:highlight w:val="none"/>
              </w:rPr>
              <w:instrText xml:space="preserve">AUTOTEXT  input539 \* MERGEFORMAT</w:instrText>
            </w:r>
            <w:r>
              <w:rPr>
                <w:rFonts w:hint="eastAsia" w:ascii="宋体" w:eastAsia="宋体" w:cs="宋体"/>
                <w:color w:val="auto"/>
                <w:highlight w:val="none"/>
              </w:rPr>
              <w:fldChar w:fldCharType="separate"/>
            </w:r>
            <w:r>
              <w:rPr>
                <w:rFonts w:hint="eastAsia" w:ascii="宋体" w:eastAsia="宋体" w:cs="宋体"/>
                <w:color w:val="auto"/>
                <w:sz w:val="32"/>
                <w:szCs w:val="32"/>
                <w:highlight w:val="none"/>
              </w:rPr>
              <w:t>☑</w:t>
            </w:r>
            <w:r>
              <w:rPr>
                <w:rFonts w:hint="eastAsia" w:ascii="宋体" w:eastAsia="宋体" w:cs="宋体"/>
                <w:color w:val="auto"/>
                <w:sz w:val="32"/>
                <w:szCs w:val="32"/>
                <w:highlight w:val="none"/>
              </w:rPr>
              <w:fldChar w:fldCharType="end"/>
            </w:r>
          </w:p>
        </w:tc>
        <w:tc>
          <w:tcPr>
            <w:tcW w:w="1933" w:type="dxa"/>
            <w:tcBorders>
              <w:top w:val="single" w:color="000000" w:sz="4" w:space="0"/>
              <w:left w:val="single" w:color="000000" w:sz="4" w:space="0"/>
              <w:bottom w:val="single" w:color="000000" w:sz="4" w:space="0"/>
              <w:right w:val="single" w:color="000000" w:sz="4" w:space="0"/>
            </w:tcBorders>
            <w:noWrap/>
          </w:tcPr>
          <w:p w14:paraId="08859DA4">
            <w:pPr>
              <w:spacing w:line="240" w:lineRule="auto"/>
              <w:rPr>
                <w:rFonts w:hint="eastAsia" w:ascii="宋体" w:eastAsia="宋体" w:cs="宋体"/>
                <w:color w:val="auto"/>
                <w:sz w:val="24"/>
                <w:szCs w:val="32"/>
                <w:highlight w:val="none"/>
              </w:rPr>
            </w:pPr>
            <w:r>
              <w:rPr>
                <w:rFonts w:hint="eastAsia" w:ascii="宋体" w:eastAsia="宋体" w:cs="宋体"/>
                <w:color w:val="auto"/>
                <w:sz w:val="24"/>
                <w:szCs w:val="32"/>
                <w:highlight w:val="none"/>
                <w:lang w:val="en-US" w:eastAsia="zh-CN"/>
              </w:rPr>
              <w:t>兼</w:t>
            </w:r>
            <w:r>
              <w:rPr>
                <w:rFonts w:hint="eastAsia" w:ascii="宋体" w:eastAsia="宋体" w:cs="宋体"/>
                <w:color w:val="auto"/>
                <w:sz w:val="24"/>
                <w:szCs w:val="32"/>
                <w:highlight w:val="none"/>
              </w:rPr>
              <w:t>职：</w:t>
            </w:r>
            <w:r>
              <w:rPr>
                <w:rFonts w:hint="eastAsia" w:ascii="宋体" w:eastAsia="宋体" w:cs="宋体"/>
                <w:color w:val="auto"/>
                <w:highlight w:val="none"/>
              </w:rPr>
              <w:fldChar w:fldCharType="begin"/>
            </w:r>
            <w:r>
              <w:rPr>
                <w:rFonts w:hint="eastAsia" w:ascii="宋体" w:eastAsia="宋体" w:cs="宋体"/>
                <w:color w:val="auto"/>
                <w:highlight w:val="none"/>
              </w:rPr>
              <w:instrText xml:space="preserve">AUTOTEXT  input539 \* MERGEFORMAT</w:instrText>
            </w:r>
            <w:r>
              <w:rPr>
                <w:rFonts w:hint="eastAsia" w:ascii="宋体" w:eastAsia="宋体" w:cs="宋体"/>
                <w:color w:val="auto"/>
                <w:highlight w:val="none"/>
              </w:rPr>
              <w:fldChar w:fldCharType="separate"/>
            </w:r>
            <w:r>
              <w:rPr>
                <w:rFonts w:hint="eastAsia" w:ascii="宋体" w:cs="宋体"/>
                <w:color w:val="auto"/>
                <w:sz w:val="32"/>
                <w:szCs w:val="32"/>
                <w:highlight w:val="none"/>
                <w:lang w:eastAsia="zh-CN"/>
              </w:rPr>
              <w:t>☑</w:t>
            </w:r>
            <w:r>
              <w:rPr>
                <w:rFonts w:hint="eastAsia" w:ascii="宋体" w:eastAsia="宋体" w:cs="宋体"/>
                <w:color w:val="auto"/>
                <w:sz w:val="32"/>
                <w:szCs w:val="32"/>
                <w:highlight w:val="none"/>
              </w:rPr>
              <w:fldChar w:fldCharType="end"/>
            </w:r>
          </w:p>
        </w:tc>
        <w:tc>
          <w:tcPr>
            <w:tcW w:w="1858" w:type="dxa"/>
            <w:vMerge w:val="continue"/>
            <w:tcBorders>
              <w:top w:val="single" w:color="000000" w:sz="4" w:space="0"/>
              <w:left w:val="single" w:color="000000" w:sz="4" w:space="0"/>
              <w:bottom w:val="single" w:color="000000" w:sz="4" w:space="0"/>
              <w:right w:val="single" w:color="000000" w:sz="4" w:space="0"/>
            </w:tcBorders>
            <w:noWrap/>
          </w:tcPr>
          <w:p w14:paraId="0C43E273">
            <w:pPr>
              <w:rPr>
                <w:color w:val="auto"/>
              </w:rPr>
            </w:pPr>
          </w:p>
        </w:tc>
      </w:tr>
      <w:tr w14:paraId="5F093C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jc w:val="center"/>
        </w:trPr>
        <w:tc>
          <w:tcPr>
            <w:tcW w:w="1526" w:type="dxa"/>
            <w:tcBorders>
              <w:top w:val="single" w:color="000000" w:sz="4" w:space="0"/>
              <w:left w:val="single" w:color="000000" w:sz="4" w:space="0"/>
              <w:bottom w:val="single" w:color="000000" w:sz="4" w:space="0"/>
              <w:right w:val="single" w:color="000000" w:sz="4" w:space="0"/>
            </w:tcBorders>
            <w:noWrap/>
          </w:tcPr>
          <w:p w14:paraId="2D05DB2B">
            <w:pPr>
              <w:spacing w:line="240" w:lineRule="auto"/>
              <w:jc w:val="center"/>
              <w:rPr>
                <w:rFonts w:hint="eastAsia" w:ascii="宋体" w:eastAsia="宋体" w:cs="宋体"/>
                <w:b/>
                <w:bCs/>
                <w:color w:val="auto"/>
                <w:sz w:val="24"/>
                <w:szCs w:val="32"/>
                <w:highlight w:val="none"/>
              </w:rPr>
            </w:pPr>
            <w:r>
              <w:rPr>
                <w:rFonts w:hint="eastAsia" w:ascii="宋体" w:eastAsia="宋体" w:cs="宋体"/>
                <w:b/>
                <w:bCs/>
                <w:color w:val="auto"/>
                <w:sz w:val="24"/>
                <w:szCs w:val="32"/>
                <w:highlight w:val="none"/>
              </w:rPr>
              <w:t>资料员</w:t>
            </w:r>
          </w:p>
        </w:tc>
        <w:tc>
          <w:tcPr>
            <w:tcW w:w="1843" w:type="dxa"/>
            <w:tcBorders>
              <w:top w:val="single" w:color="000000" w:sz="4" w:space="0"/>
              <w:left w:val="single" w:color="000000" w:sz="4" w:space="0"/>
              <w:bottom w:val="single" w:color="000000" w:sz="4" w:space="0"/>
              <w:right w:val="single" w:color="000000" w:sz="4" w:space="0"/>
            </w:tcBorders>
            <w:noWrap/>
          </w:tcPr>
          <w:p w14:paraId="49B93453">
            <w:pPr>
              <w:spacing w:line="240" w:lineRule="auto"/>
              <w:rPr>
                <w:rFonts w:hint="eastAsia" w:ascii="宋体" w:eastAsia="宋体" w:cs="宋体"/>
                <w:color w:val="auto"/>
                <w:highlight w:val="none"/>
                <w:u w:val="none"/>
              </w:rPr>
            </w:pPr>
            <w:r>
              <w:rPr>
                <w:rFonts w:hint="eastAsia" w:ascii="宋体" w:eastAsia="宋体" w:cs="宋体"/>
                <w:color w:val="auto"/>
                <w:highlight w:val="none"/>
                <w:u w:val="none"/>
              </w:rPr>
              <w:fldChar w:fldCharType="begin"/>
            </w:r>
            <w:r>
              <w:rPr>
                <w:rFonts w:hint="eastAsia" w:ascii="宋体" w:eastAsia="宋体" w:cs="宋体"/>
                <w:color w:val="auto"/>
                <w:highlight w:val="none"/>
                <w:u w:val="none"/>
              </w:rPr>
              <w:instrText xml:space="preserve">AUTOTEXT  input538 \* MERGEFORMAT</w:instrText>
            </w:r>
            <w:r>
              <w:rPr>
                <w:rFonts w:hint="eastAsia" w:ascii="宋体" w:eastAsia="宋体" w:cs="宋体"/>
                <w:color w:val="auto"/>
                <w:highlight w:val="none"/>
                <w:u w:val="none"/>
              </w:rPr>
              <w:fldChar w:fldCharType="separate"/>
            </w:r>
            <w:r>
              <w:rPr>
                <w:rFonts w:hint="eastAsia" w:ascii="宋体" w:eastAsia="宋体" w:cs="宋体"/>
                <w:color w:val="auto"/>
                <w:highlight w:val="none"/>
                <w:u w:val="none"/>
              </w:rPr>
              <w:t>1</w:t>
            </w:r>
            <w:r>
              <w:rPr>
                <w:rFonts w:hint="eastAsia" w:ascii="宋体" w:eastAsia="宋体" w:cs="宋体"/>
                <w:color w:val="auto"/>
                <w:highlight w:val="none"/>
                <w:u w:val="none"/>
              </w:rPr>
              <w:fldChar w:fldCharType="end"/>
            </w:r>
          </w:p>
        </w:tc>
        <w:tc>
          <w:tcPr>
            <w:tcW w:w="2126" w:type="dxa"/>
            <w:tcBorders>
              <w:top w:val="single" w:color="000000" w:sz="4" w:space="0"/>
              <w:left w:val="single" w:color="000000" w:sz="4" w:space="0"/>
              <w:bottom w:val="single" w:color="000000" w:sz="4" w:space="0"/>
              <w:right w:val="single" w:color="000000" w:sz="4" w:space="0"/>
            </w:tcBorders>
            <w:noWrap/>
          </w:tcPr>
          <w:p w14:paraId="6DB9B84E">
            <w:pPr>
              <w:spacing w:line="240" w:lineRule="auto"/>
              <w:rPr>
                <w:rFonts w:hint="eastAsia" w:ascii="宋体" w:eastAsia="宋体" w:cs="宋体"/>
                <w:color w:val="auto"/>
                <w:sz w:val="24"/>
                <w:szCs w:val="32"/>
                <w:highlight w:val="none"/>
              </w:rPr>
            </w:pPr>
            <w:r>
              <w:rPr>
                <w:rFonts w:hint="eastAsia" w:ascii="宋体" w:eastAsia="宋体" w:cs="宋体"/>
                <w:color w:val="auto"/>
                <w:sz w:val="24"/>
                <w:szCs w:val="32"/>
                <w:highlight w:val="none"/>
              </w:rPr>
              <w:t>是：</w:t>
            </w:r>
            <w:r>
              <w:rPr>
                <w:rFonts w:hint="eastAsia" w:ascii="宋体" w:eastAsia="宋体" w:cs="宋体"/>
                <w:color w:val="auto"/>
                <w:highlight w:val="none"/>
              </w:rPr>
              <w:fldChar w:fldCharType="begin"/>
            </w:r>
            <w:r>
              <w:rPr>
                <w:rFonts w:hint="eastAsia" w:ascii="宋体" w:eastAsia="宋体" w:cs="宋体"/>
                <w:color w:val="auto"/>
                <w:highlight w:val="none"/>
              </w:rPr>
              <w:instrText xml:space="preserve">AUTOTEXT  input539 \* MERGEFORMAT</w:instrText>
            </w:r>
            <w:r>
              <w:rPr>
                <w:rFonts w:hint="eastAsia" w:ascii="宋体" w:eastAsia="宋体" w:cs="宋体"/>
                <w:color w:val="auto"/>
                <w:highlight w:val="none"/>
              </w:rPr>
              <w:fldChar w:fldCharType="separate"/>
            </w:r>
            <w:r>
              <w:rPr>
                <w:rFonts w:hint="eastAsia" w:ascii="宋体" w:eastAsia="宋体" w:cs="宋体"/>
                <w:color w:val="auto"/>
                <w:sz w:val="32"/>
                <w:szCs w:val="32"/>
                <w:highlight w:val="none"/>
              </w:rPr>
              <w:t>☑</w:t>
            </w:r>
            <w:r>
              <w:rPr>
                <w:rFonts w:hint="eastAsia" w:ascii="宋体" w:eastAsia="宋体" w:cs="宋体"/>
                <w:color w:val="auto"/>
                <w:sz w:val="32"/>
                <w:szCs w:val="32"/>
                <w:highlight w:val="none"/>
              </w:rPr>
              <w:fldChar w:fldCharType="end"/>
            </w:r>
          </w:p>
        </w:tc>
        <w:tc>
          <w:tcPr>
            <w:tcW w:w="1933" w:type="dxa"/>
            <w:tcBorders>
              <w:top w:val="single" w:color="000000" w:sz="4" w:space="0"/>
              <w:left w:val="single" w:color="000000" w:sz="4" w:space="0"/>
              <w:bottom w:val="single" w:color="000000" w:sz="4" w:space="0"/>
              <w:right w:val="single" w:color="000000" w:sz="4" w:space="0"/>
            </w:tcBorders>
            <w:noWrap/>
          </w:tcPr>
          <w:p w14:paraId="787DFBF0">
            <w:pPr>
              <w:spacing w:line="240" w:lineRule="auto"/>
              <w:rPr>
                <w:rFonts w:hint="eastAsia" w:ascii="宋体" w:eastAsia="宋体" w:cs="宋体"/>
                <w:color w:val="auto"/>
                <w:sz w:val="24"/>
                <w:szCs w:val="32"/>
                <w:highlight w:val="none"/>
              </w:rPr>
            </w:pPr>
            <w:r>
              <w:rPr>
                <w:rFonts w:hint="eastAsia" w:ascii="宋体" w:eastAsia="宋体" w:cs="宋体"/>
                <w:color w:val="auto"/>
                <w:sz w:val="24"/>
                <w:szCs w:val="32"/>
                <w:highlight w:val="none"/>
                <w:lang w:val="en-US" w:eastAsia="zh-CN"/>
              </w:rPr>
              <w:t>兼</w:t>
            </w:r>
            <w:r>
              <w:rPr>
                <w:rFonts w:hint="eastAsia" w:ascii="宋体" w:eastAsia="宋体" w:cs="宋体"/>
                <w:color w:val="auto"/>
                <w:sz w:val="24"/>
                <w:szCs w:val="32"/>
                <w:highlight w:val="none"/>
              </w:rPr>
              <w:t>职：</w:t>
            </w:r>
            <w:r>
              <w:rPr>
                <w:rFonts w:hint="eastAsia" w:ascii="宋体" w:eastAsia="宋体" w:cs="宋体"/>
                <w:color w:val="auto"/>
                <w:highlight w:val="none"/>
              </w:rPr>
              <w:fldChar w:fldCharType="begin"/>
            </w:r>
            <w:r>
              <w:rPr>
                <w:rFonts w:hint="eastAsia" w:ascii="宋体" w:eastAsia="宋体" w:cs="宋体"/>
                <w:color w:val="auto"/>
                <w:highlight w:val="none"/>
              </w:rPr>
              <w:instrText xml:space="preserve">AUTOTEXT  input541 \* MERGEFORMAT</w:instrText>
            </w:r>
            <w:r>
              <w:rPr>
                <w:rFonts w:hint="eastAsia" w:ascii="宋体" w:eastAsia="宋体" w:cs="宋体"/>
                <w:color w:val="auto"/>
                <w:highlight w:val="none"/>
              </w:rPr>
              <w:fldChar w:fldCharType="separate"/>
            </w:r>
            <w:r>
              <w:rPr>
                <w:rFonts w:hint="eastAsia" w:ascii="宋体" w:cs="宋体"/>
                <w:color w:val="auto"/>
                <w:sz w:val="32"/>
                <w:szCs w:val="32"/>
                <w:highlight w:val="none"/>
                <w:lang w:eastAsia="zh-CN"/>
              </w:rPr>
              <w:t>☑</w:t>
            </w:r>
            <w:r>
              <w:rPr>
                <w:rFonts w:hint="eastAsia" w:ascii="宋体" w:eastAsia="宋体" w:cs="宋体"/>
                <w:color w:val="auto"/>
                <w:sz w:val="32"/>
                <w:szCs w:val="32"/>
                <w:highlight w:val="none"/>
              </w:rPr>
              <w:fldChar w:fldCharType="end"/>
            </w:r>
          </w:p>
        </w:tc>
        <w:tc>
          <w:tcPr>
            <w:tcW w:w="1858" w:type="dxa"/>
            <w:vMerge w:val="continue"/>
            <w:tcBorders>
              <w:top w:val="single" w:color="000000" w:sz="4" w:space="0"/>
              <w:left w:val="single" w:color="000000" w:sz="4" w:space="0"/>
              <w:bottom w:val="single" w:color="000000" w:sz="4" w:space="0"/>
              <w:right w:val="single" w:color="000000" w:sz="4" w:space="0"/>
            </w:tcBorders>
            <w:noWrap/>
          </w:tcPr>
          <w:p w14:paraId="625DB419">
            <w:pPr>
              <w:rPr>
                <w:color w:val="auto"/>
              </w:rPr>
            </w:pPr>
          </w:p>
        </w:tc>
      </w:tr>
    </w:tbl>
    <w:p w14:paraId="7F60A96C">
      <w:pPr>
        <w:spacing w:line="440" w:lineRule="exact"/>
        <w:rPr>
          <w:rFonts w:hint="eastAsia" w:ascii="宋体" w:eastAsia="宋体" w:cs="宋体"/>
          <w:color w:val="auto"/>
          <w:highlight w:val="none"/>
        </w:rPr>
      </w:pPr>
      <w:r>
        <w:rPr>
          <w:rFonts w:hint="eastAsia" w:ascii="宋体" w:eastAsia="宋体" w:cs="宋体"/>
          <w:b/>
          <w:color w:val="auto"/>
          <w:szCs w:val="21"/>
          <w:highlight w:val="none"/>
        </w:rPr>
        <w:t>注：</w:t>
      </w:r>
      <w:r>
        <w:rPr>
          <w:rFonts w:hint="eastAsia" w:ascii="宋体" w:eastAsia="宋体" w:cs="宋体"/>
          <w:b/>
          <w:color w:val="auto"/>
          <w:highlight w:val="none"/>
        </w:rPr>
        <w:t>1</w:t>
      </w:r>
      <w:r>
        <w:rPr>
          <w:rFonts w:hint="eastAsia" w:ascii="宋体" w:cs="宋体"/>
          <w:b/>
          <w:color w:val="auto"/>
          <w:highlight w:val="none"/>
          <w:lang w:eastAsia="zh-CN"/>
        </w:rPr>
        <w:t xml:space="preserve">. </w:t>
      </w:r>
      <w:r>
        <w:rPr>
          <w:rFonts w:hint="eastAsia" w:ascii="宋体" w:eastAsia="宋体" w:cs="宋体"/>
          <w:b/>
          <w:color w:val="auto"/>
          <w:highlight w:val="none"/>
        </w:rPr>
        <w:t>表中“岗位资格要求”栏是、否提供岗位证书</w:t>
      </w:r>
      <w:r>
        <w:rPr>
          <w:rFonts w:hint="eastAsia" w:ascii="宋体" w:cs="宋体"/>
          <w:b/>
          <w:color w:val="auto"/>
          <w:highlight w:val="none"/>
          <w:lang w:eastAsia="zh-CN"/>
        </w:rPr>
        <w:t>（</w:t>
      </w:r>
      <w:r>
        <w:rPr>
          <w:rFonts w:hint="eastAsia" w:ascii="宋体" w:eastAsia="宋体" w:cs="宋体"/>
          <w:b/>
          <w:color w:val="auto"/>
          <w:highlight w:val="none"/>
        </w:rPr>
        <w:t>资格证书</w:t>
      </w:r>
      <w:r>
        <w:rPr>
          <w:rFonts w:hint="eastAsia" w:ascii="宋体" w:cs="宋体"/>
          <w:b/>
          <w:color w:val="auto"/>
          <w:highlight w:val="none"/>
          <w:lang w:eastAsia="zh-CN"/>
        </w:rPr>
        <w:t>）</w:t>
      </w:r>
      <w:r>
        <w:rPr>
          <w:rFonts w:hint="eastAsia" w:ascii="宋体" w:eastAsia="宋体" w:cs="宋体"/>
          <w:b/>
          <w:color w:val="auto"/>
          <w:highlight w:val="none"/>
        </w:rPr>
        <w:t>的</w:t>
      </w:r>
      <w:r>
        <w:rPr>
          <w:rFonts w:hint="eastAsia" w:ascii="宋体" w:cs="宋体"/>
          <w:b/>
          <w:color w:val="auto"/>
          <w:highlight w:val="none"/>
          <w:lang w:eastAsia="zh-CN"/>
        </w:rPr>
        <w:t>，在</w:t>
      </w:r>
      <w:r>
        <w:rPr>
          <w:rFonts w:hint="eastAsia" w:ascii="宋体" w:eastAsia="宋体" w:cs="宋体"/>
          <w:b/>
          <w:color w:val="auto"/>
          <w:highlight w:val="none"/>
        </w:rPr>
        <w:t>“□”内打“√”。</w:t>
      </w:r>
    </w:p>
    <w:p w14:paraId="3C22065F">
      <w:pPr>
        <w:ind w:firstLine="422" w:firstLineChars="200"/>
        <w:rPr>
          <w:rFonts w:hint="eastAsia" w:ascii="宋体" w:eastAsia="宋体" w:cs="宋体"/>
          <w:b/>
          <w:color w:val="auto"/>
          <w:highlight w:val="none"/>
        </w:rPr>
      </w:pPr>
      <w:r>
        <w:rPr>
          <w:rFonts w:hint="eastAsia" w:ascii="宋体" w:eastAsia="宋体" w:cs="宋体"/>
          <w:b/>
          <w:color w:val="auto"/>
          <w:highlight w:val="none"/>
        </w:rPr>
        <w:t>2、表中“岗位要求”栏专职、可兼任</w:t>
      </w:r>
      <w:r>
        <w:rPr>
          <w:rFonts w:hint="eastAsia" w:ascii="宋体" w:cs="宋体"/>
          <w:b/>
          <w:color w:val="auto"/>
          <w:highlight w:val="none"/>
          <w:lang w:eastAsia="zh-CN"/>
        </w:rPr>
        <w:t>，在</w:t>
      </w:r>
      <w:r>
        <w:rPr>
          <w:rFonts w:hint="eastAsia" w:ascii="宋体" w:eastAsia="宋体" w:cs="宋体"/>
          <w:b/>
          <w:color w:val="auto"/>
          <w:highlight w:val="none"/>
        </w:rPr>
        <w:t>“□”内打“√”。</w:t>
      </w:r>
    </w:p>
    <w:p w14:paraId="02831EA1">
      <w:pPr>
        <w:ind w:firstLine="422" w:firstLineChars="200"/>
        <w:rPr>
          <w:rFonts w:hint="eastAsia" w:ascii="宋体" w:eastAsia="宋体" w:cs="宋体"/>
          <w:b/>
          <w:color w:val="auto"/>
          <w:highlight w:val="none"/>
        </w:rPr>
      </w:pPr>
      <w:r>
        <w:rPr>
          <w:rFonts w:hint="eastAsia" w:ascii="宋体" w:eastAsia="宋体" w:cs="宋体"/>
          <w:b/>
          <w:color w:val="auto"/>
          <w:highlight w:val="none"/>
        </w:rPr>
        <w:t>3、此表为投标人配置“现场专业（管理）人员”最低要求。</w:t>
      </w:r>
    </w:p>
    <w:p w14:paraId="19AE535D">
      <w:pPr>
        <w:pStyle w:val="41"/>
        <w:rPr>
          <w:rFonts w:hint="eastAsia"/>
          <w:color w:val="auto"/>
        </w:rPr>
      </w:pPr>
    </w:p>
    <w:p w14:paraId="37EDAEA0">
      <w:pPr>
        <w:pStyle w:val="3"/>
        <w:spacing w:before="312" w:after="312"/>
        <w:rPr>
          <w:color w:val="auto"/>
          <w:sz w:val="44"/>
          <w:szCs w:val="44"/>
        </w:rPr>
      </w:pPr>
      <w:bookmarkStart w:id="27" w:name="_Toc28818"/>
      <w:r>
        <w:rPr>
          <w:rFonts w:hint="eastAsia"/>
          <w:color w:val="auto"/>
          <w:sz w:val="44"/>
          <w:szCs w:val="44"/>
        </w:rPr>
        <w:t xml:space="preserve">第二章 </w:t>
      </w:r>
      <w:bookmarkStart w:id="28" w:name="_Hlk85367632"/>
      <w:r>
        <w:rPr>
          <w:rFonts w:hint="eastAsia"/>
          <w:color w:val="auto"/>
          <w:sz w:val="44"/>
          <w:szCs w:val="44"/>
        </w:rPr>
        <w:t>投标须知及投标须知前附表</w:t>
      </w:r>
      <w:bookmarkEnd w:id="5"/>
      <w:bookmarkEnd w:id="6"/>
      <w:bookmarkEnd w:id="27"/>
    </w:p>
    <w:p w14:paraId="7E21C339">
      <w:pPr>
        <w:pStyle w:val="4"/>
        <w:numPr>
          <w:ilvl w:val="1"/>
          <w:numId w:val="0"/>
        </w:numPr>
        <w:spacing w:beforeLines="0"/>
        <w:jc w:val="center"/>
        <w:rPr>
          <w:rFonts w:hAnsi="宋体"/>
          <w:color w:val="auto"/>
          <w:sz w:val="32"/>
          <w:szCs w:val="28"/>
        </w:rPr>
      </w:pPr>
      <w:bookmarkStart w:id="29" w:name="_Toc306981298"/>
      <w:bookmarkStart w:id="30" w:name="_Toc29875"/>
      <w:bookmarkStart w:id="31" w:name="_Toc85443479"/>
      <w:bookmarkStart w:id="32" w:name="_Toc229583199"/>
      <w:bookmarkStart w:id="33" w:name="_Toc16050"/>
      <w:bookmarkStart w:id="34" w:name="_Toc310437962"/>
      <w:r>
        <w:rPr>
          <w:rFonts w:hint="eastAsia" w:hAnsi="宋体"/>
          <w:color w:val="auto"/>
          <w:sz w:val="32"/>
          <w:szCs w:val="28"/>
        </w:rPr>
        <w:t>投标须知前附表</w:t>
      </w:r>
      <w:bookmarkEnd w:id="29"/>
      <w:bookmarkEnd w:id="30"/>
      <w:bookmarkEnd w:id="31"/>
      <w:bookmarkEnd w:id="32"/>
      <w:bookmarkEnd w:id="33"/>
      <w:bookmarkEnd w:id="34"/>
    </w:p>
    <w:tbl>
      <w:tblPr>
        <w:tblStyle w:val="68"/>
        <w:tblW w:w="9455" w:type="dxa"/>
        <w:jc w:val="center"/>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674"/>
        <w:gridCol w:w="327"/>
        <w:gridCol w:w="1780"/>
        <w:gridCol w:w="280"/>
        <w:gridCol w:w="6394"/>
      </w:tblGrid>
      <w:tr w14:paraId="54507638">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617" w:hRule="atLeast"/>
          <w:tblHeader/>
          <w:jc w:val="center"/>
        </w:trPr>
        <w:tc>
          <w:tcPr>
            <w:tcW w:w="1001" w:type="dxa"/>
            <w:gridSpan w:val="2"/>
            <w:vAlign w:val="center"/>
          </w:tcPr>
          <w:p w14:paraId="3B9F4456">
            <w:pPr>
              <w:keepNext w:val="0"/>
              <w:keepLines w:val="0"/>
              <w:pageBreakBefore w:val="0"/>
              <w:kinsoku/>
              <w:wordWrap/>
              <w:overflowPunct/>
              <w:topLinePunct w:val="0"/>
              <w:bidi w:val="0"/>
              <w:spacing w:line="400" w:lineRule="exact"/>
              <w:jc w:val="center"/>
              <w:textAlignment w:val="auto"/>
              <w:rPr>
                <w:rFonts w:ascii="宋体" w:hAnsi="宋体"/>
                <w:b/>
                <w:color w:val="auto"/>
                <w:sz w:val="24"/>
              </w:rPr>
            </w:pPr>
            <w:bookmarkStart w:id="35" w:name="_Hlk85367800"/>
            <w:r>
              <w:rPr>
                <w:rFonts w:ascii="宋体" w:hAnsi="宋体"/>
                <w:b/>
                <w:color w:val="auto"/>
                <w:sz w:val="24"/>
              </w:rPr>
              <w:t>条款号</w:t>
            </w:r>
          </w:p>
        </w:tc>
        <w:tc>
          <w:tcPr>
            <w:tcW w:w="1780" w:type="dxa"/>
            <w:vAlign w:val="center"/>
          </w:tcPr>
          <w:p w14:paraId="3E70978A">
            <w:pPr>
              <w:keepNext w:val="0"/>
              <w:keepLines w:val="0"/>
              <w:pageBreakBefore w:val="0"/>
              <w:kinsoku/>
              <w:wordWrap/>
              <w:overflowPunct/>
              <w:topLinePunct w:val="0"/>
              <w:bidi w:val="0"/>
              <w:spacing w:line="400" w:lineRule="exact"/>
              <w:textAlignment w:val="auto"/>
              <w:rPr>
                <w:rFonts w:ascii="宋体" w:hAnsi="宋体"/>
                <w:b/>
                <w:color w:val="auto"/>
                <w:sz w:val="24"/>
              </w:rPr>
            </w:pPr>
            <w:r>
              <w:rPr>
                <w:rFonts w:hint="eastAsia" w:ascii="宋体" w:hAnsi="宋体"/>
                <w:b/>
                <w:color w:val="auto"/>
                <w:sz w:val="24"/>
              </w:rPr>
              <w:t>条 款 名 称</w:t>
            </w:r>
          </w:p>
        </w:tc>
        <w:tc>
          <w:tcPr>
            <w:tcW w:w="6674" w:type="dxa"/>
            <w:gridSpan w:val="2"/>
            <w:vAlign w:val="center"/>
          </w:tcPr>
          <w:p w14:paraId="79D8B33F">
            <w:pPr>
              <w:keepNext w:val="0"/>
              <w:keepLines w:val="0"/>
              <w:pageBreakBefore w:val="0"/>
              <w:kinsoku/>
              <w:wordWrap/>
              <w:overflowPunct/>
              <w:topLinePunct w:val="0"/>
              <w:bidi w:val="0"/>
              <w:spacing w:line="400" w:lineRule="exact"/>
              <w:jc w:val="center"/>
              <w:textAlignment w:val="auto"/>
              <w:rPr>
                <w:rFonts w:ascii="宋体" w:hAnsi="宋体"/>
                <w:b/>
                <w:color w:val="auto"/>
                <w:sz w:val="24"/>
              </w:rPr>
            </w:pPr>
            <w:r>
              <w:rPr>
                <w:rFonts w:hint="eastAsia" w:ascii="宋体" w:hAnsi="宋体"/>
                <w:b/>
                <w:color w:val="auto"/>
                <w:sz w:val="24"/>
              </w:rPr>
              <w:t>编  列  内  容</w:t>
            </w:r>
          </w:p>
        </w:tc>
      </w:tr>
      <w:tr w14:paraId="5E060343">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1312" w:hRule="atLeast"/>
          <w:jc w:val="center"/>
        </w:trPr>
        <w:tc>
          <w:tcPr>
            <w:tcW w:w="1001" w:type="dxa"/>
            <w:gridSpan w:val="2"/>
            <w:vAlign w:val="center"/>
          </w:tcPr>
          <w:p w14:paraId="686D1FAA">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ascii="宋体" w:hAnsi="宋体"/>
                <w:color w:val="auto"/>
                <w:szCs w:val="21"/>
              </w:rPr>
              <w:t>1.1.1</w:t>
            </w:r>
          </w:p>
        </w:tc>
        <w:tc>
          <w:tcPr>
            <w:tcW w:w="1780" w:type="dxa"/>
            <w:vAlign w:val="center"/>
          </w:tcPr>
          <w:p w14:paraId="3BCE7B7E">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hint="eastAsia" w:ascii="宋体" w:hAnsi="宋体"/>
                <w:color w:val="auto"/>
                <w:szCs w:val="21"/>
              </w:rPr>
              <w:t>招标人</w:t>
            </w:r>
          </w:p>
        </w:tc>
        <w:tc>
          <w:tcPr>
            <w:tcW w:w="6674" w:type="dxa"/>
            <w:gridSpan w:val="2"/>
            <w:vAlign w:val="center"/>
          </w:tcPr>
          <w:p w14:paraId="18E23B1F">
            <w:pPr>
              <w:pStyle w:val="117"/>
              <w:keepNext w:val="0"/>
              <w:keepLines w:val="0"/>
              <w:pageBreakBefore w:val="0"/>
              <w:kinsoku/>
              <w:wordWrap/>
              <w:overflowPunct/>
              <w:topLinePunct w:val="0"/>
              <w:bidi w:val="0"/>
              <w:spacing w:line="400" w:lineRule="exact"/>
              <w:jc w:val="both"/>
              <w:textAlignment w:val="auto"/>
              <w:rPr>
                <w:rFonts w:hint="eastAsia" w:hAnsi="宋体"/>
                <w:color w:val="auto"/>
                <w:sz w:val="21"/>
                <w:szCs w:val="21"/>
                <w:lang w:eastAsia="zh-CN"/>
              </w:rPr>
            </w:pPr>
            <w:r>
              <w:rPr>
                <w:rFonts w:hAnsi="宋体"/>
                <w:color w:val="auto"/>
                <w:sz w:val="21"/>
                <w:szCs w:val="21"/>
              </w:rPr>
              <w:t>名</w:t>
            </w:r>
            <w:r>
              <w:rPr>
                <w:rFonts w:hint="eastAsia" w:hAnsi="宋体"/>
                <w:color w:val="auto"/>
                <w:sz w:val="21"/>
                <w:szCs w:val="21"/>
              </w:rPr>
              <w:t xml:space="preserve">    </w:t>
            </w:r>
            <w:r>
              <w:rPr>
                <w:rFonts w:hAnsi="宋体"/>
                <w:color w:val="auto"/>
                <w:sz w:val="21"/>
                <w:szCs w:val="21"/>
              </w:rPr>
              <w:t>称：</w:t>
            </w:r>
            <w:r>
              <w:rPr>
                <w:rFonts w:hint="eastAsia" w:hAnsi="宋体"/>
                <w:color w:val="auto"/>
                <w:sz w:val="21"/>
                <w:szCs w:val="21"/>
                <w:lang w:eastAsia="zh-CN"/>
              </w:rPr>
              <w:t>镇雄县旧府街道办事处</w:t>
            </w:r>
          </w:p>
          <w:p w14:paraId="111B20B3">
            <w:pPr>
              <w:pStyle w:val="117"/>
              <w:keepNext w:val="0"/>
              <w:keepLines w:val="0"/>
              <w:pageBreakBefore w:val="0"/>
              <w:kinsoku/>
              <w:wordWrap/>
              <w:overflowPunct/>
              <w:topLinePunct w:val="0"/>
              <w:bidi w:val="0"/>
              <w:spacing w:line="400" w:lineRule="exact"/>
              <w:jc w:val="both"/>
              <w:textAlignment w:val="auto"/>
              <w:rPr>
                <w:rFonts w:hint="eastAsia" w:hAnsi="宋体"/>
                <w:color w:val="auto"/>
                <w:sz w:val="21"/>
                <w:szCs w:val="21"/>
              </w:rPr>
            </w:pPr>
            <w:r>
              <w:rPr>
                <w:rFonts w:hint="eastAsia" w:hAnsi="宋体"/>
                <w:color w:val="auto"/>
                <w:sz w:val="21"/>
                <w:szCs w:val="21"/>
              </w:rPr>
              <w:t>地    址：</w:t>
            </w:r>
            <w:r>
              <w:rPr>
                <w:rFonts w:hint="eastAsia" w:hAnsi="宋体"/>
                <w:color w:val="auto"/>
                <w:sz w:val="21"/>
                <w:szCs w:val="21"/>
                <w:lang w:eastAsia="zh-CN"/>
              </w:rPr>
              <w:t>云南省昭通市镇雄县旧府街道办事处凤翅社区凤翥路35号</w:t>
            </w:r>
            <w:r>
              <w:rPr>
                <w:rFonts w:hint="eastAsia" w:hAnsi="宋体"/>
                <w:color w:val="auto"/>
                <w:sz w:val="21"/>
                <w:szCs w:val="21"/>
                <w:lang w:val="en-US" w:eastAsia="zh-CN"/>
              </w:rPr>
              <w:t xml:space="preserve"> </w:t>
            </w:r>
          </w:p>
          <w:p w14:paraId="7F239EB9">
            <w:pPr>
              <w:keepNext w:val="0"/>
              <w:keepLines w:val="0"/>
              <w:pageBreakBefore w:val="0"/>
              <w:kinsoku/>
              <w:wordWrap/>
              <w:overflowPunct/>
              <w:topLinePunct w:val="0"/>
              <w:bidi w:val="0"/>
              <w:spacing w:line="400" w:lineRule="exact"/>
              <w:textAlignment w:val="auto"/>
              <w:rPr>
                <w:rFonts w:ascii="宋体" w:hAnsi="宋体"/>
                <w:color w:val="auto"/>
                <w:szCs w:val="21"/>
              </w:rPr>
            </w:pPr>
            <w:r>
              <w:rPr>
                <w:rFonts w:hint="eastAsia" w:ascii="宋体" w:hAnsi="宋体"/>
                <w:color w:val="auto"/>
                <w:szCs w:val="21"/>
              </w:rPr>
              <w:t>联 系 人：</w:t>
            </w:r>
            <w:r>
              <w:rPr>
                <w:rFonts w:hint="eastAsia" w:ascii="宋体" w:hAnsi="宋体"/>
                <w:color w:val="auto"/>
                <w:szCs w:val="21"/>
                <w:lang w:val="en-US" w:eastAsia="zh-CN"/>
              </w:rPr>
              <w:t>王国领</w:t>
            </w:r>
          </w:p>
          <w:p w14:paraId="4DE64F36">
            <w:pPr>
              <w:pStyle w:val="117"/>
              <w:keepNext w:val="0"/>
              <w:keepLines w:val="0"/>
              <w:pageBreakBefore w:val="0"/>
              <w:kinsoku/>
              <w:wordWrap/>
              <w:overflowPunct/>
              <w:topLinePunct w:val="0"/>
              <w:bidi w:val="0"/>
              <w:spacing w:line="400" w:lineRule="exact"/>
              <w:jc w:val="both"/>
              <w:textAlignment w:val="auto"/>
              <w:rPr>
                <w:rFonts w:hAnsi="宋体"/>
                <w:color w:val="auto"/>
                <w:sz w:val="21"/>
                <w:szCs w:val="21"/>
              </w:rPr>
            </w:pPr>
            <w:r>
              <w:rPr>
                <w:rFonts w:hint="eastAsia" w:hAnsi="宋体" w:cs="Times New Roman"/>
                <w:color w:val="auto"/>
                <w:kern w:val="2"/>
                <w:sz w:val="21"/>
                <w:szCs w:val="21"/>
              </w:rPr>
              <w:t>电    话：</w:t>
            </w:r>
            <w:r>
              <w:rPr>
                <w:rFonts w:hint="eastAsia" w:hAnsi="宋体"/>
                <w:bCs/>
                <w:color w:val="auto"/>
                <w:sz w:val="21"/>
                <w:szCs w:val="21"/>
                <w:lang w:val="en-US" w:eastAsia="zh-CN"/>
              </w:rPr>
              <w:t>13408813049</w:t>
            </w:r>
          </w:p>
        </w:tc>
      </w:tr>
      <w:tr w14:paraId="5AC14CE1">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1295" w:hRule="atLeast"/>
          <w:jc w:val="center"/>
        </w:trPr>
        <w:tc>
          <w:tcPr>
            <w:tcW w:w="1001" w:type="dxa"/>
            <w:gridSpan w:val="2"/>
            <w:vAlign w:val="center"/>
          </w:tcPr>
          <w:p w14:paraId="143A1AEB">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ascii="宋体" w:hAnsi="宋体"/>
                <w:color w:val="auto"/>
                <w:szCs w:val="21"/>
              </w:rPr>
              <w:t>1.1.2</w:t>
            </w:r>
          </w:p>
        </w:tc>
        <w:tc>
          <w:tcPr>
            <w:tcW w:w="1780" w:type="dxa"/>
            <w:vAlign w:val="center"/>
          </w:tcPr>
          <w:p w14:paraId="33B3EB52">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hint="eastAsia" w:ascii="宋体" w:hAnsi="宋体"/>
                <w:color w:val="auto"/>
                <w:szCs w:val="21"/>
              </w:rPr>
              <w:t>招标代理机构</w:t>
            </w:r>
          </w:p>
        </w:tc>
        <w:tc>
          <w:tcPr>
            <w:tcW w:w="6674" w:type="dxa"/>
            <w:gridSpan w:val="2"/>
            <w:vAlign w:val="center"/>
          </w:tcPr>
          <w:p w14:paraId="5B46F502">
            <w:pPr>
              <w:pStyle w:val="117"/>
              <w:keepNext w:val="0"/>
              <w:keepLines w:val="0"/>
              <w:pageBreakBefore w:val="0"/>
              <w:kinsoku/>
              <w:wordWrap/>
              <w:overflowPunct/>
              <w:topLinePunct w:val="0"/>
              <w:bidi w:val="0"/>
              <w:spacing w:line="400" w:lineRule="exact"/>
              <w:jc w:val="both"/>
              <w:textAlignment w:val="auto"/>
              <w:rPr>
                <w:rFonts w:hint="eastAsia" w:hAnsi="宋体" w:eastAsia="宋体"/>
                <w:color w:val="auto"/>
                <w:sz w:val="21"/>
                <w:szCs w:val="21"/>
                <w:lang w:eastAsia="zh-CN"/>
              </w:rPr>
            </w:pPr>
            <w:r>
              <w:rPr>
                <w:rFonts w:hint="eastAsia" w:hAnsi="宋体"/>
                <w:color w:val="auto"/>
                <w:sz w:val="21"/>
                <w:szCs w:val="21"/>
              </w:rPr>
              <w:t>名    称：</w:t>
            </w:r>
            <w:r>
              <w:rPr>
                <w:rFonts w:hint="eastAsia" w:hAnsi="宋体"/>
                <w:color w:val="auto"/>
                <w:sz w:val="21"/>
                <w:szCs w:val="21"/>
                <w:lang w:eastAsia="zh-CN"/>
              </w:rPr>
              <w:t>云南品众招标咨询有限公司</w:t>
            </w:r>
          </w:p>
          <w:p w14:paraId="33570779">
            <w:pPr>
              <w:pStyle w:val="117"/>
              <w:keepNext w:val="0"/>
              <w:keepLines w:val="0"/>
              <w:pageBreakBefore w:val="0"/>
              <w:kinsoku/>
              <w:wordWrap/>
              <w:overflowPunct/>
              <w:topLinePunct w:val="0"/>
              <w:bidi w:val="0"/>
              <w:spacing w:line="400" w:lineRule="exact"/>
              <w:jc w:val="both"/>
              <w:textAlignment w:val="auto"/>
              <w:rPr>
                <w:rFonts w:hint="eastAsia" w:hAnsi="宋体" w:eastAsia="宋体"/>
                <w:color w:val="auto"/>
                <w:sz w:val="21"/>
                <w:szCs w:val="21"/>
                <w:lang w:eastAsia="zh-CN"/>
              </w:rPr>
            </w:pPr>
            <w:r>
              <w:rPr>
                <w:rFonts w:hint="eastAsia" w:hAnsi="宋体"/>
                <w:color w:val="auto"/>
                <w:sz w:val="21"/>
                <w:szCs w:val="21"/>
              </w:rPr>
              <w:t xml:space="preserve">地  </w:t>
            </w:r>
            <w:r>
              <w:rPr>
                <w:rFonts w:hAnsi="宋体"/>
                <w:color w:val="auto"/>
                <w:sz w:val="21"/>
                <w:szCs w:val="21"/>
              </w:rPr>
              <w:t xml:space="preserve">  </w:t>
            </w:r>
            <w:r>
              <w:rPr>
                <w:rFonts w:hint="eastAsia" w:hAnsi="宋体"/>
                <w:color w:val="auto"/>
                <w:sz w:val="21"/>
                <w:szCs w:val="21"/>
              </w:rPr>
              <w:t>址：</w:t>
            </w:r>
            <w:r>
              <w:rPr>
                <w:rFonts w:hint="eastAsia" w:hAnsi="宋体"/>
                <w:color w:val="auto"/>
                <w:sz w:val="21"/>
                <w:szCs w:val="21"/>
                <w:lang w:eastAsia="zh-CN"/>
              </w:rPr>
              <w:t>云南省昭通市昭阳区龙韵雅苑29栋一单元602室</w:t>
            </w:r>
          </w:p>
          <w:p w14:paraId="681A1FA4">
            <w:pPr>
              <w:pStyle w:val="117"/>
              <w:keepNext w:val="0"/>
              <w:keepLines w:val="0"/>
              <w:pageBreakBefore w:val="0"/>
              <w:kinsoku/>
              <w:wordWrap/>
              <w:overflowPunct/>
              <w:topLinePunct w:val="0"/>
              <w:bidi w:val="0"/>
              <w:spacing w:line="400" w:lineRule="exact"/>
              <w:jc w:val="both"/>
              <w:textAlignment w:val="auto"/>
              <w:rPr>
                <w:rFonts w:hint="eastAsia" w:hAnsi="宋体" w:eastAsia="宋体"/>
                <w:color w:val="auto"/>
                <w:sz w:val="21"/>
                <w:szCs w:val="21"/>
                <w:lang w:eastAsia="zh-CN"/>
              </w:rPr>
            </w:pPr>
            <w:r>
              <w:rPr>
                <w:rFonts w:hint="eastAsia" w:hAnsi="宋体"/>
                <w:color w:val="auto"/>
                <w:sz w:val="21"/>
                <w:szCs w:val="21"/>
              </w:rPr>
              <w:t>联 系 人：</w:t>
            </w:r>
            <w:r>
              <w:rPr>
                <w:rFonts w:hint="eastAsia" w:hAnsi="宋体"/>
                <w:color w:val="auto"/>
                <w:sz w:val="21"/>
                <w:szCs w:val="21"/>
                <w:lang w:eastAsia="zh-CN"/>
              </w:rPr>
              <w:t>杨付祥</w:t>
            </w:r>
          </w:p>
          <w:p w14:paraId="006C97FD">
            <w:pPr>
              <w:pStyle w:val="117"/>
              <w:keepNext w:val="0"/>
              <w:keepLines w:val="0"/>
              <w:pageBreakBefore w:val="0"/>
              <w:kinsoku/>
              <w:wordWrap/>
              <w:overflowPunct/>
              <w:topLinePunct w:val="0"/>
              <w:bidi w:val="0"/>
              <w:spacing w:line="400" w:lineRule="exact"/>
              <w:jc w:val="both"/>
              <w:textAlignment w:val="auto"/>
              <w:rPr>
                <w:rFonts w:hint="eastAsia" w:hAnsi="宋体" w:eastAsia="宋体"/>
                <w:color w:val="auto"/>
                <w:sz w:val="21"/>
                <w:szCs w:val="21"/>
                <w:lang w:eastAsia="zh-CN"/>
              </w:rPr>
            </w:pPr>
            <w:r>
              <w:rPr>
                <w:rFonts w:hint="eastAsia" w:hAnsi="宋体"/>
                <w:color w:val="auto"/>
                <w:sz w:val="21"/>
                <w:szCs w:val="21"/>
              </w:rPr>
              <w:t>电    话：</w:t>
            </w:r>
            <w:r>
              <w:rPr>
                <w:rFonts w:hint="eastAsia" w:hAnsi="宋体"/>
                <w:color w:val="auto"/>
                <w:sz w:val="21"/>
                <w:szCs w:val="21"/>
                <w:lang w:eastAsia="zh-CN"/>
              </w:rPr>
              <w:t>18587352888</w:t>
            </w:r>
          </w:p>
        </w:tc>
      </w:tr>
      <w:tr w14:paraId="7496395A">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634" w:hRule="exact"/>
          <w:jc w:val="center"/>
        </w:trPr>
        <w:tc>
          <w:tcPr>
            <w:tcW w:w="1001" w:type="dxa"/>
            <w:gridSpan w:val="2"/>
            <w:vAlign w:val="center"/>
          </w:tcPr>
          <w:p w14:paraId="72EAC8A4">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ascii="宋体" w:hAnsi="宋体"/>
                <w:color w:val="auto"/>
                <w:szCs w:val="21"/>
              </w:rPr>
              <w:t>1.1.3</w:t>
            </w:r>
          </w:p>
        </w:tc>
        <w:tc>
          <w:tcPr>
            <w:tcW w:w="1780" w:type="dxa"/>
            <w:vAlign w:val="center"/>
          </w:tcPr>
          <w:p w14:paraId="5B6F84B4">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hint="eastAsia" w:ascii="宋体" w:hAnsi="宋体"/>
                <w:color w:val="auto"/>
                <w:szCs w:val="21"/>
              </w:rPr>
              <w:t>项目名称</w:t>
            </w:r>
          </w:p>
        </w:tc>
        <w:tc>
          <w:tcPr>
            <w:tcW w:w="6674" w:type="dxa"/>
            <w:gridSpan w:val="2"/>
            <w:vAlign w:val="center"/>
          </w:tcPr>
          <w:p w14:paraId="281CC1D8">
            <w:pPr>
              <w:pStyle w:val="117"/>
              <w:keepNext w:val="0"/>
              <w:keepLines w:val="0"/>
              <w:pageBreakBefore w:val="0"/>
              <w:kinsoku/>
              <w:wordWrap/>
              <w:overflowPunct/>
              <w:topLinePunct w:val="0"/>
              <w:bidi w:val="0"/>
              <w:spacing w:line="400" w:lineRule="exact"/>
              <w:jc w:val="both"/>
              <w:textAlignment w:val="auto"/>
              <w:rPr>
                <w:rFonts w:hint="eastAsia" w:hAnsi="宋体" w:eastAsia="宋体"/>
                <w:color w:val="auto"/>
                <w:sz w:val="21"/>
                <w:szCs w:val="21"/>
                <w:lang w:eastAsia="zh-CN"/>
              </w:rPr>
            </w:pPr>
            <w:r>
              <w:rPr>
                <w:rFonts w:hint="eastAsia" w:hAnsi="宋体"/>
                <w:color w:val="auto"/>
                <w:sz w:val="21"/>
                <w:szCs w:val="21"/>
                <w:lang w:eastAsia="zh-CN"/>
              </w:rPr>
              <w:t>镇雄县旧府街道松林湾村石门坎“千万工程”配套基础设施建设项目EPC</w:t>
            </w:r>
          </w:p>
        </w:tc>
      </w:tr>
      <w:tr w14:paraId="15EBDC51">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563" w:hRule="exact"/>
          <w:jc w:val="center"/>
        </w:trPr>
        <w:tc>
          <w:tcPr>
            <w:tcW w:w="1001" w:type="dxa"/>
            <w:gridSpan w:val="2"/>
            <w:vAlign w:val="center"/>
          </w:tcPr>
          <w:p w14:paraId="63A28D0F">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ascii="宋体" w:hAnsi="宋体"/>
                <w:color w:val="auto"/>
                <w:szCs w:val="21"/>
              </w:rPr>
              <w:t>1.1.4</w:t>
            </w:r>
          </w:p>
        </w:tc>
        <w:tc>
          <w:tcPr>
            <w:tcW w:w="1780" w:type="dxa"/>
            <w:vAlign w:val="center"/>
          </w:tcPr>
          <w:p w14:paraId="0F0EF448">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hint="eastAsia" w:ascii="宋体" w:hAnsi="宋体"/>
                <w:color w:val="auto"/>
                <w:szCs w:val="21"/>
              </w:rPr>
              <w:t>建设地点</w:t>
            </w:r>
          </w:p>
        </w:tc>
        <w:tc>
          <w:tcPr>
            <w:tcW w:w="6674" w:type="dxa"/>
            <w:gridSpan w:val="2"/>
            <w:vAlign w:val="center"/>
          </w:tcPr>
          <w:p w14:paraId="3F95A41C">
            <w:pPr>
              <w:keepNext w:val="0"/>
              <w:keepLines w:val="0"/>
              <w:pageBreakBefore w:val="0"/>
              <w:kinsoku/>
              <w:wordWrap/>
              <w:overflowPunct/>
              <w:topLinePunct w:val="0"/>
              <w:bidi w:val="0"/>
              <w:spacing w:line="400" w:lineRule="exact"/>
              <w:textAlignment w:val="auto"/>
              <w:rPr>
                <w:rFonts w:hint="default" w:ascii="宋体" w:hAnsi="宋体" w:eastAsia="宋体"/>
                <w:color w:val="auto"/>
                <w:szCs w:val="21"/>
                <w:lang w:val="en-US" w:eastAsia="zh-CN"/>
              </w:rPr>
            </w:pPr>
            <w:r>
              <w:rPr>
                <w:rFonts w:hint="eastAsia" w:ascii="宋体" w:hAnsi="宋体"/>
                <w:color w:val="auto"/>
                <w:szCs w:val="21"/>
                <w:lang w:val="en-US" w:eastAsia="zh-CN"/>
              </w:rPr>
              <w:t>旧府街道松林湾村石门坎村民组</w:t>
            </w:r>
          </w:p>
        </w:tc>
      </w:tr>
      <w:tr w14:paraId="6FD6FFB6">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581" w:hRule="exact"/>
          <w:jc w:val="center"/>
        </w:trPr>
        <w:tc>
          <w:tcPr>
            <w:tcW w:w="1001" w:type="dxa"/>
            <w:gridSpan w:val="2"/>
            <w:vAlign w:val="center"/>
          </w:tcPr>
          <w:p w14:paraId="393FEFA0">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ascii="宋体" w:hAnsi="宋体"/>
                <w:color w:val="auto"/>
                <w:szCs w:val="21"/>
              </w:rPr>
              <w:t>1.</w:t>
            </w:r>
            <w:r>
              <w:rPr>
                <w:rFonts w:hint="eastAsia" w:ascii="宋体" w:hAnsi="宋体"/>
                <w:color w:val="auto"/>
                <w:szCs w:val="21"/>
              </w:rPr>
              <w:t>1.</w:t>
            </w:r>
            <w:r>
              <w:rPr>
                <w:rFonts w:ascii="宋体" w:hAnsi="宋体"/>
                <w:color w:val="auto"/>
                <w:szCs w:val="21"/>
              </w:rPr>
              <w:t>5</w:t>
            </w:r>
          </w:p>
        </w:tc>
        <w:tc>
          <w:tcPr>
            <w:tcW w:w="1780" w:type="dxa"/>
            <w:vAlign w:val="center"/>
          </w:tcPr>
          <w:p w14:paraId="11578DC2">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hint="eastAsia" w:ascii="宋体" w:hAnsi="宋体"/>
                <w:color w:val="auto"/>
                <w:szCs w:val="21"/>
              </w:rPr>
              <w:t>建设规模及内容</w:t>
            </w:r>
          </w:p>
        </w:tc>
        <w:tc>
          <w:tcPr>
            <w:tcW w:w="6674" w:type="dxa"/>
            <w:gridSpan w:val="2"/>
            <w:vAlign w:val="center"/>
          </w:tcPr>
          <w:p w14:paraId="2E0187A2">
            <w:pPr>
              <w:pStyle w:val="381"/>
              <w:keepNext w:val="0"/>
              <w:keepLines w:val="0"/>
              <w:pageBreakBefore w:val="0"/>
              <w:kinsoku/>
              <w:wordWrap/>
              <w:overflowPunct/>
              <w:topLinePunct w:val="0"/>
              <w:bidi w:val="0"/>
              <w:snapToGrid w:val="0"/>
              <w:spacing w:line="400" w:lineRule="exact"/>
              <w:textAlignment w:val="auto"/>
              <w:rPr>
                <w:rFonts w:ascii="宋体" w:hAnsi="宋体"/>
                <w:bCs/>
                <w:color w:val="auto"/>
              </w:rPr>
            </w:pPr>
            <w:r>
              <w:rPr>
                <w:rFonts w:hint="eastAsia" w:ascii="宋体" w:hAnsi="宋体"/>
                <w:bCs/>
                <w:color w:val="auto"/>
              </w:rPr>
              <w:t>详见招标公告</w:t>
            </w:r>
          </w:p>
        </w:tc>
      </w:tr>
      <w:tr w14:paraId="62BF67EB">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487" w:hRule="exact"/>
          <w:jc w:val="center"/>
        </w:trPr>
        <w:tc>
          <w:tcPr>
            <w:tcW w:w="1001" w:type="dxa"/>
            <w:gridSpan w:val="2"/>
            <w:vAlign w:val="center"/>
          </w:tcPr>
          <w:p w14:paraId="1E2AB054">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ascii="宋体" w:hAnsi="宋体"/>
                <w:color w:val="auto"/>
                <w:szCs w:val="21"/>
              </w:rPr>
              <w:t>1.2.1</w:t>
            </w:r>
          </w:p>
        </w:tc>
        <w:tc>
          <w:tcPr>
            <w:tcW w:w="1780" w:type="dxa"/>
            <w:vAlign w:val="center"/>
          </w:tcPr>
          <w:p w14:paraId="0382989B">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hint="eastAsia" w:ascii="宋体" w:hAnsi="宋体"/>
                <w:color w:val="auto"/>
                <w:szCs w:val="21"/>
              </w:rPr>
              <w:t>资金来源</w:t>
            </w:r>
          </w:p>
        </w:tc>
        <w:tc>
          <w:tcPr>
            <w:tcW w:w="6674" w:type="dxa"/>
            <w:gridSpan w:val="2"/>
            <w:vAlign w:val="center"/>
          </w:tcPr>
          <w:p w14:paraId="5DC254A5">
            <w:pPr>
              <w:keepNext w:val="0"/>
              <w:keepLines w:val="0"/>
              <w:pageBreakBefore w:val="0"/>
              <w:kinsoku/>
              <w:wordWrap/>
              <w:overflowPunct/>
              <w:topLinePunct w:val="0"/>
              <w:bidi w:val="0"/>
              <w:spacing w:line="400" w:lineRule="exact"/>
              <w:textAlignment w:val="auto"/>
              <w:rPr>
                <w:rFonts w:hint="default" w:ascii="宋体" w:hAnsi="宋体"/>
                <w:color w:val="auto"/>
                <w:szCs w:val="21"/>
                <w:lang w:val="en-US"/>
              </w:rPr>
            </w:pPr>
            <w:r>
              <w:rPr>
                <w:rFonts w:hint="eastAsia" w:ascii="宋体" w:hAnsi="宋体"/>
                <w:bCs/>
                <w:color w:val="auto"/>
                <w:lang w:val="en-US" w:eastAsia="zh-CN"/>
              </w:rPr>
              <w:t>常态化帮扶资金</w:t>
            </w:r>
          </w:p>
        </w:tc>
      </w:tr>
      <w:tr w14:paraId="6C77DA70">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1001" w:type="dxa"/>
            <w:gridSpan w:val="2"/>
            <w:vAlign w:val="center"/>
          </w:tcPr>
          <w:p w14:paraId="1B14F292">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ascii="宋体" w:hAnsi="宋体"/>
                <w:color w:val="auto"/>
                <w:szCs w:val="21"/>
              </w:rPr>
              <w:t>1.2.2</w:t>
            </w:r>
          </w:p>
        </w:tc>
        <w:tc>
          <w:tcPr>
            <w:tcW w:w="1780" w:type="dxa"/>
            <w:vAlign w:val="center"/>
          </w:tcPr>
          <w:p w14:paraId="1C7D8609">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hint="eastAsia" w:ascii="宋体" w:hAnsi="宋体"/>
                <w:color w:val="auto"/>
                <w:szCs w:val="21"/>
              </w:rPr>
              <w:t>出资比例</w:t>
            </w:r>
          </w:p>
        </w:tc>
        <w:tc>
          <w:tcPr>
            <w:tcW w:w="6674" w:type="dxa"/>
            <w:gridSpan w:val="2"/>
            <w:vAlign w:val="center"/>
          </w:tcPr>
          <w:p w14:paraId="12FC8749">
            <w:pPr>
              <w:keepNext w:val="0"/>
              <w:keepLines w:val="0"/>
              <w:pageBreakBefore w:val="0"/>
              <w:kinsoku/>
              <w:wordWrap/>
              <w:overflowPunct/>
              <w:topLinePunct w:val="0"/>
              <w:bidi w:val="0"/>
              <w:spacing w:line="400" w:lineRule="exact"/>
              <w:textAlignment w:val="auto"/>
              <w:rPr>
                <w:rFonts w:ascii="宋体" w:hAnsi="宋体"/>
                <w:color w:val="auto"/>
                <w:szCs w:val="21"/>
              </w:rPr>
            </w:pPr>
            <w:r>
              <w:rPr>
                <w:rFonts w:hint="eastAsia" w:ascii="宋体" w:hAnsi="宋体"/>
                <w:bCs/>
                <w:color w:val="auto"/>
                <w:szCs w:val="21"/>
              </w:rPr>
              <w:t>100%</w:t>
            </w:r>
          </w:p>
        </w:tc>
      </w:tr>
      <w:tr w14:paraId="795D0587">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1001" w:type="dxa"/>
            <w:gridSpan w:val="2"/>
            <w:vAlign w:val="center"/>
          </w:tcPr>
          <w:p w14:paraId="11C7C6F2">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ascii="宋体" w:hAnsi="宋体"/>
                <w:color w:val="auto"/>
                <w:szCs w:val="21"/>
              </w:rPr>
              <w:t>1.2.3</w:t>
            </w:r>
          </w:p>
        </w:tc>
        <w:tc>
          <w:tcPr>
            <w:tcW w:w="1780" w:type="dxa"/>
            <w:vAlign w:val="center"/>
          </w:tcPr>
          <w:p w14:paraId="137CA4FD">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hint="eastAsia" w:ascii="宋体" w:hAnsi="宋体"/>
                <w:color w:val="auto"/>
                <w:szCs w:val="21"/>
              </w:rPr>
              <w:t>资金落实情况</w:t>
            </w:r>
          </w:p>
        </w:tc>
        <w:tc>
          <w:tcPr>
            <w:tcW w:w="6674" w:type="dxa"/>
            <w:gridSpan w:val="2"/>
            <w:vAlign w:val="center"/>
          </w:tcPr>
          <w:p w14:paraId="1507606B">
            <w:pPr>
              <w:keepNext w:val="0"/>
              <w:keepLines w:val="0"/>
              <w:pageBreakBefore w:val="0"/>
              <w:kinsoku/>
              <w:wordWrap/>
              <w:overflowPunct/>
              <w:topLinePunct w:val="0"/>
              <w:bidi w:val="0"/>
              <w:spacing w:line="400" w:lineRule="exact"/>
              <w:textAlignment w:val="auto"/>
              <w:rPr>
                <w:rFonts w:ascii="宋体" w:hAnsi="宋体"/>
                <w:color w:val="auto"/>
                <w:szCs w:val="21"/>
              </w:rPr>
            </w:pPr>
            <w:r>
              <w:rPr>
                <w:rFonts w:hint="eastAsia" w:ascii="宋体" w:hAnsi="宋体"/>
                <w:color w:val="auto"/>
                <w:szCs w:val="21"/>
              </w:rPr>
              <w:t>已落实</w:t>
            </w:r>
          </w:p>
        </w:tc>
      </w:tr>
      <w:tr w14:paraId="23462384">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207" w:hRule="atLeast"/>
          <w:jc w:val="center"/>
        </w:trPr>
        <w:tc>
          <w:tcPr>
            <w:tcW w:w="1001" w:type="dxa"/>
            <w:gridSpan w:val="2"/>
            <w:vAlign w:val="center"/>
          </w:tcPr>
          <w:p w14:paraId="2E634413">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ascii="宋体" w:hAnsi="宋体"/>
                <w:color w:val="auto"/>
                <w:szCs w:val="21"/>
              </w:rPr>
              <w:t>1.3.1</w:t>
            </w:r>
          </w:p>
        </w:tc>
        <w:tc>
          <w:tcPr>
            <w:tcW w:w="1780" w:type="dxa"/>
            <w:vAlign w:val="center"/>
          </w:tcPr>
          <w:p w14:paraId="084B391D">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hint="eastAsia" w:ascii="宋体" w:hAnsi="宋体"/>
                <w:color w:val="auto"/>
                <w:szCs w:val="21"/>
              </w:rPr>
              <w:t>招标范围</w:t>
            </w:r>
          </w:p>
        </w:tc>
        <w:tc>
          <w:tcPr>
            <w:tcW w:w="6674" w:type="dxa"/>
            <w:gridSpan w:val="2"/>
            <w:vAlign w:val="center"/>
          </w:tcPr>
          <w:p w14:paraId="496C76B7">
            <w:pPr>
              <w:pStyle w:val="381"/>
              <w:keepNext w:val="0"/>
              <w:keepLines w:val="0"/>
              <w:pageBreakBefore w:val="0"/>
              <w:kinsoku/>
              <w:wordWrap/>
              <w:overflowPunct/>
              <w:topLinePunct w:val="0"/>
              <w:bidi w:val="0"/>
              <w:snapToGrid w:val="0"/>
              <w:spacing w:line="400" w:lineRule="exact"/>
              <w:textAlignment w:val="auto"/>
              <w:rPr>
                <w:rFonts w:ascii="宋体" w:hAnsi="宋体"/>
                <w:color w:val="auto"/>
              </w:rPr>
            </w:pPr>
            <w:r>
              <w:rPr>
                <w:rFonts w:hint="eastAsia" w:ascii="宋体" w:hAnsi="宋体"/>
                <w:color w:val="auto"/>
                <w:lang w:val="zh-TW"/>
              </w:rPr>
              <w:t>包括但不限于本项目的设计、勘察（测绘、地勘）、施工（包括竣工验收、移交）等全过程的承包。</w:t>
            </w:r>
          </w:p>
        </w:tc>
      </w:tr>
      <w:tr w14:paraId="130C43E0">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618" w:hRule="atLeast"/>
          <w:jc w:val="center"/>
        </w:trPr>
        <w:tc>
          <w:tcPr>
            <w:tcW w:w="1001" w:type="dxa"/>
            <w:gridSpan w:val="2"/>
            <w:vAlign w:val="center"/>
          </w:tcPr>
          <w:p w14:paraId="38BAE141">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ascii="宋体" w:hAnsi="宋体"/>
                <w:color w:val="auto"/>
                <w:szCs w:val="21"/>
              </w:rPr>
              <w:t>1.3.2</w:t>
            </w:r>
          </w:p>
        </w:tc>
        <w:tc>
          <w:tcPr>
            <w:tcW w:w="1780" w:type="dxa"/>
            <w:vAlign w:val="center"/>
          </w:tcPr>
          <w:p w14:paraId="3E6B6E2B">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hint="eastAsia" w:ascii="宋体" w:hAnsi="宋体"/>
                <w:color w:val="auto"/>
                <w:szCs w:val="21"/>
              </w:rPr>
              <w:t>计划工期</w:t>
            </w:r>
          </w:p>
        </w:tc>
        <w:tc>
          <w:tcPr>
            <w:tcW w:w="6674" w:type="dxa"/>
            <w:gridSpan w:val="2"/>
            <w:vAlign w:val="center"/>
          </w:tcPr>
          <w:p w14:paraId="12308371">
            <w:pPr>
              <w:keepNext w:val="0"/>
              <w:keepLines w:val="0"/>
              <w:pageBreakBefore w:val="0"/>
              <w:kinsoku/>
              <w:wordWrap/>
              <w:overflowPunct/>
              <w:topLinePunct w:val="0"/>
              <w:bidi w:val="0"/>
              <w:spacing w:line="400" w:lineRule="exact"/>
              <w:textAlignment w:val="auto"/>
              <w:rPr>
                <w:rFonts w:hint="eastAsia" w:ascii="宋体" w:hAnsi="宋体"/>
                <w:color w:val="auto"/>
                <w:lang w:eastAsia="zh-CN"/>
              </w:rPr>
            </w:pPr>
            <w:r>
              <w:rPr>
                <w:rFonts w:hint="eastAsia" w:ascii="宋体" w:hAnsi="宋体"/>
                <w:color w:val="auto"/>
              </w:rPr>
              <w:t>计划工期：180日历天</w:t>
            </w:r>
            <w:r>
              <w:rPr>
                <w:rFonts w:hint="eastAsia" w:ascii="宋体" w:hAnsi="宋体"/>
                <w:color w:val="auto"/>
                <w:lang w:eastAsia="zh-CN"/>
              </w:rPr>
              <w:t>（</w:t>
            </w:r>
            <w:r>
              <w:rPr>
                <w:rFonts w:hint="eastAsia" w:ascii="宋体" w:hAnsi="宋体"/>
                <w:color w:val="auto"/>
                <w:lang w:val="en-US" w:eastAsia="zh-CN"/>
              </w:rPr>
              <w:t>含</w:t>
            </w:r>
            <w:r>
              <w:rPr>
                <w:rFonts w:hint="eastAsia" w:ascii="宋体" w:hAnsi="宋体"/>
                <w:color w:val="auto"/>
              </w:rPr>
              <w:t>勘察设计周期</w:t>
            </w:r>
            <w:r>
              <w:rPr>
                <w:rFonts w:hint="eastAsia" w:ascii="宋体" w:hAnsi="宋体"/>
                <w:color w:val="auto"/>
                <w:lang w:eastAsia="zh-CN"/>
              </w:rPr>
              <w:t>）</w:t>
            </w:r>
          </w:p>
          <w:p w14:paraId="13CB88E9">
            <w:pPr>
              <w:keepNext w:val="0"/>
              <w:keepLines w:val="0"/>
              <w:pageBreakBefore w:val="0"/>
              <w:kinsoku/>
              <w:wordWrap/>
              <w:overflowPunct/>
              <w:topLinePunct w:val="0"/>
              <w:bidi w:val="0"/>
              <w:spacing w:line="400" w:lineRule="exact"/>
              <w:textAlignment w:val="auto"/>
              <w:rPr>
                <w:rFonts w:ascii="宋体" w:hAnsi="宋体"/>
                <w:color w:val="auto"/>
              </w:rPr>
            </w:pPr>
            <w:r>
              <w:rPr>
                <w:rFonts w:hint="eastAsia" w:ascii="宋体" w:hAnsi="宋体"/>
                <w:color w:val="auto"/>
              </w:rPr>
              <w:t>勘察设计周期</w:t>
            </w:r>
            <w:r>
              <w:rPr>
                <w:rFonts w:hint="eastAsia" w:ascii="宋体" w:hAnsi="宋体"/>
                <w:color w:val="auto"/>
                <w:lang w:eastAsia="zh-CN"/>
              </w:rPr>
              <w:t>：</w:t>
            </w:r>
            <w:r>
              <w:rPr>
                <w:rFonts w:hint="eastAsia" w:ascii="宋体" w:hAnsi="宋体"/>
                <w:color w:val="auto"/>
              </w:rPr>
              <w:t>30日历天</w:t>
            </w:r>
            <w:r>
              <w:rPr>
                <w:rFonts w:hint="eastAsia" w:ascii="宋体" w:hAnsi="宋体"/>
                <w:color w:val="auto"/>
                <w:lang w:val="en-US" w:eastAsia="zh-CN"/>
              </w:rPr>
              <w:t>提交成果资料</w:t>
            </w:r>
          </w:p>
        </w:tc>
      </w:tr>
      <w:tr w14:paraId="6A058262">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611" w:hRule="atLeast"/>
          <w:jc w:val="center"/>
        </w:trPr>
        <w:tc>
          <w:tcPr>
            <w:tcW w:w="1001" w:type="dxa"/>
            <w:gridSpan w:val="2"/>
            <w:vAlign w:val="center"/>
          </w:tcPr>
          <w:p w14:paraId="3E36EF25">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ascii="宋体" w:hAnsi="宋体"/>
                <w:color w:val="auto"/>
                <w:szCs w:val="21"/>
              </w:rPr>
              <w:t>1.3.3</w:t>
            </w:r>
          </w:p>
        </w:tc>
        <w:tc>
          <w:tcPr>
            <w:tcW w:w="1780" w:type="dxa"/>
            <w:vAlign w:val="center"/>
          </w:tcPr>
          <w:p w14:paraId="7CCE91F8">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hint="eastAsia" w:ascii="宋体" w:hAnsi="宋体"/>
                <w:color w:val="auto"/>
                <w:szCs w:val="21"/>
              </w:rPr>
              <w:t>质量要求</w:t>
            </w:r>
          </w:p>
        </w:tc>
        <w:tc>
          <w:tcPr>
            <w:tcW w:w="6674" w:type="dxa"/>
            <w:gridSpan w:val="2"/>
            <w:vAlign w:val="center"/>
          </w:tcPr>
          <w:p w14:paraId="66838245">
            <w:pPr>
              <w:pStyle w:val="381"/>
              <w:keepNext w:val="0"/>
              <w:keepLines w:val="0"/>
              <w:pageBreakBefore w:val="0"/>
              <w:kinsoku/>
              <w:wordWrap/>
              <w:overflowPunct/>
              <w:topLinePunct w:val="0"/>
              <w:bidi w:val="0"/>
              <w:snapToGrid w:val="0"/>
              <w:spacing w:line="400" w:lineRule="exact"/>
              <w:textAlignment w:val="auto"/>
              <w:rPr>
                <w:rFonts w:ascii="宋体" w:hAnsi="宋体"/>
                <w:color w:val="auto"/>
                <w:kern w:val="2"/>
              </w:rPr>
            </w:pPr>
            <w:r>
              <w:rPr>
                <w:rFonts w:hint="eastAsia" w:ascii="宋体" w:hAnsi="宋体"/>
                <w:color w:val="auto"/>
                <w:kern w:val="2"/>
                <w:lang w:val="zh-TW" w:eastAsia="zh-TW"/>
              </w:rPr>
              <w:t>符合《建设项目工程总承包管理规范》（GB</w:t>
            </w:r>
            <w:r>
              <w:rPr>
                <w:rFonts w:hint="eastAsia" w:ascii="宋体" w:hAnsi="宋体"/>
                <w:color w:val="auto"/>
                <w:kern w:val="2"/>
                <w:lang w:val="zh-TW" w:eastAsia="zh-CN"/>
              </w:rPr>
              <w:t>/T 50358</w:t>
            </w:r>
            <w:r>
              <w:rPr>
                <w:rFonts w:hint="eastAsia" w:ascii="宋体" w:hAnsi="宋体"/>
                <w:color w:val="auto"/>
                <w:kern w:val="2"/>
                <w:lang w:val="zh-TW" w:eastAsia="zh-TW"/>
              </w:rPr>
              <w:t>-2017）和国家、行业及地方现行的相关标准及规范</w:t>
            </w:r>
            <w:r>
              <w:rPr>
                <w:rFonts w:hint="eastAsia" w:ascii="宋体" w:hAnsi="宋体"/>
                <w:color w:val="auto"/>
                <w:kern w:val="2"/>
                <w:lang w:val="zh-TW" w:eastAsia="zh-CN"/>
              </w:rPr>
              <w:t>，一次性</w:t>
            </w:r>
            <w:r>
              <w:rPr>
                <w:rFonts w:hint="eastAsia" w:ascii="宋体" w:hAnsi="宋体"/>
                <w:color w:val="auto"/>
                <w:kern w:val="2"/>
                <w:lang w:val="zh-TW" w:eastAsia="zh-TW"/>
              </w:rPr>
              <w:t>验收合格。</w:t>
            </w:r>
            <w:r>
              <w:rPr>
                <w:rFonts w:hint="eastAsia" w:ascii="宋体" w:hAnsi="宋体"/>
                <w:color w:val="auto"/>
                <w:kern w:val="2"/>
                <w:lang w:val="zh-TW"/>
              </w:rPr>
              <w:t>所有工程缺陷责任期自竣工验收之日起计算24个月。</w:t>
            </w:r>
          </w:p>
        </w:tc>
      </w:tr>
      <w:tr w14:paraId="0DE1252E">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001" w:type="dxa"/>
            <w:gridSpan w:val="2"/>
            <w:vAlign w:val="center"/>
          </w:tcPr>
          <w:p w14:paraId="062FD7EF">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ascii="宋体" w:hAnsi="宋体"/>
                <w:color w:val="auto"/>
                <w:szCs w:val="21"/>
              </w:rPr>
              <w:t>1.</w:t>
            </w:r>
            <w:r>
              <w:rPr>
                <w:rFonts w:hint="eastAsia" w:ascii="宋体" w:hAnsi="宋体"/>
                <w:color w:val="auto"/>
                <w:szCs w:val="21"/>
              </w:rPr>
              <w:t>3.4</w:t>
            </w:r>
          </w:p>
        </w:tc>
        <w:tc>
          <w:tcPr>
            <w:tcW w:w="1780" w:type="dxa"/>
            <w:vAlign w:val="center"/>
          </w:tcPr>
          <w:p w14:paraId="67F2E96C">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hint="eastAsia" w:ascii="宋体" w:hAnsi="宋体"/>
                <w:color w:val="auto"/>
                <w:szCs w:val="21"/>
              </w:rPr>
              <w:t>报价要求</w:t>
            </w:r>
          </w:p>
        </w:tc>
        <w:tc>
          <w:tcPr>
            <w:tcW w:w="6674" w:type="dxa"/>
            <w:gridSpan w:val="2"/>
            <w:vAlign w:val="center"/>
          </w:tcPr>
          <w:p w14:paraId="78215FB1">
            <w:pPr>
              <w:keepNext w:val="0"/>
              <w:keepLines w:val="0"/>
              <w:pageBreakBefore w:val="0"/>
              <w:kinsoku/>
              <w:wordWrap/>
              <w:overflowPunct/>
              <w:topLinePunct w:val="0"/>
              <w:bidi w:val="0"/>
              <w:spacing w:line="400" w:lineRule="exact"/>
              <w:textAlignment w:val="auto"/>
              <w:rPr>
                <w:rFonts w:hint="eastAsia" w:ascii="Times New Roman" w:hAnsi="Times New Roman" w:cs="Times New Roman"/>
                <w:color w:val="auto"/>
                <w:lang w:val="en-US" w:eastAsia="zh-CN"/>
              </w:rPr>
            </w:pPr>
            <w:r>
              <w:rPr>
                <w:rFonts w:hint="eastAsia" w:ascii="Times New Roman" w:hAnsi="Times New Roman" w:cs="Times New Roman"/>
                <w:color w:val="auto"/>
                <w:lang w:val="en-US" w:eastAsia="zh-CN"/>
              </w:rPr>
              <w:t>（一）勘察费：</w:t>
            </w:r>
            <w:r>
              <w:rPr>
                <w:rFonts w:hint="eastAsia" w:cs="Times New Roman"/>
                <w:color w:val="auto"/>
                <w:lang w:val="en-US" w:eastAsia="zh-CN"/>
              </w:rPr>
              <w:t>投标</w:t>
            </w:r>
            <w:r>
              <w:rPr>
                <w:rFonts w:hint="eastAsia" w:ascii="Times New Roman" w:hAnsi="Times New Roman" w:cs="Times New Roman"/>
                <w:color w:val="auto"/>
                <w:lang w:val="en-US" w:eastAsia="zh-CN"/>
              </w:rPr>
              <w:t>报价不得高于</w:t>
            </w:r>
            <w:r>
              <w:rPr>
                <w:rFonts w:hint="eastAsia" w:cs="Times New Roman"/>
                <w:color w:val="auto"/>
                <w:lang w:val="en-US" w:eastAsia="zh-CN"/>
              </w:rPr>
              <w:t>140元/进尺米</w:t>
            </w:r>
            <w:r>
              <w:rPr>
                <w:rFonts w:hint="eastAsia" w:ascii="Times New Roman" w:hAnsi="Times New Roman" w:cs="Times New Roman"/>
                <w:color w:val="auto"/>
                <w:lang w:val="en-US" w:eastAsia="zh-CN"/>
              </w:rPr>
              <w:t>，否则，按无效投标处理。</w:t>
            </w:r>
          </w:p>
          <w:p w14:paraId="3679273F">
            <w:pPr>
              <w:keepNext w:val="0"/>
              <w:keepLines w:val="0"/>
              <w:pageBreakBefore w:val="0"/>
              <w:kinsoku/>
              <w:wordWrap/>
              <w:overflowPunct/>
              <w:topLinePunct w:val="0"/>
              <w:bidi w:val="0"/>
              <w:spacing w:line="400" w:lineRule="exact"/>
              <w:textAlignment w:val="auto"/>
              <w:rPr>
                <w:rFonts w:hint="eastAsia" w:ascii="Times New Roman" w:hAnsi="Times New Roman" w:cs="Times New Roman"/>
                <w:color w:val="auto"/>
                <w:lang w:val="en-US" w:eastAsia="zh-CN"/>
              </w:rPr>
            </w:pPr>
            <w:r>
              <w:rPr>
                <w:rFonts w:hint="eastAsia" w:ascii="Times New Roman" w:hAnsi="Times New Roman" w:cs="Times New Roman"/>
                <w:color w:val="auto"/>
                <w:lang w:val="en-US" w:eastAsia="zh-CN"/>
              </w:rPr>
              <w:t>（二）设计费：</w:t>
            </w:r>
            <w:r>
              <w:rPr>
                <w:rFonts w:hint="eastAsia" w:ascii="宋体" w:hAnsi="宋体" w:eastAsia="宋体" w:cs="宋体"/>
                <w:b w:val="0"/>
                <w:bCs w:val="0"/>
                <w:smallCaps w:val="0"/>
                <w:color w:val="auto"/>
                <w:kern w:val="2"/>
                <w:sz w:val="21"/>
                <w:szCs w:val="21"/>
                <w:lang w:val="en-US" w:eastAsia="zh-CN" w:bidi="ar-SA"/>
              </w:rPr>
              <w:t>费率报价不得高于经镇雄县财政局投资评审中心审定竣工结算后建安工程费的1.5%，否则，按无效投标处理</w:t>
            </w:r>
            <w:r>
              <w:rPr>
                <w:rFonts w:hint="eastAsia" w:ascii="Times New Roman" w:hAnsi="Times New Roman" w:cs="Times New Roman"/>
                <w:color w:val="auto"/>
                <w:lang w:val="en-US" w:eastAsia="zh-CN"/>
              </w:rPr>
              <w:t>。</w:t>
            </w:r>
          </w:p>
          <w:p w14:paraId="116406DF">
            <w:pPr>
              <w:keepNext w:val="0"/>
              <w:keepLines w:val="0"/>
              <w:pageBreakBefore w:val="0"/>
              <w:kinsoku/>
              <w:wordWrap/>
              <w:overflowPunct/>
              <w:topLinePunct w:val="0"/>
              <w:bidi w:val="0"/>
              <w:spacing w:line="400" w:lineRule="exact"/>
              <w:textAlignment w:val="auto"/>
              <w:rPr>
                <w:rFonts w:hint="eastAsia" w:ascii="宋体" w:hAnsi="宋体"/>
                <w:color w:val="auto"/>
              </w:rPr>
            </w:pPr>
            <w:r>
              <w:rPr>
                <w:rFonts w:hint="default" w:ascii="Times New Roman" w:hAnsi="Times New Roman" w:cs="Times New Roman"/>
                <w:color w:val="auto"/>
                <w:lang w:val="en-US" w:eastAsia="zh-CN"/>
              </w:rPr>
              <w:t>（三）建安工程费：建安工程费按《建设工程工程量清单计价规范》GB50500-2013工程量清单计价办法、云南省住房和城乡建设厅关于发布实施《云南省建设工程造价计价标准（2020版）》的通知云建科</w:t>
            </w:r>
            <w:r>
              <w:rPr>
                <w:rFonts w:hint="eastAsia" w:cs="Times New Roman"/>
                <w:color w:val="auto"/>
                <w:lang w:val="en-US" w:eastAsia="zh-CN"/>
              </w:rPr>
              <w:t>〔2021〕15号</w:t>
            </w:r>
            <w:r>
              <w:rPr>
                <w:rFonts w:hint="default" w:ascii="Times New Roman" w:hAnsi="Times New Roman" w:cs="Times New Roman"/>
                <w:color w:val="auto"/>
                <w:lang w:val="en-US" w:eastAsia="zh-CN"/>
              </w:rPr>
              <w:t>文件的相关配套定额执行，前述文件中没有明确定额及取费标准的适用云南省现行计价文件。承包人采购的辅材、安装材料、装饰装修材料、型材等相关材料价格按照昭通市建设工程材料价格信息（</w:t>
            </w:r>
            <w:r>
              <w:rPr>
                <w:rFonts w:hint="eastAsia" w:cs="Times New Roman"/>
                <w:color w:val="auto"/>
                <w:lang w:val="en-US" w:eastAsia="zh-CN"/>
              </w:rPr>
              <w:t>镇雄县基价</w:t>
            </w:r>
            <w:r>
              <w:rPr>
                <w:rFonts w:hint="default" w:ascii="Times New Roman" w:hAnsi="Times New Roman" w:cs="Times New Roman"/>
                <w:color w:val="auto"/>
                <w:lang w:val="en-US" w:eastAsia="zh-CN"/>
              </w:rPr>
              <w:t>）并结合市场行情执行（投标截止日上一个月作为计价依据）；昭通市价格信息没有的参照云南省价格信息执行；以上价格信息没有的，建设前由承包人上报并经发包人及其委托的造价咨询人确认后再行实施。承包人依据建设单位确认的施工图，编制本项目施工图预算，经建设单位委托有资质的造价服务单位审定后作为工程进度款支付依据（经审定后的进度工程费用</w:t>
            </w:r>
            <w:r>
              <w:rPr>
                <w:rFonts w:hint="eastAsia" w:ascii="Times New Roman" w:hAnsi="Times New Roman" w:cs="Times New Roman"/>
                <w:color w:val="auto"/>
                <w:lang w:val="en-US" w:eastAsia="zh-CN"/>
              </w:rPr>
              <w:t>－</w:t>
            </w:r>
            <w:r>
              <w:rPr>
                <w:rFonts w:hint="default" w:ascii="Times New Roman" w:hAnsi="Times New Roman" w:cs="Times New Roman"/>
                <w:color w:val="auto"/>
                <w:lang w:val="en-US" w:eastAsia="zh-CN"/>
              </w:rPr>
              <w:t>不可竞争费用）×中标优惠后费率+不可竞争费用。工程完工后，</w:t>
            </w:r>
            <w:r>
              <w:rPr>
                <w:rFonts w:hint="eastAsia" w:cs="Times New Roman"/>
                <w:color w:val="auto"/>
                <w:lang w:val="en-US" w:eastAsia="zh-CN"/>
              </w:rPr>
              <w:t>以全过程造价咨询服务单位审定的竣工结算报镇雄县财政局投资评审中心审批，按镇雄县财政局投资评审中心审定的建安工程费用乘以工程总承包单位中标优惠后费率作为最终的工程竣工结算价。</w:t>
            </w:r>
            <w:r>
              <w:rPr>
                <w:rFonts w:hint="default" w:ascii="Times New Roman" w:hAnsi="Times New Roman" w:cs="Times New Roman"/>
                <w:color w:val="auto"/>
                <w:lang w:val="en-US" w:eastAsia="zh-CN"/>
              </w:rPr>
              <w:t>即建安工程费最终结算价=（经审定后的建安工程费用-不可竞争费用）×中标优惠后费率+不可竞争费用，其中：不可竞争费用包括安全文明施工费、规费、税金。建安工程费（不含不可竞争费用）按承诺优惠后的费率报价（如：优惠费率为</w:t>
            </w:r>
            <w:r>
              <w:rPr>
                <w:rFonts w:hint="eastAsia" w:ascii="Times New Roman" w:hAnsi="Times New Roman" w:cs="Times New Roman"/>
                <w:color w:val="auto"/>
                <w:lang w:val="en-US" w:eastAsia="zh-CN"/>
              </w:rPr>
              <w:t>1.00</w:t>
            </w:r>
            <w:r>
              <w:rPr>
                <w:rFonts w:hint="default" w:ascii="Times New Roman" w:hAnsi="Times New Roman" w:cs="Times New Roman"/>
                <w:color w:val="auto"/>
                <w:lang w:val="en-US" w:eastAsia="zh-CN"/>
              </w:rPr>
              <w:t>％，优惠后的费率为9</w:t>
            </w:r>
            <w:r>
              <w:rPr>
                <w:rFonts w:hint="eastAsia" w:ascii="Times New Roman" w:hAnsi="Times New Roman" w:cs="Times New Roman"/>
                <w:color w:val="auto"/>
                <w:lang w:val="en-US" w:eastAsia="zh-CN"/>
              </w:rPr>
              <w:t>9.00</w:t>
            </w:r>
            <w:r>
              <w:rPr>
                <w:rFonts w:hint="default" w:ascii="Times New Roman" w:hAnsi="Times New Roman" w:cs="Times New Roman"/>
                <w:color w:val="auto"/>
                <w:lang w:val="en-US" w:eastAsia="zh-CN"/>
              </w:rPr>
              <w:t>％）。即投标优惠费率应≥</w:t>
            </w:r>
            <w:r>
              <w:rPr>
                <w:rFonts w:hint="eastAsia" w:ascii="Times New Roman" w:hAnsi="Times New Roman" w:cs="Times New Roman"/>
                <w:color w:val="auto"/>
                <w:lang w:val="en-US" w:eastAsia="zh-CN"/>
              </w:rPr>
              <w:t>0</w:t>
            </w:r>
            <w:r>
              <w:rPr>
                <w:rFonts w:hint="default" w:ascii="Times New Roman" w:hAnsi="Times New Roman" w:cs="Times New Roman"/>
                <w:color w:val="auto"/>
                <w:lang w:val="en-US" w:eastAsia="zh-CN"/>
              </w:rPr>
              <w:t>，最高投标限价为</w:t>
            </w:r>
            <w:r>
              <w:rPr>
                <w:rFonts w:hint="eastAsia" w:ascii="Times New Roman" w:hAnsi="Times New Roman" w:cs="Times New Roman"/>
                <w:color w:val="auto"/>
                <w:lang w:val="en-US" w:eastAsia="zh-CN"/>
              </w:rPr>
              <w:t>9</w:t>
            </w:r>
            <w:r>
              <w:rPr>
                <w:rFonts w:hint="eastAsia" w:cs="Times New Roman"/>
                <w:color w:val="auto"/>
                <w:lang w:val="en-US" w:eastAsia="zh-CN"/>
              </w:rPr>
              <w:t>7</w:t>
            </w:r>
            <w:r>
              <w:rPr>
                <w:rFonts w:hint="eastAsia" w:ascii="Times New Roman" w:hAnsi="Times New Roman" w:cs="Times New Roman"/>
                <w:color w:val="auto"/>
                <w:lang w:val="en-US" w:eastAsia="zh-CN"/>
              </w:rPr>
              <w:t>%</w:t>
            </w:r>
            <w:r>
              <w:rPr>
                <w:rFonts w:hint="default" w:ascii="Times New Roman" w:hAnsi="Times New Roman" w:cs="Times New Roman"/>
                <w:color w:val="auto"/>
                <w:lang w:val="en-US" w:eastAsia="zh-CN"/>
              </w:rPr>
              <w:t>，否则，按无效投标处理。</w:t>
            </w:r>
          </w:p>
        </w:tc>
      </w:tr>
      <w:tr w14:paraId="7A6D0C84">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928" w:hRule="atLeast"/>
          <w:jc w:val="center"/>
        </w:trPr>
        <w:tc>
          <w:tcPr>
            <w:tcW w:w="1001" w:type="dxa"/>
            <w:gridSpan w:val="2"/>
            <w:vAlign w:val="center"/>
          </w:tcPr>
          <w:p w14:paraId="56CF9108">
            <w:pPr>
              <w:keepNext w:val="0"/>
              <w:keepLines w:val="0"/>
              <w:pageBreakBefore w:val="0"/>
              <w:kinsoku/>
              <w:wordWrap/>
              <w:overflowPunct/>
              <w:topLinePunct w:val="0"/>
              <w:bidi w:val="0"/>
              <w:spacing w:line="400" w:lineRule="exact"/>
              <w:ind w:firstLine="210" w:firstLineChars="100"/>
              <w:jc w:val="both"/>
              <w:textAlignment w:val="auto"/>
              <w:rPr>
                <w:rFonts w:ascii="宋体" w:hAnsi="宋体"/>
                <w:color w:val="auto"/>
                <w:szCs w:val="21"/>
              </w:rPr>
            </w:pPr>
            <w:r>
              <w:rPr>
                <w:rFonts w:ascii="宋体" w:hAnsi="宋体"/>
                <w:color w:val="auto"/>
                <w:szCs w:val="21"/>
              </w:rPr>
              <w:t>1.4.1</w:t>
            </w:r>
          </w:p>
        </w:tc>
        <w:tc>
          <w:tcPr>
            <w:tcW w:w="1780" w:type="dxa"/>
            <w:vAlign w:val="center"/>
          </w:tcPr>
          <w:p w14:paraId="19AA29A4">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hint="eastAsia" w:ascii="宋体" w:hAnsi="宋体" w:cs="宋体"/>
                <w:color w:val="auto"/>
              </w:rPr>
              <w:t>投标人资质条件、能力和信誉</w:t>
            </w:r>
          </w:p>
        </w:tc>
        <w:tc>
          <w:tcPr>
            <w:tcW w:w="6674" w:type="dxa"/>
            <w:gridSpan w:val="2"/>
            <w:vAlign w:val="center"/>
          </w:tcPr>
          <w:p w14:paraId="1A035890">
            <w:pPr>
              <w:keepNext w:val="0"/>
              <w:keepLines w:val="0"/>
              <w:pageBreakBefore w:val="0"/>
              <w:kinsoku/>
              <w:wordWrap/>
              <w:overflowPunct/>
              <w:topLinePunct w:val="0"/>
              <w:bidi w:val="0"/>
              <w:spacing w:line="400" w:lineRule="exact"/>
              <w:textAlignment w:val="auto"/>
              <w:rPr>
                <w:rFonts w:hint="default" w:eastAsia="宋体"/>
                <w:color w:val="auto"/>
                <w:lang w:val="en-US" w:eastAsia="zh-CN"/>
              </w:rPr>
            </w:pPr>
            <w:r>
              <w:rPr>
                <w:rFonts w:hint="eastAsia"/>
                <w:color w:val="auto"/>
                <w:lang w:val="en-US" w:eastAsia="zh-CN"/>
              </w:rPr>
              <w:t>详见招标公告</w:t>
            </w:r>
          </w:p>
        </w:tc>
      </w:tr>
      <w:tr w14:paraId="44FE5425">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568" w:hRule="atLeast"/>
          <w:jc w:val="center"/>
        </w:trPr>
        <w:tc>
          <w:tcPr>
            <w:tcW w:w="1001" w:type="dxa"/>
            <w:gridSpan w:val="2"/>
            <w:vAlign w:val="center"/>
          </w:tcPr>
          <w:p w14:paraId="19B0C3BB">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ascii="宋体" w:hAnsi="宋体"/>
                <w:color w:val="auto"/>
                <w:szCs w:val="21"/>
              </w:rPr>
              <w:t>1.4.2</w:t>
            </w:r>
          </w:p>
        </w:tc>
        <w:tc>
          <w:tcPr>
            <w:tcW w:w="1780" w:type="dxa"/>
            <w:vAlign w:val="center"/>
          </w:tcPr>
          <w:p w14:paraId="1BC76DF2">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hint="eastAsia" w:ascii="宋体" w:hAnsi="宋体"/>
                <w:color w:val="auto"/>
                <w:szCs w:val="21"/>
              </w:rPr>
              <w:t>是否接受联合体投标</w:t>
            </w:r>
          </w:p>
        </w:tc>
        <w:tc>
          <w:tcPr>
            <w:tcW w:w="6674" w:type="dxa"/>
            <w:gridSpan w:val="2"/>
            <w:vAlign w:val="center"/>
          </w:tcPr>
          <w:p w14:paraId="5FC1159A">
            <w:pPr>
              <w:keepNext w:val="0"/>
              <w:keepLines w:val="0"/>
              <w:pageBreakBefore w:val="0"/>
              <w:kinsoku/>
              <w:wordWrap/>
              <w:overflowPunct/>
              <w:topLinePunct w:val="0"/>
              <w:bidi w:val="0"/>
              <w:spacing w:line="400" w:lineRule="exact"/>
              <w:textAlignment w:val="auto"/>
              <w:rPr>
                <w:rFonts w:ascii="宋体" w:hAnsi="宋体"/>
                <w:color w:val="auto"/>
                <w:szCs w:val="21"/>
              </w:rPr>
            </w:pPr>
            <w:r>
              <w:rPr>
                <w:rFonts w:hint="eastAsia" w:ascii="宋体" w:hAnsi="宋体"/>
                <w:color w:val="auto"/>
                <w:szCs w:val="21"/>
              </w:rPr>
              <w:t>接受</w:t>
            </w:r>
          </w:p>
        </w:tc>
      </w:tr>
      <w:tr w14:paraId="1B74A690">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568" w:hRule="atLeast"/>
          <w:jc w:val="center"/>
        </w:trPr>
        <w:tc>
          <w:tcPr>
            <w:tcW w:w="1001" w:type="dxa"/>
            <w:gridSpan w:val="2"/>
            <w:vAlign w:val="center"/>
          </w:tcPr>
          <w:p w14:paraId="65DF6C6A">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ascii="宋体" w:hAnsi="宋体"/>
                <w:color w:val="auto"/>
                <w:szCs w:val="21"/>
              </w:rPr>
              <w:t>1.</w:t>
            </w:r>
            <w:r>
              <w:rPr>
                <w:rFonts w:hint="eastAsia" w:ascii="宋体" w:hAnsi="宋体"/>
                <w:color w:val="auto"/>
                <w:szCs w:val="21"/>
              </w:rPr>
              <w:t>5</w:t>
            </w:r>
            <w:r>
              <w:rPr>
                <w:rFonts w:ascii="宋体" w:hAnsi="宋体"/>
                <w:color w:val="auto"/>
                <w:szCs w:val="21"/>
              </w:rPr>
              <w:t>.1</w:t>
            </w:r>
          </w:p>
        </w:tc>
        <w:tc>
          <w:tcPr>
            <w:tcW w:w="1780" w:type="dxa"/>
            <w:vAlign w:val="center"/>
          </w:tcPr>
          <w:p w14:paraId="6049B4CA">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hint="eastAsia" w:ascii="宋体" w:hAnsi="宋体"/>
                <w:color w:val="auto"/>
                <w:szCs w:val="21"/>
              </w:rPr>
              <w:t>费用承担和设计成果补偿</w:t>
            </w:r>
          </w:p>
        </w:tc>
        <w:tc>
          <w:tcPr>
            <w:tcW w:w="6674" w:type="dxa"/>
            <w:gridSpan w:val="2"/>
            <w:vAlign w:val="center"/>
          </w:tcPr>
          <w:p w14:paraId="3279B88D">
            <w:pPr>
              <w:keepNext w:val="0"/>
              <w:keepLines w:val="0"/>
              <w:pageBreakBefore w:val="0"/>
              <w:kinsoku/>
              <w:wordWrap/>
              <w:overflowPunct/>
              <w:topLinePunct w:val="0"/>
              <w:bidi w:val="0"/>
              <w:spacing w:line="400" w:lineRule="exact"/>
              <w:textAlignment w:val="auto"/>
              <w:rPr>
                <w:rFonts w:ascii="宋体" w:hAnsi="宋体"/>
                <w:color w:val="auto"/>
                <w:szCs w:val="21"/>
              </w:rPr>
            </w:pPr>
            <w:r>
              <w:rPr>
                <w:rFonts w:hint="eastAsia" w:ascii="宋体" w:hAnsi="宋体"/>
                <w:color w:val="auto"/>
                <w:szCs w:val="21"/>
              </w:rPr>
              <w:t>不</w:t>
            </w:r>
            <w:r>
              <w:rPr>
                <w:rFonts w:ascii="宋体" w:hAnsi="宋体"/>
                <w:color w:val="auto"/>
                <w:szCs w:val="21"/>
              </w:rPr>
              <w:t>补偿</w:t>
            </w:r>
          </w:p>
        </w:tc>
      </w:tr>
      <w:tr w14:paraId="15BB2213">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338" w:hRule="atLeast"/>
          <w:jc w:val="center"/>
        </w:trPr>
        <w:tc>
          <w:tcPr>
            <w:tcW w:w="1001" w:type="dxa"/>
            <w:gridSpan w:val="2"/>
            <w:vAlign w:val="center"/>
          </w:tcPr>
          <w:p w14:paraId="67A9C0C5">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ascii="宋体" w:hAnsi="宋体"/>
                <w:color w:val="auto"/>
                <w:szCs w:val="21"/>
              </w:rPr>
              <w:t>1.6.1</w:t>
            </w:r>
          </w:p>
        </w:tc>
        <w:tc>
          <w:tcPr>
            <w:tcW w:w="1780" w:type="dxa"/>
            <w:vAlign w:val="center"/>
          </w:tcPr>
          <w:p w14:paraId="0B44BA98">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hint="eastAsia" w:ascii="宋体" w:hAnsi="宋体"/>
                <w:color w:val="auto"/>
                <w:szCs w:val="21"/>
              </w:rPr>
              <w:t>踏勘现场</w:t>
            </w:r>
          </w:p>
        </w:tc>
        <w:tc>
          <w:tcPr>
            <w:tcW w:w="6674" w:type="dxa"/>
            <w:gridSpan w:val="2"/>
            <w:vAlign w:val="center"/>
          </w:tcPr>
          <w:p w14:paraId="76213FD4">
            <w:pPr>
              <w:keepNext w:val="0"/>
              <w:keepLines w:val="0"/>
              <w:pageBreakBefore w:val="0"/>
              <w:kinsoku/>
              <w:wordWrap/>
              <w:overflowPunct/>
              <w:topLinePunct w:val="0"/>
              <w:bidi w:val="0"/>
              <w:spacing w:line="400" w:lineRule="exact"/>
              <w:textAlignment w:val="auto"/>
              <w:rPr>
                <w:rFonts w:ascii="宋体" w:hAnsi="宋体"/>
                <w:color w:val="auto"/>
                <w:szCs w:val="21"/>
              </w:rPr>
            </w:pPr>
            <w:r>
              <w:rPr>
                <w:rFonts w:hint="eastAsia" w:ascii="宋体" w:hAnsi="宋体"/>
                <w:color w:val="auto"/>
                <w:szCs w:val="21"/>
              </w:rPr>
              <w:t>不组织，投标人自行踏勘</w:t>
            </w:r>
          </w:p>
        </w:tc>
      </w:tr>
      <w:tr w14:paraId="372C072E">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227" w:hRule="atLeast"/>
          <w:jc w:val="center"/>
        </w:trPr>
        <w:tc>
          <w:tcPr>
            <w:tcW w:w="1001" w:type="dxa"/>
            <w:gridSpan w:val="2"/>
            <w:vAlign w:val="center"/>
          </w:tcPr>
          <w:p w14:paraId="6BC77BC0">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ascii="宋体" w:hAnsi="宋体"/>
                <w:color w:val="auto"/>
                <w:szCs w:val="21"/>
              </w:rPr>
              <w:t>1.7.1</w:t>
            </w:r>
          </w:p>
        </w:tc>
        <w:tc>
          <w:tcPr>
            <w:tcW w:w="1780" w:type="dxa"/>
            <w:vAlign w:val="center"/>
          </w:tcPr>
          <w:p w14:paraId="13CDD8B3">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hint="eastAsia" w:ascii="宋体" w:hAnsi="宋体"/>
                <w:color w:val="auto"/>
                <w:szCs w:val="21"/>
              </w:rPr>
              <w:t>投标预备会</w:t>
            </w:r>
          </w:p>
        </w:tc>
        <w:tc>
          <w:tcPr>
            <w:tcW w:w="6674" w:type="dxa"/>
            <w:gridSpan w:val="2"/>
            <w:vAlign w:val="center"/>
          </w:tcPr>
          <w:p w14:paraId="7E752D30">
            <w:pPr>
              <w:keepNext w:val="0"/>
              <w:keepLines w:val="0"/>
              <w:pageBreakBefore w:val="0"/>
              <w:kinsoku/>
              <w:wordWrap/>
              <w:overflowPunct/>
              <w:topLinePunct w:val="0"/>
              <w:bidi w:val="0"/>
              <w:spacing w:line="400" w:lineRule="exact"/>
              <w:textAlignment w:val="auto"/>
              <w:rPr>
                <w:rFonts w:ascii="宋体" w:hAnsi="宋体"/>
                <w:color w:val="auto"/>
                <w:szCs w:val="21"/>
              </w:rPr>
            </w:pPr>
            <w:r>
              <w:rPr>
                <w:rFonts w:hint="eastAsia" w:ascii="宋体" w:hAnsi="宋体"/>
                <w:color w:val="auto"/>
                <w:szCs w:val="21"/>
              </w:rPr>
              <w:t>不召开</w:t>
            </w:r>
          </w:p>
        </w:tc>
      </w:tr>
      <w:tr w14:paraId="1FA16B40">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471" w:hRule="atLeast"/>
          <w:jc w:val="center"/>
        </w:trPr>
        <w:tc>
          <w:tcPr>
            <w:tcW w:w="1001" w:type="dxa"/>
            <w:gridSpan w:val="2"/>
            <w:vAlign w:val="center"/>
          </w:tcPr>
          <w:p w14:paraId="51607351">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ascii="宋体" w:hAnsi="宋体"/>
                <w:color w:val="auto"/>
                <w:szCs w:val="21"/>
              </w:rPr>
              <w:t>1.7.2</w:t>
            </w:r>
          </w:p>
        </w:tc>
        <w:tc>
          <w:tcPr>
            <w:tcW w:w="1780" w:type="dxa"/>
            <w:vAlign w:val="center"/>
          </w:tcPr>
          <w:p w14:paraId="0C33396E">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hint="eastAsia" w:ascii="宋体" w:hAnsi="宋体"/>
                <w:color w:val="auto"/>
                <w:szCs w:val="21"/>
              </w:rPr>
              <w:t>投标人提出问题的截止时间</w:t>
            </w:r>
          </w:p>
        </w:tc>
        <w:tc>
          <w:tcPr>
            <w:tcW w:w="6674" w:type="dxa"/>
            <w:gridSpan w:val="2"/>
          </w:tcPr>
          <w:p w14:paraId="06C37A5F">
            <w:pPr>
              <w:pStyle w:val="57"/>
              <w:keepNext w:val="0"/>
              <w:keepLines w:val="0"/>
              <w:pageBreakBefore w:val="0"/>
              <w:kinsoku/>
              <w:wordWrap/>
              <w:overflowPunct/>
              <w:topLinePunct w:val="0"/>
              <w:bidi w:val="0"/>
              <w:spacing w:line="400" w:lineRule="exact"/>
              <w:ind w:left="0" w:leftChars="0" w:firstLine="0" w:firstLineChars="0"/>
              <w:textAlignment w:val="auto"/>
              <w:rPr>
                <w:rFonts w:ascii="宋体" w:hAnsi="宋体"/>
                <w:color w:val="auto"/>
                <w:szCs w:val="21"/>
              </w:rPr>
            </w:pPr>
            <w:r>
              <w:rPr>
                <w:rFonts w:hint="eastAsia" w:ascii="宋体" w:hAnsi="宋体"/>
                <w:color w:val="auto"/>
                <w:sz w:val="21"/>
                <w:szCs w:val="21"/>
              </w:rPr>
              <w:t>在投标截止时间10日前，所有获取了招标文件的潜在投标人凭企业数字证书（CA）登录云南省公共资源交易信息</w:t>
            </w:r>
            <w:r>
              <w:rPr>
                <w:rFonts w:hint="eastAsia" w:ascii="宋体" w:hAnsi="宋体"/>
                <w:color w:val="auto"/>
                <w:sz w:val="21"/>
                <w:szCs w:val="21"/>
                <w:lang w:eastAsia="zh-CN"/>
              </w:rPr>
              <w:t>网</w:t>
            </w:r>
            <w:r>
              <w:rPr>
                <w:rFonts w:hint="eastAsia" w:ascii="宋体" w:hAnsi="宋体"/>
                <w:color w:val="auto"/>
                <w:sz w:val="21"/>
                <w:szCs w:val="21"/>
              </w:rPr>
              <w:t>，通过网络在线方式向招标人或招标代理进行署名提问，招标人或招标代理需对所有潜在投标人进行统一回复。</w:t>
            </w:r>
          </w:p>
        </w:tc>
      </w:tr>
      <w:tr w14:paraId="1901CB32">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471" w:hRule="atLeast"/>
          <w:jc w:val="center"/>
        </w:trPr>
        <w:tc>
          <w:tcPr>
            <w:tcW w:w="1001" w:type="dxa"/>
            <w:gridSpan w:val="2"/>
            <w:vAlign w:val="center"/>
          </w:tcPr>
          <w:p w14:paraId="648F301D">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ascii="宋体" w:hAnsi="宋体"/>
                <w:color w:val="auto"/>
                <w:szCs w:val="21"/>
              </w:rPr>
              <w:t>1.7.3</w:t>
            </w:r>
          </w:p>
        </w:tc>
        <w:tc>
          <w:tcPr>
            <w:tcW w:w="1780" w:type="dxa"/>
            <w:vAlign w:val="center"/>
          </w:tcPr>
          <w:p w14:paraId="00D7221F">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hint="eastAsia" w:ascii="宋体" w:hAnsi="宋体"/>
                <w:color w:val="auto"/>
                <w:szCs w:val="21"/>
              </w:rPr>
              <w:t>招标人书面澄清的时间</w:t>
            </w:r>
          </w:p>
        </w:tc>
        <w:tc>
          <w:tcPr>
            <w:tcW w:w="6674" w:type="dxa"/>
            <w:gridSpan w:val="2"/>
          </w:tcPr>
          <w:p w14:paraId="549D171A">
            <w:pPr>
              <w:pStyle w:val="57"/>
              <w:keepNext w:val="0"/>
              <w:keepLines w:val="0"/>
              <w:pageBreakBefore w:val="0"/>
              <w:kinsoku/>
              <w:wordWrap/>
              <w:overflowPunct/>
              <w:topLinePunct w:val="0"/>
              <w:bidi w:val="0"/>
              <w:spacing w:line="400" w:lineRule="exact"/>
              <w:ind w:left="0" w:leftChars="0" w:firstLine="0" w:firstLineChars="0"/>
              <w:textAlignment w:val="auto"/>
              <w:rPr>
                <w:rFonts w:ascii="宋体" w:hAnsi="宋体"/>
                <w:color w:val="auto"/>
                <w:szCs w:val="21"/>
              </w:rPr>
            </w:pPr>
            <w:r>
              <w:rPr>
                <w:rFonts w:hint="eastAsia" w:ascii="宋体" w:hAnsi="宋体"/>
                <w:color w:val="auto"/>
                <w:sz w:val="21"/>
                <w:szCs w:val="21"/>
              </w:rPr>
              <w:t>投标截止时间至少15日前，由招标人以补遗书方式按程序报有关主管部门备案后，提交公共资源交易中心统一通过网络向潜在投标人发布，所有获取了招标文件的潜在投标人登录云南省公共资源交易信息</w:t>
            </w:r>
            <w:r>
              <w:rPr>
                <w:rFonts w:hint="eastAsia" w:ascii="宋体" w:hAnsi="宋体"/>
                <w:color w:val="auto"/>
                <w:sz w:val="21"/>
                <w:szCs w:val="21"/>
                <w:lang w:eastAsia="zh-CN"/>
              </w:rPr>
              <w:t>网</w:t>
            </w:r>
            <w:r>
              <w:rPr>
                <w:rFonts w:hint="eastAsia" w:ascii="宋体" w:hAnsi="宋体"/>
                <w:color w:val="auto"/>
                <w:sz w:val="21"/>
                <w:szCs w:val="21"/>
              </w:rPr>
              <w:t>凭企业身份认证数字证书（CA）查看澄清内容。</w:t>
            </w:r>
          </w:p>
        </w:tc>
      </w:tr>
      <w:tr w14:paraId="7392C7E2">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224" w:hRule="atLeast"/>
          <w:jc w:val="center"/>
        </w:trPr>
        <w:tc>
          <w:tcPr>
            <w:tcW w:w="1001" w:type="dxa"/>
            <w:gridSpan w:val="2"/>
            <w:vAlign w:val="center"/>
          </w:tcPr>
          <w:p w14:paraId="48D8E786">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ascii="宋体" w:hAnsi="宋体"/>
                <w:color w:val="auto"/>
                <w:szCs w:val="21"/>
              </w:rPr>
              <w:t>1.8.1</w:t>
            </w:r>
          </w:p>
        </w:tc>
        <w:tc>
          <w:tcPr>
            <w:tcW w:w="1780" w:type="dxa"/>
            <w:vAlign w:val="center"/>
          </w:tcPr>
          <w:p w14:paraId="17CDDC7E">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hint="eastAsia" w:ascii="宋体" w:hAnsi="宋体"/>
                <w:color w:val="auto"/>
                <w:szCs w:val="21"/>
              </w:rPr>
              <w:t>投标人拟分包的工作</w:t>
            </w:r>
          </w:p>
        </w:tc>
        <w:tc>
          <w:tcPr>
            <w:tcW w:w="6674" w:type="dxa"/>
            <w:gridSpan w:val="2"/>
            <w:vAlign w:val="center"/>
          </w:tcPr>
          <w:p w14:paraId="38414026">
            <w:pPr>
              <w:keepNext w:val="0"/>
              <w:keepLines w:val="0"/>
              <w:pageBreakBefore w:val="0"/>
              <w:kinsoku/>
              <w:wordWrap/>
              <w:overflowPunct/>
              <w:topLinePunct w:val="0"/>
              <w:bidi w:val="0"/>
              <w:spacing w:line="400" w:lineRule="exact"/>
              <w:jc w:val="left"/>
              <w:textAlignment w:val="auto"/>
              <w:rPr>
                <w:rFonts w:ascii="宋体" w:hAnsi="宋体"/>
                <w:color w:val="auto"/>
                <w:szCs w:val="21"/>
              </w:rPr>
            </w:pPr>
            <w:r>
              <w:rPr>
                <w:rFonts w:hint="eastAsia" w:ascii="宋体" w:hAnsi="宋体"/>
                <w:color w:val="auto"/>
                <w:szCs w:val="21"/>
                <w:lang w:val="en-US" w:eastAsia="zh-CN"/>
              </w:rPr>
              <w:t>严禁违法分包；</w:t>
            </w:r>
            <w:r>
              <w:rPr>
                <w:rFonts w:hint="default" w:ascii="宋体" w:hAnsi="宋体"/>
                <w:color w:val="auto"/>
                <w:szCs w:val="21"/>
              </w:rPr>
              <w:t>工程总承包单位应当加强对分包的管理，不得将工程总承包项目转包，不得将资质范围内工程总承包项目工程主体结构的施工业务分包给其他单位，专业工程分包须分包给具备相应专业工程承包资质的企业，并经联合体牵头人及项目建设单位同意。不能以任何方式要求或接受分包商垫资施工；在项目的施工建设过程中，必须优先保证农民工工资，一旦因拖欠农民工工资上访，建设单位将从工程款中直接扣款支付农民工工资。</w:t>
            </w:r>
          </w:p>
        </w:tc>
      </w:tr>
      <w:tr w14:paraId="2EA2F135">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001" w:type="dxa"/>
            <w:gridSpan w:val="2"/>
            <w:vAlign w:val="center"/>
          </w:tcPr>
          <w:p w14:paraId="7AC23E80">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ascii="宋体" w:hAnsi="宋体"/>
                <w:color w:val="auto"/>
                <w:szCs w:val="21"/>
              </w:rPr>
              <w:t>1.9.1</w:t>
            </w:r>
          </w:p>
        </w:tc>
        <w:tc>
          <w:tcPr>
            <w:tcW w:w="1780" w:type="dxa"/>
            <w:vAlign w:val="center"/>
          </w:tcPr>
          <w:p w14:paraId="5EC9105A">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hint="eastAsia" w:ascii="宋体" w:hAnsi="宋体"/>
                <w:color w:val="auto"/>
                <w:szCs w:val="21"/>
              </w:rPr>
              <w:t>偏离</w:t>
            </w:r>
          </w:p>
        </w:tc>
        <w:tc>
          <w:tcPr>
            <w:tcW w:w="6674" w:type="dxa"/>
            <w:gridSpan w:val="2"/>
            <w:vAlign w:val="center"/>
          </w:tcPr>
          <w:p w14:paraId="59A6099F">
            <w:pPr>
              <w:keepNext w:val="0"/>
              <w:keepLines w:val="0"/>
              <w:pageBreakBefore w:val="0"/>
              <w:kinsoku/>
              <w:wordWrap/>
              <w:overflowPunct/>
              <w:topLinePunct w:val="0"/>
              <w:bidi w:val="0"/>
              <w:spacing w:line="400" w:lineRule="exact"/>
              <w:textAlignment w:val="auto"/>
              <w:rPr>
                <w:rFonts w:ascii="宋体" w:hAnsi="宋体"/>
                <w:color w:val="auto"/>
                <w:szCs w:val="21"/>
              </w:rPr>
            </w:pPr>
            <w:r>
              <w:rPr>
                <w:rFonts w:hint="eastAsia" w:ascii="宋体" w:hAnsi="宋体"/>
                <w:color w:val="auto"/>
                <w:szCs w:val="21"/>
              </w:rPr>
              <w:t>允许细微偏差，不允许重大偏差</w:t>
            </w:r>
          </w:p>
        </w:tc>
      </w:tr>
      <w:tr w14:paraId="59D5375A">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001" w:type="dxa"/>
            <w:gridSpan w:val="2"/>
            <w:vAlign w:val="center"/>
          </w:tcPr>
          <w:p w14:paraId="2DB7CFF3">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ascii="宋体" w:hAnsi="宋体"/>
                <w:color w:val="auto"/>
                <w:szCs w:val="21"/>
              </w:rPr>
              <w:t>1.10.1</w:t>
            </w:r>
          </w:p>
        </w:tc>
        <w:tc>
          <w:tcPr>
            <w:tcW w:w="1780" w:type="dxa"/>
            <w:vAlign w:val="center"/>
          </w:tcPr>
          <w:p w14:paraId="5E0E9F3B">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hint="eastAsia" w:ascii="宋体" w:hAnsi="宋体"/>
                <w:color w:val="auto"/>
                <w:szCs w:val="21"/>
              </w:rPr>
              <w:t>构成招标文件的其他材料</w:t>
            </w:r>
          </w:p>
        </w:tc>
        <w:tc>
          <w:tcPr>
            <w:tcW w:w="6674" w:type="dxa"/>
            <w:gridSpan w:val="2"/>
            <w:vAlign w:val="center"/>
          </w:tcPr>
          <w:p w14:paraId="513D6552">
            <w:pPr>
              <w:keepNext w:val="0"/>
              <w:keepLines w:val="0"/>
              <w:pageBreakBefore w:val="0"/>
              <w:kinsoku/>
              <w:wordWrap/>
              <w:overflowPunct/>
              <w:topLinePunct w:val="0"/>
              <w:bidi w:val="0"/>
              <w:spacing w:line="400" w:lineRule="exact"/>
              <w:textAlignment w:val="auto"/>
              <w:rPr>
                <w:rFonts w:ascii="宋体" w:hAnsi="宋体"/>
                <w:smallCaps/>
                <w:color w:val="auto"/>
                <w:kern w:val="0"/>
                <w:szCs w:val="21"/>
              </w:rPr>
            </w:pPr>
            <w:r>
              <w:rPr>
                <w:rFonts w:hint="eastAsia" w:ascii="宋体" w:hAnsi="宋体"/>
                <w:smallCaps/>
                <w:color w:val="auto"/>
                <w:kern w:val="0"/>
                <w:szCs w:val="21"/>
              </w:rPr>
              <w:t>招标人在云南省公共资源交易信息网</w:t>
            </w:r>
            <w:r>
              <w:rPr>
                <w:rFonts w:hint="eastAsia" w:ascii="宋体" w:hAnsi="宋体"/>
                <w:color w:val="auto"/>
                <w:szCs w:val="21"/>
              </w:rPr>
              <w:t>（https://ggzy.yn.gov.cn/）</w:t>
            </w:r>
            <w:r>
              <w:rPr>
                <w:rFonts w:hint="eastAsia" w:ascii="宋体" w:hAnsi="宋体"/>
                <w:smallCaps/>
                <w:color w:val="auto"/>
                <w:kern w:val="0"/>
                <w:szCs w:val="21"/>
              </w:rPr>
              <w:t>发出的答疑书、补遗书或通知等。</w:t>
            </w:r>
          </w:p>
        </w:tc>
      </w:tr>
      <w:tr w14:paraId="58EE98FF">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001" w:type="dxa"/>
            <w:gridSpan w:val="2"/>
            <w:vAlign w:val="center"/>
          </w:tcPr>
          <w:p w14:paraId="77C79A81">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ascii="宋体" w:hAnsi="宋体"/>
                <w:color w:val="auto"/>
                <w:szCs w:val="21"/>
              </w:rPr>
              <w:t>1.10.2</w:t>
            </w:r>
          </w:p>
        </w:tc>
        <w:tc>
          <w:tcPr>
            <w:tcW w:w="1780" w:type="dxa"/>
            <w:vAlign w:val="center"/>
          </w:tcPr>
          <w:p w14:paraId="5EB8E1A1">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hint="eastAsia" w:ascii="宋体" w:hAnsi="宋体"/>
                <w:color w:val="auto"/>
                <w:szCs w:val="21"/>
              </w:rPr>
              <w:t>投标人要求澄清招标文件的截止时间</w:t>
            </w:r>
          </w:p>
        </w:tc>
        <w:tc>
          <w:tcPr>
            <w:tcW w:w="6674" w:type="dxa"/>
            <w:gridSpan w:val="2"/>
            <w:vAlign w:val="center"/>
          </w:tcPr>
          <w:p w14:paraId="27DBD181">
            <w:pPr>
              <w:keepNext w:val="0"/>
              <w:keepLines w:val="0"/>
              <w:pageBreakBefore w:val="0"/>
              <w:kinsoku/>
              <w:wordWrap/>
              <w:overflowPunct/>
              <w:topLinePunct w:val="0"/>
              <w:bidi w:val="0"/>
              <w:spacing w:line="400" w:lineRule="exact"/>
              <w:textAlignment w:val="auto"/>
              <w:rPr>
                <w:rFonts w:ascii="宋体" w:hAnsi="宋体"/>
                <w:color w:val="auto"/>
                <w:szCs w:val="21"/>
              </w:rPr>
            </w:pPr>
            <w:r>
              <w:rPr>
                <w:rFonts w:hint="eastAsia"/>
                <w:color w:val="auto"/>
              </w:rPr>
              <w:t>投标人应仔细阅读和检查招标文件的全部内容。如发现缺页或附件不全，应及时向招标人提出，以便补齐。如有疑问，应在投标人须知前附表规定的时间前以在线署名提交方式登录云南省公共资源交易信息网（https://ggzy.yn.gov.cn/），要求招标人对招标文件予以澄清。</w:t>
            </w:r>
          </w:p>
        </w:tc>
      </w:tr>
      <w:tr w14:paraId="102A5306">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001" w:type="dxa"/>
            <w:gridSpan w:val="2"/>
            <w:vAlign w:val="center"/>
          </w:tcPr>
          <w:p w14:paraId="256AE085">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ascii="宋体" w:hAnsi="宋体"/>
                <w:color w:val="auto"/>
                <w:szCs w:val="21"/>
              </w:rPr>
              <w:t>1.10.3</w:t>
            </w:r>
          </w:p>
        </w:tc>
        <w:tc>
          <w:tcPr>
            <w:tcW w:w="1780" w:type="dxa"/>
            <w:vAlign w:val="center"/>
          </w:tcPr>
          <w:p w14:paraId="5EFA0D27">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hint="eastAsia" w:ascii="宋体" w:hAnsi="宋体"/>
                <w:color w:val="auto"/>
                <w:szCs w:val="21"/>
              </w:rPr>
              <w:t>投标截止时间</w:t>
            </w:r>
          </w:p>
        </w:tc>
        <w:tc>
          <w:tcPr>
            <w:tcW w:w="6674" w:type="dxa"/>
            <w:gridSpan w:val="2"/>
            <w:vAlign w:val="center"/>
          </w:tcPr>
          <w:p w14:paraId="3D4E5CA9">
            <w:pPr>
              <w:keepNext w:val="0"/>
              <w:keepLines w:val="0"/>
              <w:pageBreakBefore w:val="0"/>
              <w:kinsoku/>
              <w:wordWrap/>
              <w:overflowPunct/>
              <w:topLinePunct w:val="0"/>
              <w:bidi w:val="0"/>
              <w:spacing w:line="400" w:lineRule="exact"/>
              <w:textAlignment w:val="auto"/>
              <w:rPr>
                <w:rFonts w:ascii="宋体" w:hAnsi="宋体"/>
                <w:color w:val="auto"/>
                <w:szCs w:val="21"/>
              </w:rPr>
            </w:pPr>
            <w:r>
              <w:rPr>
                <w:rFonts w:hint="eastAsia" w:ascii="宋体" w:hAnsi="宋体"/>
                <w:color w:val="auto"/>
                <w:szCs w:val="21"/>
              </w:rPr>
              <w:t>以网上公告时间为准。</w:t>
            </w:r>
          </w:p>
        </w:tc>
      </w:tr>
      <w:tr w14:paraId="52BE3D0F">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001" w:type="dxa"/>
            <w:gridSpan w:val="2"/>
            <w:vAlign w:val="center"/>
          </w:tcPr>
          <w:p w14:paraId="4D9B09A5">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ascii="宋体" w:hAnsi="宋体"/>
                <w:color w:val="auto"/>
                <w:szCs w:val="21"/>
              </w:rPr>
              <w:t>1.10.4</w:t>
            </w:r>
          </w:p>
        </w:tc>
        <w:tc>
          <w:tcPr>
            <w:tcW w:w="1780" w:type="dxa"/>
            <w:vAlign w:val="center"/>
          </w:tcPr>
          <w:p w14:paraId="06A7C0D7">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hint="eastAsia" w:ascii="宋体" w:hAnsi="宋体"/>
                <w:color w:val="auto"/>
                <w:szCs w:val="21"/>
              </w:rPr>
              <w:t>投标人确认收到招标文件澄清的时间</w:t>
            </w:r>
          </w:p>
        </w:tc>
        <w:tc>
          <w:tcPr>
            <w:tcW w:w="6674" w:type="dxa"/>
            <w:gridSpan w:val="2"/>
            <w:vAlign w:val="center"/>
          </w:tcPr>
          <w:p w14:paraId="3B0DC062">
            <w:pPr>
              <w:keepNext w:val="0"/>
              <w:keepLines w:val="0"/>
              <w:pageBreakBefore w:val="0"/>
              <w:kinsoku/>
              <w:wordWrap/>
              <w:overflowPunct/>
              <w:topLinePunct w:val="0"/>
              <w:bidi w:val="0"/>
              <w:spacing w:line="400" w:lineRule="exact"/>
              <w:textAlignment w:val="auto"/>
              <w:rPr>
                <w:rFonts w:ascii="宋体" w:hAnsi="宋体"/>
                <w:color w:val="auto"/>
                <w:szCs w:val="21"/>
              </w:rPr>
            </w:pPr>
            <w:r>
              <w:rPr>
                <w:rFonts w:hint="eastAsia" w:ascii="宋体" w:hAnsi="宋体"/>
                <w:color w:val="auto"/>
                <w:szCs w:val="21"/>
              </w:rPr>
              <w:t>投标人自行登录云南省公共资源交易信息网（</w:t>
            </w:r>
            <w:r>
              <w:rPr>
                <w:rFonts w:hint="eastAsia" w:ascii="宋体" w:hAnsi="宋体"/>
                <w:bCs/>
                <w:color w:val="auto"/>
              </w:rPr>
              <w:t>https://ggzy.yn.gov.cn/</w:t>
            </w:r>
            <w:r>
              <w:rPr>
                <w:rFonts w:hint="eastAsia" w:ascii="宋体" w:hAnsi="宋体"/>
                <w:color w:val="auto"/>
                <w:szCs w:val="21"/>
              </w:rPr>
              <w:t>）获取澄清，无须回复确认已收到该澄清。</w:t>
            </w:r>
          </w:p>
        </w:tc>
      </w:tr>
      <w:tr w14:paraId="192DA29F">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001" w:type="dxa"/>
            <w:gridSpan w:val="2"/>
            <w:vAlign w:val="center"/>
          </w:tcPr>
          <w:p w14:paraId="78CBB932">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ascii="宋体" w:hAnsi="宋体"/>
                <w:color w:val="auto"/>
                <w:szCs w:val="21"/>
              </w:rPr>
              <w:t>1.10.5</w:t>
            </w:r>
          </w:p>
        </w:tc>
        <w:tc>
          <w:tcPr>
            <w:tcW w:w="1780" w:type="dxa"/>
            <w:vAlign w:val="center"/>
          </w:tcPr>
          <w:p w14:paraId="30D52C49">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hint="eastAsia" w:ascii="宋体" w:hAnsi="宋体"/>
                <w:color w:val="auto"/>
                <w:szCs w:val="21"/>
              </w:rPr>
              <w:t>投标人确认收到招标文件修改的时间</w:t>
            </w:r>
          </w:p>
        </w:tc>
        <w:tc>
          <w:tcPr>
            <w:tcW w:w="6674" w:type="dxa"/>
            <w:gridSpan w:val="2"/>
            <w:vAlign w:val="center"/>
          </w:tcPr>
          <w:p w14:paraId="4D0A6F37">
            <w:pPr>
              <w:keepNext w:val="0"/>
              <w:keepLines w:val="0"/>
              <w:pageBreakBefore w:val="0"/>
              <w:kinsoku/>
              <w:wordWrap/>
              <w:overflowPunct/>
              <w:topLinePunct w:val="0"/>
              <w:bidi w:val="0"/>
              <w:spacing w:line="400" w:lineRule="exact"/>
              <w:textAlignment w:val="auto"/>
              <w:rPr>
                <w:rFonts w:ascii="宋体" w:hAnsi="宋体"/>
                <w:color w:val="auto"/>
                <w:szCs w:val="21"/>
              </w:rPr>
            </w:pPr>
            <w:r>
              <w:rPr>
                <w:rFonts w:hint="eastAsia" w:ascii="宋体" w:hAnsi="宋体"/>
                <w:color w:val="auto"/>
                <w:szCs w:val="21"/>
              </w:rPr>
              <w:t>投标人自行登录云南省公共资源交易信息网（</w:t>
            </w:r>
            <w:r>
              <w:rPr>
                <w:rFonts w:hint="eastAsia" w:ascii="宋体" w:hAnsi="宋体"/>
                <w:bCs/>
                <w:color w:val="auto"/>
              </w:rPr>
              <w:t>https://ggzy.yn.gov.cn/</w:t>
            </w:r>
            <w:r>
              <w:rPr>
                <w:rFonts w:hint="eastAsia" w:ascii="宋体" w:hAnsi="宋体"/>
                <w:bCs/>
                <w:color w:val="auto"/>
                <w:lang w:eastAsia="zh-CN"/>
              </w:rPr>
              <w:t>）系</w:t>
            </w:r>
            <w:r>
              <w:rPr>
                <w:rFonts w:hint="eastAsia" w:ascii="宋体" w:hAnsi="宋体"/>
                <w:color w:val="auto"/>
                <w:szCs w:val="21"/>
              </w:rPr>
              <w:t>统收取修改内容，无须回复确认已收到该修改。</w:t>
            </w:r>
          </w:p>
        </w:tc>
      </w:tr>
      <w:tr w14:paraId="1E1FEC6C">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001" w:type="dxa"/>
            <w:gridSpan w:val="2"/>
            <w:vAlign w:val="center"/>
          </w:tcPr>
          <w:p w14:paraId="061513A8">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ascii="宋体" w:hAnsi="宋体"/>
                <w:color w:val="auto"/>
                <w:szCs w:val="21"/>
              </w:rPr>
              <w:t>1.10.6</w:t>
            </w:r>
          </w:p>
        </w:tc>
        <w:tc>
          <w:tcPr>
            <w:tcW w:w="1780" w:type="dxa"/>
            <w:vAlign w:val="center"/>
          </w:tcPr>
          <w:p w14:paraId="092A9A94">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hint="eastAsia" w:ascii="宋体" w:hAnsi="宋体"/>
                <w:color w:val="auto"/>
                <w:szCs w:val="21"/>
              </w:rPr>
              <w:t>构成投标文件的其他材料</w:t>
            </w:r>
          </w:p>
        </w:tc>
        <w:tc>
          <w:tcPr>
            <w:tcW w:w="6674" w:type="dxa"/>
            <w:gridSpan w:val="2"/>
            <w:vAlign w:val="center"/>
          </w:tcPr>
          <w:p w14:paraId="62E57B2E">
            <w:pPr>
              <w:keepNext w:val="0"/>
              <w:keepLines w:val="0"/>
              <w:pageBreakBefore w:val="0"/>
              <w:kinsoku/>
              <w:wordWrap/>
              <w:overflowPunct/>
              <w:topLinePunct w:val="0"/>
              <w:bidi w:val="0"/>
              <w:spacing w:line="400" w:lineRule="exact"/>
              <w:textAlignment w:val="auto"/>
              <w:rPr>
                <w:rFonts w:ascii="宋体" w:hAnsi="宋体"/>
                <w:color w:val="auto"/>
                <w:szCs w:val="21"/>
              </w:rPr>
            </w:pPr>
            <w:r>
              <w:rPr>
                <w:rFonts w:hint="eastAsia" w:ascii="宋体" w:hAnsi="宋体"/>
                <w:color w:val="auto"/>
                <w:szCs w:val="21"/>
              </w:rPr>
              <w:t>投标人认为有必要提供的其他材料</w:t>
            </w:r>
          </w:p>
        </w:tc>
      </w:tr>
      <w:tr w14:paraId="0009622A">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001" w:type="dxa"/>
            <w:gridSpan w:val="2"/>
            <w:vAlign w:val="center"/>
          </w:tcPr>
          <w:p w14:paraId="62867966">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ascii="宋体" w:hAnsi="宋体"/>
                <w:color w:val="auto"/>
              </w:rPr>
              <w:t>1.11</w:t>
            </w:r>
            <w:r>
              <w:rPr>
                <w:rFonts w:hint="eastAsia" w:ascii="宋体" w:hAnsi="宋体"/>
                <w:color w:val="auto"/>
              </w:rPr>
              <w:t>.</w:t>
            </w:r>
            <w:r>
              <w:rPr>
                <w:rFonts w:ascii="宋体" w:hAnsi="宋体"/>
                <w:color w:val="auto"/>
              </w:rPr>
              <w:t>1</w:t>
            </w:r>
          </w:p>
        </w:tc>
        <w:tc>
          <w:tcPr>
            <w:tcW w:w="1780" w:type="dxa"/>
            <w:vAlign w:val="center"/>
          </w:tcPr>
          <w:p w14:paraId="41DC5969">
            <w:pPr>
              <w:keepNext w:val="0"/>
              <w:keepLines w:val="0"/>
              <w:pageBreakBefore w:val="0"/>
              <w:kinsoku/>
              <w:wordWrap/>
              <w:overflowPunct/>
              <w:topLinePunct w:val="0"/>
              <w:bidi w:val="0"/>
              <w:spacing w:line="400" w:lineRule="exact"/>
              <w:jc w:val="center"/>
              <w:textAlignment w:val="auto"/>
              <w:rPr>
                <w:rFonts w:ascii="宋体" w:hAnsi="宋体"/>
                <w:b/>
                <w:bCs/>
                <w:color w:val="auto"/>
                <w:szCs w:val="21"/>
              </w:rPr>
            </w:pPr>
            <w:r>
              <w:rPr>
                <w:rFonts w:hint="eastAsia" w:ascii="宋体" w:hAnsi="宋体"/>
                <w:color w:val="auto"/>
                <w:szCs w:val="21"/>
              </w:rPr>
              <w:t>最高控制价</w:t>
            </w:r>
          </w:p>
        </w:tc>
        <w:tc>
          <w:tcPr>
            <w:tcW w:w="6674" w:type="dxa"/>
            <w:gridSpan w:val="2"/>
            <w:vAlign w:val="center"/>
          </w:tcPr>
          <w:p w14:paraId="1F5614C3">
            <w:pPr>
              <w:keepNext w:val="0"/>
              <w:keepLines w:val="0"/>
              <w:pageBreakBefore w:val="0"/>
              <w:kinsoku/>
              <w:wordWrap/>
              <w:overflowPunct/>
              <w:topLinePunct w:val="0"/>
              <w:bidi w:val="0"/>
              <w:spacing w:line="400" w:lineRule="exact"/>
              <w:ind w:left="-86" w:leftChars="-41" w:right="178" w:rightChars="85" w:firstLine="105" w:firstLineChars="5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（一）勘察费：投标报价不得高于140元/进尺米，否则，按无效投标处理。</w:t>
            </w:r>
          </w:p>
          <w:p w14:paraId="669063C2">
            <w:pPr>
              <w:keepNext w:val="0"/>
              <w:keepLines w:val="0"/>
              <w:pageBreakBefore w:val="0"/>
              <w:kinsoku/>
              <w:wordWrap/>
              <w:overflowPunct/>
              <w:topLinePunct w:val="0"/>
              <w:bidi w:val="0"/>
              <w:spacing w:line="400" w:lineRule="exact"/>
              <w:ind w:left="-86" w:leftChars="-41" w:right="178" w:rightChars="85" w:firstLine="105" w:firstLineChars="5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（二）设计费：费率报价不得高于经镇雄县财政局投资评审中心审定竣工结算后建安工程费的1.5%，否则，按无效投标处理。</w:t>
            </w:r>
          </w:p>
          <w:p w14:paraId="3273E376">
            <w:pPr>
              <w:keepNext w:val="0"/>
              <w:keepLines w:val="0"/>
              <w:pageBreakBefore w:val="0"/>
              <w:kinsoku/>
              <w:wordWrap/>
              <w:overflowPunct/>
              <w:topLinePunct w:val="0"/>
              <w:bidi w:val="0"/>
              <w:spacing w:line="400" w:lineRule="exact"/>
              <w:ind w:left="-86" w:leftChars="-41" w:right="178" w:rightChars="85" w:firstLine="105" w:firstLineChars="50"/>
              <w:textAlignment w:val="auto"/>
              <w:rPr>
                <w:rFonts w:hint="default" w:ascii="宋体" w:hAnsi="宋体" w:eastAsia="宋体"/>
                <w:color w:val="auto"/>
                <w:lang w:val="en-US" w:eastAsia="zh-CN"/>
              </w:rPr>
            </w:pPr>
            <w:r>
              <w:rPr>
                <w:rFonts w:hint="default" w:ascii="Times New Roman" w:hAnsi="Times New Roman" w:cs="Times New Roman"/>
                <w:color w:val="auto"/>
                <w:lang w:val="en-US" w:eastAsia="zh-CN"/>
              </w:rPr>
              <w:t>（三）建安工程费：建安工程费按《建设工程工程量清单计价规范》GB50500-2013工程量清单计价办法、云南省住房和城乡建设厅关于发布实施《云南省建设工程造价计价标准（2020版）》的通知云建科</w:t>
            </w:r>
            <w:r>
              <w:rPr>
                <w:rFonts w:hint="eastAsia" w:cs="Times New Roman"/>
                <w:color w:val="auto"/>
                <w:lang w:val="en-US" w:eastAsia="zh-CN"/>
              </w:rPr>
              <w:t>〔2021〕15号</w:t>
            </w:r>
            <w:r>
              <w:rPr>
                <w:rFonts w:hint="default" w:ascii="Times New Roman" w:hAnsi="Times New Roman" w:cs="Times New Roman"/>
                <w:color w:val="auto"/>
                <w:lang w:val="en-US" w:eastAsia="zh-CN"/>
              </w:rPr>
              <w:t>文件的相关配套定额执行，前述文件中没有明确定额及取费标准的适用云南省现行计价文件。承包人采购的辅材、安装材料、装饰装修材料、型材等相关材料价格按照昭通市建设工程材料价格信息（</w:t>
            </w:r>
            <w:r>
              <w:rPr>
                <w:rFonts w:hint="eastAsia" w:cs="Times New Roman"/>
                <w:color w:val="auto"/>
                <w:lang w:val="en-US" w:eastAsia="zh-CN"/>
              </w:rPr>
              <w:t>镇雄县基价</w:t>
            </w:r>
            <w:r>
              <w:rPr>
                <w:rFonts w:hint="default" w:ascii="Times New Roman" w:hAnsi="Times New Roman" w:cs="Times New Roman"/>
                <w:color w:val="auto"/>
                <w:lang w:val="en-US" w:eastAsia="zh-CN"/>
              </w:rPr>
              <w:t>）并结合市场行情执行（投标截止日上一个月作为计价依据）；昭通市价格信息没有的参照云南省价格信息执行；以上价格信息没有的，建设前由承包人上报并经发包人及其委托的造价咨询人确认后再行实施。承包人依据建设单位确认的施工图，编制本项目施工图预算，经建设单位委托有资质的造价服务单位审定后作为工程进度款支付依据（经审定后的进度工程费用－不可竞争费用）×中标优惠后费率+不可竞争费用。工程完工后，</w:t>
            </w:r>
            <w:r>
              <w:rPr>
                <w:rFonts w:hint="eastAsia" w:cs="Times New Roman"/>
                <w:color w:val="auto"/>
                <w:lang w:val="en-US" w:eastAsia="zh-CN"/>
              </w:rPr>
              <w:t>以全过程造价咨询服务单位审定的竣工结算报镇雄县财政局投资评审中心审批，按镇雄县财政局投资评审中心审定的建安工程费用乘以工程总承包单位中标优惠后费率作为最终的工程竣工结算价。</w:t>
            </w:r>
            <w:r>
              <w:rPr>
                <w:rFonts w:hint="default" w:ascii="Times New Roman" w:hAnsi="Times New Roman" w:cs="Times New Roman"/>
                <w:color w:val="auto"/>
                <w:lang w:val="en-US" w:eastAsia="zh-CN"/>
              </w:rPr>
              <w:t>即建安工程费最终结算价=（经审定后的建安工程费用-不可竞争费用）×中标优惠后费率+不可竞争费用，其中：不可竞争费用包括安全文明施工费、规费、税金。建安工程费（不含不可竞争费用）按承诺优惠后的费率报价（如：优惠费率为1.00％，优惠后的费率为99.00％）。即投标优惠费率应≥0，最高投标限价为97%，否则，按无效投标处理。</w:t>
            </w:r>
          </w:p>
        </w:tc>
      </w:tr>
      <w:tr w14:paraId="2F02C19F">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489" w:hRule="atLeast"/>
          <w:jc w:val="center"/>
        </w:trPr>
        <w:tc>
          <w:tcPr>
            <w:tcW w:w="1001" w:type="dxa"/>
            <w:gridSpan w:val="2"/>
            <w:vAlign w:val="center"/>
          </w:tcPr>
          <w:p w14:paraId="39E64C55">
            <w:pPr>
              <w:keepNext w:val="0"/>
              <w:keepLines w:val="0"/>
              <w:pageBreakBefore w:val="0"/>
              <w:kinsoku/>
              <w:wordWrap/>
              <w:overflowPunct/>
              <w:topLinePunct w:val="0"/>
              <w:bidi w:val="0"/>
              <w:spacing w:line="400" w:lineRule="exact"/>
              <w:jc w:val="center"/>
              <w:textAlignment w:val="auto"/>
              <w:rPr>
                <w:rFonts w:ascii="宋体" w:hAnsi="宋体"/>
                <w:color w:val="auto"/>
              </w:rPr>
            </w:pPr>
            <w:r>
              <w:rPr>
                <w:rFonts w:ascii="宋体" w:hAnsi="宋体"/>
                <w:color w:val="auto"/>
              </w:rPr>
              <w:t>1.12</w:t>
            </w:r>
            <w:r>
              <w:rPr>
                <w:rFonts w:hint="eastAsia" w:ascii="宋体" w:hAnsi="宋体"/>
                <w:color w:val="auto"/>
              </w:rPr>
              <w:t>.</w:t>
            </w:r>
            <w:r>
              <w:rPr>
                <w:rFonts w:ascii="宋体" w:hAnsi="宋体"/>
                <w:color w:val="auto"/>
              </w:rPr>
              <w:t>1</w:t>
            </w:r>
          </w:p>
        </w:tc>
        <w:tc>
          <w:tcPr>
            <w:tcW w:w="1780" w:type="dxa"/>
            <w:vAlign w:val="center"/>
          </w:tcPr>
          <w:p w14:paraId="5DD708F3">
            <w:pPr>
              <w:keepNext w:val="0"/>
              <w:keepLines w:val="0"/>
              <w:pageBreakBefore w:val="0"/>
              <w:kinsoku/>
              <w:wordWrap/>
              <w:overflowPunct/>
              <w:topLinePunct w:val="0"/>
              <w:bidi w:val="0"/>
              <w:spacing w:line="400" w:lineRule="exact"/>
              <w:jc w:val="center"/>
              <w:textAlignment w:val="auto"/>
              <w:rPr>
                <w:rFonts w:ascii="宋体" w:hAnsi="宋体"/>
                <w:b/>
                <w:bCs/>
                <w:color w:val="auto"/>
                <w:szCs w:val="21"/>
              </w:rPr>
            </w:pPr>
            <w:r>
              <w:rPr>
                <w:rFonts w:hint="eastAsia" w:ascii="宋体" w:hAnsi="宋体" w:cs="宋体"/>
                <w:color w:val="auto"/>
              </w:rPr>
              <w:t>计价、计量规则</w:t>
            </w:r>
          </w:p>
        </w:tc>
        <w:tc>
          <w:tcPr>
            <w:tcW w:w="6674" w:type="dxa"/>
            <w:gridSpan w:val="2"/>
            <w:vAlign w:val="center"/>
          </w:tcPr>
          <w:p w14:paraId="1E064DFA">
            <w:pPr>
              <w:keepNext w:val="0"/>
              <w:keepLines w:val="0"/>
              <w:pageBreakBefore w:val="0"/>
              <w:kinsoku/>
              <w:wordWrap/>
              <w:overflowPunct/>
              <w:topLinePunct w:val="0"/>
              <w:bidi w:val="0"/>
              <w:spacing w:line="400" w:lineRule="exact"/>
              <w:jc w:val="left"/>
              <w:textAlignment w:val="auto"/>
              <w:rPr>
                <w:rFonts w:ascii="宋体" w:hAnsi="宋体"/>
                <w:color w:val="auto"/>
              </w:rPr>
            </w:pPr>
            <w:r>
              <w:rPr>
                <w:rFonts w:hint="eastAsia"/>
                <w:color w:val="auto"/>
              </w:rPr>
              <w:t>计价规则：建安工程费用采用《建设工程工程量清单计价规范》（GB50500-2013），依据《云南省住房和城乡建设厅关于</w:t>
            </w:r>
            <w:r>
              <w:rPr>
                <w:rFonts w:hint="eastAsia"/>
                <w:color w:val="auto"/>
                <w:lang w:eastAsia="zh-CN"/>
              </w:rPr>
              <w:t>〈</w:t>
            </w:r>
            <w:r>
              <w:rPr>
                <w:rFonts w:hint="eastAsia"/>
                <w:color w:val="auto"/>
              </w:rPr>
              <w:t>云南省建设工程造价计价标准（2020版）</w:t>
            </w:r>
            <w:r>
              <w:rPr>
                <w:rFonts w:hint="eastAsia"/>
                <w:color w:val="auto"/>
                <w:lang w:eastAsia="zh-CN"/>
              </w:rPr>
              <w:t>〉</w:t>
            </w:r>
            <w:r>
              <w:rPr>
                <w:rFonts w:hint="eastAsia"/>
                <w:color w:val="auto"/>
              </w:rPr>
              <w:t>发布实施的通知》（云建科〔2021〕15号）的相关配套定额及云南省现行计价调整文件执行。主要材料价格确定：承包人采购的主材、辅材、安装材料、装饰装修材料、型材等相关材料价格参考《昭通市建设工程材料及设备价格信息》（</w:t>
            </w:r>
            <w:r>
              <w:rPr>
                <w:rFonts w:hint="eastAsia"/>
                <w:color w:val="auto"/>
                <w:lang w:eastAsia="zh-CN"/>
              </w:rPr>
              <w:t>镇雄县基价</w:t>
            </w:r>
            <w:r>
              <w:rPr>
                <w:rFonts w:hint="eastAsia"/>
                <w:color w:val="auto"/>
              </w:rPr>
              <w:t>）并结合市场行情执行；昭通市价格信息没有的参考《云南省建设工程材料及设备价格信息》并结合市场行情执行；以上价格信息没有的，建设前由建设、施工、监理、造价咨询等单位共同询价书面确定后再行实施。工程总承包单位依据建设单位确认的施工图，编制本项目工程量清单及施工图预算，经建设单位委托有资质的</w:t>
            </w:r>
            <w:r>
              <w:rPr>
                <w:rFonts w:hint="eastAsia"/>
                <w:color w:val="auto"/>
                <w:lang w:eastAsia="zh-CN"/>
              </w:rPr>
              <w:t>全过程造价咨询</w:t>
            </w:r>
            <w:r>
              <w:rPr>
                <w:rFonts w:hint="eastAsia"/>
                <w:color w:val="auto"/>
              </w:rPr>
              <w:t>服务单位审定后作为竣工结算依据和工程款支付依据之一。工程完工后，以</w:t>
            </w:r>
            <w:r>
              <w:rPr>
                <w:rFonts w:hint="eastAsia"/>
                <w:color w:val="auto"/>
                <w:lang w:eastAsia="zh-CN"/>
              </w:rPr>
              <w:t>全过程造价咨询</w:t>
            </w:r>
            <w:r>
              <w:rPr>
                <w:rFonts w:hint="eastAsia"/>
                <w:color w:val="auto"/>
              </w:rPr>
              <w:t>服务单位审定的竣工结算报镇雄县财政局投资评审中心</w:t>
            </w:r>
            <w:r>
              <w:rPr>
                <w:rFonts w:hint="eastAsia"/>
                <w:color w:val="auto"/>
                <w:lang w:val="en-US" w:eastAsia="zh-CN"/>
              </w:rPr>
              <w:t>审批</w:t>
            </w:r>
            <w:r>
              <w:rPr>
                <w:rFonts w:hint="eastAsia"/>
                <w:color w:val="auto"/>
              </w:rPr>
              <w:t>，按</w:t>
            </w:r>
            <w:r>
              <w:rPr>
                <w:rFonts w:hint="eastAsia" w:ascii="宋体" w:hAnsi="宋体" w:eastAsia="宋体" w:cs="宋体"/>
                <w:b w:val="0"/>
                <w:bCs w:val="0"/>
                <w:smallCaps w:val="0"/>
                <w:color w:val="auto"/>
                <w:kern w:val="2"/>
                <w:sz w:val="21"/>
                <w:szCs w:val="21"/>
                <w:lang w:val="en-US" w:eastAsia="zh-CN" w:bidi="ar-SA"/>
              </w:rPr>
              <w:t>镇雄县财政局投资评审中心</w:t>
            </w:r>
            <w:r>
              <w:rPr>
                <w:rFonts w:hint="eastAsia"/>
                <w:color w:val="auto"/>
              </w:rPr>
              <w:t>审定的建安工程费用乘以工程总承包单位中标优惠后费率作为最终的工程竣工结算价。建安工程费最终结算价=（经审定后的建安工程费用</w:t>
            </w:r>
            <w:r>
              <w:rPr>
                <w:rFonts w:hint="eastAsia"/>
                <w:color w:val="auto"/>
                <w:lang w:eastAsia="zh-CN"/>
              </w:rPr>
              <w:t>－规费</w:t>
            </w:r>
            <w:r>
              <w:rPr>
                <w:rFonts w:hint="eastAsia"/>
                <w:color w:val="auto"/>
              </w:rPr>
              <w:t>、税金、安全文明施工费等不可竞争费用）×中标优惠后费率+不可竞争费用</w:t>
            </w:r>
          </w:p>
        </w:tc>
      </w:tr>
      <w:tr w14:paraId="3332E57F">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001" w:type="dxa"/>
            <w:gridSpan w:val="2"/>
            <w:vAlign w:val="center"/>
          </w:tcPr>
          <w:p w14:paraId="2032E19F">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ascii="宋体" w:hAnsi="宋体"/>
                <w:color w:val="auto"/>
                <w:szCs w:val="21"/>
              </w:rPr>
              <w:t>1.13.1</w:t>
            </w:r>
          </w:p>
        </w:tc>
        <w:tc>
          <w:tcPr>
            <w:tcW w:w="1780" w:type="dxa"/>
            <w:vAlign w:val="center"/>
          </w:tcPr>
          <w:p w14:paraId="0BFDCD71">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hint="eastAsia" w:ascii="宋体" w:hAnsi="宋体"/>
                <w:color w:val="auto"/>
                <w:szCs w:val="21"/>
              </w:rPr>
              <w:t>投标有效期</w:t>
            </w:r>
          </w:p>
        </w:tc>
        <w:tc>
          <w:tcPr>
            <w:tcW w:w="6674" w:type="dxa"/>
            <w:gridSpan w:val="2"/>
            <w:vAlign w:val="center"/>
          </w:tcPr>
          <w:p w14:paraId="64B3BA46">
            <w:pPr>
              <w:keepNext w:val="0"/>
              <w:keepLines w:val="0"/>
              <w:pageBreakBefore w:val="0"/>
              <w:kinsoku/>
              <w:wordWrap/>
              <w:overflowPunct/>
              <w:topLinePunct w:val="0"/>
              <w:bidi w:val="0"/>
              <w:spacing w:line="400" w:lineRule="exact"/>
              <w:textAlignment w:val="auto"/>
              <w:rPr>
                <w:rFonts w:ascii="宋体" w:hAnsi="宋体"/>
                <w:color w:val="auto"/>
                <w:szCs w:val="21"/>
              </w:rPr>
            </w:pPr>
            <w:r>
              <w:rPr>
                <w:rFonts w:hint="eastAsia" w:ascii="宋体" w:hAnsi="宋体"/>
                <w:color w:val="auto"/>
                <w:szCs w:val="21"/>
                <w:lang w:eastAsia="zh-CN"/>
              </w:rPr>
              <w:t>自递交</w:t>
            </w:r>
            <w:r>
              <w:rPr>
                <w:rFonts w:hint="eastAsia" w:ascii="宋体" w:hAnsi="宋体"/>
                <w:color w:val="auto"/>
                <w:szCs w:val="21"/>
              </w:rPr>
              <w:t>投标文件截止之日起计算</w:t>
            </w:r>
            <w:r>
              <w:rPr>
                <w:rFonts w:ascii="宋体" w:hAnsi="宋体"/>
                <w:color w:val="auto"/>
                <w:szCs w:val="21"/>
                <w:lang w:val="zh-CN"/>
              </w:rPr>
              <w:t>9</w:t>
            </w:r>
            <w:r>
              <w:rPr>
                <w:rFonts w:hint="eastAsia" w:ascii="宋体" w:hAnsi="宋体"/>
                <w:color w:val="auto"/>
                <w:szCs w:val="21"/>
                <w:lang w:val="zh-CN"/>
              </w:rPr>
              <w:t>0日历天</w:t>
            </w:r>
          </w:p>
        </w:tc>
      </w:tr>
      <w:tr w14:paraId="0EF1F754">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001" w:type="dxa"/>
            <w:gridSpan w:val="2"/>
            <w:vAlign w:val="center"/>
          </w:tcPr>
          <w:p w14:paraId="0B61E4FB">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ascii="宋体" w:hAnsi="宋体"/>
                <w:color w:val="auto"/>
                <w:szCs w:val="21"/>
              </w:rPr>
              <w:t>1.14.1</w:t>
            </w:r>
          </w:p>
        </w:tc>
        <w:tc>
          <w:tcPr>
            <w:tcW w:w="1780" w:type="dxa"/>
            <w:vAlign w:val="center"/>
          </w:tcPr>
          <w:p w14:paraId="09A144A9">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hint="eastAsia" w:ascii="宋体" w:hAnsi="宋体"/>
                <w:color w:val="auto"/>
                <w:szCs w:val="21"/>
              </w:rPr>
              <w:t>投标保证金</w:t>
            </w:r>
          </w:p>
        </w:tc>
        <w:tc>
          <w:tcPr>
            <w:tcW w:w="6674" w:type="dxa"/>
            <w:gridSpan w:val="2"/>
            <w:vAlign w:val="center"/>
          </w:tcPr>
          <w:p w14:paraId="64643CC2">
            <w:pPr>
              <w:keepNext w:val="0"/>
              <w:keepLines w:val="0"/>
              <w:pageBreakBefore w:val="0"/>
              <w:kinsoku/>
              <w:wordWrap/>
              <w:overflowPunct/>
              <w:topLinePunct w:val="0"/>
              <w:bidi w:val="0"/>
              <w:spacing w:line="400" w:lineRule="exact"/>
              <w:ind w:firstLine="23" w:firstLineChars="11"/>
              <w:textAlignment w:val="auto"/>
              <w:rPr>
                <w:rFonts w:hint="default" w:ascii="宋体" w:hAnsi="宋体" w:cs="HiddenHorzOCR"/>
                <w:color w:val="auto"/>
                <w:kern w:val="0"/>
                <w:szCs w:val="21"/>
              </w:rPr>
            </w:pPr>
            <w:r>
              <w:rPr>
                <w:rFonts w:hint="default" w:ascii="宋体" w:hAnsi="宋体" w:cs="HiddenHorzOCR"/>
                <w:color w:val="auto"/>
                <w:kern w:val="0"/>
                <w:szCs w:val="21"/>
              </w:rPr>
              <w:t>投标保证金的形式：由投标人公司基本账户转账</w:t>
            </w:r>
            <w:r>
              <w:rPr>
                <w:rFonts w:hint="default" w:ascii="宋体" w:hAnsi="宋体" w:cs="HiddenHorzOCR"/>
                <w:color w:val="auto"/>
                <w:kern w:val="0"/>
                <w:szCs w:val="21"/>
                <w:lang w:val="en-US" w:eastAsia="zh-CN"/>
              </w:rPr>
              <w:t>或</w:t>
            </w:r>
            <w:r>
              <w:rPr>
                <w:rFonts w:hint="default" w:ascii="宋体" w:hAnsi="宋体" w:cs="HiddenHorzOCR"/>
                <w:color w:val="auto"/>
                <w:kern w:val="0"/>
                <w:szCs w:val="21"/>
              </w:rPr>
              <w:t>投标保证保险或银行保函。</w:t>
            </w:r>
          </w:p>
          <w:p w14:paraId="35EDD074">
            <w:pPr>
              <w:keepNext w:val="0"/>
              <w:keepLines w:val="0"/>
              <w:pageBreakBefore w:val="0"/>
              <w:kinsoku/>
              <w:wordWrap/>
              <w:overflowPunct/>
              <w:topLinePunct w:val="0"/>
              <w:bidi w:val="0"/>
              <w:spacing w:line="400" w:lineRule="exact"/>
              <w:ind w:firstLine="23" w:firstLineChars="11"/>
              <w:textAlignment w:val="auto"/>
              <w:rPr>
                <w:rFonts w:hint="default" w:ascii="宋体" w:hAnsi="宋体" w:cs="HiddenHorzOCR"/>
                <w:color w:val="auto"/>
                <w:kern w:val="0"/>
                <w:szCs w:val="21"/>
              </w:rPr>
            </w:pPr>
            <w:r>
              <w:rPr>
                <w:rFonts w:hint="default" w:ascii="宋体" w:hAnsi="宋体" w:cs="HiddenHorzOCR"/>
                <w:color w:val="auto"/>
                <w:kern w:val="0"/>
                <w:szCs w:val="21"/>
              </w:rPr>
              <w:t>招标文件获取成功后，投标人须登录云南省公共资源交易信息网，进入本项目，选择“缴纳保证金”，自行获取保证金缴纳账户信息。</w:t>
            </w:r>
          </w:p>
          <w:p w14:paraId="11F141F4">
            <w:pPr>
              <w:keepNext w:val="0"/>
              <w:keepLines w:val="0"/>
              <w:pageBreakBefore w:val="0"/>
              <w:kinsoku/>
              <w:wordWrap/>
              <w:overflowPunct/>
              <w:topLinePunct w:val="0"/>
              <w:bidi w:val="0"/>
              <w:spacing w:line="400" w:lineRule="exact"/>
              <w:ind w:firstLine="23" w:firstLineChars="11"/>
              <w:textAlignment w:val="auto"/>
              <w:rPr>
                <w:rFonts w:hint="default" w:ascii="宋体" w:hAnsi="宋体" w:cs="HiddenHorzOCR"/>
                <w:color w:val="auto"/>
                <w:kern w:val="0"/>
                <w:szCs w:val="21"/>
              </w:rPr>
            </w:pPr>
            <w:r>
              <w:rPr>
                <w:rFonts w:hint="default" w:ascii="宋体" w:hAnsi="宋体" w:cs="HiddenHorzOCR"/>
                <w:color w:val="auto"/>
                <w:kern w:val="0"/>
                <w:szCs w:val="21"/>
                <w:lang w:val="en-US" w:eastAsia="zh-CN"/>
              </w:rPr>
              <w:t>本项目</w:t>
            </w:r>
            <w:r>
              <w:rPr>
                <w:rFonts w:hint="default" w:ascii="宋体" w:hAnsi="宋体" w:cs="HiddenHorzOCR"/>
                <w:color w:val="auto"/>
                <w:kern w:val="0"/>
                <w:szCs w:val="21"/>
              </w:rPr>
              <w:t>投标保证金的金额：</w:t>
            </w:r>
          </w:p>
          <w:p w14:paraId="5A267A7A">
            <w:pPr>
              <w:keepNext w:val="0"/>
              <w:keepLines w:val="0"/>
              <w:pageBreakBefore w:val="0"/>
              <w:kinsoku/>
              <w:wordWrap/>
              <w:overflowPunct/>
              <w:topLinePunct w:val="0"/>
              <w:bidi w:val="0"/>
              <w:spacing w:line="400" w:lineRule="exact"/>
              <w:ind w:firstLine="23" w:firstLineChars="11"/>
              <w:textAlignment w:val="auto"/>
              <w:rPr>
                <w:rFonts w:hint="default" w:ascii="宋体" w:hAnsi="宋体" w:cs="HiddenHorzOCR"/>
                <w:color w:val="auto"/>
                <w:kern w:val="0"/>
                <w:szCs w:val="21"/>
              </w:rPr>
            </w:pPr>
            <w:r>
              <w:rPr>
                <w:rFonts w:hint="default" w:ascii="宋体" w:hAnsi="宋体" w:cs="HiddenHorzOCR"/>
                <w:color w:val="auto"/>
                <w:kern w:val="0"/>
                <w:szCs w:val="21"/>
              </w:rPr>
              <w:t>¥</w:t>
            </w:r>
            <w:r>
              <w:rPr>
                <w:rFonts w:hint="eastAsia" w:ascii="宋体" w:hAnsi="宋体" w:cs="HiddenHorzOCR"/>
                <w:color w:val="auto"/>
                <w:kern w:val="0"/>
                <w:szCs w:val="21"/>
                <w:lang w:val="en-US" w:eastAsia="zh-CN"/>
              </w:rPr>
              <w:t>10</w:t>
            </w:r>
            <w:r>
              <w:rPr>
                <w:rFonts w:hint="default" w:ascii="宋体" w:hAnsi="宋体" w:cs="HiddenHorzOCR"/>
                <w:color w:val="auto"/>
                <w:kern w:val="0"/>
                <w:szCs w:val="21"/>
                <w:lang w:val="en-US" w:eastAsia="zh-CN"/>
              </w:rPr>
              <w:t>0000.00</w:t>
            </w:r>
            <w:r>
              <w:rPr>
                <w:rFonts w:hint="default" w:ascii="宋体" w:hAnsi="宋体" w:cs="HiddenHorzOCR"/>
                <w:color w:val="auto"/>
                <w:kern w:val="0"/>
                <w:szCs w:val="21"/>
              </w:rPr>
              <w:t>元（大写：人民币</w:t>
            </w:r>
            <w:r>
              <w:rPr>
                <w:rFonts w:hint="eastAsia" w:ascii="宋体" w:hAnsi="宋体" w:cs="HiddenHorzOCR"/>
                <w:color w:val="auto"/>
                <w:kern w:val="0"/>
                <w:szCs w:val="21"/>
                <w:lang w:val="en-US" w:eastAsia="zh-CN"/>
              </w:rPr>
              <w:t>壹</w:t>
            </w:r>
            <w:r>
              <w:rPr>
                <w:rFonts w:hint="default" w:ascii="宋体" w:hAnsi="宋体" w:cs="HiddenHorzOCR"/>
                <w:color w:val="auto"/>
                <w:kern w:val="0"/>
                <w:szCs w:val="21"/>
                <w:lang w:val="en-US" w:eastAsia="zh-CN"/>
              </w:rPr>
              <w:t>拾万元</w:t>
            </w:r>
            <w:r>
              <w:rPr>
                <w:rFonts w:hint="default" w:ascii="宋体" w:hAnsi="宋体" w:cs="HiddenHorzOCR"/>
                <w:color w:val="auto"/>
                <w:kern w:val="0"/>
                <w:szCs w:val="21"/>
              </w:rPr>
              <w:t>整）</w:t>
            </w:r>
          </w:p>
          <w:p w14:paraId="62837976">
            <w:pPr>
              <w:keepNext w:val="0"/>
              <w:keepLines w:val="0"/>
              <w:pageBreakBefore w:val="0"/>
              <w:kinsoku/>
              <w:wordWrap/>
              <w:overflowPunct/>
              <w:topLinePunct w:val="0"/>
              <w:bidi w:val="0"/>
              <w:spacing w:line="400" w:lineRule="exact"/>
              <w:ind w:firstLine="23" w:firstLineChars="11"/>
              <w:textAlignment w:val="auto"/>
              <w:rPr>
                <w:rFonts w:hint="default" w:ascii="宋体" w:hAnsi="宋体" w:cs="HiddenHorzOCR"/>
                <w:color w:val="auto"/>
                <w:kern w:val="0"/>
                <w:szCs w:val="21"/>
              </w:rPr>
            </w:pPr>
            <w:r>
              <w:rPr>
                <w:rFonts w:hint="default" w:ascii="宋体" w:hAnsi="宋体" w:cs="HiddenHorzOCR"/>
                <w:color w:val="auto"/>
                <w:kern w:val="0"/>
                <w:szCs w:val="21"/>
              </w:rPr>
              <w:t>注：本</w:t>
            </w:r>
            <w:r>
              <w:rPr>
                <w:rFonts w:hint="eastAsia" w:ascii="宋体" w:hAnsi="宋体" w:cs="HiddenHorzOCR"/>
                <w:color w:val="auto"/>
                <w:kern w:val="0"/>
                <w:szCs w:val="21"/>
                <w:lang w:val="en-US" w:eastAsia="zh-CN"/>
              </w:rPr>
              <w:t>项目</w:t>
            </w:r>
            <w:r>
              <w:rPr>
                <w:rFonts w:hint="default" w:ascii="宋体" w:hAnsi="宋体" w:cs="HiddenHorzOCR"/>
                <w:color w:val="auto"/>
                <w:kern w:val="0"/>
                <w:szCs w:val="21"/>
              </w:rPr>
              <w:t>估算</w:t>
            </w:r>
            <w:r>
              <w:rPr>
                <w:rFonts w:hint="default" w:ascii="宋体" w:hAnsi="宋体" w:cs="HiddenHorzOCR"/>
                <w:color w:val="auto"/>
                <w:kern w:val="0"/>
                <w:szCs w:val="21"/>
                <w:lang w:val="en-US" w:eastAsia="zh-CN"/>
              </w:rPr>
              <w:t>价</w:t>
            </w:r>
            <w:r>
              <w:rPr>
                <w:rFonts w:hint="default" w:ascii="宋体" w:hAnsi="宋体" w:cs="HiddenHorzOCR"/>
                <w:color w:val="auto"/>
                <w:kern w:val="0"/>
                <w:szCs w:val="21"/>
              </w:rPr>
              <w:t>约</w:t>
            </w:r>
            <w:r>
              <w:rPr>
                <w:rFonts w:hint="eastAsia" w:ascii="宋体" w:hAnsi="宋体" w:cs="HiddenHorzOCR"/>
                <w:color w:val="auto"/>
                <w:kern w:val="0"/>
                <w:szCs w:val="21"/>
                <w:lang w:eastAsia="zh-CN"/>
              </w:rPr>
              <w:t>1157.14</w:t>
            </w:r>
            <w:r>
              <w:rPr>
                <w:rFonts w:hint="default" w:ascii="宋体" w:hAnsi="宋体" w:cs="HiddenHorzOCR"/>
                <w:color w:val="auto"/>
                <w:kern w:val="0"/>
                <w:szCs w:val="21"/>
              </w:rPr>
              <w:t>万元，投标保证金不超过项目估算价的2%。根据《云南省发展和改革委员会等部门关于鼓励减免政府投资项目投标保证金的通知》（云发改交易管理〔2023〕397号）规定，本</w:t>
            </w:r>
            <w:r>
              <w:rPr>
                <w:rFonts w:hint="eastAsia" w:ascii="宋体" w:hAnsi="宋体" w:cs="HiddenHorzOCR"/>
                <w:color w:val="auto"/>
                <w:kern w:val="0"/>
                <w:szCs w:val="21"/>
                <w:lang w:val="en-US" w:eastAsia="zh-CN"/>
              </w:rPr>
              <w:t>标段</w:t>
            </w:r>
            <w:r>
              <w:rPr>
                <w:rFonts w:hint="default" w:ascii="宋体" w:hAnsi="宋体" w:cs="HiddenHorzOCR"/>
                <w:color w:val="auto"/>
                <w:kern w:val="0"/>
                <w:szCs w:val="21"/>
              </w:rPr>
              <w:t>投标保证金按相关</w:t>
            </w:r>
            <w:r>
              <w:rPr>
                <w:rFonts w:hint="default" w:ascii="宋体" w:hAnsi="宋体" w:cs="HiddenHorzOCR"/>
                <w:color w:val="auto"/>
                <w:kern w:val="0"/>
                <w:szCs w:val="21"/>
                <w:lang w:eastAsia="zh-CN"/>
              </w:rPr>
              <w:t>法律法规</w:t>
            </w:r>
            <w:r>
              <w:rPr>
                <w:rFonts w:hint="default" w:ascii="宋体" w:hAnsi="宋体" w:cs="HiddenHorzOCR"/>
                <w:color w:val="auto"/>
                <w:kern w:val="0"/>
                <w:szCs w:val="21"/>
              </w:rPr>
              <w:t>的规定减免50%或以上，因此本</w:t>
            </w:r>
            <w:r>
              <w:rPr>
                <w:rFonts w:hint="eastAsia" w:ascii="宋体" w:hAnsi="宋体" w:cs="HiddenHorzOCR"/>
                <w:color w:val="auto"/>
                <w:kern w:val="0"/>
                <w:szCs w:val="21"/>
                <w:lang w:val="en-US" w:eastAsia="zh-CN"/>
              </w:rPr>
              <w:t>项目</w:t>
            </w:r>
            <w:r>
              <w:rPr>
                <w:rFonts w:hint="default" w:ascii="宋体" w:hAnsi="宋体" w:cs="HiddenHorzOCR"/>
                <w:color w:val="auto"/>
                <w:kern w:val="0"/>
                <w:szCs w:val="21"/>
              </w:rPr>
              <w:t>保证金缴纳</w:t>
            </w:r>
            <w:r>
              <w:rPr>
                <w:rFonts w:hint="eastAsia" w:ascii="宋体" w:hAnsi="宋体" w:cs="HiddenHorzOCR"/>
                <w:color w:val="auto"/>
                <w:kern w:val="0"/>
                <w:szCs w:val="21"/>
                <w:lang w:val="en-US" w:eastAsia="zh-CN"/>
              </w:rPr>
              <w:t>10</w:t>
            </w:r>
            <w:r>
              <w:rPr>
                <w:rFonts w:hint="default" w:ascii="宋体" w:hAnsi="宋体" w:cs="HiddenHorzOCR"/>
                <w:color w:val="auto"/>
                <w:kern w:val="0"/>
                <w:szCs w:val="21"/>
              </w:rPr>
              <w:t>万元。</w:t>
            </w:r>
          </w:p>
          <w:p w14:paraId="75421052">
            <w:pPr>
              <w:keepNext w:val="0"/>
              <w:keepLines w:val="0"/>
              <w:pageBreakBefore w:val="0"/>
              <w:kinsoku/>
              <w:wordWrap/>
              <w:overflowPunct/>
              <w:topLinePunct w:val="0"/>
              <w:bidi w:val="0"/>
              <w:spacing w:line="400" w:lineRule="exact"/>
              <w:ind w:firstLine="23" w:firstLineChars="11"/>
              <w:textAlignment w:val="auto"/>
              <w:rPr>
                <w:rFonts w:hint="default" w:ascii="宋体" w:hAnsi="宋体" w:cs="HiddenHorzOCR"/>
                <w:color w:val="auto"/>
                <w:kern w:val="0"/>
                <w:szCs w:val="21"/>
              </w:rPr>
            </w:pPr>
            <w:r>
              <w:rPr>
                <w:rFonts w:hint="default" w:ascii="宋体" w:hAnsi="宋体" w:cs="HiddenHorzOCR"/>
                <w:color w:val="auto"/>
                <w:kern w:val="0"/>
                <w:szCs w:val="21"/>
              </w:rPr>
              <w:t>一、采用转账方式交纳的，按下列规定办理：</w:t>
            </w:r>
          </w:p>
          <w:p w14:paraId="3EE68A23">
            <w:pPr>
              <w:keepNext w:val="0"/>
              <w:keepLines w:val="0"/>
              <w:pageBreakBefore w:val="0"/>
              <w:kinsoku/>
              <w:wordWrap/>
              <w:overflowPunct/>
              <w:topLinePunct w:val="0"/>
              <w:bidi w:val="0"/>
              <w:spacing w:line="400" w:lineRule="exact"/>
              <w:ind w:firstLine="23" w:firstLineChars="11"/>
              <w:textAlignment w:val="auto"/>
              <w:rPr>
                <w:rFonts w:hint="default" w:ascii="宋体" w:hAnsi="宋体" w:cs="HiddenHorzOCR"/>
                <w:color w:val="auto"/>
                <w:kern w:val="0"/>
                <w:szCs w:val="21"/>
              </w:rPr>
            </w:pPr>
            <w:r>
              <w:rPr>
                <w:rFonts w:hint="eastAsia" w:ascii="宋体" w:hAnsi="宋体" w:cs="HiddenHorzOCR"/>
                <w:color w:val="auto"/>
                <w:kern w:val="0"/>
                <w:szCs w:val="21"/>
                <w:lang w:eastAsia="zh-CN"/>
              </w:rPr>
              <w:t>1.</w:t>
            </w:r>
            <w:r>
              <w:rPr>
                <w:rFonts w:hint="default" w:ascii="宋体" w:hAnsi="宋体" w:cs="HiddenHorzOCR"/>
                <w:color w:val="auto"/>
                <w:kern w:val="0"/>
                <w:szCs w:val="21"/>
              </w:rPr>
              <w:t>投标（交易）保证金的提交时间：</w:t>
            </w:r>
          </w:p>
          <w:p w14:paraId="6C0B7E7A">
            <w:pPr>
              <w:keepNext w:val="0"/>
              <w:keepLines w:val="0"/>
              <w:pageBreakBefore w:val="0"/>
              <w:kinsoku/>
              <w:wordWrap/>
              <w:overflowPunct/>
              <w:topLinePunct w:val="0"/>
              <w:bidi w:val="0"/>
              <w:spacing w:line="400" w:lineRule="exact"/>
              <w:ind w:firstLine="23" w:firstLineChars="11"/>
              <w:textAlignment w:val="auto"/>
              <w:rPr>
                <w:rFonts w:hint="default" w:ascii="宋体" w:hAnsi="宋体" w:cs="HiddenHorzOCR"/>
                <w:color w:val="auto"/>
                <w:kern w:val="0"/>
                <w:szCs w:val="21"/>
              </w:rPr>
            </w:pPr>
            <w:r>
              <w:rPr>
                <w:rFonts w:hint="default" w:ascii="宋体" w:hAnsi="宋体" w:cs="HiddenHorzOCR"/>
                <w:color w:val="auto"/>
                <w:kern w:val="0"/>
                <w:szCs w:val="21"/>
              </w:rPr>
              <w:t>保证金提交时间为招标文件获取之日起至投标截止时间止，到账时间以实际到达专用账户时间为准，未按时到账的保证金视为未提交。</w:t>
            </w:r>
          </w:p>
          <w:p w14:paraId="23D55C18">
            <w:pPr>
              <w:keepNext w:val="0"/>
              <w:keepLines w:val="0"/>
              <w:pageBreakBefore w:val="0"/>
              <w:kinsoku/>
              <w:wordWrap/>
              <w:overflowPunct/>
              <w:topLinePunct w:val="0"/>
              <w:bidi w:val="0"/>
              <w:spacing w:line="400" w:lineRule="exact"/>
              <w:ind w:firstLine="23" w:firstLineChars="11"/>
              <w:textAlignment w:val="auto"/>
              <w:rPr>
                <w:rFonts w:hint="default" w:ascii="宋体" w:hAnsi="宋体" w:cs="HiddenHorzOCR"/>
                <w:color w:val="auto"/>
                <w:kern w:val="0"/>
                <w:szCs w:val="21"/>
              </w:rPr>
            </w:pPr>
            <w:r>
              <w:rPr>
                <w:rFonts w:hint="eastAsia" w:ascii="宋体" w:hAnsi="宋体" w:cs="HiddenHorzOCR"/>
                <w:color w:val="auto"/>
                <w:kern w:val="0"/>
                <w:szCs w:val="21"/>
                <w:lang w:eastAsia="zh-CN"/>
              </w:rPr>
              <w:t>2.</w:t>
            </w:r>
            <w:r>
              <w:rPr>
                <w:rFonts w:hint="default" w:ascii="宋体" w:hAnsi="宋体" w:cs="HiddenHorzOCR"/>
                <w:color w:val="auto"/>
                <w:kern w:val="0"/>
                <w:szCs w:val="21"/>
              </w:rPr>
              <w:t>保证金的提交方式：</w:t>
            </w:r>
          </w:p>
          <w:p w14:paraId="7A7BB740">
            <w:pPr>
              <w:keepNext w:val="0"/>
              <w:keepLines w:val="0"/>
              <w:pageBreakBefore w:val="0"/>
              <w:kinsoku/>
              <w:wordWrap/>
              <w:overflowPunct/>
              <w:topLinePunct w:val="0"/>
              <w:bidi w:val="0"/>
              <w:spacing w:line="400" w:lineRule="exact"/>
              <w:ind w:firstLine="23" w:firstLineChars="11"/>
              <w:textAlignment w:val="auto"/>
              <w:rPr>
                <w:rFonts w:hint="default" w:ascii="宋体" w:hAnsi="宋体" w:cs="HiddenHorzOCR"/>
                <w:color w:val="auto"/>
                <w:kern w:val="0"/>
                <w:szCs w:val="21"/>
              </w:rPr>
            </w:pPr>
            <w:r>
              <w:rPr>
                <w:rFonts w:hint="default" w:ascii="宋体" w:hAnsi="宋体" w:cs="HiddenHorzOCR"/>
                <w:color w:val="auto"/>
                <w:kern w:val="0"/>
                <w:szCs w:val="21"/>
              </w:rPr>
              <w:t>银行转账</w:t>
            </w:r>
          </w:p>
          <w:p w14:paraId="00FCD34A">
            <w:pPr>
              <w:keepNext w:val="0"/>
              <w:keepLines w:val="0"/>
              <w:pageBreakBefore w:val="0"/>
              <w:kinsoku/>
              <w:wordWrap/>
              <w:overflowPunct/>
              <w:topLinePunct w:val="0"/>
              <w:bidi w:val="0"/>
              <w:spacing w:line="400" w:lineRule="exact"/>
              <w:ind w:firstLine="23" w:firstLineChars="11"/>
              <w:textAlignment w:val="auto"/>
              <w:rPr>
                <w:rFonts w:hint="default" w:ascii="宋体" w:hAnsi="宋体" w:cs="HiddenHorzOCR"/>
                <w:color w:val="auto"/>
                <w:kern w:val="0"/>
                <w:szCs w:val="21"/>
              </w:rPr>
            </w:pPr>
            <w:r>
              <w:rPr>
                <w:rFonts w:hint="default" w:ascii="宋体" w:hAnsi="宋体" w:cs="HiddenHorzOCR"/>
                <w:color w:val="auto"/>
                <w:kern w:val="0"/>
                <w:szCs w:val="21"/>
              </w:rPr>
              <w:t>（1）投标（交易）保证金应以投标人自身的名义提交，必须从其基本账户转出，不得以分支机构等其他名义提交（按照规定，投标人可以为自然人的项目除外）；</w:t>
            </w:r>
          </w:p>
          <w:p w14:paraId="6F49E153">
            <w:pPr>
              <w:keepNext w:val="0"/>
              <w:keepLines w:val="0"/>
              <w:pageBreakBefore w:val="0"/>
              <w:kinsoku/>
              <w:wordWrap/>
              <w:overflowPunct/>
              <w:topLinePunct w:val="0"/>
              <w:bidi w:val="0"/>
              <w:spacing w:line="400" w:lineRule="exact"/>
              <w:ind w:firstLine="23" w:firstLineChars="11"/>
              <w:textAlignment w:val="auto"/>
              <w:rPr>
                <w:rFonts w:hint="default" w:ascii="宋体" w:hAnsi="宋体" w:cs="HiddenHorzOCR"/>
                <w:color w:val="auto"/>
                <w:kern w:val="0"/>
                <w:szCs w:val="21"/>
              </w:rPr>
            </w:pPr>
            <w:r>
              <w:rPr>
                <w:rFonts w:hint="default" w:ascii="宋体" w:hAnsi="宋体" w:cs="HiddenHorzOCR"/>
                <w:color w:val="auto"/>
                <w:kern w:val="0"/>
                <w:szCs w:val="21"/>
              </w:rPr>
              <w:t>（2）投标人投同一项目下两个及以上标段的，应按标段分别提交保证金。</w:t>
            </w:r>
          </w:p>
          <w:p w14:paraId="5BE263C5">
            <w:pPr>
              <w:keepNext w:val="0"/>
              <w:keepLines w:val="0"/>
              <w:pageBreakBefore w:val="0"/>
              <w:kinsoku/>
              <w:wordWrap/>
              <w:overflowPunct/>
              <w:topLinePunct w:val="0"/>
              <w:bidi w:val="0"/>
              <w:spacing w:line="400" w:lineRule="exact"/>
              <w:ind w:firstLine="23" w:firstLineChars="11"/>
              <w:textAlignment w:val="auto"/>
              <w:rPr>
                <w:rFonts w:hint="default" w:ascii="宋体" w:hAnsi="宋体" w:cs="HiddenHorzOCR"/>
                <w:color w:val="auto"/>
                <w:kern w:val="0"/>
                <w:szCs w:val="21"/>
              </w:rPr>
            </w:pPr>
            <w:r>
              <w:rPr>
                <w:rFonts w:hint="eastAsia" w:ascii="宋体" w:hAnsi="宋体" w:cs="HiddenHorzOCR"/>
                <w:color w:val="auto"/>
                <w:kern w:val="0"/>
                <w:szCs w:val="21"/>
                <w:lang w:eastAsia="zh-CN"/>
              </w:rPr>
              <w:t>3.</w:t>
            </w:r>
            <w:r>
              <w:rPr>
                <w:rFonts w:hint="default" w:ascii="宋体" w:hAnsi="宋体" w:cs="HiddenHorzOCR"/>
                <w:color w:val="auto"/>
                <w:kern w:val="0"/>
                <w:szCs w:val="21"/>
              </w:rPr>
              <w:t>保证金提交程序：</w:t>
            </w:r>
          </w:p>
          <w:p w14:paraId="66183D4A">
            <w:pPr>
              <w:keepNext w:val="0"/>
              <w:keepLines w:val="0"/>
              <w:pageBreakBefore w:val="0"/>
              <w:kinsoku/>
              <w:wordWrap/>
              <w:overflowPunct/>
              <w:topLinePunct w:val="0"/>
              <w:bidi w:val="0"/>
              <w:spacing w:line="400" w:lineRule="exact"/>
              <w:ind w:firstLine="23" w:firstLineChars="11"/>
              <w:textAlignment w:val="auto"/>
              <w:rPr>
                <w:rFonts w:hint="default" w:ascii="宋体" w:hAnsi="宋体" w:cs="HiddenHorzOCR"/>
                <w:color w:val="auto"/>
                <w:kern w:val="0"/>
                <w:szCs w:val="21"/>
              </w:rPr>
            </w:pPr>
            <w:r>
              <w:rPr>
                <w:rFonts w:hint="default" w:ascii="宋体" w:hAnsi="宋体" w:cs="HiddenHorzOCR"/>
                <w:color w:val="auto"/>
                <w:kern w:val="0"/>
                <w:szCs w:val="21"/>
              </w:rPr>
              <w:t>（1）投标人向招标文件中载明的保证金专户转入保证金（招标文件载明的保证金专户信息需和电子交易系统内信息一致，如不一致，应及时联系招标代理）。</w:t>
            </w:r>
          </w:p>
          <w:p w14:paraId="4D75534E">
            <w:pPr>
              <w:keepNext w:val="0"/>
              <w:keepLines w:val="0"/>
              <w:pageBreakBefore w:val="0"/>
              <w:kinsoku/>
              <w:wordWrap/>
              <w:overflowPunct/>
              <w:topLinePunct w:val="0"/>
              <w:bidi w:val="0"/>
              <w:spacing w:line="400" w:lineRule="exact"/>
              <w:ind w:firstLine="23" w:firstLineChars="11"/>
              <w:textAlignment w:val="auto"/>
              <w:rPr>
                <w:rFonts w:hint="default" w:ascii="宋体" w:hAnsi="宋体" w:cs="HiddenHorzOCR"/>
                <w:color w:val="auto"/>
                <w:kern w:val="0"/>
                <w:szCs w:val="21"/>
              </w:rPr>
            </w:pPr>
            <w:r>
              <w:rPr>
                <w:rFonts w:hint="default" w:ascii="宋体" w:hAnsi="宋体" w:cs="HiddenHorzOCR"/>
                <w:color w:val="auto"/>
                <w:kern w:val="0"/>
                <w:szCs w:val="21"/>
              </w:rPr>
              <w:t>（2）投标人提交保证金后，登录云南省公共资源交易信息网（http://ggzy.yn.gov.cn），在投标界面“确认投标保证金”处查询保证金</w:t>
            </w:r>
            <w:r>
              <w:rPr>
                <w:rFonts w:hint="default" w:ascii="宋体" w:hAnsi="宋体" w:cs="HiddenHorzOCR"/>
                <w:color w:val="auto"/>
                <w:kern w:val="0"/>
                <w:szCs w:val="21"/>
                <w:lang w:eastAsia="zh-CN"/>
              </w:rPr>
              <w:t>缴纳</w:t>
            </w:r>
            <w:r>
              <w:rPr>
                <w:rFonts w:hint="default" w:ascii="宋体" w:hAnsi="宋体" w:cs="HiddenHorzOCR"/>
                <w:color w:val="auto"/>
                <w:kern w:val="0"/>
                <w:szCs w:val="21"/>
              </w:rPr>
              <w:t>情况，确认保证金并打印保证金交纳回执（投标人提交投标保证金后，必须在电子交易系统确认保证金，如因投标人原因未确认，未绑定项目的，视为未</w:t>
            </w:r>
            <w:r>
              <w:rPr>
                <w:rFonts w:hint="default" w:ascii="宋体" w:hAnsi="宋体" w:cs="HiddenHorzOCR"/>
                <w:color w:val="auto"/>
                <w:kern w:val="0"/>
                <w:szCs w:val="21"/>
                <w:lang w:eastAsia="zh-CN"/>
              </w:rPr>
              <w:t>缴纳保证金</w:t>
            </w:r>
            <w:r>
              <w:rPr>
                <w:rFonts w:hint="default" w:ascii="宋体" w:hAnsi="宋体" w:cs="HiddenHorzOCR"/>
                <w:color w:val="auto"/>
                <w:kern w:val="0"/>
                <w:szCs w:val="21"/>
              </w:rPr>
              <w:t>）。</w:t>
            </w:r>
          </w:p>
          <w:p w14:paraId="26BA6A7B">
            <w:pPr>
              <w:keepNext w:val="0"/>
              <w:keepLines w:val="0"/>
              <w:pageBreakBefore w:val="0"/>
              <w:kinsoku/>
              <w:wordWrap/>
              <w:overflowPunct/>
              <w:topLinePunct w:val="0"/>
              <w:bidi w:val="0"/>
              <w:spacing w:line="400" w:lineRule="exact"/>
              <w:ind w:firstLine="23" w:firstLineChars="11"/>
              <w:textAlignment w:val="auto"/>
              <w:rPr>
                <w:rFonts w:hint="default" w:ascii="宋体" w:hAnsi="宋体" w:cs="HiddenHorzOCR"/>
                <w:color w:val="auto"/>
                <w:kern w:val="0"/>
                <w:szCs w:val="21"/>
              </w:rPr>
            </w:pPr>
            <w:r>
              <w:rPr>
                <w:rFonts w:hint="default" w:ascii="宋体" w:hAnsi="宋体" w:cs="HiddenHorzOCR"/>
                <w:color w:val="auto"/>
                <w:kern w:val="0"/>
                <w:szCs w:val="21"/>
              </w:rPr>
              <w:t>（3）开标时，唱标结束后，招标代理打印项目标段交纳保证金一览表，提交评标委员会评审。</w:t>
            </w:r>
          </w:p>
          <w:p w14:paraId="4DD75A10">
            <w:pPr>
              <w:keepNext w:val="0"/>
              <w:keepLines w:val="0"/>
              <w:pageBreakBefore w:val="0"/>
              <w:kinsoku/>
              <w:wordWrap/>
              <w:overflowPunct/>
              <w:topLinePunct w:val="0"/>
              <w:bidi w:val="0"/>
              <w:spacing w:line="400" w:lineRule="exact"/>
              <w:ind w:firstLine="23" w:firstLineChars="11"/>
              <w:textAlignment w:val="auto"/>
              <w:rPr>
                <w:rFonts w:hint="default" w:ascii="宋体" w:hAnsi="宋体" w:cs="HiddenHorzOCR"/>
                <w:color w:val="auto"/>
                <w:kern w:val="0"/>
                <w:szCs w:val="21"/>
              </w:rPr>
            </w:pPr>
            <w:r>
              <w:rPr>
                <w:rFonts w:hint="eastAsia" w:ascii="宋体" w:hAnsi="宋体" w:cs="HiddenHorzOCR"/>
                <w:color w:val="auto"/>
                <w:kern w:val="0"/>
                <w:szCs w:val="21"/>
                <w:lang w:eastAsia="zh-CN"/>
              </w:rPr>
              <w:t>4.</w:t>
            </w:r>
            <w:r>
              <w:rPr>
                <w:rFonts w:hint="default" w:ascii="宋体" w:hAnsi="宋体" w:cs="HiddenHorzOCR"/>
                <w:color w:val="auto"/>
                <w:kern w:val="0"/>
                <w:szCs w:val="21"/>
              </w:rPr>
              <w:t>保证金退还：</w:t>
            </w:r>
          </w:p>
          <w:p w14:paraId="22DF9833">
            <w:pPr>
              <w:keepNext w:val="0"/>
              <w:keepLines w:val="0"/>
              <w:pageBreakBefore w:val="0"/>
              <w:kinsoku/>
              <w:wordWrap/>
              <w:overflowPunct/>
              <w:topLinePunct w:val="0"/>
              <w:bidi w:val="0"/>
              <w:spacing w:line="400" w:lineRule="exact"/>
              <w:ind w:firstLine="23" w:firstLineChars="11"/>
              <w:textAlignment w:val="auto"/>
              <w:rPr>
                <w:rFonts w:hint="default" w:ascii="宋体" w:hAnsi="宋体" w:cs="HiddenHorzOCR"/>
                <w:color w:val="auto"/>
                <w:kern w:val="0"/>
                <w:szCs w:val="21"/>
                <w:lang w:eastAsia="zh-CN"/>
              </w:rPr>
            </w:pPr>
            <w:bookmarkStart w:id="36" w:name="OLE_LINK24"/>
            <w:r>
              <w:rPr>
                <w:rFonts w:hint="default" w:ascii="宋体" w:hAnsi="宋体" w:cs="HiddenHorzOCR"/>
                <w:color w:val="auto"/>
                <w:kern w:val="0"/>
                <w:szCs w:val="21"/>
              </w:rPr>
              <w:t>（1）未中标保证金退还：中标候选人公示结束，发布中标结果公告后5日内，招标代理提交退还投标保证金及同期银行存款利息；</w:t>
            </w:r>
          </w:p>
          <w:p w14:paraId="7850341D">
            <w:pPr>
              <w:keepNext w:val="0"/>
              <w:keepLines w:val="0"/>
              <w:pageBreakBefore w:val="0"/>
              <w:kinsoku/>
              <w:wordWrap/>
              <w:overflowPunct/>
              <w:topLinePunct w:val="0"/>
              <w:bidi w:val="0"/>
              <w:spacing w:line="400" w:lineRule="exact"/>
              <w:ind w:firstLine="23" w:firstLineChars="11"/>
              <w:textAlignment w:val="auto"/>
              <w:rPr>
                <w:rFonts w:hint="default" w:ascii="宋体" w:hAnsi="宋体" w:cs="HiddenHorzOCR"/>
                <w:color w:val="auto"/>
                <w:kern w:val="0"/>
                <w:szCs w:val="21"/>
              </w:rPr>
            </w:pPr>
            <w:r>
              <w:rPr>
                <w:rFonts w:hint="default" w:ascii="宋体" w:hAnsi="宋体" w:cs="HiddenHorzOCR"/>
                <w:color w:val="auto"/>
                <w:kern w:val="0"/>
                <w:szCs w:val="21"/>
              </w:rPr>
              <w:t>（2）中标保证金退还：招标人与中标人签订合同后，招标代理完善合同归档后5日内提交退还投标保证金及同期银行存款利息。</w:t>
            </w:r>
          </w:p>
          <w:bookmarkEnd w:id="36"/>
          <w:p w14:paraId="14741331">
            <w:pPr>
              <w:keepNext w:val="0"/>
              <w:keepLines w:val="0"/>
              <w:pageBreakBefore w:val="0"/>
              <w:kinsoku/>
              <w:wordWrap/>
              <w:overflowPunct/>
              <w:topLinePunct w:val="0"/>
              <w:bidi w:val="0"/>
              <w:spacing w:line="400" w:lineRule="exact"/>
              <w:ind w:firstLine="23" w:firstLineChars="11"/>
              <w:textAlignment w:val="auto"/>
              <w:rPr>
                <w:rFonts w:hint="default" w:ascii="宋体" w:hAnsi="宋体" w:cs="HiddenHorzOCR"/>
                <w:color w:val="auto"/>
                <w:kern w:val="0"/>
                <w:szCs w:val="21"/>
              </w:rPr>
            </w:pPr>
            <w:r>
              <w:rPr>
                <w:rFonts w:hint="default" w:ascii="宋体" w:hAnsi="宋体" w:cs="HiddenHorzOCR"/>
                <w:color w:val="auto"/>
                <w:kern w:val="0"/>
                <w:szCs w:val="21"/>
              </w:rPr>
              <w:t>二、采用投标保证保险方式交纳的，按下列规定办理：</w:t>
            </w:r>
          </w:p>
          <w:p w14:paraId="0198DA12">
            <w:pPr>
              <w:keepNext w:val="0"/>
              <w:keepLines w:val="0"/>
              <w:pageBreakBefore w:val="0"/>
              <w:kinsoku/>
              <w:wordWrap/>
              <w:overflowPunct/>
              <w:topLinePunct w:val="0"/>
              <w:bidi w:val="0"/>
              <w:spacing w:line="400" w:lineRule="exact"/>
              <w:ind w:firstLine="23" w:firstLineChars="11"/>
              <w:textAlignment w:val="auto"/>
              <w:rPr>
                <w:rFonts w:hint="default" w:ascii="宋体" w:hAnsi="宋体" w:cs="HiddenHorzOCR"/>
                <w:color w:val="auto"/>
                <w:kern w:val="0"/>
                <w:szCs w:val="21"/>
              </w:rPr>
            </w:pPr>
            <w:r>
              <w:rPr>
                <w:rFonts w:hint="eastAsia" w:ascii="宋体" w:hAnsi="宋体" w:cs="HiddenHorzOCR"/>
                <w:color w:val="auto"/>
                <w:kern w:val="0"/>
                <w:szCs w:val="21"/>
                <w:lang w:eastAsia="zh-CN"/>
              </w:rPr>
              <w:t>1.</w:t>
            </w:r>
            <w:r>
              <w:rPr>
                <w:rFonts w:hint="default" w:ascii="宋体" w:hAnsi="宋体" w:cs="HiddenHorzOCR"/>
                <w:color w:val="auto"/>
                <w:kern w:val="0"/>
                <w:szCs w:val="21"/>
              </w:rPr>
              <w:t>购买投标保证保险后，必须在项目投标保证金提交截止时间前使用 CA数字证书，登录云南省公共资源交易信息网（http://ggzy.yn.gov.cn），在投标界面确认保证金并打印保证金</w:t>
            </w:r>
            <w:r>
              <w:rPr>
                <w:rFonts w:hint="default" w:ascii="宋体" w:hAnsi="宋体" w:cs="HiddenHorzOCR"/>
                <w:color w:val="auto"/>
                <w:kern w:val="0"/>
                <w:szCs w:val="21"/>
                <w:lang w:eastAsia="zh-CN"/>
              </w:rPr>
              <w:t>缴纳</w:t>
            </w:r>
            <w:r>
              <w:rPr>
                <w:rFonts w:hint="default" w:ascii="宋体" w:hAnsi="宋体" w:cs="HiddenHorzOCR"/>
                <w:color w:val="auto"/>
                <w:kern w:val="0"/>
                <w:szCs w:val="21"/>
              </w:rPr>
              <w:t>回执。开标时，唱标结束后，招标代理在开标现场按照标段（包号）打印项目标段交纳保证金一览表，提交评标委员会评审。</w:t>
            </w:r>
          </w:p>
          <w:p w14:paraId="2A296A3C">
            <w:pPr>
              <w:keepNext w:val="0"/>
              <w:keepLines w:val="0"/>
              <w:pageBreakBefore w:val="0"/>
              <w:kinsoku/>
              <w:wordWrap/>
              <w:overflowPunct/>
              <w:topLinePunct w:val="0"/>
              <w:bidi w:val="0"/>
              <w:spacing w:line="400" w:lineRule="exact"/>
              <w:ind w:firstLine="23" w:firstLineChars="11"/>
              <w:textAlignment w:val="auto"/>
              <w:rPr>
                <w:rFonts w:hint="default" w:ascii="宋体" w:hAnsi="宋体" w:cs="HiddenHorzOCR"/>
                <w:color w:val="auto"/>
                <w:kern w:val="0"/>
                <w:szCs w:val="21"/>
              </w:rPr>
            </w:pPr>
            <w:r>
              <w:rPr>
                <w:rFonts w:hint="eastAsia" w:ascii="宋体" w:hAnsi="宋体" w:cs="HiddenHorzOCR"/>
                <w:color w:val="auto"/>
                <w:kern w:val="0"/>
                <w:szCs w:val="21"/>
                <w:lang w:eastAsia="zh-CN"/>
              </w:rPr>
              <w:t>2.</w:t>
            </w:r>
            <w:r>
              <w:rPr>
                <w:rFonts w:hint="default" w:ascii="宋体" w:hAnsi="宋体" w:cs="HiddenHorzOCR"/>
                <w:color w:val="auto"/>
                <w:kern w:val="0"/>
                <w:szCs w:val="21"/>
              </w:rPr>
              <w:t>必须在规定的投标截止时间前购买保证保险。未按时到账的保证金视为未提交。</w:t>
            </w:r>
          </w:p>
          <w:p w14:paraId="2E290AB6">
            <w:pPr>
              <w:keepNext w:val="0"/>
              <w:keepLines w:val="0"/>
              <w:pageBreakBefore w:val="0"/>
              <w:kinsoku/>
              <w:wordWrap/>
              <w:overflowPunct/>
              <w:topLinePunct w:val="0"/>
              <w:bidi w:val="0"/>
              <w:spacing w:line="400" w:lineRule="exact"/>
              <w:ind w:firstLine="23" w:firstLineChars="11"/>
              <w:textAlignment w:val="auto"/>
              <w:rPr>
                <w:rFonts w:hint="default" w:ascii="宋体" w:hAnsi="宋体" w:cs="HiddenHorzOCR"/>
                <w:color w:val="auto"/>
                <w:kern w:val="0"/>
                <w:szCs w:val="21"/>
              </w:rPr>
            </w:pPr>
            <w:r>
              <w:rPr>
                <w:rFonts w:hint="default" w:ascii="宋体" w:hAnsi="宋体" w:cs="HiddenHorzOCR"/>
                <w:color w:val="auto"/>
                <w:kern w:val="0"/>
                <w:szCs w:val="21"/>
              </w:rPr>
              <w:t>三、采用银行保函方式交纳的，按下列规定办理：</w:t>
            </w:r>
          </w:p>
          <w:p w14:paraId="18EDD3B3">
            <w:pPr>
              <w:keepNext w:val="0"/>
              <w:keepLines w:val="0"/>
              <w:pageBreakBefore w:val="0"/>
              <w:kinsoku/>
              <w:wordWrap/>
              <w:overflowPunct/>
              <w:topLinePunct w:val="0"/>
              <w:bidi w:val="0"/>
              <w:spacing w:line="400" w:lineRule="exact"/>
              <w:ind w:firstLine="23" w:firstLineChars="11"/>
              <w:textAlignment w:val="auto"/>
              <w:rPr>
                <w:rFonts w:ascii="宋体" w:hAnsi="宋体" w:cs="HiddenHorzOCR"/>
                <w:color w:val="auto"/>
                <w:kern w:val="0"/>
                <w:szCs w:val="21"/>
              </w:rPr>
            </w:pPr>
            <w:r>
              <w:rPr>
                <w:rFonts w:hint="default" w:ascii="宋体" w:hAnsi="宋体" w:cs="HiddenHorzOCR"/>
                <w:color w:val="auto"/>
                <w:kern w:val="0"/>
                <w:szCs w:val="21"/>
              </w:rPr>
              <w:t>投标人需要使用数字证书（CA）</w:t>
            </w:r>
            <w:r>
              <w:rPr>
                <w:rFonts w:hint="eastAsia" w:ascii="宋体" w:hAnsi="宋体" w:cs="HiddenHorzOCR"/>
                <w:color w:val="auto"/>
                <w:kern w:val="0"/>
                <w:szCs w:val="21"/>
                <w:lang w:eastAsia="zh-CN"/>
              </w:rPr>
              <w:t>登录</w:t>
            </w:r>
            <w:r>
              <w:rPr>
                <w:rFonts w:hint="default" w:ascii="宋体" w:hAnsi="宋体" w:cs="HiddenHorzOCR"/>
                <w:color w:val="auto"/>
                <w:kern w:val="0"/>
                <w:szCs w:val="21"/>
              </w:rPr>
              <w:t>“云南省公共资源交易信息网”在投标保函模块找到对应项目进行保函信息的录入，并在投标系统打印保证金交纳回执。</w:t>
            </w:r>
          </w:p>
        </w:tc>
      </w:tr>
      <w:tr w14:paraId="52118CFB">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562" w:hRule="atLeast"/>
          <w:jc w:val="center"/>
        </w:trPr>
        <w:tc>
          <w:tcPr>
            <w:tcW w:w="1001" w:type="dxa"/>
            <w:gridSpan w:val="2"/>
            <w:vAlign w:val="center"/>
          </w:tcPr>
          <w:p w14:paraId="61FE93B5">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ascii="宋体" w:hAnsi="宋体"/>
                <w:color w:val="auto"/>
                <w:szCs w:val="21"/>
              </w:rPr>
              <w:t>1.1</w:t>
            </w:r>
            <w:r>
              <w:rPr>
                <w:rFonts w:hint="eastAsia" w:ascii="宋体" w:hAnsi="宋体"/>
                <w:color w:val="auto"/>
                <w:szCs w:val="21"/>
              </w:rPr>
              <w:t>5.</w:t>
            </w:r>
            <w:r>
              <w:rPr>
                <w:rFonts w:ascii="宋体" w:hAnsi="宋体"/>
                <w:color w:val="auto"/>
                <w:szCs w:val="21"/>
              </w:rPr>
              <w:t>1</w:t>
            </w:r>
          </w:p>
        </w:tc>
        <w:tc>
          <w:tcPr>
            <w:tcW w:w="1780" w:type="dxa"/>
            <w:vAlign w:val="center"/>
          </w:tcPr>
          <w:p w14:paraId="0C3EA17A">
            <w:pPr>
              <w:keepNext w:val="0"/>
              <w:keepLines w:val="0"/>
              <w:pageBreakBefore w:val="0"/>
              <w:kinsoku/>
              <w:wordWrap/>
              <w:overflowPunct/>
              <w:topLinePunct w:val="0"/>
              <w:bidi w:val="0"/>
              <w:spacing w:line="400" w:lineRule="exact"/>
              <w:jc w:val="center"/>
              <w:textAlignment w:val="auto"/>
              <w:rPr>
                <w:rFonts w:ascii="宋体" w:hAnsi="宋体"/>
                <w:color w:val="auto"/>
              </w:rPr>
            </w:pPr>
            <w:r>
              <w:rPr>
                <w:rFonts w:ascii="宋体" w:hAnsi="宋体"/>
                <w:color w:val="auto"/>
              </w:rPr>
              <w:t>近年财务状况的年份要求</w:t>
            </w:r>
          </w:p>
        </w:tc>
        <w:tc>
          <w:tcPr>
            <w:tcW w:w="6674" w:type="dxa"/>
            <w:gridSpan w:val="2"/>
            <w:vAlign w:val="center"/>
          </w:tcPr>
          <w:p w14:paraId="307678AC">
            <w:pPr>
              <w:keepNext w:val="0"/>
              <w:keepLines w:val="0"/>
              <w:pageBreakBefore w:val="0"/>
              <w:kinsoku/>
              <w:wordWrap/>
              <w:overflowPunct/>
              <w:topLinePunct w:val="0"/>
              <w:bidi w:val="0"/>
              <w:spacing w:line="400" w:lineRule="exact"/>
              <w:textAlignment w:val="auto"/>
              <w:rPr>
                <w:rFonts w:ascii="宋体" w:hAnsi="宋体"/>
                <w:color w:val="auto"/>
                <w:szCs w:val="21"/>
              </w:rPr>
            </w:pPr>
            <w:r>
              <w:rPr>
                <w:rFonts w:hint="eastAsia" w:ascii="宋体" w:hAnsi="宋体"/>
                <w:color w:val="auto"/>
                <w:szCs w:val="21"/>
              </w:rPr>
              <w:t>202</w:t>
            </w:r>
            <w:r>
              <w:rPr>
                <w:rFonts w:hint="eastAsia" w:ascii="宋体" w:hAnsi="宋体"/>
                <w:color w:val="auto"/>
                <w:szCs w:val="21"/>
                <w:lang w:val="en-US" w:eastAsia="zh-CN"/>
              </w:rPr>
              <w:t>3</w:t>
            </w:r>
            <w:r>
              <w:rPr>
                <w:rFonts w:hint="eastAsia" w:ascii="宋体" w:hAnsi="宋体"/>
                <w:color w:val="auto"/>
                <w:szCs w:val="21"/>
              </w:rPr>
              <w:t>年</w:t>
            </w:r>
            <w:r>
              <w:rPr>
                <w:rFonts w:hint="eastAsia" w:ascii="宋体" w:hAnsi="宋体"/>
                <w:color w:val="auto"/>
                <w:szCs w:val="21"/>
                <w:lang w:eastAsia="zh-CN"/>
              </w:rPr>
              <w:t>—</w:t>
            </w:r>
            <w:r>
              <w:rPr>
                <w:rFonts w:hint="eastAsia" w:ascii="宋体" w:hAnsi="宋体"/>
                <w:color w:val="auto"/>
                <w:szCs w:val="21"/>
              </w:rPr>
              <w:t>202</w:t>
            </w:r>
            <w:r>
              <w:rPr>
                <w:rFonts w:hint="eastAsia" w:ascii="宋体" w:hAnsi="宋体"/>
                <w:color w:val="auto"/>
                <w:szCs w:val="21"/>
                <w:lang w:val="en-US" w:eastAsia="zh-CN"/>
              </w:rPr>
              <w:t>5</w:t>
            </w:r>
            <w:r>
              <w:rPr>
                <w:rFonts w:hint="eastAsia" w:ascii="宋体" w:hAnsi="宋体"/>
                <w:color w:val="auto"/>
                <w:szCs w:val="21"/>
              </w:rPr>
              <w:t>年</w:t>
            </w:r>
          </w:p>
        </w:tc>
      </w:tr>
      <w:tr w14:paraId="039ABED0">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562" w:hRule="atLeast"/>
          <w:jc w:val="center"/>
        </w:trPr>
        <w:tc>
          <w:tcPr>
            <w:tcW w:w="1001" w:type="dxa"/>
            <w:gridSpan w:val="2"/>
            <w:vAlign w:val="center"/>
          </w:tcPr>
          <w:p w14:paraId="01C1554E">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ascii="宋体" w:hAnsi="宋体"/>
                <w:color w:val="auto"/>
                <w:szCs w:val="21"/>
              </w:rPr>
              <w:t>1.15.2</w:t>
            </w:r>
          </w:p>
        </w:tc>
        <w:tc>
          <w:tcPr>
            <w:tcW w:w="1780" w:type="dxa"/>
            <w:vAlign w:val="center"/>
          </w:tcPr>
          <w:p w14:paraId="33A3B36B">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ascii="宋体" w:hAnsi="宋体"/>
                <w:color w:val="auto"/>
                <w:szCs w:val="21"/>
              </w:rPr>
              <w:t>近</w:t>
            </w:r>
            <w:r>
              <w:rPr>
                <w:rFonts w:hint="eastAsia" w:ascii="宋体" w:hAnsi="宋体"/>
                <w:color w:val="auto"/>
                <w:szCs w:val="21"/>
                <w:lang w:eastAsia="zh-CN"/>
              </w:rPr>
              <w:t>年来</w:t>
            </w:r>
            <w:r>
              <w:rPr>
                <w:rFonts w:ascii="宋体" w:hAnsi="宋体"/>
                <w:color w:val="auto"/>
                <w:szCs w:val="21"/>
              </w:rPr>
              <w:t>发生的</w:t>
            </w:r>
            <w:r>
              <w:rPr>
                <w:rFonts w:hint="eastAsia" w:ascii="宋体" w:hAnsi="宋体"/>
                <w:color w:val="auto"/>
                <w:szCs w:val="21"/>
              </w:rPr>
              <w:t>重大</w:t>
            </w:r>
            <w:r>
              <w:rPr>
                <w:rFonts w:ascii="宋体" w:hAnsi="宋体"/>
                <w:color w:val="auto"/>
                <w:szCs w:val="21"/>
              </w:rPr>
              <w:t>诉讼及仲裁情况</w:t>
            </w:r>
          </w:p>
        </w:tc>
        <w:tc>
          <w:tcPr>
            <w:tcW w:w="6674" w:type="dxa"/>
            <w:gridSpan w:val="2"/>
            <w:vAlign w:val="center"/>
          </w:tcPr>
          <w:p w14:paraId="5B744D1E">
            <w:pPr>
              <w:keepNext w:val="0"/>
              <w:keepLines w:val="0"/>
              <w:pageBreakBefore w:val="0"/>
              <w:kinsoku/>
              <w:wordWrap/>
              <w:overflowPunct/>
              <w:topLinePunct w:val="0"/>
              <w:bidi w:val="0"/>
              <w:spacing w:line="400" w:lineRule="exact"/>
              <w:textAlignment w:val="auto"/>
              <w:rPr>
                <w:rFonts w:hint="eastAsia" w:ascii="宋体" w:hAnsi="宋体" w:eastAsia="宋体"/>
                <w:color w:val="auto"/>
                <w:szCs w:val="21"/>
                <w:lang w:eastAsia="zh-CN"/>
              </w:rPr>
            </w:pPr>
            <w:r>
              <w:rPr>
                <w:rFonts w:hint="eastAsia" w:ascii="宋体" w:hAnsi="宋体"/>
                <w:color w:val="auto"/>
                <w:szCs w:val="21"/>
              </w:rPr>
              <w:t>近三年</w:t>
            </w:r>
            <w:r>
              <w:rPr>
                <w:rFonts w:hint="eastAsia" w:ascii="宋体" w:hAnsi="宋体"/>
                <w:color w:val="auto"/>
                <w:szCs w:val="21"/>
                <w:lang w:eastAsia="zh-CN"/>
              </w:rPr>
              <w:t>（202</w:t>
            </w:r>
            <w:r>
              <w:rPr>
                <w:rFonts w:hint="eastAsia" w:ascii="宋体" w:hAnsi="宋体"/>
                <w:color w:val="auto"/>
                <w:szCs w:val="21"/>
                <w:lang w:val="en-US" w:eastAsia="zh-CN"/>
              </w:rPr>
              <w:t>3</w:t>
            </w:r>
            <w:r>
              <w:rPr>
                <w:rFonts w:hint="eastAsia" w:ascii="宋体" w:hAnsi="宋体"/>
                <w:color w:val="auto"/>
                <w:szCs w:val="21"/>
                <w:lang w:eastAsia="zh-CN"/>
              </w:rPr>
              <w:t>年—202</w:t>
            </w:r>
            <w:r>
              <w:rPr>
                <w:rFonts w:hint="eastAsia" w:ascii="宋体" w:hAnsi="宋体"/>
                <w:color w:val="auto"/>
                <w:szCs w:val="21"/>
                <w:lang w:val="en-US" w:eastAsia="zh-CN"/>
              </w:rPr>
              <w:t>5</w:t>
            </w:r>
            <w:r>
              <w:rPr>
                <w:rFonts w:hint="eastAsia" w:ascii="宋体" w:hAnsi="宋体"/>
                <w:color w:val="auto"/>
                <w:szCs w:val="21"/>
                <w:lang w:eastAsia="zh-CN"/>
              </w:rPr>
              <w:t>年）</w:t>
            </w:r>
          </w:p>
        </w:tc>
      </w:tr>
      <w:tr w14:paraId="587F40C3">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562" w:hRule="atLeast"/>
          <w:jc w:val="center"/>
        </w:trPr>
        <w:tc>
          <w:tcPr>
            <w:tcW w:w="1001" w:type="dxa"/>
            <w:gridSpan w:val="2"/>
            <w:vAlign w:val="center"/>
          </w:tcPr>
          <w:p w14:paraId="5461EF7E">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ascii="宋体" w:hAnsi="宋体"/>
                <w:color w:val="auto"/>
                <w:szCs w:val="21"/>
              </w:rPr>
              <w:t>1.16.1</w:t>
            </w:r>
          </w:p>
        </w:tc>
        <w:tc>
          <w:tcPr>
            <w:tcW w:w="1780" w:type="dxa"/>
            <w:vAlign w:val="center"/>
          </w:tcPr>
          <w:p w14:paraId="750C8808">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hint="eastAsia" w:ascii="宋体" w:hAnsi="宋体"/>
                <w:color w:val="auto"/>
                <w:szCs w:val="21"/>
              </w:rPr>
              <w:t>是否允许递交备选投标方案</w:t>
            </w:r>
          </w:p>
        </w:tc>
        <w:tc>
          <w:tcPr>
            <w:tcW w:w="6674" w:type="dxa"/>
            <w:gridSpan w:val="2"/>
            <w:vAlign w:val="center"/>
          </w:tcPr>
          <w:p w14:paraId="4EF545E3">
            <w:pPr>
              <w:keepNext w:val="0"/>
              <w:keepLines w:val="0"/>
              <w:pageBreakBefore w:val="0"/>
              <w:kinsoku/>
              <w:wordWrap/>
              <w:overflowPunct/>
              <w:topLinePunct w:val="0"/>
              <w:bidi w:val="0"/>
              <w:spacing w:line="400" w:lineRule="exact"/>
              <w:textAlignment w:val="auto"/>
              <w:rPr>
                <w:rFonts w:ascii="宋体" w:hAnsi="宋体"/>
                <w:color w:val="auto"/>
                <w:szCs w:val="21"/>
              </w:rPr>
            </w:pPr>
            <w:r>
              <w:rPr>
                <w:rFonts w:hint="eastAsia" w:ascii="宋体" w:hAnsi="宋体"/>
                <w:color w:val="auto"/>
                <w:szCs w:val="21"/>
              </w:rPr>
              <w:t>不允许</w:t>
            </w:r>
          </w:p>
        </w:tc>
      </w:tr>
      <w:tr w14:paraId="66B32278">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PrEx>
        <w:trPr>
          <w:trHeight w:val="454" w:hRule="atLeast"/>
          <w:jc w:val="center"/>
        </w:trPr>
        <w:tc>
          <w:tcPr>
            <w:tcW w:w="1001" w:type="dxa"/>
            <w:gridSpan w:val="2"/>
            <w:vAlign w:val="center"/>
          </w:tcPr>
          <w:p w14:paraId="11C8322C">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ascii="宋体" w:hAnsi="宋体"/>
                <w:color w:val="auto"/>
                <w:szCs w:val="21"/>
              </w:rPr>
              <w:t>1.17.1</w:t>
            </w:r>
          </w:p>
        </w:tc>
        <w:tc>
          <w:tcPr>
            <w:tcW w:w="1780" w:type="dxa"/>
            <w:vAlign w:val="center"/>
          </w:tcPr>
          <w:p w14:paraId="453090DF">
            <w:pPr>
              <w:keepNext w:val="0"/>
              <w:keepLines w:val="0"/>
              <w:pageBreakBefore w:val="0"/>
              <w:kinsoku/>
              <w:wordWrap/>
              <w:overflowPunct/>
              <w:topLinePunct w:val="0"/>
              <w:bidi w:val="0"/>
              <w:spacing w:before="78" w:beforeLines="25" w:line="400" w:lineRule="exact"/>
              <w:jc w:val="center"/>
              <w:textAlignment w:val="auto"/>
              <w:rPr>
                <w:rFonts w:ascii="宋体" w:hAnsi="宋体"/>
                <w:color w:val="auto"/>
                <w:szCs w:val="21"/>
              </w:rPr>
            </w:pPr>
            <w:r>
              <w:rPr>
                <w:rFonts w:hint="eastAsia" w:ascii="宋体" w:hAnsi="宋体"/>
                <w:color w:val="auto"/>
                <w:szCs w:val="21"/>
              </w:rPr>
              <w:t>投标文件格式</w:t>
            </w:r>
          </w:p>
        </w:tc>
        <w:tc>
          <w:tcPr>
            <w:tcW w:w="6674" w:type="dxa"/>
            <w:gridSpan w:val="2"/>
            <w:vAlign w:val="center"/>
          </w:tcPr>
          <w:p w14:paraId="74AB6F2E">
            <w:pPr>
              <w:pStyle w:val="57"/>
              <w:keepNext w:val="0"/>
              <w:keepLines w:val="0"/>
              <w:pageBreakBefore w:val="0"/>
              <w:kinsoku/>
              <w:wordWrap/>
              <w:overflowPunct/>
              <w:topLinePunct w:val="0"/>
              <w:bidi w:val="0"/>
              <w:spacing w:line="400" w:lineRule="exact"/>
              <w:ind w:left="0" w:leftChars="0" w:firstLine="0" w:firstLineChars="0"/>
              <w:textAlignment w:val="auto"/>
              <w:rPr>
                <w:rFonts w:ascii="宋体" w:hAnsi="宋体"/>
                <w:color w:val="auto"/>
                <w:sz w:val="21"/>
                <w:szCs w:val="21"/>
              </w:rPr>
            </w:pPr>
            <w:r>
              <w:rPr>
                <w:rFonts w:hint="eastAsia" w:ascii="宋体" w:hAnsi="宋体"/>
                <w:color w:val="auto"/>
                <w:sz w:val="21"/>
                <w:szCs w:val="21"/>
              </w:rPr>
              <w:t>投标人登录https://ggzy.yn.gov.cn/，根据拟要投标的项目，按照网上投标系统要求上传投标文件，上传完成后，检查投标文件的完整性并“确认签名”，表明投标人网上上传投标文件成功。投标人可打印“上传投标文件回执”，投标截止时间前未完成投标文件传输的，视为撤回投标文件。</w:t>
            </w:r>
          </w:p>
          <w:p w14:paraId="22018CB4">
            <w:pPr>
              <w:pStyle w:val="57"/>
              <w:keepNext w:val="0"/>
              <w:keepLines w:val="0"/>
              <w:pageBreakBefore w:val="0"/>
              <w:kinsoku/>
              <w:wordWrap/>
              <w:overflowPunct/>
              <w:topLinePunct w:val="0"/>
              <w:bidi w:val="0"/>
              <w:spacing w:line="400" w:lineRule="exact"/>
              <w:ind w:left="0"/>
              <w:textAlignment w:val="auto"/>
              <w:rPr>
                <w:rFonts w:ascii="宋体" w:hAnsi="宋体"/>
                <w:b/>
                <w:bCs/>
                <w:color w:val="auto"/>
                <w:sz w:val="21"/>
                <w:szCs w:val="21"/>
              </w:rPr>
            </w:pPr>
            <w:r>
              <w:rPr>
                <w:rFonts w:hint="eastAsia" w:ascii="宋体" w:hAnsi="宋体"/>
                <w:b/>
                <w:bCs/>
                <w:color w:val="auto"/>
                <w:sz w:val="21"/>
                <w:szCs w:val="21"/>
              </w:rPr>
              <w:t>电子投标文件格式：</w:t>
            </w:r>
          </w:p>
          <w:p w14:paraId="41CC72A1">
            <w:pPr>
              <w:keepNext w:val="0"/>
              <w:keepLines w:val="0"/>
              <w:pageBreakBefore w:val="0"/>
              <w:kinsoku/>
              <w:wordWrap/>
              <w:overflowPunct/>
              <w:topLinePunct w:val="0"/>
              <w:bidi w:val="0"/>
              <w:spacing w:before="78" w:beforeLines="25" w:line="400" w:lineRule="exact"/>
              <w:textAlignment w:val="auto"/>
              <w:rPr>
                <w:rFonts w:ascii="宋体" w:hAnsi="宋体"/>
                <w:color w:val="auto"/>
                <w:szCs w:val="21"/>
              </w:rPr>
            </w:pPr>
            <w:r>
              <w:rPr>
                <w:rFonts w:hint="eastAsia" w:ascii="宋体" w:hAnsi="宋体"/>
                <w:color w:val="auto"/>
                <w:szCs w:val="21"/>
              </w:rPr>
              <w:t>投标文件必须使用《云南省工程建设模块化投标文件编制系统》制作，文件格式为*.BTBJ。</w:t>
            </w:r>
          </w:p>
        </w:tc>
      </w:tr>
      <w:tr w14:paraId="27A75784">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001" w:type="dxa"/>
            <w:gridSpan w:val="2"/>
            <w:vAlign w:val="center"/>
          </w:tcPr>
          <w:p w14:paraId="1AD55DD7">
            <w:pPr>
              <w:keepNext w:val="0"/>
              <w:keepLines w:val="0"/>
              <w:pageBreakBefore w:val="0"/>
              <w:kinsoku/>
              <w:wordWrap/>
              <w:overflowPunct/>
              <w:topLinePunct w:val="0"/>
              <w:bidi w:val="0"/>
              <w:spacing w:before="78" w:beforeLines="25" w:line="400" w:lineRule="exact"/>
              <w:jc w:val="center"/>
              <w:textAlignment w:val="auto"/>
              <w:rPr>
                <w:rFonts w:ascii="宋体" w:hAnsi="宋体"/>
                <w:color w:val="auto"/>
                <w:szCs w:val="21"/>
              </w:rPr>
            </w:pPr>
            <w:r>
              <w:rPr>
                <w:rFonts w:ascii="宋体" w:hAnsi="宋体"/>
                <w:color w:val="auto"/>
                <w:szCs w:val="21"/>
              </w:rPr>
              <w:t>1.17.2</w:t>
            </w:r>
          </w:p>
        </w:tc>
        <w:tc>
          <w:tcPr>
            <w:tcW w:w="1780" w:type="dxa"/>
            <w:vAlign w:val="center"/>
          </w:tcPr>
          <w:p w14:paraId="7C3C4085">
            <w:pPr>
              <w:keepNext w:val="0"/>
              <w:keepLines w:val="0"/>
              <w:pageBreakBefore w:val="0"/>
              <w:kinsoku/>
              <w:wordWrap/>
              <w:overflowPunct/>
              <w:topLinePunct w:val="0"/>
              <w:bidi w:val="0"/>
              <w:spacing w:before="78" w:beforeLines="25" w:line="400" w:lineRule="exact"/>
              <w:jc w:val="center"/>
              <w:textAlignment w:val="auto"/>
              <w:rPr>
                <w:rFonts w:ascii="宋体" w:hAnsi="宋体"/>
                <w:color w:val="auto"/>
                <w:szCs w:val="21"/>
              </w:rPr>
            </w:pPr>
            <w:r>
              <w:rPr>
                <w:rFonts w:hint="eastAsia" w:ascii="宋体" w:hAnsi="宋体"/>
                <w:color w:val="auto"/>
                <w:szCs w:val="21"/>
              </w:rPr>
              <w:t>投标文件的签署</w:t>
            </w:r>
          </w:p>
        </w:tc>
        <w:tc>
          <w:tcPr>
            <w:tcW w:w="6674" w:type="dxa"/>
            <w:gridSpan w:val="2"/>
            <w:vAlign w:val="center"/>
          </w:tcPr>
          <w:p w14:paraId="5BB8EBEE">
            <w:pPr>
              <w:pStyle w:val="57"/>
              <w:keepNext w:val="0"/>
              <w:keepLines w:val="0"/>
              <w:pageBreakBefore w:val="0"/>
              <w:kinsoku/>
              <w:wordWrap/>
              <w:overflowPunct/>
              <w:topLinePunct w:val="0"/>
              <w:bidi w:val="0"/>
              <w:spacing w:line="400" w:lineRule="exact"/>
              <w:ind w:left="0" w:leftChars="0" w:firstLine="0" w:firstLineChars="0"/>
              <w:textAlignment w:val="auto"/>
              <w:rPr>
                <w:rFonts w:ascii="宋体" w:hAnsi="宋体"/>
                <w:color w:val="auto"/>
                <w:sz w:val="21"/>
                <w:szCs w:val="21"/>
              </w:rPr>
            </w:pPr>
            <w:r>
              <w:rPr>
                <w:rFonts w:hint="eastAsia" w:ascii="宋体" w:hAnsi="宋体"/>
                <w:color w:val="auto"/>
                <w:sz w:val="21"/>
                <w:szCs w:val="21"/>
              </w:rPr>
              <w:t>按照投标文件格式，采用单位和个人数字证书电子签章及电子签名：技术标投标文件（包括资格审查投标文件）需要企业、法定代表人电子签章及电子签名；商务标投标文件需要企业、法定代表人电子签章及电子签名。</w:t>
            </w:r>
          </w:p>
          <w:p w14:paraId="228FC821">
            <w:pPr>
              <w:pStyle w:val="57"/>
              <w:keepNext w:val="0"/>
              <w:keepLines w:val="0"/>
              <w:pageBreakBefore w:val="0"/>
              <w:kinsoku/>
              <w:wordWrap/>
              <w:overflowPunct/>
              <w:topLinePunct w:val="0"/>
              <w:bidi w:val="0"/>
              <w:spacing w:line="400" w:lineRule="exact"/>
              <w:ind w:left="0"/>
              <w:textAlignment w:val="auto"/>
              <w:rPr>
                <w:rFonts w:ascii="宋体" w:hAnsi="宋体"/>
                <w:b/>
                <w:bCs/>
                <w:color w:val="auto"/>
                <w:sz w:val="21"/>
                <w:szCs w:val="21"/>
              </w:rPr>
            </w:pPr>
            <w:r>
              <w:rPr>
                <w:rFonts w:hint="eastAsia" w:ascii="宋体" w:hAnsi="宋体"/>
                <w:b/>
                <w:bCs/>
                <w:color w:val="auto"/>
                <w:sz w:val="21"/>
                <w:szCs w:val="21"/>
              </w:rPr>
              <w:t>注：</w:t>
            </w:r>
          </w:p>
          <w:p w14:paraId="705F7C0C">
            <w:pPr>
              <w:pStyle w:val="57"/>
              <w:keepNext w:val="0"/>
              <w:keepLines w:val="0"/>
              <w:pageBreakBefore w:val="0"/>
              <w:kinsoku/>
              <w:wordWrap/>
              <w:overflowPunct/>
              <w:topLinePunct w:val="0"/>
              <w:bidi w:val="0"/>
              <w:spacing w:line="400" w:lineRule="exact"/>
              <w:ind w:left="0" w:firstLine="420" w:firstLineChars="200"/>
              <w:textAlignment w:val="auto"/>
              <w:rPr>
                <w:rFonts w:ascii="宋体" w:hAnsi="宋体"/>
                <w:color w:val="auto"/>
                <w:sz w:val="21"/>
                <w:szCs w:val="21"/>
              </w:rPr>
            </w:pPr>
            <w:r>
              <w:rPr>
                <w:rFonts w:hint="eastAsia" w:ascii="宋体" w:hAnsi="宋体"/>
                <w:color w:val="auto"/>
                <w:sz w:val="21"/>
                <w:szCs w:val="21"/>
              </w:rPr>
              <w:t>1.在需要电子签章的地方进行电子签章，无需逐页电子签章。</w:t>
            </w:r>
          </w:p>
          <w:p w14:paraId="6A1406DB">
            <w:pPr>
              <w:pStyle w:val="57"/>
              <w:keepNext w:val="0"/>
              <w:keepLines w:val="0"/>
              <w:pageBreakBefore w:val="0"/>
              <w:kinsoku/>
              <w:wordWrap/>
              <w:overflowPunct/>
              <w:topLinePunct w:val="0"/>
              <w:bidi w:val="0"/>
              <w:spacing w:line="400" w:lineRule="exact"/>
              <w:ind w:left="0" w:firstLine="420" w:firstLineChars="200"/>
              <w:textAlignment w:val="auto"/>
              <w:rPr>
                <w:rFonts w:ascii="宋体" w:hAnsi="宋体"/>
                <w:color w:val="auto"/>
                <w:sz w:val="21"/>
                <w:szCs w:val="21"/>
              </w:rPr>
            </w:pPr>
            <w:r>
              <w:rPr>
                <w:rFonts w:hint="eastAsia" w:ascii="宋体" w:hAnsi="宋体"/>
                <w:color w:val="auto"/>
                <w:sz w:val="21"/>
                <w:szCs w:val="21"/>
              </w:rPr>
              <w:t>2.如为联合体投标的，投标人签章均指联合体牵头人。</w:t>
            </w:r>
          </w:p>
          <w:p w14:paraId="7858A1B0">
            <w:pPr>
              <w:keepNext w:val="0"/>
              <w:keepLines w:val="0"/>
              <w:pageBreakBefore w:val="0"/>
              <w:kinsoku/>
              <w:wordWrap/>
              <w:overflowPunct/>
              <w:topLinePunct w:val="0"/>
              <w:bidi w:val="0"/>
              <w:spacing w:line="400" w:lineRule="exact"/>
              <w:ind w:firstLine="420" w:firstLineChars="200"/>
              <w:textAlignment w:val="auto"/>
              <w:rPr>
                <w:rFonts w:ascii="宋体" w:hAnsi="宋体"/>
                <w:b/>
                <w:color w:val="auto"/>
                <w:szCs w:val="21"/>
              </w:rPr>
            </w:pPr>
            <w:r>
              <w:rPr>
                <w:rFonts w:hint="eastAsia" w:ascii="宋体" w:hAnsi="宋体"/>
                <w:color w:val="auto"/>
                <w:szCs w:val="21"/>
              </w:rPr>
              <w:t>3.若为联合体投标，除联合体协议书外的其他资料只需盖联合体牵头人签章。</w:t>
            </w:r>
          </w:p>
        </w:tc>
      </w:tr>
      <w:tr w14:paraId="1E58EFB9">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446" w:hRule="atLeast"/>
          <w:jc w:val="center"/>
        </w:trPr>
        <w:tc>
          <w:tcPr>
            <w:tcW w:w="1001" w:type="dxa"/>
            <w:gridSpan w:val="2"/>
            <w:vAlign w:val="center"/>
          </w:tcPr>
          <w:p w14:paraId="69B554FA">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ascii="宋体" w:hAnsi="宋体"/>
                <w:color w:val="auto"/>
                <w:szCs w:val="21"/>
              </w:rPr>
              <w:t>1.17.3</w:t>
            </w:r>
          </w:p>
        </w:tc>
        <w:tc>
          <w:tcPr>
            <w:tcW w:w="1780" w:type="dxa"/>
            <w:vAlign w:val="center"/>
          </w:tcPr>
          <w:p w14:paraId="70B6A57E">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hint="eastAsia" w:ascii="宋体" w:hAnsi="宋体"/>
                <w:color w:val="auto"/>
                <w:szCs w:val="21"/>
              </w:rPr>
              <w:t>是否退还投标文件及</w:t>
            </w:r>
            <w:r>
              <w:rPr>
                <w:rFonts w:hint="eastAsia" w:ascii="宋体" w:hAnsi="宋体"/>
                <w:color w:val="auto"/>
                <w:szCs w:val="21"/>
                <w:lang w:val="en-US" w:eastAsia="zh-CN"/>
              </w:rPr>
              <w:t>勘察</w:t>
            </w:r>
            <w:r>
              <w:rPr>
                <w:rFonts w:hint="eastAsia" w:ascii="宋体" w:hAnsi="宋体"/>
                <w:color w:val="auto"/>
                <w:szCs w:val="21"/>
              </w:rPr>
              <w:t>设计成果</w:t>
            </w:r>
          </w:p>
        </w:tc>
        <w:tc>
          <w:tcPr>
            <w:tcW w:w="6674" w:type="dxa"/>
            <w:gridSpan w:val="2"/>
            <w:vAlign w:val="center"/>
          </w:tcPr>
          <w:p w14:paraId="133AEB35">
            <w:pPr>
              <w:keepNext w:val="0"/>
              <w:keepLines w:val="0"/>
              <w:pageBreakBefore w:val="0"/>
              <w:kinsoku/>
              <w:wordWrap/>
              <w:overflowPunct/>
              <w:topLinePunct w:val="0"/>
              <w:bidi w:val="0"/>
              <w:spacing w:line="400" w:lineRule="exact"/>
              <w:textAlignment w:val="auto"/>
              <w:rPr>
                <w:rFonts w:ascii="宋体" w:hAnsi="宋体"/>
                <w:color w:val="auto"/>
                <w:szCs w:val="21"/>
              </w:rPr>
            </w:pPr>
            <w:r>
              <w:rPr>
                <w:rFonts w:hint="eastAsia" w:ascii="宋体" w:hAnsi="宋体"/>
                <w:color w:val="auto"/>
                <w:szCs w:val="21"/>
              </w:rPr>
              <w:t>否</w:t>
            </w:r>
          </w:p>
        </w:tc>
      </w:tr>
      <w:tr w14:paraId="4421D1FE">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988" w:hRule="atLeast"/>
          <w:jc w:val="center"/>
        </w:trPr>
        <w:tc>
          <w:tcPr>
            <w:tcW w:w="1001" w:type="dxa"/>
            <w:gridSpan w:val="2"/>
            <w:vAlign w:val="center"/>
          </w:tcPr>
          <w:p w14:paraId="09EEC23F">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ascii="宋体" w:hAnsi="宋体"/>
                <w:color w:val="auto"/>
                <w:szCs w:val="21"/>
              </w:rPr>
              <w:t>1.18.1</w:t>
            </w:r>
          </w:p>
        </w:tc>
        <w:tc>
          <w:tcPr>
            <w:tcW w:w="1780" w:type="dxa"/>
            <w:vAlign w:val="center"/>
          </w:tcPr>
          <w:p w14:paraId="075D8FC6">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hint="eastAsia" w:ascii="宋体" w:hAnsi="宋体"/>
                <w:color w:val="auto"/>
                <w:szCs w:val="21"/>
              </w:rPr>
              <w:t>开标时间和地点</w:t>
            </w:r>
          </w:p>
        </w:tc>
        <w:tc>
          <w:tcPr>
            <w:tcW w:w="6674" w:type="dxa"/>
            <w:gridSpan w:val="2"/>
            <w:vAlign w:val="center"/>
          </w:tcPr>
          <w:p w14:paraId="2B82D4FF">
            <w:pPr>
              <w:keepNext w:val="0"/>
              <w:keepLines w:val="0"/>
              <w:pageBreakBefore w:val="0"/>
              <w:kinsoku/>
              <w:wordWrap/>
              <w:overflowPunct/>
              <w:topLinePunct w:val="0"/>
              <w:bidi w:val="0"/>
              <w:spacing w:line="400" w:lineRule="exact"/>
              <w:textAlignment w:val="auto"/>
              <w:rPr>
                <w:rFonts w:ascii="宋体" w:hAnsi="宋体"/>
                <w:color w:val="auto"/>
                <w:szCs w:val="21"/>
              </w:rPr>
            </w:pPr>
            <w:r>
              <w:rPr>
                <w:rFonts w:hint="eastAsia" w:ascii="宋体" w:hAnsi="宋体"/>
                <w:color w:val="auto"/>
                <w:szCs w:val="21"/>
              </w:rPr>
              <w:t>开标时间：同投标截止时间。</w:t>
            </w:r>
          </w:p>
          <w:p w14:paraId="5BD2E52F">
            <w:pPr>
              <w:keepNext w:val="0"/>
              <w:keepLines w:val="0"/>
              <w:pageBreakBefore w:val="0"/>
              <w:kinsoku/>
              <w:wordWrap/>
              <w:overflowPunct/>
              <w:topLinePunct w:val="0"/>
              <w:bidi w:val="0"/>
              <w:spacing w:line="400" w:lineRule="exact"/>
              <w:textAlignment w:val="auto"/>
              <w:rPr>
                <w:rFonts w:ascii="宋体" w:hAnsi="宋体"/>
                <w:color w:val="auto"/>
                <w:szCs w:val="21"/>
              </w:rPr>
            </w:pPr>
            <w:r>
              <w:rPr>
                <w:rFonts w:hint="eastAsia" w:ascii="宋体" w:hAnsi="宋体"/>
                <w:color w:val="auto"/>
                <w:szCs w:val="21"/>
              </w:rPr>
              <w:t>开标地点</w:t>
            </w:r>
            <w:r>
              <w:rPr>
                <w:rFonts w:hint="eastAsia" w:ascii="宋体" w:hAnsi="宋体"/>
                <w:color w:val="auto"/>
                <w:szCs w:val="21"/>
                <w:highlight w:val="none"/>
              </w:rPr>
              <w:t>：</w:t>
            </w:r>
            <w:r>
              <w:rPr>
                <w:rFonts w:hint="eastAsia" w:ascii="宋体" w:hAnsi="宋体"/>
                <w:b/>
                <w:color w:val="auto"/>
                <w:szCs w:val="21"/>
                <w:highlight w:val="none"/>
                <w:lang w:eastAsia="zh-CN"/>
              </w:rPr>
              <w:t>镇雄县公共资源交易中心</w:t>
            </w:r>
            <w:r>
              <w:rPr>
                <w:rFonts w:hint="eastAsia" w:ascii="宋体" w:hAnsi="宋体"/>
                <w:color w:val="auto"/>
                <w:szCs w:val="21"/>
                <w:highlight w:val="none"/>
              </w:rPr>
              <w:t>。</w:t>
            </w:r>
          </w:p>
        </w:tc>
      </w:tr>
      <w:tr w14:paraId="52A0E9D0">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897" w:hRule="atLeast"/>
          <w:jc w:val="center"/>
        </w:trPr>
        <w:tc>
          <w:tcPr>
            <w:tcW w:w="1001" w:type="dxa"/>
            <w:gridSpan w:val="2"/>
            <w:vAlign w:val="center"/>
          </w:tcPr>
          <w:p w14:paraId="5194B382">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ascii="宋体" w:hAnsi="宋体"/>
                <w:color w:val="auto"/>
                <w:szCs w:val="21"/>
              </w:rPr>
              <w:t>1.19.1</w:t>
            </w:r>
          </w:p>
        </w:tc>
        <w:tc>
          <w:tcPr>
            <w:tcW w:w="1780" w:type="dxa"/>
            <w:vAlign w:val="center"/>
          </w:tcPr>
          <w:p w14:paraId="1434573B">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hint="eastAsia" w:ascii="宋体" w:hAnsi="宋体"/>
                <w:color w:val="auto"/>
                <w:szCs w:val="21"/>
              </w:rPr>
              <w:t>评标委员会的组建</w:t>
            </w:r>
          </w:p>
        </w:tc>
        <w:tc>
          <w:tcPr>
            <w:tcW w:w="6674" w:type="dxa"/>
            <w:gridSpan w:val="2"/>
            <w:vAlign w:val="center"/>
          </w:tcPr>
          <w:p w14:paraId="119D55BA">
            <w:pPr>
              <w:keepNext w:val="0"/>
              <w:keepLines w:val="0"/>
              <w:pageBreakBefore w:val="0"/>
              <w:kinsoku/>
              <w:wordWrap/>
              <w:overflowPunct/>
              <w:topLinePunct w:val="0"/>
              <w:bidi w:val="0"/>
              <w:spacing w:line="400" w:lineRule="exact"/>
              <w:jc w:val="left"/>
              <w:textAlignment w:val="auto"/>
              <w:rPr>
                <w:rFonts w:ascii="宋体" w:hAnsi="宋体"/>
                <w:color w:val="auto"/>
                <w:szCs w:val="21"/>
              </w:rPr>
            </w:pPr>
            <w:r>
              <w:rPr>
                <w:rFonts w:hint="eastAsia" w:ascii="宋体" w:hAnsi="宋体"/>
                <w:color w:val="auto"/>
                <w:szCs w:val="21"/>
              </w:rPr>
              <w:t xml:space="preserve">评标委员会构成：云南省综合评标专家库中随机抽取 </w:t>
            </w:r>
            <w:r>
              <w:rPr>
                <w:rFonts w:hint="eastAsia" w:ascii="宋体" w:hAnsi="宋体"/>
                <w:color w:val="auto"/>
                <w:szCs w:val="21"/>
                <w:lang w:val="en-US" w:eastAsia="zh-CN"/>
              </w:rPr>
              <w:t>7</w:t>
            </w:r>
            <w:r>
              <w:rPr>
                <w:rFonts w:hint="eastAsia" w:ascii="宋体" w:hAnsi="宋体"/>
                <w:color w:val="auto"/>
                <w:szCs w:val="21"/>
              </w:rPr>
              <w:t>人，招标人代表</w:t>
            </w:r>
            <w:r>
              <w:rPr>
                <w:rFonts w:hint="eastAsia" w:ascii="宋体" w:hAnsi="宋体"/>
                <w:color w:val="auto"/>
                <w:szCs w:val="21"/>
                <w:lang w:val="en-US" w:eastAsia="zh-CN"/>
              </w:rPr>
              <w:t>2人，</w:t>
            </w:r>
            <w:r>
              <w:rPr>
                <w:rFonts w:hint="eastAsia" w:ascii="宋体" w:hAnsi="宋体"/>
                <w:color w:val="auto"/>
                <w:szCs w:val="21"/>
              </w:rPr>
              <w:t>招标人代表不得超过评标委员会总人数的三分之一。</w:t>
            </w:r>
          </w:p>
          <w:p w14:paraId="67C99137">
            <w:pPr>
              <w:keepNext w:val="0"/>
              <w:keepLines w:val="0"/>
              <w:pageBreakBefore w:val="0"/>
              <w:kinsoku/>
              <w:wordWrap/>
              <w:overflowPunct/>
              <w:topLinePunct w:val="0"/>
              <w:bidi w:val="0"/>
              <w:spacing w:line="400" w:lineRule="exact"/>
              <w:jc w:val="left"/>
              <w:textAlignment w:val="auto"/>
              <w:rPr>
                <w:rFonts w:ascii="宋体" w:hAnsi="宋体"/>
                <w:color w:val="auto"/>
                <w:szCs w:val="21"/>
              </w:rPr>
            </w:pPr>
            <w:r>
              <w:rPr>
                <w:rFonts w:hint="eastAsia" w:ascii="宋体" w:hAnsi="宋体"/>
                <w:color w:val="auto"/>
                <w:szCs w:val="21"/>
              </w:rPr>
              <w:t>评标专家确定方式：在云南省综合评标专家库中随机抽取。</w:t>
            </w:r>
          </w:p>
        </w:tc>
      </w:tr>
      <w:tr w14:paraId="6FDBA7B1">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897" w:hRule="atLeast"/>
          <w:jc w:val="center"/>
        </w:trPr>
        <w:tc>
          <w:tcPr>
            <w:tcW w:w="1001" w:type="dxa"/>
            <w:gridSpan w:val="2"/>
            <w:vAlign w:val="center"/>
          </w:tcPr>
          <w:p w14:paraId="387E64A5">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ascii="宋体" w:hAnsi="宋体"/>
                <w:color w:val="auto"/>
                <w:szCs w:val="21"/>
              </w:rPr>
              <w:t>1.20</w:t>
            </w:r>
            <w:r>
              <w:rPr>
                <w:rFonts w:hint="eastAsia" w:ascii="宋体" w:hAnsi="宋体"/>
                <w:color w:val="auto"/>
                <w:szCs w:val="21"/>
              </w:rPr>
              <w:t>.</w:t>
            </w:r>
            <w:r>
              <w:rPr>
                <w:rFonts w:ascii="宋体" w:hAnsi="宋体"/>
                <w:color w:val="auto"/>
                <w:szCs w:val="21"/>
              </w:rPr>
              <w:t>1</w:t>
            </w:r>
          </w:p>
        </w:tc>
        <w:tc>
          <w:tcPr>
            <w:tcW w:w="1780" w:type="dxa"/>
            <w:vAlign w:val="center"/>
          </w:tcPr>
          <w:p w14:paraId="723429A3">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hint="eastAsia" w:ascii="宋体" w:hAnsi="宋体"/>
                <w:color w:val="auto"/>
                <w:szCs w:val="21"/>
              </w:rPr>
              <w:t>评标办法</w:t>
            </w:r>
          </w:p>
        </w:tc>
        <w:tc>
          <w:tcPr>
            <w:tcW w:w="6674" w:type="dxa"/>
            <w:gridSpan w:val="2"/>
            <w:vAlign w:val="center"/>
          </w:tcPr>
          <w:p w14:paraId="52AF6DD6">
            <w:pPr>
              <w:keepNext w:val="0"/>
              <w:keepLines w:val="0"/>
              <w:pageBreakBefore w:val="0"/>
              <w:kinsoku/>
              <w:wordWrap/>
              <w:overflowPunct/>
              <w:topLinePunct w:val="0"/>
              <w:bidi w:val="0"/>
              <w:spacing w:line="400" w:lineRule="exact"/>
              <w:jc w:val="left"/>
              <w:textAlignment w:val="auto"/>
              <w:rPr>
                <w:rFonts w:ascii="宋体" w:hAnsi="宋体"/>
                <w:color w:val="auto"/>
                <w:szCs w:val="21"/>
              </w:rPr>
            </w:pPr>
            <w:r>
              <w:rPr>
                <w:rFonts w:hint="eastAsia" w:ascii="宋体" w:hAnsi="宋体"/>
                <w:color w:val="auto"/>
                <w:szCs w:val="21"/>
              </w:rPr>
              <w:t>综合评估法</w:t>
            </w:r>
          </w:p>
        </w:tc>
      </w:tr>
      <w:tr w14:paraId="3B630DA8">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897" w:hRule="atLeast"/>
          <w:jc w:val="center"/>
        </w:trPr>
        <w:tc>
          <w:tcPr>
            <w:tcW w:w="1001" w:type="dxa"/>
            <w:gridSpan w:val="2"/>
            <w:vAlign w:val="center"/>
          </w:tcPr>
          <w:p w14:paraId="2F57A08E">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ascii="宋体" w:hAnsi="宋体"/>
                <w:color w:val="auto"/>
                <w:szCs w:val="21"/>
              </w:rPr>
              <w:t>1.21.1</w:t>
            </w:r>
          </w:p>
        </w:tc>
        <w:tc>
          <w:tcPr>
            <w:tcW w:w="1780" w:type="dxa"/>
            <w:vAlign w:val="center"/>
          </w:tcPr>
          <w:p w14:paraId="210BCF20">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hint="eastAsia" w:ascii="宋体" w:hAnsi="宋体"/>
                <w:color w:val="auto"/>
                <w:szCs w:val="21"/>
              </w:rPr>
              <w:t>是否授权评标委员会确定中标人</w:t>
            </w:r>
          </w:p>
        </w:tc>
        <w:tc>
          <w:tcPr>
            <w:tcW w:w="6674" w:type="dxa"/>
            <w:gridSpan w:val="2"/>
            <w:vAlign w:val="center"/>
          </w:tcPr>
          <w:p w14:paraId="669E24F9">
            <w:pPr>
              <w:keepNext w:val="0"/>
              <w:keepLines w:val="0"/>
              <w:pageBreakBefore w:val="0"/>
              <w:kinsoku/>
              <w:wordWrap/>
              <w:overflowPunct/>
              <w:topLinePunct w:val="0"/>
              <w:bidi w:val="0"/>
              <w:spacing w:line="400" w:lineRule="exact"/>
              <w:textAlignment w:val="auto"/>
              <w:rPr>
                <w:rFonts w:ascii="宋体" w:hAnsi="宋体" w:cs="宋体"/>
                <w:color w:val="auto"/>
              </w:rPr>
            </w:pPr>
            <w:r>
              <w:rPr>
                <w:rFonts w:hint="eastAsia" w:ascii="宋体" w:hAnsi="宋体" w:cs="宋体"/>
                <w:color w:val="auto"/>
              </w:rPr>
              <w:t>否。推荐的中标候选人数：三名（并依次排序）</w:t>
            </w:r>
          </w:p>
          <w:p w14:paraId="499952D5">
            <w:pPr>
              <w:keepNext w:val="0"/>
              <w:keepLines w:val="0"/>
              <w:pageBreakBefore w:val="0"/>
              <w:kinsoku/>
              <w:wordWrap/>
              <w:overflowPunct/>
              <w:topLinePunct w:val="0"/>
              <w:bidi w:val="0"/>
              <w:spacing w:line="400" w:lineRule="exact"/>
              <w:textAlignment w:val="auto"/>
              <w:rPr>
                <w:rFonts w:ascii="宋体" w:hAnsi="宋体"/>
                <w:color w:val="auto"/>
                <w:szCs w:val="21"/>
              </w:rPr>
            </w:pPr>
            <w:r>
              <w:rPr>
                <w:rFonts w:hint="eastAsia" w:ascii="宋体" w:hAnsi="宋体" w:cs="宋体"/>
                <w:color w:val="auto"/>
              </w:rPr>
              <w:t>招标人根据评标委员会的评标报告确定排名第一的中标候选人为中标人。排名第一的中标候选人放弃中标、因不可抗力提出不能履行合同，或者招标文件规定应当提交履约保证金而在规定的期限内未能提交的，招标人可以确定排名第二的中标候选人为中标人依次类推或重新招标。</w:t>
            </w:r>
          </w:p>
        </w:tc>
      </w:tr>
      <w:tr w14:paraId="5AEDCC9E">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694" w:hRule="atLeast"/>
          <w:jc w:val="center"/>
        </w:trPr>
        <w:tc>
          <w:tcPr>
            <w:tcW w:w="1001" w:type="dxa"/>
            <w:gridSpan w:val="2"/>
            <w:vAlign w:val="center"/>
          </w:tcPr>
          <w:p w14:paraId="4A58840C">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ascii="宋体" w:hAnsi="宋体"/>
                <w:color w:val="auto"/>
                <w:szCs w:val="21"/>
              </w:rPr>
              <w:t>1.22</w:t>
            </w:r>
            <w:r>
              <w:rPr>
                <w:rFonts w:hint="eastAsia" w:ascii="宋体" w:hAnsi="宋体"/>
                <w:color w:val="auto"/>
                <w:szCs w:val="21"/>
              </w:rPr>
              <w:t>.2</w:t>
            </w:r>
          </w:p>
        </w:tc>
        <w:tc>
          <w:tcPr>
            <w:tcW w:w="1780" w:type="dxa"/>
            <w:vAlign w:val="center"/>
          </w:tcPr>
          <w:p w14:paraId="54EF30D1">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hint="eastAsia" w:ascii="宋体" w:hAnsi="宋体"/>
                <w:color w:val="auto"/>
                <w:szCs w:val="21"/>
              </w:rPr>
              <w:t>中标候选人公示媒介</w:t>
            </w:r>
          </w:p>
        </w:tc>
        <w:tc>
          <w:tcPr>
            <w:tcW w:w="6674" w:type="dxa"/>
            <w:gridSpan w:val="2"/>
            <w:vAlign w:val="center"/>
          </w:tcPr>
          <w:p w14:paraId="63F826A9">
            <w:pPr>
              <w:keepNext w:val="0"/>
              <w:keepLines w:val="0"/>
              <w:pageBreakBefore w:val="0"/>
              <w:kinsoku/>
              <w:wordWrap/>
              <w:overflowPunct/>
              <w:topLinePunct w:val="0"/>
              <w:bidi w:val="0"/>
              <w:spacing w:line="400" w:lineRule="exact"/>
              <w:textAlignment w:val="auto"/>
              <w:rPr>
                <w:rFonts w:ascii="宋体" w:hAnsi="宋体"/>
                <w:color w:val="auto"/>
                <w:szCs w:val="21"/>
              </w:rPr>
            </w:pPr>
            <w:r>
              <w:rPr>
                <w:rFonts w:hint="eastAsia" w:ascii="宋体" w:hAnsi="宋体"/>
                <w:color w:val="auto"/>
                <w:szCs w:val="21"/>
              </w:rPr>
              <w:t>发布招标</w:t>
            </w:r>
            <w:r>
              <w:rPr>
                <w:rFonts w:ascii="宋体" w:hAnsi="宋体"/>
                <w:color w:val="auto"/>
                <w:szCs w:val="21"/>
              </w:rPr>
              <w:t>公告的同一媒介</w:t>
            </w:r>
          </w:p>
        </w:tc>
      </w:tr>
      <w:tr w14:paraId="02486C99">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773" w:hRule="atLeast"/>
          <w:jc w:val="center"/>
        </w:trPr>
        <w:tc>
          <w:tcPr>
            <w:tcW w:w="1001" w:type="dxa"/>
            <w:gridSpan w:val="2"/>
            <w:vAlign w:val="center"/>
          </w:tcPr>
          <w:p w14:paraId="0032ADD3">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ascii="宋体" w:hAnsi="宋体"/>
                <w:color w:val="auto"/>
                <w:szCs w:val="21"/>
              </w:rPr>
              <w:t>1.22.3</w:t>
            </w:r>
          </w:p>
        </w:tc>
        <w:tc>
          <w:tcPr>
            <w:tcW w:w="1780" w:type="dxa"/>
            <w:vAlign w:val="center"/>
          </w:tcPr>
          <w:p w14:paraId="14B447E0">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hint="eastAsia" w:ascii="宋体" w:hAnsi="宋体"/>
                <w:color w:val="auto"/>
                <w:szCs w:val="21"/>
              </w:rPr>
              <w:t>履约担保</w:t>
            </w:r>
          </w:p>
        </w:tc>
        <w:tc>
          <w:tcPr>
            <w:tcW w:w="6674" w:type="dxa"/>
            <w:gridSpan w:val="2"/>
            <w:vAlign w:val="center"/>
          </w:tcPr>
          <w:p w14:paraId="682C8B43">
            <w:pPr>
              <w:keepNext w:val="0"/>
              <w:keepLines w:val="0"/>
              <w:pageBreakBefore w:val="0"/>
              <w:kinsoku/>
              <w:wordWrap/>
              <w:overflowPunct/>
              <w:topLinePunct w:val="0"/>
              <w:bidi w:val="0"/>
              <w:spacing w:line="400" w:lineRule="exact"/>
              <w:textAlignment w:val="auto"/>
              <w:rPr>
                <w:rFonts w:ascii="宋体" w:hAnsi="宋体"/>
                <w:color w:val="auto"/>
                <w:szCs w:val="21"/>
              </w:rPr>
            </w:pPr>
            <w:r>
              <w:rPr>
                <w:rFonts w:ascii="宋体" w:hAnsi="宋体"/>
                <w:color w:val="auto"/>
                <w:szCs w:val="21"/>
              </w:rPr>
              <w:t>向招标人指定账户缴纳</w:t>
            </w:r>
            <w:r>
              <w:rPr>
                <w:rFonts w:hint="eastAsia" w:ascii="宋体" w:hAnsi="宋体"/>
                <w:color w:val="auto"/>
                <w:szCs w:val="21"/>
                <w:lang w:val="en-US" w:eastAsia="zh-CN"/>
              </w:rPr>
              <w:t>暂估价</w:t>
            </w:r>
            <w:r>
              <w:rPr>
                <w:rFonts w:ascii="宋体" w:hAnsi="宋体"/>
                <w:color w:val="auto"/>
                <w:szCs w:val="21"/>
              </w:rPr>
              <w:t>金额5%的履约保证金，工程竣工验收合格后5个工作日内无息退还；可采用银行保函</w:t>
            </w:r>
            <w:r>
              <w:rPr>
                <w:rFonts w:hint="eastAsia" w:ascii="宋体" w:hAnsi="宋体"/>
                <w:color w:val="auto"/>
                <w:szCs w:val="21"/>
              </w:rPr>
              <w:t>或保证保险的</w:t>
            </w:r>
            <w:r>
              <w:rPr>
                <w:rFonts w:ascii="宋体" w:hAnsi="宋体"/>
                <w:color w:val="auto"/>
                <w:szCs w:val="21"/>
              </w:rPr>
              <w:t>形式</w:t>
            </w:r>
            <w:r>
              <w:rPr>
                <w:rFonts w:ascii="宋体" w:hAnsi="宋体"/>
                <w:color w:val="auto"/>
                <w:szCs w:val="21"/>
                <w:lang w:val="zh-TW" w:eastAsia="zh-TW"/>
              </w:rPr>
              <w:t>。</w:t>
            </w:r>
          </w:p>
        </w:tc>
      </w:tr>
      <w:tr w14:paraId="43D10787">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771" w:hRule="atLeast"/>
          <w:jc w:val="center"/>
        </w:trPr>
        <w:tc>
          <w:tcPr>
            <w:tcW w:w="1001" w:type="dxa"/>
            <w:gridSpan w:val="2"/>
            <w:vAlign w:val="center"/>
          </w:tcPr>
          <w:p w14:paraId="3A4B3365">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ascii="宋体" w:hAnsi="宋体"/>
                <w:color w:val="auto"/>
                <w:szCs w:val="21"/>
              </w:rPr>
              <w:t>1.22</w:t>
            </w:r>
            <w:r>
              <w:rPr>
                <w:rFonts w:hint="eastAsia" w:ascii="宋体" w:hAnsi="宋体"/>
                <w:color w:val="auto"/>
                <w:szCs w:val="21"/>
              </w:rPr>
              <w:t>.4</w:t>
            </w:r>
          </w:p>
        </w:tc>
        <w:tc>
          <w:tcPr>
            <w:tcW w:w="1780" w:type="dxa"/>
            <w:vAlign w:val="center"/>
          </w:tcPr>
          <w:p w14:paraId="1C45ADCC">
            <w:pPr>
              <w:keepNext w:val="0"/>
              <w:keepLines w:val="0"/>
              <w:pageBreakBefore w:val="0"/>
              <w:kinsoku/>
              <w:wordWrap/>
              <w:overflowPunct/>
              <w:topLinePunct w:val="0"/>
              <w:bidi w:val="0"/>
              <w:spacing w:line="400" w:lineRule="exact"/>
              <w:ind w:firstLine="420" w:firstLineChars="200"/>
              <w:textAlignment w:val="auto"/>
              <w:rPr>
                <w:rFonts w:ascii="宋体" w:hAnsi="宋体" w:cs="宋体"/>
                <w:color w:val="auto"/>
                <w:lang w:val="zh-TW"/>
              </w:rPr>
            </w:pPr>
            <w:r>
              <w:rPr>
                <w:rFonts w:hint="eastAsia" w:ascii="宋体" w:hAnsi="宋体" w:cs="宋体"/>
                <w:color w:val="auto"/>
                <w:lang w:val="zh-TW"/>
              </w:rPr>
              <w:t>付款方式</w:t>
            </w:r>
          </w:p>
        </w:tc>
        <w:tc>
          <w:tcPr>
            <w:tcW w:w="6674" w:type="dxa"/>
            <w:gridSpan w:val="2"/>
            <w:vAlign w:val="center"/>
          </w:tcPr>
          <w:p w14:paraId="3EB9F72F">
            <w:pPr>
              <w:keepNext w:val="0"/>
              <w:keepLines w:val="0"/>
              <w:pageBreakBefore w:val="0"/>
              <w:kinsoku/>
              <w:wordWrap/>
              <w:overflowPunct/>
              <w:topLinePunct w:val="0"/>
              <w:bidi w:val="0"/>
              <w:spacing w:line="400" w:lineRule="exact"/>
              <w:textAlignment w:val="auto"/>
              <w:rPr>
                <w:rFonts w:hint="default" w:ascii="宋体" w:hAnsi="宋体" w:eastAsia="宋体" w:cs="宋体"/>
                <w:color w:val="auto"/>
                <w:lang w:val="en-US" w:eastAsia="zh-CN"/>
              </w:rPr>
            </w:pPr>
            <w:r>
              <w:rPr>
                <w:rFonts w:hint="eastAsia" w:ascii="宋体" w:hAnsi="宋体" w:cs="宋体"/>
                <w:color w:val="auto"/>
                <w:lang w:val="en-US" w:eastAsia="zh-CN"/>
              </w:rPr>
              <w:t>合同双方按合同自行约定。</w:t>
            </w:r>
          </w:p>
        </w:tc>
      </w:tr>
      <w:tr w14:paraId="08C8703B">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773" w:hRule="atLeast"/>
          <w:jc w:val="center"/>
        </w:trPr>
        <w:tc>
          <w:tcPr>
            <w:tcW w:w="1001" w:type="dxa"/>
            <w:gridSpan w:val="2"/>
            <w:vAlign w:val="center"/>
          </w:tcPr>
          <w:p w14:paraId="4D641B42">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hint="eastAsia" w:ascii="宋体" w:hAnsi="宋体"/>
                <w:color w:val="auto"/>
                <w:szCs w:val="21"/>
              </w:rPr>
              <w:t>1.22.5</w:t>
            </w:r>
          </w:p>
        </w:tc>
        <w:tc>
          <w:tcPr>
            <w:tcW w:w="1780" w:type="dxa"/>
            <w:vAlign w:val="center"/>
          </w:tcPr>
          <w:p w14:paraId="1550A66F">
            <w:pPr>
              <w:keepNext w:val="0"/>
              <w:keepLines w:val="0"/>
              <w:pageBreakBefore w:val="0"/>
              <w:kinsoku/>
              <w:wordWrap/>
              <w:overflowPunct/>
              <w:topLinePunct w:val="0"/>
              <w:bidi w:val="0"/>
              <w:spacing w:line="400" w:lineRule="exact"/>
              <w:jc w:val="center"/>
              <w:textAlignment w:val="auto"/>
              <w:rPr>
                <w:rFonts w:ascii="宋体" w:hAnsi="宋体" w:cs="宋体"/>
                <w:color w:val="auto"/>
                <w:lang w:val="zh-TW"/>
              </w:rPr>
            </w:pPr>
            <w:r>
              <w:rPr>
                <w:rFonts w:hint="eastAsia" w:ascii="宋体" w:hAnsi="宋体" w:cs="宋体"/>
                <w:color w:val="auto"/>
              </w:rPr>
              <w:t>合同主要条款</w:t>
            </w:r>
          </w:p>
        </w:tc>
        <w:tc>
          <w:tcPr>
            <w:tcW w:w="6674" w:type="dxa"/>
            <w:gridSpan w:val="2"/>
            <w:vAlign w:val="center"/>
          </w:tcPr>
          <w:p w14:paraId="53D7F4D0">
            <w:pPr>
              <w:keepNext w:val="0"/>
              <w:keepLines w:val="0"/>
              <w:pageBreakBefore w:val="0"/>
              <w:kinsoku/>
              <w:wordWrap/>
              <w:overflowPunct/>
              <w:topLinePunct w:val="0"/>
              <w:bidi w:val="0"/>
              <w:spacing w:line="400" w:lineRule="exact"/>
              <w:textAlignment w:val="auto"/>
              <w:rPr>
                <w:rFonts w:ascii="宋体" w:hAnsi="宋体" w:cs="宋体"/>
                <w:color w:val="auto"/>
              </w:rPr>
            </w:pPr>
            <w:r>
              <w:rPr>
                <w:rFonts w:hint="eastAsia" w:ascii="宋体" w:hAnsi="宋体" w:cs="宋体"/>
                <w:color w:val="auto"/>
              </w:rPr>
              <w:t>（一）结算原则：采用《建设工程工程量清单计价规范》（GB50500-2013），执行《云南省住房和城乡建设厅关于</w:t>
            </w:r>
            <w:r>
              <w:rPr>
                <w:rFonts w:hint="eastAsia" w:ascii="宋体" w:hAnsi="宋体" w:cs="宋体"/>
                <w:color w:val="auto"/>
                <w:lang w:eastAsia="zh-CN"/>
              </w:rPr>
              <w:t>〈</w:t>
            </w:r>
            <w:r>
              <w:rPr>
                <w:rFonts w:hint="eastAsia" w:ascii="宋体" w:hAnsi="宋体" w:cs="宋体"/>
                <w:color w:val="auto"/>
              </w:rPr>
              <w:t>云南省建设工程造价计价标准（2020版）</w:t>
            </w:r>
            <w:r>
              <w:rPr>
                <w:rFonts w:hint="eastAsia" w:ascii="宋体" w:hAnsi="宋体" w:cs="宋体"/>
                <w:color w:val="auto"/>
                <w:lang w:eastAsia="zh-CN"/>
              </w:rPr>
              <w:t>〉</w:t>
            </w:r>
            <w:r>
              <w:rPr>
                <w:rFonts w:hint="eastAsia" w:ascii="宋体" w:hAnsi="宋体" w:cs="宋体"/>
                <w:color w:val="auto"/>
              </w:rPr>
              <w:t>发布实施的通知》（云建科〔2021〕15号）的相关配套定额及云南省现行计价调整文件。</w:t>
            </w:r>
          </w:p>
          <w:p w14:paraId="0C163A7F">
            <w:pPr>
              <w:keepNext w:val="0"/>
              <w:keepLines w:val="0"/>
              <w:pageBreakBefore w:val="0"/>
              <w:kinsoku/>
              <w:wordWrap/>
              <w:overflowPunct/>
              <w:topLinePunct w:val="0"/>
              <w:bidi w:val="0"/>
              <w:spacing w:line="400" w:lineRule="exact"/>
              <w:textAlignment w:val="auto"/>
              <w:rPr>
                <w:rFonts w:ascii="宋体" w:hAnsi="宋体" w:cs="宋体"/>
                <w:color w:val="auto"/>
              </w:rPr>
            </w:pPr>
            <w:r>
              <w:rPr>
                <w:rFonts w:hint="eastAsia" w:ascii="宋体" w:hAnsi="宋体" w:cs="宋体"/>
                <w:color w:val="auto"/>
              </w:rPr>
              <w:t>（二）费用的结算标准</w:t>
            </w:r>
          </w:p>
          <w:p w14:paraId="133E676F">
            <w:pPr>
              <w:keepNext w:val="0"/>
              <w:keepLines w:val="0"/>
              <w:pageBreakBefore w:val="0"/>
              <w:kinsoku/>
              <w:wordWrap/>
              <w:overflowPunct/>
              <w:topLinePunct w:val="0"/>
              <w:bidi w:val="0"/>
              <w:spacing w:line="400" w:lineRule="exact"/>
              <w:textAlignment w:val="auto"/>
              <w:rPr>
                <w:rFonts w:hint="eastAsia" w:ascii="宋体" w:hAnsi="宋体" w:cs="宋体"/>
                <w:color w:val="auto"/>
                <w:lang w:val="en-US" w:eastAsia="zh-CN"/>
              </w:rPr>
            </w:pPr>
            <w:r>
              <w:rPr>
                <w:rFonts w:hint="eastAsia" w:ascii="宋体" w:hAnsi="宋体" w:cs="宋体"/>
                <w:color w:val="auto"/>
                <w:lang w:eastAsia="zh-CN"/>
              </w:rPr>
              <w:t>1.</w:t>
            </w:r>
            <w:r>
              <w:rPr>
                <w:rFonts w:hint="eastAsia" w:ascii="宋体" w:hAnsi="宋体" w:cs="宋体"/>
                <w:color w:val="auto"/>
              </w:rPr>
              <w:t>勘察费用：根据《国家发展改革委关于进一步放开建设项目专业服务价格的通知》（发改价格〔2015〕299号）文件规定，参照《工程勘察设计收费管理规定》（计价格〔2002〕10号）并结合市场情况，按</w:t>
            </w:r>
            <w:r>
              <w:rPr>
                <w:rFonts w:hint="eastAsia" w:ascii="宋体" w:hAnsi="宋体" w:cs="宋体"/>
                <w:color w:val="auto"/>
                <w:lang w:val="en-US" w:eastAsia="zh-CN"/>
              </w:rPr>
              <w:t>最终审定的建安工程费</w:t>
            </w:r>
            <w:r>
              <w:rPr>
                <w:rFonts w:hint="eastAsia" w:ascii="宋体" w:hAnsi="宋体" w:cs="宋体"/>
                <w:color w:val="auto"/>
              </w:rPr>
              <w:t>报价</w:t>
            </w:r>
            <w:r>
              <w:rPr>
                <w:rFonts w:hint="eastAsia" w:ascii="宋体" w:hAnsi="宋体" w:cs="宋体"/>
                <w:color w:val="auto"/>
                <w:lang w:val="en-US" w:eastAsia="zh-CN"/>
              </w:rPr>
              <w:t>百分比</w:t>
            </w:r>
            <w:r>
              <w:rPr>
                <w:rFonts w:hint="eastAsia" w:ascii="宋体" w:hAnsi="宋体" w:cs="宋体"/>
                <w:color w:val="auto"/>
              </w:rPr>
              <w:t>进行结算。</w:t>
            </w:r>
          </w:p>
          <w:p w14:paraId="1F271B97">
            <w:pPr>
              <w:keepNext w:val="0"/>
              <w:keepLines w:val="0"/>
              <w:pageBreakBefore w:val="0"/>
              <w:kinsoku/>
              <w:wordWrap/>
              <w:overflowPunct/>
              <w:topLinePunct w:val="0"/>
              <w:bidi w:val="0"/>
              <w:spacing w:line="400" w:lineRule="exact"/>
              <w:textAlignment w:val="auto"/>
              <w:rPr>
                <w:rFonts w:hint="eastAsia" w:ascii="宋体" w:hAnsi="宋体" w:cs="宋体"/>
                <w:color w:val="auto"/>
              </w:rPr>
            </w:pPr>
            <w:r>
              <w:rPr>
                <w:rFonts w:hint="eastAsia" w:ascii="宋体" w:hAnsi="宋体" w:cs="宋体"/>
                <w:color w:val="auto"/>
                <w:lang w:val="en-US" w:eastAsia="zh-CN"/>
              </w:rPr>
              <w:t>2.</w:t>
            </w:r>
            <w:r>
              <w:rPr>
                <w:rFonts w:hint="eastAsia" w:ascii="宋体" w:hAnsi="宋体" w:cs="宋体"/>
                <w:color w:val="auto"/>
              </w:rPr>
              <w:t>设计费用最终结算价：根据《国家发展改革委关于进一步放开建设项目专业服务价格的通知》（发改价格〔2015〕299号）文件规定，参照《工程勘察设计收费管理规定》（计价格〔2002〕10号）并结合市场情况，</w:t>
            </w:r>
            <w:r>
              <w:rPr>
                <w:rFonts w:hint="eastAsia" w:ascii="宋体" w:hAnsi="宋体" w:cs="宋体"/>
                <w:color w:val="auto"/>
                <w:lang w:val="en-US" w:eastAsia="zh-CN"/>
              </w:rPr>
              <w:t>以最终审定的建安工程费为基准价，</w:t>
            </w:r>
            <w:r>
              <w:rPr>
                <w:rFonts w:hint="eastAsia" w:ascii="宋体" w:hAnsi="宋体" w:cs="宋体"/>
                <w:color w:val="auto"/>
              </w:rPr>
              <w:t>按中标优惠后费率报价</w:t>
            </w:r>
            <w:r>
              <w:rPr>
                <w:rFonts w:hint="eastAsia" w:ascii="宋体" w:hAnsi="宋体" w:cs="宋体"/>
                <w:color w:val="auto"/>
                <w:lang w:val="en-US" w:eastAsia="zh-CN"/>
              </w:rPr>
              <w:t>百分比</w:t>
            </w:r>
            <w:r>
              <w:rPr>
                <w:rFonts w:hint="eastAsia" w:ascii="宋体" w:hAnsi="宋体" w:cs="宋体"/>
                <w:color w:val="auto"/>
              </w:rPr>
              <w:t>进行结算。</w:t>
            </w:r>
          </w:p>
          <w:p w14:paraId="107EFCE8">
            <w:pPr>
              <w:keepNext w:val="0"/>
              <w:keepLines w:val="0"/>
              <w:pageBreakBefore w:val="0"/>
              <w:kinsoku/>
              <w:wordWrap/>
              <w:overflowPunct/>
              <w:topLinePunct w:val="0"/>
              <w:bidi w:val="0"/>
              <w:spacing w:line="400" w:lineRule="exact"/>
              <w:textAlignment w:val="auto"/>
              <w:rPr>
                <w:rFonts w:hint="eastAsia" w:ascii="宋体" w:hAnsi="宋体" w:cs="宋体"/>
                <w:color w:val="auto"/>
              </w:rPr>
            </w:pPr>
            <w:r>
              <w:rPr>
                <w:rFonts w:hint="eastAsia" w:ascii="宋体" w:hAnsi="宋体" w:cs="宋体"/>
                <w:color w:val="auto"/>
                <w:lang w:val="en-US" w:eastAsia="zh-CN"/>
              </w:rPr>
              <w:t>3.</w:t>
            </w:r>
            <w:r>
              <w:rPr>
                <w:rFonts w:hint="eastAsia" w:ascii="宋体" w:hAnsi="宋体" w:cs="宋体"/>
                <w:color w:val="auto"/>
              </w:rPr>
              <w:t>建安工程费用：房建和市政工程采用《建设工程工程量清单计价规范》（GB50500-2013），依据《云南省住房和城乡建设厅关于</w:t>
            </w:r>
            <w:r>
              <w:rPr>
                <w:rFonts w:hint="eastAsia" w:ascii="宋体" w:hAnsi="宋体" w:cs="宋体"/>
                <w:color w:val="auto"/>
                <w:lang w:eastAsia="zh-CN"/>
              </w:rPr>
              <w:t>〈</w:t>
            </w:r>
            <w:r>
              <w:rPr>
                <w:rFonts w:hint="eastAsia" w:ascii="宋体" w:hAnsi="宋体" w:cs="宋体"/>
                <w:color w:val="auto"/>
              </w:rPr>
              <w:t>云南省建设工程造价计价标准（2020版）</w:t>
            </w:r>
            <w:r>
              <w:rPr>
                <w:rFonts w:hint="eastAsia" w:ascii="宋体" w:hAnsi="宋体" w:cs="宋体"/>
                <w:color w:val="auto"/>
                <w:lang w:eastAsia="zh-CN"/>
              </w:rPr>
              <w:t>〉</w:t>
            </w:r>
            <w:r>
              <w:rPr>
                <w:rFonts w:hint="eastAsia" w:ascii="宋体" w:hAnsi="宋体" w:cs="宋体"/>
                <w:color w:val="auto"/>
              </w:rPr>
              <w:t>发布实施的通知》（云建科〔2021〕15号）的相关配套计价标准及云南省现行计价调整文件执行。主要材料价格确定：承包人采购的主材、辅材、安装材料、装饰装修材料、型材等相关材料价格参考《昭通市建设工程材料及设备价格信息》（</w:t>
            </w:r>
            <w:r>
              <w:rPr>
                <w:rFonts w:hint="eastAsia" w:ascii="宋体" w:hAnsi="宋体" w:cs="宋体"/>
                <w:color w:val="auto"/>
                <w:lang w:eastAsia="zh-CN"/>
              </w:rPr>
              <w:t>镇雄县基价</w:t>
            </w:r>
            <w:r>
              <w:rPr>
                <w:rFonts w:hint="eastAsia" w:ascii="宋体" w:hAnsi="宋体" w:cs="宋体"/>
                <w:color w:val="auto"/>
              </w:rPr>
              <w:t>）并结合市场行情执行；昭通市价格信息没有的参考《云南省建设工程材料及设备价格信息》并结合市场行情执行；以上价格信息没有的，建设前由建设、施工、监理、造价咨询等单位共同询价书面确定后再行实施。工程总承包单位依据建设单位确认的施工图，编制本项目工程量清单及施工图预算，经建设单位委托有资质的</w:t>
            </w:r>
            <w:r>
              <w:rPr>
                <w:rFonts w:hint="eastAsia" w:ascii="宋体" w:hAnsi="宋体" w:cs="宋体"/>
                <w:color w:val="auto"/>
                <w:lang w:eastAsia="zh-CN"/>
              </w:rPr>
              <w:t>全过程造价咨询</w:t>
            </w:r>
            <w:r>
              <w:rPr>
                <w:rFonts w:hint="eastAsia" w:ascii="宋体" w:hAnsi="宋体" w:cs="宋体"/>
                <w:color w:val="auto"/>
              </w:rPr>
              <w:t>服务单位审定后作为竣工结算依据和工程款支付依据之一。工程完工后，以</w:t>
            </w:r>
            <w:r>
              <w:rPr>
                <w:rFonts w:hint="eastAsia" w:ascii="宋体" w:hAnsi="宋体" w:cs="宋体"/>
                <w:color w:val="auto"/>
                <w:lang w:eastAsia="zh-CN"/>
              </w:rPr>
              <w:t>全过程造价咨询</w:t>
            </w:r>
            <w:r>
              <w:rPr>
                <w:rFonts w:hint="eastAsia" w:ascii="宋体" w:hAnsi="宋体" w:cs="宋体"/>
                <w:color w:val="auto"/>
              </w:rPr>
              <w:t>服务单位审定的竣工结算报第三方机构评审，按第三方机构审定的建安工程费用乘以工程总承包单位中标优惠后费率作为最终的工程竣工结算价。即建安工程费最终结算价=（经审定后的建安工程费用规费、税金、安全文明施工费等不可竞争费用）×中标优惠后费率+不可竞争费用</w:t>
            </w:r>
          </w:p>
          <w:p w14:paraId="4E6283A9">
            <w:pPr>
              <w:keepNext w:val="0"/>
              <w:keepLines w:val="0"/>
              <w:pageBreakBefore w:val="0"/>
              <w:kinsoku/>
              <w:wordWrap/>
              <w:overflowPunct/>
              <w:topLinePunct w:val="0"/>
              <w:bidi w:val="0"/>
              <w:spacing w:line="400" w:lineRule="exact"/>
              <w:textAlignment w:val="auto"/>
              <w:rPr>
                <w:rFonts w:hint="eastAsia" w:ascii="宋体" w:hAnsi="宋体" w:cs="宋体"/>
                <w:color w:val="auto"/>
              </w:rPr>
            </w:pPr>
            <w:r>
              <w:rPr>
                <w:rFonts w:hint="eastAsia" w:ascii="宋体" w:hAnsi="宋体" w:cs="宋体"/>
                <w:color w:val="auto"/>
                <w:lang w:eastAsia="zh-CN"/>
              </w:rPr>
              <w:t>4.</w:t>
            </w:r>
            <w:r>
              <w:rPr>
                <w:rFonts w:hint="eastAsia" w:ascii="宋体" w:hAnsi="宋体" w:cs="宋体"/>
                <w:color w:val="auto"/>
              </w:rPr>
              <w:t>违约责任：</w:t>
            </w:r>
          </w:p>
          <w:p w14:paraId="1B53F225">
            <w:pPr>
              <w:keepNext w:val="0"/>
              <w:keepLines w:val="0"/>
              <w:pageBreakBefore w:val="0"/>
              <w:kinsoku/>
              <w:wordWrap/>
              <w:overflowPunct/>
              <w:topLinePunct w:val="0"/>
              <w:bidi w:val="0"/>
              <w:spacing w:line="400" w:lineRule="exact"/>
              <w:textAlignment w:val="auto"/>
              <w:rPr>
                <w:rFonts w:hint="eastAsia" w:ascii="宋体" w:hAnsi="宋体" w:cs="宋体"/>
                <w:color w:val="auto"/>
              </w:rPr>
            </w:pPr>
            <w:r>
              <w:rPr>
                <w:rFonts w:hint="eastAsia" w:ascii="宋体" w:hAnsi="宋体" w:cs="宋体"/>
                <w:color w:val="auto"/>
              </w:rPr>
              <w:t xml:space="preserve">  （1）若中标结果公示后，中标人不能按照规定时限及要求同招标人签订合同的，视为主动放弃中标，招标人有权将中标通知书发给评标结果的第二中标候选人或者重新招标；合同签订后中标单位不能按照招标文件和合同规定的条件履行的，已签订合同视为无效，招标人有权将中标通知书发给评标结果的第二中标候选人或者重新招标。</w:t>
            </w:r>
          </w:p>
          <w:p w14:paraId="79F56079">
            <w:pPr>
              <w:pStyle w:val="66"/>
              <w:keepNext w:val="0"/>
              <w:keepLines w:val="0"/>
              <w:pageBreakBefore w:val="0"/>
              <w:kinsoku/>
              <w:wordWrap/>
              <w:overflowPunct/>
              <w:topLinePunct w:val="0"/>
              <w:bidi w:val="0"/>
              <w:spacing w:line="400" w:lineRule="exact"/>
              <w:ind w:firstLine="210" w:firstLineChars="0"/>
              <w:textAlignment w:val="auto"/>
              <w:rPr>
                <w:color w:val="auto"/>
              </w:rPr>
            </w:pPr>
            <w:r>
              <w:rPr>
                <w:rFonts w:hint="eastAsia" w:ascii="宋体" w:hAnsi="宋体" w:cs="宋体"/>
                <w:color w:val="auto"/>
                <w:sz w:val="21"/>
              </w:rPr>
              <w:t xml:space="preserve"> （2）若最后选定的工程总承包单位无正当理由造成工期延误的，应支付逾期竣工违约金，每天按工程投资的万分之一支付，工程总承包单位支付逾期竣工违约金，不免除工程总承包单位完成工程及修补缺陷的义务。如建设单位不履行合约的，同样执行违约金制，每天按工程投资的万分之一支付违约金。</w:t>
            </w:r>
          </w:p>
        </w:tc>
      </w:tr>
      <w:tr w14:paraId="6F362C25">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773" w:hRule="atLeast"/>
          <w:jc w:val="center"/>
        </w:trPr>
        <w:tc>
          <w:tcPr>
            <w:tcW w:w="1001" w:type="dxa"/>
            <w:gridSpan w:val="2"/>
            <w:vAlign w:val="center"/>
          </w:tcPr>
          <w:p w14:paraId="27F03A3B">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ascii="宋体" w:hAnsi="宋体"/>
                <w:color w:val="auto"/>
                <w:szCs w:val="21"/>
              </w:rPr>
              <w:t>1.22</w:t>
            </w:r>
            <w:r>
              <w:rPr>
                <w:rFonts w:hint="eastAsia" w:ascii="宋体" w:hAnsi="宋体"/>
                <w:color w:val="auto"/>
                <w:szCs w:val="21"/>
              </w:rPr>
              <w:t>.6</w:t>
            </w:r>
          </w:p>
        </w:tc>
        <w:tc>
          <w:tcPr>
            <w:tcW w:w="1780" w:type="dxa"/>
            <w:vAlign w:val="center"/>
          </w:tcPr>
          <w:p w14:paraId="008BE28F">
            <w:pPr>
              <w:keepNext w:val="0"/>
              <w:keepLines w:val="0"/>
              <w:pageBreakBefore w:val="0"/>
              <w:kinsoku/>
              <w:wordWrap/>
              <w:overflowPunct/>
              <w:topLinePunct w:val="0"/>
              <w:bidi w:val="0"/>
              <w:spacing w:line="400" w:lineRule="exact"/>
              <w:jc w:val="center"/>
              <w:textAlignment w:val="auto"/>
              <w:rPr>
                <w:rFonts w:ascii="宋体" w:hAnsi="宋体"/>
                <w:color w:val="auto"/>
                <w:szCs w:val="21"/>
              </w:rPr>
            </w:pPr>
            <w:r>
              <w:rPr>
                <w:rFonts w:hint="eastAsia" w:ascii="宋体" w:hAnsi="宋体"/>
                <w:color w:val="auto"/>
                <w:szCs w:val="21"/>
                <w:lang w:eastAsia="zh-CN"/>
              </w:rPr>
              <w:t>其他</w:t>
            </w:r>
            <w:r>
              <w:rPr>
                <w:rFonts w:hint="eastAsia" w:ascii="宋体" w:hAnsi="宋体"/>
                <w:color w:val="auto"/>
                <w:szCs w:val="21"/>
              </w:rPr>
              <w:t>说明</w:t>
            </w:r>
          </w:p>
        </w:tc>
        <w:tc>
          <w:tcPr>
            <w:tcW w:w="6674" w:type="dxa"/>
            <w:gridSpan w:val="2"/>
            <w:vAlign w:val="center"/>
          </w:tcPr>
          <w:p w14:paraId="507A0E18">
            <w:pPr>
              <w:pStyle w:val="2"/>
              <w:keepNext w:val="0"/>
              <w:keepLines w:val="0"/>
              <w:pageBreakBefore w:val="0"/>
              <w:numPr>
                <w:ilvl w:val="0"/>
                <w:numId w:val="0"/>
              </w:numPr>
              <w:kinsoku/>
              <w:wordWrap/>
              <w:overflowPunct/>
              <w:topLinePunct w:val="0"/>
              <w:bidi w:val="0"/>
              <w:spacing w:line="400" w:lineRule="exact"/>
              <w:textAlignment w:val="auto"/>
              <w:rPr>
                <w:rFonts w:hint="eastAsia" w:ascii="宋体" w:hAnsi="宋体" w:eastAsia="宋体" w:cs="宋体"/>
                <w:color w:val="auto"/>
                <w:kern w:val="2"/>
                <w:sz w:val="21"/>
                <w:szCs w:val="24"/>
                <w:lang w:val="en-US" w:eastAsia="zh-CN" w:bidi="ar-SA"/>
              </w:rPr>
            </w:pPr>
            <w:r>
              <w:rPr>
                <w:rFonts w:hint="eastAsia" w:ascii="宋体" w:hAnsi="宋体" w:cs="宋体"/>
                <w:color w:val="auto"/>
                <w:kern w:val="2"/>
                <w:sz w:val="21"/>
                <w:szCs w:val="24"/>
                <w:lang w:val="en-US" w:eastAsia="zh-CN" w:bidi="ar-SA"/>
              </w:rPr>
              <w:t>1.</w:t>
            </w:r>
            <w:r>
              <w:rPr>
                <w:rFonts w:hint="eastAsia" w:ascii="宋体" w:hAnsi="宋体" w:eastAsia="宋体" w:cs="宋体"/>
                <w:color w:val="auto"/>
                <w:kern w:val="2"/>
                <w:sz w:val="21"/>
                <w:szCs w:val="24"/>
                <w:lang w:val="en-US" w:eastAsia="zh-CN" w:bidi="ar-SA"/>
              </w:rPr>
              <w:t>招标人有对投标文件中所有资料信息进行核实和要求投标人进行澄清的权利，若在资格审查时或必要的调查过程中发现投标人有弄虚作假行为，将取消其投标资格或中标资格，并视情节严重情况将弄虚作假行为上报上级主管部门。在中标公示期间，招标人有权要求中标候选人补充提供相关证明材料，而各中标候选人未能按时提供或者拒绝的，招标人有</w:t>
            </w:r>
            <w:r>
              <w:rPr>
                <w:rFonts w:hint="eastAsia" w:ascii="宋体" w:hAnsi="宋体" w:cs="宋体"/>
                <w:color w:val="auto"/>
                <w:kern w:val="2"/>
                <w:sz w:val="21"/>
                <w:szCs w:val="24"/>
                <w:lang w:val="en-US" w:eastAsia="zh-CN" w:bidi="ar-SA"/>
              </w:rPr>
              <w:t>权</w:t>
            </w:r>
            <w:r>
              <w:rPr>
                <w:rFonts w:hint="eastAsia" w:ascii="宋体" w:hAnsi="宋体" w:eastAsia="宋体" w:cs="宋体"/>
                <w:color w:val="auto"/>
                <w:kern w:val="2"/>
                <w:sz w:val="21"/>
                <w:szCs w:val="24"/>
                <w:lang w:val="en-US" w:eastAsia="zh-CN" w:bidi="ar-SA"/>
              </w:rPr>
              <w:t>取消其中标候选人资格。</w:t>
            </w:r>
          </w:p>
          <w:p w14:paraId="57889EFF">
            <w:pPr>
              <w:pStyle w:val="2"/>
              <w:keepNext w:val="0"/>
              <w:keepLines w:val="0"/>
              <w:pageBreakBefore w:val="0"/>
              <w:numPr>
                <w:ilvl w:val="0"/>
                <w:numId w:val="0"/>
              </w:numPr>
              <w:kinsoku/>
              <w:wordWrap/>
              <w:overflowPunct/>
              <w:topLinePunct w:val="0"/>
              <w:bidi w:val="0"/>
              <w:spacing w:line="400" w:lineRule="exact"/>
              <w:textAlignment w:val="auto"/>
              <w:rPr>
                <w:rFonts w:hint="eastAsia" w:eastAsia="宋体"/>
                <w:color w:val="auto"/>
                <w:lang w:val="en-US" w:eastAsia="zh-CN"/>
              </w:rPr>
            </w:pPr>
            <w:r>
              <w:rPr>
                <w:rFonts w:hint="eastAsia" w:ascii="宋体" w:hAnsi="宋体" w:cs="宋体"/>
                <w:color w:val="auto"/>
                <w:kern w:val="2"/>
                <w:sz w:val="21"/>
                <w:szCs w:val="24"/>
                <w:lang w:val="en-US" w:eastAsia="zh-CN" w:bidi="ar-SA"/>
              </w:rPr>
              <w:t>2.</w:t>
            </w:r>
            <w:r>
              <w:rPr>
                <w:rFonts w:hint="eastAsia" w:ascii="宋体" w:hAnsi="宋体" w:eastAsia="宋体" w:cs="宋体"/>
                <w:color w:val="auto"/>
                <w:kern w:val="2"/>
                <w:sz w:val="21"/>
                <w:szCs w:val="24"/>
                <w:lang w:val="en-US" w:eastAsia="zh-CN" w:bidi="ar-SA"/>
              </w:rPr>
              <w:t>中标人在领取中标通知书时，须同时递交两份与网上上传的电子投标文件完全一致的纸质版的投标文件及一份未加密的电子版投标文件。</w:t>
            </w:r>
          </w:p>
        </w:tc>
      </w:tr>
      <w:tr w14:paraId="33F7743E">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455" w:type="dxa"/>
            <w:gridSpan w:val="5"/>
            <w:vAlign w:val="center"/>
          </w:tcPr>
          <w:p w14:paraId="0AE78DA0">
            <w:pPr>
              <w:keepNext w:val="0"/>
              <w:keepLines w:val="0"/>
              <w:pageBreakBefore w:val="0"/>
              <w:kinsoku/>
              <w:wordWrap/>
              <w:overflowPunct/>
              <w:topLinePunct w:val="0"/>
              <w:bidi w:val="0"/>
              <w:spacing w:line="400" w:lineRule="exact"/>
              <w:textAlignment w:val="auto"/>
              <w:rPr>
                <w:rFonts w:ascii="宋体" w:hAnsi="宋体"/>
                <w:color w:val="auto"/>
                <w:szCs w:val="21"/>
              </w:rPr>
            </w:pPr>
            <w:r>
              <w:rPr>
                <w:rFonts w:ascii="宋体" w:hAnsi="宋体"/>
                <w:color w:val="auto"/>
                <w:szCs w:val="21"/>
              </w:rPr>
              <w:t>1.2</w:t>
            </w:r>
            <w:r>
              <w:rPr>
                <w:rFonts w:hint="eastAsia" w:ascii="宋体" w:hAnsi="宋体"/>
                <w:color w:val="auto"/>
                <w:szCs w:val="21"/>
              </w:rPr>
              <w:t>3</w:t>
            </w:r>
            <w:r>
              <w:rPr>
                <w:rFonts w:ascii="宋体" w:hAnsi="宋体"/>
                <w:color w:val="auto"/>
                <w:szCs w:val="21"/>
              </w:rPr>
              <w:t>.1 计算机辅助评标</w:t>
            </w:r>
          </w:p>
        </w:tc>
      </w:tr>
      <w:tr w14:paraId="13036075">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294" w:hRule="atLeast"/>
          <w:jc w:val="center"/>
        </w:trPr>
        <w:tc>
          <w:tcPr>
            <w:tcW w:w="3061" w:type="dxa"/>
            <w:gridSpan w:val="4"/>
            <w:vAlign w:val="center"/>
          </w:tcPr>
          <w:p w14:paraId="27ADD16A">
            <w:pPr>
              <w:keepNext w:val="0"/>
              <w:keepLines w:val="0"/>
              <w:pageBreakBefore w:val="0"/>
              <w:kinsoku/>
              <w:wordWrap/>
              <w:overflowPunct/>
              <w:topLinePunct w:val="0"/>
              <w:bidi w:val="0"/>
              <w:spacing w:line="400" w:lineRule="exact"/>
              <w:textAlignment w:val="auto"/>
              <w:rPr>
                <w:rFonts w:ascii="宋体" w:hAnsi="宋体"/>
                <w:color w:val="auto"/>
                <w:szCs w:val="21"/>
              </w:rPr>
            </w:pPr>
            <w:r>
              <w:rPr>
                <w:rFonts w:ascii="宋体" w:hAnsi="宋体"/>
                <w:color w:val="auto"/>
                <w:szCs w:val="21"/>
              </w:rPr>
              <w:t>是否实行计算机辅助评标</w:t>
            </w:r>
          </w:p>
        </w:tc>
        <w:tc>
          <w:tcPr>
            <w:tcW w:w="6394" w:type="dxa"/>
            <w:vAlign w:val="center"/>
          </w:tcPr>
          <w:p w14:paraId="23ABB3DA">
            <w:pPr>
              <w:keepNext w:val="0"/>
              <w:keepLines w:val="0"/>
              <w:pageBreakBefore w:val="0"/>
              <w:kinsoku/>
              <w:wordWrap/>
              <w:overflowPunct/>
              <w:topLinePunct w:val="0"/>
              <w:bidi w:val="0"/>
              <w:spacing w:line="400" w:lineRule="exact"/>
              <w:jc w:val="left"/>
              <w:textAlignment w:val="auto"/>
              <w:rPr>
                <w:rFonts w:ascii="宋体" w:hAnsi="宋体"/>
                <w:color w:val="auto"/>
                <w:szCs w:val="21"/>
              </w:rPr>
            </w:pPr>
            <w:r>
              <w:rPr>
                <w:rFonts w:hint="eastAsia" w:ascii="宋体" w:hAnsi="宋体"/>
                <w:color w:val="auto"/>
                <w:szCs w:val="21"/>
              </w:rPr>
              <w:t>是</w:t>
            </w:r>
          </w:p>
        </w:tc>
      </w:tr>
      <w:tr w14:paraId="4A2CAB9B">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132" w:hRule="atLeast"/>
          <w:jc w:val="center"/>
        </w:trPr>
        <w:tc>
          <w:tcPr>
            <w:tcW w:w="9455" w:type="dxa"/>
            <w:gridSpan w:val="5"/>
            <w:vAlign w:val="center"/>
          </w:tcPr>
          <w:p w14:paraId="6637E2E6">
            <w:pPr>
              <w:pStyle w:val="57"/>
              <w:keepNext w:val="0"/>
              <w:keepLines w:val="0"/>
              <w:pageBreakBefore w:val="0"/>
              <w:kinsoku/>
              <w:wordWrap/>
              <w:overflowPunct/>
              <w:topLinePunct w:val="0"/>
              <w:bidi w:val="0"/>
              <w:spacing w:line="400" w:lineRule="exact"/>
              <w:ind w:left="0"/>
              <w:textAlignment w:val="auto"/>
              <w:rPr>
                <w:rFonts w:ascii="宋体" w:hAnsi="宋体"/>
                <w:color w:val="auto"/>
                <w:szCs w:val="21"/>
              </w:rPr>
            </w:pPr>
            <w:r>
              <w:rPr>
                <w:rFonts w:ascii="宋体" w:hAnsi="宋体"/>
                <w:color w:val="auto"/>
                <w:szCs w:val="21"/>
              </w:rPr>
              <w:t>1.2</w:t>
            </w:r>
            <w:r>
              <w:rPr>
                <w:rFonts w:hint="eastAsia" w:ascii="宋体" w:hAnsi="宋体"/>
                <w:color w:val="auto"/>
                <w:szCs w:val="21"/>
              </w:rPr>
              <w:t>4</w:t>
            </w:r>
            <w:r>
              <w:rPr>
                <w:rFonts w:ascii="宋体" w:hAnsi="宋体"/>
                <w:color w:val="auto"/>
                <w:szCs w:val="21"/>
              </w:rPr>
              <w:t>.1</w:t>
            </w:r>
            <w:r>
              <w:rPr>
                <w:rFonts w:hint="eastAsia" w:ascii="宋体" w:hAnsi="宋体"/>
                <w:color w:val="auto"/>
                <w:sz w:val="21"/>
                <w:szCs w:val="21"/>
              </w:rPr>
              <w:t>投标费用：</w:t>
            </w:r>
          </w:p>
        </w:tc>
      </w:tr>
      <w:bookmarkEnd w:id="28"/>
      <w:tr w14:paraId="33B4F2B7">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1845" w:hRule="atLeast"/>
          <w:jc w:val="center"/>
        </w:trPr>
        <w:tc>
          <w:tcPr>
            <w:tcW w:w="674" w:type="dxa"/>
            <w:vAlign w:val="center"/>
          </w:tcPr>
          <w:p w14:paraId="66D18758">
            <w:pPr>
              <w:keepNext w:val="0"/>
              <w:keepLines w:val="0"/>
              <w:pageBreakBefore w:val="0"/>
              <w:kinsoku/>
              <w:wordWrap/>
              <w:overflowPunct/>
              <w:topLinePunct w:val="0"/>
              <w:bidi w:val="0"/>
              <w:spacing w:line="400" w:lineRule="exact"/>
              <w:textAlignment w:val="auto"/>
              <w:rPr>
                <w:rFonts w:ascii="宋体" w:hAnsi="宋体"/>
                <w:color w:val="auto"/>
                <w:szCs w:val="21"/>
              </w:rPr>
            </w:pPr>
          </w:p>
        </w:tc>
        <w:tc>
          <w:tcPr>
            <w:tcW w:w="8781" w:type="dxa"/>
            <w:gridSpan w:val="4"/>
            <w:vAlign w:val="center"/>
          </w:tcPr>
          <w:p w14:paraId="09C2C750">
            <w:pPr>
              <w:keepNext w:val="0"/>
              <w:keepLines w:val="0"/>
              <w:pageBreakBefore w:val="0"/>
              <w:kinsoku/>
              <w:wordWrap/>
              <w:overflowPunct/>
              <w:topLinePunct w:val="0"/>
              <w:bidi w:val="0"/>
              <w:spacing w:line="400" w:lineRule="exact"/>
              <w:textAlignment w:val="auto"/>
              <w:rPr>
                <w:rFonts w:ascii="宋体" w:hAnsi="宋体"/>
                <w:color w:val="auto"/>
                <w:szCs w:val="21"/>
              </w:rPr>
            </w:pPr>
            <w:r>
              <w:rPr>
                <w:rFonts w:hint="eastAsia" w:ascii="宋体" w:hAnsi="宋体"/>
                <w:color w:val="auto"/>
                <w:szCs w:val="21"/>
              </w:rPr>
              <w:t>（1）投标人应承担其编制投标文件与递交投标文件所涉及的一切费用。不管投标结果如何，招标人对上述费用不承担任何责任。</w:t>
            </w:r>
          </w:p>
          <w:p w14:paraId="2FD9E02B">
            <w:pPr>
              <w:keepNext w:val="0"/>
              <w:keepLines w:val="0"/>
              <w:pageBreakBefore w:val="0"/>
              <w:kinsoku/>
              <w:wordWrap/>
              <w:overflowPunct/>
              <w:topLinePunct w:val="0"/>
              <w:bidi w:val="0"/>
              <w:spacing w:line="400" w:lineRule="exact"/>
              <w:textAlignment w:val="auto"/>
              <w:rPr>
                <w:rFonts w:ascii="宋体" w:hAnsi="宋体"/>
                <w:color w:val="auto"/>
                <w:sz w:val="15"/>
                <w:szCs w:val="15"/>
              </w:rPr>
            </w:pPr>
            <w:r>
              <w:rPr>
                <w:rFonts w:hint="eastAsia" w:ascii="宋体" w:hAnsi="宋体"/>
                <w:color w:val="auto"/>
                <w:szCs w:val="21"/>
              </w:rPr>
              <w:t>（2）招标代理服务费：本次招标工程的招标代理费</w:t>
            </w:r>
            <w:r>
              <w:rPr>
                <w:rFonts w:hint="eastAsia" w:ascii="宋体" w:hAnsi="宋体"/>
                <w:color w:val="auto"/>
                <w:szCs w:val="21"/>
                <w:lang w:val="en-US" w:eastAsia="zh-CN"/>
              </w:rPr>
              <w:t>依据“〔2026〕11号文《云南省建设工程及政府采购代理服务收费参考意见》”文件计算</w:t>
            </w:r>
            <w:r>
              <w:rPr>
                <w:rFonts w:hint="eastAsia" w:ascii="宋体" w:hAnsi="宋体"/>
                <w:color w:val="auto"/>
                <w:szCs w:val="21"/>
                <w:lang w:eastAsia="zh-CN"/>
              </w:rPr>
              <w:t>，</w:t>
            </w:r>
            <w:r>
              <w:rPr>
                <w:rFonts w:hint="eastAsia" w:ascii="宋体" w:hAnsi="宋体"/>
                <w:color w:val="auto"/>
                <w:szCs w:val="21"/>
                <w:lang w:val="en-US" w:eastAsia="zh-CN"/>
              </w:rPr>
              <w:t>根据招标人与招标代理机构签订的招标代理合同约定收取，招标代理费由中标人支付</w:t>
            </w:r>
            <w:r>
              <w:rPr>
                <w:rFonts w:hint="eastAsia" w:ascii="宋体" w:hAnsi="宋体"/>
                <w:color w:val="auto"/>
                <w:szCs w:val="21"/>
              </w:rPr>
              <w:t>。</w:t>
            </w:r>
          </w:p>
        </w:tc>
      </w:tr>
      <w:tr w14:paraId="79A527D6">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132" w:hRule="atLeast"/>
          <w:jc w:val="center"/>
        </w:trPr>
        <w:tc>
          <w:tcPr>
            <w:tcW w:w="9455" w:type="dxa"/>
            <w:gridSpan w:val="5"/>
            <w:vAlign w:val="center"/>
          </w:tcPr>
          <w:p w14:paraId="3B5D6BDE">
            <w:pPr>
              <w:keepNext w:val="0"/>
              <w:keepLines w:val="0"/>
              <w:pageBreakBefore w:val="0"/>
              <w:kinsoku/>
              <w:wordWrap/>
              <w:overflowPunct/>
              <w:topLinePunct w:val="0"/>
              <w:bidi w:val="0"/>
              <w:spacing w:line="400" w:lineRule="exact"/>
              <w:textAlignment w:val="auto"/>
              <w:rPr>
                <w:rFonts w:ascii="宋体" w:hAnsi="宋体"/>
                <w:color w:val="auto"/>
                <w:szCs w:val="21"/>
              </w:rPr>
            </w:pPr>
            <w:r>
              <w:rPr>
                <w:rFonts w:ascii="宋体" w:hAnsi="宋体"/>
                <w:color w:val="auto"/>
                <w:szCs w:val="21"/>
              </w:rPr>
              <w:t>1.25.2中标公示</w:t>
            </w:r>
          </w:p>
        </w:tc>
      </w:tr>
      <w:tr w14:paraId="210EA894">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132" w:hRule="atLeast"/>
          <w:jc w:val="center"/>
        </w:trPr>
        <w:tc>
          <w:tcPr>
            <w:tcW w:w="674" w:type="dxa"/>
            <w:vAlign w:val="center"/>
          </w:tcPr>
          <w:p w14:paraId="224A2926">
            <w:pPr>
              <w:keepNext w:val="0"/>
              <w:keepLines w:val="0"/>
              <w:pageBreakBefore w:val="0"/>
              <w:kinsoku/>
              <w:wordWrap/>
              <w:overflowPunct/>
              <w:topLinePunct w:val="0"/>
              <w:bidi w:val="0"/>
              <w:spacing w:line="400" w:lineRule="exact"/>
              <w:textAlignment w:val="auto"/>
              <w:rPr>
                <w:rFonts w:ascii="宋体" w:hAnsi="宋体"/>
                <w:color w:val="auto"/>
                <w:szCs w:val="21"/>
              </w:rPr>
            </w:pPr>
          </w:p>
        </w:tc>
        <w:tc>
          <w:tcPr>
            <w:tcW w:w="8781" w:type="dxa"/>
            <w:gridSpan w:val="4"/>
            <w:vAlign w:val="center"/>
          </w:tcPr>
          <w:p w14:paraId="0FC12B68">
            <w:pPr>
              <w:keepNext w:val="0"/>
              <w:keepLines w:val="0"/>
              <w:pageBreakBefore w:val="0"/>
              <w:kinsoku/>
              <w:wordWrap/>
              <w:overflowPunct/>
              <w:topLinePunct w:val="0"/>
              <w:bidi w:val="0"/>
              <w:spacing w:line="400" w:lineRule="exact"/>
              <w:textAlignment w:val="auto"/>
              <w:rPr>
                <w:rFonts w:ascii="宋体" w:hAnsi="宋体"/>
                <w:color w:val="auto"/>
                <w:szCs w:val="21"/>
              </w:rPr>
            </w:pPr>
            <w:r>
              <w:rPr>
                <w:rFonts w:ascii="宋体" w:hAnsi="宋体"/>
                <w:color w:val="auto"/>
                <w:szCs w:val="21"/>
              </w:rPr>
              <w:t>在中标通知书发出前，招标人将中标候选人的情况在本招标项目招标公告发布的同一媒介予以公示，公示期不少于3</w:t>
            </w:r>
            <w:r>
              <w:rPr>
                <w:rFonts w:hint="eastAsia" w:ascii="宋体" w:hAnsi="宋体"/>
                <w:color w:val="auto"/>
                <w:szCs w:val="21"/>
              </w:rPr>
              <w:t>个工作</w:t>
            </w:r>
            <w:r>
              <w:rPr>
                <w:rFonts w:ascii="宋体" w:hAnsi="宋体"/>
                <w:color w:val="auto"/>
                <w:szCs w:val="21"/>
              </w:rPr>
              <w:t>日。</w:t>
            </w:r>
          </w:p>
        </w:tc>
      </w:tr>
      <w:tr w14:paraId="1658908F">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132" w:hRule="atLeast"/>
          <w:jc w:val="center"/>
        </w:trPr>
        <w:tc>
          <w:tcPr>
            <w:tcW w:w="9455" w:type="dxa"/>
            <w:gridSpan w:val="5"/>
            <w:vAlign w:val="center"/>
          </w:tcPr>
          <w:p w14:paraId="16823509">
            <w:pPr>
              <w:keepNext w:val="0"/>
              <w:keepLines w:val="0"/>
              <w:pageBreakBefore w:val="0"/>
              <w:kinsoku/>
              <w:wordWrap/>
              <w:overflowPunct/>
              <w:topLinePunct w:val="0"/>
              <w:bidi w:val="0"/>
              <w:spacing w:line="400" w:lineRule="exact"/>
              <w:textAlignment w:val="auto"/>
              <w:rPr>
                <w:rFonts w:ascii="宋体" w:hAnsi="宋体"/>
                <w:color w:val="auto"/>
                <w:szCs w:val="21"/>
              </w:rPr>
            </w:pPr>
            <w:r>
              <w:rPr>
                <w:rFonts w:ascii="宋体" w:hAnsi="宋体"/>
                <w:color w:val="auto"/>
                <w:szCs w:val="21"/>
              </w:rPr>
              <w:t>1.25</w:t>
            </w:r>
            <w:r>
              <w:rPr>
                <w:rFonts w:hint="eastAsia" w:ascii="宋体" w:hAnsi="宋体"/>
                <w:color w:val="auto"/>
                <w:szCs w:val="21"/>
              </w:rPr>
              <w:t>.</w:t>
            </w:r>
            <w:r>
              <w:rPr>
                <w:rFonts w:ascii="宋体" w:hAnsi="宋体"/>
                <w:color w:val="auto"/>
                <w:szCs w:val="21"/>
              </w:rPr>
              <w:t>3</w:t>
            </w:r>
            <w:r>
              <w:rPr>
                <w:rFonts w:hint="eastAsia" w:ascii="宋体" w:hAnsi="宋体"/>
                <w:color w:val="auto"/>
                <w:szCs w:val="21"/>
              </w:rPr>
              <w:t>知识产权</w:t>
            </w:r>
          </w:p>
        </w:tc>
      </w:tr>
      <w:tr w14:paraId="19B7D326">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132" w:hRule="atLeast"/>
          <w:jc w:val="center"/>
        </w:trPr>
        <w:tc>
          <w:tcPr>
            <w:tcW w:w="674" w:type="dxa"/>
            <w:vAlign w:val="center"/>
          </w:tcPr>
          <w:p w14:paraId="317CC232">
            <w:pPr>
              <w:keepNext w:val="0"/>
              <w:keepLines w:val="0"/>
              <w:pageBreakBefore w:val="0"/>
              <w:kinsoku/>
              <w:wordWrap/>
              <w:overflowPunct/>
              <w:topLinePunct w:val="0"/>
              <w:bidi w:val="0"/>
              <w:spacing w:line="400" w:lineRule="exact"/>
              <w:textAlignment w:val="auto"/>
              <w:rPr>
                <w:rFonts w:ascii="宋体" w:hAnsi="宋体"/>
                <w:color w:val="auto"/>
                <w:szCs w:val="21"/>
              </w:rPr>
            </w:pPr>
          </w:p>
        </w:tc>
        <w:tc>
          <w:tcPr>
            <w:tcW w:w="8781" w:type="dxa"/>
            <w:gridSpan w:val="4"/>
            <w:vAlign w:val="center"/>
          </w:tcPr>
          <w:p w14:paraId="27530185">
            <w:pPr>
              <w:keepNext w:val="0"/>
              <w:keepLines w:val="0"/>
              <w:pageBreakBefore w:val="0"/>
              <w:kinsoku/>
              <w:wordWrap/>
              <w:overflowPunct/>
              <w:topLinePunct w:val="0"/>
              <w:bidi w:val="0"/>
              <w:spacing w:line="400" w:lineRule="exact"/>
              <w:textAlignment w:val="auto"/>
              <w:rPr>
                <w:rFonts w:ascii="宋体" w:hAnsi="宋体"/>
                <w:color w:val="auto"/>
                <w:szCs w:val="21"/>
              </w:rPr>
            </w:pPr>
            <w:r>
              <w:rPr>
                <w:rFonts w:hint="eastAsia" w:ascii="宋体" w:hAnsi="宋体"/>
                <w:color w:val="auto"/>
                <w:szCs w:val="21"/>
              </w:rPr>
              <w:t>构成本招标文件各个组成部分的文件，未经招标人书面同意，投标人不得擅自复印和用于非本招标项目所需的其他目的。招标人全部或者部分使用未中标人投标文件中的技术成果或技术方案时，需征得其书面同意，并不得擅自复印或提供给第三人。</w:t>
            </w:r>
          </w:p>
        </w:tc>
      </w:tr>
      <w:tr w14:paraId="3AFF902B">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132" w:hRule="atLeast"/>
          <w:jc w:val="center"/>
        </w:trPr>
        <w:tc>
          <w:tcPr>
            <w:tcW w:w="9455" w:type="dxa"/>
            <w:gridSpan w:val="5"/>
            <w:vAlign w:val="center"/>
          </w:tcPr>
          <w:p w14:paraId="4A97779F">
            <w:pPr>
              <w:keepNext w:val="0"/>
              <w:keepLines w:val="0"/>
              <w:pageBreakBefore w:val="0"/>
              <w:kinsoku/>
              <w:wordWrap/>
              <w:overflowPunct/>
              <w:topLinePunct w:val="0"/>
              <w:bidi w:val="0"/>
              <w:spacing w:line="400" w:lineRule="exact"/>
              <w:textAlignment w:val="auto"/>
              <w:rPr>
                <w:rFonts w:ascii="宋体" w:hAnsi="宋体"/>
                <w:color w:val="auto"/>
                <w:szCs w:val="21"/>
              </w:rPr>
            </w:pPr>
            <w:r>
              <w:rPr>
                <w:rFonts w:ascii="宋体" w:hAnsi="宋体"/>
                <w:color w:val="auto"/>
                <w:szCs w:val="21"/>
              </w:rPr>
              <w:t>1.25.4同义词语</w:t>
            </w:r>
          </w:p>
        </w:tc>
      </w:tr>
      <w:tr w14:paraId="587C6723">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PrEx>
        <w:trPr>
          <w:trHeight w:val="1375" w:hRule="atLeast"/>
          <w:jc w:val="center"/>
        </w:trPr>
        <w:tc>
          <w:tcPr>
            <w:tcW w:w="674" w:type="dxa"/>
            <w:vAlign w:val="center"/>
          </w:tcPr>
          <w:p w14:paraId="1D05D6E0">
            <w:pPr>
              <w:keepNext w:val="0"/>
              <w:keepLines w:val="0"/>
              <w:pageBreakBefore w:val="0"/>
              <w:kinsoku/>
              <w:wordWrap/>
              <w:overflowPunct/>
              <w:topLinePunct w:val="0"/>
              <w:bidi w:val="0"/>
              <w:spacing w:line="400" w:lineRule="exact"/>
              <w:textAlignment w:val="auto"/>
              <w:rPr>
                <w:rFonts w:ascii="宋体" w:hAnsi="宋体"/>
                <w:color w:val="auto"/>
                <w:szCs w:val="21"/>
              </w:rPr>
            </w:pPr>
          </w:p>
        </w:tc>
        <w:tc>
          <w:tcPr>
            <w:tcW w:w="8781" w:type="dxa"/>
            <w:gridSpan w:val="4"/>
            <w:vAlign w:val="center"/>
          </w:tcPr>
          <w:p w14:paraId="7AB752B0">
            <w:pPr>
              <w:keepNext w:val="0"/>
              <w:keepLines w:val="0"/>
              <w:pageBreakBefore w:val="0"/>
              <w:kinsoku/>
              <w:wordWrap/>
              <w:overflowPunct/>
              <w:topLinePunct w:val="0"/>
              <w:bidi w:val="0"/>
              <w:spacing w:line="400" w:lineRule="exact"/>
              <w:textAlignment w:val="auto"/>
              <w:rPr>
                <w:rFonts w:ascii="宋体" w:hAnsi="宋体"/>
                <w:color w:val="auto"/>
                <w:szCs w:val="21"/>
              </w:rPr>
            </w:pPr>
            <w:r>
              <w:rPr>
                <w:rFonts w:ascii="宋体" w:hAnsi="宋体"/>
                <w:color w:val="auto"/>
                <w:szCs w:val="21"/>
              </w:rPr>
              <w:t>构成招标文件组成部分的“通用合同条款</w:t>
            </w:r>
            <w:r>
              <w:rPr>
                <w:rFonts w:hint="eastAsia" w:ascii="宋体" w:hAnsi="宋体"/>
                <w:color w:val="auto"/>
                <w:szCs w:val="21"/>
                <w:lang w:eastAsia="zh-CN"/>
              </w:rPr>
              <w:t>”“</w:t>
            </w:r>
            <w:r>
              <w:rPr>
                <w:rFonts w:ascii="宋体" w:hAnsi="宋体"/>
                <w:color w:val="auto"/>
                <w:szCs w:val="21"/>
              </w:rPr>
              <w:t>专用合同条款</w:t>
            </w:r>
            <w:r>
              <w:rPr>
                <w:rFonts w:hint="eastAsia" w:ascii="宋体" w:hAnsi="宋体"/>
                <w:color w:val="auto"/>
                <w:szCs w:val="21"/>
                <w:lang w:eastAsia="zh-CN"/>
              </w:rPr>
              <w:t>”“</w:t>
            </w:r>
            <w:r>
              <w:rPr>
                <w:rFonts w:ascii="宋体" w:hAnsi="宋体"/>
                <w:color w:val="auto"/>
                <w:szCs w:val="21"/>
              </w:rPr>
              <w:t>技术标准和要求”等章节中出现的措辞“发包人”和“承包人”，在招标投标阶段应当分别按“招标人”和“投标人”进行理解。</w:t>
            </w:r>
          </w:p>
        </w:tc>
      </w:tr>
      <w:tr w14:paraId="773E0ADA">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132" w:hRule="atLeast"/>
          <w:jc w:val="center"/>
        </w:trPr>
        <w:tc>
          <w:tcPr>
            <w:tcW w:w="9455" w:type="dxa"/>
            <w:gridSpan w:val="5"/>
            <w:vAlign w:val="center"/>
          </w:tcPr>
          <w:p w14:paraId="4A1D8A13">
            <w:pPr>
              <w:keepNext w:val="0"/>
              <w:keepLines w:val="0"/>
              <w:pageBreakBefore w:val="0"/>
              <w:kinsoku/>
              <w:wordWrap/>
              <w:overflowPunct/>
              <w:topLinePunct w:val="0"/>
              <w:bidi w:val="0"/>
              <w:spacing w:line="400" w:lineRule="exact"/>
              <w:textAlignment w:val="auto"/>
              <w:rPr>
                <w:rFonts w:ascii="宋体" w:hAnsi="宋体"/>
                <w:color w:val="auto"/>
                <w:szCs w:val="21"/>
              </w:rPr>
            </w:pPr>
            <w:r>
              <w:rPr>
                <w:rFonts w:ascii="宋体" w:hAnsi="宋体"/>
                <w:color w:val="auto"/>
                <w:szCs w:val="21"/>
              </w:rPr>
              <w:t>1.25.5监督</w:t>
            </w:r>
          </w:p>
        </w:tc>
      </w:tr>
      <w:tr w14:paraId="302C90CB">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1086" w:hRule="atLeast"/>
          <w:jc w:val="center"/>
        </w:trPr>
        <w:tc>
          <w:tcPr>
            <w:tcW w:w="674" w:type="dxa"/>
            <w:vAlign w:val="center"/>
          </w:tcPr>
          <w:p w14:paraId="5A2D7139">
            <w:pPr>
              <w:keepNext w:val="0"/>
              <w:keepLines w:val="0"/>
              <w:pageBreakBefore w:val="0"/>
              <w:kinsoku/>
              <w:wordWrap/>
              <w:overflowPunct/>
              <w:topLinePunct w:val="0"/>
              <w:bidi w:val="0"/>
              <w:spacing w:line="400" w:lineRule="exact"/>
              <w:textAlignment w:val="auto"/>
              <w:rPr>
                <w:rFonts w:ascii="宋体" w:hAnsi="宋体"/>
                <w:color w:val="auto"/>
                <w:szCs w:val="21"/>
              </w:rPr>
            </w:pPr>
          </w:p>
        </w:tc>
        <w:tc>
          <w:tcPr>
            <w:tcW w:w="8781" w:type="dxa"/>
            <w:gridSpan w:val="4"/>
            <w:vAlign w:val="center"/>
          </w:tcPr>
          <w:p w14:paraId="020AE86C">
            <w:pPr>
              <w:keepNext w:val="0"/>
              <w:keepLines w:val="0"/>
              <w:pageBreakBefore w:val="0"/>
              <w:kinsoku/>
              <w:wordWrap/>
              <w:overflowPunct/>
              <w:topLinePunct w:val="0"/>
              <w:bidi w:val="0"/>
              <w:spacing w:line="400" w:lineRule="exact"/>
              <w:ind w:right="36" w:rightChars="17"/>
              <w:textAlignment w:val="auto"/>
              <w:rPr>
                <w:rFonts w:ascii="宋体" w:hAnsi="宋体"/>
                <w:color w:val="auto"/>
                <w:szCs w:val="21"/>
              </w:rPr>
            </w:pPr>
            <w:r>
              <w:rPr>
                <w:rFonts w:hint="eastAsia" w:ascii="宋体" w:hAnsi="宋体"/>
                <w:color w:val="auto"/>
                <w:szCs w:val="21"/>
              </w:rPr>
              <w:t>本项目的招标投标活动及其相关当事人接受有管辖权的建设工程招标投标行政监督部门依法实施的监督</w:t>
            </w:r>
            <w:r>
              <w:rPr>
                <w:rFonts w:ascii="宋体" w:hAnsi="宋体"/>
                <w:color w:val="auto"/>
                <w:szCs w:val="21"/>
              </w:rPr>
              <w:t>。</w:t>
            </w:r>
          </w:p>
        </w:tc>
      </w:tr>
      <w:tr w14:paraId="0C4330E9">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132" w:hRule="atLeast"/>
          <w:jc w:val="center"/>
        </w:trPr>
        <w:tc>
          <w:tcPr>
            <w:tcW w:w="9455" w:type="dxa"/>
            <w:gridSpan w:val="5"/>
            <w:vAlign w:val="center"/>
          </w:tcPr>
          <w:p w14:paraId="7076915C">
            <w:pPr>
              <w:keepNext w:val="0"/>
              <w:keepLines w:val="0"/>
              <w:pageBreakBefore w:val="0"/>
              <w:kinsoku/>
              <w:wordWrap/>
              <w:overflowPunct/>
              <w:topLinePunct w:val="0"/>
              <w:bidi w:val="0"/>
              <w:spacing w:line="400" w:lineRule="exact"/>
              <w:textAlignment w:val="auto"/>
              <w:rPr>
                <w:rFonts w:ascii="宋体" w:hAnsi="宋体"/>
                <w:color w:val="auto"/>
                <w:szCs w:val="21"/>
              </w:rPr>
            </w:pPr>
            <w:r>
              <w:rPr>
                <w:rFonts w:ascii="宋体" w:hAnsi="宋体"/>
                <w:color w:val="auto"/>
                <w:szCs w:val="21"/>
              </w:rPr>
              <w:t>1.25.6解释权</w:t>
            </w:r>
          </w:p>
        </w:tc>
      </w:tr>
      <w:tr w14:paraId="2D421646">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2850" w:hRule="atLeast"/>
          <w:jc w:val="center"/>
        </w:trPr>
        <w:tc>
          <w:tcPr>
            <w:tcW w:w="674" w:type="dxa"/>
            <w:vAlign w:val="center"/>
          </w:tcPr>
          <w:p w14:paraId="207EED4B">
            <w:pPr>
              <w:keepNext w:val="0"/>
              <w:keepLines w:val="0"/>
              <w:pageBreakBefore w:val="0"/>
              <w:kinsoku/>
              <w:wordWrap/>
              <w:overflowPunct/>
              <w:topLinePunct w:val="0"/>
              <w:bidi w:val="0"/>
              <w:spacing w:line="400" w:lineRule="exact"/>
              <w:textAlignment w:val="auto"/>
              <w:rPr>
                <w:rFonts w:ascii="宋体" w:hAnsi="宋体"/>
                <w:color w:val="auto"/>
                <w:szCs w:val="21"/>
              </w:rPr>
            </w:pPr>
          </w:p>
        </w:tc>
        <w:tc>
          <w:tcPr>
            <w:tcW w:w="8781" w:type="dxa"/>
            <w:gridSpan w:val="4"/>
            <w:vAlign w:val="center"/>
          </w:tcPr>
          <w:p w14:paraId="02DB9E93">
            <w:pPr>
              <w:keepNext w:val="0"/>
              <w:keepLines w:val="0"/>
              <w:pageBreakBefore w:val="0"/>
              <w:kinsoku/>
              <w:wordWrap/>
              <w:overflowPunct/>
              <w:topLinePunct w:val="0"/>
              <w:bidi w:val="0"/>
              <w:spacing w:line="400" w:lineRule="exact"/>
              <w:textAlignment w:val="auto"/>
              <w:rPr>
                <w:rFonts w:ascii="宋体" w:hAnsi="宋体"/>
                <w:color w:val="auto"/>
                <w:szCs w:val="21"/>
              </w:rPr>
            </w:pPr>
            <w:r>
              <w:rPr>
                <w:rFonts w:ascii="宋体" w:hAnsi="宋体"/>
                <w:color w:val="auto"/>
                <w:szCs w:val="21"/>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w:t>
            </w:r>
            <w:r>
              <w:rPr>
                <w:rFonts w:hint="eastAsia" w:ascii="宋体" w:hAnsi="宋体"/>
                <w:color w:val="auto"/>
                <w:szCs w:val="21"/>
                <w:lang w:eastAsia="zh-CN"/>
              </w:rPr>
              <w:t>（</w:t>
            </w:r>
            <w:r>
              <w:rPr>
                <w:rFonts w:ascii="宋体" w:hAnsi="宋体"/>
                <w:color w:val="auto"/>
                <w:szCs w:val="21"/>
              </w:rPr>
              <w:t>投标邀请书</w:t>
            </w:r>
            <w:r>
              <w:rPr>
                <w:rFonts w:hint="eastAsia" w:ascii="宋体" w:hAnsi="宋体"/>
                <w:color w:val="auto"/>
                <w:szCs w:val="21"/>
                <w:lang w:eastAsia="zh-CN"/>
              </w:rPr>
              <w:t>）</w:t>
            </w:r>
            <w:r>
              <w:rPr>
                <w:rFonts w:ascii="宋体" w:hAnsi="宋体"/>
                <w:color w:val="auto"/>
                <w:szCs w:val="21"/>
              </w:rPr>
              <w:t>、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招标人负责解释。</w:t>
            </w:r>
          </w:p>
        </w:tc>
      </w:tr>
      <w:bookmarkEnd w:id="35"/>
    </w:tbl>
    <w:p w14:paraId="06D62DFC">
      <w:pPr>
        <w:pStyle w:val="5"/>
        <w:spacing w:before="156"/>
        <w:rPr>
          <w:color w:val="auto"/>
        </w:rPr>
      </w:pPr>
      <w:bookmarkStart w:id="37" w:name="_Toc85443480"/>
      <w:bookmarkStart w:id="38" w:name="_Toc19379"/>
      <w:bookmarkStart w:id="39" w:name="_Toc449518379"/>
      <w:bookmarkStart w:id="40" w:name="_Toc23493"/>
      <w:bookmarkStart w:id="41" w:name="_Toc184635071"/>
      <w:r>
        <w:rPr>
          <w:rFonts w:hint="eastAsia"/>
          <w:color w:val="auto"/>
          <w:lang w:eastAsia="zh-CN"/>
        </w:rPr>
        <w:t>1.</w:t>
      </w:r>
      <w:r>
        <w:rPr>
          <w:rFonts w:hint="eastAsia"/>
          <w:color w:val="auto"/>
        </w:rPr>
        <w:t>总则</w:t>
      </w:r>
      <w:bookmarkEnd w:id="37"/>
      <w:bookmarkEnd w:id="38"/>
      <w:bookmarkEnd w:id="39"/>
      <w:bookmarkEnd w:id="40"/>
      <w:bookmarkEnd w:id="41"/>
    </w:p>
    <w:p w14:paraId="7086D2AB">
      <w:pPr>
        <w:pStyle w:val="6"/>
        <w:rPr>
          <w:rFonts w:hAnsi="宋体"/>
          <w:color w:val="auto"/>
        </w:rPr>
      </w:pPr>
      <w:r>
        <w:rPr>
          <w:rFonts w:hint="eastAsia" w:hAnsi="宋体"/>
          <w:color w:val="auto"/>
        </w:rPr>
        <w:t>1.1 项目概况</w:t>
      </w:r>
    </w:p>
    <w:p w14:paraId="10AAF0B5">
      <w:pPr>
        <w:spacing w:line="360" w:lineRule="auto"/>
        <w:ind w:firstLine="420" w:firstLineChars="200"/>
        <w:rPr>
          <w:rFonts w:ascii="宋体" w:hAnsi="宋体"/>
          <w:color w:val="auto"/>
          <w:szCs w:val="21"/>
        </w:rPr>
      </w:pPr>
      <w:r>
        <w:rPr>
          <w:rFonts w:hint="eastAsia" w:ascii="宋体" w:hAnsi="宋体"/>
          <w:color w:val="auto"/>
          <w:szCs w:val="21"/>
        </w:rPr>
        <w:t>1.1.1根据《中华人民共和国招标投标法》等有关</w:t>
      </w:r>
      <w:r>
        <w:rPr>
          <w:rFonts w:hint="eastAsia" w:ascii="宋体" w:hAnsi="宋体"/>
          <w:color w:val="auto"/>
          <w:szCs w:val="21"/>
          <w:lang w:eastAsia="zh-CN"/>
        </w:rPr>
        <w:t>法律法规</w:t>
      </w:r>
      <w:r>
        <w:rPr>
          <w:rFonts w:hint="eastAsia" w:ascii="宋体" w:hAnsi="宋体"/>
          <w:color w:val="auto"/>
          <w:szCs w:val="21"/>
        </w:rPr>
        <w:t>和规章的规定，本招标项目已具备招标条件，现对该项目勘察、设计、施工进行总承包招标。</w:t>
      </w:r>
    </w:p>
    <w:p w14:paraId="0B192FED">
      <w:pPr>
        <w:spacing w:line="360" w:lineRule="auto"/>
        <w:ind w:firstLine="420" w:firstLineChars="200"/>
        <w:rPr>
          <w:rFonts w:ascii="宋体" w:hAnsi="宋体"/>
          <w:color w:val="auto"/>
          <w:szCs w:val="21"/>
        </w:rPr>
      </w:pPr>
      <w:r>
        <w:rPr>
          <w:rFonts w:hint="eastAsia" w:ascii="宋体" w:hAnsi="宋体"/>
          <w:color w:val="auto"/>
          <w:szCs w:val="21"/>
        </w:rPr>
        <w:t>1.1.2 招标人：见投标人须知前附表。</w:t>
      </w:r>
    </w:p>
    <w:p w14:paraId="46692C1C">
      <w:pPr>
        <w:spacing w:line="360" w:lineRule="auto"/>
        <w:ind w:firstLine="420" w:firstLineChars="200"/>
        <w:rPr>
          <w:rFonts w:ascii="宋体" w:hAnsi="宋体"/>
          <w:color w:val="auto"/>
          <w:szCs w:val="21"/>
        </w:rPr>
      </w:pPr>
      <w:r>
        <w:rPr>
          <w:rFonts w:hint="eastAsia" w:ascii="宋体" w:hAnsi="宋体"/>
          <w:color w:val="auto"/>
          <w:szCs w:val="21"/>
        </w:rPr>
        <w:t>1.1.3 招标代理机构：见投标人须知前附表。</w:t>
      </w:r>
    </w:p>
    <w:p w14:paraId="00AA1D4E">
      <w:pPr>
        <w:spacing w:line="360" w:lineRule="auto"/>
        <w:ind w:firstLine="420" w:firstLineChars="200"/>
        <w:rPr>
          <w:rFonts w:ascii="宋体" w:hAnsi="宋体"/>
          <w:color w:val="auto"/>
          <w:szCs w:val="21"/>
        </w:rPr>
      </w:pPr>
      <w:r>
        <w:rPr>
          <w:rFonts w:hint="eastAsia" w:ascii="宋体" w:hAnsi="宋体"/>
          <w:color w:val="auto"/>
          <w:szCs w:val="21"/>
        </w:rPr>
        <w:t>1.1.4 招标项目名称：见投标人须知前附表。</w:t>
      </w:r>
    </w:p>
    <w:p w14:paraId="6FD45363">
      <w:pPr>
        <w:spacing w:line="360" w:lineRule="auto"/>
        <w:ind w:firstLine="420" w:firstLineChars="200"/>
        <w:rPr>
          <w:rFonts w:ascii="宋体" w:hAnsi="宋体"/>
          <w:color w:val="auto"/>
          <w:szCs w:val="21"/>
        </w:rPr>
      </w:pPr>
      <w:r>
        <w:rPr>
          <w:rFonts w:hint="eastAsia" w:ascii="宋体" w:hAnsi="宋体"/>
          <w:color w:val="auto"/>
          <w:szCs w:val="21"/>
        </w:rPr>
        <w:t>1.1.5 项目建设地点：见投标人须知前附表。</w:t>
      </w:r>
    </w:p>
    <w:p w14:paraId="18F91E21">
      <w:pPr>
        <w:pStyle w:val="6"/>
        <w:rPr>
          <w:rFonts w:hAnsi="宋体"/>
          <w:color w:val="auto"/>
        </w:rPr>
      </w:pPr>
      <w:r>
        <w:rPr>
          <w:rFonts w:hint="eastAsia" w:hAnsi="宋体"/>
          <w:color w:val="auto"/>
        </w:rPr>
        <w:t>1.2 资金来源和落实情况</w:t>
      </w:r>
    </w:p>
    <w:p w14:paraId="7E669647">
      <w:pPr>
        <w:spacing w:line="360" w:lineRule="auto"/>
        <w:ind w:firstLine="420" w:firstLineChars="200"/>
        <w:rPr>
          <w:rFonts w:ascii="宋体" w:hAnsi="宋体"/>
          <w:color w:val="auto"/>
          <w:szCs w:val="21"/>
        </w:rPr>
      </w:pPr>
      <w:r>
        <w:rPr>
          <w:rFonts w:hint="eastAsia" w:ascii="宋体" w:hAnsi="宋体"/>
          <w:color w:val="auto"/>
          <w:szCs w:val="21"/>
        </w:rPr>
        <w:t>1.2.1 资金来源及比例：见投标人须知前附表。</w:t>
      </w:r>
    </w:p>
    <w:p w14:paraId="689188CF">
      <w:pPr>
        <w:spacing w:line="360" w:lineRule="auto"/>
        <w:ind w:firstLine="420" w:firstLineChars="200"/>
        <w:rPr>
          <w:rFonts w:ascii="宋体" w:hAnsi="宋体"/>
          <w:color w:val="auto"/>
          <w:szCs w:val="21"/>
        </w:rPr>
      </w:pPr>
      <w:r>
        <w:rPr>
          <w:rFonts w:hint="eastAsia" w:ascii="宋体" w:hAnsi="宋体"/>
          <w:color w:val="auto"/>
          <w:szCs w:val="21"/>
        </w:rPr>
        <w:t>1.2.2 资金落实情况：见投标人须知前附表。</w:t>
      </w:r>
    </w:p>
    <w:p w14:paraId="6F1416AA">
      <w:pPr>
        <w:pStyle w:val="6"/>
        <w:rPr>
          <w:rFonts w:hAnsi="宋体"/>
          <w:color w:val="auto"/>
        </w:rPr>
      </w:pPr>
      <w:r>
        <w:rPr>
          <w:rFonts w:hint="eastAsia" w:hAnsi="宋体"/>
          <w:color w:val="auto"/>
        </w:rPr>
        <w:t>1.3 招标范围、计划工期和质量要求</w:t>
      </w:r>
    </w:p>
    <w:p w14:paraId="191450B3">
      <w:pPr>
        <w:spacing w:line="360" w:lineRule="auto"/>
        <w:ind w:firstLine="420" w:firstLineChars="200"/>
        <w:rPr>
          <w:rFonts w:ascii="宋体" w:hAnsi="宋体"/>
          <w:color w:val="auto"/>
          <w:szCs w:val="21"/>
        </w:rPr>
      </w:pPr>
      <w:r>
        <w:rPr>
          <w:rFonts w:hint="eastAsia" w:ascii="宋体" w:hAnsi="宋体"/>
          <w:color w:val="auto"/>
          <w:szCs w:val="21"/>
        </w:rPr>
        <w:t>1.3.1 招标范围：见投标人须知前附表。</w:t>
      </w:r>
    </w:p>
    <w:p w14:paraId="57CCFC3D">
      <w:pPr>
        <w:spacing w:line="360" w:lineRule="auto"/>
        <w:ind w:firstLine="420" w:firstLineChars="200"/>
        <w:rPr>
          <w:rFonts w:ascii="宋体" w:hAnsi="宋体"/>
          <w:color w:val="auto"/>
          <w:szCs w:val="21"/>
        </w:rPr>
      </w:pPr>
      <w:r>
        <w:rPr>
          <w:rFonts w:hint="eastAsia" w:ascii="宋体" w:hAnsi="宋体"/>
          <w:color w:val="auto"/>
          <w:szCs w:val="21"/>
        </w:rPr>
        <w:t>1.3.2 计划工期：见投标人须知前附表。</w:t>
      </w:r>
    </w:p>
    <w:p w14:paraId="28B10008">
      <w:pPr>
        <w:spacing w:line="360" w:lineRule="auto"/>
        <w:ind w:firstLine="420" w:firstLineChars="200"/>
        <w:rPr>
          <w:rFonts w:ascii="宋体" w:hAnsi="宋体"/>
          <w:color w:val="auto"/>
          <w:szCs w:val="21"/>
        </w:rPr>
      </w:pPr>
      <w:r>
        <w:rPr>
          <w:rFonts w:hint="eastAsia" w:ascii="宋体" w:hAnsi="宋体"/>
          <w:color w:val="auto"/>
          <w:szCs w:val="21"/>
        </w:rPr>
        <w:t>1.3.3 质量标准：见投标人须知前附表。</w:t>
      </w:r>
    </w:p>
    <w:p w14:paraId="4A58A01C">
      <w:pPr>
        <w:spacing w:line="360" w:lineRule="auto"/>
        <w:ind w:firstLine="420" w:firstLineChars="200"/>
        <w:rPr>
          <w:rFonts w:ascii="宋体" w:hAnsi="宋体"/>
          <w:color w:val="auto"/>
          <w:szCs w:val="21"/>
        </w:rPr>
      </w:pPr>
      <w:r>
        <w:rPr>
          <w:rFonts w:hint="eastAsia" w:ascii="宋体" w:hAnsi="宋体"/>
          <w:color w:val="auto"/>
          <w:szCs w:val="21"/>
        </w:rPr>
        <w:t>1.3.4承包</w:t>
      </w:r>
      <w:r>
        <w:rPr>
          <w:rFonts w:ascii="宋体" w:hAnsi="宋体"/>
          <w:color w:val="auto"/>
          <w:szCs w:val="21"/>
        </w:rPr>
        <w:t>方式：</w:t>
      </w:r>
      <w:r>
        <w:rPr>
          <w:rFonts w:hint="eastAsia" w:ascii="宋体" w:hAnsi="宋体"/>
          <w:color w:val="auto"/>
          <w:szCs w:val="21"/>
        </w:rPr>
        <w:t>见投标人须知前附表。</w:t>
      </w:r>
    </w:p>
    <w:p w14:paraId="254AFB3F">
      <w:pPr>
        <w:pStyle w:val="6"/>
        <w:rPr>
          <w:rFonts w:hAnsi="宋体"/>
          <w:color w:val="auto"/>
        </w:rPr>
      </w:pPr>
      <w:r>
        <w:rPr>
          <w:rFonts w:hint="eastAsia" w:hAnsi="宋体"/>
          <w:color w:val="auto"/>
        </w:rPr>
        <w:t>1.4 投标人资格要求</w:t>
      </w:r>
    </w:p>
    <w:p w14:paraId="65EF0E72">
      <w:pPr>
        <w:spacing w:line="360" w:lineRule="auto"/>
        <w:ind w:firstLine="420" w:firstLineChars="200"/>
        <w:rPr>
          <w:rFonts w:ascii="宋体" w:hAnsi="宋体"/>
          <w:color w:val="auto"/>
          <w:szCs w:val="21"/>
        </w:rPr>
      </w:pPr>
      <w:r>
        <w:rPr>
          <w:rFonts w:hint="eastAsia" w:ascii="宋体" w:hAnsi="宋体"/>
          <w:color w:val="auto"/>
          <w:szCs w:val="21"/>
        </w:rPr>
        <w:t>1.4.1投标人资格要求：见投标人须知前附表。</w:t>
      </w:r>
    </w:p>
    <w:p w14:paraId="7A11FA9A">
      <w:pPr>
        <w:spacing w:line="360" w:lineRule="auto"/>
        <w:ind w:firstLine="420" w:firstLineChars="200"/>
        <w:rPr>
          <w:rFonts w:ascii="宋体" w:hAnsi="宋体"/>
          <w:color w:val="auto"/>
          <w:szCs w:val="21"/>
        </w:rPr>
      </w:pPr>
      <w:r>
        <w:rPr>
          <w:rFonts w:hint="eastAsia" w:ascii="宋体" w:hAnsi="宋体"/>
          <w:color w:val="auto"/>
          <w:szCs w:val="21"/>
        </w:rPr>
        <w:t xml:space="preserve">1.4.2 投标人须知前附表规定接受联合体投标的，除应符合本章投标人须知前附表的要求外，还应遵守以下规定： </w:t>
      </w:r>
    </w:p>
    <w:p w14:paraId="2618C3DA">
      <w:pPr>
        <w:spacing w:line="360" w:lineRule="auto"/>
        <w:ind w:firstLine="420" w:firstLineChars="200"/>
        <w:rPr>
          <w:rFonts w:ascii="宋体" w:hAnsi="宋体"/>
          <w:color w:val="auto"/>
          <w:szCs w:val="21"/>
        </w:rPr>
      </w:pPr>
      <w:r>
        <w:rPr>
          <w:rFonts w:hint="eastAsia" w:ascii="宋体" w:hAnsi="宋体"/>
          <w:color w:val="auto"/>
          <w:szCs w:val="21"/>
        </w:rPr>
        <w:t>（1）联合体各方应按招标文件提供的格式签订联合体协议书，明确联合体牵头人和各方权利义务；</w:t>
      </w:r>
    </w:p>
    <w:p w14:paraId="19BACEF2">
      <w:pPr>
        <w:spacing w:line="360" w:lineRule="auto"/>
        <w:ind w:firstLine="420" w:firstLineChars="200"/>
        <w:rPr>
          <w:rFonts w:ascii="宋体" w:hAnsi="宋体"/>
          <w:color w:val="auto"/>
          <w:szCs w:val="21"/>
        </w:rPr>
      </w:pPr>
      <w:r>
        <w:rPr>
          <w:rFonts w:hint="eastAsia" w:ascii="宋体" w:hAnsi="宋体"/>
          <w:color w:val="auto"/>
          <w:szCs w:val="21"/>
        </w:rPr>
        <w:t>（2）由同一专业的单位组成的联合体，按照资质等级较低的单位确定资质等级；</w:t>
      </w:r>
    </w:p>
    <w:p w14:paraId="01127CA9">
      <w:pPr>
        <w:spacing w:line="360" w:lineRule="auto"/>
        <w:ind w:firstLine="420" w:firstLineChars="200"/>
        <w:rPr>
          <w:rFonts w:ascii="宋体" w:hAnsi="宋体"/>
          <w:color w:val="auto"/>
          <w:szCs w:val="21"/>
        </w:rPr>
      </w:pPr>
      <w:r>
        <w:rPr>
          <w:rFonts w:hint="eastAsia" w:ascii="宋体" w:hAnsi="宋体"/>
          <w:color w:val="auto"/>
          <w:szCs w:val="21"/>
        </w:rPr>
        <w:t>（3）联合体各方不得再以自己名义单独或参加其他联合体在本招标项目中投标。</w:t>
      </w:r>
    </w:p>
    <w:p w14:paraId="4095855B">
      <w:pPr>
        <w:spacing w:line="360" w:lineRule="auto"/>
        <w:ind w:firstLine="420" w:firstLineChars="200"/>
        <w:rPr>
          <w:rFonts w:ascii="宋体" w:hAnsi="宋体"/>
          <w:color w:val="auto"/>
          <w:szCs w:val="21"/>
        </w:rPr>
      </w:pPr>
      <w:r>
        <w:rPr>
          <w:rFonts w:hint="eastAsia" w:ascii="宋体" w:hAnsi="宋体"/>
          <w:color w:val="auto"/>
          <w:szCs w:val="21"/>
        </w:rPr>
        <w:t>（4）</w:t>
      </w:r>
      <w:r>
        <w:rPr>
          <w:rFonts w:hint="eastAsia" w:ascii="宋体" w:hAnsi="宋体"/>
          <w:b/>
          <w:bCs/>
          <w:color w:val="auto"/>
          <w:szCs w:val="21"/>
        </w:rPr>
        <w:t>本须知中“投标人”一词也包括联合体各方成员。</w:t>
      </w:r>
    </w:p>
    <w:p w14:paraId="3A0C7221">
      <w:pPr>
        <w:spacing w:line="360" w:lineRule="auto"/>
        <w:ind w:firstLine="420" w:firstLineChars="200"/>
        <w:rPr>
          <w:rFonts w:ascii="宋体" w:hAnsi="宋体"/>
          <w:color w:val="auto"/>
          <w:szCs w:val="21"/>
        </w:rPr>
      </w:pPr>
      <w:r>
        <w:rPr>
          <w:rFonts w:hint="eastAsia" w:ascii="宋体" w:hAnsi="宋体"/>
          <w:color w:val="auto"/>
          <w:szCs w:val="21"/>
        </w:rPr>
        <w:t>1.4.3 投标人不得存在下列情形之一：</w:t>
      </w:r>
    </w:p>
    <w:p w14:paraId="608C4224">
      <w:pPr>
        <w:spacing w:line="360" w:lineRule="auto"/>
        <w:ind w:firstLine="420" w:firstLineChars="200"/>
        <w:rPr>
          <w:rFonts w:ascii="宋体" w:hAnsi="宋体"/>
          <w:color w:val="auto"/>
          <w:szCs w:val="21"/>
        </w:rPr>
      </w:pPr>
      <w:r>
        <w:rPr>
          <w:rFonts w:hint="eastAsia" w:ascii="宋体" w:hAnsi="宋体"/>
          <w:color w:val="auto"/>
          <w:szCs w:val="21"/>
        </w:rPr>
        <w:t xml:space="preserve">（1）为招标人不具有独立法人资格的附属机构（单位）； </w:t>
      </w:r>
    </w:p>
    <w:p w14:paraId="3CCE80C8">
      <w:pPr>
        <w:spacing w:line="360" w:lineRule="auto"/>
        <w:ind w:firstLine="420" w:firstLineChars="200"/>
        <w:rPr>
          <w:rFonts w:ascii="宋体" w:hAnsi="宋体"/>
          <w:color w:val="auto"/>
          <w:szCs w:val="21"/>
        </w:rPr>
      </w:pPr>
      <w:r>
        <w:rPr>
          <w:rFonts w:hint="eastAsia" w:ascii="宋体" w:hAnsi="宋体"/>
          <w:color w:val="auto"/>
          <w:szCs w:val="21"/>
        </w:rPr>
        <w:t>（2）为招标项目前期工作提供咨询服务的；</w:t>
      </w:r>
    </w:p>
    <w:p w14:paraId="6E06F72A">
      <w:pPr>
        <w:spacing w:line="360" w:lineRule="auto"/>
        <w:ind w:firstLine="420" w:firstLineChars="200"/>
        <w:rPr>
          <w:rFonts w:ascii="宋体" w:hAnsi="宋体"/>
          <w:color w:val="auto"/>
          <w:szCs w:val="21"/>
        </w:rPr>
      </w:pPr>
      <w:r>
        <w:rPr>
          <w:rFonts w:hint="eastAsia" w:ascii="宋体" w:hAnsi="宋体"/>
          <w:color w:val="auto"/>
          <w:szCs w:val="21"/>
        </w:rPr>
        <w:t>（3）为本招标项目的监理人；</w:t>
      </w:r>
    </w:p>
    <w:p w14:paraId="62C69024">
      <w:pPr>
        <w:spacing w:line="360" w:lineRule="auto"/>
        <w:ind w:firstLine="420" w:firstLineChars="200"/>
        <w:rPr>
          <w:rFonts w:ascii="宋体" w:hAnsi="宋体"/>
          <w:color w:val="auto"/>
          <w:szCs w:val="21"/>
        </w:rPr>
      </w:pPr>
      <w:r>
        <w:rPr>
          <w:rFonts w:hint="eastAsia" w:ascii="宋体" w:hAnsi="宋体"/>
          <w:color w:val="auto"/>
          <w:szCs w:val="21"/>
        </w:rPr>
        <w:t xml:space="preserve">（4）为本招标项目的代建人； </w:t>
      </w:r>
    </w:p>
    <w:p w14:paraId="45E527FB">
      <w:pPr>
        <w:spacing w:line="360" w:lineRule="auto"/>
        <w:ind w:firstLine="420" w:firstLineChars="200"/>
        <w:rPr>
          <w:rFonts w:ascii="宋体" w:hAnsi="宋体"/>
          <w:color w:val="auto"/>
          <w:szCs w:val="21"/>
        </w:rPr>
      </w:pPr>
      <w:r>
        <w:rPr>
          <w:rFonts w:hint="eastAsia" w:ascii="宋体" w:hAnsi="宋体"/>
          <w:color w:val="auto"/>
          <w:szCs w:val="21"/>
        </w:rPr>
        <w:t xml:space="preserve">（5）为本招标项目提供招标代理服务的； </w:t>
      </w:r>
    </w:p>
    <w:p w14:paraId="18EC36AF">
      <w:pPr>
        <w:spacing w:line="360" w:lineRule="auto"/>
        <w:ind w:firstLine="420" w:firstLineChars="200"/>
        <w:rPr>
          <w:rFonts w:ascii="宋体" w:hAnsi="宋体"/>
          <w:color w:val="auto"/>
          <w:szCs w:val="21"/>
        </w:rPr>
      </w:pPr>
      <w:r>
        <w:rPr>
          <w:rFonts w:hint="eastAsia" w:ascii="宋体" w:hAnsi="宋体"/>
          <w:color w:val="auto"/>
          <w:szCs w:val="21"/>
        </w:rPr>
        <w:t xml:space="preserve">（6）被责令停业的； </w:t>
      </w:r>
    </w:p>
    <w:p w14:paraId="7AB6462E">
      <w:pPr>
        <w:spacing w:line="360" w:lineRule="auto"/>
        <w:ind w:firstLine="420" w:firstLineChars="200"/>
        <w:rPr>
          <w:rFonts w:ascii="宋体" w:hAnsi="宋体"/>
          <w:color w:val="auto"/>
          <w:szCs w:val="21"/>
        </w:rPr>
      </w:pPr>
      <w:r>
        <w:rPr>
          <w:rFonts w:hint="eastAsia" w:ascii="宋体" w:hAnsi="宋体"/>
          <w:color w:val="auto"/>
          <w:szCs w:val="21"/>
        </w:rPr>
        <w:t xml:space="preserve">（7）被暂停或取消投标资格的； </w:t>
      </w:r>
    </w:p>
    <w:p w14:paraId="3307208E">
      <w:pPr>
        <w:spacing w:line="360" w:lineRule="auto"/>
        <w:ind w:firstLine="420" w:firstLineChars="200"/>
        <w:rPr>
          <w:rFonts w:ascii="宋体" w:hAnsi="宋体"/>
          <w:color w:val="auto"/>
          <w:szCs w:val="21"/>
        </w:rPr>
      </w:pPr>
      <w:r>
        <w:rPr>
          <w:rFonts w:hint="eastAsia" w:ascii="宋体" w:hAnsi="宋体"/>
          <w:color w:val="auto"/>
          <w:szCs w:val="21"/>
        </w:rPr>
        <w:t>（8）财产被接管或冻结的；</w:t>
      </w:r>
    </w:p>
    <w:p w14:paraId="3CFBAAC5">
      <w:pPr>
        <w:spacing w:line="360" w:lineRule="auto"/>
        <w:ind w:firstLine="420" w:firstLineChars="200"/>
        <w:rPr>
          <w:rFonts w:ascii="宋体" w:hAnsi="宋体"/>
          <w:color w:val="auto"/>
          <w:szCs w:val="21"/>
        </w:rPr>
      </w:pPr>
      <w:r>
        <w:rPr>
          <w:rFonts w:hint="eastAsia" w:ascii="宋体" w:hAnsi="宋体"/>
          <w:color w:val="auto"/>
          <w:szCs w:val="21"/>
        </w:rPr>
        <w:t>（9）在最近三年内有骗取中标或严重违约或重大工程质量问题的；</w:t>
      </w:r>
    </w:p>
    <w:p w14:paraId="55951A9A">
      <w:pPr>
        <w:spacing w:line="360" w:lineRule="auto"/>
        <w:ind w:firstLine="420" w:firstLineChars="200"/>
        <w:rPr>
          <w:rFonts w:ascii="宋体" w:hAnsi="宋体"/>
          <w:color w:val="auto"/>
          <w:szCs w:val="21"/>
        </w:rPr>
      </w:pPr>
      <w:r>
        <w:rPr>
          <w:rFonts w:hint="eastAsia" w:ascii="宋体" w:hAnsi="宋体"/>
          <w:color w:val="auto"/>
          <w:szCs w:val="21"/>
        </w:rPr>
        <w:t>（10）与本招标项目的监理人或代建人或招标代理机构同为一个法定代表人的；</w:t>
      </w:r>
    </w:p>
    <w:p w14:paraId="25E35053">
      <w:pPr>
        <w:spacing w:line="360" w:lineRule="auto"/>
        <w:ind w:firstLine="420" w:firstLineChars="200"/>
        <w:rPr>
          <w:rFonts w:ascii="宋体" w:hAnsi="宋体"/>
          <w:color w:val="auto"/>
          <w:szCs w:val="21"/>
        </w:rPr>
      </w:pPr>
      <w:r>
        <w:rPr>
          <w:rFonts w:hint="eastAsia" w:ascii="宋体" w:hAnsi="宋体"/>
          <w:color w:val="auto"/>
          <w:szCs w:val="21"/>
        </w:rPr>
        <w:t>（11）与本招标项目的监理人或代建人或招标代理机构相互控股或参股的；</w:t>
      </w:r>
    </w:p>
    <w:p w14:paraId="63D76AAB">
      <w:pPr>
        <w:spacing w:line="360" w:lineRule="auto"/>
        <w:ind w:firstLine="420" w:firstLineChars="200"/>
        <w:rPr>
          <w:rFonts w:ascii="宋体" w:hAnsi="宋体"/>
          <w:color w:val="auto"/>
          <w:szCs w:val="21"/>
        </w:rPr>
      </w:pPr>
      <w:r>
        <w:rPr>
          <w:rFonts w:hint="eastAsia" w:ascii="宋体" w:hAnsi="宋体"/>
          <w:color w:val="auto"/>
          <w:szCs w:val="21"/>
        </w:rPr>
        <w:t>（12）与本招标项目的监理人或代建人或招标代理机构相互任职或工作的。</w:t>
      </w:r>
    </w:p>
    <w:p w14:paraId="67E37FA4">
      <w:pPr>
        <w:pStyle w:val="6"/>
        <w:rPr>
          <w:rFonts w:hAnsi="宋体"/>
          <w:color w:val="auto"/>
        </w:rPr>
      </w:pPr>
      <w:r>
        <w:rPr>
          <w:rFonts w:hint="eastAsia" w:hAnsi="宋体"/>
          <w:color w:val="auto"/>
        </w:rPr>
        <w:t>1.5费用承担和设计成果补偿</w:t>
      </w:r>
    </w:p>
    <w:p w14:paraId="153C57B0">
      <w:pPr>
        <w:spacing w:line="360" w:lineRule="auto"/>
        <w:ind w:firstLine="420" w:firstLineChars="200"/>
        <w:rPr>
          <w:rFonts w:ascii="宋体" w:hAnsi="宋体"/>
          <w:color w:val="auto"/>
          <w:szCs w:val="21"/>
        </w:rPr>
      </w:pPr>
      <w:r>
        <w:rPr>
          <w:rFonts w:hint="eastAsia" w:ascii="宋体" w:hAnsi="宋体"/>
          <w:color w:val="auto"/>
          <w:szCs w:val="21"/>
        </w:rPr>
        <w:t>1.5.1 投标人准备和参加投标活动发生的费用自理。</w:t>
      </w:r>
    </w:p>
    <w:p w14:paraId="07BF3036">
      <w:pPr>
        <w:spacing w:line="360" w:lineRule="auto"/>
        <w:ind w:firstLine="420" w:firstLineChars="200"/>
        <w:rPr>
          <w:rFonts w:ascii="宋体" w:hAnsi="宋体"/>
          <w:color w:val="auto"/>
          <w:szCs w:val="21"/>
        </w:rPr>
      </w:pPr>
      <w:r>
        <w:rPr>
          <w:rFonts w:hint="eastAsia" w:ascii="宋体" w:hAnsi="宋体"/>
          <w:color w:val="auto"/>
          <w:szCs w:val="21"/>
        </w:rPr>
        <w:t>1.5.2 招标人有权免费使用未中标人设计成果，不予补偿，投标人自行考虑。</w:t>
      </w:r>
    </w:p>
    <w:p w14:paraId="6DA3C5C6">
      <w:pPr>
        <w:pStyle w:val="6"/>
        <w:rPr>
          <w:rFonts w:hAnsi="宋体"/>
          <w:color w:val="auto"/>
        </w:rPr>
      </w:pPr>
      <w:r>
        <w:rPr>
          <w:rFonts w:hint="eastAsia" w:hAnsi="宋体"/>
          <w:color w:val="auto"/>
        </w:rPr>
        <w:t>1.6 保密</w:t>
      </w:r>
    </w:p>
    <w:p w14:paraId="53004BEA">
      <w:pPr>
        <w:spacing w:line="360" w:lineRule="auto"/>
        <w:ind w:firstLine="420" w:firstLineChars="200"/>
        <w:rPr>
          <w:rFonts w:ascii="宋体" w:hAnsi="宋体"/>
          <w:color w:val="auto"/>
          <w:szCs w:val="21"/>
        </w:rPr>
      </w:pPr>
      <w:r>
        <w:rPr>
          <w:rFonts w:hint="eastAsia" w:ascii="宋体" w:hAnsi="宋体"/>
          <w:color w:val="auto"/>
          <w:szCs w:val="21"/>
        </w:rPr>
        <w:t>参与招标投标活动的各方应对招标文件和投标文件中的商业和技术等秘密保密，否则应承担相应的法律责任。</w:t>
      </w:r>
    </w:p>
    <w:p w14:paraId="4519D4FE">
      <w:pPr>
        <w:pStyle w:val="6"/>
        <w:rPr>
          <w:rFonts w:hAnsi="宋体"/>
          <w:color w:val="auto"/>
        </w:rPr>
      </w:pPr>
      <w:r>
        <w:rPr>
          <w:rFonts w:hint="eastAsia" w:hAnsi="宋体"/>
          <w:color w:val="auto"/>
        </w:rPr>
        <w:t>1.7 语言文字</w:t>
      </w:r>
    </w:p>
    <w:p w14:paraId="7D158F20">
      <w:pPr>
        <w:spacing w:line="360" w:lineRule="auto"/>
        <w:ind w:firstLine="420" w:firstLineChars="200"/>
        <w:rPr>
          <w:rFonts w:ascii="宋体" w:hAnsi="宋体"/>
          <w:color w:val="auto"/>
          <w:szCs w:val="21"/>
        </w:rPr>
      </w:pPr>
      <w:r>
        <w:rPr>
          <w:rFonts w:hint="eastAsia" w:ascii="宋体" w:hAnsi="宋体"/>
          <w:color w:val="auto"/>
          <w:szCs w:val="21"/>
        </w:rPr>
        <w:t>招标投标文件使用的语言文字为中文。专用术语使用外文的，应附有中文注释。</w:t>
      </w:r>
    </w:p>
    <w:p w14:paraId="2589B4E0">
      <w:pPr>
        <w:pStyle w:val="6"/>
        <w:rPr>
          <w:rFonts w:hAnsi="宋体"/>
          <w:color w:val="auto"/>
        </w:rPr>
      </w:pPr>
      <w:r>
        <w:rPr>
          <w:rFonts w:hint="eastAsia" w:hAnsi="宋体"/>
          <w:color w:val="auto"/>
        </w:rPr>
        <w:t>1.8 计量单位</w:t>
      </w:r>
    </w:p>
    <w:p w14:paraId="7C42A04B">
      <w:pPr>
        <w:spacing w:line="360" w:lineRule="auto"/>
        <w:ind w:firstLine="420" w:firstLineChars="200"/>
        <w:rPr>
          <w:rFonts w:ascii="宋体" w:hAnsi="宋体"/>
          <w:color w:val="auto"/>
          <w:szCs w:val="21"/>
        </w:rPr>
      </w:pPr>
      <w:r>
        <w:rPr>
          <w:rFonts w:hint="eastAsia" w:ascii="宋体" w:hAnsi="宋体"/>
          <w:color w:val="auto"/>
          <w:szCs w:val="21"/>
        </w:rPr>
        <w:t>所有计量均采用中华人民共和国法定计量单位。</w:t>
      </w:r>
    </w:p>
    <w:p w14:paraId="0AA80C32">
      <w:pPr>
        <w:pStyle w:val="6"/>
        <w:rPr>
          <w:rFonts w:hAnsi="宋体"/>
          <w:color w:val="auto"/>
        </w:rPr>
      </w:pPr>
      <w:r>
        <w:rPr>
          <w:rFonts w:hint="eastAsia" w:hAnsi="宋体"/>
          <w:color w:val="auto"/>
        </w:rPr>
        <w:t>1.9 踏勘现场</w:t>
      </w:r>
    </w:p>
    <w:p w14:paraId="432AE68F">
      <w:pPr>
        <w:spacing w:line="360" w:lineRule="auto"/>
        <w:ind w:firstLine="420" w:firstLineChars="200"/>
        <w:rPr>
          <w:rFonts w:ascii="宋体" w:hAnsi="宋体"/>
          <w:color w:val="auto"/>
          <w:szCs w:val="21"/>
        </w:rPr>
      </w:pPr>
      <w:r>
        <w:rPr>
          <w:rFonts w:hint="eastAsia" w:ascii="宋体" w:hAnsi="宋体"/>
          <w:color w:val="auto"/>
          <w:szCs w:val="21"/>
        </w:rPr>
        <w:t xml:space="preserve">1.9.1 投标人须知前附表规定组织踏勘现场的，招标人按投标人须知前附表规定的时间、地点组织投标人踏勘项目现场。 </w:t>
      </w:r>
    </w:p>
    <w:p w14:paraId="60F2265B">
      <w:pPr>
        <w:spacing w:line="360" w:lineRule="auto"/>
        <w:ind w:firstLine="420" w:firstLineChars="200"/>
        <w:rPr>
          <w:rFonts w:ascii="宋体" w:hAnsi="宋体"/>
          <w:color w:val="auto"/>
          <w:szCs w:val="21"/>
        </w:rPr>
      </w:pPr>
      <w:r>
        <w:rPr>
          <w:rFonts w:hint="eastAsia" w:ascii="宋体" w:hAnsi="宋体"/>
          <w:color w:val="auto"/>
          <w:szCs w:val="21"/>
        </w:rPr>
        <w:t>1.9.2 投标人踏勘现场发生的费用自理。</w:t>
      </w:r>
    </w:p>
    <w:p w14:paraId="17A1A2E9">
      <w:pPr>
        <w:spacing w:line="360" w:lineRule="auto"/>
        <w:ind w:firstLine="420" w:firstLineChars="200"/>
        <w:rPr>
          <w:rFonts w:ascii="宋体" w:hAnsi="宋体"/>
          <w:color w:val="auto"/>
          <w:szCs w:val="21"/>
        </w:rPr>
      </w:pPr>
      <w:r>
        <w:rPr>
          <w:rFonts w:hint="eastAsia" w:ascii="宋体" w:hAnsi="宋体"/>
          <w:color w:val="auto"/>
          <w:szCs w:val="21"/>
        </w:rPr>
        <w:t>1.9.3 除招标人的原因外，投标人自行负责在踏勘现场中所发生的人员伤亡和财产损失。</w:t>
      </w:r>
    </w:p>
    <w:p w14:paraId="4C67D351">
      <w:pPr>
        <w:spacing w:line="360" w:lineRule="auto"/>
        <w:ind w:firstLine="420" w:firstLineChars="200"/>
        <w:rPr>
          <w:rFonts w:ascii="宋体" w:hAnsi="宋体"/>
          <w:color w:val="auto"/>
          <w:szCs w:val="21"/>
        </w:rPr>
      </w:pPr>
      <w:r>
        <w:rPr>
          <w:rFonts w:hint="eastAsia" w:ascii="宋体" w:hAnsi="宋体"/>
          <w:color w:val="auto"/>
          <w:szCs w:val="21"/>
        </w:rPr>
        <w:t>1.9.4 招标人在踏勘现场中介绍的工程场地和相关的周边环境情况，供投标人在编制投标文件时参考，招标人不对投标人据此作出的判断和决策负责。</w:t>
      </w:r>
    </w:p>
    <w:p w14:paraId="617BB47B">
      <w:pPr>
        <w:pStyle w:val="6"/>
        <w:rPr>
          <w:rFonts w:hAnsi="宋体"/>
          <w:color w:val="auto"/>
        </w:rPr>
      </w:pPr>
      <w:r>
        <w:rPr>
          <w:rFonts w:hint="eastAsia" w:hAnsi="宋体"/>
          <w:color w:val="auto"/>
        </w:rPr>
        <w:t>1.10 投标预备会</w:t>
      </w:r>
    </w:p>
    <w:p w14:paraId="3DF1B174">
      <w:pPr>
        <w:spacing w:line="360" w:lineRule="auto"/>
        <w:ind w:firstLine="420" w:firstLineChars="200"/>
        <w:rPr>
          <w:rFonts w:ascii="宋体" w:hAnsi="宋体"/>
          <w:color w:val="auto"/>
          <w:szCs w:val="21"/>
        </w:rPr>
      </w:pPr>
      <w:r>
        <w:rPr>
          <w:rFonts w:hint="eastAsia" w:ascii="宋体" w:hAnsi="宋体"/>
          <w:color w:val="auto"/>
          <w:szCs w:val="21"/>
        </w:rPr>
        <w:t>1.10.1 投标人须知前附表规定召开投标预备会的，招标人按投标人须知前附表规定的时间和地点召开投标预备会，澄清投标人提出的问题。</w:t>
      </w:r>
    </w:p>
    <w:p w14:paraId="63DB2FF2">
      <w:pPr>
        <w:spacing w:line="360" w:lineRule="auto"/>
        <w:ind w:firstLine="420" w:firstLineChars="200"/>
        <w:rPr>
          <w:rFonts w:ascii="宋体" w:hAnsi="宋体"/>
          <w:color w:val="auto"/>
          <w:szCs w:val="21"/>
        </w:rPr>
      </w:pPr>
      <w:r>
        <w:rPr>
          <w:rFonts w:hint="eastAsia" w:ascii="宋体" w:hAnsi="宋体"/>
          <w:color w:val="auto"/>
          <w:szCs w:val="21"/>
        </w:rPr>
        <w:t>1.10.2 投标人应在投标人须知前附表规定的时间前，以书面形式将提出的问题送达招标人，以便招标人在会议期间澄清。</w:t>
      </w:r>
    </w:p>
    <w:p w14:paraId="15F9BC81">
      <w:pPr>
        <w:spacing w:line="360" w:lineRule="auto"/>
        <w:ind w:firstLine="420" w:firstLineChars="200"/>
        <w:rPr>
          <w:rFonts w:ascii="宋体" w:hAnsi="宋体"/>
          <w:color w:val="auto"/>
          <w:szCs w:val="21"/>
        </w:rPr>
      </w:pPr>
      <w:r>
        <w:rPr>
          <w:rFonts w:hint="eastAsia" w:ascii="宋体" w:hAnsi="宋体"/>
          <w:color w:val="auto"/>
          <w:szCs w:val="21"/>
        </w:rPr>
        <w:t>1.10.3 投标预备会后，招标人在投标人须知前附表规定的时间内，将对投标人所提问题的澄清，以书面形式通知所有购买招标文件的投标人。该澄清内容为招标文件的组成部分。</w:t>
      </w:r>
    </w:p>
    <w:p w14:paraId="13EC6A88">
      <w:pPr>
        <w:pStyle w:val="6"/>
        <w:rPr>
          <w:rFonts w:hAnsi="宋体"/>
          <w:color w:val="auto"/>
        </w:rPr>
      </w:pPr>
      <w:r>
        <w:rPr>
          <w:rFonts w:hint="eastAsia" w:hAnsi="宋体"/>
          <w:color w:val="auto"/>
        </w:rPr>
        <w:t>1.11 分包</w:t>
      </w:r>
    </w:p>
    <w:p w14:paraId="2CDAD6A2">
      <w:pPr>
        <w:spacing w:line="360" w:lineRule="auto"/>
        <w:ind w:firstLine="420" w:firstLineChars="200"/>
        <w:rPr>
          <w:rFonts w:ascii="宋体" w:hAnsi="宋体"/>
          <w:color w:val="auto"/>
          <w:szCs w:val="21"/>
        </w:rPr>
      </w:pPr>
      <w:r>
        <w:rPr>
          <w:rFonts w:hint="eastAsia" w:ascii="宋体" w:hAnsi="宋体"/>
          <w:color w:val="auto"/>
          <w:szCs w:val="21"/>
        </w:rPr>
        <w:t>投标人拟在中标后将中标项目的部分非主体、非关键性工作进行分包的，应符合投标人须知前附表规定的分包内容、分包金额和资质要求等限制性条件。</w:t>
      </w:r>
    </w:p>
    <w:p w14:paraId="1107FE94">
      <w:pPr>
        <w:pStyle w:val="6"/>
        <w:rPr>
          <w:rFonts w:hAnsi="宋体"/>
          <w:color w:val="auto"/>
        </w:rPr>
      </w:pPr>
      <w:r>
        <w:rPr>
          <w:rFonts w:hint="eastAsia" w:hAnsi="宋体"/>
          <w:color w:val="auto"/>
        </w:rPr>
        <w:t>1.12 偏离</w:t>
      </w:r>
    </w:p>
    <w:p w14:paraId="028C5F84">
      <w:pPr>
        <w:spacing w:line="360" w:lineRule="auto"/>
        <w:ind w:firstLine="420" w:firstLineChars="200"/>
        <w:rPr>
          <w:rFonts w:ascii="宋体" w:hAnsi="宋体"/>
          <w:color w:val="auto"/>
          <w:szCs w:val="21"/>
        </w:rPr>
      </w:pPr>
      <w:r>
        <w:rPr>
          <w:rFonts w:hint="eastAsia" w:ascii="宋体" w:hAnsi="宋体"/>
          <w:color w:val="auto"/>
          <w:szCs w:val="21"/>
        </w:rPr>
        <w:t>投标人须知前附表允许投标文件偏离招标文件某些要求的，偏离应当符合招标文件规定的偏离范围和幅度。</w:t>
      </w:r>
    </w:p>
    <w:p w14:paraId="2D98011E">
      <w:pPr>
        <w:pStyle w:val="5"/>
        <w:spacing w:before="156"/>
        <w:rPr>
          <w:color w:val="auto"/>
        </w:rPr>
      </w:pPr>
      <w:bookmarkStart w:id="42" w:name="_Toc9460"/>
      <w:bookmarkStart w:id="43" w:name="_Toc15907"/>
      <w:bookmarkStart w:id="44" w:name="_Toc85443481"/>
      <w:bookmarkStart w:id="45" w:name="_Toc184635072"/>
      <w:bookmarkStart w:id="46" w:name="_Toc449518380"/>
      <w:r>
        <w:rPr>
          <w:rFonts w:hint="eastAsia"/>
          <w:color w:val="auto"/>
          <w:lang w:eastAsia="zh-CN"/>
        </w:rPr>
        <w:t>2.</w:t>
      </w:r>
      <w:r>
        <w:rPr>
          <w:rFonts w:hint="eastAsia"/>
          <w:color w:val="auto"/>
        </w:rPr>
        <w:t>招标文件</w:t>
      </w:r>
      <w:bookmarkEnd w:id="42"/>
      <w:bookmarkEnd w:id="43"/>
      <w:bookmarkEnd w:id="44"/>
      <w:bookmarkEnd w:id="45"/>
      <w:bookmarkEnd w:id="46"/>
    </w:p>
    <w:p w14:paraId="11D99C2E">
      <w:pPr>
        <w:pStyle w:val="6"/>
        <w:rPr>
          <w:rFonts w:hAnsi="宋体"/>
          <w:color w:val="auto"/>
        </w:rPr>
      </w:pPr>
      <w:r>
        <w:rPr>
          <w:rFonts w:hint="eastAsia" w:hAnsi="宋体"/>
          <w:color w:val="auto"/>
        </w:rPr>
        <w:t>2.1 招标文件的组成</w:t>
      </w:r>
    </w:p>
    <w:p w14:paraId="46D107FA">
      <w:pPr>
        <w:spacing w:line="360" w:lineRule="auto"/>
        <w:ind w:firstLine="420" w:firstLineChars="200"/>
        <w:rPr>
          <w:rFonts w:ascii="宋体" w:hAnsi="宋体"/>
          <w:color w:val="auto"/>
          <w:szCs w:val="21"/>
        </w:rPr>
      </w:pPr>
      <w:r>
        <w:rPr>
          <w:rFonts w:hint="eastAsia" w:ascii="宋体" w:hAnsi="宋体"/>
          <w:color w:val="auto"/>
          <w:szCs w:val="21"/>
        </w:rPr>
        <w:t>本招标文件包括：</w:t>
      </w:r>
    </w:p>
    <w:p w14:paraId="6F36AF66">
      <w:pPr>
        <w:spacing w:line="360" w:lineRule="auto"/>
        <w:ind w:firstLine="420" w:firstLineChars="200"/>
        <w:rPr>
          <w:rFonts w:ascii="宋体" w:hAnsi="宋体"/>
          <w:color w:val="auto"/>
          <w:szCs w:val="21"/>
        </w:rPr>
      </w:pPr>
      <w:r>
        <w:rPr>
          <w:rFonts w:hint="eastAsia" w:ascii="宋体" w:hAnsi="宋体"/>
          <w:color w:val="auto"/>
          <w:szCs w:val="21"/>
        </w:rPr>
        <w:t>（1）招标公告；</w:t>
      </w:r>
    </w:p>
    <w:p w14:paraId="4671564A">
      <w:pPr>
        <w:spacing w:line="360" w:lineRule="auto"/>
        <w:ind w:firstLine="420" w:firstLineChars="200"/>
        <w:rPr>
          <w:rFonts w:ascii="宋体" w:hAnsi="宋体"/>
          <w:color w:val="auto"/>
          <w:szCs w:val="21"/>
        </w:rPr>
      </w:pPr>
      <w:r>
        <w:rPr>
          <w:rFonts w:hint="eastAsia" w:ascii="宋体" w:hAnsi="宋体"/>
          <w:color w:val="auto"/>
          <w:szCs w:val="21"/>
        </w:rPr>
        <w:t>（2）投标须知及投标须知前附表；</w:t>
      </w:r>
    </w:p>
    <w:p w14:paraId="1B03B1C0">
      <w:pPr>
        <w:spacing w:line="360" w:lineRule="auto"/>
        <w:ind w:firstLine="420" w:firstLineChars="200"/>
        <w:rPr>
          <w:rFonts w:ascii="宋体" w:hAnsi="宋体"/>
          <w:color w:val="auto"/>
          <w:szCs w:val="21"/>
        </w:rPr>
      </w:pPr>
      <w:r>
        <w:rPr>
          <w:rFonts w:hint="eastAsia" w:ascii="宋体" w:hAnsi="宋体"/>
          <w:color w:val="auto"/>
          <w:szCs w:val="21"/>
        </w:rPr>
        <w:t>（3）评标办法；</w:t>
      </w:r>
    </w:p>
    <w:p w14:paraId="7E992B65">
      <w:pPr>
        <w:spacing w:line="360" w:lineRule="auto"/>
        <w:ind w:firstLine="420" w:firstLineChars="200"/>
        <w:rPr>
          <w:rFonts w:ascii="宋体" w:hAnsi="宋体"/>
          <w:color w:val="auto"/>
          <w:szCs w:val="21"/>
        </w:rPr>
      </w:pPr>
      <w:r>
        <w:rPr>
          <w:rFonts w:hint="eastAsia" w:ascii="宋体" w:hAnsi="宋体"/>
          <w:color w:val="auto"/>
          <w:szCs w:val="21"/>
        </w:rPr>
        <w:t>（4）合同条款及格式；</w:t>
      </w:r>
    </w:p>
    <w:p w14:paraId="554BCAD5">
      <w:pPr>
        <w:spacing w:line="360" w:lineRule="auto"/>
        <w:ind w:firstLine="420" w:firstLineChars="200"/>
        <w:rPr>
          <w:rFonts w:ascii="宋体" w:hAnsi="宋体"/>
          <w:color w:val="auto"/>
          <w:szCs w:val="21"/>
        </w:rPr>
      </w:pPr>
      <w:r>
        <w:rPr>
          <w:rFonts w:hint="eastAsia" w:ascii="宋体" w:hAnsi="宋体"/>
          <w:color w:val="auto"/>
          <w:szCs w:val="21"/>
        </w:rPr>
        <w:t>（</w:t>
      </w:r>
      <w:r>
        <w:rPr>
          <w:rFonts w:ascii="宋体" w:hAnsi="宋体"/>
          <w:color w:val="auto"/>
          <w:szCs w:val="21"/>
        </w:rPr>
        <w:t>5</w:t>
      </w:r>
      <w:r>
        <w:rPr>
          <w:rFonts w:hint="eastAsia" w:ascii="宋体" w:hAnsi="宋体"/>
          <w:color w:val="auto"/>
          <w:szCs w:val="21"/>
        </w:rPr>
        <w:t>）投标文件格式；</w:t>
      </w:r>
    </w:p>
    <w:p w14:paraId="4A800FFA">
      <w:pPr>
        <w:spacing w:line="360" w:lineRule="auto"/>
        <w:ind w:firstLine="420" w:firstLineChars="200"/>
        <w:rPr>
          <w:rFonts w:ascii="宋体" w:hAnsi="宋体"/>
          <w:color w:val="auto"/>
          <w:szCs w:val="21"/>
        </w:rPr>
      </w:pPr>
      <w:r>
        <w:rPr>
          <w:rFonts w:hint="eastAsia" w:ascii="宋体" w:hAnsi="宋体"/>
          <w:color w:val="auto"/>
          <w:szCs w:val="21"/>
        </w:rPr>
        <w:t>根据本章第2.2款和第2.3款对招标文件所作的澄清、修改，构成招标文件的组成部分。</w:t>
      </w:r>
    </w:p>
    <w:p w14:paraId="053E87F7">
      <w:pPr>
        <w:pStyle w:val="6"/>
        <w:rPr>
          <w:rFonts w:hAnsi="宋体"/>
          <w:color w:val="auto"/>
        </w:rPr>
      </w:pPr>
      <w:r>
        <w:rPr>
          <w:rFonts w:hint="eastAsia" w:hAnsi="宋体"/>
          <w:color w:val="auto"/>
        </w:rPr>
        <w:t>2.2 招标文件的澄清</w:t>
      </w:r>
    </w:p>
    <w:p w14:paraId="22897F51">
      <w:pPr>
        <w:spacing w:line="360" w:lineRule="auto"/>
        <w:ind w:firstLine="420" w:firstLineChars="200"/>
        <w:rPr>
          <w:rFonts w:ascii="宋体" w:hAnsi="宋体"/>
          <w:bCs/>
          <w:color w:val="auto"/>
        </w:rPr>
      </w:pPr>
      <w:r>
        <w:rPr>
          <w:rFonts w:hint="eastAsia" w:ascii="宋体" w:hAnsi="宋体"/>
          <w:bCs/>
          <w:color w:val="auto"/>
        </w:rPr>
        <w:t>2.2.1同1.10.2的时间要求。投标人应仔细阅读和检查招标文件的全部内容。如发现缺页或附件不全，应及时向招标人提出，以便补齐。如有疑问，应在投标人须知前附表规定的时间前登录云南省公共资源交易信息网以在线署名提问，要求招标人对招标文件予以澄清。</w:t>
      </w:r>
    </w:p>
    <w:p w14:paraId="5C36769B">
      <w:pPr>
        <w:spacing w:line="360" w:lineRule="auto"/>
        <w:ind w:firstLine="420" w:firstLineChars="200"/>
        <w:rPr>
          <w:rFonts w:ascii="宋体" w:hAnsi="宋体"/>
          <w:bCs/>
          <w:color w:val="auto"/>
        </w:rPr>
      </w:pPr>
      <w:r>
        <w:rPr>
          <w:rFonts w:hint="eastAsia" w:ascii="宋体" w:hAnsi="宋体"/>
          <w:bCs/>
          <w:color w:val="auto"/>
        </w:rPr>
        <w:t>2.2.2投标截止时间：</w:t>
      </w:r>
      <w:r>
        <w:rPr>
          <w:rFonts w:hint="eastAsia" w:ascii="宋体" w:hAnsi="宋体"/>
          <w:b/>
          <w:color w:val="auto"/>
        </w:rPr>
        <w:t>见投标人须知前附表。</w:t>
      </w:r>
    </w:p>
    <w:p w14:paraId="10B2CF96">
      <w:pPr>
        <w:spacing w:line="360" w:lineRule="auto"/>
        <w:ind w:firstLine="420" w:firstLineChars="200"/>
        <w:rPr>
          <w:rFonts w:ascii="宋体" w:hAnsi="宋体"/>
          <w:bCs/>
          <w:color w:val="auto"/>
        </w:rPr>
      </w:pPr>
      <w:r>
        <w:rPr>
          <w:rFonts w:hint="eastAsia" w:ascii="宋体" w:hAnsi="宋体"/>
          <w:bCs/>
          <w:color w:val="auto"/>
        </w:rPr>
        <w:t>2.2.3招标澄清和补遗全部通过网络送达，请投标人在开标截止日前，务必查询网站信息，投标人自行登录云南省公共资源交易信息网获取澄清，如果澄清发出的时间距投标人须知前附表规定的投标截止时间不足15天，并且澄清内容影响投标文件编制的，应相应延长投标截止时间。</w:t>
      </w:r>
    </w:p>
    <w:p w14:paraId="08A14A75">
      <w:pPr>
        <w:pStyle w:val="6"/>
        <w:rPr>
          <w:rFonts w:hAnsi="宋体"/>
          <w:color w:val="auto"/>
        </w:rPr>
      </w:pPr>
      <w:r>
        <w:rPr>
          <w:rFonts w:hint="eastAsia" w:hAnsi="宋体"/>
          <w:color w:val="auto"/>
        </w:rPr>
        <w:t>2.3 招标文件的修改</w:t>
      </w:r>
    </w:p>
    <w:p w14:paraId="79FBEF09">
      <w:pPr>
        <w:spacing w:line="360" w:lineRule="auto"/>
        <w:ind w:firstLine="420" w:firstLineChars="200"/>
        <w:rPr>
          <w:rFonts w:ascii="宋体" w:hAnsi="宋体"/>
          <w:bCs/>
          <w:color w:val="auto"/>
        </w:rPr>
      </w:pPr>
      <w:bookmarkStart w:id="47" w:name="_Toc449518381"/>
      <w:bookmarkStart w:id="48" w:name="_Toc184635073"/>
      <w:r>
        <w:rPr>
          <w:rFonts w:hint="eastAsia" w:ascii="宋体" w:hAnsi="宋体"/>
          <w:bCs/>
          <w:color w:val="auto"/>
        </w:rPr>
        <w:t>2.3.1在投标截止时间15天前，</w:t>
      </w:r>
      <w:r>
        <w:rPr>
          <w:rFonts w:hint="eastAsia" w:ascii="宋体" w:hAnsi="宋体"/>
          <w:bCs/>
          <w:color w:val="auto"/>
          <w:lang w:eastAsia="zh-CN"/>
        </w:rPr>
        <w:t>若确实</w:t>
      </w:r>
      <w:r>
        <w:rPr>
          <w:rFonts w:hint="eastAsia" w:ascii="宋体" w:hAnsi="宋体"/>
          <w:bCs/>
          <w:color w:val="auto"/>
        </w:rPr>
        <w:t>需要变更招标文件</w:t>
      </w:r>
      <w:r>
        <w:rPr>
          <w:rFonts w:hint="eastAsia" w:ascii="宋体" w:hAnsi="宋体"/>
          <w:bCs/>
          <w:color w:val="auto"/>
          <w:lang w:eastAsia="zh-CN"/>
        </w:rPr>
        <w:t>内容</w:t>
      </w:r>
      <w:r>
        <w:rPr>
          <w:rFonts w:hint="eastAsia" w:ascii="宋体" w:hAnsi="宋体"/>
          <w:bCs/>
          <w:color w:val="auto"/>
        </w:rPr>
        <w:t>，招标人可主动或在解答投标人提出的澄清问题时对招标文件进行修改，并同时报主管部门备案。</w:t>
      </w:r>
    </w:p>
    <w:p w14:paraId="03EA04AC">
      <w:pPr>
        <w:spacing w:line="360" w:lineRule="auto"/>
        <w:ind w:firstLine="420" w:firstLineChars="200"/>
        <w:rPr>
          <w:rFonts w:ascii="宋体" w:hAnsi="宋体"/>
          <w:bCs/>
          <w:color w:val="auto"/>
        </w:rPr>
      </w:pPr>
      <w:r>
        <w:rPr>
          <w:rFonts w:hint="eastAsia" w:ascii="宋体" w:hAnsi="宋体"/>
          <w:bCs/>
          <w:color w:val="auto"/>
        </w:rPr>
        <w:t>招标人对评标办法</w:t>
      </w:r>
      <w:r>
        <w:rPr>
          <w:rFonts w:hint="eastAsia" w:ascii="宋体" w:hAnsi="宋体"/>
          <w:bCs/>
          <w:color w:val="auto"/>
          <w:lang w:eastAsia="zh-CN"/>
        </w:rPr>
        <w:t>作出</w:t>
      </w:r>
      <w:r>
        <w:rPr>
          <w:rFonts w:hint="eastAsia" w:ascii="宋体" w:hAnsi="宋体"/>
          <w:bCs/>
          <w:color w:val="auto"/>
        </w:rPr>
        <w:t>变更的，需要重新制作电子招标文件，并重新备案，同时发布补遗文件进行说明</w:t>
      </w:r>
      <w:r>
        <w:rPr>
          <w:rFonts w:hint="eastAsia" w:ascii="宋体" w:hAnsi="宋体"/>
          <w:bCs/>
          <w:color w:val="auto"/>
          <w:lang w:eastAsia="zh-CN"/>
        </w:rPr>
        <w:t>，以</w:t>
      </w:r>
      <w:r>
        <w:rPr>
          <w:rFonts w:hint="eastAsia" w:ascii="宋体" w:hAnsi="宋体"/>
          <w:bCs/>
          <w:color w:val="auto"/>
        </w:rPr>
        <w:t>保证各投标人都能重新下载最新的电子招标文件用于编制电子投标文件。</w:t>
      </w:r>
    </w:p>
    <w:p w14:paraId="7D94F5C0">
      <w:pPr>
        <w:spacing w:line="360" w:lineRule="auto"/>
        <w:ind w:firstLine="420" w:firstLineChars="200"/>
        <w:rPr>
          <w:rFonts w:ascii="宋体" w:hAnsi="宋体"/>
          <w:bCs/>
          <w:color w:val="auto"/>
        </w:rPr>
      </w:pPr>
      <w:r>
        <w:rPr>
          <w:rFonts w:hint="eastAsia" w:ascii="宋体" w:hAnsi="宋体"/>
          <w:bCs/>
          <w:color w:val="auto"/>
        </w:rPr>
        <w:t>招标文件的修改将在“云南省公共资源交易信息网”发布，招标文件的修改作为招标文件的组成部分，并具有约束力。但如果修改招标文件的时间距投标截止时间不足15天，并且修改内容影响投标文件编制的，应相应延长投标截止时间。</w:t>
      </w:r>
    </w:p>
    <w:p w14:paraId="37E5D481">
      <w:pPr>
        <w:spacing w:line="360" w:lineRule="auto"/>
        <w:ind w:firstLine="420" w:firstLineChars="200"/>
        <w:rPr>
          <w:rFonts w:ascii="宋体" w:hAnsi="宋体"/>
          <w:bCs/>
          <w:color w:val="auto"/>
        </w:rPr>
      </w:pPr>
      <w:r>
        <w:rPr>
          <w:rFonts w:hint="eastAsia" w:ascii="宋体" w:hAnsi="宋体"/>
          <w:bCs/>
          <w:color w:val="auto"/>
        </w:rPr>
        <w:t>2.3.2</w:t>
      </w:r>
      <w:r>
        <w:rPr>
          <w:rFonts w:hint="eastAsia" w:ascii="宋体" w:hAnsi="宋体"/>
          <w:bCs/>
          <w:color w:val="auto"/>
          <w:lang w:eastAsia="zh-CN"/>
        </w:rPr>
        <w:t xml:space="preserve"> 投标人</w:t>
      </w:r>
      <w:r>
        <w:rPr>
          <w:rFonts w:hint="eastAsia" w:ascii="宋体" w:hAnsi="宋体"/>
          <w:bCs/>
          <w:color w:val="auto"/>
        </w:rPr>
        <w:t>自行登录云南省公共资源交易信息网</w:t>
      </w:r>
      <w:r>
        <w:rPr>
          <w:rFonts w:hint="eastAsia" w:ascii="宋体" w:hAnsi="宋体"/>
          <w:bCs/>
          <w:color w:val="auto"/>
          <w:lang w:eastAsia="zh-CN"/>
        </w:rPr>
        <w:t>获取</w:t>
      </w:r>
      <w:r>
        <w:rPr>
          <w:rFonts w:hint="eastAsia" w:ascii="宋体" w:hAnsi="宋体"/>
          <w:bCs/>
          <w:color w:val="auto"/>
        </w:rPr>
        <w:t>修改内容。投标人应在投标截止时间前自行查看“云南省公共资源交易信息网”中有关该工程招标文件的答疑、补遗内容。否则，由此引起的投标损失自负。</w:t>
      </w:r>
    </w:p>
    <w:p w14:paraId="45E673F0">
      <w:pPr>
        <w:spacing w:line="360" w:lineRule="auto"/>
        <w:ind w:firstLine="420" w:firstLineChars="200"/>
        <w:rPr>
          <w:rFonts w:ascii="宋体" w:hAnsi="宋体"/>
          <w:bCs/>
          <w:color w:val="auto"/>
        </w:rPr>
      </w:pPr>
      <w:r>
        <w:rPr>
          <w:rFonts w:hint="eastAsia" w:ascii="宋体" w:hAnsi="宋体"/>
          <w:bCs/>
          <w:color w:val="auto"/>
        </w:rPr>
        <w:t>2.3.3潜在投标人或者其他利害关系人对招标文件有异议的，应当在投标截止时间10日前提出。招标人应当自收到异议之日起3日内作出答复；作出答复前，应当暂停招标投标活动。</w:t>
      </w:r>
    </w:p>
    <w:p w14:paraId="5C508D25">
      <w:pPr>
        <w:spacing w:line="360" w:lineRule="auto"/>
        <w:ind w:firstLine="420" w:firstLineChars="200"/>
        <w:rPr>
          <w:rFonts w:ascii="宋体" w:hAnsi="宋体"/>
          <w:bCs/>
          <w:color w:val="auto"/>
        </w:rPr>
      </w:pPr>
      <w:r>
        <w:rPr>
          <w:rFonts w:hint="eastAsia" w:ascii="宋体" w:hAnsi="宋体"/>
          <w:bCs/>
          <w:color w:val="auto"/>
        </w:rPr>
        <w:t>2.3.4招标文件、招标文件澄清、招标文件修改文件内容均以网上发布的为准，当招标文件、招标文件澄清、招标文件修改文件内容相互矛盾时，以最后发出的</w:t>
      </w:r>
      <w:r>
        <w:rPr>
          <w:rFonts w:hint="eastAsia" w:ascii="宋体" w:hAnsi="宋体"/>
          <w:bCs/>
          <w:color w:val="auto"/>
          <w:lang w:eastAsia="zh-CN"/>
        </w:rPr>
        <w:t>文件为准</w:t>
      </w:r>
      <w:r>
        <w:rPr>
          <w:rFonts w:hint="eastAsia" w:ascii="宋体" w:hAnsi="宋体"/>
          <w:bCs/>
          <w:color w:val="auto"/>
        </w:rPr>
        <w:t>。</w:t>
      </w:r>
    </w:p>
    <w:p w14:paraId="4F6BDDEE">
      <w:pPr>
        <w:pStyle w:val="5"/>
        <w:spacing w:before="156"/>
        <w:rPr>
          <w:color w:val="auto"/>
        </w:rPr>
      </w:pPr>
      <w:bookmarkStart w:id="49" w:name="_Toc281"/>
      <w:bookmarkStart w:id="50" w:name="_Toc85443482"/>
      <w:bookmarkStart w:id="51" w:name="_Toc14971"/>
      <w:r>
        <w:rPr>
          <w:rFonts w:hint="eastAsia"/>
          <w:color w:val="auto"/>
          <w:lang w:eastAsia="zh-CN"/>
        </w:rPr>
        <w:t>3.</w:t>
      </w:r>
      <w:r>
        <w:rPr>
          <w:rFonts w:hint="eastAsia"/>
          <w:color w:val="auto"/>
        </w:rPr>
        <w:t>投标文件</w:t>
      </w:r>
      <w:bookmarkEnd w:id="47"/>
      <w:bookmarkEnd w:id="48"/>
      <w:bookmarkEnd w:id="49"/>
      <w:bookmarkEnd w:id="50"/>
      <w:bookmarkEnd w:id="51"/>
    </w:p>
    <w:p w14:paraId="55AD845A">
      <w:pPr>
        <w:pStyle w:val="6"/>
        <w:rPr>
          <w:rFonts w:hAnsi="宋体"/>
          <w:color w:val="auto"/>
        </w:rPr>
      </w:pPr>
      <w:r>
        <w:rPr>
          <w:rFonts w:hint="eastAsia" w:hAnsi="宋体"/>
          <w:color w:val="auto"/>
        </w:rPr>
        <w:t>3.1 投标文件的组成</w:t>
      </w:r>
    </w:p>
    <w:p w14:paraId="752C6121">
      <w:pPr>
        <w:spacing w:line="360" w:lineRule="auto"/>
        <w:ind w:firstLine="420" w:firstLineChars="200"/>
        <w:rPr>
          <w:rFonts w:ascii="宋体" w:hAnsi="宋体"/>
          <w:color w:val="auto"/>
          <w:szCs w:val="21"/>
        </w:rPr>
      </w:pPr>
      <w:r>
        <w:rPr>
          <w:rFonts w:hint="eastAsia" w:ascii="宋体" w:hAnsi="宋体"/>
          <w:color w:val="auto"/>
          <w:szCs w:val="21"/>
        </w:rPr>
        <w:t>　3.1.1 投标文件应包括下列内容：</w:t>
      </w:r>
    </w:p>
    <w:p w14:paraId="01F69D46">
      <w:pPr>
        <w:spacing w:line="360" w:lineRule="auto"/>
        <w:ind w:firstLine="420" w:firstLineChars="200"/>
        <w:rPr>
          <w:rFonts w:ascii="宋体" w:hAnsi="宋体"/>
          <w:color w:val="auto"/>
          <w:szCs w:val="21"/>
        </w:rPr>
      </w:pPr>
      <w:r>
        <w:rPr>
          <w:rFonts w:hint="eastAsia" w:ascii="宋体" w:hAnsi="宋体"/>
          <w:color w:val="auto"/>
          <w:szCs w:val="21"/>
        </w:rPr>
        <w:t>一、投标函及投标函附录</w:t>
      </w:r>
    </w:p>
    <w:p w14:paraId="5460BA66">
      <w:pPr>
        <w:spacing w:line="360" w:lineRule="auto"/>
        <w:ind w:firstLine="420" w:firstLineChars="200"/>
        <w:rPr>
          <w:rFonts w:ascii="宋体" w:hAnsi="宋体"/>
          <w:color w:val="auto"/>
          <w:szCs w:val="21"/>
        </w:rPr>
      </w:pPr>
      <w:r>
        <w:rPr>
          <w:rFonts w:hint="eastAsia" w:ascii="宋体" w:hAnsi="宋体"/>
          <w:color w:val="auto"/>
          <w:szCs w:val="21"/>
        </w:rPr>
        <w:t>二、法定代表人身份证明</w:t>
      </w:r>
    </w:p>
    <w:p w14:paraId="0247FDE5">
      <w:pPr>
        <w:spacing w:line="360" w:lineRule="auto"/>
        <w:ind w:firstLine="420" w:firstLineChars="200"/>
        <w:rPr>
          <w:rFonts w:ascii="宋体" w:hAnsi="宋体"/>
          <w:color w:val="auto"/>
          <w:szCs w:val="21"/>
        </w:rPr>
      </w:pPr>
      <w:r>
        <w:rPr>
          <w:rFonts w:hint="eastAsia" w:ascii="宋体" w:hAnsi="宋体"/>
          <w:color w:val="auto"/>
          <w:szCs w:val="21"/>
        </w:rPr>
        <w:t>三、法定代表人授权委托书</w:t>
      </w:r>
    </w:p>
    <w:p w14:paraId="4ACA23CC">
      <w:pPr>
        <w:spacing w:line="360" w:lineRule="auto"/>
        <w:ind w:firstLine="420" w:firstLineChars="200"/>
        <w:rPr>
          <w:rFonts w:ascii="宋体" w:hAnsi="宋体"/>
          <w:color w:val="auto"/>
          <w:szCs w:val="21"/>
        </w:rPr>
      </w:pPr>
      <w:r>
        <w:rPr>
          <w:rFonts w:hint="eastAsia" w:ascii="宋体" w:hAnsi="宋体"/>
          <w:color w:val="auto"/>
          <w:szCs w:val="21"/>
        </w:rPr>
        <w:t>四、联合体协议书</w:t>
      </w:r>
    </w:p>
    <w:p w14:paraId="501340A7">
      <w:pPr>
        <w:spacing w:line="360" w:lineRule="auto"/>
        <w:ind w:firstLine="420" w:firstLineChars="200"/>
        <w:rPr>
          <w:rFonts w:ascii="宋体" w:hAnsi="宋体"/>
          <w:color w:val="auto"/>
          <w:szCs w:val="21"/>
        </w:rPr>
      </w:pPr>
      <w:r>
        <w:rPr>
          <w:rFonts w:hint="eastAsia" w:ascii="宋体" w:hAnsi="宋体"/>
          <w:color w:val="auto"/>
          <w:szCs w:val="21"/>
        </w:rPr>
        <w:t>五、投标单位设计资质证书、勘察资质证书和施工资质证书</w:t>
      </w:r>
    </w:p>
    <w:p w14:paraId="796F3493">
      <w:pPr>
        <w:spacing w:line="360" w:lineRule="auto"/>
        <w:ind w:firstLine="420" w:firstLineChars="200"/>
        <w:rPr>
          <w:rFonts w:ascii="宋体" w:hAnsi="宋体"/>
          <w:color w:val="auto"/>
          <w:szCs w:val="21"/>
        </w:rPr>
      </w:pPr>
      <w:r>
        <w:rPr>
          <w:rFonts w:hint="eastAsia" w:ascii="宋体" w:hAnsi="宋体"/>
          <w:color w:val="auto"/>
          <w:szCs w:val="21"/>
        </w:rPr>
        <w:t xml:space="preserve">六、投标保证金 </w:t>
      </w:r>
    </w:p>
    <w:p w14:paraId="3343525D">
      <w:pPr>
        <w:spacing w:line="360" w:lineRule="auto"/>
        <w:ind w:firstLine="420" w:firstLineChars="200"/>
        <w:rPr>
          <w:rFonts w:hint="eastAsia" w:ascii="宋体" w:hAnsi="宋体"/>
          <w:color w:val="auto"/>
          <w:szCs w:val="21"/>
        </w:rPr>
      </w:pPr>
      <w:r>
        <w:rPr>
          <w:rFonts w:hint="eastAsia" w:ascii="宋体" w:hAnsi="宋体"/>
          <w:color w:val="auto"/>
          <w:szCs w:val="21"/>
        </w:rPr>
        <w:t>七、施工实施方案</w:t>
      </w:r>
    </w:p>
    <w:p w14:paraId="0E624929">
      <w:pPr>
        <w:spacing w:line="360" w:lineRule="auto"/>
        <w:ind w:firstLine="420" w:firstLineChars="200"/>
        <w:rPr>
          <w:rFonts w:ascii="宋体" w:hAnsi="宋体"/>
          <w:color w:val="auto"/>
          <w:szCs w:val="21"/>
        </w:rPr>
      </w:pPr>
      <w:r>
        <w:rPr>
          <w:rFonts w:hint="eastAsia" w:ascii="宋体" w:hAnsi="宋体"/>
          <w:color w:val="auto"/>
          <w:szCs w:val="21"/>
        </w:rPr>
        <w:t>八、设计工作方案</w:t>
      </w:r>
    </w:p>
    <w:p w14:paraId="4F5AEF3A">
      <w:pPr>
        <w:spacing w:line="360" w:lineRule="auto"/>
        <w:ind w:firstLine="420" w:firstLineChars="200"/>
        <w:rPr>
          <w:rFonts w:ascii="宋体" w:hAnsi="宋体"/>
          <w:color w:val="auto"/>
          <w:szCs w:val="21"/>
        </w:rPr>
      </w:pPr>
      <w:r>
        <w:rPr>
          <w:rFonts w:hint="eastAsia" w:ascii="宋体" w:hAnsi="宋体"/>
          <w:color w:val="auto"/>
          <w:szCs w:val="21"/>
        </w:rPr>
        <w:t>九、勘察工作方案</w:t>
      </w:r>
    </w:p>
    <w:p w14:paraId="6627FA26">
      <w:pPr>
        <w:spacing w:line="360" w:lineRule="auto"/>
        <w:ind w:firstLine="420" w:firstLineChars="200"/>
        <w:rPr>
          <w:rFonts w:ascii="宋体" w:hAnsi="宋体"/>
          <w:color w:val="auto"/>
          <w:szCs w:val="21"/>
        </w:rPr>
      </w:pPr>
      <w:r>
        <w:rPr>
          <w:rFonts w:hint="eastAsia" w:ascii="宋体" w:hAnsi="宋体"/>
          <w:color w:val="auto"/>
          <w:szCs w:val="21"/>
        </w:rPr>
        <w:t>十、施工计划</w:t>
      </w:r>
    </w:p>
    <w:p w14:paraId="375F53D7">
      <w:pPr>
        <w:spacing w:line="360" w:lineRule="auto"/>
        <w:ind w:firstLine="420" w:firstLineChars="200"/>
        <w:rPr>
          <w:rFonts w:ascii="宋体" w:hAnsi="宋体"/>
          <w:color w:val="auto"/>
          <w:szCs w:val="21"/>
        </w:rPr>
      </w:pPr>
      <w:r>
        <w:rPr>
          <w:rFonts w:hint="eastAsia" w:ascii="宋体" w:hAnsi="宋体"/>
          <w:color w:val="auto"/>
          <w:kern w:val="0"/>
        </w:rPr>
        <w:t>十一、</w:t>
      </w:r>
      <w:r>
        <w:rPr>
          <w:rFonts w:hint="eastAsia" w:ascii="宋体" w:hAnsi="宋体"/>
          <w:color w:val="auto"/>
          <w:kern w:val="0"/>
          <w:lang w:val="zh-TW" w:eastAsia="zh-TW"/>
        </w:rPr>
        <w:t>项目</w:t>
      </w:r>
      <w:r>
        <w:rPr>
          <w:rFonts w:hint="eastAsia" w:ascii="宋体" w:hAnsi="宋体"/>
          <w:color w:val="auto"/>
          <w:kern w:val="0"/>
        </w:rPr>
        <w:t>管理</w:t>
      </w:r>
      <w:r>
        <w:rPr>
          <w:rFonts w:hint="eastAsia" w:ascii="宋体" w:hAnsi="宋体"/>
          <w:color w:val="auto"/>
          <w:kern w:val="0"/>
          <w:lang w:val="zh-TW" w:eastAsia="zh-TW"/>
        </w:rPr>
        <w:t>组织机构及主要人员</w:t>
      </w:r>
    </w:p>
    <w:p w14:paraId="5E1DB07A">
      <w:pPr>
        <w:spacing w:line="360" w:lineRule="auto"/>
        <w:ind w:firstLine="420" w:firstLineChars="200"/>
        <w:rPr>
          <w:rFonts w:ascii="宋体" w:hAnsi="宋体"/>
          <w:color w:val="auto"/>
          <w:szCs w:val="21"/>
        </w:rPr>
      </w:pPr>
      <w:r>
        <w:rPr>
          <w:rFonts w:hint="eastAsia" w:ascii="宋体" w:hAnsi="宋体"/>
          <w:color w:val="auto"/>
          <w:szCs w:val="21"/>
        </w:rPr>
        <w:t>十二、安全文明施工保证措施</w:t>
      </w:r>
    </w:p>
    <w:p w14:paraId="394BFD2D">
      <w:pPr>
        <w:spacing w:line="360" w:lineRule="auto"/>
        <w:ind w:firstLine="420" w:firstLineChars="200"/>
        <w:rPr>
          <w:rFonts w:ascii="宋体" w:hAnsi="宋体"/>
          <w:color w:val="auto"/>
          <w:szCs w:val="21"/>
        </w:rPr>
      </w:pPr>
      <w:r>
        <w:rPr>
          <w:rFonts w:hint="eastAsia" w:ascii="宋体" w:hAnsi="宋体"/>
          <w:color w:val="auto"/>
          <w:szCs w:val="21"/>
        </w:rPr>
        <w:t>十三、后续服务承诺及保证措施</w:t>
      </w:r>
    </w:p>
    <w:p w14:paraId="4990EF4A">
      <w:pPr>
        <w:spacing w:line="360" w:lineRule="auto"/>
        <w:ind w:firstLine="420" w:firstLineChars="200"/>
        <w:rPr>
          <w:rFonts w:ascii="宋体" w:hAnsi="宋体"/>
          <w:color w:val="auto"/>
          <w:szCs w:val="21"/>
        </w:rPr>
      </w:pPr>
      <w:r>
        <w:rPr>
          <w:rFonts w:hint="eastAsia" w:ascii="宋体" w:hAnsi="宋体"/>
          <w:color w:val="auto"/>
          <w:szCs w:val="21"/>
        </w:rPr>
        <w:t>十四、质量保证措施</w:t>
      </w:r>
    </w:p>
    <w:p w14:paraId="2F9C96AF">
      <w:pPr>
        <w:spacing w:line="360" w:lineRule="auto"/>
        <w:ind w:firstLine="420" w:firstLineChars="200"/>
        <w:rPr>
          <w:rFonts w:ascii="宋体" w:hAnsi="宋体"/>
          <w:color w:val="auto"/>
          <w:szCs w:val="21"/>
        </w:rPr>
      </w:pPr>
      <w:r>
        <w:rPr>
          <w:rFonts w:hint="eastAsia" w:ascii="宋体" w:hAnsi="宋体"/>
          <w:color w:val="auto"/>
          <w:szCs w:val="21"/>
        </w:rPr>
        <w:t>十五、资格审查资料</w:t>
      </w:r>
    </w:p>
    <w:p w14:paraId="39766E1C">
      <w:pPr>
        <w:spacing w:line="360" w:lineRule="auto"/>
        <w:ind w:firstLine="420" w:firstLineChars="200"/>
        <w:rPr>
          <w:rFonts w:ascii="宋体" w:hAnsi="宋体"/>
          <w:color w:val="auto"/>
          <w:szCs w:val="21"/>
        </w:rPr>
      </w:pPr>
      <w:r>
        <w:rPr>
          <w:rFonts w:hint="eastAsia" w:ascii="宋体" w:hAnsi="宋体"/>
          <w:color w:val="auto"/>
          <w:szCs w:val="21"/>
        </w:rPr>
        <w:t xml:space="preserve">十六、其他资料 </w:t>
      </w:r>
    </w:p>
    <w:p w14:paraId="78A167A1">
      <w:pPr>
        <w:spacing w:line="360" w:lineRule="auto"/>
        <w:ind w:firstLine="420" w:firstLineChars="200"/>
        <w:rPr>
          <w:rFonts w:ascii="宋体" w:hAnsi="宋体"/>
          <w:color w:val="auto"/>
          <w:szCs w:val="21"/>
        </w:rPr>
      </w:pPr>
      <w:r>
        <w:rPr>
          <w:rFonts w:hint="eastAsia" w:ascii="宋体" w:hAnsi="宋体"/>
          <w:color w:val="auto"/>
          <w:szCs w:val="21"/>
        </w:rPr>
        <w:t xml:space="preserve"> 3.1.2 投标人须知前附表规定不接受联合体投标的，或投标人没有组成联合体的，投标文件不包括本章第3.1.1（</w:t>
      </w:r>
      <w:r>
        <w:rPr>
          <w:rFonts w:ascii="宋体" w:hAnsi="宋体"/>
          <w:color w:val="auto"/>
          <w:szCs w:val="21"/>
        </w:rPr>
        <w:t>4</w:t>
      </w:r>
      <w:r>
        <w:rPr>
          <w:rFonts w:hint="eastAsia" w:ascii="宋体" w:hAnsi="宋体"/>
          <w:color w:val="auto"/>
          <w:szCs w:val="21"/>
        </w:rPr>
        <w:t>）目所指的联合体协议书。</w:t>
      </w:r>
    </w:p>
    <w:p w14:paraId="754ECD48">
      <w:pPr>
        <w:pStyle w:val="6"/>
        <w:rPr>
          <w:rFonts w:hAnsi="宋体"/>
          <w:color w:val="auto"/>
        </w:rPr>
      </w:pPr>
      <w:r>
        <w:rPr>
          <w:rFonts w:hint="eastAsia" w:hAnsi="宋体"/>
          <w:color w:val="auto"/>
        </w:rPr>
        <w:t>3.2 投标报价</w:t>
      </w:r>
    </w:p>
    <w:p w14:paraId="2581053D">
      <w:pPr>
        <w:spacing w:line="360" w:lineRule="auto"/>
        <w:ind w:firstLine="420" w:firstLineChars="200"/>
        <w:rPr>
          <w:rFonts w:ascii="宋体" w:hAnsi="宋体"/>
          <w:color w:val="auto"/>
          <w:szCs w:val="21"/>
        </w:rPr>
      </w:pPr>
      <w:r>
        <w:rPr>
          <w:rFonts w:hint="eastAsia" w:ascii="宋体" w:hAnsi="宋体"/>
          <w:color w:val="auto"/>
          <w:szCs w:val="21"/>
        </w:rPr>
        <w:t>3.2.1 投标人应按第五章“投标文件格式”的要求填写。</w:t>
      </w:r>
    </w:p>
    <w:p w14:paraId="189EEB7A">
      <w:pPr>
        <w:spacing w:line="360" w:lineRule="auto"/>
        <w:ind w:firstLine="420" w:firstLineChars="200"/>
        <w:rPr>
          <w:rFonts w:ascii="宋体" w:hAnsi="宋体"/>
          <w:color w:val="auto"/>
          <w:szCs w:val="21"/>
        </w:rPr>
      </w:pPr>
      <w:r>
        <w:rPr>
          <w:rFonts w:hint="eastAsia" w:ascii="宋体" w:hAnsi="宋体"/>
          <w:color w:val="auto"/>
          <w:szCs w:val="21"/>
        </w:rPr>
        <w:t>3.2.2 投标人应充分了解施工场地的位置、周边环境、道路、装卸、保管、安装限制以及影响投标报价的其他要素。投标人根据投标设计，结合市场情况进行投标报价，报价包含所有费用。</w:t>
      </w:r>
    </w:p>
    <w:p w14:paraId="78090183">
      <w:pPr>
        <w:spacing w:line="360" w:lineRule="auto"/>
        <w:ind w:firstLine="420" w:firstLineChars="200"/>
        <w:rPr>
          <w:rFonts w:ascii="宋体" w:hAnsi="宋体"/>
          <w:color w:val="auto"/>
          <w:szCs w:val="21"/>
        </w:rPr>
      </w:pPr>
      <w:r>
        <w:rPr>
          <w:rFonts w:hint="eastAsia" w:ascii="宋体" w:hAnsi="宋体"/>
          <w:color w:val="auto"/>
          <w:szCs w:val="21"/>
        </w:rPr>
        <w:t>3.2.3 投标人在投标截止时间前修改投标函中的投标报价总额，应同时修改投标文件中的相应报价，投标报价总额为各分项金额之和。此修改须符合本章第4.3款的有关要求。</w:t>
      </w:r>
    </w:p>
    <w:p w14:paraId="2F974442">
      <w:pPr>
        <w:spacing w:line="360" w:lineRule="auto"/>
        <w:ind w:firstLine="420" w:firstLineChars="200"/>
        <w:rPr>
          <w:rFonts w:ascii="宋体" w:hAnsi="宋体"/>
          <w:color w:val="auto"/>
          <w:szCs w:val="21"/>
        </w:rPr>
      </w:pPr>
      <w:r>
        <w:rPr>
          <w:rFonts w:hint="eastAsia" w:ascii="宋体" w:hAnsi="宋体"/>
          <w:color w:val="auto"/>
          <w:szCs w:val="21"/>
        </w:rPr>
        <w:t>3.2.4 招标人设有最高投标限价的，投标人的投标报价不得超过最高投标限价，最高投标限价或其计算方法在投标人须知前附表中载明。</w:t>
      </w:r>
    </w:p>
    <w:p w14:paraId="354AA35A">
      <w:pPr>
        <w:pStyle w:val="6"/>
        <w:rPr>
          <w:rFonts w:hAnsi="宋体"/>
          <w:color w:val="auto"/>
        </w:rPr>
      </w:pPr>
      <w:r>
        <w:rPr>
          <w:rFonts w:hint="eastAsia" w:hAnsi="宋体"/>
          <w:color w:val="auto"/>
        </w:rPr>
        <w:t>3.3 投标有效期</w:t>
      </w:r>
    </w:p>
    <w:p w14:paraId="785C0474">
      <w:pPr>
        <w:spacing w:line="360" w:lineRule="auto"/>
        <w:ind w:firstLine="420" w:firstLineChars="200"/>
        <w:rPr>
          <w:rFonts w:ascii="宋体" w:hAnsi="宋体"/>
          <w:color w:val="auto"/>
          <w:szCs w:val="21"/>
        </w:rPr>
      </w:pPr>
      <w:r>
        <w:rPr>
          <w:rFonts w:hint="eastAsia" w:ascii="宋体" w:hAnsi="宋体"/>
          <w:color w:val="auto"/>
          <w:szCs w:val="21"/>
        </w:rPr>
        <w:t>3.3.1 除投标人须知前附表另有规定外，投标有效期为</w:t>
      </w:r>
      <w:r>
        <w:rPr>
          <w:rFonts w:ascii="宋体" w:hAnsi="宋体"/>
          <w:color w:val="auto"/>
          <w:szCs w:val="21"/>
        </w:rPr>
        <w:t>9</w:t>
      </w:r>
      <w:r>
        <w:rPr>
          <w:rFonts w:hint="eastAsia" w:ascii="宋体" w:hAnsi="宋体"/>
          <w:color w:val="auto"/>
          <w:szCs w:val="21"/>
        </w:rPr>
        <w:t>0天。</w:t>
      </w:r>
    </w:p>
    <w:p w14:paraId="655C46C7">
      <w:pPr>
        <w:spacing w:line="360" w:lineRule="auto"/>
        <w:ind w:firstLine="420" w:firstLineChars="200"/>
        <w:rPr>
          <w:rFonts w:ascii="宋体" w:hAnsi="宋体"/>
          <w:color w:val="auto"/>
          <w:szCs w:val="21"/>
        </w:rPr>
      </w:pPr>
      <w:r>
        <w:rPr>
          <w:rFonts w:hint="eastAsia" w:ascii="宋体" w:hAnsi="宋体"/>
          <w:color w:val="auto"/>
          <w:szCs w:val="21"/>
        </w:rPr>
        <w:t>3.3.2 在投标有效期内，投标人撤销或修改其投标文件的，应承担招标文件和法律规定的责任。</w:t>
      </w:r>
    </w:p>
    <w:p w14:paraId="5682D292">
      <w:pPr>
        <w:spacing w:line="360" w:lineRule="auto"/>
        <w:ind w:firstLine="420" w:firstLineChars="200"/>
        <w:rPr>
          <w:rFonts w:ascii="宋体" w:hAnsi="宋体"/>
          <w:color w:val="auto"/>
          <w:szCs w:val="21"/>
        </w:rPr>
      </w:pPr>
      <w:r>
        <w:rPr>
          <w:rFonts w:hint="eastAsia" w:ascii="宋体" w:hAnsi="宋体"/>
          <w:color w:val="auto"/>
          <w:szCs w:val="21"/>
        </w:rPr>
        <w:t>3.3.3 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4183B0BC">
      <w:pPr>
        <w:pStyle w:val="6"/>
        <w:rPr>
          <w:rFonts w:hAnsi="宋体"/>
          <w:color w:val="auto"/>
        </w:rPr>
      </w:pPr>
      <w:r>
        <w:rPr>
          <w:rFonts w:hint="eastAsia" w:hAnsi="宋体"/>
          <w:color w:val="auto"/>
        </w:rPr>
        <w:t>3.</w:t>
      </w:r>
      <w:r>
        <w:rPr>
          <w:rFonts w:hAnsi="宋体"/>
          <w:color w:val="auto"/>
        </w:rPr>
        <w:t>4</w:t>
      </w:r>
      <w:r>
        <w:rPr>
          <w:rFonts w:hint="eastAsia" w:hAnsi="宋体"/>
          <w:color w:val="auto"/>
        </w:rPr>
        <w:t xml:space="preserve"> 资格审查资料</w:t>
      </w:r>
    </w:p>
    <w:p w14:paraId="61AC702C">
      <w:pPr>
        <w:spacing w:line="360" w:lineRule="auto"/>
        <w:ind w:firstLine="420" w:firstLineChars="200"/>
        <w:rPr>
          <w:rFonts w:ascii="宋体" w:hAnsi="宋体"/>
          <w:color w:val="auto"/>
          <w:szCs w:val="21"/>
        </w:rPr>
      </w:pPr>
      <w:r>
        <w:rPr>
          <w:rFonts w:hint="eastAsia" w:ascii="宋体" w:hAnsi="宋体"/>
          <w:color w:val="auto"/>
          <w:szCs w:val="21"/>
        </w:rPr>
        <w:t>3.</w:t>
      </w:r>
      <w:r>
        <w:rPr>
          <w:rFonts w:hint="eastAsia" w:ascii="宋体" w:hAnsi="宋体"/>
          <w:color w:val="auto"/>
          <w:szCs w:val="21"/>
          <w:lang w:val="en-US" w:eastAsia="zh-CN"/>
        </w:rPr>
        <w:t>4</w:t>
      </w:r>
      <w:r>
        <w:rPr>
          <w:rFonts w:hint="eastAsia" w:ascii="宋体" w:hAnsi="宋体"/>
          <w:color w:val="auto"/>
          <w:szCs w:val="21"/>
        </w:rPr>
        <w:t>.1 “投标人基本情况表”应附投标人营业执照、资质证书副本等材料的复印件。</w:t>
      </w:r>
    </w:p>
    <w:p w14:paraId="1CEF4104">
      <w:pPr>
        <w:spacing w:line="360" w:lineRule="auto"/>
        <w:ind w:firstLine="420" w:firstLineChars="200"/>
        <w:rPr>
          <w:rFonts w:ascii="宋体" w:hAnsi="宋体"/>
          <w:color w:val="auto"/>
          <w:szCs w:val="21"/>
        </w:rPr>
      </w:pPr>
      <w:r>
        <w:rPr>
          <w:rFonts w:hint="eastAsia" w:ascii="宋体" w:hAnsi="宋体"/>
          <w:color w:val="auto"/>
          <w:szCs w:val="21"/>
        </w:rPr>
        <w:t>3.</w:t>
      </w:r>
      <w:r>
        <w:rPr>
          <w:rFonts w:hint="eastAsia" w:ascii="宋体" w:hAnsi="宋体"/>
          <w:color w:val="auto"/>
          <w:szCs w:val="21"/>
          <w:lang w:val="en-US" w:eastAsia="zh-CN"/>
        </w:rPr>
        <w:t>4</w:t>
      </w:r>
      <w:r>
        <w:rPr>
          <w:rFonts w:hint="eastAsia" w:ascii="宋体" w:hAnsi="宋体"/>
          <w:color w:val="auto"/>
          <w:szCs w:val="21"/>
        </w:rPr>
        <w:t>.2 “近年财务状况表”应附经会计师事务所或审计机构审计的财务会计报表，包括资产负债表、现金流量表、利润表等复印件，具体年份要求见投标人须知前附表。</w:t>
      </w:r>
    </w:p>
    <w:p w14:paraId="7B944E78">
      <w:pPr>
        <w:spacing w:line="360" w:lineRule="auto"/>
        <w:ind w:firstLine="420" w:firstLineChars="200"/>
        <w:rPr>
          <w:rFonts w:ascii="宋体" w:hAnsi="宋体"/>
          <w:color w:val="auto"/>
          <w:szCs w:val="21"/>
        </w:rPr>
      </w:pPr>
      <w:r>
        <w:rPr>
          <w:rFonts w:hint="eastAsia" w:ascii="宋体" w:hAnsi="宋体"/>
          <w:color w:val="auto"/>
          <w:szCs w:val="21"/>
        </w:rPr>
        <w:t>3.</w:t>
      </w:r>
      <w:r>
        <w:rPr>
          <w:rFonts w:hint="eastAsia" w:ascii="宋体" w:hAnsi="宋体"/>
          <w:color w:val="auto"/>
          <w:szCs w:val="21"/>
          <w:lang w:val="en-US" w:eastAsia="zh-CN"/>
        </w:rPr>
        <w:t>4</w:t>
      </w:r>
      <w:r>
        <w:rPr>
          <w:rFonts w:hint="eastAsia" w:ascii="宋体" w:hAnsi="宋体"/>
          <w:color w:val="auto"/>
          <w:szCs w:val="21"/>
        </w:rPr>
        <w:t>.</w:t>
      </w:r>
      <w:r>
        <w:rPr>
          <w:rFonts w:ascii="宋体" w:hAnsi="宋体"/>
          <w:color w:val="auto"/>
          <w:szCs w:val="21"/>
        </w:rPr>
        <w:t>3</w:t>
      </w:r>
      <w:r>
        <w:rPr>
          <w:rFonts w:hint="eastAsia" w:ascii="宋体" w:hAnsi="宋体"/>
          <w:color w:val="auto"/>
          <w:szCs w:val="21"/>
        </w:rPr>
        <w:t xml:space="preserve"> “近</w:t>
      </w:r>
      <w:r>
        <w:rPr>
          <w:rFonts w:hint="eastAsia" w:ascii="宋体" w:hAnsi="宋体"/>
          <w:color w:val="auto"/>
          <w:szCs w:val="21"/>
          <w:lang w:eastAsia="zh-CN"/>
        </w:rPr>
        <w:t>年来</w:t>
      </w:r>
      <w:r>
        <w:rPr>
          <w:rFonts w:hint="eastAsia" w:ascii="宋体" w:hAnsi="宋体"/>
          <w:color w:val="auto"/>
          <w:szCs w:val="21"/>
        </w:rPr>
        <w:t>发生的重大诉讼及仲裁情况”应说明相关情况，并附法院或仲裁机构作出的判决、裁决等有关法律文书复印件，具体年份要求见投标人须知前附表。</w:t>
      </w:r>
    </w:p>
    <w:p w14:paraId="2963DB59">
      <w:pPr>
        <w:spacing w:line="360" w:lineRule="auto"/>
        <w:ind w:firstLine="420" w:firstLineChars="200"/>
        <w:rPr>
          <w:rFonts w:ascii="宋体" w:hAnsi="宋体"/>
          <w:color w:val="auto"/>
          <w:szCs w:val="21"/>
        </w:rPr>
      </w:pPr>
      <w:r>
        <w:rPr>
          <w:rFonts w:hint="eastAsia" w:ascii="宋体" w:hAnsi="宋体"/>
          <w:color w:val="auto"/>
          <w:szCs w:val="21"/>
        </w:rPr>
        <w:t>3.</w:t>
      </w:r>
      <w:r>
        <w:rPr>
          <w:rFonts w:hint="eastAsia" w:ascii="宋体" w:hAnsi="宋体"/>
          <w:color w:val="auto"/>
          <w:szCs w:val="21"/>
          <w:lang w:val="en-US" w:eastAsia="zh-CN"/>
        </w:rPr>
        <w:t>4</w:t>
      </w:r>
      <w:r>
        <w:rPr>
          <w:rFonts w:hint="eastAsia" w:ascii="宋体" w:hAnsi="宋体"/>
          <w:color w:val="auto"/>
          <w:szCs w:val="21"/>
        </w:rPr>
        <w:t>.</w:t>
      </w:r>
      <w:r>
        <w:rPr>
          <w:rFonts w:ascii="宋体" w:hAnsi="宋体"/>
          <w:color w:val="auto"/>
          <w:szCs w:val="21"/>
        </w:rPr>
        <w:t>4</w:t>
      </w:r>
      <w:r>
        <w:rPr>
          <w:rFonts w:hint="eastAsia" w:ascii="宋体" w:hAnsi="宋体"/>
          <w:color w:val="auto"/>
          <w:szCs w:val="21"/>
        </w:rPr>
        <w:t xml:space="preserve"> 投标人须知前附表规定接受联合体投标的，本章第3.5.1项至第3.5.</w:t>
      </w:r>
      <w:r>
        <w:rPr>
          <w:rFonts w:ascii="宋体" w:hAnsi="宋体"/>
          <w:color w:val="auto"/>
          <w:szCs w:val="21"/>
        </w:rPr>
        <w:t>3</w:t>
      </w:r>
      <w:r>
        <w:rPr>
          <w:rFonts w:hint="eastAsia" w:ascii="宋体" w:hAnsi="宋体"/>
          <w:color w:val="auto"/>
          <w:szCs w:val="21"/>
        </w:rPr>
        <w:t>项规定的表格和资料应包括联合体各方相关情况。</w:t>
      </w:r>
    </w:p>
    <w:p w14:paraId="51B6F308">
      <w:pPr>
        <w:pStyle w:val="6"/>
        <w:rPr>
          <w:rFonts w:hAnsi="宋体"/>
          <w:color w:val="auto"/>
        </w:rPr>
      </w:pPr>
      <w:r>
        <w:rPr>
          <w:rFonts w:hint="eastAsia" w:hAnsi="宋体"/>
          <w:color w:val="auto"/>
        </w:rPr>
        <w:t>3.</w:t>
      </w:r>
      <w:r>
        <w:rPr>
          <w:rFonts w:hAnsi="宋体"/>
          <w:color w:val="auto"/>
        </w:rPr>
        <w:t>5</w:t>
      </w:r>
      <w:r>
        <w:rPr>
          <w:rFonts w:hint="eastAsia" w:hAnsi="宋体"/>
          <w:color w:val="auto"/>
        </w:rPr>
        <w:t xml:space="preserve"> 备选投标方案</w:t>
      </w:r>
    </w:p>
    <w:p w14:paraId="3C1232E2">
      <w:pPr>
        <w:spacing w:line="360" w:lineRule="auto"/>
        <w:ind w:firstLine="420" w:firstLineChars="200"/>
        <w:rPr>
          <w:rFonts w:ascii="宋体" w:hAnsi="宋体"/>
          <w:color w:val="auto"/>
          <w:szCs w:val="21"/>
        </w:rPr>
      </w:pPr>
      <w:r>
        <w:rPr>
          <w:rFonts w:hint="eastAsia" w:ascii="宋体" w:hAnsi="宋体"/>
          <w:color w:val="auto"/>
          <w:szCs w:val="21"/>
        </w:rPr>
        <w:t>除投标人须知前附表另有规定外，投标人不得递交备选投标方案。允许投标人递交备选投标方案的，只有中标人所递交的备选投标方案方可予以考虑。评标委员会认为中标人的备选投标方案优于其按照招标文件要求编制的投标方案的，招标人可以接受该备选投标方案。</w:t>
      </w:r>
    </w:p>
    <w:p w14:paraId="4BCB0718">
      <w:pPr>
        <w:pStyle w:val="6"/>
        <w:rPr>
          <w:rFonts w:hAnsi="宋体"/>
          <w:color w:val="auto"/>
        </w:rPr>
      </w:pPr>
      <w:r>
        <w:rPr>
          <w:rFonts w:hint="eastAsia" w:hAnsi="宋体"/>
          <w:color w:val="auto"/>
        </w:rPr>
        <w:t>3.</w:t>
      </w:r>
      <w:r>
        <w:rPr>
          <w:rFonts w:hAnsi="宋体"/>
          <w:color w:val="auto"/>
        </w:rPr>
        <w:t>6</w:t>
      </w:r>
      <w:r>
        <w:rPr>
          <w:rFonts w:hint="eastAsia" w:hAnsi="宋体"/>
          <w:color w:val="auto"/>
        </w:rPr>
        <w:t>投标文件的编制</w:t>
      </w:r>
    </w:p>
    <w:p w14:paraId="34E33693">
      <w:pPr>
        <w:spacing w:line="360" w:lineRule="auto"/>
        <w:ind w:firstLine="420" w:firstLineChars="200"/>
        <w:rPr>
          <w:rFonts w:ascii="宋体" w:hAnsi="宋体"/>
          <w:bCs/>
          <w:color w:val="auto"/>
        </w:rPr>
      </w:pPr>
      <w:bookmarkStart w:id="52" w:name="_Toc184635074"/>
      <w:bookmarkStart w:id="53" w:name="_Toc449518382"/>
      <w:r>
        <w:rPr>
          <w:rFonts w:hint="eastAsia" w:ascii="宋体" w:hAnsi="宋体"/>
          <w:bCs/>
          <w:color w:val="auto"/>
        </w:rPr>
        <w:t>3.6.1 电子投标文件必须使用《云南省工程建设模块化投标文件编制系统》制作（电子投标文件，格式为*.BTBJ）。</w:t>
      </w:r>
    </w:p>
    <w:p w14:paraId="11978188">
      <w:pPr>
        <w:spacing w:line="360" w:lineRule="auto"/>
        <w:ind w:firstLine="420" w:firstLineChars="200"/>
        <w:rPr>
          <w:rFonts w:ascii="宋体" w:hAnsi="宋体"/>
          <w:bCs/>
          <w:color w:val="auto"/>
        </w:rPr>
      </w:pPr>
      <w:r>
        <w:rPr>
          <w:rFonts w:hint="eastAsia" w:ascii="宋体" w:hAnsi="宋体"/>
          <w:bCs/>
          <w:color w:val="auto"/>
        </w:rPr>
        <w:t>3.6.2如投标人上传的电子标书不符合3.6.1要求或开标时无法读取导入或解密，其投标文件将不予受理。</w:t>
      </w:r>
    </w:p>
    <w:p w14:paraId="1CCBE2C6">
      <w:pPr>
        <w:spacing w:line="360" w:lineRule="auto"/>
        <w:ind w:firstLine="420" w:firstLineChars="200"/>
        <w:rPr>
          <w:rFonts w:ascii="宋体" w:hAnsi="宋体"/>
          <w:bCs/>
          <w:color w:val="auto"/>
        </w:rPr>
      </w:pPr>
      <w:r>
        <w:rPr>
          <w:rFonts w:hint="eastAsia" w:ascii="宋体" w:hAnsi="宋体"/>
          <w:bCs/>
          <w:color w:val="auto"/>
        </w:rPr>
        <w:t>3.6.3投标文件应当对招标文件有关工期、投标有效期、质量要求、技术标准和要求、招标范围等实质性内容作出响应。</w:t>
      </w:r>
    </w:p>
    <w:p w14:paraId="7CB7FC23">
      <w:pPr>
        <w:spacing w:line="360" w:lineRule="auto"/>
        <w:ind w:firstLine="420" w:firstLineChars="200"/>
        <w:rPr>
          <w:rFonts w:ascii="宋体" w:hAnsi="宋体"/>
          <w:b/>
          <w:color w:val="auto"/>
        </w:rPr>
      </w:pPr>
      <w:r>
        <w:rPr>
          <w:rFonts w:hint="eastAsia" w:ascii="宋体" w:hAnsi="宋体"/>
          <w:bCs/>
          <w:color w:val="auto"/>
        </w:rPr>
        <w:t>3.6.4投标文件电子签章及电子签名要求：</w:t>
      </w:r>
      <w:r>
        <w:rPr>
          <w:rFonts w:hint="eastAsia" w:ascii="宋体" w:hAnsi="宋体"/>
          <w:b/>
          <w:color w:val="auto"/>
        </w:rPr>
        <w:t>见投标人须知前附表。</w:t>
      </w:r>
    </w:p>
    <w:p w14:paraId="2D20614D">
      <w:pPr>
        <w:pStyle w:val="5"/>
        <w:spacing w:before="156"/>
        <w:rPr>
          <w:color w:val="auto"/>
        </w:rPr>
      </w:pPr>
      <w:bookmarkStart w:id="54" w:name="_Toc85443483"/>
      <w:bookmarkStart w:id="55" w:name="_Toc23692"/>
      <w:bookmarkStart w:id="56" w:name="_Toc15070"/>
      <w:r>
        <w:rPr>
          <w:rFonts w:hint="eastAsia"/>
          <w:color w:val="auto"/>
          <w:lang w:eastAsia="zh-CN"/>
        </w:rPr>
        <w:t>4.</w:t>
      </w:r>
      <w:r>
        <w:rPr>
          <w:rFonts w:hint="eastAsia"/>
          <w:color w:val="auto"/>
        </w:rPr>
        <w:t>投标</w:t>
      </w:r>
      <w:bookmarkEnd w:id="52"/>
      <w:bookmarkEnd w:id="53"/>
      <w:bookmarkEnd w:id="54"/>
      <w:bookmarkEnd w:id="55"/>
      <w:bookmarkEnd w:id="56"/>
    </w:p>
    <w:p w14:paraId="569D5D1C">
      <w:pPr>
        <w:spacing w:line="360" w:lineRule="auto"/>
        <w:rPr>
          <w:rFonts w:ascii="宋体" w:hAnsi="宋体"/>
          <w:b/>
          <w:color w:val="auto"/>
        </w:rPr>
      </w:pPr>
      <w:r>
        <w:rPr>
          <w:rFonts w:hint="eastAsia" w:ascii="宋体" w:hAnsi="宋体"/>
          <w:b/>
          <w:color w:val="auto"/>
        </w:rPr>
        <w:t>4.1 投标文件的上传</w:t>
      </w:r>
    </w:p>
    <w:p w14:paraId="44F62F56">
      <w:pPr>
        <w:spacing w:line="360" w:lineRule="auto"/>
        <w:ind w:firstLine="420" w:firstLineChars="200"/>
        <w:rPr>
          <w:rFonts w:ascii="宋体" w:hAnsi="宋体"/>
          <w:bCs/>
          <w:color w:val="auto"/>
        </w:rPr>
      </w:pPr>
      <w:r>
        <w:rPr>
          <w:rFonts w:hint="eastAsia" w:ascii="宋体" w:hAnsi="宋体"/>
          <w:bCs/>
          <w:color w:val="auto"/>
        </w:rPr>
        <w:t>4.1.1投标人应在本章第2.2.2项规定的投标截止时间前将电子投标文件上传到云南省公共资源交易信息</w:t>
      </w:r>
      <w:r>
        <w:rPr>
          <w:rFonts w:hint="eastAsia" w:ascii="宋体" w:hAnsi="宋体"/>
          <w:bCs/>
          <w:color w:val="auto"/>
          <w:lang w:eastAsia="zh-CN"/>
        </w:rPr>
        <w:t>网</w:t>
      </w:r>
      <w:r>
        <w:rPr>
          <w:rFonts w:hint="eastAsia" w:ascii="宋体" w:hAnsi="宋体"/>
          <w:bCs/>
          <w:color w:val="auto"/>
        </w:rPr>
        <w:t>，未按规定在投标截止时间前上传投标文件的，视为撤回其投标文件。</w:t>
      </w:r>
    </w:p>
    <w:p w14:paraId="0D739388">
      <w:pPr>
        <w:spacing w:line="360" w:lineRule="auto"/>
        <w:ind w:firstLine="420" w:firstLineChars="200"/>
        <w:rPr>
          <w:rFonts w:ascii="宋体" w:hAnsi="宋体"/>
          <w:bCs/>
          <w:color w:val="auto"/>
        </w:rPr>
      </w:pPr>
      <w:r>
        <w:rPr>
          <w:rFonts w:hint="eastAsia" w:ascii="宋体" w:hAnsi="宋体"/>
          <w:bCs/>
          <w:color w:val="auto"/>
        </w:rPr>
        <w:t>4.1.2除投标人须知前附表另有规定外，投标人所递交的投标文件不予退还。</w:t>
      </w:r>
    </w:p>
    <w:p w14:paraId="4E042886">
      <w:pPr>
        <w:spacing w:line="360" w:lineRule="auto"/>
        <w:ind w:firstLine="420" w:firstLineChars="200"/>
        <w:rPr>
          <w:rFonts w:ascii="宋体" w:hAnsi="宋体"/>
          <w:bCs/>
          <w:color w:val="auto"/>
        </w:rPr>
      </w:pPr>
      <w:r>
        <w:rPr>
          <w:rFonts w:hint="eastAsia" w:ascii="宋体" w:hAnsi="宋体"/>
          <w:bCs/>
          <w:color w:val="auto"/>
        </w:rPr>
        <w:t>4.1.3网上上传投标文件：投标人登录“云南省公共资源交易信息</w:t>
      </w:r>
      <w:r>
        <w:rPr>
          <w:rFonts w:hint="eastAsia" w:ascii="宋体" w:hAnsi="宋体"/>
          <w:bCs/>
          <w:color w:val="auto"/>
          <w:lang w:eastAsia="zh-CN"/>
        </w:rPr>
        <w:t>网</w:t>
      </w:r>
      <w:r>
        <w:rPr>
          <w:rFonts w:hint="eastAsia" w:ascii="宋体" w:hAnsi="宋体"/>
          <w:bCs/>
          <w:color w:val="auto"/>
        </w:rPr>
        <w:t>”，投标人根据拟要投标的项目，按照网上投标系统要求上传全部投标文件，投标文件上传后须自行检查投标文件的完整性并进行确认</w:t>
      </w:r>
      <w:r>
        <w:rPr>
          <w:rFonts w:hint="eastAsia" w:ascii="宋体" w:hAnsi="宋体"/>
          <w:bCs/>
          <w:color w:val="auto"/>
          <w:lang w:eastAsia="zh-CN"/>
        </w:rPr>
        <w:t>签名后，方可完成</w:t>
      </w:r>
      <w:r>
        <w:rPr>
          <w:rFonts w:hint="eastAsia" w:ascii="宋体" w:hAnsi="宋体"/>
          <w:bCs/>
          <w:color w:val="auto"/>
        </w:rPr>
        <w:t>全部投标文件网上上传操作。投标人可自行打印“上传投标文件回执”。投标截止时间前未完成投标文件传输的，视为撤回投标文件。</w:t>
      </w:r>
    </w:p>
    <w:p w14:paraId="4277A767">
      <w:pPr>
        <w:spacing w:line="360" w:lineRule="auto"/>
        <w:rPr>
          <w:rFonts w:ascii="宋体" w:hAnsi="宋体"/>
          <w:b/>
          <w:color w:val="auto"/>
        </w:rPr>
      </w:pPr>
      <w:r>
        <w:rPr>
          <w:rFonts w:hint="eastAsia" w:ascii="宋体" w:hAnsi="宋体"/>
          <w:b/>
          <w:color w:val="auto"/>
        </w:rPr>
        <w:t>4.2投标文件的修改与撤回</w:t>
      </w:r>
    </w:p>
    <w:p w14:paraId="21FD5C9D">
      <w:pPr>
        <w:spacing w:line="360" w:lineRule="auto"/>
        <w:ind w:firstLine="420" w:firstLineChars="200"/>
        <w:rPr>
          <w:rFonts w:ascii="宋体" w:hAnsi="宋体"/>
          <w:bCs/>
          <w:color w:val="auto"/>
        </w:rPr>
      </w:pPr>
      <w:r>
        <w:rPr>
          <w:rFonts w:hint="eastAsia" w:ascii="宋体" w:hAnsi="宋体"/>
          <w:bCs/>
          <w:color w:val="auto"/>
        </w:rPr>
        <w:t>4.2.1在本章第2.2.2项规定的投标截止时间前，投标人可以修改或撤回已在网上上传的投标文件，无须书面形式通知招标人。</w:t>
      </w:r>
    </w:p>
    <w:p w14:paraId="167395A8">
      <w:pPr>
        <w:spacing w:line="360" w:lineRule="auto"/>
        <w:ind w:firstLine="420" w:firstLineChars="200"/>
        <w:rPr>
          <w:rFonts w:ascii="宋体" w:hAnsi="宋体"/>
          <w:bCs/>
          <w:color w:val="auto"/>
        </w:rPr>
      </w:pPr>
      <w:r>
        <w:rPr>
          <w:rFonts w:hint="eastAsia" w:ascii="宋体" w:hAnsi="宋体"/>
          <w:bCs/>
          <w:color w:val="auto"/>
        </w:rPr>
        <w:t>4.2.2投标人撤回投标文件的，可在规定时间内申请退还已缴纳的投标保证金。</w:t>
      </w:r>
    </w:p>
    <w:p w14:paraId="6C0CCA6E">
      <w:pPr>
        <w:spacing w:line="360" w:lineRule="auto"/>
        <w:ind w:firstLine="420" w:firstLineChars="200"/>
        <w:rPr>
          <w:rFonts w:ascii="宋体" w:hAnsi="宋体"/>
          <w:bCs/>
          <w:color w:val="auto"/>
        </w:rPr>
      </w:pPr>
      <w:r>
        <w:rPr>
          <w:rFonts w:hint="eastAsia" w:ascii="宋体" w:hAnsi="宋体"/>
          <w:bCs/>
          <w:color w:val="auto"/>
        </w:rPr>
        <w:t>4.2.3修改的内容为投标文件的组成部分。修改的投标文件应按照本章第3条、第4条规定进行编制和上传。</w:t>
      </w:r>
    </w:p>
    <w:p w14:paraId="067084CA">
      <w:pPr>
        <w:spacing w:line="360" w:lineRule="auto"/>
        <w:outlineLvl w:val="2"/>
        <w:rPr>
          <w:rFonts w:ascii="宋体" w:hAnsi="宋体"/>
          <w:b/>
          <w:color w:val="auto"/>
          <w:sz w:val="24"/>
        </w:rPr>
      </w:pPr>
      <w:bookmarkStart w:id="57" w:name="_Toc20766"/>
      <w:bookmarkStart w:id="58" w:name="_Toc32389"/>
      <w:bookmarkStart w:id="59" w:name="_Toc27833"/>
      <w:bookmarkStart w:id="60" w:name="_Toc85443484"/>
      <w:r>
        <w:rPr>
          <w:rFonts w:hint="eastAsia" w:ascii="宋体" w:hAnsi="宋体"/>
          <w:b/>
          <w:color w:val="auto"/>
          <w:sz w:val="24"/>
        </w:rPr>
        <w:t>5. 开标</w:t>
      </w:r>
      <w:bookmarkEnd w:id="57"/>
      <w:bookmarkEnd w:id="58"/>
      <w:bookmarkEnd w:id="59"/>
      <w:bookmarkEnd w:id="60"/>
    </w:p>
    <w:p w14:paraId="761F0019">
      <w:pPr>
        <w:spacing w:line="360" w:lineRule="auto"/>
        <w:rPr>
          <w:rFonts w:ascii="宋体" w:hAnsi="宋体"/>
          <w:b/>
          <w:color w:val="auto"/>
        </w:rPr>
      </w:pPr>
      <w:r>
        <w:rPr>
          <w:rFonts w:hint="eastAsia" w:ascii="宋体" w:hAnsi="宋体"/>
          <w:b/>
          <w:color w:val="auto"/>
        </w:rPr>
        <w:t>5.1 开标时间和地点</w:t>
      </w:r>
    </w:p>
    <w:p w14:paraId="319A2F6A">
      <w:pPr>
        <w:spacing w:line="360" w:lineRule="auto"/>
        <w:ind w:firstLine="420" w:firstLineChars="200"/>
        <w:rPr>
          <w:rFonts w:ascii="宋体" w:hAnsi="宋体"/>
          <w:bCs/>
          <w:color w:val="auto"/>
        </w:rPr>
      </w:pPr>
      <w:r>
        <w:rPr>
          <w:rFonts w:hint="eastAsia" w:ascii="宋体" w:hAnsi="宋体"/>
          <w:bCs/>
          <w:color w:val="auto"/>
        </w:rPr>
        <w:t>招标人在本章投标人须知前附表第2.2.2项规定的投标截止时间（开标时间）和投标人须知前附表规定的地点公开开标。</w:t>
      </w:r>
    </w:p>
    <w:p w14:paraId="0D5A5B9D">
      <w:pPr>
        <w:spacing w:line="360" w:lineRule="auto"/>
        <w:rPr>
          <w:rFonts w:ascii="宋体" w:hAnsi="宋体"/>
          <w:b/>
          <w:color w:val="auto"/>
        </w:rPr>
      </w:pPr>
      <w:r>
        <w:rPr>
          <w:rFonts w:hint="eastAsia" w:ascii="宋体" w:hAnsi="宋体"/>
          <w:b/>
          <w:color w:val="auto"/>
        </w:rPr>
        <w:t>5.2 开标程序</w:t>
      </w:r>
      <w:r>
        <w:rPr>
          <w:rFonts w:hint="eastAsia" w:ascii="宋体" w:hAnsi="宋体"/>
          <w:b/>
          <w:color w:val="auto"/>
        </w:rPr>
        <w:tab/>
      </w:r>
    </w:p>
    <w:p w14:paraId="557F50E9">
      <w:pPr>
        <w:spacing w:line="360" w:lineRule="auto"/>
        <w:ind w:firstLine="420" w:firstLineChars="200"/>
        <w:rPr>
          <w:rFonts w:ascii="宋体" w:hAnsi="宋体"/>
          <w:bCs/>
          <w:color w:val="auto"/>
        </w:rPr>
      </w:pPr>
      <w:r>
        <w:rPr>
          <w:rFonts w:hint="eastAsia" w:ascii="宋体" w:hAnsi="宋体"/>
          <w:bCs/>
          <w:color w:val="auto"/>
        </w:rPr>
        <w:t>主持人按下列程序进行开标：</w:t>
      </w:r>
    </w:p>
    <w:p w14:paraId="791AA516">
      <w:pPr>
        <w:spacing w:line="360" w:lineRule="auto"/>
        <w:ind w:firstLine="420" w:firstLineChars="200"/>
        <w:rPr>
          <w:rFonts w:ascii="宋体" w:hAnsi="宋体"/>
          <w:bCs/>
          <w:color w:val="auto"/>
        </w:rPr>
      </w:pPr>
      <w:r>
        <w:rPr>
          <w:rFonts w:hint="eastAsia" w:ascii="宋体" w:hAnsi="宋体"/>
          <w:bCs/>
          <w:color w:val="auto"/>
          <w:lang w:eastAsia="zh-CN"/>
        </w:rPr>
        <w:t>（1）</w:t>
      </w:r>
      <w:r>
        <w:rPr>
          <w:rFonts w:hint="eastAsia" w:ascii="宋体" w:hAnsi="宋体"/>
          <w:bCs/>
          <w:color w:val="auto"/>
        </w:rPr>
        <w:t>宣布开标纪律；</w:t>
      </w:r>
    </w:p>
    <w:p w14:paraId="4C8EBC68">
      <w:pPr>
        <w:spacing w:line="360" w:lineRule="auto"/>
        <w:ind w:firstLine="420" w:firstLineChars="200"/>
        <w:rPr>
          <w:rFonts w:ascii="宋体" w:hAnsi="宋体"/>
          <w:bCs/>
          <w:color w:val="auto"/>
        </w:rPr>
      </w:pPr>
      <w:r>
        <w:rPr>
          <w:rFonts w:hint="eastAsia" w:ascii="宋体" w:hAnsi="宋体"/>
          <w:bCs/>
          <w:color w:val="auto"/>
          <w:lang w:eastAsia="zh-CN"/>
        </w:rPr>
        <w:t>（2）</w:t>
      </w:r>
      <w:r>
        <w:rPr>
          <w:rFonts w:hint="eastAsia" w:ascii="宋体" w:hAnsi="宋体"/>
          <w:bCs/>
          <w:color w:val="auto"/>
        </w:rPr>
        <w:t xml:space="preserve">宣布开标人、唱标人、记录人、行政监督等有关人员姓名； </w:t>
      </w:r>
    </w:p>
    <w:p w14:paraId="11A9F57C">
      <w:pPr>
        <w:spacing w:line="360" w:lineRule="auto"/>
        <w:ind w:firstLine="420" w:firstLineChars="200"/>
        <w:rPr>
          <w:rFonts w:ascii="宋体" w:hAnsi="宋体"/>
          <w:bCs/>
          <w:color w:val="auto"/>
        </w:rPr>
      </w:pPr>
      <w:r>
        <w:rPr>
          <w:rFonts w:hint="eastAsia" w:ascii="宋体" w:hAnsi="宋体"/>
          <w:bCs/>
          <w:color w:val="auto"/>
          <w:lang w:eastAsia="zh-CN"/>
        </w:rPr>
        <w:t>（3）</w:t>
      </w:r>
      <w:r>
        <w:rPr>
          <w:rFonts w:hint="eastAsia" w:ascii="宋体" w:hAnsi="宋体"/>
          <w:bCs/>
          <w:color w:val="auto"/>
        </w:rPr>
        <w:t>公共资源交易平台提取所有已成功上传的投标文件，由投标人对网上上传已加密的投标文件进行网上远程解密，解密完成后导入有效投标人的电子投标文件（格式为：*.BTBJ）。所有有效投标文件导入完成后进行唱标公布投标人名称、项目名称</w:t>
      </w:r>
      <w:r>
        <w:rPr>
          <w:rFonts w:hint="eastAsia" w:ascii="宋体" w:hAnsi="宋体"/>
          <w:bCs/>
          <w:color w:val="auto"/>
          <w:lang w:eastAsia="zh-CN"/>
        </w:rPr>
        <w:t>、</w:t>
      </w:r>
      <w:r>
        <w:rPr>
          <w:rFonts w:hint="eastAsia" w:ascii="宋体" w:hAnsi="宋体"/>
          <w:bCs/>
          <w:color w:val="auto"/>
        </w:rPr>
        <w:t>投标报价、质量目标、工期、投标保证金及其他内容，并记录在案。因投标人原因造成投标文件未解密的，视为撤销其投标文件；</w:t>
      </w:r>
    </w:p>
    <w:p w14:paraId="2CC50FC6">
      <w:pPr>
        <w:spacing w:line="360" w:lineRule="auto"/>
        <w:ind w:firstLine="420" w:firstLineChars="200"/>
        <w:rPr>
          <w:rFonts w:ascii="宋体" w:hAnsi="宋体"/>
          <w:bCs/>
          <w:color w:val="auto"/>
        </w:rPr>
      </w:pPr>
      <w:r>
        <w:rPr>
          <w:rFonts w:hint="eastAsia" w:ascii="宋体" w:hAnsi="宋体"/>
          <w:bCs/>
          <w:color w:val="auto"/>
          <w:lang w:eastAsia="zh-CN"/>
        </w:rPr>
        <w:t>（4）</w:t>
      </w:r>
      <w:r>
        <w:rPr>
          <w:rFonts w:hint="eastAsia" w:ascii="宋体" w:hAnsi="宋体"/>
          <w:bCs/>
          <w:color w:val="auto"/>
        </w:rPr>
        <w:t>招标人、纪律监察、投标人、行政监管人员、招标代理机构、交易中心有关人员在开标记录上进行电子签章确认；</w:t>
      </w:r>
    </w:p>
    <w:p w14:paraId="50C0D802">
      <w:pPr>
        <w:spacing w:line="360" w:lineRule="auto"/>
        <w:ind w:firstLine="420" w:firstLineChars="200"/>
        <w:rPr>
          <w:rFonts w:ascii="宋体" w:hAnsi="宋体"/>
          <w:bCs/>
          <w:color w:val="auto"/>
        </w:rPr>
      </w:pPr>
      <w:r>
        <w:rPr>
          <w:rFonts w:hint="eastAsia" w:ascii="宋体" w:hAnsi="宋体"/>
          <w:bCs/>
          <w:color w:val="auto"/>
          <w:lang w:eastAsia="zh-CN"/>
        </w:rPr>
        <w:t>（5）</w:t>
      </w:r>
      <w:r>
        <w:rPr>
          <w:rFonts w:hint="eastAsia" w:ascii="宋体" w:hAnsi="宋体"/>
          <w:bCs/>
          <w:color w:val="auto"/>
        </w:rPr>
        <w:t>开标结束。</w:t>
      </w:r>
    </w:p>
    <w:p w14:paraId="647FB8EF">
      <w:pPr>
        <w:spacing w:line="360" w:lineRule="auto"/>
        <w:rPr>
          <w:rFonts w:ascii="宋体" w:hAnsi="宋体"/>
          <w:b/>
          <w:color w:val="auto"/>
        </w:rPr>
      </w:pPr>
      <w:r>
        <w:rPr>
          <w:rFonts w:hint="eastAsia" w:ascii="宋体" w:hAnsi="宋体"/>
          <w:b/>
          <w:color w:val="auto"/>
        </w:rPr>
        <w:t>5.3 开标异议</w:t>
      </w:r>
      <w:r>
        <w:rPr>
          <w:rFonts w:hint="eastAsia" w:ascii="宋体" w:hAnsi="宋体"/>
          <w:b/>
          <w:color w:val="auto"/>
        </w:rPr>
        <w:tab/>
      </w:r>
    </w:p>
    <w:p w14:paraId="2508F427">
      <w:pPr>
        <w:spacing w:line="360" w:lineRule="auto"/>
        <w:ind w:firstLine="420" w:firstLineChars="200"/>
        <w:rPr>
          <w:rFonts w:ascii="宋体" w:hAnsi="宋体"/>
          <w:color w:val="auto"/>
        </w:rPr>
      </w:pPr>
      <w:r>
        <w:rPr>
          <w:rFonts w:hint="eastAsia" w:ascii="宋体" w:hAnsi="宋体"/>
          <w:bCs/>
          <w:color w:val="auto"/>
        </w:rPr>
        <w:t>投标人对开标有异议的，应当在投标系统提交异议，招标方可在【查看开标异议】窗口进行查看并回复。</w:t>
      </w:r>
    </w:p>
    <w:p w14:paraId="41D641D8">
      <w:pPr>
        <w:pStyle w:val="5"/>
        <w:spacing w:before="156"/>
        <w:rPr>
          <w:color w:val="auto"/>
        </w:rPr>
      </w:pPr>
      <w:bookmarkStart w:id="61" w:name="_Toc85443485"/>
      <w:bookmarkStart w:id="62" w:name="_Toc449518384"/>
      <w:bookmarkStart w:id="63" w:name="_Toc31011"/>
      <w:bookmarkStart w:id="64" w:name="_Toc26120"/>
      <w:bookmarkStart w:id="65" w:name="_Toc184635076"/>
      <w:r>
        <w:rPr>
          <w:rFonts w:hint="eastAsia"/>
          <w:color w:val="auto"/>
          <w:lang w:eastAsia="zh-CN"/>
        </w:rPr>
        <w:t>6.</w:t>
      </w:r>
      <w:r>
        <w:rPr>
          <w:rFonts w:hint="eastAsia"/>
          <w:color w:val="auto"/>
        </w:rPr>
        <w:t>评标</w:t>
      </w:r>
      <w:bookmarkEnd w:id="61"/>
      <w:bookmarkEnd w:id="62"/>
      <w:bookmarkEnd w:id="63"/>
      <w:bookmarkEnd w:id="64"/>
      <w:bookmarkEnd w:id="65"/>
    </w:p>
    <w:p w14:paraId="0E77003D">
      <w:pPr>
        <w:pStyle w:val="6"/>
        <w:rPr>
          <w:rFonts w:hAnsi="宋体"/>
          <w:color w:val="auto"/>
        </w:rPr>
      </w:pPr>
      <w:r>
        <w:rPr>
          <w:rFonts w:hint="eastAsia" w:hAnsi="宋体"/>
          <w:color w:val="auto"/>
        </w:rPr>
        <w:t>6.1 评标委员会</w:t>
      </w:r>
    </w:p>
    <w:p w14:paraId="296F2756">
      <w:pPr>
        <w:spacing w:line="360" w:lineRule="auto"/>
        <w:ind w:firstLine="420" w:firstLineChars="200"/>
        <w:rPr>
          <w:rFonts w:ascii="宋体" w:hAnsi="宋体"/>
          <w:color w:val="auto"/>
          <w:szCs w:val="21"/>
        </w:rPr>
      </w:pPr>
      <w:r>
        <w:rPr>
          <w:rFonts w:hint="eastAsia" w:ascii="宋体" w:hAnsi="宋体"/>
          <w:color w:val="auto"/>
          <w:szCs w:val="21"/>
        </w:rPr>
        <w:t>6.1.1 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14:paraId="06ECB5C8">
      <w:pPr>
        <w:spacing w:line="360" w:lineRule="auto"/>
        <w:ind w:firstLine="420" w:firstLineChars="200"/>
        <w:rPr>
          <w:rFonts w:ascii="宋体" w:hAnsi="宋体"/>
          <w:color w:val="auto"/>
          <w:szCs w:val="21"/>
        </w:rPr>
      </w:pPr>
      <w:r>
        <w:rPr>
          <w:rFonts w:hint="eastAsia" w:ascii="宋体" w:hAnsi="宋体"/>
          <w:color w:val="auto"/>
          <w:szCs w:val="21"/>
        </w:rPr>
        <w:t>6.1.2 评标委员会成员有下列情形之一的，应当回避：</w:t>
      </w:r>
    </w:p>
    <w:p w14:paraId="2B330BC8">
      <w:pPr>
        <w:spacing w:line="360" w:lineRule="auto"/>
        <w:ind w:firstLine="420" w:firstLineChars="200"/>
        <w:rPr>
          <w:rFonts w:ascii="宋体" w:hAnsi="宋体"/>
          <w:color w:val="auto"/>
          <w:szCs w:val="21"/>
        </w:rPr>
      </w:pPr>
      <w:r>
        <w:rPr>
          <w:rFonts w:hint="eastAsia" w:ascii="宋体" w:hAnsi="宋体"/>
          <w:color w:val="auto"/>
          <w:szCs w:val="21"/>
        </w:rPr>
        <w:t>（1）投标人或投标人主要负责人的近亲属；</w:t>
      </w:r>
    </w:p>
    <w:p w14:paraId="619AB724">
      <w:pPr>
        <w:spacing w:line="360" w:lineRule="auto"/>
        <w:ind w:firstLine="420" w:firstLineChars="200"/>
        <w:rPr>
          <w:rFonts w:ascii="宋体" w:hAnsi="宋体"/>
          <w:color w:val="auto"/>
          <w:szCs w:val="21"/>
        </w:rPr>
      </w:pPr>
      <w:r>
        <w:rPr>
          <w:rFonts w:hint="eastAsia" w:ascii="宋体" w:hAnsi="宋体"/>
          <w:color w:val="auto"/>
          <w:szCs w:val="21"/>
        </w:rPr>
        <w:t>（2）项目主管部门或者行政监督部门的人员；</w:t>
      </w:r>
    </w:p>
    <w:p w14:paraId="14729238">
      <w:pPr>
        <w:spacing w:line="360" w:lineRule="auto"/>
        <w:ind w:firstLine="420" w:firstLineChars="200"/>
        <w:rPr>
          <w:rFonts w:ascii="宋体" w:hAnsi="宋体"/>
          <w:color w:val="auto"/>
          <w:szCs w:val="21"/>
        </w:rPr>
      </w:pPr>
      <w:r>
        <w:rPr>
          <w:rFonts w:hint="eastAsia" w:ascii="宋体" w:hAnsi="宋体"/>
          <w:color w:val="auto"/>
          <w:szCs w:val="21"/>
        </w:rPr>
        <w:t>（3）与投标人有经济利益关系，可能影响对投标公正评审的；</w:t>
      </w:r>
    </w:p>
    <w:p w14:paraId="6034A130">
      <w:pPr>
        <w:spacing w:line="360" w:lineRule="auto"/>
        <w:ind w:firstLine="420" w:firstLineChars="200"/>
        <w:rPr>
          <w:rFonts w:ascii="宋体" w:hAnsi="宋体"/>
          <w:color w:val="auto"/>
          <w:szCs w:val="21"/>
        </w:rPr>
      </w:pPr>
      <w:r>
        <w:rPr>
          <w:rFonts w:hint="eastAsia" w:ascii="宋体" w:hAnsi="宋体"/>
          <w:color w:val="auto"/>
          <w:szCs w:val="21"/>
        </w:rPr>
        <w:t>（4）曾因在招标、评标以及其他与招标投标有关活动中从事违法行为而受过行政处罚或刑事处罚的；</w:t>
      </w:r>
    </w:p>
    <w:p w14:paraId="36DB646F">
      <w:pPr>
        <w:spacing w:line="360" w:lineRule="auto"/>
        <w:ind w:firstLine="420" w:firstLineChars="200"/>
        <w:rPr>
          <w:rFonts w:ascii="宋体" w:hAnsi="宋体"/>
          <w:color w:val="auto"/>
          <w:szCs w:val="21"/>
        </w:rPr>
      </w:pPr>
      <w:r>
        <w:rPr>
          <w:rFonts w:hint="eastAsia" w:ascii="宋体" w:hAnsi="宋体"/>
          <w:color w:val="auto"/>
          <w:szCs w:val="21"/>
        </w:rPr>
        <w:t>（5）与投标人有其他利害关系。</w:t>
      </w:r>
    </w:p>
    <w:p w14:paraId="10C25DE7">
      <w:pPr>
        <w:pStyle w:val="6"/>
        <w:rPr>
          <w:rFonts w:hAnsi="宋体"/>
          <w:color w:val="auto"/>
        </w:rPr>
      </w:pPr>
      <w:r>
        <w:rPr>
          <w:rFonts w:hint="eastAsia" w:hAnsi="宋体"/>
          <w:color w:val="auto"/>
        </w:rPr>
        <w:t>6.2 评标原则</w:t>
      </w:r>
    </w:p>
    <w:p w14:paraId="099CD44B">
      <w:pPr>
        <w:spacing w:line="360" w:lineRule="auto"/>
        <w:ind w:firstLine="420" w:firstLineChars="200"/>
        <w:rPr>
          <w:rFonts w:ascii="宋体" w:hAnsi="宋体"/>
          <w:color w:val="auto"/>
          <w:szCs w:val="21"/>
        </w:rPr>
      </w:pPr>
      <w:r>
        <w:rPr>
          <w:rFonts w:hint="eastAsia" w:ascii="宋体" w:hAnsi="宋体"/>
          <w:color w:val="auto"/>
          <w:szCs w:val="21"/>
        </w:rPr>
        <w:t>评标活动遵循公平、公正、科学和择优的原则。</w:t>
      </w:r>
    </w:p>
    <w:p w14:paraId="70089BFB">
      <w:pPr>
        <w:pStyle w:val="6"/>
        <w:rPr>
          <w:rFonts w:hAnsi="宋体"/>
          <w:color w:val="auto"/>
        </w:rPr>
      </w:pPr>
      <w:r>
        <w:rPr>
          <w:rFonts w:hint="eastAsia" w:hAnsi="宋体"/>
          <w:color w:val="auto"/>
        </w:rPr>
        <w:t>6.3 评标</w:t>
      </w:r>
    </w:p>
    <w:p w14:paraId="75A2B198">
      <w:pPr>
        <w:spacing w:line="360" w:lineRule="auto"/>
        <w:ind w:firstLine="420" w:firstLineChars="200"/>
        <w:rPr>
          <w:rFonts w:ascii="宋体" w:hAnsi="宋体"/>
          <w:color w:val="auto"/>
          <w:szCs w:val="21"/>
        </w:rPr>
      </w:pPr>
      <w:r>
        <w:rPr>
          <w:rFonts w:hint="eastAsia" w:ascii="宋体" w:hAnsi="宋体"/>
          <w:color w:val="auto"/>
          <w:szCs w:val="21"/>
        </w:rPr>
        <w:t>评标委员会按照第三章“评标办法”规定的方法、评审因素、标准和程序对投标文件进行评审。第三章“评标办法”没有规定的方法、评审因素和标准，不作为评标依据。</w:t>
      </w:r>
    </w:p>
    <w:p w14:paraId="36119AC6">
      <w:pPr>
        <w:pStyle w:val="5"/>
        <w:spacing w:before="156"/>
        <w:rPr>
          <w:color w:val="auto"/>
        </w:rPr>
      </w:pPr>
      <w:bookmarkStart w:id="66" w:name="_Toc5580"/>
      <w:bookmarkStart w:id="67" w:name="_Toc24695"/>
      <w:bookmarkStart w:id="68" w:name="_Toc85443486"/>
      <w:bookmarkStart w:id="69" w:name="_Toc184635077"/>
      <w:bookmarkStart w:id="70" w:name="_Toc449518385"/>
      <w:r>
        <w:rPr>
          <w:rFonts w:hint="eastAsia"/>
          <w:color w:val="auto"/>
          <w:lang w:eastAsia="zh-CN"/>
        </w:rPr>
        <w:t>7.</w:t>
      </w:r>
      <w:r>
        <w:rPr>
          <w:rFonts w:hint="eastAsia"/>
          <w:color w:val="auto"/>
        </w:rPr>
        <w:t>合同授予</w:t>
      </w:r>
      <w:bookmarkEnd w:id="66"/>
      <w:bookmarkEnd w:id="67"/>
      <w:bookmarkEnd w:id="68"/>
      <w:bookmarkEnd w:id="69"/>
      <w:bookmarkEnd w:id="70"/>
    </w:p>
    <w:p w14:paraId="3DF693C7">
      <w:pPr>
        <w:pStyle w:val="6"/>
        <w:rPr>
          <w:rFonts w:hAnsi="宋体"/>
          <w:color w:val="auto"/>
        </w:rPr>
      </w:pPr>
      <w:r>
        <w:rPr>
          <w:rFonts w:hint="eastAsia" w:hAnsi="宋体"/>
          <w:color w:val="auto"/>
        </w:rPr>
        <w:t>7.1 定标方式</w:t>
      </w:r>
    </w:p>
    <w:p w14:paraId="0E113330">
      <w:pPr>
        <w:spacing w:line="360" w:lineRule="auto"/>
        <w:ind w:firstLine="420" w:firstLineChars="200"/>
        <w:rPr>
          <w:rFonts w:ascii="宋体" w:hAnsi="宋体"/>
          <w:color w:val="auto"/>
          <w:szCs w:val="21"/>
        </w:rPr>
      </w:pPr>
      <w:r>
        <w:rPr>
          <w:rFonts w:hint="eastAsia" w:ascii="宋体" w:hAnsi="宋体"/>
          <w:color w:val="auto"/>
          <w:szCs w:val="21"/>
        </w:rPr>
        <w:t>除投标人须知前附表规定评标委员会直接确定中标人外，招标人依据评标委员会推荐的中标候选人确定中标人，评标委员会推荐中标候选人的人数见投标人须知前附表。</w:t>
      </w:r>
    </w:p>
    <w:p w14:paraId="71D5DFC8">
      <w:pPr>
        <w:pStyle w:val="6"/>
        <w:rPr>
          <w:rFonts w:hAnsi="宋体"/>
          <w:color w:val="auto"/>
        </w:rPr>
      </w:pPr>
      <w:r>
        <w:rPr>
          <w:rFonts w:hint="eastAsia" w:hAnsi="宋体"/>
          <w:color w:val="auto"/>
        </w:rPr>
        <w:t>7.</w:t>
      </w:r>
      <w:r>
        <w:rPr>
          <w:rFonts w:hAnsi="宋体"/>
          <w:color w:val="auto"/>
        </w:rPr>
        <w:t>2</w:t>
      </w:r>
      <w:r>
        <w:rPr>
          <w:rFonts w:hint="eastAsia" w:hAnsi="宋体"/>
          <w:color w:val="auto"/>
        </w:rPr>
        <w:t>中标候选人公示</w:t>
      </w:r>
    </w:p>
    <w:p w14:paraId="514679E2">
      <w:pPr>
        <w:spacing w:line="360" w:lineRule="auto"/>
        <w:ind w:firstLine="420" w:firstLineChars="200"/>
        <w:rPr>
          <w:rFonts w:ascii="宋体" w:hAnsi="宋体"/>
          <w:color w:val="auto"/>
          <w:szCs w:val="21"/>
        </w:rPr>
      </w:pPr>
      <w:r>
        <w:rPr>
          <w:rFonts w:hint="eastAsia" w:ascii="宋体" w:hAnsi="宋体"/>
          <w:color w:val="auto"/>
          <w:szCs w:val="21"/>
        </w:rPr>
        <w:t>招标人在投标人须知前附表规定的媒介公示中标候选人。</w:t>
      </w:r>
    </w:p>
    <w:p w14:paraId="3B68779F">
      <w:pPr>
        <w:pStyle w:val="6"/>
        <w:rPr>
          <w:rFonts w:hAnsi="宋体"/>
          <w:color w:val="auto"/>
        </w:rPr>
      </w:pPr>
      <w:r>
        <w:rPr>
          <w:rFonts w:hint="eastAsia" w:hAnsi="宋体"/>
          <w:color w:val="auto"/>
        </w:rPr>
        <w:t>7.</w:t>
      </w:r>
      <w:r>
        <w:rPr>
          <w:rFonts w:hAnsi="宋体"/>
          <w:color w:val="auto"/>
        </w:rPr>
        <w:t>3</w:t>
      </w:r>
      <w:r>
        <w:rPr>
          <w:rFonts w:hint="eastAsia" w:hAnsi="宋体"/>
          <w:color w:val="auto"/>
        </w:rPr>
        <w:t xml:space="preserve"> 中标通知</w:t>
      </w:r>
    </w:p>
    <w:p w14:paraId="601072AF">
      <w:pPr>
        <w:spacing w:line="360" w:lineRule="auto"/>
        <w:ind w:firstLine="420" w:firstLineChars="200"/>
        <w:rPr>
          <w:rFonts w:ascii="宋体" w:hAnsi="宋体"/>
          <w:color w:val="auto"/>
          <w:szCs w:val="21"/>
        </w:rPr>
      </w:pPr>
      <w:r>
        <w:rPr>
          <w:rFonts w:hint="eastAsia" w:ascii="宋体" w:hAnsi="宋体"/>
          <w:color w:val="auto"/>
          <w:szCs w:val="21"/>
        </w:rPr>
        <w:t>在本章第3.3款规定的投标有效期内，招标人以书面形式向中标人发出中标通知书，同时将中标结果通知未中标的投标人。中标通知书按本章附表格式填写。</w:t>
      </w:r>
    </w:p>
    <w:p w14:paraId="39475D45">
      <w:pPr>
        <w:pStyle w:val="6"/>
        <w:rPr>
          <w:rFonts w:hAnsi="宋体"/>
          <w:color w:val="auto"/>
        </w:rPr>
      </w:pPr>
      <w:r>
        <w:rPr>
          <w:rFonts w:hint="eastAsia" w:hAnsi="宋体"/>
          <w:color w:val="auto"/>
        </w:rPr>
        <w:t>7.</w:t>
      </w:r>
      <w:r>
        <w:rPr>
          <w:rFonts w:hAnsi="宋体"/>
          <w:color w:val="auto"/>
        </w:rPr>
        <w:t>5</w:t>
      </w:r>
      <w:r>
        <w:rPr>
          <w:rFonts w:hint="eastAsia" w:hAnsi="宋体"/>
          <w:color w:val="auto"/>
        </w:rPr>
        <w:t xml:space="preserve"> 签订合同</w:t>
      </w:r>
    </w:p>
    <w:p w14:paraId="0807D196">
      <w:pPr>
        <w:spacing w:line="360" w:lineRule="auto"/>
        <w:ind w:firstLine="420" w:firstLineChars="200"/>
        <w:rPr>
          <w:rFonts w:ascii="宋体" w:hAnsi="宋体"/>
          <w:color w:val="auto"/>
          <w:szCs w:val="21"/>
        </w:rPr>
      </w:pPr>
      <w:r>
        <w:rPr>
          <w:rFonts w:hint="eastAsia" w:ascii="宋体" w:hAnsi="宋体"/>
          <w:color w:val="auto"/>
          <w:szCs w:val="21"/>
        </w:rPr>
        <w:t xml:space="preserve">7.5.1 招标人和中标人应当自中标通知书发出之日起30天内，根据招标文件和中标人的投标文件订立书面合同。中标人无正当理由拒签合同的，招标人取消其中标资格，其投标保证金不予退还；给招标人造成的损失超过投标保证金数额的，中标人还应当对超过部分予以赔偿。 </w:t>
      </w:r>
    </w:p>
    <w:p w14:paraId="37598F37">
      <w:pPr>
        <w:spacing w:line="360" w:lineRule="auto"/>
        <w:ind w:firstLine="420" w:firstLineChars="200"/>
        <w:rPr>
          <w:rFonts w:ascii="宋体" w:hAnsi="宋体"/>
          <w:color w:val="auto"/>
          <w:szCs w:val="21"/>
        </w:rPr>
      </w:pPr>
      <w:r>
        <w:rPr>
          <w:rFonts w:hint="eastAsia" w:ascii="宋体" w:hAnsi="宋体"/>
          <w:color w:val="auto"/>
          <w:szCs w:val="21"/>
        </w:rPr>
        <w:t>7.5.2 发出中标通知书后，招标人无正当理由拒签合同的，招标人向中标人退还投标保证金；给中标人造成损失的，还应当赔偿损失。</w:t>
      </w:r>
    </w:p>
    <w:p w14:paraId="40F7DD91">
      <w:pPr>
        <w:pStyle w:val="5"/>
        <w:spacing w:before="156"/>
        <w:rPr>
          <w:color w:val="auto"/>
        </w:rPr>
      </w:pPr>
      <w:bookmarkStart w:id="71" w:name="_Toc449518387"/>
      <w:bookmarkStart w:id="72" w:name="_Toc85443487"/>
      <w:bookmarkStart w:id="73" w:name="_Toc10199"/>
      <w:bookmarkStart w:id="74" w:name="_Toc184635079"/>
      <w:bookmarkStart w:id="75" w:name="_Toc27969"/>
      <w:r>
        <w:rPr>
          <w:rFonts w:hint="eastAsia"/>
          <w:color w:val="auto"/>
          <w:lang w:eastAsia="zh-CN"/>
        </w:rPr>
        <w:t>8.</w:t>
      </w:r>
      <w:r>
        <w:rPr>
          <w:rFonts w:hint="eastAsia"/>
          <w:color w:val="auto"/>
        </w:rPr>
        <w:t>纪律和监督</w:t>
      </w:r>
      <w:bookmarkEnd w:id="71"/>
      <w:bookmarkEnd w:id="72"/>
      <w:bookmarkEnd w:id="73"/>
      <w:bookmarkEnd w:id="74"/>
      <w:bookmarkEnd w:id="75"/>
    </w:p>
    <w:p w14:paraId="3D7219EE">
      <w:pPr>
        <w:pStyle w:val="6"/>
        <w:rPr>
          <w:rFonts w:hAnsi="宋体"/>
          <w:color w:val="auto"/>
        </w:rPr>
      </w:pPr>
      <w:r>
        <w:rPr>
          <w:rFonts w:hAnsi="宋体"/>
          <w:color w:val="auto"/>
        </w:rPr>
        <w:t>8</w:t>
      </w:r>
      <w:r>
        <w:rPr>
          <w:rFonts w:hint="eastAsia" w:hAnsi="宋体"/>
          <w:color w:val="auto"/>
        </w:rPr>
        <w:t>.1 对招标人的纪律要求</w:t>
      </w:r>
    </w:p>
    <w:p w14:paraId="0B7419F4">
      <w:pPr>
        <w:spacing w:line="360" w:lineRule="auto"/>
        <w:ind w:firstLine="420" w:firstLineChars="200"/>
        <w:rPr>
          <w:rFonts w:ascii="宋体" w:hAnsi="宋体"/>
          <w:color w:val="auto"/>
          <w:szCs w:val="21"/>
        </w:rPr>
      </w:pPr>
      <w:r>
        <w:rPr>
          <w:rFonts w:hint="eastAsia" w:ascii="宋体" w:hAnsi="宋体"/>
          <w:color w:val="auto"/>
          <w:szCs w:val="21"/>
        </w:rPr>
        <w:t>招标人</w:t>
      </w:r>
      <w:r>
        <w:rPr>
          <w:rFonts w:hint="eastAsia" w:ascii="宋体" w:hAnsi="宋体"/>
          <w:color w:val="auto"/>
          <w:szCs w:val="21"/>
          <w:lang w:eastAsia="zh-CN"/>
        </w:rPr>
        <w:t>不得泄露</w:t>
      </w:r>
      <w:r>
        <w:rPr>
          <w:rFonts w:hint="eastAsia" w:ascii="宋体" w:hAnsi="宋体"/>
          <w:color w:val="auto"/>
          <w:szCs w:val="21"/>
        </w:rPr>
        <w:t>招标投标活动中应当保密的情况和资料，不得与投标人串通损害国家利益、社会公共利益或者他人合法权益。</w:t>
      </w:r>
    </w:p>
    <w:p w14:paraId="3C02D5B8">
      <w:pPr>
        <w:pStyle w:val="6"/>
        <w:rPr>
          <w:rFonts w:hAnsi="宋体"/>
          <w:color w:val="auto"/>
        </w:rPr>
      </w:pPr>
      <w:r>
        <w:rPr>
          <w:rFonts w:hAnsi="宋体"/>
          <w:color w:val="auto"/>
        </w:rPr>
        <w:t>8</w:t>
      </w:r>
      <w:r>
        <w:rPr>
          <w:rFonts w:hint="eastAsia" w:hAnsi="宋体"/>
          <w:color w:val="auto"/>
        </w:rPr>
        <w:t>.2 对投标人的纪律要求</w:t>
      </w:r>
    </w:p>
    <w:p w14:paraId="7D44CC49">
      <w:pPr>
        <w:spacing w:line="360" w:lineRule="auto"/>
        <w:ind w:firstLine="420" w:firstLineChars="200"/>
        <w:rPr>
          <w:rFonts w:ascii="宋体" w:hAnsi="宋体"/>
          <w:color w:val="auto"/>
          <w:szCs w:val="21"/>
        </w:rPr>
      </w:pPr>
      <w:r>
        <w:rPr>
          <w:rFonts w:hint="eastAsia" w:ascii="宋体" w:hAnsi="宋体"/>
          <w:color w:val="auto"/>
          <w:szCs w:val="21"/>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008E3D79">
      <w:pPr>
        <w:pStyle w:val="6"/>
        <w:rPr>
          <w:rFonts w:hAnsi="宋体"/>
          <w:color w:val="auto"/>
        </w:rPr>
      </w:pPr>
      <w:r>
        <w:rPr>
          <w:rFonts w:hAnsi="宋体"/>
          <w:color w:val="auto"/>
        </w:rPr>
        <w:t>8</w:t>
      </w:r>
      <w:r>
        <w:rPr>
          <w:rFonts w:hint="eastAsia" w:hAnsi="宋体"/>
          <w:color w:val="auto"/>
        </w:rPr>
        <w:t>.3 对评标委员会成员的纪律要求</w:t>
      </w:r>
    </w:p>
    <w:p w14:paraId="257CE036">
      <w:pPr>
        <w:spacing w:line="360" w:lineRule="auto"/>
        <w:ind w:firstLine="420" w:firstLineChars="200"/>
        <w:rPr>
          <w:rFonts w:ascii="宋体" w:hAnsi="宋体"/>
          <w:color w:val="auto"/>
          <w:szCs w:val="21"/>
        </w:rPr>
      </w:pPr>
      <w:r>
        <w:rPr>
          <w:rFonts w:hint="eastAsia" w:ascii="宋体" w:hAnsi="宋体"/>
          <w:color w:val="auto"/>
          <w:szCs w:val="21"/>
        </w:rPr>
        <w:t>评标委员会成员不得收受他人的财物或者其他好处，不得向他人</w:t>
      </w:r>
      <w:r>
        <w:rPr>
          <w:rFonts w:hint="eastAsia" w:ascii="宋体" w:hAnsi="宋体"/>
          <w:color w:val="auto"/>
          <w:szCs w:val="21"/>
          <w:lang w:eastAsia="zh-CN"/>
        </w:rPr>
        <w:t>透露</w:t>
      </w:r>
      <w:r>
        <w:rPr>
          <w:rFonts w:hint="eastAsia" w:ascii="宋体" w:hAnsi="宋体"/>
          <w:color w:val="auto"/>
          <w:szCs w:val="21"/>
        </w:rPr>
        <w:t>对投标文件的评审和比较、中标候选人的推荐情况以及评标有关的其他情况。在评标活动中，评标委员会成员应当客观、公正地履行职责，遵守职业道德，不得擅离职守，影响评标程序正常进行，不得使用第三章“评标办法”没有规定的评审因素和标准进行评标。</w:t>
      </w:r>
    </w:p>
    <w:p w14:paraId="50299B7B">
      <w:pPr>
        <w:pStyle w:val="6"/>
        <w:rPr>
          <w:rFonts w:hAnsi="宋体"/>
          <w:color w:val="auto"/>
        </w:rPr>
      </w:pPr>
      <w:r>
        <w:rPr>
          <w:rFonts w:hAnsi="宋体"/>
          <w:color w:val="auto"/>
        </w:rPr>
        <w:t>8</w:t>
      </w:r>
      <w:r>
        <w:rPr>
          <w:rFonts w:hint="eastAsia" w:hAnsi="宋体"/>
          <w:color w:val="auto"/>
        </w:rPr>
        <w:t>.4 对与评标活动有关的工作人员的纪律要求</w:t>
      </w:r>
    </w:p>
    <w:p w14:paraId="39E25477">
      <w:pPr>
        <w:spacing w:line="360" w:lineRule="auto"/>
        <w:ind w:firstLine="420" w:firstLineChars="200"/>
        <w:rPr>
          <w:rFonts w:ascii="宋体" w:hAnsi="宋体"/>
          <w:color w:val="auto"/>
          <w:szCs w:val="21"/>
        </w:rPr>
      </w:pPr>
      <w:r>
        <w:rPr>
          <w:rFonts w:hint="eastAsia" w:ascii="宋体" w:hAnsi="宋体"/>
          <w:color w:val="auto"/>
          <w:szCs w:val="21"/>
        </w:rPr>
        <w:t>与评标活动有关的工作人员不得收受他人的财物或者其他好处，不得向他人</w:t>
      </w:r>
      <w:r>
        <w:rPr>
          <w:rFonts w:hint="eastAsia" w:ascii="宋体" w:hAnsi="宋体"/>
          <w:color w:val="auto"/>
          <w:szCs w:val="21"/>
          <w:lang w:eastAsia="zh-CN"/>
        </w:rPr>
        <w:t>透露</w:t>
      </w:r>
      <w:r>
        <w:rPr>
          <w:rFonts w:hint="eastAsia" w:ascii="宋体" w:hAnsi="宋体"/>
          <w:color w:val="auto"/>
          <w:szCs w:val="21"/>
        </w:rPr>
        <w:t>对投标文件的评审和比较、中标候选人的推荐情况以及评标有关的其他情况。在评标活动中，与评标活动有关的工作人员不得擅离职守，影响评标程序正常进行。</w:t>
      </w:r>
    </w:p>
    <w:p w14:paraId="2E98C447">
      <w:pPr>
        <w:pStyle w:val="6"/>
        <w:rPr>
          <w:rFonts w:hAnsi="宋体"/>
          <w:color w:val="auto"/>
        </w:rPr>
      </w:pPr>
      <w:r>
        <w:rPr>
          <w:rFonts w:hAnsi="宋体"/>
          <w:color w:val="auto"/>
        </w:rPr>
        <w:t>8</w:t>
      </w:r>
      <w:r>
        <w:rPr>
          <w:rFonts w:hint="eastAsia" w:hAnsi="宋体"/>
          <w:color w:val="auto"/>
        </w:rPr>
        <w:t>.5 投诉</w:t>
      </w:r>
    </w:p>
    <w:p w14:paraId="7DAD1A70">
      <w:pPr>
        <w:spacing w:line="360" w:lineRule="auto"/>
        <w:rPr>
          <w:rFonts w:ascii="宋体" w:hAnsi="宋体"/>
          <w:b/>
          <w:color w:val="auto"/>
        </w:rPr>
      </w:pPr>
      <w:bookmarkStart w:id="76" w:name="_Toc449518388"/>
      <w:bookmarkStart w:id="77" w:name="_Toc184635080"/>
      <w:r>
        <w:rPr>
          <w:rFonts w:hint="eastAsia" w:ascii="宋体" w:hAnsi="宋体"/>
          <w:b/>
          <w:color w:val="auto"/>
        </w:rPr>
        <w:t>9.5异议和投诉</w:t>
      </w:r>
    </w:p>
    <w:p w14:paraId="55F36300">
      <w:pPr>
        <w:spacing w:line="360" w:lineRule="auto"/>
        <w:ind w:firstLine="420" w:firstLineChars="200"/>
        <w:rPr>
          <w:rFonts w:ascii="宋体" w:hAnsi="宋体"/>
          <w:bCs/>
          <w:color w:val="auto"/>
        </w:rPr>
      </w:pPr>
      <w:r>
        <w:rPr>
          <w:rFonts w:hint="eastAsia" w:ascii="宋体" w:hAnsi="宋体"/>
          <w:bCs/>
          <w:color w:val="auto"/>
        </w:rPr>
        <w:t>9.5.1异议</w:t>
      </w:r>
    </w:p>
    <w:p w14:paraId="4F5371DA">
      <w:pPr>
        <w:spacing w:line="360" w:lineRule="auto"/>
        <w:ind w:firstLine="420" w:firstLineChars="200"/>
        <w:rPr>
          <w:rFonts w:ascii="宋体" w:hAnsi="宋体"/>
          <w:bCs/>
          <w:color w:val="auto"/>
        </w:rPr>
      </w:pPr>
      <w:r>
        <w:rPr>
          <w:rFonts w:hint="eastAsia" w:ascii="宋体" w:hAnsi="宋体"/>
          <w:bCs/>
          <w:color w:val="auto"/>
        </w:rPr>
        <w:t>9.5.1.1潜在投标人或者其他利害关系人对招标文件有异议的，应当在投标截止时间10日前提出。招标人应当自收到异议之日起3日内作出答复；作出答复前，应当暂停招标投标活动。</w:t>
      </w:r>
    </w:p>
    <w:p w14:paraId="000C2B9E">
      <w:pPr>
        <w:spacing w:line="360" w:lineRule="auto"/>
        <w:ind w:firstLine="420" w:firstLineChars="200"/>
        <w:rPr>
          <w:rFonts w:ascii="宋体" w:hAnsi="宋体"/>
          <w:bCs/>
          <w:color w:val="auto"/>
        </w:rPr>
      </w:pPr>
      <w:r>
        <w:rPr>
          <w:rFonts w:hint="eastAsia" w:ascii="宋体" w:hAnsi="宋体"/>
          <w:bCs/>
          <w:color w:val="auto"/>
        </w:rPr>
        <w:t>9.5.1.2投标人对开标有异议的，应当在投标系统提交异议，招标方可在【查看开标异议】窗口进行查看并回复。</w:t>
      </w:r>
    </w:p>
    <w:p w14:paraId="65F031A0">
      <w:pPr>
        <w:spacing w:line="360" w:lineRule="auto"/>
        <w:ind w:firstLine="420" w:firstLineChars="200"/>
        <w:rPr>
          <w:rFonts w:ascii="宋体" w:hAnsi="宋体"/>
          <w:bCs/>
          <w:color w:val="auto"/>
        </w:rPr>
      </w:pPr>
      <w:r>
        <w:rPr>
          <w:rFonts w:hint="eastAsia" w:ascii="宋体" w:hAnsi="宋体"/>
          <w:bCs/>
          <w:color w:val="auto"/>
        </w:rPr>
        <w:t>9.5.1.3投标人或者其他利害关系人对依法必须进行招标的项目的评标结果有异议的，应当在中标候选人公示期间提出。招标人应当自收到异议之日起3日内作出答复；作出答复前，应当暂停招标投标活动。</w:t>
      </w:r>
    </w:p>
    <w:p w14:paraId="69AF0A08">
      <w:pPr>
        <w:spacing w:line="360" w:lineRule="auto"/>
        <w:ind w:firstLine="420" w:firstLineChars="200"/>
        <w:rPr>
          <w:rFonts w:ascii="宋体" w:hAnsi="宋体"/>
          <w:bCs/>
          <w:color w:val="auto"/>
        </w:rPr>
      </w:pPr>
      <w:r>
        <w:rPr>
          <w:rFonts w:hint="eastAsia" w:ascii="宋体" w:hAnsi="宋体"/>
          <w:bCs/>
          <w:color w:val="auto"/>
        </w:rPr>
        <w:t>9.5.2投诉</w:t>
      </w:r>
    </w:p>
    <w:p w14:paraId="2961268A">
      <w:pPr>
        <w:spacing w:line="360" w:lineRule="auto"/>
        <w:ind w:firstLine="420" w:firstLineChars="200"/>
        <w:rPr>
          <w:rFonts w:ascii="宋体" w:hAnsi="宋体"/>
          <w:bCs/>
          <w:color w:val="auto"/>
        </w:rPr>
      </w:pPr>
      <w:r>
        <w:rPr>
          <w:rFonts w:hint="eastAsia" w:ascii="宋体" w:hAnsi="宋体"/>
          <w:bCs/>
          <w:color w:val="auto"/>
        </w:rPr>
        <w:t>9.5.2.1投标人或者其他利害关系人认为招标投标活动不符合法律、行政法规规定的，应当在知道或者应当知道其权益受到侵害之日起十日内向有关行政监督部门提出书面投诉，其他利害关系人是指投标人以外的，与招标项目或者招标活动有直接和间接利益关系的法人、其他组织和个人。</w:t>
      </w:r>
    </w:p>
    <w:p w14:paraId="0ABA118A">
      <w:pPr>
        <w:spacing w:line="360" w:lineRule="auto"/>
        <w:ind w:firstLine="420" w:firstLineChars="200"/>
        <w:rPr>
          <w:rFonts w:ascii="宋体" w:hAnsi="宋体"/>
          <w:bCs/>
          <w:color w:val="auto"/>
        </w:rPr>
      </w:pPr>
      <w:r>
        <w:rPr>
          <w:rFonts w:hint="eastAsia" w:ascii="宋体" w:hAnsi="宋体"/>
          <w:bCs/>
          <w:color w:val="auto"/>
        </w:rPr>
        <w:t>9.5.2.2就本章9.5.1条规定事项投诉的，应当先向招标人提出异议，异议答复期间不计算在前款规定的期限内。</w:t>
      </w:r>
    </w:p>
    <w:p w14:paraId="0DF8568E">
      <w:pPr>
        <w:spacing w:line="360" w:lineRule="auto"/>
        <w:ind w:firstLine="420" w:firstLineChars="200"/>
        <w:rPr>
          <w:rFonts w:ascii="宋体" w:hAnsi="宋体"/>
          <w:bCs/>
          <w:color w:val="auto"/>
        </w:rPr>
      </w:pPr>
      <w:r>
        <w:rPr>
          <w:rFonts w:hint="eastAsia" w:ascii="宋体" w:hAnsi="宋体"/>
          <w:bCs/>
          <w:color w:val="auto"/>
        </w:rPr>
        <w:t>9.5.2.3投诉人投诉时，应当提交投诉书。投诉书应当包括下列内容：</w:t>
      </w:r>
    </w:p>
    <w:p w14:paraId="36C6B0A2">
      <w:pPr>
        <w:spacing w:line="360" w:lineRule="auto"/>
        <w:ind w:firstLine="420" w:firstLineChars="200"/>
        <w:rPr>
          <w:rFonts w:ascii="宋体" w:hAnsi="宋体"/>
          <w:bCs/>
          <w:color w:val="auto"/>
        </w:rPr>
      </w:pPr>
      <w:r>
        <w:rPr>
          <w:rFonts w:hint="eastAsia" w:ascii="宋体" w:hAnsi="宋体"/>
          <w:bCs/>
          <w:color w:val="auto"/>
        </w:rPr>
        <w:t>（一）投诉人的名称、地址及有效联系方式；</w:t>
      </w:r>
    </w:p>
    <w:p w14:paraId="45FE4AF6">
      <w:pPr>
        <w:spacing w:line="360" w:lineRule="auto"/>
        <w:ind w:firstLine="420" w:firstLineChars="200"/>
        <w:rPr>
          <w:rFonts w:ascii="宋体" w:hAnsi="宋体"/>
          <w:bCs/>
          <w:color w:val="auto"/>
        </w:rPr>
      </w:pPr>
      <w:r>
        <w:rPr>
          <w:rFonts w:hint="eastAsia" w:ascii="宋体" w:hAnsi="宋体"/>
          <w:bCs/>
          <w:color w:val="auto"/>
        </w:rPr>
        <w:t>（二）被投诉人的名称、地址及有效联系方式；</w:t>
      </w:r>
    </w:p>
    <w:p w14:paraId="69F7D017">
      <w:pPr>
        <w:spacing w:line="360" w:lineRule="auto"/>
        <w:ind w:firstLine="420" w:firstLineChars="200"/>
        <w:rPr>
          <w:rFonts w:ascii="宋体" w:hAnsi="宋体"/>
          <w:bCs/>
          <w:color w:val="auto"/>
        </w:rPr>
      </w:pPr>
      <w:r>
        <w:rPr>
          <w:rFonts w:hint="eastAsia" w:ascii="宋体" w:hAnsi="宋体"/>
          <w:bCs/>
          <w:color w:val="auto"/>
        </w:rPr>
        <w:t>（三）投诉事项的基本事实；</w:t>
      </w:r>
    </w:p>
    <w:p w14:paraId="6AFF7F85">
      <w:pPr>
        <w:spacing w:line="360" w:lineRule="auto"/>
        <w:ind w:firstLine="420" w:firstLineChars="200"/>
        <w:rPr>
          <w:rFonts w:ascii="宋体" w:hAnsi="宋体"/>
          <w:bCs/>
          <w:color w:val="auto"/>
        </w:rPr>
      </w:pPr>
      <w:r>
        <w:rPr>
          <w:rFonts w:hint="eastAsia" w:ascii="宋体" w:hAnsi="宋体"/>
          <w:bCs/>
          <w:color w:val="auto"/>
        </w:rPr>
        <w:t>（四）相关请求及主张；</w:t>
      </w:r>
    </w:p>
    <w:p w14:paraId="20A7A97A">
      <w:pPr>
        <w:spacing w:line="360" w:lineRule="auto"/>
        <w:ind w:firstLine="420" w:firstLineChars="200"/>
        <w:rPr>
          <w:rFonts w:ascii="宋体" w:hAnsi="宋体"/>
          <w:bCs/>
          <w:color w:val="auto"/>
        </w:rPr>
      </w:pPr>
      <w:r>
        <w:rPr>
          <w:rFonts w:hint="eastAsia" w:ascii="宋体" w:hAnsi="宋体"/>
          <w:bCs/>
          <w:color w:val="auto"/>
        </w:rPr>
        <w:t>（五）有效线索和相关证明材料。</w:t>
      </w:r>
    </w:p>
    <w:p w14:paraId="05DC8B3B">
      <w:pPr>
        <w:spacing w:line="360" w:lineRule="auto"/>
        <w:ind w:firstLine="420" w:firstLineChars="200"/>
        <w:rPr>
          <w:rFonts w:ascii="宋体" w:hAnsi="宋体"/>
          <w:bCs/>
          <w:color w:val="auto"/>
        </w:rPr>
      </w:pPr>
      <w:r>
        <w:rPr>
          <w:rFonts w:hint="eastAsia" w:ascii="宋体" w:hAnsi="宋体"/>
          <w:bCs/>
          <w:color w:val="auto"/>
        </w:rPr>
        <w:t>投诉人是法人的，投诉书必须由其法定代表人或者授权代表签字并盖章；其他组织或者个人投诉的，投诉书必须由其主要负责人或者投诉人本人签字，并附有效身份证明复印件。投诉书有关材料是外文的，投诉人应当同时提供其中文译本。</w:t>
      </w:r>
    </w:p>
    <w:p w14:paraId="39F80683">
      <w:pPr>
        <w:spacing w:line="360" w:lineRule="auto"/>
        <w:ind w:firstLine="420" w:firstLineChars="200"/>
        <w:rPr>
          <w:rFonts w:ascii="宋体" w:hAnsi="宋体"/>
          <w:bCs/>
          <w:color w:val="auto"/>
        </w:rPr>
      </w:pPr>
      <w:r>
        <w:rPr>
          <w:rFonts w:hint="eastAsia" w:ascii="宋体" w:hAnsi="宋体"/>
          <w:bCs/>
          <w:color w:val="auto"/>
        </w:rPr>
        <w:t>9.5.2.4投诉人不得以投诉为名排挤竞争对手，不得进行虚假、恶意投诉，阻碍招标投标活动的正常进行。</w:t>
      </w:r>
    </w:p>
    <w:p w14:paraId="0B25A72D">
      <w:pPr>
        <w:spacing w:line="360" w:lineRule="auto"/>
        <w:ind w:firstLine="420" w:firstLineChars="200"/>
        <w:rPr>
          <w:rFonts w:ascii="宋体" w:hAnsi="宋体"/>
          <w:bCs/>
          <w:color w:val="auto"/>
        </w:rPr>
      </w:pPr>
      <w:r>
        <w:rPr>
          <w:rFonts w:hint="eastAsia" w:ascii="宋体" w:hAnsi="宋体"/>
          <w:bCs/>
          <w:color w:val="auto"/>
        </w:rPr>
        <w:t>9.5.2.5投诉人可以直接投诉，也可以委托代理人办理投诉事务。代理人办理投诉事务时，应将授权委托书连同投诉书一并提交给行政监督部门。授权委托书应当明确有关委托代理权限和事项。</w:t>
      </w:r>
    </w:p>
    <w:p w14:paraId="64402732">
      <w:pPr>
        <w:spacing w:line="360" w:lineRule="auto"/>
        <w:ind w:firstLine="420" w:firstLineChars="200"/>
        <w:rPr>
          <w:rFonts w:ascii="宋体" w:hAnsi="宋体"/>
          <w:bCs/>
          <w:color w:val="auto"/>
        </w:rPr>
      </w:pPr>
      <w:r>
        <w:rPr>
          <w:rFonts w:hint="eastAsia" w:ascii="宋体" w:hAnsi="宋体"/>
          <w:bCs/>
          <w:color w:val="auto"/>
        </w:rPr>
        <w:t>9.5.2.6有下列情形之一的投诉，不予受理；</w:t>
      </w:r>
    </w:p>
    <w:p w14:paraId="4D33DBFD">
      <w:pPr>
        <w:spacing w:line="360" w:lineRule="auto"/>
        <w:ind w:firstLine="420" w:firstLineChars="200"/>
        <w:rPr>
          <w:rFonts w:ascii="宋体" w:hAnsi="宋体"/>
          <w:bCs/>
          <w:color w:val="auto"/>
        </w:rPr>
      </w:pPr>
      <w:r>
        <w:rPr>
          <w:rFonts w:hint="eastAsia" w:ascii="宋体" w:hAnsi="宋体"/>
          <w:bCs/>
          <w:color w:val="auto"/>
        </w:rPr>
        <w:t>（一）投诉人不是所投诉招标投标活动的参与者，或者与投诉项目无任何利害关系；</w:t>
      </w:r>
    </w:p>
    <w:p w14:paraId="249CF087">
      <w:pPr>
        <w:spacing w:line="360" w:lineRule="auto"/>
        <w:ind w:firstLine="420" w:firstLineChars="200"/>
        <w:rPr>
          <w:rFonts w:ascii="宋体" w:hAnsi="宋体"/>
          <w:bCs/>
          <w:color w:val="auto"/>
        </w:rPr>
      </w:pPr>
      <w:r>
        <w:rPr>
          <w:rFonts w:hint="eastAsia" w:ascii="宋体" w:hAnsi="宋体"/>
          <w:bCs/>
          <w:color w:val="auto"/>
        </w:rPr>
        <w:t>（二）投诉事项不具体，且未提供有效线索，难以查证的；</w:t>
      </w:r>
    </w:p>
    <w:p w14:paraId="5EE5DBB7">
      <w:pPr>
        <w:spacing w:line="360" w:lineRule="auto"/>
        <w:ind w:firstLine="420" w:firstLineChars="200"/>
        <w:rPr>
          <w:rFonts w:ascii="宋体" w:hAnsi="宋体"/>
          <w:bCs/>
          <w:color w:val="auto"/>
        </w:rPr>
      </w:pPr>
      <w:r>
        <w:rPr>
          <w:rFonts w:hint="eastAsia" w:ascii="宋体" w:hAnsi="宋体"/>
          <w:bCs/>
          <w:color w:val="auto"/>
        </w:rPr>
        <w:t>（三）投诉书未署具投诉人真实姓名、签字和有效联系方式的；以法人名义投诉的，投诉书未经法定代表人签字并加盖公章的；</w:t>
      </w:r>
    </w:p>
    <w:p w14:paraId="648CDDA9">
      <w:pPr>
        <w:spacing w:line="360" w:lineRule="auto"/>
        <w:ind w:firstLine="420" w:firstLineChars="200"/>
        <w:rPr>
          <w:rFonts w:ascii="宋体" w:hAnsi="宋体"/>
          <w:bCs/>
          <w:color w:val="auto"/>
        </w:rPr>
      </w:pPr>
      <w:r>
        <w:rPr>
          <w:rFonts w:hint="eastAsia" w:ascii="宋体" w:hAnsi="宋体"/>
          <w:bCs/>
          <w:color w:val="auto"/>
        </w:rPr>
        <w:t>（四）超过投诉时效的；</w:t>
      </w:r>
    </w:p>
    <w:p w14:paraId="416C9C32">
      <w:pPr>
        <w:spacing w:line="360" w:lineRule="auto"/>
        <w:ind w:firstLine="420" w:firstLineChars="200"/>
        <w:rPr>
          <w:rFonts w:ascii="宋体" w:hAnsi="宋体"/>
          <w:bCs/>
          <w:color w:val="auto"/>
        </w:rPr>
      </w:pPr>
      <w:r>
        <w:rPr>
          <w:rFonts w:hint="eastAsia" w:ascii="宋体" w:hAnsi="宋体"/>
          <w:bCs/>
          <w:color w:val="auto"/>
        </w:rPr>
        <w:t>（五）已经作出处理决定，并且投诉人没有提出新的证据；</w:t>
      </w:r>
    </w:p>
    <w:p w14:paraId="60D44B91">
      <w:pPr>
        <w:spacing w:line="360" w:lineRule="auto"/>
        <w:ind w:firstLine="420" w:firstLineChars="200"/>
        <w:rPr>
          <w:rFonts w:ascii="宋体" w:hAnsi="宋体"/>
          <w:bCs/>
          <w:color w:val="auto"/>
        </w:rPr>
      </w:pPr>
      <w:r>
        <w:rPr>
          <w:rFonts w:hint="eastAsia" w:ascii="宋体" w:hAnsi="宋体"/>
          <w:bCs/>
          <w:color w:val="auto"/>
        </w:rPr>
        <w:t>（六）投诉事项已进入行政复议或者行政诉讼程序的。</w:t>
      </w:r>
    </w:p>
    <w:p w14:paraId="613D6B12">
      <w:pPr>
        <w:spacing w:line="360" w:lineRule="auto"/>
        <w:ind w:firstLine="420" w:firstLineChars="200"/>
        <w:rPr>
          <w:rFonts w:ascii="宋体" w:hAnsi="宋体"/>
          <w:bCs/>
          <w:color w:val="auto"/>
        </w:rPr>
      </w:pPr>
      <w:r>
        <w:rPr>
          <w:rFonts w:hint="eastAsia" w:ascii="宋体" w:hAnsi="宋体"/>
          <w:bCs/>
          <w:color w:val="auto"/>
        </w:rPr>
        <w:t>9.5.2.7未尽事宜，按国家现行有关法律法规、七部委11号令《工程建设项目招标投标活动投诉处理办法》和《云南省招标投标活动投诉处理办法》的规定执行。</w:t>
      </w:r>
    </w:p>
    <w:p w14:paraId="65CC19BB">
      <w:pPr>
        <w:pStyle w:val="5"/>
        <w:spacing w:before="156"/>
        <w:rPr>
          <w:color w:val="auto"/>
        </w:rPr>
      </w:pPr>
      <w:bookmarkStart w:id="78" w:name="_Toc7107"/>
      <w:bookmarkStart w:id="79" w:name="_Toc28765"/>
      <w:bookmarkStart w:id="80" w:name="_Toc85443488"/>
      <w:r>
        <w:rPr>
          <w:rFonts w:hint="eastAsia"/>
          <w:color w:val="auto"/>
          <w:lang w:eastAsia="zh-CN"/>
        </w:rPr>
        <w:t>9.</w:t>
      </w:r>
      <w:r>
        <w:rPr>
          <w:rFonts w:hint="eastAsia"/>
          <w:color w:val="auto"/>
        </w:rPr>
        <w:t>需要补充的其他内容</w:t>
      </w:r>
      <w:bookmarkEnd w:id="76"/>
      <w:bookmarkEnd w:id="77"/>
      <w:bookmarkEnd w:id="78"/>
      <w:bookmarkEnd w:id="79"/>
      <w:bookmarkEnd w:id="80"/>
    </w:p>
    <w:p w14:paraId="55FAF980">
      <w:pPr>
        <w:spacing w:line="360" w:lineRule="auto"/>
        <w:ind w:firstLine="420" w:firstLineChars="200"/>
        <w:rPr>
          <w:rFonts w:ascii="宋体" w:hAnsi="宋体"/>
          <w:bCs/>
          <w:color w:val="auto"/>
        </w:rPr>
      </w:pPr>
      <w:r>
        <w:rPr>
          <w:rFonts w:hint="eastAsia" w:ascii="宋体" w:hAnsi="宋体"/>
          <w:bCs/>
          <w:color w:val="auto"/>
        </w:rPr>
        <w:t>9.1需要补充的其他内容：见投标人须知前附表。</w:t>
      </w:r>
    </w:p>
    <w:p w14:paraId="01537E8F">
      <w:pPr>
        <w:spacing w:line="360" w:lineRule="auto"/>
        <w:ind w:firstLine="420" w:firstLineChars="200"/>
        <w:rPr>
          <w:rFonts w:ascii="宋体" w:hAnsi="宋体"/>
          <w:bCs/>
          <w:color w:val="auto"/>
        </w:rPr>
      </w:pPr>
      <w:r>
        <w:rPr>
          <w:rFonts w:hint="eastAsia" w:ascii="宋体" w:hAnsi="宋体"/>
          <w:bCs/>
          <w:color w:val="auto"/>
        </w:rPr>
        <w:t>9.2自下载招标文件之日起，投标人应保证其提供的联系方式（电话、传真、电子邮件）一直有效，以便及时收到招标人发出的函件</w:t>
      </w:r>
      <w:r>
        <w:rPr>
          <w:rFonts w:hint="eastAsia" w:ascii="宋体" w:hAnsi="宋体"/>
          <w:bCs/>
          <w:color w:val="auto"/>
          <w:lang w:eastAsia="zh-CN"/>
        </w:rPr>
        <w:t>（</w:t>
      </w:r>
      <w:r>
        <w:rPr>
          <w:rFonts w:hint="eastAsia" w:ascii="宋体" w:hAnsi="宋体"/>
          <w:bCs/>
          <w:color w:val="auto"/>
        </w:rPr>
        <w:t>招标文件的澄清、修改等</w:t>
      </w:r>
      <w:r>
        <w:rPr>
          <w:rFonts w:hint="eastAsia" w:ascii="宋体" w:hAnsi="宋体"/>
          <w:bCs/>
          <w:color w:val="auto"/>
          <w:lang w:eastAsia="zh-CN"/>
        </w:rPr>
        <w:t>）</w:t>
      </w:r>
      <w:r>
        <w:rPr>
          <w:rFonts w:hint="eastAsia" w:ascii="宋体" w:hAnsi="宋体"/>
          <w:bCs/>
          <w:color w:val="auto"/>
        </w:rPr>
        <w:t xml:space="preserve">，并应及时向招标人反馈信息，否则招标人不承担由此引起的一切后果。 </w:t>
      </w:r>
    </w:p>
    <w:p w14:paraId="52825140">
      <w:pPr>
        <w:spacing w:line="360" w:lineRule="auto"/>
        <w:ind w:firstLine="420" w:firstLineChars="200"/>
        <w:rPr>
          <w:rFonts w:ascii="宋体" w:hAnsi="宋体"/>
          <w:bCs/>
          <w:color w:val="auto"/>
        </w:rPr>
      </w:pPr>
      <w:r>
        <w:rPr>
          <w:rFonts w:hint="eastAsia" w:ascii="宋体" w:hAnsi="宋体"/>
          <w:bCs/>
          <w:color w:val="auto"/>
        </w:rPr>
        <w:t>9.3投标人提交的投标文件因签章、签字遮盖投标文件内容而影响投标的，责任由投标人承担。参加投标的投标人，须在投标函中说明愿意接受本招标文件所有条款，未说明的做否决投标处理。</w:t>
      </w:r>
    </w:p>
    <w:p w14:paraId="17FB6DE2">
      <w:pPr>
        <w:rPr>
          <w:color w:val="auto"/>
        </w:rPr>
      </w:pPr>
    </w:p>
    <w:p w14:paraId="3ADFF042">
      <w:pPr>
        <w:rPr>
          <w:rFonts w:hint="eastAsia" w:ascii="宋体" w:hAnsi="宋体" w:cs="宋体"/>
          <w:b/>
          <w:bCs/>
          <w:color w:val="auto"/>
          <w:sz w:val="27"/>
          <w:szCs w:val="27"/>
        </w:rPr>
      </w:pPr>
      <w:bookmarkStart w:id="81" w:name="_Toc501956897"/>
      <w:r>
        <w:rPr>
          <w:rFonts w:hint="eastAsia" w:ascii="宋体" w:hAnsi="宋体" w:cs="宋体"/>
          <w:b/>
          <w:bCs/>
          <w:color w:val="auto"/>
          <w:sz w:val="27"/>
          <w:szCs w:val="27"/>
        </w:rPr>
        <w:br w:type="page"/>
      </w:r>
    </w:p>
    <w:p w14:paraId="46DA6A97">
      <w:pPr>
        <w:adjustRightInd w:val="0"/>
        <w:snapToGrid w:val="0"/>
        <w:spacing w:line="360" w:lineRule="auto"/>
        <w:ind w:firstLine="271" w:firstLineChars="100"/>
        <w:rPr>
          <w:rFonts w:ascii="宋体" w:hAnsi="宋体" w:cs="宋体"/>
          <w:b/>
          <w:bCs/>
          <w:color w:val="auto"/>
          <w:sz w:val="27"/>
          <w:szCs w:val="27"/>
        </w:rPr>
      </w:pPr>
      <w:r>
        <w:rPr>
          <w:rFonts w:hint="eastAsia" w:ascii="宋体" w:hAnsi="宋体" w:cs="宋体"/>
          <w:b/>
          <w:bCs/>
          <w:color w:val="auto"/>
          <w:sz w:val="27"/>
          <w:szCs w:val="27"/>
        </w:rPr>
        <w:t>附件：</w:t>
      </w:r>
      <w:bookmarkEnd w:id="81"/>
      <w:r>
        <w:rPr>
          <w:rFonts w:hint="eastAsia" w:ascii="宋体" w:hAnsi="宋体" w:cs="宋体"/>
          <w:b/>
          <w:bCs/>
          <w:color w:val="auto"/>
          <w:sz w:val="27"/>
          <w:szCs w:val="27"/>
        </w:rPr>
        <w:t>电子投标文件上传要求</w:t>
      </w:r>
    </w:p>
    <w:p w14:paraId="7FAF4839">
      <w:pPr>
        <w:adjustRightInd w:val="0"/>
        <w:snapToGrid w:val="0"/>
        <w:spacing w:line="360" w:lineRule="auto"/>
        <w:ind w:firstLine="210" w:firstLineChars="100"/>
        <w:rPr>
          <w:rFonts w:ascii="宋体" w:hAnsi="宋体"/>
          <w:color w:val="auto"/>
          <w:kern w:val="0"/>
          <w:szCs w:val="21"/>
        </w:rPr>
      </w:pPr>
      <w:r>
        <w:rPr>
          <w:rFonts w:hint="eastAsia" w:ascii="宋体" w:hAnsi="宋体"/>
          <w:color w:val="auto"/>
          <w:kern w:val="0"/>
          <w:szCs w:val="21"/>
        </w:rPr>
        <w:t>网上上传投标文件：投标人根据拟要投标的项目，按照网上投标系统要求上传全部投标文件，投标文件上传后须自行检查投标文件的完整性并进行确认</w:t>
      </w:r>
      <w:r>
        <w:rPr>
          <w:rFonts w:hint="eastAsia" w:ascii="宋体" w:hAnsi="宋体"/>
          <w:color w:val="auto"/>
          <w:kern w:val="0"/>
          <w:szCs w:val="21"/>
          <w:lang w:eastAsia="zh-CN"/>
        </w:rPr>
        <w:t>签名后，方可完成</w:t>
      </w:r>
      <w:r>
        <w:rPr>
          <w:rFonts w:hint="eastAsia" w:ascii="宋体" w:hAnsi="宋体"/>
          <w:color w:val="auto"/>
          <w:kern w:val="0"/>
          <w:szCs w:val="21"/>
        </w:rPr>
        <w:t>全部投标文件网上上传操作。投标截止时间前未完成投标文件传输的，视为撤回投标文件。</w:t>
      </w:r>
    </w:p>
    <w:p w14:paraId="2E05A884">
      <w:pPr>
        <w:spacing w:line="420" w:lineRule="exact"/>
        <w:rPr>
          <w:rFonts w:ascii="宋体" w:hAnsi="宋体"/>
          <w:color w:val="auto"/>
        </w:rPr>
      </w:pPr>
    </w:p>
    <w:p w14:paraId="18F910BF">
      <w:pPr>
        <w:pStyle w:val="57"/>
        <w:rPr>
          <w:rFonts w:ascii="宋体" w:hAnsi="宋体"/>
          <w:color w:val="auto"/>
        </w:rPr>
      </w:pPr>
    </w:p>
    <w:p w14:paraId="776B589D">
      <w:pPr>
        <w:rPr>
          <w:rFonts w:ascii="宋体" w:hAnsi="宋体"/>
          <w:color w:val="auto"/>
        </w:rPr>
      </w:pPr>
    </w:p>
    <w:p w14:paraId="3E7A8545">
      <w:pPr>
        <w:pStyle w:val="57"/>
        <w:ind w:left="0"/>
        <w:rPr>
          <w:rFonts w:ascii="宋体" w:hAnsi="宋体"/>
          <w:color w:val="auto"/>
        </w:rPr>
      </w:pPr>
    </w:p>
    <w:p w14:paraId="0F90C753">
      <w:pPr>
        <w:pStyle w:val="3"/>
        <w:spacing w:before="312" w:after="312"/>
        <w:rPr>
          <w:rFonts w:hint="eastAsia" w:hAnsi="宋体"/>
          <w:bCs w:val="0"/>
          <w:color w:val="auto"/>
          <w:sz w:val="48"/>
        </w:rPr>
      </w:pPr>
      <w:bookmarkStart w:id="82" w:name="_Toc310437980"/>
    </w:p>
    <w:p w14:paraId="54EBB324">
      <w:pPr>
        <w:rPr>
          <w:rFonts w:hint="eastAsia"/>
          <w:color w:val="auto"/>
        </w:rPr>
      </w:pPr>
    </w:p>
    <w:p w14:paraId="66B29D2E">
      <w:pPr>
        <w:pStyle w:val="3"/>
        <w:spacing w:before="312" w:after="312"/>
        <w:jc w:val="center"/>
        <w:rPr>
          <w:rFonts w:hint="eastAsia" w:hAnsi="宋体"/>
          <w:bCs w:val="0"/>
          <w:color w:val="auto"/>
          <w:sz w:val="48"/>
          <w:lang w:val="en-US" w:eastAsia="zh-CN"/>
        </w:rPr>
      </w:pPr>
    </w:p>
    <w:p w14:paraId="4B618D07">
      <w:pPr>
        <w:rPr>
          <w:rFonts w:hint="eastAsia" w:hAnsi="宋体"/>
          <w:bCs w:val="0"/>
          <w:color w:val="auto"/>
          <w:sz w:val="48"/>
          <w:lang w:val="en-US" w:eastAsia="zh-CN"/>
        </w:rPr>
      </w:pPr>
    </w:p>
    <w:p w14:paraId="7546D4A7">
      <w:pPr>
        <w:pStyle w:val="2"/>
        <w:rPr>
          <w:rFonts w:hint="eastAsia" w:hAnsi="宋体"/>
          <w:bCs w:val="0"/>
          <w:color w:val="auto"/>
          <w:sz w:val="48"/>
          <w:lang w:val="en-US" w:eastAsia="zh-CN"/>
        </w:rPr>
      </w:pPr>
    </w:p>
    <w:p w14:paraId="0F3F3591">
      <w:pPr>
        <w:pStyle w:val="34"/>
        <w:rPr>
          <w:rFonts w:hint="eastAsia"/>
          <w:color w:val="auto"/>
          <w:lang w:val="en-US" w:eastAsia="zh-CN"/>
        </w:rPr>
      </w:pPr>
    </w:p>
    <w:p w14:paraId="3C7FEC92">
      <w:pPr>
        <w:pStyle w:val="3"/>
        <w:spacing w:before="312" w:after="312"/>
        <w:jc w:val="center"/>
        <w:rPr>
          <w:rFonts w:hint="eastAsia" w:hAnsi="宋体"/>
          <w:bCs w:val="0"/>
          <w:color w:val="auto"/>
          <w:sz w:val="48"/>
          <w:lang w:val="en-US" w:eastAsia="zh-CN"/>
        </w:rPr>
      </w:pPr>
    </w:p>
    <w:p w14:paraId="1F041205">
      <w:pPr>
        <w:pStyle w:val="3"/>
        <w:spacing w:before="312" w:after="312"/>
        <w:jc w:val="center"/>
        <w:rPr>
          <w:rFonts w:hint="eastAsia" w:hAnsi="宋体"/>
          <w:bCs w:val="0"/>
          <w:color w:val="auto"/>
          <w:sz w:val="48"/>
          <w:lang w:val="en-US" w:eastAsia="zh-CN"/>
        </w:rPr>
      </w:pPr>
    </w:p>
    <w:p w14:paraId="44F7D642">
      <w:pPr>
        <w:pStyle w:val="3"/>
        <w:spacing w:before="312" w:after="312"/>
        <w:jc w:val="center"/>
        <w:rPr>
          <w:rFonts w:hint="eastAsia" w:hAnsi="宋体"/>
          <w:bCs w:val="0"/>
          <w:color w:val="auto"/>
          <w:sz w:val="48"/>
          <w:lang w:val="en-US" w:eastAsia="zh-CN"/>
        </w:rPr>
      </w:pPr>
    </w:p>
    <w:p w14:paraId="565C2AAE">
      <w:pPr>
        <w:pStyle w:val="3"/>
        <w:spacing w:before="312" w:after="312"/>
        <w:jc w:val="both"/>
        <w:rPr>
          <w:rFonts w:hint="eastAsia" w:hAnsi="宋体"/>
          <w:bCs w:val="0"/>
          <w:color w:val="auto"/>
          <w:sz w:val="48"/>
          <w:lang w:val="en-US" w:eastAsia="zh-CN"/>
        </w:rPr>
      </w:pPr>
    </w:p>
    <w:p w14:paraId="770F481C">
      <w:pPr>
        <w:pStyle w:val="3"/>
        <w:spacing w:before="312" w:after="312"/>
        <w:jc w:val="center"/>
        <w:rPr>
          <w:rFonts w:hint="eastAsia" w:hAnsi="宋体"/>
          <w:bCs w:val="0"/>
          <w:color w:val="auto"/>
          <w:sz w:val="48"/>
          <w:lang w:val="en-US" w:eastAsia="zh-CN"/>
        </w:rPr>
      </w:pPr>
      <w:r>
        <w:rPr>
          <w:rFonts w:hint="eastAsia" w:hAnsi="宋体"/>
          <w:bCs w:val="0"/>
          <w:color w:val="auto"/>
          <w:sz w:val="48"/>
          <w:lang w:val="en-US" w:eastAsia="zh-CN"/>
        </w:rPr>
        <w:t xml:space="preserve">  </w:t>
      </w:r>
      <w:bookmarkStart w:id="83" w:name="_Toc13004"/>
    </w:p>
    <w:bookmarkEnd w:id="82"/>
    <w:bookmarkEnd w:id="83"/>
    <w:p w14:paraId="36A9B2E8">
      <w:pPr>
        <w:ind w:firstLine="3213" w:firstLineChars="800"/>
        <w:rPr>
          <w:rFonts w:hint="eastAsia" w:ascii="宋体" w:hAnsi="宋体"/>
          <w:b/>
          <w:color w:val="auto"/>
          <w:sz w:val="40"/>
          <w:szCs w:val="21"/>
        </w:rPr>
      </w:pPr>
      <w:bookmarkStart w:id="84" w:name="_Toc304808710"/>
      <w:bookmarkStart w:id="85" w:name="_Toc304811307"/>
    </w:p>
    <w:p w14:paraId="369F09DD">
      <w:pPr>
        <w:ind w:firstLine="3213" w:firstLineChars="800"/>
        <w:rPr>
          <w:rFonts w:hint="eastAsia" w:ascii="宋体" w:hAnsi="宋体"/>
          <w:b/>
          <w:color w:val="auto"/>
          <w:sz w:val="40"/>
          <w:szCs w:val="21"/>
        </w:rPr>
      </w:pPr>
    </w:p>
    <w:p w14:paraId="3BB21D35">
      <w:pPr>
        <w:pStyle w:val="3"/>
        <w:numPr>
          <w:ilvl w:val="0"/>
          <w:numId w:val="1"/>
        </w:numPr>
        <w:spacing w:before="312" w:after="312"/>
        <w:ind w:left="893" w:leftChars="0" w:firstLine="0" w:firstLineChars="0"/>
        <w:jc w:val="center"/>
        <w:rPr>
          <w:rFonts w:hint="eastAsia" w:hAnsi="宋体"/>
          <w:bCs w:val="0"/>
          <w:color w:val="auto"/>
          <w:sz w:val="48"/>
        </w:rPr>
      </w:pPr>
      <w:r>
        <w:rPr>
          <w:rFonts w:hint="eastAsia" w:hAnsi="宋体"/>
          <w:bCs w:val="0"/>
          <w:color w:val="auto"/>
          <w:sz w:val="48"/>
        </w:rPr>
        <w:t>评标办法（综合评估法）</w:t>
      </w:r>
    </w:p>
    <w:p w14:paraId="73EFAA3B">
      <w:pPr>
        <w:pStyle w:val="3"/>
        <w:numPr>
          <w:ilvl w:val="0"/>
          <w:numId w:val="0"/>
        </w:numPr>
        <w:spacing w:before="312" w:after="312"/>
        <w:jc w:val="center"/>
        <w:rPr>
          <w:rFonts w:ascii="宋体" w:hAnsi="宋体"/>
          <w:b/>
          <w:color w:val="auto"/>
          <w:sz w:val="40"/>
          <w:szCs w:val="21"/>
        </w:rPr>
      </w:pPr>
      <w:r>
        <w:rPr>
          <w:rFonts w:hint="eastAsia" w:ascii="宋体" w:hAnsi="宋体"/>
          <w:b/>
          <w:color w:val="auto"/>
          <w:sz w:val="40"/>
          <w:szCs w:val="21"/>
        </w:rPr>
        <w:t>评标办法前附表</w:t>
      </w:r>
      <w:bookmarkEnd w:id="84"/>
      <w:bookmarkEnd w:id="85"/>
    </w:p>
    <w:tbl>
      <w:tblPr>
        <w:tblStyle w:val="68"/>
        <w:tblW w:w="945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53"/>
        <w:gridCol w:w="141"/>
        <w:gridCol w:w="525"/>
        <w:gridCol w:w="68"/>
        <w:gridCol w:w="594"/>
        <w:gridCol w:w="1365"/>
        <w:gridCol w:w="5850"/>
        <w:gridCol w:w="159"/>
      </w:tblGrid>
      <w:tr w14:paraId="645B1D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4" w:hRule="atLeast"/>
          <w:jc w:val="center"/>
        </w:trPr>
        <w:tc>
          <w:tcPr>
            <w:tcW w:w="1487" w:type="dxa"/>
            <w:gridSpan w:val="4"/>
            <w:vAlign w:val="center"/>
          </w:tcPr>
          <w:p w14:paraId="295A50CD">
            <w:pPr>
              <w:jc w:val="center"/>
              <w:rPr>
                <w:rFonts w:ascii="宋体" w:hAnsi="宋体"/>
                <w:color w:val="auto"/>
                <w:szCs w:val="21"/>
              </w:rPr>
            </w:pPr>
            <w:r>
              <w:rPr>
                <w:rFonts w:ascii="宋体" w:hAnsi="宋体"/>
                <w:color w:val="auto"/>
                <w:szCs w:val="21"/>
              </w:rPr>
              <w:t>条款号</w:t>
            </w:r>
          </w:p>
        </w:tc>
        <w:tc>
          <w:tcPr>
            <w:tcW w:w="1959" w:type="dxa"/>
            <w:gridSpan w:val="2"/>
            <w:vAlign w:val="center"/>
          </w:tcPr>
          <w:p w14:paraId="50AC0368">
            <w:pPr>
              <w:jc w:val="center"/>
              <w:rPr>
                <w:rFonts w:ascii="宋体" w:hAnsi="宋体"/>
                <w:color w:val="auto"/>
                <w:szCs w:val="21"/>
              </w:rPr>
            </w:pPr>
            <w:r>
              <w:rPr>
                <w:rFonts w:ascii="宋体" w:hAnsi="宋体"/>
                <w:color w:val="auto"/>
                <w:szCs w:val="21"/>
              </w:rPr>
              <w:t>评审因素</w:t>
            </w:r>
          </w:p>
        </w:tc>
        <w:tc>
          <w:tcPr>
            <w:tcW w:w="6009" w:type="dxa"/>
            <w:gridSpan w:val="2"/>
            <w:vAlign w:val="center"/>
          </w:tcPr>
          <w:p w14:paraId="4CA1D60C">
            <w:pPr>
              <w:jc w:val="center"/>
              <w:rPr>
                <w:rFonts w:ascii="宋体" w:hAnsi="宋体"/>
                <w:color w:val="auto"/>
                <w:szCs w:val="21"/>
              </w:rPr>
            </w:pPr>
            <w:r>
              <w:rPr>
                <w:rFonts w:ascii="宋体" w:hAnsi="宋体"/>
                <w:color w:val="auto"/>
                <w:szCs w:val="21"/>
              </w:rPr>
              <w:t>评审标准</w:t>
            </w:r>
          </w:p>
        </w:tc>
      </w:tr>
      <w:tr w14:paraId="2DD00F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33" w:hRule="atLeast"/>
          <w:jc w:val="center"/>
        </w:trPr>
        <w:tc>
          <w:tcPr>
            <w:tcW w:w="894" w:type="dxa"/>
            <w:gridSpan w:val="2"/>
            <w:vMerge w:val="restart"/>
            <w:vAlign w:val="center"/>
          </w:tcPr>
          <w:p w14:paraId="342BDDDC">
            <w:pPr>
              <w:jc w:val="center"/>
              <w:rPr>
                <w:rFonts w:ascii="宋体" w:hAnsi="宋体"/>
                <w:color w:val="auto"/>
                <w:szCs w:val="21"/>
              </w:rPr>
            </w:pPr>
            <w:r>
              <w:rPr>
                <w:rFonts w:ascii="宋体" w:hAnsi="宋体"/>
                <w:color w:val="auto"/>
                <w:szCs w:val="21"/>
              </w:rPr>
              <w:t>1.1</w:t>
            </w:r>
          </w:p>
        </w:tc>
        <w:tc>
          <w:tcPr>
            <w:tcW w:w="593" w:type="dxa"/>
            <w:gridSpan w:val="2"/>
            <w:vMerge w:val="restart"/>
            <w:vAlign w:val="center"/>
          </w:tcPr>
          <w:p w14:paraId="445830E3">
            <w:pPr>
              <w:autoSpaceDE w:val="0"/>
              <w:autoSpaceDN w:val="0"/>
              <w:jc w:val="center"/>
              <w:rPr>
                <w:rFonts w:ascii="宋体" w:hAnsi="宋体"/>
                <w:color w:val="auto"/>
                <w:szCs w:val="21"/>
              </w:rPr>
            </w:pPr>
            <w:r>
              <w:rPr>
                <w:rFonts w:ascii="宋体" w:hAnsi="宋体"/>
                <w:color w:val="auto"/>
                <w:szCs w:val="21"/>
              </w:rPr>
              <w:t>形式评审标准</w:t>
            </w:r>
          </w:p>
        </w:tc>
        <w:tc>
          <w:tcPr>
            <w:tcW w:w="1959" w:type="dxa"/>
            <w:gridSpan w:val="2"/>
            <w:vAlign w:val="center"/>
          </w:tcPr>
          <w:p w14:paraId="72D15BCA">
            <w:pPr>
              <w:autoSpaceDE w:val="0"/>
              <w:autoSpaceDN w:val="0"/>
              <w:rPr>
                <w:rFonts w:ascii="宋体" w:hAnsi="宋体"/>
                <w:color w:val="auto"/>
                <w:szCs w:val="21"/>
              </w:rPr>
            </w:pPr>
            <w:r>
              <w:rPr>
                <w:rFonts w:ascii="宋体" w:hAnsi="宋体"/>
                <w:color w:val="auto"/>
                <w:szCs w:val="21"/>
              </w:rPr>
              <w:t>投标人名称</w:t>
            </w:r>
          </w:p>
        </w:tc>
        <w:tc>
          <w:tcPr>
            <w:tcW w:w="6009" w:type="dxa"/>
            <w:gridSpan w:val="2"/>
            <w:vAlign w:val="center"/>
          </w:tcPr>
          <w:p w14:paraId="5F34D380">
            <w:pPr>
              <w:autoSpaceDE w:val="0"/>
              <w:autoSpaceDN w:val="0"/>
              <w:rPr>
                <w:rFonts w:ascii="宋体" w:hAnsi="宋体"/>
                <w:color w:val="auto"/>
              </w:rPr>
            </w:pPr>
            <w:r>
              <w:rPr>
                <w:rFonts w:ascii="宋体" w:hAnsi="宋体"/>
                <w:color w:val="auto"/>
              </w:rPr>
              <w:t>与营业执照、资质证书一致</w:t>
            </w:r>
          </w:p>
        </w:tc>
      </w:tr>
      <w:tr w14:paraId="237330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17" w:hRule="atLeast"/>
          <w:jc w:val="center"/>
        </w:trPr>
        <w:tc>
          <w:tcPr>
            <w:tcW w:w="894" w:type="dxa"/>
            <w:gridSpan w:val="2"/>
            <w:vMerge w:val="continue"/>
            <w:vAlign w:val="center"/>
          </w:tcPr>
          <w:p w14:paraId="2D9834A5">
            <w:pPr>
              <w:jc w:val="center"/>
              <w:rPr>
                <w:rFonts w:ascii="宋体" w:hAnsi="宋体"/>
                <w:color w:val="auto"/>
                <w:szCs w:val="21"/>
              </w:rPr>
            </w:pPr>
          </w:p>
        </w:tc>
        <w:tc>
          <w:tcPr>
            <w:tcW w:w="593" w:type="dxa"/>
            <w:gridSpan w:val="2"/>
            <w:vMerge w:val="continue"/>
            <w:vAlign w:val="center"/>
          </w:tcPr>
          <w:p w14:paraId="5F611128">
            <w:pPr>
              <w:jc w:val="center"/>
              <w:rPr>
                <w:rFonts w:ascii="宋体" w:hAnsi="宋体"/>
                <w:color w:val="auto"/>
                <w:szCs w:val="21"/>
              </w:rPr>
            </w:pPr>
          </w:p>
        </w:tc>
        <w:tc>
          <w:tcPr>
            <w:tcW w:w="1959" w:type="dxa"/>
            <w:gridSpan w:val="2"/>
            <w:vAlign w:val="center"/>
          </w:tcPr>
          <w:p w14:paraId="3907C0F0">
            <w:pPr>
              <w:rPr>
                <w:rFonts w:ascii="宋体" w:hAnsi="宋体"/>
                <w:color w:val="auto"/>
                <w:szCs w:val="21"/>
              </w:rPr>
            </w:pPr>
            <w:r>
              <w:rPr>
                <w:rFonts w:ascii="宋体" w:hAnsi="宋体"/>
                <w:color w:val="auto"/>
                <w:szCs w:val="21"/>
              </w:rPr>
              <w:t>投标函签字盖章</w:t>
            </w:r>
          </w:p>
        </w:tc>
        <w:tc>
          <w:tcPr>
            <w:tcW w:w="6009" w:type="dxa"/>
            <w:gridSpan w:val="2"/>
            <w:vAlign w:val="center"/>
          </w:tcPr>
          <w:p w14:paraId="31E5BD58">
            <w:pPr>
              <w:rPr>
                <w:rFonts w:ascii="宋体" w:hAnsi="宋体"/>
                <w:color w:val="auto"/>
              </w:rPr>
            </w:pPr>
            <w:r>
              <w:rPr>
                <w:rFonts w:ascii="宋体" w:hAnsi="宋体"/>
                <w:color w:val="auto"/>
              </w:rPr>
              <w:t>有法定代表人或其委托代理人签字</w:t>
            </w:r>
            <w:r>
              <w:rPr>
                <w:rFonts w:hint="eastAsia" w:ascii="宋体" w:hAnsi="宋体"/>
                <w:color w:val="auto"/>
              </w:rPr>
              <w:t>且</w:t>
            </w:r>
            <w:r>
              <w:rPr>
                <w:rFonts w:ascii="宋体" w:hAnsi="宋体"/>
                <w:color w:val="auto"/>
              </w:rPr>
              <w:t>加</w:t>
            </w:r>
            <w:r>
              <w:rPr>
                <w:rFonts w:hint="eastAsia" w:ascii="宋体" w:hAnsi="宋体"/>
                <w:color w:val="auto"/>
              </w:rPr>
              <w:t>电子签章</w:t>
            </w:r>
          </w:p>
        </w:tc>
      </w:tr>
      <w:tr w14:paraId="296C9C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07" w:hRule="atLeast"/>
          <w:jc w:val="center"/>
        </w:trPr>
        <w:tc>
          <w:tcPr>
            <w:tcW w:w="894" w:type="dxa"/>
            <w:gridSpan w:val="2"/>
            <w:vMerge w:val="continue"/>
            <w:vAlign w:val="center"/>
          </w:tcPr>
          <w:p w14:paraId="11B8393E">
            <w:pPr>
              <w:jc w:val="center"/>
              <w:rPr>
                <w:rFonts w:ascii="宋体" w:hAnsi="宋体"/>
                <w:color w:val="auto"/>
                <w:szCs w:val="21"/>
              </w:rPr>
            </w:pPr>
          </w:p>
        </w:tc>
        <w:tc>
          <w:tcPr>
            <w:tcW w:w="593" w:type="dxa"/>
            <w:gridSpan w:val="2"/>
            <w:vMerge w:val="continue"/>
            <w:vAlign w:val="center"/>
          </w:tcPr>
          <w:p w14:paraId="42E60B23">
            <w:pPr>
              <w:jc w:val="center"/>
              <w:rPr>
                <w:rFonts w:ascii="宋体" w:hAnsi="宋体"/>
                <w:color w:val="auto"/>
                <w:szCs w:val="21"/>
              </w:rPr>
            </w:pPr>
          </w:p>
        </w:tc>
        <w:tc>
          <w:tcPr>
            <w:tcW w:w="1959" w:type="dxa"/>
            <w:gridSpan w:val="2"/>
            <w:vAlign w:val="center"/>
          </w:tcPr>
          <w:p w14:paraId="1AD2E9B7">
            <w:pPr>
              <w:rPr>
                <w:rFonts w:ascii="宋体" w:hAnsi="宋体"/>
                <w:color w:val="auto"/>
                <w:szCs w:val="21"/>
              </w:rPr>
            </w:pPr>
            <w:r>
              <w:rPr>
                <w:rFonts w:hint="eastAsia" w:ascii="宋体" w:hAnsi="宋体"/>
                <w:color w:val="auto"/>
                <w:szCs w:val="21"/>
              </w:rPr>
              <w:t>联合体</w:t>
            </w:r>
            <w:r>
              <w:rPr>
                <w:rFonts w:ascii="宋体" w:hAnsi="宋体"/>
                <w:color w:val="auto"/>
                <w:szCs w:val="21"/>
              </w:rPr>
              <w:t>投标人</w:t>
            </w:r>
          </w:p>
        </w:tc>
        <w:tc>
          <w:tcPr>
            <w:tcW w:w="6009" w:type="dxa"/>
            <w:gridSpan w:val="2"/>
            <w:vAlign w:val="center"/>
          </w:tcPr>
          <w:p w14:paraId="1EB679E4">
            <w:pPr>
              <w:rPr>
                <w:rFonts w:ascii="宋体" w:hAnsi="宋体"/>
                <w:color w:val="auto"/>
              </w:rPr>
            </w:pPr>
            <w:r>
              <w:rPr>
                <w:rFonts w:hint="eastAsia" w:ascii="宋体" w:hAnsi="宋体"/>
                <w:color w:val="auto"/>
              </w:rPr>
              <w:t>提交联合体协议书，并明确联合体牵头人</w:t>
            </w:r>
          </w:p>
        </w:tc>
      </w:tr>
      <w:tr w14:paraId="2B1F77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75" w:hRule="atLeast"/>
          <w:jc w:val="center"/>
        </w:trPr>
        <w:tc>
          <w:tcPr>
            <w:tcW w:w="894" w:type="dxa"/>
            <w:gridSpan w:val="2"/>
            <w:vMerge w:val="continue"/>
            <w:tcBorders>
              <w:bottom w:val="single" w:color="auto" w:sz="4" w:space="0"/>
            </w:tcBorders>
            <w:vAlign w:val="center"/>
          </w:tcPr>
          <w:p w14:paraId="008817D9">
            <w:pPr>
              <w:jc w:val="center"/>
              <w:rPr>
                <w:rFonts w:ascii="宋体" w:hAnsi="宋体"/>
                <w:color w:val="auto"/>
                <w:szCs w:val="21"/>
              </w:rPr>
            </w:pPr>
          </w:p>
        </w:tc>
        <w:tc>
          <w:tcPr>
            <w:tcW w:w="593" w:type="dxa"/>
            <w:gridSpan w:val="2"/>
            <w:vMerge w:val="continue"/>
            <w:tcBorders>
              <w:bottom w:val="single" w:color="auto" w:sz="4" w:space="0"/>
            </w:tcBorders>
            <w:vAlign w:val="center"/>
          </w:tcPr>
          <w:p w14:paraId="61DEAC6E">
            <w:pPr>
              <w:jc w:val="center"/>
              <w:rPr>
                <w:rFonts w:ascii="宋体" w:hAnsi="宋体"/>
                <w:color w:val="auto"/>
                <w:szCs w:val="21"/>
              </w:rPr>
            </w:pPr>
          </w:p>
        </w:tc>
        <w:tc>
          <w:tcPr>
            <w:tcW w:w="1959" w:type="dxa"/>
            <w:gridSpan w:val="2"/>
            <w:vAlign w:val="center"/>
          </w:tcPr>
          <w:p w14:paraId="2A5F3DFE">
            <w:pPr>
              <w:rPr>
                <w:rFonts w:ascii="宋体" w:hAnsi="宋体"/>
                <w:color w:val="auto"/>
                <w:szCs w:val="21"/>
              </w:rPr>
            </w:pPr>
            <w:r>
              <w:rPr>
                <w:rFonts w:ascii="宋体" w:hAnsi="宋体"/>
                <w:color w:val="auto"/>
                <w:szCs w:val="21"/>
              </w:rPr>
              <w:t>报价唯一</w:t>
            </w:r>
          </w:p>
        </w:tc>
        <w:tc>
          <w:tcPr>
            <w:tcW w:w="6009" w:type="dxa"/>
            <w:gridSpan w:val="2"/>
            <w:vAlign w:val="center"/>
          </w:tcPr>
          <w:p w14:paraId="57408052">
            <w:pPr>
              <w:rPr>
                <w:rFonts w:ascii="宋体" w:hAnsi="宋体"/>
                <w:color w:val="auto"/>
              </w:rPr>
            </w:pPr>
            <w:r>
              <w:rPr>
                <w:rFonts w:hint="eastAsia" w:ascii="宋体" w:hAnsi="宋体"/>
                <w:color w:val="auto"/>
              </w:rPr>
              <w:t>勘察部分、设计部分和施工部分分别</w:t>
            </w:r>
            <w:r>
              <w:rPr>
                <w:rFonts w:ascii="宋体" w:hAnsi="宋体"/>
                <w:color w:val="auto"/>
              </w:rPr>
              <w:t>只能有一个有效报价</w:t>
            </w:r>
          </w:p>
        </w:tc>
      </w:tr>
      <w:tr w14:paraId="4F0638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68" w:hRule="atLeast"/>
          <w:jc w:val="center"/>
        </w:trPr>
        <w:tc>
          <w:tcPr>
            <w:tcW w:w="894" w:type="dxa"/>
            <w:gridSpan w:val="2"/>
            <w:vMerge w:val="restart"/>
            <w:tcBorders>
              <w:top w:val="single" w:color="auto" w:sz="4" w:space="0"/>
            </w:tcBorders>
            <w:vAlign w:val="center"/>
          </w:tcPr>
          <w:p w14:paraId="63BD4D87">
            <w:pPr>
              <w:jc w:val="center"/>
              <w:rPr>
                <w:rFonts w:ascii="宋体" w:hAnsi="宋体"/>
                <w:color w:val="auto"/>
                <w:szCs w:val="21"/>
              </w:rPr>
            </w:pPr>
            <w:r>
              <w:rPr>
                <w:rFonts w:ascii="宋体" w:hAnsi="宋体"/>
                <w:color w:val="auto"/>
                <w:szCs w:val="21"/>
              </w:rPr>
              <w:t>1.2</w:t>
            </w:r>
          </w:p>
        </w:tc>
        <w:tc>
          <w:tcPr>
            <w:tcW w:w="593" w:type="dxa"/>
            <w:gridSpan w:val="2"/>
            <w:vMerge w:val="restart"/>
            <w:tcBorders>
              <w:top w:val="single" w:color="auto" w:sz="4" w:space="0"/>
            </w:tcBorders>
            <w:vAlign w:val="center"/>
          </w:tcPr>
          <w:p w14:paraId="41C96C74">
            <w:pPr>
              <w:autoSpaceDE w:val="0"/>
              <w:autoSpaceDN w:val="0"/>
              <w:jc w:val="center"/>
              <w:rPr>
                <w:rFonts w:ascii="宋体" w:hAnsi="宋体"/>
                <w:color w:val="auto"/>
                <w:szCs w:val="21"/>
              </w:rPr>
            </w:pPr>
            <w:r>
              <w:rPr>
                <w:rFonts w:ascii="宋体" w:hAnsi="宋体"/>
                <w:color w:val="auto"/>
                <w:szCs w:val="21"/>
              </w:rPr>
              <w:t>资格评审标准</w:t>
            </w:r>
          </w:p>
        </w:tc>
        <w:tc>
          <w:tcPr>
            <w:tcW w:w="1959" w:type="dxa"/>
            <w:gridSpan w:val="2"/>
            <w:vAlign w:val="center"/>
          </w:tcPr>
          <w:p w14:paraId="369D834B">
            <w:pPr>
              <w:rPr>
                <w:rFonts w:ascii="宋体" w:hAnsi="宋体"/>
                <w:color w:val="auto"/>
                <w:szCs w:val="21"/>
              </w:rPr>
            </w:pPr>
            <w:r>
              <w:rPr>
                <w:rFonts w:ascii="宋体" w:hAnsi="宋体"/>
                <w:color w:val="auto"/>
                <w:szCs w:val="21"/>
              </w:rPr>
              <w:t>营业执照</w:t>
            </w:r>
          </w:p>
        </w:tc>
        <w:tc>
          <w:tcPr>
            <w:tcW w:w="6009" w:type="dxa"/>
            <w:gridSpan w:val="2"/>
            <w:vAlign w:val="center"/>
          </w:tcPr>
          <w:p w14:paraId="7587C4D8">
            <w:pPr>
              <w:rPr>
                <w:rFonts w:ascii="宋体" w:hAnsi="宋体"/>
                <w:color w:val="auto"/>
              </w:rPr>
            </w:pPr>
            <w:r>
              <w:rPr>
                <w:rFonts w:ascii="宋体" w:hAnsi="宋体"/>
                <w:color w:val="auto"/>
              </w:rPr>
              <w:t>具备有效的营业执照</w:t>
            </w:r>
          </w:p>
        </w:tc>
      </w:tr>
      <w:tr w14:paraId="785361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06" w:hRule="atLeast"/>
          <w:jc w:val="center"/>
        </w:trPr>
        <w:tc>
          <w:tcPr>
            <w:tcW w:w="894" w:type="dxa"/>
            <w:gridSpan w:val="2"/>
            <w:vMerge w:val="continue"/>
            <w:vAlign w:val="center"/>
          </w:tcPr>
          <w:p w14:paraId="728026D4">
            <w:pPr>
              <w:jc w:val="center"/>
              <w:rPr>
                <w:rFonts w:ascii="宋体" w:hAnsi="宋体"/>
                <w:color w:val="auto"/>
                <w:szCs w:val="21"/>
              </w:rPr>
            </w:pPr>
          </w:p>
        </w:tc>
        <w:tc>
          <w:tcPr>
            <w:tcW w:w="593" w:type="dxa"/>
            <w:gridSpan w:val="2"/>
            <w:vMerge w:val="continue"/>
            <w:vAlign w:val="center"/>
          </w:tcPr>
          <w:p w14:paraId="332B798C">
            <w:pPr>
              <w:autoSpaceDE w:val="0"/>
              <w:autoSpaceDN w:val="0"/>
              <w:jc w:val="center"/>
              <w:rPr>
                <w:rFonts w:ascii="宋体" w:hAnsi="宋体"/>
                <w:color w:val="auto"/>
                <w:szCs w:val="21"/>
              </w:rPr>
            </w:pPr>
          </w:p>
        </w:tc>
        <w:tc>
          <w:tcPr>
            <w:tcW w:w="1959" w:type="dxa"/>
            <w:gridSpan w:val="2"/>
            <w:vAlign w:val="center"/>
          </w:tcPr>
          <w:p w14:paraId="651D0041">
            <w:pPr>
              <w:rPr>
                <w:rFonts w:ascii="宋体" w:hAnsi="宋体"/>
                <w:color w:val="auto"/>
                <w:szCs w:val="21"/>
              </w:rPr>
            </w:pPr>
            <w:r>
              <w:rPr>
                <w:rFonts w:ascii="宋体" w:hAnsi="宋体"/>
                <w:color w:val="auto"/>
                <w:szCs w:val="21"/>
              </w:rPr>
              <w:t>安全生产许可证</w:t>
            </w:r>
          </w:p>
        </w:tc>
        <w:tc>
          <w:tcPr>
            <w:tcW w:w="6009" w:type="dxa"/>
            <w:gridSpan w:val="2"/>
            <w:vAlign w:val="center"/>
          </w:tcPr>
          <w:p w14:paraId="1FE317BC">
            <w:pPr>
              <w:rPr>
                <w:rFonts w:ascii="宋体" w:hAnsi="宋体"/>
                <w:color w:val="auto"/>
                <w:szCs w:val="21"/>
              </w:rPr>
            </w:pPr>
            <w:r>
              <w:rPr>
                <w:rFonts w:ascii="宋体" w:hAnsi="宋体"/>
                <w:color w:val="auto"/>
                <w:szCs w:val="21"/>
              </w:rPr>
              <w:t>具备有效的安全生产许可证</w:t>
            </w:r>
          </w:p>
        </w:tc>
      </w:tr>
      <w:tr w14:paraId="7359FC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46" w:hRule="atLeast"/>
          <w:jc w:val="center"/>
        </w:trPr>
        <w:tc>
          <w:tcPr>
            <w:tcW w:w="894" w:type="dxa"/>
            <w:gridSpan w:val="2"/>
            <w:vMerge w:val="continue"/>
            <w:vAlign w:val="center"/>
          </w:tcPr>
          <w:p w14:paraId="7FC794D2">
            <w:pPr>
              <w:jc w:val="center"/>
              <w:rPr>
                <w:rFonts w:ascii="宋体" w:hAnsi="宋体"/>
                <w:color w:val="auto"/>
                <w:szCs w:val="21"/>
              </w:rPr>
            </w:pPr>
          </w:p>
        </w:tc>
        <w:tc>
          <w:tcPr>
            <w:tcW w:w="593" w:type="dxa"/>
            <w:gridSpan w:val="2"/>
            <w:vMerge w:val="continue"/>
            <w:vAlign w:val="center"/>
          </w:tcPr>
          <w:p w14:paraId="2F87A618">
            <w:pPr>
              <w:jc w:val="center"/>
              <w:rPr>
                <w:rFonts w:ascii="宋体" w:hAnsi="宋体"/>
                <w:color w:val="auto"/>
                <w:szCs w:val="21"/>
              </w:rPr>
            </w:pPr>
          </w:p>
        </w:tc>
        <w:tc>
          <w:tcPr>
            <w:tcW w:w="1959" w:type="dxa"/>
            <w:gridSpan w:val="2"/>
            <w:vAlign w:val="center"/>
          </w:tcPr>
          <w:p w14:paraId="1E702187">
            <w:pPr>
              <w:rPr>
                <w:rFonts w:ascii="宋体" w:hAnsi="宋体"/>
                <w:color w:val="auto"/>
                <w:szCs w:val="21"/>
              </w:rPr>
            </w:pPr>
            <w:r>
              <w:rPr>
                <w:rFonts w:ascii="宋体" w:hAnsi="宋体"/>
                <w:color w:val="auto"/>
                <w:szCs w:val="21"/>
              </w:rPr>
              <w:t>项目</w:t>
            </w:r>
            <w:r>
              <w:rPr>
                <w:rFonts w:hint="eastAsia" w:ascii="宋体" w:hAnsi="宋体"/>
                <w:color w:val="auto"/>
                <w:szCs w:val="21"/>
              </w:rPr>
              <w:t>团队人员</w:t>
            </w:r>
          </w:p>
        </w:tc>
        <w:tc>
          <w:tcPr>
            <w:tcW w:w="6009" w:type="dxa"/>
            <w:gridSpan w:val="2"/>
            <w:vAlign w:val="center"/>
          </w:tcPr>
          <w:p w14:paraId="3F8633DF">
            <w:pPr>
              <w:rPr>
                <w:rFonts w:ascii="宋体" w:hAnsi="宋体"/>
                <w:color w:val="auto"/>
              </w:rPr>
            </w:pPr>
            <w:r>
              <w:rPr>
                <w:rFonts w:hint="eastAsia" w:ascii="宋体" w:hAnsi="宋体"/>
                <w:color w:val="auto"/>
              </w:rPr>
              <w:t>具备有效的相关证书</w:t>
            </w:r>
          </w:p>
        </w:tc>
      </w:tr>
      <w:tr w14:paraId="0A2AB8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83" w:hRule="atLeast"/>
          <w:jc w:val="center"/>
        </w:trPr>
        <w:tc>
          <w:tcPr>
            <w:tcW w:w="894" w:type="dxa"/>
            <w:gridSpan w:val="2"/>
            <w:vMerge w:val="continue"/>
            <w:vAlign w:val="center"/>
          </w:tcPr>
          <w:p w14:paraId="32E2EF55">
            <w:pPr>
              <w:jc w:val="center"/>
              <w:rPr>
                <w:rFonts w:ascii="宋体" w:hAnsi="宋体"/>
                <w:color w:val="auto"/>
                <w:szCs w:val="21"/>
              </w:rPr>
            </w:pPr>
          </w:p>
        </w:tc>
        <w:tc>
          <w:tcPr>
            <w:tcW w:w="593" w:type="dxa"/>
            <w:gridSpan w:val="2"/>
            <w:vMerge w:val="continue"/>
            <w:vAlign w:val="center"/>
          </w:tcPr>
          <w:p w14:paraId="1887B7CA">
            <w:pPr>
              <w:jc w:val="center"/>
              <w:rPr>
                <w:rFonts w:ascii="宋体" w:hAnsi="宋体"/>
                <w:color w:val="auto"/>
                <w:szCs w:val="21"/>
              </w:rPr>
            </w:pPr>
          </w:p>
        </w:tc>
        <w:tc>
          <w:tcPr>
            <w:tcW w:w="1959" w:type="dxa"/>
            <w:gridSpan w:val="2"/>
            <w:vAlign w:val="center"/>
          </w:tcPr>
          <w:p w14:paraId="14243850">
            <w:pPr>
              <w:rPr>
                <w:rFonts w:ascii="宋体" w:hAnsi="宋体"/>
                <w:color w:val="auto"/>
                <w:szCs w:val="21"/>
              </w:rPr>
            </w:pPr>
            <w:r>
              <w:rPr>
                <w:rFonts w:ascii="宋体" w:hAnsi="宋体"/>
                <w:color w:val="auto"/>
                <w:szCs w:val="21"/>
              </w:rPr>
              <w:t>资质等级</w:t>
            </w:r>
          </w:p>
        </w:tc>
        <w:tc>
          <w:tcPr>
            <w:tcW w:w="6009" w:type="dxa"/>
            <w:gridSpan w:val="2"/>
            <w:vAlign w:val="center"/>
          </w:tcPr>
          <w:p w14:paraId="011B302C">
            <w:pPr>
              <w:rPr>
                <w:rFonts w:ascii="宋体" w:hAnsi="宋体"/>
                <w:color w:val="auto"/>
                <w:szCs w:val="21"/>
              </w:rPr>
            </w:pPr>
            <w:r>
              <w:rPr>
                <w:rFonts w:ascii="宋体" w:hAnsi="宋体"/>
                <w:color w:val="auto"/>
                <w:szCs w:val="21"/>
              </w:rPr>
              <w:t>符合第二章“投标人须知”第1.4.1 项规定</w:t>
            </w:r>
          </w:p>
        </w:tc>
      </w:tr>
      <w:tr w14:paraId="338487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83" w:hRule="atLeast"/>
          <w:jc w:val="center"/>
        </w:trPr>
        <w:tc>
          <w:tcPr>
            <w:tcW w:w="894" w:type="dxa"/>
            <w:gridSpan w:val="2"/>
            <w:vMerge w:val="continue"/>
            <w:vAlign w:val="center"/>
          </w:tcPr>
          <w:p w14:paraId="5F31257D">
            <w:pPr>
              <w:jc w:val="center"/>
              <w:rPr>
                <w:rFonts w:ascii="宋体" w:hAnsi="宋体"/>
                <w:color w:val="auto"/>
                <w:szCs w:val="21"/>
              </w:rPr>
            </w:pPr>
          </w:p>
        </w:tc>
        <w:tc>
          <w:tcPr>
            <w:tcW w:w="593" w:type="dxa"/>
            <w:gridSpan w:val="2"/>
            <w:vMerge w:val="continue"/>
            <w:vAlign w:val="center"/>
          </w:tcPr>
          <w:p w14:paraId="5F034594">
            <w:pPr>
              <w:jc w:val="center"/>
              <w:rPr>
                <w:rFonts w:ascii="宋体" w:hAnsi="宋体"/>
                <w:color w:val="auto"/>
                <w:szCs w:val="21"/>
              </w:rPr>
            </w:pPr>
          </w:p>
        </w:tc>
        <w:tc>
          <w:tcPr>
            <w:tcW w:w="1959" w:type="dxa"/>
            <w:gridSpan w:val="2"/>
            <w:vAlign w:val="center"/>
          </w:tcPr>
          <w:p w14:paraId="1B17E5AE">
            <w:pPr>
              <w:rPr>
                <w:rFonts w:ascii="宋体" w:hAnsi="宋体"/>
                <w:color w:val="auto"/>
                <w:szCs w:val="21"/>
              </w:rPr>
            </w:pPr>
            <w:r>
              <w:rPr>
                <w:rFonts w:hint="eastAsia" w:ascii="宋体" w:hAnsi="宋体"/>
                <w:color w:val="auto"/>
                <w:szCs w:val="21"/>
              </w:rPr>
              <w:t>财务状况</w:t>
            </w:r>
          </w:p>
        </w:tc>
        <w:tc>
          <w:tcPr>
            <w:tcW w:w="6009" w:type="dxa"/>
            <w:gridSpan w:val="2"/>
            <w:vAlign w:val="center"/>
          </w:tcPr>
          <w:p w14:paraId="621F0241">
            <w:pPr>
              <w:rPr>
                <w:rFonts w:ascii="宋体" w:hAnsi="宋体"/>
                <w:color w:val="auto"/>
                <w:szCs w:val="21"/>
              </w:rPr>
            </w:pPr>
            <w:r>
              <w:rPr>
                <w:rFonts w:ascii="宋体" w:hAnsi="宋体"/>
                <w:color w:val="auto"/>
                <w:szCs w:val="21"/>
              </w:rPr>
              <w:t>符合第二章“投标人须知”第1.4.1 项规定</w:t>
            </w:r>
          </w:p>
        </w:tc>
      </w:tr>
      <w:tr w14:paraId="6C5960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65" w:hRule="atLeast"/>
          <w:jc w:val="center"/>
        </w:trPr>
        <w:tc>
          <w:tcPr>
            <w:tcW w:w="894" w:type="dxa"/>
            <w:gridSpan w:val="2"/>
            <w:vMerge w:val="continue"/>
            <w:vAlign w:val="center"/>
          </w:tcPr>
          <w:p w14:paraId="339A0301">
            <w:pPr>
              <w:jc w:val="center"/>
              <w:rPr>
                <w:rFonts w:ascii="宋体" w:hAnsi="宋体"/>
                <w:color w:val="auto"/>
                <w:szCs w:val="21"/>
              </w:rPr>
            </w:pPr>
          </w:p>
        </w:tc>
        <w:tc>
          <w:tcPr>
            <w:tcW w:w="593" w:type="dxa"/>
            <w:gridSpan w:val="2"/>
            <w:vMerge w:val="continue"/>
            <w:vAlign w:val="center"/>
          </w:tcPr>
          <w:p w14:paraId="527BC930">
            <w:pPr>
              <w:jc w:val="center"/>
              <w:rPr>
                <w:rFonts w:ascii="宋体" w:hAnsi="宋体"/>
                <w:color w:val="auto"/>
                <w:szCs w:val="21"/>
              </w:rPr>
            </w:pPr>
          </w:p>
        </w:tc>
        <w:tc>
          <w:tcPr>
            <w:tcW w:w="1959" w:type="dxa"/>
            <w:gridSpan w:val="2"/>
            <w:vAlign w:val="center"/>
          </w:tcPr>
          <w:p w14:paraId="5584D318">
            <w:pPr>
              <w:rPr>
                <w:rFonts w:ascii="宋体" w:hAnsi="宋体"/>
                <w:color w:val="auto"/>
                <w:szCs w:val="21"/>
              </w:rPr>
            </w:pPr>
            <w:r>
              <w:rPr>
                <w:rFonts w:ascii="宋体" w:hAnsi="宋体"/>
                <w:color w:val="auto"/>
                <w:szCs w:val="21"/>
              </w:rPr>
              <w:t>企业</w:t>
            </w:r>
            <w:r>
              <w:rPr>
                <w:rFonts w:hint="eastAsia" w:ascii="宋体" w:hAnsi="宋体"/>
                <w:color w:val="auto"/>
                <w:szCs w:val="21"/>
              </w:rPr>
              <w:t>及人员</w:t>
            </w:r>
          </w:p>
        </w:tc>
        <w:tc>
          <w:tcPr>
            <w:tcW w:w="6009" w:type="dxa"/>
            <w:gridSpan w:val="2"/>
            <w:vAlign w:val="center"/>
          </w:tcPr>
          <w:p w14:paraId="7BA461D6">
            <w:pPr>
              <w:rPr>
                <w:rFonts w:ascii="宋体" w:hAnsi="宋体"/>
                <w:color w:val="auto"/>
                <w:szCs w:val="21"/>
              </w:rPr>
            </w:pPr>
            <w:r>
              <w:rPr>
                <w:rFonts w:ascii="宋体" w:hAnsi="宋体"/>
                <w:color w:val="auto"/>
                <w:szCs w:val="21"/>
              </w:rPr>
              <w:t xml:space="preserve">符合第二章“投标人须知”第1.4.1 项规定 </w:t>
            </w:r>
          </w:p>
        </w:tc>
      </w:tr>
      <w:tr w14:paraId="6E09B5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49" w:hRule="atLeast"/>
          <w:jc w:val="center"/>
        </w:trPr>
        <w:tc>
          <w:tcPr>
            <w:tcW w:w="894" w:type="dxa"/>
            <w:gridSpan w:val="2"/>
            <w:vMerge w:val="restart"/>
            <w:vAlign w:val="center"/>
          </w:tcPr>
          <w:p w14:paraId="3FA7CF52">
            <w:pPr>
              <w:jc w:val="center"/>
              <w:rPr>
                <w:rFonts w:ascii="宋体" w:hAnsi="宋体"/>
                <w:color w:val="auto"/>
                <w:szCs w:val="21"/>
              </w:rPr>
            </w:pPr>
            <w:r>
              <w:rPr>
                <w:rFonts w:ascii="宋体" w:hAnsi="宋体"/>
                <w:color w:val="auto"/>
                <w:szCs w:val="21"/>
              </w:rPr>
              <w:t>1.3</w:t>
            </w:r>
          </w:p>
        </w:tc>
        <w:tc>
          <w:tcPr>
            <w:tcW w:w="593" w:type="dxa"/>
            <w:gridSpan w:val="2"/>
            <w:vMerge w:val="restart"/>
            <w:vAlign w:val="center"/>
          </w:tcPr>
          <w:p w14:paraId="229D804B">
            <w:pPr>
              <w:jc w:val="center"/>
              <w:rPr>
                <w:rFonts w:ascii="宋体" w:hAnsi="宋体"/>
                <w:color w:val="auto"/>
                <w:szCs w:val="21"/>
              </w:rPr>
            </w:pPr>
            <w:r>
              <w:rPr>
                <w:rFonts w:ascii="宋体" w:hAnsi="宋体"/>
                <w:color w:val="auto"/>
                <w:szCs w:val="21"/>
              </w:rPr>
              <w:t>响应性评审标准</w:t>
            </w:r>
          </w:p>
        </w:tc>
        <w:tc>
          <w:tcPr>
            <w:tcW w:w="1959" w:type="dxa"/>
            <w:gridSpan w:val="2"/>
            <w:vAlign w:val="center"/>
          </w:tcPr>
          <w:p w14:paraId="1C9F04E7">
            <w:pPr>
              <w:rPr>
                <w:rFonts w:ascii="宋体" w:hAnsi="宋体"/>
                <w:color w:val="auto"/>
                <w:szCs w:val="21"/>
              </w:rPr>
            </w:pPr>
            <w:r>
              <w:rPr>
                <w:rFonts w:ascii="宋体" w:hAnsi="宋体"/>
                <w:color w:val="auto"/>
                <w:szCs w:val="21"/>
              </w:rPr>
              <w:t>投标内容</w:t>
            </w:r>
          </w:p>
        </w:tc>
        <w:tc>
          <w:tcPr>
            <w:tcW w:w="6009" w:type="dxa"/>
            <w:gridSpan w:val="2"/>
            <w:vAlign w:val="center"/>
          </w:tcPr>
          <w:p w14:paraId="083FC861">
            <w:pPr>
              <w:rPr>
                <w:rFonts w:ascii="宋体" w:hAnsi="宋体"/>
                <w:color w:val="auto"/>
                <w:szCs w:val="21"/>
              </w:rPr>
            </w:pPr>
            <w:r>
              <w:rPr>
                <w:rFonts w:ascii="宋体" w:hAnsi="宋体"/>
                <w:color w:val="auto"/>
                <w:szCs w:val="21"/>
              </w:rPr>
              <w:t>符合第二章“投标人须知”第1.3.1项规定</w:t>
            </w:r>
          </w:p>
        </w:tc>
      </w:tr>
      <w:tr w14:paraId="685032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86" w:hRule="atLeast"/>
          <w:jc w:val="center"/>
        </w:trPr>
        <w:tc>
          <w:tcPr>
            <w:tcW w:w="894" w:type="dxa"/>
            <w:gridSpan w:val="2"/>
            <w:vMerge w:val="continue"/>
            <w:vAlign w:val="center"/>
          </w:tcPr>
          <w:p w14:paraId="6392B7F3">
            <w:pPr>
              <w:jc w:val="center"/>
              <w:rPr>
                <w:rFonts w:ascii="宋体" w:hAnsi="宋体"/>
                <w:color w:val="auto"/>
                <w:szCs w:val="21"/>
              </w:rPr>
            </w:pPr>
          </w:p>
        </w:tc>
        <w:tc>
          <w:tcPr>
            <w:tcW w:w="593" w:type="dxa"/>
            <w:gridSpan w:val="2"/>
            <w:vMerge w:val="continue"/>
            <w:vAlign w:val="center"/>
          </w:tcPr>
          <w:p w14:paraId="1EEF5BCF">
            <w:pPr>
              <w:jc w:val="center"/>
              <w:rPr>
                <w:rFonts w:ascii="宋体" w:hAnsi="宋体"/>
                <w:color w:val="auto"/>
                <w:szCs w:val="21"/>
              </w:rPr>
            </w:pPr>
          </w:p>
        </w:tc>
        <w:tc>
          <w:tcPr>
            <w:tcW w:w="1959" w:type="dxa"/>
            <w:gridSpan w:val="2"/>
            <w:vAlign w:val="center"/>
          </w:tcPr>
          <w:p w14:paraId="5337D4F7">
            <w:pPr>
              <w:rPr>
                <w:rFonts w:ascii="宋体" w:hAnsi="宋体"/>
                <w:color w:val="auto"/>
                <w:szCs w:val="21"/>
              </w:rPr>
            </w:pPr>
            <w:r>
              <w:rPr>
                <w:rFonts w:ascii="宋体" w:hAnsi="宋体"/>
                <w:color w:val="auto"/>
                <w:szCs w:val="21"/>
              </w:rPr>
              <w:t>工期</w:t>
            </w:r>
          </w:p>
        </w:tc>
        <w:tc>
          <w:tcPr>
            <w:tcW w:w="6009" w:type="dxa"/>
            <w:gridSpan w:val="2"/>
            <w:vAlign w:val="center"/>
          </w:tcPr>
          <w:p w14:paraId="554BCBEC">
            <w:pPr>
              <w:rPr>
                <w:rFonts w:ascii="宋体" w:hAnsi="宋体"/>
                <w:color w:val="auto"/>
                <w:szCs w:val="21"/>
              </w:rPr>
            </w:pPr>
            <w:r>
              <w:rPr>
                <w:rFonts w:ascii="宋体" w:hAnsi="宋体"/>
                <w:color w:val="auto"/>
                <w:szCs w:val="21"/>
              </w:rPr>
              <w:t>符合第二章“投标人须知”第1.3.2项规定</w:t>
            </w:r>
          </w:p>
        </w:tc>
      </w:tr>
      <w:tr w14:paraId="4F36B0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57" w:hRule="atLeast"/>
          <w:jc w:val="center"/>
        </w:trPr>
        <w:tc>
          <w:tcPr>
            <w:tcW w:w="894" w:type="dxa"/>
            <w:gridSpan w:val="2"/>
            <w:vMerge w:val="continue"/>
            <w:vAlign w:val="center"/>
          </w:tcPr>
          <w:p w14:paraId="34110118">
            <w:pPr>
              <w:jc w:val="center"/>
              <w:rPr>
                <w:rFonts w:ascii="宋体" w:hAnsi="宋体"/>
                <w:color w:val="auto"/>
                <w:szCs w:val="21"/>
              </w:rPr>
            </w:pPr>
          </w:p>
        </w:tc>
        <w:tc>
          <w:tcPr>
            <w:tcW w:w="593" w:type="dxa"/>
            <w:gridSpan w:val="2"/>
            <w:vMerge w:val="continue"/>
            <w:vAlign w:val="center"/>
          </w:tcPr>
          <w:p w14:paraId="31EF2A55">
            <w:pPr>
              <w:jc w:val="center"/>
              <w:rPr>
                <w:rFonts w:ascii="宋体" w:hAnsi="宋体"/>
                <w:color w:val="auto"/>
                <w:szCs w:val="21"/>
              </w:rPr>
            </w:pPr>
          </w:p>
        </w:tc>
        <w:tc>
          <w:tcPr>
            <w:tcW w:w="1959" w:type="dxa"/>
            <w:gridSpan w:val="2"/>
            <w:vAlign w:val="center"/>
          </w:tcPr>
          <w:p w14:paraId="6FEC71FC">
            <w:pPr>
              <w:rPr>
                <w:rFonts w:ascii="宋体" w:hAnsi="宋体"/>
                <w:color w:val="auto"/>
                <w:szCs w:val="21"/>
              </w:rPr>
            </w:pPr>
            <w:r>
              <w:rPr>
                <w:rFonts w:ascii="宋体" w:hAnsi="宋体"/>
                <w:color w:val="auto"/>
                <w:szCs w:val="21"/>
              </w:rPr>
              <w:t>工程质量</w:t>
            </w:r>
          </w:p>
        </w:tc>
        <w:tc>
          <w:tcPr>
            <w:tcW w:w="6009" w:type="dxa"/>
            <w:gridSpan w:val="2"/>
            <w:vAlign w:val="center"/>
          </w:tcPr>
          <w:p w14:paraId="58C1BD5E">
            <w:pPr>
              <w:rPr>
                <w:rFonts w:ascii="宋体" w:hAnsi="宋体"/>
                <w:color w:val="auto"/>
                <w:szCs w:val="21"/>
              </w:rPr>
            </w:pPr>
            <w:r>
              <w:rPr>
                <w:rFonts w:ascii="宋体" w:hAnsi="宋体"/>
                <w:color w:val="auto"/>
                <w:szCs w:val="21"/>
              </w:rPr>
              <w:t>符合第二章“投标人须知”第1.3.3项规定</w:t>
            </w:r>
          </w:p>
        </w:tc>
      </w:tr>
      <w:tr w14:paraId="4E1F81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07" w:hRule="atLeast"/>
          <w:jc w:val="center"/>
        </w:trPr>
        <w:tc>
          <w:tcPr>
            <w:tcW w:w="894" w:type="dxa"/>
            <w:gridSpan w:val="2"/>
            <w:vMerge w:val="continue"/>
            <w:vAlign w:val="center"/>
          </w:tcPr>
          <w:p w14:paraId="7CFFC0F0">
            <w:pPr>
              <w:jc w:val="center"/>
              <w:rPr>
                <w:rFonts w:ascii="宋体" w:hAnsi="宋体"/>
                <w:color w:val="auto"/>
                <w:szCs w:val="21"/>
              </w:rPr>
            </w:pPr>
          </w:p>
        </w:tc>
        <w:tc>
          <w:tcPr>
            <w:tcW w:w="593" w:type="dxa"/>
            <w:gridSpan w:val="2"/>
            <w:vMerge w:val="continue"/>
            <w:vAlign w:val="center"/>
          </w:tcPr>
          <w:p w14:paraId="09857DC2">
            <w:pPr>
              <w:jc w:val="center"/>
              <w:rPr>
                <w:rFonts w:ascii="宋体" w:hAnsi="宋体"/>
                <w:color w:val="auto"/>
                <w:szCs w:val="21"/>
              </w:rPr>
            </w:pPr>
          </w:p>
        </w:tc>
        <w:tc>
          <w:tcPr>
            <w:tcW w:w="1959" w:type="dxa"/>
            <w:gridSpan w:val="2"/>
            <w:vAlign w:val="center"/>
          </w:tcPr>
          <w:p w14:paraId="694C86DF">
            <w:pPr>
              <w:rPr>
                <w:rFonts w:ascii="宋体" w:hAnsi="宋体"/>
                <w:color w:val="auto"/>
                <w:szCs w:val="21"/>
              </w:rPr>
            </w:pPr>
            <w:r>
              <w:rPr>
                <w:rFonts w:ascii="宋体" w:hAnsi="宋体"/>
                <w:color w:val="auto"/>
                <w:szCs w:val="21"/>
              </w:rPr>
              <w:t>投标有效期</w:t>
            </w:r>
          </w:p>
        </w:tc>
        <w:tc>
          <w:tcPr>
            <w:tcW w:w="6009" w:type="dxa"/>
            <w:gridSpan w:val="2"/>
            <w:vAlign w:val="center"/>
          </w:tcPr>
          <w:p w14:paraId="568B4E68">
            <w:pPr>
              <w:rPr>
                <w:rFonts w:ascii="宋体" w:hAnsi="宋体"/>
                <w:color w:val="auto"/>
                <w:szCs w:val="21"/>
              </w:rPr>
            </w:pPr>
            <w:r>
              <w:rPr>
                <w:rFonts w:ascii="宋体" w:hAnsi="宋体"/>
                <w:color w:val="auto"/>
                <w:szCs w:val="21"/>
              </w:rPr>
              <w:t>符合第二章“投标人须知”第1.13.1项规定</w:t>
            </w:r>
          </w:p>
        </w:tc>
      </w:tr>
      <w:tr w14:paraId="7DCB9C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3" w:hRule="atLeast"/>
          <w:jc w:val="center"/>
        </w:trPr>
        <w:tc>
          <w:tcPr>
            <w:tcW w:w="894" w:type="dxa"/>
            <w:gridSpan w:val="2"/>
            <w:vMerge w:val="continue"/>
            <w:vAlign w:val="center"/>
          </w:tcPr>
          <w:p w14:paraId="13A9671E">
            <w:pPr>
              <w:jc w:val="center"/>
              <w:rPr>
                <w:rFonts w:ascii="宋体" w:hAnsi="宋体"/>
                <w:color w:val="auto"/>
                <w:szCs w:val="21"/>
              </w:rPr>
            </w:pPr>
          </w:p>
        </w:tc>
        <w:tc>
          <w:tcPr>
            <w:tcW w:w="593" w:type="dxa"/>
            <w:gridSpan w:val="2"/>
            <w:vMerge w:val="continue"/>
            <w:vAlign w:val="center"/>
          </w:tcPr>
          <w:p w14:paraId="5E75231F">
            <w:pPr>
              <w:jc w:val="center"/>
              <w:rPr>
                <w:rFonts w:ascii="宋体" w:hAnsi="宋体"/>
                <w:color w:val="auto"/>
                <w:szCs w:val="21"/>
              </w:rPr>
            </w:pPr>
          </w:p>
        </w:tc>
        <w:tc>
          <w:tcPr>
            <w:tcW w:w="1959" w:type="dxa"/>
            <w:gridSpan w:val="2"/>
            <w:vAlign w:val="center"/>
          </w:tcPr>
          <w:p w14:paraId="64DE35C2">
            <w:pPr>
              <w:rPr>
                <w:rFonts w:ascii="宋体" w:hAnsi="宋体"/>
                <w:color w:val="auto"/>
                <w:szCs w:val="21"/>
              </w:rPr>
            </w:pPr>
            <w:r>
              <w:rPr>
                <w:rFonts w:ascii="宋体" w:hAnsi="宋体"/>
                <w:color w:val="auto"/>
                <w:szCs w:val="21"/>
              </w:rPr>
              <w:t>投标保证金</w:t>
            </w:r>
          </w:p>
        </w:tc>
        <w:tc>
          <w:tcPr>
            <w:tcW w:w="6009" w:type="dxa"/>
            <w:gridSpan w:val="2"/>
            <w:vAlign w:val="center"/>
          </w:tcPr>
          <w:p w14:paraId="186D2F5B">
            <w:pPr>
              <w:rPr>
                <w:rFonts w:ascii="宋体" w:hAnsi="宋体"/>
                <w:color w:val="auto"/>
                <w:szCs w:val="21"/>
              </w:rPr>
            </w:pPr>
            <w:r>
              <w:rPr>
                <w:rFonts w:ascii="宋体" w:hAnsi="宋体"/>
                <w:color w:val="auto"/>
                <w:szCs w:val="21"/>
              </w:rPr>
              <w:t>符合第二章“投标人须知”第1.14.1项规定</w:t>
            </w:r>
          </w:p>
        </w:tc>
      </w:tr>
      <w:tr w14:paraId="6B6BD3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3" w:hRule="atLeast"/>
          <w:jc w:val="center"/>
        </w:trPr>
        <w:tc>
          <w:tcPr>
            <w:tcW w:w="894" w:type="dxa"/>
            <w:gridSpan w:val="2"/>
            <w:vMerge w:val="continue"/>
            <w:vAlign w:val="center"/>
          </w:tcPr>
          <w:p w14:paraId="080EDA6C">
            <w:pPr>
              <w:jc w:val="center"/>
              <w:rPr>
                <w:rFonts w:ascii="宋体" w:hAnsi="宋体"/>
                <w:color w:val="auto"/>
                <w:szCs w:val="21"/>
              </w:rPr>
            </w:pPr>
          </w:p>
        </w:tc>
        <w:tc>
          <w:tcPr>
            <w:tcW w:w="593" w:type="dxa"/>
            <w:gridSpan w:val="2"/>
            <w:vMerge w:val="continue"/>
            <w:vAlign w:val="center"/>
          </w:tcPr>
          <w:p w14:paraId="422E961F">
            <w:pPr>
              <w:jc w:val="center"/>
              <w:rPr>
                <w:rFonts w:ascii="宋体" w:hAnsi="宋体"/>
                <w:color w:val="auto"/>
                <w:szCs w:val="21"/>
              </w:rPr>
            </w:pPr>
          </w:p>
        </w:tc>
        <w:tc>
          <w:tcPr>
            <w:tcW w:w="1959" w:type="dxa"/>
            <w:gridSpan w:val="2"/>
            <w:vAlign w:val="center"/>
          </w:tcPr>
          <w:p w14:paraId="79EE35C4">
            <w:pPr>
              <w:rPr>
                <w:rFonts w:ascii="宋体" w:hAnsi="宋体"/>
                <w:color w:val="auto"/>
                <w:szCs w:val="21"/>
              </w:rPr>
            </w:pPr>
            <w:r>
              <w:rPr>
                <w:rFonts w:hint="eastAsia" w:ascii="宋体" w:hAnsi="宋体"/>
                <w:color w:val="auto"/>
                <w:szCs w:val="21"/>
              </w:rPr>
              <w:t>投标报价</w:t>
            </w:r>
          </w:p>
        </w:tc>
        <w:tc>
          <w:tcPr>
            <w:tcW w:w="6009" w:type="dxa"/>
            <w:gridSpan w:val="2"/>
            <w:vAlign w:val="center"/>
          </w:tcPr>
          <w:p w14:paraId="6C81E3CE">
            <w:pPr>
              <w:rPr>
                <w:rFonts w:ascii="宋体" w:hAnsi="宋体"/>
                <w:color w:val="auto"/>
                <w:szCs w:val="21"/>
              </w:rPr>
            </w:pPr>
            <w:r>
              <w:rPr>
                <w:rFonts w:ascii="宋体" w:hAnsi="宋体"/>
                <w:color w:val="auto"/>
                <w:szCs w:val="21"/>
              </w:rPr>
              <w:t>符合第二章“投标人须知”第</w:t>
            </w:r>
            <w:r>
              <w:rPr>
                <w:rFonts w:hint="eastAsia" w:ascii="宋体" w:hAnsi="宋体"/>
                <w:color w:val="auto"/>
                <w:szCs w:val="21"/>
              </w:rPr>
              <w:t>1.</w:t>
            </w:r>
            <w:r>
              <w:rPr>
                <w:rFonts w:ascii="宋体" w:hAnsi="宋体"/>
                <w:color w:val="auto"/>
                <w:szCs w:val="21"/>
              </w:rPr>
              <w:t>11</w:t>
            </w:r>
            <w:r>
              <w:rPr>
                <w:rFonts w:hint="eastAsia" w:ascii="宋体" w:hAnsi="宋体"/>
                <w:color w:val="auto"/>
                <w:szCs w:val="21"/>
              </w:rPr>
              <w:t>.</w:t>
            </w:r>
            <w:r>
              <w:rPr>
                <w:rFonts w:ascii="宋体" w:hAnsi="宋体"/>
                <w:color w:val="auto"/>
                <w:szCs w:val="21"/>
              </w:rPr>
              <w:t>1项规定</w:t>
            </w:r>
          </w:p>
        </w:tc>
      </w:tr>
      <w:tr w14:paraId="6CE3E3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62" w:hRule="atLeast"/>
          <w:jc w:val="center"/>
        </w:trPr>
        <w:tc>
          <w:tcPr>
            <w:tcW w:w="894" w:type="dxa"/>
            <w:gridSpan w:val="2"/>
            <w:vAlign w:val="center"/>
          </w:tcPr>
          <w:p w14:paraId="3C0EECE6">
            <w:pPr>
              <w:jc w:val="center"/>
              <w:rPr>
                <w:rFonts w:ascii="宋体" w:hAnsi="宋体"/>
                <w:color w:val="auto"/>
                <w:szCs w:val="21"/>
              </w:rPr>
            </w:pPr>
            <w:r>
              <w:rPr>
                <w:rFonts w:ascii="宋体" w:hAnsi="宋体"/>
                <w:color w:val="auto"/>
                <w:szCs w:val="21"/>
              </w:rPr>
              <w:t>条款号</w:t>
            </w:r>
          </w:p>
        </w:tc>
        <w:tc>
          <w:tcPr>
            <w:tcW w:w="2552" w:type="dxa"/>
            <w:gridSpan w:val="4"/>
            <w:vAlign w:val="center"/>
          </w:tcPr>
          <w:p w14:paraId="2D8A7FA1">
            <w:pPr>
              <w:jc w:val="center"/>
              <w:rPr>
                <w:rFonts w:ascii="宋体" w:hAnsi="宋体"/>
                <w:color w:val="auto"/>
                <w:szCs w:val="21"/>
              </w:rPr>
            </w:pPr>
            <w:r>
              <w:rPr>
                <w:rFonts w:ascii="宋体" w:hAnsi="宋体"/>
                <w:color w:val="auto"/>
                <w:szCs w:val="21"/>
              </w:rPr>
              <w:t>条款内容</w:t>
            </w:r>
          </w:p>
        </w:tc>
        <w:tc>
          <w:tcPr>
            <w:tcW w:w="6009" w:type="dxa"/>
            <w:gridSpan w:val="2"/>
            <w:vAlign w:val="center"/>
          </w:tcPr>
          <w:p w14:paraId="648C8CC3">
            <w:pPr>
              <w:jc w:val="center"/>
              <w:rPr>
                <w:rFonts w:ascii="宋体" w:hAnsi="宋体"/>
                <w:color w:val="auto"/>
                <w:szCs w:val="21"/>
              </w:rPr>
            </w:pPr>
            <w:r>
              <w:rPr>
                <w:rFonts w:ascii="宋体" w:hAnsi="宋体"/>
                <w:color w:val="auto"/>
                <w:szCs w:val="21"/>
              </w:rPr>
              <w:t>编列内容</w:t>
            </w:r>
          </w:p>
        </w:tc>
      </w:tr>
      <w:tr w14:paraId="1B4248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168" w:hRule="atLeast"/>
          <w:jc w:val="center"/>
        </w:trPr>
        <w:tc>
          <w:tcPr>
            <w:tcW w:w="894" w:type="dxa"/>
            <w:gridSpan w:val="2"/>
            <w:vAlign w:val="center"/>
          </w:tcPr>
          <w:p w14:paraId="3CCA4F17">
            <w:pPr>
              <w:jc w:val="center"/>
              <w:rPr>
                <w:rFonts w:ascii="宋体" w:hAnsi="宋体"/>
                <w:color w:val="auto"/>
                <w:szCs w:val="21"/>
              </w:rPr>
            </w:pPr>
            <w:r>
              <w:rPr>
                <w:rFonts w:ascii="宋体" w:hAnsi="宋体"/>
                <w:color w:val="auto"/>
                <w:szCs w:val="21"/>
              </w:rPr>
              <w:t>2.1</w:t>
            </w:r>
          </w:p>
        </w:tc>
        <w:tc>
          <w:tcPr>
            <w:tcW w:w="2552" w:type="dxa"/>
            <w:gridSpan w:val="4"/>
            <w:vAlign w:val="center"/>
          </w:tcPr>
          <w:p w14:paraId="16C21B75">
            <w:pPr>
              <w:jc w:val="center"/>
              <w:rPr>
                <w:rFonts w:ascii="宋体" w:hAnsi="宋体"/>
                <w:color w:val="auto"/>
                <w:szCs w:val="21"/>
              </w:rPr>
            </w:pPr>
            <w:r>
              <w:rPr>
                <w:rFonts w:ascii="宋体" w:hAnsi="宋体"/>
                <w:color w:val="auto"/>
                <w:szCs w:val="21"/>
              </w:rPr>
              <w:t>分值构成</w:t>
            </w:r>
          </w:p>
          <w:p w14:paraId="1507FFF2">
            <w:pPr>
              <w:jc w:val="center"/>
              <w:rPr>
                <w:rFonts w:ascii="宋体" w:hAnsi="宋体"/>
                <w:color w:val="auto"/>
                <w:szCs w:val="21"/>
              </w:rPr>
            </w:pPr>
            <w:r>
              <w:rPr>
                <w:rFonts w:ascii="宋体" w:hAnsi="宋体"/>
                <w:color w:val="auto"/>
                <w:szCs w:val="21"/>
              </w:rPr>
              <w:t>（总分100分）</w:t>
            </w:r>
          </w:p>
        </w:tc>
        <w:tc>
          <w:tcPr>
            <w:tcW w:w="6009" w:type="dxa"/>
            <w:gridSpan w:val="2"/>
            <w:vAlign w:val="center"/>
          </w:tcPr>
          <w:p w14:paraId="259BB677">
            <w:pPr>
              <w:spacing w:line="360" w:lineRule="auto"/>
              <w:rPr>
                <w:color w:val="auto"/>
              </w:rPr>
            </w:pPr>
            <w:r>
              <w:rPr>
                <w:color w:val="auto"/>
              </w:rPr>
              <w:t>投标报价：</w:t>
            </w:r>
            <w:r>
              <w:rPr>
                <w:rFonts w:hint="eastAsia"/>
                <w:color w:val="auto"/>
              </w:rPr>
              <w:t>25</w:t>
            </w:r>
            <w:r>
              <w:rPr>
                <w:color w:val="auto"/>
              </w:rPr>
              <w:t>分</w:t>
            </w:r>
          </w:p>
          <w:p w14:paraId="6D94B38F">
            <w:pPr>
              <w:spacing w:line="360" w:lineRule="auto"/>
              <w:rPr>
                <w:color w:val="auto"/>
              </w:rPr>
            </w:pPr>
            <w:r>
              <w:rPr>
                <w:rFonts w:hint="eastAsia"/>
                <w:color w:val="auto"/>
              </w:rPr>
              <w:t>技术</w:t>
            </w:r>
            <w:r>
              <w:rPr>
                <w:rFonts w:hint="eastAsia"/>
                <w:color w:val="auto"/>
                <w:lang w:eastAsia="zh-CN"/>
              </w:rPr>
              <w:t>部分</w:t>
            </w:r>
            <w:r>
              <w:rPr>
                <w:rFonts w:hint="eastAsia"/>
                <w:color w:val="auto"/>
              </w:rPr>
              <w:t>：75分</w:t>
            </w:r>
          </w:p>
          <w:p w14:paraId="5401CA7B">
            <w:pPr>
              <w:spacing w:line="360" w:lineRule="auto"/>
              <w:rPr>
                <w:rFonts w:ascii="宋体" w:hAnsi="宋体"/>
                <w:color w:val="auto"/>
              </w:rPr>
            </w:pPr>
            <w:r>
              <w:rPr>
                <w:rFonts w:hint="eastAsia" w:ascii="宋体" w:hAnsi="宋体"/>
                <w:color w:val="auto"/>
              </w:rPr>
              <w:t>投标人评标综合得分＝报价部分得分＋技术部分得分。</w:t>
            </w:r>
          </w:p>
        </w:tc>
      </w:tr>
      <w:tr w14:paraId="737F73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072" w:hRule="atLeast"/>
          <w:jc w:val="center"/>
        </w:trPr>
        <w:tc>
          <w:tcPr>
            <w:tcW w:w="894" w:type="dxa"/>
            <w:gridSpan w:val="2"/>
            <w:vAlign w:val="center"/>
          </w:tcPr>
          <w:p w14:paraId="00D965B6">
            <w:pPr>
              <w:jc w:val="center"/>
              <w:rPr>
                <w:rFonts w:ascii="宋体" w:hAnsi="宋体"/>
                <w:color w:val="auto"/>
                <w:szCs w:val="21"/>
              </w:rPr>
            </w:pPr>
            <w:r>
              <w:rPr>
                <w:rFonts w:ascii="宋体" w:hAnsi="宋体"/>
                <w:color w:val="auto"/>
                <w:szCs w:val="21"/>
              </w:rPr>
              <w:t>2.2</w:t>
            </w:r>
          </w:p>
        </w:tc>
        <w:tc>
          <w:tcPr>
            <w:tcW w:w="2552" w:type="dxa"/>
            <w:gridSpan w:val="4"/>
            <w:vAlign w:val="center"/>
          </w:tcPr>
          <w:p w14:paraId="14029156">
            <w:pPr>
              <w:jc w:val="center"/>
              <w:rPr>
                <w:rFonts w:ascii="宋体" w:hAnsi="宋体"/>
                <w:color w:val="auto"/>
                <w:szCs w:val="21"/>
              </w:rPr>
            </w:pPr>
            <w:r>
              <w:rPr>
                <w:rFonts w:ascii="宋体" w:hAnsi="宋体"/>
                <w:color w:val="auto"/>
                <w:szCs w:val="21"/>
              </w:rPr>
              <w:t>评标基准价计算</w:t>
            </w:r>
            <w:r>
              <w:rPr>
                <w:rFonts w:hint="eastAsia" w:ascii="宋体" w:hAnsi="宋体"/>
                <w:color w:val="auto"/>
                <w:szCs w:val="21"/>
              </w:rPr>
              <w:t>方法</w:t>
            </w:r>
          </w:p>
        </w:tc>
        <w:tc>
          <w:tcPr>
            <w:tcW w:w="6009" w:type="dxa"/>
            <w:gridSpan w:val="2"/>
            <w:vAlign w:val="center"/>
          </w:tcPr>
          <w:p w14:paraId="1DD483D0">
            <w:pPr>
              <w:rPr>
                <w:rFonts w:ascii="宋体" w:hAnsi="宋体"/>
                <w:b/>
                <w:bCs/>
                <w:color w:val="auto"/>
                <w:szCs w:val="21"/>
              </w:rPr>
            </w:pPr>
            <w:r>
              <w:rPr>
                <w:rFonts w:hint="eastAsia" w:ascii="宋体" w:hAnsi="宋体"/>
                <w:b/>
                <w:bCs/>
                <w:color w:val="auto"/>
                <w:szCs w:val="21"/>
              </w:rPr>
              <w:t>基准价=以所有有效投标报价的算术平均值作为评标基准价</w:t>
            </w:r>
          </w:p>
        </w:tc>
      </w:tr>
      <w:tr w14:paraId="516772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482" w:hRule="atLeast"/>
          <w:jc w:val="center"/>
        </w:trPr>
        <w:tc>
          <w:tcPr>
            <w:tcW w:w="894" w:type="dxa"/>
            <w:gridSpan w:val="2"/>
            <w:vAlign w:val="center"/>
          </w:tcPr>
          <w:p w14:paraId="3A4DA9D8">
            <w:pPr>
              <w:jc w:val="center"/>
              <w:rPr>
                <w:rFonts w:ascii="宋体" w:hAnsi="宋体"/>
                <w:color w:val="auto"/>
                <w:szCs w:val="21"/>
              </w:rPr>
            </w:pPr>
            <w:r>
              <w:rPr>
                <w:rFonts w:ascii="宋体" w:hAnsi="宋体"/>
                <w:color w:val="auto"/>
                <w:szCs w:val="21"/>
              </w:rPr>
              <w:t>2.3</w:t>
            </w:r>
          </w:p>
        </w:tc>
        <w:tc>
          <w:tcPr>
            <w:tcW w:w="1187" w:type="dxa"/>
            <w:gridSpan w:val="3"/>
            <w:tcBorders>
              <w:right w:val="single" w:color="auto" w:sz="4" w:space="0"/>
            </w:tcBorders>
            <w:vAlign w:val="center"/>
          </w:tcPr>
          <w:p w14:paraId="3784D8C7">
            <w:pPr>
              <w:jc w:val="center"/>
              <w:rPr>
                <w:rFonts w:ascii="宋体" w:hAnsi="宋体"/>
                <w:b/>
                <w:bCs/>
                <w:color w:val="auto"/>
                <w:szCs w:val="21"/>
              </w:rPr>
            </w:pPr>
            <w:r>
              <w:rPr>
                <w:rFonts w:hint="eastAsia" w:ascii="宋体" w:hAnsi="宋体"/>
                <w:b/>
                <w:bCs/>
                <w:color w:val="auto"/>
                <w:szCs w:val="21"/>
              </w:rPr>
              <w:t>投标报价</w:t>
            </w:r>
          </w:p>
          <w:p w14:paraId="5050B251">
            <w:pPr>
              <w:jc w:val="center"/>
              <w:rPr>
                <w:rFonts w:ascii="宋体" w:hAnsi="宋体"/>
                <w:b/>
                <w:bCs/>
                <w:color w:val="auto"/>
                <w:szCs w:val="21"/>
              </w:rPr>
            </w:pPr>
            <w:r>
              <w:rPr>
                <w:rFonts w:hint="eastAsia" w:ascii="宋体" w:hAnsi="宋体"/>
                <w:b/>
                <w:bCs/>
                <w:color w:val="auto"/>
                <w:szCs w:val="21"/>
              </w:rPr>
              <w:t>25分</w:t>
            </w:r>
          </w:p>
        </w:tc>
        <w:tc>
          <w:tcPr>
            <w:tcW w:w="1365" w:type="dxa"/>
            <w:tcBorders>
              <w:left w:val="single" w:color="auto" w:sz="4" w:space="0"/>
            </w:tcBorders>
            <w:vAlign w:val="center"/>
          </w:tcPr>
          <w:p w14:paraId="433A673B">
            <w:pPr>
              <w:spacing w:line="300" w:lineRule="exact"/>
              <w:rPr>
                <w:rFonts w:ascii="宋体" w:hAnsi="宋体"/>
                <w:b/>
                <w:bCs/>
                <w:color w:val="auto"/>
                <w:szCs w:val="21"/>
              </w:rPr>
            </w:pPr>
            <w:r>
              <w:rPr>
                <w:rFonts w:hint="eastAsia" w:ascii="宋体" w:hAnsi="宋体"/>
                <w:b/>
                <w:bCs/>
                <w:color w:val="auto"/>
                <w:szCs w:val="21"/>
              </w:rPr>
              <w:t>勘察</w:t>
            </w:r>
            <w:r>
              <w:rPr>
                <w:rFonts w:ascii="宋体" w:hAnsi="宋体"/>
                <w:b/>
                <w:bCs/>
                <w:color w:val="auto"/>
                <w:szCs w:val="21"/>
              </w:rPr>
              <w:t>部分报价占</w:t>
            </w:r>
            <w:r>
              <w:rPr>
                <w:rFonts w:hint="eastAsia" w:ascii="宋体" w:hAnsi="宋体"/>
                <w:b/>
                <w:bCs/>
                <w:color w:val="auto"/>
                <w:szCs w:val="21"/>
              </w:rPr>
              <w:t>5分；</w:t>
            </w:r>
          </w:p>
          <w:p w14:paraId="22C95AB1">
            <w:pPr>
              <w:spacing w:line="300" w:lineRule="exact"/>
              <w:rPr>
                <w:rFonts w:ascii="宋体" w:hAnsi="宋体"/>
                <w:b/>
                <w:bCs/>
                <w:color w:val="auto"/>
                <w:szCs w:val="21"/>
              </w:rPr>
            </w:pPr>
            <w:r>
              <w:rPr>
                <w:rFonts w:ascii="宋体" w:hAnsi="宋体"/>
                <w:b/>
                <w:bCs/>
                <w:color w:val="auto"/>
                <w:szCs w:val="21"/>
              </w:rPr>
              <w:t>设计部分报价占</w:t>
            </w:r>
            <w:r>
              <w:rPr>
                <w:rFonts w:hint="eastAsia" w:ascii="宋体" w:hAnsi="宋体"/>
                <w:b/>
                <w:bCs/>
                <w:color w:val="auto"/>
                <w:szCs w:val="21"/>
                <w:lang w:val="en-US" w:eastAsia="zh-CN"/>
              </w:rPr>
              <w:t>5</w:t>
            </w:r>
            <w:r>
              <w:rPr>
                <w:rFonts w:hint="eastAsia" w:ascii="宋体" w:hAnsi="宋体"/>
                <w:b/>
                <w:bCs/>
                <w:color w:val="auto"/>
                <w:szCs w:val="21"/>
              </w:rPr>
              <w:t>分；</w:t>
            </w:r>
          </w:p>
          <w:p w14:paraId="3C4F573E">
            <w:pPr>
              <w:pStyle w:val="587"/>
              <w:snapToGrid w:val="0"/>
              <w:spacing w:line="300" w:lineRule="exact"/>
              <w:rPr>
                <w:rFonts w:hAnsi="宋体"/>
                <w:b/>
                <w:bCs/>
                <w:color w:val="auto"/>
                <w:szCs w:val="21"/>
              </w:rPr>
            </w:pPr>
            <w:r>
              <w:rPr>
                <w:rFonts w:hint="eastAsia" w:hAnsi="宋体"/>
                <w:b/>
                <w:bCs/>
                <w:color w:val="auto"/>
                <w:szCs w:val="21"/>
              </w:rPr>
              <w:t>施工部分报价占</w:t>
            </w:r>
            <w:r>
              <w:rPr>
                <w:rFonts w:hint="eastAsia" w:hAnsi="宋体"/>
                <w:b/>
                <w:bCs/>
                <w:color w:val="auto"/>
                <w:szCs w:val="21"/>
                <w:lang w:val="en-US" w:eastAsia="zh-CN"/>
              </w:rPr>
              <w:t>15</w:t>
            </w:r>
            <w:r>
              <w:rPr>
                <w:rFonts w:hint="eastAsia" w:hAnsi="宋体"/>
                <w:b/>
                <w:bCs/>
                <w:color w:val="auto"/>
                <w:szCs w:val="21"/>
              </w:rPr>
              <w:t>分</w:t>
            </w:r>
          </w:p>
        </w:tc>
        <w:tc>
          <w:tcPr>
            <w:tcW w:w="6009" w:type="dxa"/>
            <w:gridSpan w:val="2"/>
            <w:vAlign w:val="center"/>
          </w:tcPr>
          <w:p w14:paraId="1D415AD8">
            <w:pPr>
              <w:rPr>
                <w:rFonts w:ascii="宋体" w:hAnsi="宋体"/>
                <w:color w:val="auto"/>
                <w:szCs w:val="21"/>
              </w:rPr>
            </w:pPr>
            <w:r>
              <w:rPr>
                <w:rFonts w:hint="eastAsia" w:ascii="宋体" w:hAnsi="宋体"/>
                <w:color w:val="auto"/>
                <w:szCs w:val="21"/>
                <w:lang w:eastAsia="zh-CN"/>
              </w:rPr>
              <w:t>1.</w:t>
            </w:r>
            <w:r>
              <w:rPr>
                <w:rFonts w:hint="eastAsia" w:ascii="宋体" w:hAnsi="宋体"/>
                <w:color w:val="auto"/>
                <w:szCs w:val="21"/>
              </w:rPr>
              <w:t>勘察部分报价（满分5分）：以所有有效投标报价的算术平均值作为评标基准价，有效报价等于评标基准价时得满分5分，其余投标报价与评标基准价相比</w:t>
            </w:r>
            <w:r>
              <w:rPr>
                <w:rFonts w:hint="eastAsia" w:ascii="宋体" w:hAnsi="宋体" w:eastAsia="宋体" w:cs="Times New Roman"/>
                <w:smallCaps w:val="0"/>
                <w:color w:val="auto"/>
                <w:kern w:val="2"/>
                <w:sz w:val="21"/>
                <w:szCs w:val="21"/>
                <w:lang w:val="en-US" w:eastAsia="zh-CN" w:bidi="ar-SA"/>
              </w:rPr>
              <w:t>（差值）</w:t>
            </w:r>
            <w:r>
              <w:rPr>
                <w:rFonts w:hint="eastAsia" w:ascii="宋体" w:hAnsi="宋体"/>
                <w:color w:val="auto"/>
                <w:szCs w:val="21"/>
              </w:rPr>
              <w:t>，每向上或向下浮动一个百分点扣0.1分，</w:t>
            </w:r>
            <w:r>
              <w:rPr>
                <w:rFonts w:hint="eastAsia" w:ascii="宋体" w:hAnsi="宋体"/>
                <w:color w:val="auto"/>
                <w:szCs w:val="21"/>
                <w:lang w:val="en-US" w:eastAsia="zh-CN"/>
              </w:rPr>
              <w:t>分数扣完为止</w:t>
            </w:r>
            <w:r>
              <w:rPr>
                <w:rFonts w:hint="eastAsia" w:ascii="宋体" w:hAnsi="宋体"/>
                <w:color w:val="auto"/>
                <w:szCs w:val="21"/>
              </w:rPr>
              <w:t>，小数点后保留两位。</w:t>
            </w:r>
          </w:p>
          <w:p w14:paraId="7CE0EAF5">
            <w:pPr>
              <w:rPr>
                <w:rFonts w:ascii="宋体" w:hAnsi="宋体"/>
                <w:color w:val="auto"/>
                <w:szCs w:val="21"/>
              </w:rPr>
            </w:pPr>
            <w:r>
              <w:rPr>
                <w:rFonts w:hint="eastAsia" w:ascii="宋体" w:hAnsi="宋体"/>
                <w:color w:val="auto"/>
                <w:szCs w:val="21"/>
                <w:lang w:eastAsia="zh-CN"/>
              </w:rPr>
              <w:t>2.</w:t>
            </w:r>
            <w:r>
              <w:rPr>
                <w:rFonts w:hint="eastAsia" w:ascii="宋体" w:hAnsi="宋体"/>
                <w:color w:val="auto"/>
                <w:szCs w:val="21"/>
              </w:rPr>
              <w:t>设计部分报价（满分</w:t>
            </w:r>
            <w:r>
              <w:rPr>
                <w:rFonts w:hint="eastAsia" w:ascii="宋体" w:hAnsi="宋体"/>
                <w:color w:val="auto"/>
                <w:szCs w:val="21"/>
                <w:lang w:val="en-US" w:eastAsia="zh-CN"/>
              </w:rPr>
              <w:t>5</w:t>
            </w:r>
            <w:r>
              <w:rPr>
                <w:rFonts w:hint="eastAsia" w:ascii="宋体" w:hAnsi="宋体"/>
                <w:color w:val="auto"/>
                <w:szCs w:val="21"/>
              </w:rPr>
              <w:t>分）：以所有有效投标报价（优惠后的费率）的算术平均值作为评标基准价，有效报价等于评标基准价时得满分5分，其余投标报价与评标基准价相比</w:t>
            </w:r>
            <w:r>
              <w:rPr>
                <w:rFonts w:hint="eastAsia" w:ascii="宋体" w:hAnsi="宋体" w:eastAsia="宋体" w:cs="Times New Roman"/>
                <w:smallCaps w:val="0"/>
                <w:color w:val="auto"/>
                <w:kern w:val="2"/>
                <w:sz w:val="21"/>
                <w:szCs w:val="21"/>
                <w:lang w:val="en-US" w:eastAsia="zh-CN" w:bidi="ar-SA"/>
              </w:rPr>
              <w:t>（差值）</w:t>
            </w:r>
            <w:r>
              <w:rPr>
                <w:rFonts w:hint="eastAsia" w:ascii="宋体" w:hAnsi="宋体"/>
                <w:color w:val="auto"/>
                <w:szCs w:val="21"/>
              </w:rPr>
              <w:t>，每向上或向下浮动一个百分点扣0.1分，</w:t>
            </w:r>
            <w:r>
              <w:rPr>
                <w:rFonts w:hint="eastAsia" w:ascii="宋体" w:hAnsi="宋体"/>
                <w:color w:val="auto"/>
                <w:szCs w:val="21"/>
                <w:lang w:val="en-US" w:eastAsia="zh-CN"/>
              </w:rPr>
              <w:t>分数扣完为止</w:t>
            </w:r>
            <w:r>
              <w:rPr>
                <w:rFonts w:hint="eastAsia" w:ascii="宋体" w:hAnsi="宋体"/>
                <w:color w:val="auto"/>
                <w:szCs w:val="21"/>
              </w:rPr>
              <w:t>，小数点后保留两位。</w:t>
            </w:r>
          </w:p>
          <w:p w14:paraId="5162212C">
            <w:pPr>
              <w:rPr>
                <w:rFonts w:hint="eastAsia" w:ascii="宋体" w:hAnsi="宋体"/>
                <w:color w:val="auto"/>
                <w:szCs w:val="21"/>
              </w:rPr>
            </w:pPr>
            <w:r>
              <w:rPr>
                <w:rFonts w:hint="eastAsia" w:ascii="宋体" w:hAnsi="宋体"/>
                <w:color w:val="auto"/>
                <w:szCs w:val="21"/>
                <w:lang w:eastAsia="zh-CN"/>
              </w:rPr>
              <w:t>3.</w:t>
            </w:r>
            <w:r>
              <w:rPr>
                <w:rFonts w:hint="eastAsia" w:ascii="宋体" w:hAnsi="宋体"/>
                <w:color w:val="auto"/>
                <w:szCs w:val="21"/>
              </w:rPr>
              <w:t>施工部分报价（满分</w:t>
            </w:r>
            <w:r>
              <w:rPr>
                <w:rFonts w:hint="eastAsia" w:ascii="宋体" w:hAnsi="宋体"/>
                <w:color w:val="auto"/>
                <w:szCs w:val="21"/>
                <w:lang w:val="en-US" w:eastAsia="zh-CN"/>
              </w:rPr>
              <w:t>15</w:t>
            </w:r>
            <w:r>
              <w:rPr>
                <w:rFonts w:hint="eastAsia" w:ascii="宋体" w:hAnsi="宋体"/>
                <w:color w:val="auto"/>
                <w:szCs w:val="21"/>
              </w:rPr>
              <w:t>分）：以所有有效投标报价（优惠后的费率）的算术平均值作为评标基准价，有效报价等于评标基准价时得满分</w:t>
            </w:r>
            <w:r>
              <w:rPr>
                <w:rFonts w:hint="eastAsia" w:ascii="宋体" w:hAnsi="宋体"/>
                <w:color w:val="auto"/>
                <w:szCs w:val="21"/>
                <w:lang w:val="en-US" w:eastAsia="zh-CN"/>
              </w:rPr>
              <w:t>15</w:t>
            </w:r>
            <w:r>
              <w:rPr>
                <w:rFonts w:hint="eastAsia" w:ascii="宋体" w:hAnsi="宋体"/>
                <w:color w:val="auto"/>
                <w:szCs w:val="21"/>
              </w:rPr>
              <w:t>分，其余投标报价与评标基准价相比</w:t>
            </w:r>
            <w:r>
              <w:rPr>
                <w:rFonts w:hint="eastAsia" w:ascii="宋体" w:hAnsi="宋体" w:eastAsia="宋体" w:cs="Times New Roman"/>
                <w:smallCaps w:val="0"/>
                <w:color w:val="auto"/>
                <w:kern w:val="2"/>
                <w:sz w:val="21"/>
                <w:szCs w:val="21"/>
                <w:lang w:val="en-US" w:eastAsia="zh-CN" w:bidi="ar-SA"/>
              </w:rPr>
              <w:t>（差值）</w:t>
            </w:r>
            <w:r>
              <w:rPr>
                <w:rFonts w:hint="eastAsia" w:ascii="宋体" w:hAnsi="宋体"/>
                <w:color w:val="auto"/>
                <w:szCs w:val="21"/>
              </w:rPr>
              <w:t>，每向上或向下浮动一个百分点扣0.1分，</w:t>
            </w:r>
            <w:r>
              <w:rPr>
                <w:rFonts w:hint="eastAsia" w:ascii="宋体" w:hAnsi="宋体"/>
                <w:color w:val="auto"/>
                <w:szCs w:val="21"/>
                <w:lang w:val="en-US" w:eastAsia="zh-CN"/>
              </w:rPr>
              <w:t>分数扣完为止</w:t>
            </w:r>
            <w:r>
              <w:rPr>
                <w:rFonts w:hint="eastAsia" w:ascii="宋体" w:hAnsi="宋体"/>
                <w:color w:val="auto"/>
                <w:szCs w:val="21"/>
              </w:rPr>
              <w:t>，小数点后保留两位。</w:t>
            </w:r>
          </w:p>
          <w:p w14:paraId="0F98C0CF">
            <w:pPr>
              <w:pStyle w:val="2"/>
              <w:rPr>
                <w:color w:val="auto"/>
              </w:rPr>
            </w:pPr>
            <w:r>
              <w:rPr>
                <w:rFonts w:hint="eastAsia" w:ascii="宋体" w:hAnsi="宋体" w:eastAsia="宋体" w:cs="Times New Roman"/>
                <w:smallCaps w:val="0"/>
                <w:color w:val="auto"/>
                <w:kern w:val="2"/>
                <w:sz w:val="21"/>
                <w:szCs w:val="21"/>
                <w:lang w:val="en-US" w:eastAsia="zh-CN" w:bidi="ar-SA"/>
              </w:rPr>
              <w:t>注：差值=投标报价-评标基准价</w:t>
            </w:r>
            <w:r>
              <w:rPr>
                <w:rFonts w:hint="eastAsia" w:ascii="宋体" w:hAnsi="宋体" w:cs="Times New Roman"/>
                <w:smallCaps w:val="0"/>
                <w:color w:val="auto"/>
                <w:kern w:val="2"/>
                <w:sz w:val="21"/>
                <w:szCs w:val="21"/>
                <w:lang w:val="en-US" w:eastAsia="zh-CN" w:bidi="ar-SA"/>
              </w:rPr>
              <w:t>。</w:t>
            </w:r>
          </w:p>
        </w:tc>
      </w:tr>
      <w:tr w14:paraId="51BE36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159" w:type="dxa"/>
          <w:cantSplit/>
          <w:jc w:val="center"/>
        </w:trPr>
        <w:tc>
          <w:tcPr>
            <w:tcW w:w="1419" w:type="dxa"/>
            <w:gridSpan w:val="3"/>
            <w:tcBorders>
              <w:top w:val="nil"/>
              <w:bottom w:val="single" w:color="auto" w:sz="4" w:space="0"/>
              <w:right w:val="single" w:color="auto" w:sz="4" w:space="0"/>
            </w:tcBorders>
            <w:vAlign w:val="center"/>
          </w:tcPr>
          <w:p w14:paraId="0BE7F971">
            <w:pPr>
              <w:spacing w:line="440" w:lineRule="exact"/>
              <w:jc w:val="center"/>
              <w:rPr>
                <w:rFonts w:ascii="宋体" w:hAnsi="宋体"/>
                <w:b/>
                <w:color w:val="auto"/>
                <w:szCs w:val="21"/>
              </w:rPr>
            </w:pPr>
            <w:r>
              <w:rPr>
                <w:rFonts w:ascii="宋体" w:hAnsi="宋体"/>
                <w:b/>
                <w:color w:val="auto"/>
                <w:szCs w:val="21"/>
              </w:rPr>
              <w:t>条款号</w:t>
            </w:r>
          </w:p>
        </w:tc>
        <w:tc>
          <w:tcPr>
            <w:tcW w:w="2027" w:type="dxa"/>
            <w:gridSpan w:val="3"/>
            <w:tcBorders>
              <w:top w:val="single" w:color="auto" w:sz="4" w:space="0"/>
              <w:left w:val="single" w:color="auto" w:sz="4" w:space="0"/>
              <w:bottom w:val="single" w:color="auto" w:sz="4" w:space="0"/>
              <w:right w:val="single" w:color="auto" w:sz="4" w:space="0"/>
            </w:tcBorders>
            <w:vAlign w:val="center"/>
          </w:tcPr>
          <w:p w14:paraId="716EBAC7">
            <w:pPr>
              <w:spacing w:line="440" w:lineRule="exact"/>
              <w:jc w:val="center"/>
              <w:rPr>
                <w:rFonts w:ascii="宋体" w:hAnsi="宋体"/>
                <w:b/>
                <w:color w:val="auto"/>
                <w:szCs w:val="21"/>
              </w:rPr>
            </w:pPr>
            <w:r>
              <w:rPr>
                <w:rFonts w:ascii="宋体" w:hAnsi="宋体"/>
                <w:b/>
                <w:color w:val="auto"/>
                <w:szCs w:val="21"/>
              </w:rPr>
              <w:t>评分因素</w:t>
            </w:r>
          </w:p>
        </w:tc>
        <w:tc>
          <w:tcPr>
            <w:tcW w:w="5850" w:type="dxa"/>
            <w:tcBorders>
              <w:top w:val="single" w:color="auto" w:sz="4" w:space="0"/>
              <w:left w:val="single" w:color="auto" w:sz="4" w:space="0"/>
              <w:bottom w:val="single" w:color="auto" w:sz="4" w:space="0"/>
              <w:right w:val="single" w:color="auto" w:sz="4" w:space="0"/>
            </w:tcBorders>
            <w:vAlign w:val="center"/>
          </w:tcPr>
          <w:p w14:paraId="52AB3F1A">
            <w:pPr>
              <w:spacing w:line="440" w:lineRule="exact"/>
              <w:jc w:val="center"/>
              <w:rPr>
                <w:rFonts w:ascii="宋体" w:hAnsi="宋体"/>
                <w:b/>
                <w:color w:val="auto"/>
                <w:szCs w:val="21"/>
              </w:rPr>
            </w:pPr>
            <w:r>
              <w:rPr>
                <w:rFonts w:ascii="宋体" w:hAnsi="宋体"/>
                <w:b/>
                <w:color w:val="auto"/>
                <w:szCs w:val="21"/>
              </w:rPr>
              <w:t>评分标准</w:t>
            </w:r>
          </w:p>
        </w:tc>
      </w:tr>
      <w:tr w14:paraId="369506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159" w:type="dxa"/>
          <w:cantSplit/>
          <w:trHeight w:val="1399" w:hRule="atLeast"/>
          <w:jc w:val="center"/>
        </w:trPr>
        <w:tc>
          <w:tcPr>
            <w:tcW w:w="753" w:type="dxa"/>
            <w:tcBorders>
              <w:top w:val="single" w:color="auto" w:sz="4" w:space="0"/>
              <w:right w:val="single" w:color="auto" w:sz="4" w:space="0"/>
            </w:tcBorders>
            <w:vAlign w:val="center"/>
          </w:tcPr>
          <w:p w14:paraId="31CAC5EB">
            <w:pPr>
              <w:spacing w:line="440" w:lineRule="exact"/>
              <w:jc w:val="center"/>
              <w:rPr>
                <w:rFonts w:hint="eastAsia" w:ascii="宋体" w:hAnsi="宋体" w:eastAsia="宋体"/>
                <w:color w:val="auto"/>
                <w:szCs w:val="21"/>
                <w:lang w:eastAsia="zh-CN"/>
              </w:rPr>
            </w:pPr>
            <w:r>
              <w:rPr>
                <w:rFonts w:ascii="宋体" w:hAnsi="宋体"/>
                <w:color w:val="auto"/>
                <w:szCs w:val="21"/>
              </w:rPr>
              <w:t>2.4.</w:t>
            </w:r>
            <w:r>
              <w:rPr>
                <w:rFonts w:hint="eastAsia" w:ascii="宋体" w:hAnsi="宋体"/>
                <w:color w:val="auto"/>
                <w:szCs w:val="21"/>
                <w:lang w:val="en-US" w:eastAsia="zh-CN"/>
              </w:rPr>
              <w:t>1</w:t>
            </w:r>
          </w:p>
        </w:tc>
        <w:tc>
          <w:tcPr>
            <w:tcW w:w="666" w:type="dxa"/>
            <w:gridSpan w:val="2"/>
            <w:tcBorders>
              <w:top w:val="single" w:color="auto" w:sz="4" w:space="0"/>
              <w:right w:val="single" w:color="auto" w:sz="4" w:space="0"/>
            </w:tcBorders>
            <w:vAlign w:val="center"/>
          </w:tcPr>
          <w:p w14:paraId="238E28D8">
            <w:pPr>
              <w:spacing w:line="440" w:lineRule="exact"/>
              <w:jc w:val="center"/>
              <w:rPr>
                <w:rFonts w:ascii="宋体" w:hAnsi="宋体"/>
                <w:color w:val="auto"/>
                <w:szCs w:val="21"/>
              </w:rPr>
            </w:pPr>
            <w:r>
              <w:rPr>
                <w:rFonts w:hint="eastAsia" w:ascii="宋体" w:hAnsi="宋体"/>
                <w:color w:val="auto"/>
                <w:szCs w:val="21"/>
              </w:rPr>
              <w:t>施工实施方案</w:t>
            </w:r>
          </w:p>
        </w:tc>
        <w:tc>
          <w:tcPr>
            <w:tcW w:w="2027" w:type="dxa"/>
            <w:gridSpan w:val="3"/>
            <w:tcBorders>
              <w:top w:val="single" w:color="auto" w:sz="4" w:space="0"/>
              <w:left w:val="single" w:color="auto" w:sz="4" w:space="0"/>
              <w:right w:val="single" w:color="auto" w:sz="4" w:space="0"/>
            </w:tcBorders>
            <w:vAlign w:val="center"/>
          </w:tcPr>
          <w:p w14:paraId="1F2744CF">
            <w:pPr>
              <w:spacing w:line="360" w:lineRule="auto"/>
              <w:jc w:val="center"/>
              <w:rPr>
                <w:rFonts w:ascii="宋体" w:hAnsi="宋体"/>
                <w:color w:val="auto"/>
                <w:szCs w:val="21"/>
              </w:rPr>
            </w:pPr>
            <w:r>
              <w:rPr>
                <w:rFonts w:hint="eastAsia" w:ascii="宋体" w:hAnsi="宋体"/>
                <w:color w:val="auto"/>
                <w:szCs w:val="21"/>
              </w:rPr>
              <w:t>满分</w:t>
            </w:r>
            <w:r>
              <w:rPr>
                <w:rFonts w:hint="eastAsia" w:ascii="宋体" w:hAnsi="宋体"/>
                <w:color w:val="auto"/>
                <w:szCs w:val="21"/>
                <w:lang w:val="en-US" w:eastAsia="zh-CN"/>
              </w:rPr>
              <w:t>1</w:t>
            </w:r>
            <w:r>
              <w:rPr>
                <w:rFonts w:ascii="宋体" w:hAnsi="宋体"/>
                <w:color w:val="auto"/>
                <w:szCs w:val="21"/>
              </w:rPr>
              <w:t>5</w:t>
            </w:r>
            <w:r>
              <w:rPr>
                <w:rFonts w:hint="eastAsia" w:ascii="宋体" w:hAnsi="宋体"/>
                <w:color w:val="auto"/>
                <w:szCs w:val="21"/>
              </w:rPr>
              <w:t>分</w:t>
            </w:r>
          </w:p>
        </w:tc>
        <w:tc>
          <w:tcPr>
            <w:tcW w:w="5850" w:type="dxa"/>
            <w:tcBorders>
              <w:top w:val="single" w:color="auto" w:sz="4" w:space="0"/>
              <w:left w:val="single" w:color="auto" w:sz="4" w:space="0"/>
              <w:right w:val="single" w:color="auto" w:sz="4" w:space="0"/>
            </w:tcBorders>
            <w:vAlign w:val="center"/>
          </w:tcPr>
          <w:p w14:paraId="0698EF02">
            <w:pPr>
              <w:rPr>
                <w:rFonts w:ascii="宋体" w:hAnsi="宋体"/>
                <w:color w:val="auto"/>
                <w:szCs w:val="21"/>
              </w:rPr>
            </w:pPr>
            <w:r>
              <w:rPr>
                <w:rFonts w:hint="eastAsia" w:ascii="宋体" w:hAnsi="宋体"/>
                <w:color w:val="auto"/>
                <w:szCs w:val="21"/>
              </w:rPr>
              <w:t>第一档（</w:t>
            </w:r>
            <w:r>
              <w:rPr>
                <w:rFonts w:hint="eastAsia" w:ascii="宋体" w:hAnsi="宋体"/>
                <w:color w:val="auto"/>
                <w:szCs w:val="21"/>
                <w:lang w:val="en-US" w:eastAsia="zh-CN"/>
              </w:rPr>
              <w:t>11—15</w:t>
            </w:r>
            <w:r>
              <w:rPr>
                <w:rFonts w:hint="eastAsia" w:ascii="宋体" w:hAnsi="宋体"/>
                <w:color w:val="auto"/>
                <w:szCs w:val="21"/>
              </w:rPr>
              <w:t>分）：实施方案优秀且能很</w:t>
            </w:r>
            <w:r>
              <w:rPr>
                <w:rFonts w:hint="eastAsia" w:ascii="宋体" w:hAnsi="宋体"/>
                <w:color w:val="auto"/>
                <w:szCs w:val="21"/>
                <w:lang w:eastAsia="zh-CN"/>
              </w:rPr>
              <w:t>好地</w:t>
            </w:r>
            <w:r>
              <w:rPr>
                <w:rFonts w:hint="eastAsia" w:ascii="宋体" w:hAnsi="宋体"/>
                <w:color w:val="auto"/>
                <w:szCs w:val="21"/>
              </w:rPr>
              <w:t>指导施工，施工措施具体且有针对性，施工部署全面，工期完全满足招标要求且承诺具体的；</w:t>
            </w:r>
          </w:p>
          <w:p w14:paraId="52BF2D65">
            <w:pPr>
              <w:rPr>
                <w:rFonts w:ascii="宋体" w:hAnsi="宋体"/>
                <w:color w:val="auto"/>
                <w:szCs w:val="21"/>
              </w:rPr>
            </w:pPr>
            <w:r>
              <w:rPr>
                <w:rFonts w:hint="eastAsia" w:ascii="宋体" w:hAnsi="宋体"/>
                <w:color w:val="auto"/>
                <w:szCs w:val="21"/>
              </w:rPr>
              <w:t>第二档（</w:t>
            </w:r>
            <w:r>
              <w:rPr>
                <w:rFonts w:hint="eastAsia" w:ascii="宋体" w:hAnsi="宋体"/>
                <w:color w:val="auto"/>
                <w:szCs w:val="21"/>
                <w:lang w:val="en-US" w:eastAsia="zh-CN"/>
              </w:rPr>
              <w:t>6—</w:t>
            </w:r>
            <w:r>
              <w:rPr>
                <w:rFonts w:ascii="宋体" w:hAnsi="宋体"/>
                <w:color w:val="auto"/>
                <w:szCs w:val="21"/>
              </w:rPr>
              <w:t>1</w:t>
            </w:r>
            <w:r>
              <w:rPr>
                <w:rFonts w:hint="eastAsia" w:ascii="宋体" w:hAnsi="宋体"/>
                <w:color w:val="auto"/>
                <w:szCs w:val="21"/>
                <w:lang w:val="en-US" w:eastAsia="zh-CN"/>
              </w:rPr>
              <w:t>0</w:t>
            </w:r>
            <w:r>
              <w:rPr>
                <w:rFonts w:hint="eastAsia" w:ascii="宋体" w:hAnsi="宋体"/>
                <w:color w:val="auto"/>
                <w:szCs w:val="21"/>
              </w:rPr>
              <w:t>分）：实施方案合理但对施工指导性一般，施工措施具体但针对性一般，施工部署全面，工期满足招标要求且有工期承诺的；</w:t>
            </w:r>
          </w:p>
          <w:p w14:paraId="2BA5F384">
            <w:pPr>
              <w:rPr>
                <w:rFonts w:ascii="宋体" w:hAnsi="宋体"/>
                <w:color w:val="auto"/>
                <w:szCs w:val="21"/>
              </w:rPr>
            </w:pPr>
            <w:r>
              <w:rPr>
                <w:rFonts w:hint="eastAsia" w:ascii="宋体" w:hAnsi="宋体"/>
                <w:color w:val="auto"/>
                <w:szCs w:val="21"/>
              </w:rPr>
              <w:t>第三档（1</w:t>
            </w:r>
            <w:r>
              <w:rPr>
                <w:rFonts w:hint="eastAsia" w:ascii="宋体" w:hAnsi="宋体"/>
                <w:color w:val="auto"/>
                <w:szCs w:val="21"/>
                <w:lang w:eastAsia="zh-CN"/>
              </w:rPr>
              <w:t>—</w:t>
            </w:r>
            <w:r>
              <w:rPr>
                <w:rFonts w:hint="eastAsia" w:ascii="宋体" w:hAnsi="宋体"/>
                <w:color w:val="auto"/>
                <w:szCs w:val="21"/>
                <w:lang w:val="en-US" w:eastAsia="zh-CN"/>
              </w:rPr>
              <w:t>5</w:t>
            </w:r>
            <w:r>
              <w:rPr>
                <w:rFonts w:hint="eastAsia" w:ascii="宋体" w:hAnsi="宋体"/>
                <w:color w:val="auto"/>
                <w:szCs w:val="21"/>
              </w:rPr>
              <w:t>分）：实施方案基本合理、对施工缺乏指导性，施工措施、施工部署基本合理但存在一些问题，工期满足招标要求，但无具体承诺的；</w:t>
            </w:r>
          </w:p>
          <w:p w14:paraId="429D04CA">
            <w:pPr>
              <w:rPr>
                <w:rFonts w:ascii="宋体" w:hAnsi="宋体"/>
                <w:color w:val="auto"/>
                <w:szCs w:val="21"/>
              </w:rPr>
            </w:pPr>
            <w:r>
              <w:rPr>
                <w:rFonts w:hint="eastAsia" w:ascii="宋体" w:hAnsi="宋体"/>
                <w:color w:val="auto"/>
                <w:szCs w:val="21"/>
              </w:rPr>
              <w:t>第四档（0分）：实施方案、施工措施、施工部署</w:t>
            </w:r>
            <w:r>
              <w:rPr>
                <w:rFonts w:hint="eastAsia" w:ascii="宋体" w:hAnsi="宋体"/>
                <w:color w:val="auto"/>
                <w:szCs w:val="21"/>
                <w:lang w:eastAsia="zh-CN"/>
              </w:rPr>
              <w:t>存在</w:t>
            </w:r>
            <w:r>
              <w:rPr>
                <w:rFonts w:hint="eastAsia" w:ascii="宋体" w:hAnsi="宋体"/>
                <w:color w:val="auto"/>
                <w:szCs w:val="21"/>
              </w:rPr>
              <w:t>明显错误或无施工技术方案的。</w:t>
            </w:r>
          </w:p>
        </w:tc>
      </w:tr>
      <w:tr w14:paraId="47D2AF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159" w:type="dxa"/>
          <w:cantSplit/>
          <w:trHeight w:val="1399" w:hRule="atLeast"/>
          <w:jc w:val="center"/>
        </w:trPr>
        <w:tc>
          <w:tcPr>
            <w:tcW w:w="753" w:type="dxa"/>
            <w:tcBorders>
              <w:top w:val="single" w:color="auto" w:sz="4" w:space="0"/>
              <w:right w:val="single" w:color="auto" w:sz="4" w:space="0"/>
            </w:tcBorders>
            <w:vAlign w:val="center"/>
          </w:tcPr>
          <w:p w14:paraId="70A01484">
            <w:pPr>
              <w:jc w:val="center"/>
              <w:rPr>
                <w:rFonts w:hint="eastAsia" w:ascii="宋体" w:hAnsi="宋体" w:eastAsia="宋体"/>
                <w:color w:val="auto"/>
                <w:szCs w:val="21"/>
                <w:lang w:eastAsia="zh-CN"/>
              </w:rPr>
            </w:pPr>
            <w:r>
              <w:rPr>
                <w:rFonts w:hint="eastAsia" w:ascii="宋体" w:hAnsi="宋体"/>
                <w:color w:val="auto"/>
                <w:szCs w:val="21"/>
              </w:rPr>
              <w:t>2.4.</w:t>
            </w:r>
            <w:r>
              <w:rPr>
                <w:rFonts w:hint="eastAsia" w:ascii="宋体" w:hAnsi="宋体"/>
                <w:color w:val="auto"/>
                <w:szCs w:val="21"/>
                <w:lang w:val="en-US" w:eastAsia="zh-CN"/>
              </w:rPr>
              <w:t>2</w:t>
            </w:r>
          </w:p>
        </w:tc>
        <w:tc>
          <w:tcPr>
            <w:tcW w:w="666" w:type="dxa"/>
            <w:gridSpan w:val="2"/>
            <w:tcBorders>
              <w:top w:val="single" w:color="auto" w:sz="4" w:space="0"/>
              <w:right w:val="single" w:color="auto" w:sz="4" w:space="0"/>
            </w:tcBorders>
            <w:vAlign w:val="center"/>
          </w:tcPr>
          <w:p w14:paraId="52131E47">
            <w:pPr>
              <w:jc w:val="center"/>
              <w:rPr>
                <w:rFonts w:hint="eastAsia" w:ascii="宋体" w:hAnsi="宋体"/>
                <w:color w:val="auto"/>
                <w:szCs w:val="21"/>
              </w:rPr>
            </w:pPr>
            <w:r>
              <w:rPr>
                <w:rFonts w:hint="eastAsia" w:ascii="宋体" w:hAnsi="宋体"/>
                <w:color w:val="auto"/>
                <w:szCs w:val="21"/>
              </w:rPr>
              <w:t>设计工作方案</w:t>
            </w:r>
          </w:p>
        </w:tc>
        <w:tc>
          <w:tcPr>
            <w:tcW w:w="2027" w:type="dxa"/>
            <w:gridSpan w:val="3"/>
            <w:tcBorders>
              <w:top w:val="single" w:color="auto" w:sz="4" w:space="0"/>
              <w:left w:val="single" w:color="auto" w:sz="4" w:space="0"/>
              <w:right w:val="single" w:color="auto" w:sz="4" w:space="0"/>
            </w:tcBorders>
            <w:vAlign w:val="center"/>
          </w:tcPr>
          <w:p w14:paraId="1B10B872">
            <w:pPr>
              <w:jc w:val="center"/>
              <w:rPr>
                <w:rFonts w:hint="eastAsia" w:ascii="宋体" w:hAnsi="宋体"/>
                <w:color w:val="auto"/>
                <w:szCs w:val="21"/>
              </w:rPr>
            </w:pPr>
            <w:r>
              <w:rPr>
                <w:rFonts w:hint="eastAsia"/>
                <w:color w:val="auto"/>
              </w:rPr>
              <w:t>满分</w:t>
            </w:r>
            <w:r>
              <w:rPr>
                <w:rFonts w:hint="eastAsia"/>
                <w:color w:val="auto"/>
                <w:lang w:val="en-US" w:eastAsia="zh-CN"/>
              </w:rPr>
              <w:t>25</w:t>
            </w:r>
            <w:r>
              <w:rPr>
                <w:rFonts w:hint="eastAsia"/>
                <w:color w:val="auto"/>
              </w:rPr>
              <w:t>分</w:t>
            </w:r>
          </w:p>
        </w:tc>
        <w:tc>
          <w:tcPr>
            <w:tcW w:w="5850" w:type="dxa"/>
            <w:tcBorders>
              <w:top w:val="single" w:color="auto" w:sz="4" w:space="0"/>
              <w:left w:val="single" w:color="auto" w:sz="4" w:space="0"/>
              <w:right w:val="single" w:color="auto" w:sz="4" w:space="0"/>
            </w:tcBorders>
            <w:vAlign w:val="center"/>
          </w:tcPr>
          <w:p w14:paraId="77DC55C9">
            <w:pPr>
              <w:rPr>
                <w:rFonts w:ascii="宋体" w:hAnsi="宋体"/>
                <w:color w:val="auto"/>
                <w:szCs w:val="21"/>
                <w:lang w:val="zh-CN"/>
              </w:rPr>
            </w:pPr>
            <w:r>
              <w:rPr>
                <w:rFonts w:hint="eastAsia"/>
                <w:color w:val="auto"/>
              </w:rPr>
              <w:t>第一</w:t>
            </w:r>
            <w:r>
              <w:rPr>
                <w:rFonts w:hint="eastAsia" w:ascii="宋体" w:hAnsi="宋体"/>
                <w:color w:val="auto"/>
                <w:szCs w:val="21"/>
                <w:lang w:val="zh-CN"/>
              </w:rPr>
              <w:t>档（</w:t>
            </w:r>
            <w:r>
              <w:rPr>
                <w:rFonts w:hint="eastAsia" w:ascii="宋体" w:hAnsi="宋体"/>
                <w:color w:val="auto"/>
                <w:szCs w:val="21"/>
                <w:lang w:val="en-US" w:eastAsia="zh-CN"/>
              </w:rPr>
              <w:t>18</w:t>
            </w:r>
            <w:r>
              <w:rPr>
                <w:rFonts w:hint="eastAsia" w:ascii="宋体" w:hAnsi="宋体"/>
                <w:color w:val="auto"/>
                <w:szCs w:val="21"/>
                <w:lang w:val="zh-CN"/>
              </w:rPr>
              <w:t>-</w:t>
            </w:r>
            <w:r>
              <w:rPr>
                <w:rFonts w:hint="eastAsia" w:ascii="宋体" w:hAnsi="宋体"/>
                <w:color w:val="auto"/>
                <w:szCs w:val="21"/>
                <w:lang w:val="en-US" w:eastAsia="zh-CN"/>
              </w:rPr>
              <w:t>15</w:t>
            </w:r>
            <w:r>
              <w:rPr>
                <w:rFonts w:hint="eastAsia" w:ascii="宋体" w:hAnsi="宋体"/>
                <w:color w:val="auto"/>
                <w:szCs w:val="21"/>
                <w:lang w:val="zh-CN"/>
              </w:rPr>
              <w:t>）：对项目理解到位，综合说明内容科学性、合理性、针对性强。现场踏勘准确清晰；总体规划思路清晰，定位准确，节点表达完整并符合现状场地具备可落地可实施性，图文并茂直观精美；与周边产业建设规划等内容协调融合。</w:t>
            </w:r>
          </w:p>
          <w:p w14:paraId="70F23CCA">
            <w:pPr>
              <w:rPr>
                <w:rFonts w:ascii="宋体" w:hAnsi="宋体"/>
                <w:color w:val="auto"/>
                <w:szCs w:val="21"/>
              </w:rPr>
            </w:pPr>
            <w:r>
              <w:rPr>
                <w:rFonts w:hint="eastAsia" w:ascii="宋体" w:hAnsi="宋体"/>
                <w:color w:val="auto"/>
                <w:szCs w:val="21"/>
                <w:lang w:val="zh-CN"/>
              </w:rPr>
              <w:t>第二档（</w:t>
            </w:r>
            <w:r>
              <w:rPr>
                <w:rFonts w:hint="eastAsia" w:ascii="宋体" w:hAnsi="宋体"/>
                <w:color w:val="auto"/>
                <w:szCs w:val="21"/>
                <w:lang w:val="en-US" w:eastAsia="zh-CN"/>
              </w:rPr>
              <w:t>11</w:t>
            </w:r>
            <w:r>
              <w:rPr>
                <w:rFonts w:hint="eastAsia" w:ascii="宋体" w:hAnsi="宋体"/>
                <w:color w:val="auto"/>
                <w:szCs w:val="21"/>
                <w:lang w:val="zh-CN"/>
              </w:rPr>
              <w:t>-</w:t>
            </w:r>
            <w:r>
              <w:rPr>
                <w:rFonts w:hint="eastAsia" w:ascii="宋体" w:hAnsi="宋体"/>
                <w:color w:val="auto"/>
                <w:szCs w:val="21"/>
                <w:lang w:val="en-US" w:eastAsia="zh-CN"/>
              </w:rPr>
              <w:t>17</w:t>
            </w:r>
            <w:r>
              <w:rPr>
                <w:rFonts w:hint="eastAsia" w:ascii="宋体" w:hAnsi="宋体"/>
                <w:color w:val="auto"/>
                <w:szCs w:val="21"/>
                <w:lang w:val="zh-CN"/>
              </w:rPr>
              <w:t>）：</w:t>
            </w:r>
            <w:r>
              <w:rPr>
                <w:rFonts w:hint="eastAsia" w:ascii="宋体" w:hAnsi="宋体"/>
                <w:color w:val="auto"/>
                <w:szCs w:val="21"/>
              </w:rPr>
              <w:t>对项目理解一般，综合</w:t>
            </w:r>
            <w:r>
              <w:rPr>
                <w:rFonts w:hint="eastAsia" w:ascii="宋体" w:hAnsi="宋体"/>
                <w:color w:val="auto"/>
                <w:szCs w:val="21"/>
                <w:lang w:val="zh-CN"/>
              </w:rPr>
              <w:t>说明内容科学性、合理性、针对性</w:t>
            </w:r>
            <w:r>
              <w:rPr>
                <w:rFonts w:hint="eastAsia" w:ascii="宋体" w:hAnsi="宋体"/>
                <w:color w:val="auto"/>
                <w:szCs w:val="21"/>
              </w:rPr>
              <w:t>一般的。</w:t>
            </w:r>
            <w:r>
              <w:rPr>
                <w:rFonts w:hint="eastAsia" w:ascii="宋体" w:hAnsi="宋体"/>
                <w:color w:val="auto"/>
                <w:szCs w:val="21"/>
                <w:lang w:val="zh-CN"/>
              </w:rPr>
              <w:t>总体规划思路</w:t>
            </w:r>
            <w:r>
              <w:rPr>
                <w:rFonts w:hint="eastAsia" w:ascii="宋体" w:hAnsi="宋体"/>
                <w:color w:val="auto"/>
                <w:szCs w:val="21"/>
              </w:rPr>
              <w:t>一般</w:t>
            </w:r>
            <w:r>
              <w:rPr>
                <w:rFonts w:hint="eastAsia" w:ascii="宋体" w:hAnsi="宋体"/>
                <w:color w:val="auto"/>
                <w:szCs w:val="21"/>
                <w:lang w:val="zh-CN"/>
              </w:rPr>
              <w:t>，节点表达</w:t>
            </w:r>
            <w:r>
              <w:rPr>
                <w:rFonts w:hint="eastAsia" w:ascii="宋体" w:hAnsi="宋体"/>
                <w:color w:val="auto"/>
                <w:szCs w:val="21"/>
              </w:rPr>
              <w:t>一般</w:t>
            </w:r>
            <w:r>
              <w:rPr>
                <w:rFonts w:hint="eastAsia" w:ascii="宋体" w:hAnsi="宋体"/>
                <w:color w:val="auto"/>
                <w:szCs w:val="21"/>
                <w:lang w:val="zh-CN"/>
              </w:rPr>
              <w:t>并</w:t>
            </w:r>
            <w:r>
              <w:rPr>
                <w:rFonts w:hint="eastAsia" w:ascii="宋体" w:hAnsi="宋体"/>
                <w:color w:val="auto"/>
                <w:szCs w:val="21"/>
              </w:rPr>
              <w:t>较</w:t>
            </w:r>
            <w:r>
              <w:rPr>
                <w:rFonts w:hint="eastAsia" w:ascii="宋体" w:hAnsi="宋体"/>
                <w:color w:val="auto"/>
                <w:szCs w:val="21"/>
                <w:lang w:val="zh-CN"/>
              </w:rPr>
              <w:t>符合现状场地可落地可实施性，</w:t>
            </w:r>
            <w:r>
              <w:rPr>
                <w:rFonts w:hint="eastAsia" w:ascii="宋体" w:hAnsi="宋体"/>
                <w:color w:val="auto"/>
                <w:szCs w:val="21"/>
              </w:rPr>
              <w:t>附有</w:t>
            </w:r>
            <w:r>
              <w:rPr>
                <w:rFonts w:hint="eastAsia" w:ascii="宋体" w:hAnsi="宋体"/>
                <w:color w:val="auto"/>
                <w:szCs w:val="21"/>
                <w:lang w:val="zh-CN"/>
              </w:rPr>
              <w:t>图文，与周边产业建设规划等内容协调融合。</w:t>
            </w:r>
          </w:p>
          <w:p w14:paraId="0DF9B419">
            <w:pPr>
              <w:rPr>
                <w:rFonts w:ascii="宋体" w:hAnsi="宋体"/>
                <w:color w:val="auto"/>
                <w:szCs w:val="21"/>
                <w:lang w:val="zh-CN"/>
              </w:rPr>
            </w:pPr>
            <w:r>
              <w:rPr>
                <w:rFonts w:hint="eastAsia" w:ascii="宋体" w:hAnsi="宋体"/>
                <w:color w:val="auto"/>
                <w:szCs w:val="21"/>
                <w:lang w:val="zh-CN"/>
              </w:rPr>
              <w:t>第三档（</w:t>
            </w:r>
            <w:r>
              <w:rPr>
                <w:rFonts w:hint="eastAsia" w:ascii="宋体" w:hAnsi="宋体"/>
                <w:color w:val="auto"/>
                <w:szCs w:val="21"/>
              </w:rPr>
              <w:t>1</w:t>
            </w:r>
            <w:r>
              <w:rPr>
                <w:rFonts w:hint="eastAsia" w:ascii="宋体" w:hAnsi="宋体"/>
                <w:color w:val="auto"/>
                <w:szCs w:val="21"/>
                <w:lang w:eastAsia="zh-CN"/>
              </w:rPr>
              <w:t>—</w:t>
            </w:r>
            <w:r>
              <w:rPr>
                <w:rFonts w:hint="eastAsia" w:ascii="宋体" w:hAnsi="宋体"/>
                <w:color w:val="auto"/>
                <w:szCs w:val="21"/>
                <w:lang w:val="en-US" w:eastAsia="zh-CN"/>
              </w:rPr>
              <w:t>10</w:t>
            </w:r>
            <w:r>
              <w:rPr>
                <w:rFonts w:hint="eastAsia" w:ascii="宋体" w:hAnsi="宋体"/>
                <w:color w:val="auto"/>
                <w:szCs w:val="21"/>
                <w:lang w:val="zh-CN"/>
              </w:rPr>
              <w:t>分）：</w:t>
            </w:r>
            <w:r>
              <w:rPr>
                <w:rFonts w:hint="eastAsia" w:ascii="宋体" w:hAnsi="宋体"/>
                <w:color w:val="auto"/>
                <w:szCs w:val="21"/>
              </w:rPr>
              <w:t>对项目理解较差，综合</w:t>
            </w:r>
            <w:r>
              <w:rPr>
                <w:rFonts w:hint="eastAsia" w:ascii="宋体" w:hAnsi="宋体"/>
                <w:color w:val="auto"/>
                <w:szCs w:val="21"/>
                <w:lang w:val="zh-CN"/>
              </w:rPr>
              <w:t>说明内容科学性、合理性、针对性</w:t>
            </w:r>
            <w:r>
              <w:rPr>
                <w:rFonts w:hint="eastAsia" w:ascii="宋体" w:hAnsi="宋体"/>
                <w:color w:val="auto"/>
                <w:szCs w:val="21"/>
              </w:rPr>
              <w:t>较差的。</w:t>
            </w:r>
            <w:r>
              <w:rPr>
                <w:rFonts w:hint="eastAsia" w:ascii="宋体" w:hAnsi="宋体"/>
                <w:color w:val="auto"/>
                <w:szCs w:val="21"/>
                <w:lang w:val="zh-CN"/>
              </w:rPr>
              <w:t>总体规划思路</w:t>
            </w:r>
            <w:r>
              <w:rPr>
                <w:rFonts w:hint="eastAsia" w:ascii="宋体" w:hAnsi="宋体"/>
                <w:color w:val="auto"/>
                <w:szCs w:val="21"/>
              </w:rPr>
              <w:t>较差</w:t>
            </w:r>
            <w:r>
              <w:rPr>
                <w:rFonts w:hint="eastAsia" w:ascii="宋体" w:hAnsi="宋体"/>
                <w:color w:val="auto"/>
                <w:szCs w:val="21"/>
                <w:lang w:val="zh-CN"/>
              </w:rPr>
              <w:t>，节点表达</w:t>
            </w:r>
            <w:r>
              <w:rPr>
                <w:rFonts w:hint="eastAsia" w:ascii="宋体" w:hAnsi="宋体"/>
                <w:color w:val="auto"/>
                <w:szCs w:val="21"/>
              </w:rPr>
              <w:t>较差</w:t>
            </w:r>
            <w:r>
              <w:rPr>
                <w:rFonts w:hint="eastAsia" w:ascii="宋体" w:hAnsi="宋体"/>
                <w:color w:val="auto"/>
                <w:szCs w:val="21"/>
                <w:lang w:val="zh-CN"/>
              </w:rPr>
              <w:t>并</w:t>
            </w:r>
            <w:r>
              <w:rPr>
                <w:rFonts w:hint="eastAsia" w:ascii="宋体" w:hAnsi="宋体"/>
                <w:color w:val="auto"/>
                <w:szCs w:val="21"/>
              </w:rPr>
              <w:t>较</w:t>
            </w:r>
            <w:r>
              <w:rPr>
                <w:rFonts w:hint="eastAsia" w:ascii="宋体" w:hAnsi="宋体"/>
                <w:color w:val="auto"/>
                <w:szCs w:val="21"/>
                <w:lang w:val="zh-CN"/>
              </w:rPr>
              <w:t>符合现状场地可落地可实施性，</w:t>
            </w:r>
            <w:r>
              <w:rPr>
                <w:rFonts w:hint="eastAsia" w:ascii="宋体" w:hAnsi="宋体"/>
                <w:color w:val="auto"/>
                <w:szCs w:val="21"/>
              </w:rPr>
              <w:t>无</w:t>
            </w:r>
            <w:r>
              <w:rPr>
                <w:rFonts w:hint="eastAsia" w:ascii="宋体" w:hAnsi="宋体"/>
                <w:color w:val="auto"/>
                <w:szCs w:val="21"/>
                <w:lang w:val="zh-CN"/>
              </w:rPr>
              <w:t>图文，</w:t>
            </w:r>
            <w:r>
              <w:rPr>
                <w:rFonts w:hint="eastAsia" w:ascii="宋体" w:hAnsi="宋体"/>
                <w:color w:val="auto"/>
                <w:szCs w:val="21"/>
              </w:rPr>
              <w:t>没有</w:t>
            </w:r>
            <w:r>
              <w:rPr>
                <w:rFonts w:hint="eastAsia" w:ascii="宋体" w:hAnsi="宋体"/>
                <w:color w:val="auto"/>
                <w:szCs w:val="21"/>
                <w:lang w:val="zh-CN"/>
              </w:rPr>
              <w:t>与周边产业建设规划等内容协调融合。</w:t>
            </w:r>
          </w:p>
          <w:p w14:paraId="101D7280">
            <w:pPr>
              <w:rPr>
                <w:rFonts w:hint="eastAsia" w:ascii="宋体" w:hAnsi="宋体"/>
                <w:color w:val="auto"/>
                <w:szCs w:val="21"/>
              </w:rPr>
            </w:pPr>
            <w:r>
              <w:rPr>
                <w:rFonts w:hint="eastAsia" w:ascii="宋体" w:hAnsi="宋体"/>
                <w:color w:val="auto"/>
                <w:szCs w:val="21"/>
                <w:lang w:val="zh-CN"/>
              </w:rPr>
              <w:t>第四档（</w:t>
            </w:r>
            <w:r>
              <w:rPr>
                <w:rFonts w:hint="eastAsia" w:ascii="宋体" w:hAnsi="宋体"/>
                <w:color w:val="auto"/>
                <w:szCs w:val="21"/>
              </w:rPr>
              <w:t>0</w:t>
            </w:r>
            <w:r>
              <w:rPr>
                <w:rFonts w:hint="eastAsia" w:ascii="宋体" w:hAnsi="宋体"/>
                <w:color w:val="auto"/>
                <w:szCs w:val="21"/>
                <w:lang w:val="zh-CN"/>
              </w:rPr>
              <w:t>分）：</w:t>
            </w:r>
            <w:r>
              <w:rPr>
                <w:rFonts w:hint="eastAsia" w:ascii="宋体" w:hAnsi="宋体"/>
                <w:color w:val="auto"/>
                <w:szCs w:val="21"/>
              </w:rPr>
              <w:t>没有提供设计方案的；</w:t>
            </w:r>
          </w:p>
        </w:tc>
      </w:tr>
      <w:tr w14:paraId="245C1C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159" w:type="dxa"/>
          <w:cantSplit/>
          <w:trHeight w:val="1399" w:hRule="atLeast"/>
          <w:jc w:val="center"/>
        </w:trPr>
        <w:tc>
          <w:tcPr>
            <w:tcW w:w="753" w:type="dxa"/>
            <w:tcBorders>
              <w:top w:val="single" w:color="auto" w:sz="4" w:space="0"/>
              <w:right w:val="single" w:color="auto" w:sz="4" w:space="0"/>
            </w:tcBorders>
            <w:vAlign w:val="center"/>
          </w:tcPr>
          <w:p w14:paraId="11B492BF">
            <w:pPr>
              <w:jc w:val="center"/>
              <w:rPr>
                <w:rFonts w:ascii="宋体" w:hAnsi="宋体"/>
                <w:color w:val="auto"/>
                <w:szCs w:val="21"/>
              </w:rPr>
            </w:pPr>
            <w:r>
              <w:rPr>
                <w:rFonts w:hint="eastAsia" w:ascii="宋体" w:hAnsi="宋体"/>
                <w:color w:val="auto"/>
                <w:szCs w:val="21"/>
              </w:rPr>
              <w:t>2.4.3</w:t>
            </w:r>
          </w:p>
        </w:tc>
        <w:tc>
          <w:tcPr>
            <w:tcW w:w="666" w:type="dxa"/>
            <w:gridSpan w:val="2"/>
            <w:tcBorders>
              <w:top w:val="single" w:color="auto" w:sz="4" w:space="0"/>
              <w:right w:val="single" w:color="auto" w:sz="4" w:space="0"/>
            </w:tcBorders>
            <w:vAlign w:val="center"/>
          </w:tcPr>
          <w:p w14:paraId="7943249C">
            <w:pPr>
              <w:jc w:val="center"/>
              <w:rPr>
                <w:rFonts w:ascii="宋体" w:hAnsi="宋体"/>
                <w:color w:val="auto"/>
                <w:szCs w:val="21"/>
              </w:rPr>
            </w:pPr>
            <w:r>
              <w:rPr>
                <w:rFonts w:hint="eastAsia"/>
                <w:color w:val="auto"/>
              </w:rPr>
              <w:t>勘察工作方案</w:t>
            </w:r>
          </w:p>
        </w:tc>
        <w:tc>
          <w:tcPr>
            <w:tcW w:w="2027" w:type="dxa"/>
            <w:gridSpan w:val="3"/>
            <w:tcBorders>
              <w:top w:val="single" w:color="auto" w:sz="4" w:space="0"/>
              <w:left w:val="single" w:color="auto" w:sz="4" w:space="0"/>
              <w:right w:val="single" w:color="auto" w:sz="4" w:space="0"/>
            </w:tcBorders>
            <w:vAlign w:val="center"/>
          </w:tcPr>
          <w:p w14:paraId="2D5E8021">
            <w:pPr>
              <w:jc w:val="center"/>
              <w:rPr>
                <w:rFonts w:ascii="宋体" w:hAnsi="宋体"/>
                <w:color w:val="auto"/>
                <w:szCs w:val="21"/>
              </w:rPr>
            </w:pPr>
            <w:r>
              <w:rPr>
                <w:rFonts w:hint="eastAsia" w:ascii="宋体" w:hAnsi="宋体"/>
                <w:color w:val="auto"/>
                <w:szCs w:val="21"/>
              </w:rPr>
              <w:t>满分</w:t>
            </w:r>
            <w:r>
              <w:rPr>
                <w:rFonts w:ascii="宋体" w:hAnsi="宋体"/>
                <w:color w:val="auto"/>
                <w:szCs w:val="21"/>
              </w:rPr>
              <w:t>1</w:t>
            </w:r>
            <w:r>
              <w:rPr>
                <w:rFonts w:hint="eastAsia" w:ascii="宋体" w:hAnsi="宋体"/>
                <w:color w:val="auto"/>
                <w:szCs w:val="21"/>
              </w:rPr>
              <w:t>0分</w:t>
            </w:r>
          </w:p>
        </w:tc>
        <w:tc>
          <w:tcPr>
            <w:tcW w:w="5850" w:type="dxa"/>
            <w:tcBorders>
              <w:top w:val="single" w:color="auto" w:sz="4" w:space="0"/>
              <w:left w:val="single" w:color="auto" w:sz="4" w:space="0"/>
              <w:right w:val="single" w:color="auto" w:sz="4" w:space="0"/>
            </w:tcBorders>
            <w:vAlign w:val="center"/>
          </w:tcPr>
          <w:p w14:paraId="43FECB46">
            <w:pPr>
              <w:rPr>
                <w:color w:val="auto"/>
                <w:lang w:val="zh-CN"/>
              </w:rPr>
            </w:pPr>
            <w:r>
              <w:rPr>
                <w:rFonts w:hint="eastAsia"/>
                <w:color w:val="auto"/>
              </w:rPr>
              <w:t>第一档（8</w:t>
            </w:r>
            <w:r>
              <w:rPr>
                <w:rFonts w:hint="eastAsia"/>
                <w:color w:val="auto"/>
                <w:lang w:eastAsia="zh-CN"/>
              </w:rPr>
              <w:t>—</w:t>
            </w:r>
            <w:r>
              <w:rPr>
                <w:rFonts w:hint="eastAsia"/>
                <w:color w:val="auto"/>
              </w:rPr>
              <w:t>10分）：</w:t>
            </w:r>
            <w:r>
              <w:rPr>
                <w:rFonts w:hint="eastAsia"/>
                <w:color w:val="auto"/>
                <w:lang w:val="zh-CN"/>
              </w:rPr>
              <w:t>勘察范围、内容、说明描述完整；勘察依据准确、勘察方案全面；勘察机构设置合理；勘察重难点分析准确且有应对措施。</w:t>
            </w:r>
            <w:r>
              <w:rPr>
                <w:rFonts w:hint="eastAsia"/>
                <w:color w:val="auto"/>
              </w:rPr>
              <w:t>勘察设计周期、进度计划安排合理，工序搭配逻辑关系和关键线路清晰；保证措施合理可行</w:t>
            </w:r>
            <w:r>
              <w:rPr>
                <w:rFonts w:hint="eastAsia"/>
                <w:color w:val="auto"/>
                <w:lang w:eastAsia="zh-CN"/>
              </w:rPr>
              <w:t>，具</w:t>
            </w:r>
            <w:r>
              <w:rPr>
                <w:rFonts w:hint="eastAsia"/>
                <w:color w:val="auto"/>
              </w:rPr>
              <w:t>有具体的违约责任承诺。质量标准制定科学合理、质量管理体系严密、保证措施明确、具体、可行、针对性强、各项措施易操作落实的。</w:t>
            </w:r>
          </w:p>
          <w:p w14:paraId="1D4C4984">
            <w:pPr>
              <w:rPr>
                <w:color w:val="auto"/>
              </w:rPr>
            </w:pPr>
            <w:r>
              <w:rPr>
                <w:rFonts w:hint="eastAsia"/>
                <w:color w:val="auto"/>
              </w:rPr>
              <w:t>第二档（4</w:t>
            </w:r>
            <w:r>
              <w:rPr>
                <w:rFonts w:hint="eastAsia"/>
                <w:color w:val="auto"/>
                <w:lang w:eastAsia="zh-CN"/>
              </w:rPr>
              <w:t>—</w:t>
            </w:r>
            <w:r>
              <w:rPr>
                <w:rFonts w:hint="eastAsia"/>
                <w:color w:val="auto"/>
              </w:rPr>
              <w:t>7分）：</w:t>
            </w:r>
            <w:r>
              <w:rPr>
                <w:rFonts w:hint="eastAsia"/>
                <w:color w:val="auto"/>
                <w:lang w:val="zh-CN"/>
              </w:rPr>
              <w:t>勘察范围、内容、说明描述齐全；勘察依据准确、勘察方案有欠缺；勘察机构设置合理；勘察重难点分析基本准确，应对措施一般</w:t>
            </w:r>
            <w:r>
              <w:rPr>
                <w:rFonts w:hint="eastAsia"/>
                <w:color w:val="auto"/>
              </w:rPr>
              <w:t>。勘察设计周期、进度计划安排合理，工序搭配逻辑关系和关键线路合理，但针对性一般；保证措施可行，有具体的违约责任承诺。质量标准制定基本合理、保证措施可行，有一定针对性的。</w:t>
            </w:r>
          </w:p>
          <w:p w14:paraId="3660E7E4">
            <w:pPr>
              <w:rPr>
                <w:color w:val="auto"/>
              </w:rPr>
            </w:pPr>
            <w:r>
              <w:rPr>
                <w:rFonts w:hint="eastAsia"/>
                <w:color w:val="auto"/>
              </w:rPr>
              <w:t>第三档（1</w:t>
            </w:r>
            <w:r>
              <w:rPr>
                <w:rFonts w:hint="eastAsia"/>
                <w:color w:val="auto"/>
                <w:lang w:eastAsia="zh-CN"/>
              </w:rPr>
              <w:t>—</w:t>
            </w:r>
            <w:r>
              <w:rPr>
                <w:rFonts w:hint="eastAsia"/>
                <w:color w:val="auto"/>
              </w:rPr>
              <w:t>3分）：</w:t>
            </w:r>
            <w:r>
              <w:rPr>
                <w:rFonts w:hint="eastAsia"/>
                <w:color w:val="auto"/>
                <w:lang w:val="zh-CN"/>
              </w:rPr>
              <w:t>勘察范围、内容、说明描述粗劣；勘察依据不准确、勘察方案有欠缺；勘察机构设置合理；没有勘察重难点分析和应对措施的</w:t>
            </w:r>
            <w:r>
              <w:rPr>
                <w:rFonts w:hint="eastAsia"/>
                <w:color w:val="auto"/>
              </w:rPr>
              <w:t>。勘察设计周期、进度计划安排基本合理，工序搭配逻辑关系和关键线路基本合理但缺乏针对性；保证措施基本可行，有违约责任承诺。质量管理及保证措施有所欠缺的。</w:t>
            </w:r>
          </w:p>
          <w:p w14:paraId="20577E51">
            <w:pPr>
              <w:rPr>
                <w:rFonts w:ascii="宋体" w:hAnsi="宋体"/>
                <w:color w:val="auto"/>
                <w:szCs w:val="21"/>
              </w:rPr>
            </w:pPr>
            <w:r>
              <w:rPr>
                <w:rFonts w:hint="eastAsia"/>
                <w:color w:val="auto"/>
              </w:rPr>
              <w:t>第四档</w:t>
            </w:r>
            <w:r>
              <w:rPr>
                <w:rFonts w:hint="eastAsia" w:ascii="宋体" w:hAnsi="宋体"/>
                <w:color w:val="auto"/>
                <w:szCs w:val="21"/>
                <w:lang w:val="zh-CN"/>
              </w:rPr>
              <w:t>（</w:t>
            </w:r>
            <w:r>
              <w:rPr>
                <w:rFonts w:hint="eastAsia" w:ascii="宋体" w:hAnsi="宋体"/>
                <w:color w:val="auto"/>
                <w:szCs w:val="21"/>
              </w:rPr>
              <w:t>0</w:t>
            </w:r>
            <w:r>
              <w:rPr>
                <w:rFonts w:hint="eastAsia" w:ascii="宋体" w:hAnsi="宋体"/>
                <w:color w:val="auto"/>
                <w:szCs w:val="21"/>
                <w:lang w:val="zh-CN"/>
              </w:rPr>
              <w:t>分）</w:t>
            </w:r>
            <w:r>
              <w:rPr>
                <w:rFonts w:hint="eastAsia"/>
                <w:color w:val="auto"/>
              </w:rPr>
              <w:t>：</w:t>
            </w:r>
            <w:r>
              <w:rPr>
                <w:rFonts w:hint="eastAsia"/>
                <w:color w:val="auto"/>
                <w:lang w:val="zh-CN"/>
              </w:rPr>
              <w:t>未提供</w:t>
            </w:r>
            <w:r>
              <w:rPr>
                <w:rFonts w:hint="eastAsia"/>
                <w:color w:val="auto"/>
              </w:rPr>
              <w:t>勘察</w:t>
            </w:r>
            <w:r>
              <w:rPr>
                <w:rFonts w:hint="eastAsia"/>
                <w:color w:val="auto"/>
                <w:lang w:val="zh-CN"/>
              </w:rPr>
              <w:t>方案的不得分。</w:t>
            </w:r>
          </w:p>
        </w:tc>
      </w:tr>
      <w:tr w14:paraId="13FAF9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159" w:type="dxa"/>
          <w:cantSplit/>
          <w:trHeight w:val="1399" w:hRule="atLeast"/>
          <w:jc w:val="center"/>
        </w:trPr>
        <w:tc>
          <w:tcPr>
            <w:tcW w:w="753" w:type="dxa"/>
            <w:tcBorders>
              <w:top w:val="single" w:color="auto" w:sz="4" w:space="0"/>
              <w:right w:val="single" w:color="auto" w:sz="4" w:space="0"/>
            </w:tcBorders>
            <w:vAlign w:val="center"/>
          </w:tcPr>
          <w:p w14:paraId="0C385162">
            <w:pPr>
              <w:jc w:val="center"/>
              <w:rPr>
                <w:rFonts w:ascii="宋体" w:hAnsi="宋体"/>
                <w:color w:val="auto"/>
                <w:szCs w:val="21"/>
              </w:rPr>
            </w:pPr>
            <w:r>
              <w:rPr>
                <w:rFonts w:ascii="宋体" w:hAnsi="宋体"/>
                <w:color w:val="auto"/>
                <w:szCs w:val="21"/>
              </w:rPr>
              <w:t>2.4.</w:t>
            </w:r>
            <w:r>
              <w:rPr>
                <w:rFonts w:hint="eastAsia" w:ascii="宋体" w:hAnsi="宋体"/>
                <w:color w:val="auto"/>
                <w:szCs w:val="21"/>
              </w:rPr>
              <w:t>4</w:t>
            </w:r>
          </w:p>
        </w:tc>
        <w:tc>
          <w:tcPr>
            <w:tcW w:w="666" w:type="dxa"/>
            <w:gridSpan w:val="2"/>
            <w:tcBorders>
              <w:top w:val="single" w:color="auto" w:sz="4" w:space="0"/>
              <w:right w:val="single" w:color="auto" w:sz="4" w:space="0"/>
            </w:tcBorders>
            <w:vAlign w:val="center"/>
          </w:tcPr>
          <w:p w14:paraId="7244ABB3">
            <w:pPr>
              <w:jc w:val="center"/>
              <w:rPr>
                <w:rFonts w:ascii="宋体" w:hAnsi="宋体"/>
                <w:color w:val="auto"/>
                <w:szCs w:val="21"/>
              </w:rPr>
            </w:pPr>
            <w:r>
              <w:rPr>
                <w:rFonts w:hint="eastAsia" w:ascii="宋体" w:hAnsi="宋体"/>
                <w:color w:val="auto"/>
                <w:szCs w:val="21"/>
              </w:rPr>
              <w:t>施工计划</w:t>
            </w:r>
          </w:p>
        </w:tc>
        <w:tc>
          <w:tcPr>
            <w:tcW w:w="2027" w:type="dxa"/>
            <w:gridSpan w:val="3"/>
            <w:tcBorders>
              <w:top w:val="single" w:color="auto" w:sz="4" w:space="0"/>
              <w:left w:val="single" w:color="auto" w:sz="4" w:space="0"/>
              <w:right w:val="single" w:color="auto" w:sz="4" w:space="0"/>
            </w:tcBorders>
            <w:vAlign w:val="center"/>
          </w:tcPr>
          <w:p w14:paraId="55037A9C">
            <w:pPr>
              <w:jc w:val="center"/>
              <w:rPr>
                <w:rFonts w:ascii="宋体" w:hAnsi="宋体"/>
                <w:color w:val="auto"/>
                <w:szCs w:val="21"/>
              </w:rPr>
            </w:pPr>
            <w:r>
              <w:rPr>
                <w:rFonts w:hint="eastAsia" w:ascii="宋体" w:hAnsi="宋体"/>
                <w:color w:val="auto"/>
                <w:szCs w:val="21"/>
              </w:rPr>
              <w:t>满分5分</w:t>
            </w:r>
          </w:p>
        </w:tc>
        <w:tc>
          <w:tcPr>
            <w:tcW w:w="5850" w:type="dxa"/>
            <w:tcBorders>
              <w:top w:val="single" w:color="auto" w:sz="4" w:space="0"/>
              <w:left w:val="single" w:color="auto" w:sz="4" w:space="0"/>
              <w:right w:val="single" w:color="auto" w:sz="4" w:space="0"/>
            </w:tcBorders>
            <w:vAlign w:val="center"/>
          </w:tcPr>
          <w:p w14:paraId="69CB2867">
            <w:pPr>
              <w:rPr>
                <w:color w:val="auto"/>
              </w:rPr>
            </w:pPr>
            <w:r>
              <w:rPr>
                <w:rFonts w:hint="eastAsia"/>
                <w:color w:val="auto"/>
              </w:rPr>
              <w:t>第一档（4</w:t>
            </w:r>
            <w:r>
              <w:rPr>
                <w:rFonts w:hint="eastAsia"/>
                <w:color w:val="auto"/>
                <w:lang w:eastAsia="zh-CN"/>
              </w:rPr>
              <w:t>—</w:t>
            </w:r>
            <w:r>
              <w:rPr>
                <w:rFonts w:hint="eastAsia"/>
                <w:color w:val="auto"/>
              </w:rPr>
              <w:t>5分）：施工计划内容科学性、合理性、针对性较强的；</w:t>
            </w:r>
          </w:p>
          <w:p w14:paraId="262D7980">
            <w:pPr>
              <w:rPr>
                <w:color w:val="auto"/>
              </w:rPr>
            </w:pPr>
            <w:r>
              <w:rPr>
                <w:rFonts w:hint="eastAsia"/>
                <w:color w:val="auto"/>
              </w:rPr>
              <w:t>第二档（1</w:t>
            </w:r>
            <w:r>
              <w:rPr>
                <w:rFonts w:hint="eastAsia"/>
                <w:color w:val="auto"/>
                <w:lang w:eastAsia="zh-CN"/>
              </w:rPr>
              <w:t>—</w:t>
            </w:r>
            <w:r>
              <w:rPr>
                <w:rFonts w:hint="eastAsia"/>
                <w:color w:val="auto"/>
              </w:rPr>
              <w:t>3分）：施工计划内容科学性、合理性、针对性一般的；</w:t>
            </w:r>
          </w:p>
          <w:p w14:paraId="095247FE">
            <w:pPr>
              <w:rPr>
                <w:rFonts w:ascii="宋体" w:hAnsi="宋体"/>
                <w:color w:val="auto"/>
                <w:szCs w:val="21"/>
              </w:rPr>
            </w:pPr>
            <w:r>
              <w:rPr>
                <w:rFonts w:hint="eastAsia"/>
                <w:color w:val="auto"/>
              </w:rPr>
              <w:t>第三档（0分）施工计划有明显错误或没有提供施工计划。</w:t>
            </w:r>
          </w:p>
        </w:tc>
      </w:tr>
      <w:tr w14:paraId="38C6C69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59" w:type="dxa"/>
          <w:cantSplit/>
          <w:trHeight w:val="1733" w:hRule="atLeast"/>
          <w:jc w:val="center"/>
        </w:trPr>
        <w:tc>
          <w:tcPr>
            <w:tcW w:w="753" w:type="dxa"/>
            <w:tcBorders>
              <w:top w:val="single" w:color="auto" w:sz="4" w:space="0"/>
              <w:left w:val="single" w:color="auto" w:sz="4" w:space="0"/>
              <w:bottom w:val="single" w:color="auto" w:sz="4" w:space="0"/>
              <w:right w:val="single" w:color="auto" w:sz="4" w:space="0"/>
            </w:tcBorders>
            <w:vAlign w:val="center"/>
          </w:tcPr>
          <w:p w14:paraId="27B3DEA5">
            <w:pPr>
              <w:jc w:val="center"/>
              <w:rPr>
                <w:rFonts w:ascii="宋体" w:hAnsi="宋体"/>
                <w:color w:val="auto"/>
                <w:szCs w:val="21"/>
              </w:rPr>
            </w:pPr>
            <w:r>
              <w:rPr>
                <w:rFonts w:ascii="宋体" w:hAnsi="宋体"/>
                <w:color w:val="auto"/>
                <w:szCs w:val="21"/>
              </w:rPr>
              <w:t>2.4.</w:t>
            </w:r>
            <w:r>
              <w:rPr>
                <w:rFonts w:hint="eastAsia" w:ascii="宋体" w:hAnsi="宋体"/>
                <w:color w:val="auto"/>
                <w:szCs w:val="21"/>
              </w:rPr>
              <w:t>5</w:t>
            </w:r>
          </w:p>
        </w:tc>
        <w:tc>
          <w:tcPr>
            <w:tcW w:w="666" w:type="dxa"/>
            <w:gridSpan w:val="2"/>
            <w:tcBorders>
              <w:top w:val="single" w:color="auto" w:sz="4" w:space="0"/>
              <w:left w:val="single" w:color="auto" w:sz="4" w:space="0"/>
              <w:bottom w:val="single" w:color="auto" w:sz="4" w:space="0"/>
              <w:right w:val="single" w:color="auto" w:sz="4" w:space="0"/>
            </w:tcBorders>
            <w:vAlign w:val="center"/>
          </w:tcPr>
          <w:p w14:paraId="5E737533">
            <w:pPr>
              <w:jc w:val="center"/>
              <w:rPr>
                <w:rFonts w:ascii="宋体" w:hAnsi="宋体"/>
                <w:color w:val="auto"/>
                <w:szCs w:val="21"/>
              </w:rPr>
            </w:pPr>
            <w:r>
              <w:rPr>
                <w:rFonts w:hint="eastAsia" w:ascii="宋体" w:hAnsi="宋体"/>
                <w:color w:val="auto"/>
                <w:kern w:val="0"/>
                <w:lang w:val="zh-TW" w:eastAsia="zh-TW"/>
              </w:rPr>
              <w:t>项目</w:t>
            </w:r>
            <w:r>
              <w:rPr>
                <w:rFonts w:hint="eastAsia" w:ascii="宋体" w:hAnsi="宋体"/>
                <w:color w:val="auto"/>
                <w:kern w:val="0"/>
              </w:rPr>
              <w:t>管理</w:t>
            </w:r>
            <w:r>
              <w:rPr>
                <w:rFonts w:hint="eastAsia" w:ascii="宋体" w:hAnsi="宋体"/>
                <w:color w:val="auto"/>
                <w:kern w:val="0"/>
                <w:lang w:val="zh-TW" w:eastAsia="zh-TW"/>
              </w:rPr>
              <w:t>组织机构及主要人员</w:t>
            </w:r>
          </w:p>
        </w:tc>
        <w:tc>
          <w:tcPr>
            <w:tcW w:w="2027" w:type="dxa"/>
            <w:gridSpan w:val="3"/>
            <w:tcBorders>
              <w:top w:val="single" w:color="auto" w:sz="4" w:space="0"/>
              <w:left w:val="single" w:color="auto" w:sz="4" w:space="0"/>
              <w:bottom w:val="single" w:color="auto" w:sz="4" w:space="0"/>
              <w:right w:val="single" w:color="auto" w:sz="4" w:space="0"/>
            </w:tcBorders>
            <w:vAlign w:val="center"/>
          </w:tcPr>
          <w:p w14:paraId="51CF20B3">
            <w:pPr>
              <w:jc w:val="center"/>
              <w:rPr>
                <w:rFonts w:ascii="宋体" w:hAnsi="宋体"/>
                <w:color w:val="auto"/>
                <w:szCs w:val="21"/>
              </w:rPr>
            </w:pPr>
            <w:r>
              <w:rPr>
                <w:rFonts w:hint="eastAsia" w:ascii="宋体" w:hAnsi="宋体"/>
                <w:color w:val="auto"/>
                <w:szCs w:val="21"/>
              </w:rPr>
              <w:t>满分5分</w:t>
            </w:r>
          </w:p>
        </w:tc>
        <w:tc>
          <w:tcPr>
            <w:tcW w:w="5850" w:type="dxa"/>
            <w:tcBorders>
              <w:top w:val="single" w:color="auto" w:sz="4" w:space="0"/>
              <w:left w:val="nil"/>
              <w:bottom w:val="single" w:color="auto" w:sz="4" w:space="0"/>
              <w:right w:val="single" w:color="auto" w:sz="4" w:space="0"/>
            </w:tcBorders>
            <w:vAlign w:val="center"/>
          </w:tcPr>
          <w:p w14:paraId="3E2A8381">
            <w:pPr>
              <w:rPr>
                <w:rFonts w:ascii="宋体" w:hAnsi="宋体"/>
                <w:color w:val="auto"/>
                <w:szCs w:val="21"/>
                <w:lang w:val="zh-TW" w:eastAsia="zh-TW"/>
              </w:rPr>
            </w:pPr>
            <w:r>
              <w:rPr>
                <w:rFonts w:hint="eastAsia" w:ascii="宋体" w:hAnsi="宋体"/>
                <w:color w:val="auto"/>
                <w:szCs w:val="21"/>
                <w:lang w:val="zh-TW" w:eastAsia="zh-TW"/>
              </w:rPr>
              <w:t>根据项目管理人员配置（</w:t>
            </w:r>
            <w:r>
              <w:rPr>
                <w:rFonts w:hint="eastAsia" w:ascii="宋体" w:hAnsi="宋体"/>
                <w:color w:val="auto"/>
                <w:szCs w:val="21"/>
                <w:lang w:val="en-US" w:eastAsia="zh-CN"/>
              </w:rPr>
              <w:t>勘察</w:t>
            </w:r>
            <w:r>
              <w:rPr>
                <w:rFonts w:hint="eastAsia" w:ascii="宋体" w:hAnsi="宋体"/>
                <w:color w:val="auto"/>
                <w:szCs w:val="21"/>
                <w:lang w:val="zh-TW" w:eastAsia="zh-TW"/>
              </w:rPr>
              <w:t>设计及施工人员）的专业齐全度、人员经验及素质、驻场承诺等方面进行分档打分。</w:t>
            </w:r>
          </w:p>
          <w:p w14:paraId="716AF862">
            <w:pPr>
              <w:rPr>
                <w:color w:val="auto"/>
              </w:rPr>
            </w:pPr>
            <w:r>
              <w:rPr>
                <w:rFonts w:hint="eastAsia" w:ascii="宋体" w:hAnsi="宋体"/>
                <w:color w:val="auto"/>
                <w:szCs w:val="21"/>
                <w:lang w:val="zh-TW" w:eastAsia="zh-TW"/>
              </w:rPr>
              <w:t>第一档次得</w:t>
            </w:r>
            <w:r>
              <w:rPr>
                <w:rFonts w:hint="eastAsia" w:ascii="宋体" w:hAnsi="宋体"/>
                <w:color w:val="auto"/>
                <w:szCs w:val="21"/>
              </w:rPr>
              <w:t>4</w:t>
            </w:r>
            <w:r>
              <w:rPr>
                <w:rFonts w:hint="eastAsia" w:ascii="宋体" w:hAnsi="宋体"/>
                <w:color w:val="auto"/>
                <w:szCs w:val="21"/>
                <w:lang w:eastAsia="zh-CN"/>
              </w:rPr>
              <w:t>—</w:t>
            </w:r>
            <w:r>
              <w:rPr>
                <w:rFonts w:hint="eastAsia" w:ascii="宋体" w:hAnsi="宋体"/>
                <w:color w:val="auto"/>
                <w:szCs w:val="21"/>
              </w:rPr>
              <w:t>5</w:t>
            </w:r>
            <w:r>
              <w:rPr>
                <w:rFonts w:hint="eastAsia" w:ascii="宋体" w:hAnsi="宋体"/>
                <w:color w:val="auto"/>
                <w:szCs w:val="21"/>
                <w:lang w:val="zh-TW" w:eastAsia="zh-TW"/>
              </w:rPr>
              <w:t>分</w:t>
            </w:r>
          </w:p>
          <w:p w14:paraId="1E6C0250">
            <w:pPr>
              <w:rPr>
                <w:rFonts w:ascii="宋体" w:hAnsi="宋体"/>
                <w:color w:val="auto"/>
                <w:szCs w:val="21"/>
                <w:lang w:val="zh-TW" w:eastAsia="zh-TW"/>
              </w:rPr>
            </w:pPr>
            <w:r>
              <w:rPr>
                <w:rFonts w:hint="eastAsia" w:ascii="宋体" w:hAnsi="宋体"/>
                <w:color w:val="auto"/>
                <w:szCs w:val="21"/>
                <w:lang w:val="zh-TW" w:eastAsia="zh-TW"/>
              </w:rPr>
              <w:t>第</w:t>
            </w:r>
            <w:r>
              <w:rPr>
                <w:rFonts w:hint="eastAsia" w:ascii="宋体" w:hAnsi="宋体"/>
                <w:color w:val="auto"/>
                <w:szCs w:val="21"/>
                <w:lang w:val="zh-TW"/>
              </w:rPr>
              <w:t>二</w:t>
            </w:r>
            <w:r>
              <w:rPr>
                <w:rFonts w:hint="eastAsia" w:ascii="宋体" w:hAnsi="宋体"/>
                <w:color w:val="auto"/>
                <w:szCs w:val="21"/>
                <w:lang w:val="zh-TW" w:eastAsia="zh-TW"/>
              </w:rPr>
              <w:t>档次</w:t>
            </w:r>
            <w:r>
              <w:rPr>
                <w:rFonts w:hint="eastAsia" w:ascii="宋体" w:hAnsi="宋体"/>
                <w:color w:val="auto"/>
                <w:szCs w:val="21"/>
              </w:rPr>
              <w:t>1</w:t>
            </w:r>
            <w:r>
              <w:rPr>
                <w:rFonts w:hint="eastAsia" w:ascii="宋体" w:hAnsi="宋体"/>
                <w:color w:val="auto"/>
                <w:szCs w:val="21"/>
                <w:lang w:eastAsia="zh-CN"/>
              </w:rPr>
              <w:t>—</w:t>
            </w:r>
            <w:r>
              <w:rPr>
                <w:rFonts w:hint="eastAsia" w:ascii="宋体" w:hAnsi="宋体"/>
                <w:color w:val="auto"/>
                <w:szCs w:val="21"/>
              </w:rPr>
              <w:t>3</w:t>
            </w:r>
            <w:r>
              <w:rPr>
                <w:rFonts w:hint="eastAsia" w:ascii="宋体" w:hAnsi="宋体"/>
                <w:color w:val="auto"/>
                <w:szCs w:val="21"/>
                <w:lang w:val="zh-TW" w:eastAsia="zh-TW"/>
              </w:rPr>
              <w:t>分</w:t>
            </w:r>
          </w:p>
          <w:p w14:paraId="68302E0D">
            <w:pPr>
              <w:rPr>
                <w:rFonts w:ascii="宋体" w:hAnsi="宋体"/>
                <w:color w:val="auto"/>
                <w:szCs w:val="21"/>
              </w:rPr>
            </w:pPr>
            <w:r>
              <w:rPr>
                <w:rFonts w:hint="eastAsia" w:ascii="宋体" w:hAnsi="宋体"/>
                <w:color w:val="auto"/>
                <w:szCs w:val="21"/>
                <w:lang w:val="zh-TW" w:eastAsia="zh-TW"/>
              </w:rPr>
              <w:t>明显不合理或缺乏人员配置的不得分。</w:t>
            </w:r>
          </w:p>
        </w:tc>
      </w:tr>
      <w:tr w14:paraId="1A297BD5">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59" w:type="dxa"/>
          <w:cantSplit/>
          <w:trHeight w:val="2049" w:hRule="atLeast"/>
          <w:jc w:val="center"/>
        </w:trPr>
        <w:tc>
          <w:tcPr>
            <w:tcW w:w="753" w:type="dxa"/>
            <w:tcBorders>
              <w:top w:val="single" w:color="auto" w:sz="4" w:space="0"/>
              <w:left w:val="single" w:color="auto" w:sz="4" w:space="0"/>
              <w:bottom w:val="single" w:color="auto" w:sz="4" w:space="0"/>
              <w:right w:val="single" w:color="auto" w:sz="4" w:space="0"/>
            </w:tcBorders>
            <w:vAlign w:val="center"/>
          </w:tcPr>
          <w:p w14:paraId="18E2D77A">
            <w:pPr>
              <w:jc w:val="center"/>
              <w:rPr>
                <w:rFonts w:ascii="宋体" w:hAnsi="宋体"/>
                <w:color w:val="auto"/>
                <w:szCs w:val="21"/>
              </w:rPr>
            </w:pPr>
            <w:r>
              <w:rPr>
                <w:rFonts w:hint="eastAsia" w:ascii="宋体" w:hAnsi="宋体"/>
                <w:color w:val="auto"/>
                <w:szCs w:val="21"/>
              </w:rPr>
              <w:t>2.</w:t>
            </w:r>
            <w:r>
              <w:rPr>
                <w:rFonts w:ascii="宋体" w:hAnsi="宋体"/>
                <w:color w:val="auto"/>
                <w:szCs w:val="21"/>
              </w:rPr>
              <w:t>4</w:t>
            </w:r>
            <w:r>
              <w:rPr>
                <w:rFonts w:hint="eastAsia" w:ascii="宋体" w:hAnsi="宋体"/>
                <w:color w:val="auto"/>
                <w:szCs w:val="21"/>
              </w:rPr>
              <w:t>.6</w:t>
            </w:r>
          </w:p>
        </w:tc>
        <w:tc>
          <w:tcPr>
            <w:tcW w:w="666" w:type="dxa"/>
            <w:gridSpan w:val="2"/>
            <w:tcBorders>
              <w:top w:val="single" w:color="auto" w:sz="4" w:space="0"/>
              <w:left w:val="single" w:color="auto" w:sz="4" w:space="0"/>
              <w:bottom w:val="single" w:color="auto" w:sz="4" w:space="0"/>
              <w:right w:val="single" w:color="auto" w:sz="4" w:space="0"/>
            </w:tcBorders>
            <w:vAlign w:val="center"/>
          </w:tcPr>
          <w:p w14:paraId="68D3592D">
            <w:pPr>
              <w:jc w:val="center"/>
              <w:rPr>
                <w:rFonts w:ascii="宋体" w:hAnsi="宋体"/>
                <w:color w:val="auto"/>
                <w:lang w:val="zh-TW"/>
              </w:rPr>
            </w:pPr>
            <w:r>
              <w:rPr>
                <w:rFonts w:hint="eastAsia" w:ascii="宋体" w:hAnsi="宋体"/>
                <w:color w:val="auto"/>
                <w:lang w:val="zh-TW"/>
              </w:rPr>
              <w:t>安全文明施工保证措施</w:t>
            </w:r>
          </w:p>
        </w:tc>
        <w:tc>
          <w:tcPr>
            <w:tcW w:w="2027" w:type="dxa"/>
            <w:gridSpan w:val="3"/>
            <w:tcBorders>
              <w:top w:val="single" w:color="auto" w:sz="4" w:space="0"/>
              <w:left w:val="single" w:color="auto" w:sz="4" w:space="0"/>
              <w:bottom w:val="single" w:color="auto" w:sz="4" w:space="0"/>
              <w:right w:val="single" w:color="auto" w:sz="4" w:space="0"/>
            </w:tcBorders>
            <w:vAlign w:val="center"/>
          </w:tcPr>
          <w:p w14:paraId="62B0EA11">
            <w:pPr>
              <w:jc w:val="center"/>
              <w:rPr>
                <w:rFonts w:ascii="宋体" w:hAnsi="宋体"/>
                <w:color w:val="auto"/>
                <w:szCs w:val="21"/>
              </w:rPr>
            </w:pPr>
            <w:r>
              <w:rPr>
                <w:rFonts w:hint="eastAsia" w:ascii="宋体" w:hAnsi="宋体"/>
                <w:color w:val="auto"/>
                <w:szCs w:val="21"/>
              </w:rPr>
              <w:t>满分5分</w:t>
            </w:r>
          </w:p>
        </w:tc>
        <w:tc>
          <w:tcPr>
            <w:tcW w:w="5850" w:type="dxa"/>
            <w:tcBorders>
              <w:top w:val="single" w:color="auto" w:sz="4" w:space="0"/>
              <w:left w:val="nil"/>
              <w:bottom w:val="single" w:color="auto" w:sz="4" w:space="0"/>
              <w:right w:val="single" w:color="auto" w:sz="4" w:space="0"/>
            </w:tcBorders>
            <w:vAlign w:val="center"/>
          </w:tcPr>
          <w:p w14:paraId="67F26FB1">
            <w:pPr>
              <w:rPr>
                <w:rFonts w:ascii="宋体" w:hAnsi="宋体"/>
                <w:color w:val="auto"/>
                <w:szCs w:val="21"/>
                <w:lang w:val="zh-TW" w:eastAsia="zh-TW"/>
              </w:rPr>
            </w:pPr>
            <w:r>
              <w:rPr>
                <w:rFonts w:hint="eastAsia" w:ascii="宋体" w:hAnsi="宋体"/>
                <w:color w:val="auto"/>
                <w:szCs w:val="21"/>
                <w:lang w:val="zh-TW" w:eastAsia="zh-TW"/>
              </w:rPr>
              <w:t>第一档（4</w:t>
            </w:r>
            <w:r>
              <w:rPr>
                <w:rFonts w:hint="eastAsia" w:ascii="宋体" w:hAnsi="宋体"/>
                <w:color w:val="auto"/>
                <w:szCs w:val="21"/>
                <w:lang w:val="zh-TW" w:eastAsia="zh-CN"/>
              </w:rPr>
              <w:t>—</w:t>
            </w:r>
            <w:r>
              <w:rPr>
                <w:rFonts w:hint="eastAsia" w:ascii="宋体" w:hAnsi="宋体"/>
                <w:color w:val="auto"/>
                <w:szCs w:val="21"/>
                <w:lang w:val="zh-TW" w:eastAsia="zh-TW"/>
              </w:rPr>
              <w:t>5分）：投标人持有安全生产许可证书且在有效期内；投标书中有具体、完整、可行的安全文明施工实施保证措施，并符合国家、省、州（市）的有关规定的；</w:t>
            </w:r>
          </w:p>
          <w:p w14:paraId="7DBCCEC2">
            <w:pPr>
              <w:rPr>
                <w:rFonts w:ascii="宋体" w:hAnsi="宋体"/>
                <w:color w:val="auto"/>
                <w:szCs w:val="21"/>
                <w:lang w:val="zh-TW" w:eastAsia="zh-TW"/>
              </w:rPr>
            </w:pPr>
            <w:r>
              <w:rPr>
                <w:rFonts w:hint="eastAsia" w:ascii="宋体" w:hAnsi="宋体"/>
                <w:color w:val="auto"/>
                <w:szCs w:val="21"/>
                <w:lang w:val="zh-TW" w:eastAsia="zh-TW"/>
              </w:rPr>
              <w:t>第二档（1</w:t>
            </w:r>
            <w:r>
              <w:rPr>
                <w:rFonts w:hint="eastAsia" w:ascii="宋体" w:hAnsi="宋体"/>
                <w:color w:val="auto"/>
                <w:szCs w:val="21"/>
                <w:lang w:val="zh-TW" w:eastAsia="zh-CN"/>
              </w:rPr>
              <w:t>—</w:t>
            </w:r>
            <w:r>
              <w:rPr>
                <w:rFonts w:hint="eastAsia" w:ascii="宋体" w:hAnsi="宋体"/>
                <w:color w:val="auto"/>
                <w:szCs w:val="21"/>
                <w:lang w:val="zh-TW" w:eastAsia="zh-TW"/>
              </w:rPr>
              <w:t>3分）：投标人持有安全生产许可证书且在有效期内；投标书中有安全文明施工实施保证措施，并符合国家、省、州（市）的有关规定的；</w:t>
            </w:r>
          </w:p>
          <w:p w14:paraId="1EC52EA3">
            <w:pPr>
              <w:rPr>
                <w:rFonts w:ascii="宋体" w:hAnsi="宋体"/>
                <w:color w:val="auto"/>
                <w:szCs w:val="21"/>
                <w:lang w:val="zh-TW" w:eastAsia="zh-TW"/>
              </w:rPr>
            </w:pPr>
            <w:r>
              <w:rPr>
                <w:rFonts w:hint="eastAsia" w:ascii="宋体" w:hAnsi="宋体"/>
                <w:color w:val="auto"/>
                <w:szCs w:val="21"/>
                <w:lang w:val="zh-TW" w:eastAsia="zh-TW"/>
              </w:rPr>
              <w:t>第三档（0分）：无安全文明施工保证措施的。</w:t>
            </w:r>
          </w:p>
        </w:tc>
      </w:tr>
      <w:tr w14:paraId="41B58F6F">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59" w:type="dxa"/>
          <w:cantSplit/>
          <w:trHeight w:val="1856" w:hRule="atLeast"/>
          <w:jc w:val="center"/>
        </w:trPr>
        <w:tc>
          <w:tcPr>
            <w:tcW w:w="753" w:type="dxa"/>
            <w:tcBorders>
              <w:top w:val="single" w:color="auto" w:sz="4" w:space="0"/>
              <w:left w:val="single" w:color="auto" w:sz="4" w:space="0"/>
              <w:bottom w:val="single" w:color="auto" w:sz="4" w:space="0"/>
              <w:right w:val="single" w:color="auto" w:sz="4" w:space="0"/>
            </w:tcBorders>
            <w:vAlign w:val="center"/>
          </w:tcPr>
          <w:p w14:paraId="3E43FB33">
            <w:pPr>
              <w:jc w:val="center"/>
              <w:rPr>
                <w:rFonts w:ascii="宋体" w:hAnsi="宋体"/>
                <w:color w:val="auto"/>
                <w:szCs w:val="21"/>
              </w:rPr>
            </w:pPr>
            <w:r>
              <w:rPr>
                <w:rFonts w:hint="eastAsia" w:ascii="宋体" w:hAnsi="宋体"/>
                <w:color w:val="auto"/>
                <w:szCs w:val="21"/>
              </w:rPr>
              <w:t>2.</w:t>
            </w:r>
            <w:r>
              <w:rPr>
                <w:rFonts w:ascii="宋体" w:hAnsi="宋体"/>
                <w:color w:val="auto"/>
                <w:szCs w:val="21"/>
              </w:rPr>
              <w:t>4</w:t>
            </w:r>
            <w:r>
              <w:rPr>
                <w:rFonts w:hint="eastAsia" w:ascii="宋体" w:hAnsi="宋体"/>
                <w:color w:val="auto"/>
                <w:szCs w:val="21"/>
              </w:rPr>
              <w:t>.7</w:t>
            </w:r>
          </w:p>
        </w:tc>
        <w:tc>
          <w:tcPr>
            <w:tcW w:w="666" w:type="dxa"/>
            <w:gridSpan w:val="2"/>
            <w:tcBorders>
              <w:top w:val="single" w:color="auto" w:sz="4" w:space="0"/>
              <w:left w:val="single" w:color="auto" w:sz="4" w:space="0"/>
              <w:bottom w:val="single" w:color="auto" w:sz="4" w:space="0"/>
              <w:right w:val="single" w:color="auto" w:sz="4" w:space="0"/>
            </w:tcBorders>
            <w:vAlign w:val="center"/>
          </w:tcPr>
          <w:p w14:paraId="45C9834C">
            <w:pPr>
              <w:jc w:val="center"/>
              <w:rPr>
                <w:rFonts w:ascii="宋体" w:hAnsi="宋体"/>
                <w:color w:val="auto"/>
                <w:lang w:val="zh-TW" w:eastAsia="zh-TW"/>
              </w:rPr>
            </w:pPr>
            <w:r>
              <w:rPr>
                <w:rFonts w:ascii="宋体" w:hAnsi="宋体"/>
                <w:color w:val="auto"/>
                <w:lang w:val="zh-TW" w:eastAsia="zh-TW"/>
              </w:rPr>
              <w:t>后续服务承诺及保证措施</w:t>
            </w:r>
          </w:p>
        </w:tc>
        <w:tc>
          <w:tcPr>
            <w:tcW w:w="2027" w:type="dxa"/>
            <w:gridSpan w:val="3"/>
            <w:tcBorders>
              <w:top w:val="single" w:color="auto" w:sz="4" w:space="0"/>
              <w:left w:val="single" w:color="auto" w:sz="4" w:space="0"/>
              <w:bottom w:val="single" w:color="auto" w:sz="4" w:space="0"/>
              <w:right w:val="single" w:color="auto" w:sz="4" w:space="0"/>
            </w:tcBorders>
            <w:vAlign w:val="center"/>
          </w:tcPr>
          <w:p w14:paraId="300D9CA3">
            <w:pPr>
              <w:jc w:val="center"/>
              <w:rPr>
                <w:rFonts w:ascii="宋体" w:hAnsi="宋体"/>
                <w:color w:val="auto"/>
                <w:szCs w:val="21"/>
              </w:rPr>
            </w:pPr>
            <w:r>
              <w:rPr>
                <w:rFonts w:hint="eastAsia" w:ascii="宋体" w:hAnsi="宋体"/>
                <w:color w:val="auto"/>
                <w:szCs w:val="21"/>
              </w:rPr>
              <w:t>满分5分</w:t>
            </w:r>
          </w:p>
        </w:tc>
        <w:tc>
          <w:tcPr>
            <w:tcW w:w="5850" w:type="dxa"/>
            <w:tcBorders>
              <w:top w:val="single" w:color="auto" w:sz="4" w:space="0"/>
              <w:left w:val="nil"/>
              <w:bottom w:val="single" w:color="auto" w:sz="4" w:space="0"/>
              <w:right w:val="single" w:color="auto" w:sz="4" w:space="0"/>
            </w:tcBorders>
            <w:vAlign w:val="center"/>
          </w:tcPr>
          <w:p w14:paraId="09E0C7C8">
            <w:pPr>
              <w:rPr>
                <w:rFonts w:ascii="宋体" w:hAnsi="宋体"/>
                <w:color w:val="auto"/>
                <w:szCs w:val="21"/>
                <w:lang w:val="zh-TW" w:eastAsia="zh-TW"/>
              </w:rPr>
            </w:pPr>
            <w:r>
              <w:rPr>
                <w:rFonts w:hint="eastAsia" w:ascii="宋体" w:hAnsi="宋体"/>
                <w:color w:val="auto"/>
                <w:szCs w:val="21"/>
                <w:lang w:val="zh-TW" w:eastAsia="zh-TW"/>
              </w:rPr>
              <w:t>第一档（</w:t>
            </w:r>
            <w:r>
              <w:rPr>
                <w:rFonts w:hint="eastAsia" w:ascii="宋体" w:hAnsi="宋体"/>
                <w:color w:val="auto"/>
                <w:szCs w:val="21"/>
              </w:rPr>
              <w:t>4</w:t>
            </w:r>
            <w:r>
              <w:rPr>
                <w:rFonts w:hint="eastAsia" w:ascii="宋体" w:hAnsi="宋体"/>
                <w:color w:val="auto"/>
                <w:szCs w:val="21"/>
                <w:lang w:eastAsia="zh-CN"/>
              </w:rPr>
              <w:t>—</w:t>
            </w:r>
            <w:r>
              <w:rPr>
                <w:rFonts w:hint="eastAsia" w:ascii="宋体" w:hAnsi="宋体"/>
                <w:color w:val="auto"/>
                <w:szCs w:val="21"/>
              </w:rPr>
              <w:t>5</w:t>
            </w:r>
            <w:r>
              <w:rPr>
                <w:rFonts w:hint="eastAsia" w:ascii="宋体" w:hAnsi="宋体"/>
                <w:color w:val="auto"/>
                <w:szCs w:val="21"/>
                <w:lang w:val="zh-TW" w:eastAsia="zh-TW"/>
              </w:rPr>
              <w:t>分）：投标人的后续服务承诺及保证措施针对性较强，所安排的人员合理、可行的；</w:t>
            </w:r>
          </w:p>
          <w:p w14:paraId="5EB57DFE">
            <w:pPr>
              <w:rPr>
                <w:rFonts w:ascii="宋体" w:hAnsi="宋体"/>
                <w:color w:val="auto"/>
                <w:szCs w:val="21"/>
                <w:lang w:val="zh-TW" w:eastAsia="zh-TW"/>
              </w:rPr>
            </w:pPr>
            <w:r>
              <w:rPr>
                <w:rFonts w:hint="eastAsia" w:ascii="宋体" w:hAnsi="宋体"/>
                <w:color w:val="auto"/>
                <w:szCs w:val="21"/>
                <w:lang w:val="zh-TW" w:eastAsia="zh-TW"/>
              </w:rPr>
              <w:t>第二档（</w:t>
            </w:r>
            <w:r>
              <w:rPr>
                <w:rFonts w:hint="eastAsia" w:ascii="宋体" w:hAnsi="宋体"/>
                <w:color w:val="auto"/>
                <w:szCs w:val="21"/>
              </w:rPr>
              <w:t>1</w:t>
            </w:r>
            <w:r>
              <w:rPr>
                <w:rFonts w:hint="eastAsia" w:ascii="宋体" w:hAnsi="宋体"/>
                <w:color w:val="auto"/>
                <w:szCs w:val="21"/>
                <w:lang w:eastAsia="zh-CN"/>
              </w:rPr>
              <w:t>—</w:t>
            </w:r>
            <w:r>
              <w:rPr>
                <w:rFonts w:hint="eastAsia" w:ascii="宋体" w:hAnsi="宋体"/>
                <w:color w:val="auto"/>
                <w:szCs w:val="21"/>
              </w:rPr>
              <w:t>3</w:t>
            </w:r>
            <w:r>
              <w:rPr>
                <w:rFonts w:hint="eastAsia" w:ascii="宋体" w:hAnsi="宋体"/>
                <w:color w:val="auto"/>
                <w:szCs w:val="21"/>
                <w:lang w:val="zh-TW" w:eastAsia="zh-TW"/>
              </w:rPr>
              <w:t>分）：投标人的后续服务承诺及保证措施针对性一般，所安排的人员基本合理、可行的；</w:t>
            </w:r>
          </w:p>
          <w:p w14:paraId="4B092986">
            <w:pPr>
              <w:rPr>
                <w:rFonts w:ascii="宋体" w:hAnsi="宋体"/>
                <w:color w:val="auto"/>
                <w:szCs w:val="21"/>
                <w:lang w:val="zh-TW" w:eastAsia="zh-TW"/>
              </w:rPr>
            </w:pPr>
            <w:r>
              <w:rPr>
                <w:rFonts w:hint="eastAsia" w:ascii="宋体" w:hAnsi="宋体"/>
                <w:color w:val="auto"/>
                <w:szCs w:val="21"/>
                <w:lang w:val="zh-TW" w:eastAsia="zh-TW"/>
              </w:rPr>
              <w:t>第</w:t>
            </w:r>
            <w:r>
              <w:rPr>
                <w:rFonts w:hint="eastAsia" w:ascii="宋体" w:hAnsi="宋体"/>
                <w:color w:val="auto"/>
                <w:szCs w:val="21"/>
              </w:rPr>
              <w:t>三</w:t>
            </w:r>
            <w:r>
              <w:rPr>
                <w:rFonts w:hint="eastAsia" w:ascii="宋体" w:hAnsi="宋体"/>
                <w:color w:val="auto"/>
                <w:szCs w:val="21"/>
                <w:lang w:val="zh-TW" w:eastAsia="zh-TW"/>
              </w:rPr>
              <w:t>档（0分）：无后续服务承诺及保证措施的。</w:t>
            </w:r>
          </w:p>
        </w:tc>
      </w:tr>
      <w:tr w14:paraId="3D2081B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After w:val="1"/>
          <w:wAfter w:w="159" w:type="dxa"/>
          <w:cantSplit/>
          <w:trHeight w:val="1856" w:hRule="atLeast"/>
          <w:jc w:val="center"/>
        </w:trPr>
        <w:tc>
          <w:tcPr>
            <w:tcW w:w="753" w:type="dxa"/>
            <w:tcBorders>
              <w:top w:val="single" w:color="auto" w:sz="4" w:space="0"/>
              <w:left w:val="single" w:color="auto" w:sz="4" w:space="0"/>
              <w:bottom w:val="single" w:color="auto" w:sz="4" w:space="0"/>
              <w:right w:val="single" w:color="auto" w:sz="4" w:space="0"/>
            </w:tcBorders>
            <w:vAlign w:val="center"/>
          </w:tcPr>
          <w:p w14:paraId="67EC2087">
            <w:pPr>
              <w:jc w:val="center"/>
              <w:rPr>
                <w:rFonts w:ascii="宋体" w:hAnsi="宋体"/>
                <w:color w:val="auto"/>
                <w:szCs w:val="21"/>
              </w:rPr>
            </w:pPr>
            <w:r>
              <w:rPr>
                <w:rFonts w:ascii="宋体" w:hAnsi="宋体"/>
                <w:color w:val="auto"/>
                <w:szCs w:val="21"/>
              </w:rPr>
              <w:t>2.4.</w:t>
            </w:r>
            <w:r>
              <w:rPr>
                <w:rFonts w:hint="eastAsia" w:ascii="宋体" w:hAnsi="宋体"/>
                <w:color w:val="auto"/>
                <w:szCs w:val="21"/>
              </w:rPr>
              <w:t>8</w:t>
            </w:r>
          </w:p>
        </w:tc>
        <w:tc>
          <w:tcPr>
            <w:tcW w:w="666" w:type="dxa"/>
            <w:gridSpan w:val="2"/>
            <w:tcBorders>
              <w:top w:val="single" w:color="auto" w:sz="4" w:space="0"/>
              <w:left w:val="single" w:color="auto" w:sz="4" w:space="0"/>
              <w:bottom w:val="single" w:color="auto" w:sz="4" w:space="0"/>
              <w:right w:val="single" w:color="auto" w:sz="4" w:space="0"/>
            </w:tcBorders>
            <w:vAlign w:val="center"/>
          </w:tcPr>
          <w:p w14:paraId="2FC74F5D">
            <w:pPr>
              <w:jc w:val="center"/>
              <w:rPr>
                <w:rFonts w:ascii="宋体" w:hAnsi="宋体"/>
                <w:color w:val="auto"/>
                <w:lang w:val="zh-TW" w:eastAsia="zh-TW"/>
              </w:rPr>
            </w:pPr>
            <w:r>
              <w:rPr>
                <w:rFonts w:hint="eastAsia" w:ascii="宋体" w:hAnsi="宋体"/>
                <w:color w:val="auto"/>
                <w:szCs w:val="21"/>
              </w:rPr>
              <w:t>质量保证措施</w:t>
            </w:r>
          </w:p>
        </w:tc>
        <w:tc>
          <w:tcPr>
            <w:tcW w:w="2027" w:type="dxa"/>
            <w:gridSpan w:val="3"/>
            <w:tcBorders>
              <w:top w:val="single" w:color="auto" w:sz="4" w:space="0"/>
              <w:left w:val="single" w:color="auto" w:sz="4" w:space="0"/>
              <w:bottom w:val="single" w:color="auto" w:sz="4" w:space="0"/>
              <w:right w:val="single" w:color="auto" w:sz="4" w:space="0"/>
            </w:tcBorders>
            <w:vAlign w:val="center"/>
          </w:tcPr>
          <w:p w14:paraId="4EF01E3E">
            <w:pPr>
              <w:jc w:val="center"/>
              <w:rPr>
                <w:rFonts w:ascii="宋体" w:hAnsi="宋体"/>
                <w:color w:val="auto"/>
                <w:szCs w:val="21"/>
              </w:rPr>
            </w:pPr>
            <w:r>
              <w:rPr>
                <w:rFonts w:hint="eastAsia" w:ascii="宋体" w:hAnsi="宋体"/>
                <w:color w:val="auto"/>
                <w:szCs w:val="21"/>
              </w:rPr>
              <w:t>满分5分</w:t>
            </w:r>
          </w:p>
        </w:tc>
        <w:tc>
          <w:tcPr>
            <w:tcW w:w="5850" w:type="dxa"/>
            <w:tcBorders>
              <w:top w:val="single" w:color="auto" w:sz="4" w:space="0"/>
              <w:left w:val="nil"/>
              <w:bottom w:val="single" w:color="auto" w:sz="4" w:space="0"/>
              <w:right w:val="single" w:color="auto" w:sz="4" w:space="0"/>
            </w:tcBorders>
            <w:vAlign w:val="center"/>
          </w:tcPr>
          <w:p w14:paraId="13441C12">
            <w:pPr>
              <w:rPr>
                <w:rFonts w:ascii="宋体" w:hAnsi="宋体"/>
                <w:color w:val="auto"/>
                <w:szCs w:val="21"/>
              </w:rPr>
            </w:pPr>
            <w:r>
              <w:rPr>
                <w:rFonts w:hint="eastAsia" w:ascii="宋体" w:hAnsi="宋体"/>
                <w:color w:val="auto"/>
                <w:szCs w:val="21"/>
              </w:rPr>
              <w:t>第一档（4</w:t>
            </w:r>
            <w:r>
              <w:rPr>
                <w:rFonts w:hint="eastAsia" w:ascii="宋体" w:hAnsi="宋体"/>
                <w:color w:val="auto"/>
                <w:szCs w:val="21"/>
                <w:lang w:eastAsia="zh-CN"/>
              </w:rPr>
              <w:t>—</w:t>
            </w:r>
            <w:r>
              <w:rPr>
                <w:rFonts w:hint="eastAsia" w:ascii="宋体" w:hAnsi="宋体"/>
                <w:color w:val="auto"/>
                <w:szCs w:val="21"/>
              </w:rPr>
              <w:t>5分）：针对项目实际提出先进、可行、具体的保证措施，满足招标文件的质量要求，针对性较强。</w:t>
            </w:r>
          </w:p>
          <w:p w14:paraId="52A4DE41">
            <w:pPr>
              <w:rPr>
                <w:rFonts w:ascii="宋体" w:hAnsi="宋体"/>
                <w:color w:val="auto"/>
                <w:szCs w:val="21"/>
              </w:rPr>
            </w:pPr>
            <w:r>
              <w:rPr>
                <w:rFonts w:hint="eastAsia" w:ascii="宋体" w:hAnsi="宋体"/>
                <w:color w:val="auto"/>
                <w:szCs w:val="21"/>
              </w:rPr>
              <w:t>第二档（1</w:t>
            </w:r>
            <w:r>
              <w:rPr>
                <w:rFonts w:hint="eastAsia" w:ascii="宋体" w:hAnsi="宋体"/>
                <w:color w:val="auto"/>
                <w:szCs w:val="21"/>
                <w:lang w:eastAsia="zh-CN"/>
              </w:rPr>
              <w:t>—</w:t>
            </w:r>
            <w:r>
              <w:rPr>
                <w:rFonts w:hint="eastAsia" w:ascii="宋体" w:hAnsi="宋体"/>
                <w:color w:val="auto"/>
                <w:szCs w:val="21"/>
              </w:rPr>
              <w:t>3分）：针对项目实际提出先进、可行、具体的保证措施，满足招标文件的质量要求，针对性一般。</w:t>
            </w:r>
          </w:p>
          <w:p w14:paraId="666D7199">
            <w:pPr>
              <w:rPr>
                <w:rFonts w:ascii="宋体" w:hAnsi="宋体"/>
                <w:color w:val="auto"/>
                <w:szCs w:val="21"/>
                <w:lang w:val="zh-TW" w:eastAsia="zh-TW"/>
              </w:rPr>
            </w:pPr>
            <w:r>
              <w:rPr>
                <w:rFonts w:hint="eastAsia" w:ascii="宋体" w:hAnsi="宋体"/>
                <w:color w:val="auto"/>
                <w:szCs w:val="21"/>
              </w:rPr>
              <w:t>第三档（0分）：措施不可行，没有质量违约责任承诺。</w:t>
            </w:r>
          </w:p>
        </w:tc>
      </w:tr>
    </w:tbl>
    <w:p w14:paraId="67CAAAD8">
      <w:pPr>
        <w:ind w:firstLine="3213" w:firstLineChars="800"/>
        <w:rPr>
          <w:rFonts w:ascii="宋体" w:hAnsi="宋体"/>
          <w:b/>
          <w:color w:val="auto"/>
          <w:sz w:val="40"/>
          <w:szCs w:val="21"/>
        </w:rPr>
      </w:pPr>
    </w:p>
    <w:p w14:paraId="2FE8DFA4">
      <w:pPr>
        <w:pageBreakBefore/>
        <w:ind w:firstLine="422" w:firstLineChars="200"/>
        <w:jc w:val="center"/>
        <w:rPr>
          <w:rFonts w:ascii="宋体" w:hAnsi="宋体"/>
          <w:b/>
          <w:color w:val="auto"/>
          <w:kern w:val="0"/>
          <w:szCs w:val="21"/>
        </w:rPr>
      </w:pPr>
      <w:bookmarkStart w:id="86" w:name="_Toc304808711"/>
      <w:bookmarkStart w:id="87" w:name="_Toc304811308"/>
      <w:bookmarkStart w:id="88" w:name="_Toc310437981"/>
      <w:bookmarkStart w:id="89" w:name="_Toc304994427"/>
      <w:bookmarkStart w:id="90" w:name="_Toc302769232"/>
      <w:bookmarkStart w:id="91" w:name="_Toc310451991"/>
      <w:bookmarkStart w:id="92" w:name="_Toc310451808"/>
      <w:r>
        <w:rPr>
          <w:rFonts w:hint="eastAsia" w:ascii="宋体" w:hAnsi="宋体"/>
          <w:b/>
          <w:color w:val="auto"/>
          <w:szCs w:val="21"/>
        </w:rPr>
        <w:t>评标办法正文部分</w:t>
      </w:r>
      <w:bookmarkEnd w:id="86"/>
      <w:bookmarkEnd w:id="87"/>
      <w:bookmarkEnd w:id="88"/>
      <w:bookmarkEnd w:id="89"/>
      <w:bookmarkEnd w:id="90"/>
      <w:bookmarkEnd w:id="91"/>
      <w:bookmarkEnd w:id="92"/>
      <w:bookmarkStart w:id="93" w:name="_Toc186513209"/>
    </w:p>
    <w:p w14:paraId="7286E50E">
      <w:pPr>
        <w:ind w:firstLine="422" w:firstLineChars="200"/>
        <w:rPr>
          <w:rFonts w:ascii="宋体" w:hAnsi="宋体"/>
          <w:b/>
          <w:color w:val="auto"/>
          <w:szCs w:val="21"/>
        </w:rPr>
      </w:pPr>
      <w:bookmarkStart w:id="94" w:name="_Toc310451992"/>
      <w:bookmarkStart w:id="95" w:name="_Toc310437982"/>
      <w:bookmarkStart w:id="96" w:name="_Toc304994428"/>
      <w:bookmarkStart w:id="97" w:name="_Toc310451809"/>
      <w:bookmarkStart w:id="98" w:name="_Toc302769233"/>
      <w:bookmarkStart w:id="99" w:name="_Toc304811309"/>
      <w:bookmarkStart w:id="100" w:name="_Toc304808712"/>
      <w:r>
        <w:rPr>
          <w:rFonts w:hint="eastAsia" w:ascii="宋体" w:hAnsi="宋体"/>
          <w:b/>
          <w:color w:val="auto"/>
          <w:szCs w:val="21"/>
        </w:rPr>
        <w:t>1.评标方法</w:t>
      </w:r>
      <w:bookmarkEnd w:id="93"/>
      <w:bookmarkEnd w:id="94"/>
      <w:bookmarkEnd w:id="95"/>
      <w:bookmarkEnd w:id="96"/>
      <w:bookmarkEnd w:id="97"/>
      <w:bookmarkEnd w:id="98"/>
      <w:bookmarkEnd w:id="99"/>
      <w:bookmarkEnd w:id="100"/>
    </w:p>
    <w:p w14:paraId="45EBCDE7">
      <w:pPr>
        <w:ind w:firstLine="420" w:firstLineChars="200"/>
        <w:rPr>
          <w:rFonts w:ascii="宋体" w:hAnsi="宋体"/>
          <w:color w:val="auto"/>
          <w:szCs w:val="21"/>
        </w:rPr>
      </w:pPr>
      <w:bookmarkStart w:id="101" w:name="_Toc310451995"/>
      <w:bookmarkStart w:id="102" w:name="_Toc310437985"/>
      <w:bookmarkStart w:id="103" w:name="_Toc304811312"/>
      <w:bookmarkStart w:id="104" w:name="_Toc304994431"/>
      <w:bookmarkStart w:id="105" w:name="_Toc302769236"/>
      <w:bookmarkStart w:id="106" w:name="_Toc304808715"/>
      <w:bookmarkStart w:id="107" w:name="_Toc310451812"/>
      <w:bookmarkStart w:id="108" w:name="_Toc186513210"/>
      <w:r>
        <w:rPr>
          <w:rFonts w:hint="eastAsia" w:ascii="宋体" w:hAnsi="宋体"/>
          <w:color w:val="auto"/>
          <w:szCs w:val="21"/>
        </w:rPr>
        <w:t>本次评标采用综合评估法。评标委员会对满足招标文件实质性要求的投标文件，按照本章第2.2款规定的评分标准进行打分，并按得分由高到低顺序推荐中标候选人，或根据招标人授权直接确定中标人，但投标报价低于其成本的除外。</w:t>
      </w:r>
      <w:r>
        <w:rPr>
          <w:rFonts w:hint="eastAsia" w:ascii="宋体" w:hAnsi="宋体"/>
          <w:b/>
          <w:bCs/>
          <w:color w:val="auto"/>
          <w:szCs w:val="21"/>
        </w:rPr>
        <w:t>综合评分相等时，以投标报价低的优先；投标报价也相等的，以</w:t>
      </w:r>
      <w:r>
        <w:rPr>
          <w:rFonts w:hint="eastAsia" w:ascii="宋体" w:hAnsi="宋体" w:cs="宋体"/>
          <w:b/>
          <w:bCs/>
          <w:color w:val="auto"/>
          <w:kern w:val="0"/>
          <w:szCs w:val="21"/>
        </w:rPr>
        <w:t>技术标得分高的优先；若投标报价及技术标得分均相同</w:t>
      </w:r>
      <w:r>
        <w:rPr>
          <w:rFonts w:hint="eastAsia" w:ascii="宋体" w:hAnsi="宋体"/>
          <w:b/>
          <w:bCs/>
          <w:color w:val="auto"/>
          <w:szCs w:val="21"/>
        </w:rPr>
        <w:t>由招标人或者经招标人授权评标委员会自行确定。</w:t>
      </w:r>
    </w:p>
    <w:p w14:paraId="38ECE0C4">
      <w:pPr>
        <w:ind w:firstLine="422" w:firstLineChars="200"/>
        <w:rPr>
          <w:rFonts w:ascii="宋体" w:hAnsi="宋体"/>
          <w:b/>
          <w:color w:val="auto"/>
          <w:szCs w:val="21"/>
        </w:rPr>
      </w:pPr>
      <w:r>
        <w:rPr>
          <w:rFonts w:hint="eastAsia" w:ascii="宋体" w:hAnsi="宋体"/>
          <w:b/>
          <w:color w:val="auto"/>
          <w:szCs w:val="21"/>
        </w:rPr>
        <w:t>2.评审标准</w:t>
      </w:r>
      <w:bookmarkEnd w:id="101"/>
      <w:bookmarkEnd w:id="102"/>
      <w:bookmarkEnd w:id="103"/>
      <w:bookmarkEnd w:id="104"/>
      <w:bookmarkEnd w:id="105"/>
      <w:bookmarkEnd w:id="106"/>
      <w:bookmarkEnd w:id="107"/>
      <w:bookmarkEnd w:id="108"/>
      <w:bookmarkStart w:id="109" w:name="_Toc186513211"/>
    </w:p>
    <w:p w14:paraId="214C147A">
      <w:pPr>
        <w:ind w:firstLine="422" w:firstLineChars="200"/>
        <w:rPr>
          <w:rFonts w:ascii="宋体" w:hAnsi="宋体"/>
          <w:b/>
          <w:color w:val="auto"/>
          <w:szCs w:val="21"/>
        </w:rPr>
      </w:pPr>
      <w:bookmarkStart w:id="110" w:name="_Toc310451996"/>
      <w:bookmarkStart w:id="111" w:name="_Toc310451813"/>
      <w:bookmarkStart w:id="112" w:name="_Toc302769237"/>
      <w:bookmarkStart w:id="113" w:name="_Toc304808716"/>
      <w:bookmarkStart w:id="114" w:name="_Toc304811313"/>
      <w:bookmarkStart w:id="115" w:name="_Toc304994432"/>
      <w:bookmarkStart w:id="116" w:name="_Toc310437986"/>
      <w:r>
        <w:rPr>
          <w:rFonts w:hint="eastAsia" w:ascii="宋体" w:hAnsi="宋体"/>
          <w:b/>
          <w:color w:val="auto"/>
          <w:szCs w:val="21"/>
        </w:rPr>
        <w:t>2.1 初步评审标准</w:t>
      </w:r>
      <w:bookmarkEnd w:id="109"/>
      <w:bookmarkEnd w:id="110"/>
      <w:bookmarkEnd w:id="111"/>
      <w:bookmarkEnd w:id="112"/>
      <w:bookmarkEnd w:id="113"/>
      <w:bookmarkEnd w:id="114"/>
      <w:bookmarkEnd w:id="115"/>
      <w:bookmarkEnd w:id="116"/>
    </w:p>
    <w:p w14:paraId="4CFDB4F6">
      <w:pPr>
        <w:ind w:firstLine="420" w:firstLineChars="200"/>
        <w:rPr>
          <w:rFonts w:ascii="宋体" w:hAnsi="宋体"/>
          <w:color w:val="auto"/>
          <w:szCs w:val="21"/>
        </w:rPr>
      </w:pPr>
      <w:bookmarkStart w:id="117" w:name="_Toc186513212"/>
      <w:bookmarkStart w:id="118" w:name="_Toc310452000"/>
      <w:bookmarkStart w:id="119" w:name="_Toc302769241"/>
      <w:bookmarkStart w:id="120" w:name="_Toc304808720"/>
      <w:bookmarkStart w:id="121" w:name="_Toc310437990"/>
      <w:bookmarkStart w:id="122" w:name="_Toc310451817"/>
      <w:bookmarkStart w:id="123" w:name="_Toc304994436"/>
      <w:bookmarkStart w:id="124" w:name="_Toc304811317"/>
      <w:r>
        <w:rPr>
          <w:rFonts w:hint="eastAsia" w:ascii="宋体" w:hAnsi="宋体"/>
          <w:color w:val="auto"/>
          <w:szCs w:val="21"/>
        </w:rPr>
        <w:t>2.1.1 形式评审标准：见评标办法前附表。</w:t>
      </w:r>
    </w:p>
    <w:p w14:paraId="77C55663">
      <w:pPr>
        <w:ind w:firstLine="420" w:firstLineChars="200"/>
        <w:rPr>
          <w:rFonts w:ascii="宋体" w:hAnsi="宋体"/>
          <w:color w:val="auto"/>
          <w:szCs w:val="21"/>
        </w:rPr>
      </w:pPr>
      <w:r>
        <w:rPr>
          <w:rFonts w:hint="eastAsia" w:ascii="宋体" w:hAnsi="宋体"/>
          <w:color w:val="auto"/>
          <w:szCs w:val="21"/>
        </w:rPr>
        <w:t>2.1.2 资格评审标准：见评标办法前附表。</w:t>
      </w:r>
    </w:p>
    <w:p w14:paraId="05CF3642">
      <w:pPr>
        <w:ind w:firstLine="420" w:firstLineChars="200"/>
        <w:rPr>
          <w:rFonts w:ascii="宋体" w:hAnsi="宋体"/>
          <w:color w:val="auto"/>
          <w:szCs w:val="21"/>
        </w:rPr>
      </w:pPr>
      <w:r>
        <w:rPr>
          <w:rFonts w:hint="eastAsia" w:ascii="宋体" w:hAnsi="宋体"/>
          <w:color w:val="auto"/>
          <w:szCs w:val="21"/>
        </w:rPr>
        <w:t>2.1.3 响应性评审标准：见评标办法前附表。</w:t>
      </w:r>
    </w:p>
    <w:p w14:paraId="057867C7">
      <w:pPr>
        <w:ind w:firstLine="422" w:firstLineChars="200"/>
        <w:rPr>
          <w:rFonts w:ascii="宋体" w:hAnsi="宋体"/>
          <w:b/>
          <w:color w:val="auto"/>
          <w:szCs w:val="21"/>
        </w:rPr>
      </w:pPr>
      <w:r>
        <w:rPr>
          <w:rFonts w:hint="eastAsia" w:ascii="宋体" w:hAnsi="宋体"/>
          <w:b/>
          <w:color w:val="auto"/>
          <w:szCs w:val="21"/>
        </w:rPr>
        <w:t>2.2</w:t>
      </w:r>
      <w:bookmarkEnd w:id="117"/>
      <w:bookmarkEnd w:id="118"/>
      <w:bookmarkEnd w:id="119"/>
      <w:bookmarkEnd w:id="120"/>
      <w:bookmarkEnd w:id="121"/>
      <w:bookmarkEnd w:id="122"/>
      <w:bookmarkEnd w:id="123"/>
      <w:bookmarkEnd w:id="124"/>
      <w:r>
        <w:rPr>
          <w:rFonts w:hint="eastAsia" w:ascii="宋体" w:hAnsi="宋体"/>
          <w:b/>
          <w:color w:val="auto"/>
          <w:szCs w:val="21"/>
        </w:rPr>
        <w:t>分值构成与评分标准</w:t>
      </w:r>
    </w:p>
    <w:p w14:paraId="7C3D916F">
      <w:pPr>
        <w:ind w:firstLine="420" w:firstLineChars="200"/>
        <w:rPr>
          <w:rFonts w:ascii="宋体" w:hAnsi="宋体"/>
          <w:color w:val="auto"/>
          <w:szCs w:val="21"/>
        </w:rPr>
      </w:pPr>
      <w:r>
        <w:rPr>
          <w:rFonts w:hint="eastAsia" w:ascii="宋体" w:hAnsi="宋体"/>
          <w:color w:val="auto"/>
          <w:szCs w:val="21"/>
        </w:rPr>
        <w:t>2.2.1 分值构成</w:t>
      </w:r>
    </w:p>
    <w:p w14:paraId="4F259A3D">
      <w:pPr>
        <w:ind w:firstLine="420" w:firstLineChars="200"/>
        <w:rPr>
          <w:rFonts w:ascii="宋体" w:hAnsi="宋体"/>
          <w:color w:val="auto"/>
          <w:szCs w:val="21"/>
        </w:rPr>
      </w:pPr>
      <w:r>
        <w:rPr>
          <w:rFonts w:hint="eastAsia" w:ascii="宋体" w:hAnsi="宋体"/>
          <w:color w:val="auto"/>
          <w:szCs w:val="21"/>
          <w:lang w:eastAsia="zh-CN"/>
        </w:rPr>
        <w:t>（</w:t>
      </w:r>
      <w:r>
        <w:rPr>
          <w:rFonts w:hint="eastAsia" w:ascii="宋体" w:hAnsi="宋体"/>
          <w:color w:val="auto"/>
          <w:szCs w:val="21"/>
        </w:rPr>
        <w:t>1）施工实施方案：见评标办法前附表；</w:t>
      </w:r>
    </w:p>
    <w:p w14:paraId="33C09DB2">
      <w:pPr>
        <w:ind w:firstLine="420" w:firstLineChars="200"/>
        <w:rPr>
          <w:rFonts w:ascii="宋体" w:hAnsi="宋体"/>
          <w:color w:val="auto"/>
          <w:szCs w:val="21"/>
        </w:rPr>
      </w:pPr>
      <w:r>
        <w:rPr>
          <w:rFonts w:hint="eastAsia" w:ascii="宋体" w:hAnsi="宋体"/>
          <w:color w:val="auto"/>
          <w:szCs w:val="21"/>
        </w:rPr>
        <w:t>（2）设计工作方案：见评标办法前附表；</w:t>
      </w:r>
    </w:p>
    <w:p w14:paraId="1D84FE6B">
      <w:pPr>
        <w:ind w:firstLine="420" w:firstLineChars="200"/>
        <w:rPr>
          <w:rFonts w:ascii="宋体" w:hAnsi="宋体"/>
          <w:color w:val="auto"/>
          <w:szCs w:val="21"/>
        </w:rPr>
      </w:pPr>
      <w:r>
        <w:rPr>
          <w:rFonts w:hint="eastAsia" w:ascii="宋体" w:hAnsi="宋体"/>
          <w:color w:val="auto"/>
          <w:szCs w:val="21"/>
        </w:rPr>
        <w:t>（3）</w:t>
      </w:r>
      <w:r>
        <w:rPr>
          <w:rFonts w:hint="eastAsia"/>
          <w:color w:val="auto"/>
        </w:rPr>
        <w:t>勘察工作方案</w:t>
      </w:r>
      <w:r>
        <w:rPr>
          <w:rFonts w:hint="eastAsia" w:ascii="宋体" w:hAnsi="宋体"/>
          <w:color w:val="auto"/>
          <w:szCs w:val="21"/>
        </w:rPr>
        <w:t>：见评标办法前附表；</w:t>
      </w:r>
    </w:p>
    <w:p w14:paraId="41F5368A">
      <w:pPr>
        <w:ind w:firstLine="420" w:firstLineChars="200"/>
        <w:rPr>
          <w:rFonts w:ascii="宋体" w:hAnsi="宋体"/>
          <w:color w:val="auto"/>
          <w:szCs w:val="21"/>
        </w:rPr>
      </w:pPr>
      <w:r>
        <w:rPr>
          <w:rFonts w:hint="eastAsia" w:ascii="宋体" w:hAnsi="宋体"/>
          <w:color w:val="auto"/>
          <w:szCs w:val="21"/>
        </w:rPr>
        <w:t>（4）施工计划：见评标办法前附表；</w:t>
      </w:r>
    </w:p>
    <w:p w14:paraId="5A01AA64">
      <w:pPr>
        <w:ind w:firstLine="420" w:firstLineChars="200"/>
        <w:rPr>
          <w:rFonts w:ascii="宋体" w:hAnsi="宋体"/>
          <w:color w:val="auto"/>
          <w:szCs w:val="21"/>
        </w:rPr>
      </w:pPr>
      <w:r>
        <w:rPr>
          <w:rFonts w:hint="eastAsia" w:ascii="宋体" w:hAnsi="宋体"/>
          <w:color w:val="auto"/>
          <w:szCs w:val="21"/>
        </w:rPr>
        <w:t>（5）</w:t>
      </w:r>
      <w:r>
        <w:rPr>
          <w:rFonts w:hint="eastAsia" w:ascii="宋体" w:hAnsi="宋体"/>
          <w:color w:val="auto"/>
          <w:kern w:val="0"/>
          <w:lang w:val="zh-TW" w:eastAsia="zh-TW"/>
        </w:rPr>
        <w:t>项目</w:t>
      </w:r>
      <w:r>
        <w:rPr>
          <w:rFonts w:hint="eastAsia" w:ascii="宋体" w:hAnsi="宋体"/>
          <w:color w:val="auto"/>
          <w:kern w:val="0"/>
        </w:rPr>
        <w:t>管理</w:t>
      </w:r>
      <w:r>
        <w:rPr>
          <w:rFonts w:hint="eastAsia" w:ascii="宋体" w:hAnsi="宋体"/>
          <w:color w:val="auto"/>
          <w:kern w:val="0"/>
          <w:lang w:val="zh-TW" w:eastAsia="zh-TW"/>
        </w:rPr>
        <w:t>组织机构及主要人员</w:t>
      </w:r>
      <w:r>
        <w:rPr>
          <w:rFonts w:hint="eastAsia" w:ascii="宋体" w:hAnsi="宋体"/>
          <w:color w:val="auto"/>
          <w:szCs w:val="21"/>
        </w:rPr>
        <w:t>：见评标办法前附表；</w:t>
      </w:r>
    </w:p>
    <w:p w14:paraId="6D5CA27E">
      <w:pPr>
        <w:ind w:firstLine="420" w:firstLineChars="200"/>
        <w:rPr>
          <w:rFonts w:ascii="宋体" w:hAnsi="宋体"/>
          <w:color w:val="auto"/>
          <w:szCs w:val="21"/>
        </w:rPr>
      </w:pPr>
      <w:r>
        <w:rPr>
          <w:rFonts w:hint="eastAsia" w:ascii="宋体" w:hAnsi="宋体"/>
          <w:color w:val="auto"/>
          <w:szCs w:val="21"/>
        </w:rPr>
        <w:t>（6）</w:t>
      </w:r>
      <w:r>
        <w:rPr>
          <w:rFonts w:hint="eastAsia" w:ascii="宋体" w:hAnsi="宋体"/>
          <w:color w:val="auto"/>
          <w:lang w:val="zh-TW"/>
        </w:rPr>
        <w:t>安全文明施工保证措施</w:t>
      </w:r>
      <w:r>
        <w:rPr>
          <w:rFonts w:hint="eastAsia" w:ascii="宋体" w:hAnsi="宋体"/>
          <w:color w:val="auto"/>
          <w:szCs w:val="21"/>
        </w:rPr>
        <w:t>：见评标办法前附表；</w:t>
      </w:r>
    </w:p>
    <w:p w14:paraId="6F126F85">
      <w:pPr>
        <w:ind w:firstLine="420" w:firstLineChars="200"/>
        <w:rPr>
          <w:rFonts w:hint="eastAsia" w:ascii="宋体" w:hAnsi="宋体" w:eastAsia="宋体"/>
          <w:color w:val="auto"/>
          <w:lang w:val="en-US" w:eastAsia="zh-CN"/>
        </w:rPr>
      </w:pPr>
      <w:r>
        <w:rPr>
          <w:rFonts w:hint="eastAsia" w:ascii="宋体" w:hAnsi="宋体"/>
          <w:color w:val="auto"/>
          <w:szCs w:val="21"/>
        </w:rPr>
        <w:t>（7）</w:t>
      </w:r>
      <w:r>
        <w:rPr>
          <w:rFonts w:ascii="宋体" w:hAnsi="宋体"/>
          <w:color w:val="auto"/>
          <w:lang w:val="zh-TW" w:eastAsia="zh-TW"/>
        </w:rPr>
        <w:t>后续服务承诺及保证措施</w:t>
      </w:r>
      <w:r>
        <w:rPr>
          <w:rFonts w:hint="eastAsia" w:ascii="宋体" w:hAnsi="宋体"/>
          <w:color w:val="auto"/>
          <w:lang w:val="zh-TW" w:eastAsia="zh-CN"/>
        </w:rPr>
        <w:t>：</w:t>
      </w:r>
      <w:r>
        <w:rPr>
          <w:rFonts w:hint="eastAsia" w:ascii="宋体" w:hAnsi="宋体"/>
          <w:color w:val="auto"/>
          <w:szCs w:val="21"/>
        </w:rPr>
        <w:t>见评标办法前附表</w:t>
      </w:r>
      <w:r>
        <w:rPr>
          <w:rFonts w:hint="eastAsia" w:ascii="宋体" w:hAnsi="宋体"/>
          <w:color w:val="auto"/>
          <w:szCs w:val="21"/>
          <w:lang w:eastAsia="zh-CN"/>
        </w:rPr>
        <w:t>；</w:t>
      </w:r>
    </w:p>
    <w:p w14:paraId="121F09FE">
      <w:pPr>
        <w:ind w:firstLine="420" w:firstLineChars="200"/>
        <w:rPr>
          <w:rFonts w:hint="eastAsia" w:ascii="宋体" w:hAnsi="宋体" w:eastAsia="宋体"/>
          <w:color w:val="auto"/>
          <w:szCs w:val="21"/>
          <w:lang w:eastAsia="zh-CN"/>
        </w:rPr>
      </w:pPr>
      <w:r>
        <w:rPr>
          <w:rFonts w:hint="eastAsia" w:ascii="宋体" w:hAnsi="宋体"/>
          <w:color w:val="auto"/>
          <w:szCs w:val="21"/>
        </w:rPr>
        <w:t>（8）质量保证措施</w:t>
      </w:r>
      <w:r>
        <w:rPr>
          <w:rFonts w:hint="eastAsia" w:ascii="宋体" w:hAnsi="宋体"/>
          <w:color w:val="auto"/>
          <w:szCs w:val="21"/>
          <w:lang w:eastAsia="zh-CN"/>
        </w:rPr>
        <w:t>：</w:t>
      </w:r>
      <w:r>
        <w:rPr>
          <w:rFonts w:hint="eastAsia" w:ascii="宋体" w:hAnsi="宋体"/>
          <w:color w:val="auto"/>
          <w:szCs w:val="21"/>
        </w:rPr>
        <w:t>见评标办法前附表</w:t>
      </w:r>
      <w:r>
        <w:rPr>
          <w:rFonts w:hint="eastAsia" w:ascii="宋体" w:hAnsi="宋体"/>
          <w:color w:val="auto"/>
          <w:szCs w:val="21"/>
          <w:lang w:eastAsia="zh-CN"/>
        </w:rPr>
        <w:t>；</w:t>
      </w:r>
    </w:p>
    <w:p w14:paraId="2BF58179">
      <w:pPr>
        <w:ind w:firstLine="420" w:firstLineChars="200"/>
        <w:rPr>
          <w:rFonts w:hint="eastAsia" w:ascii="宋体" w:hAnsi="宋体" w:eastAsia="宋体"/>
          <w:color w:val="auto"/>
          <w:szCs w:val="21"/>
          <w:lang w:eastAsia="zh-CN"/>
        </w:rPr>
      </w:pPr>
      <w:r>
        <w:rPr>
          <w:rFonts w:hint="eastAsia" w:ascii="宋体" w:hAnsi="宋体"/>
          <w:color w:val="auto"/>
          <w:szCs w:val="21"/>
        </w:rPr>
        <w:t>（9）投标报价：见评标办法前附表</w:t>
      </w:r>
      <w:r>
        <w:rPr>
          <w:rFonts w:hint="eastAsia" w:ascii="宋体" w:hAnsi="宋体"/>
          <w:color w:val="auto"/>
          <w:szCs w:val="21"/>
          <w:lang w:eastAsia="zh-CN"/>
        </w:rPr>
        <w:t>；</w:t>
      </w:r>
    </w:p>
    <w:p w14:paraId="649760C3">
      <w:pPr>
        <w:ind w:firstLine="420" w:firstLineChars="200"/>
        <w:rPr>
          <w:rFonts w:ascii="宋体" w:hAnsi="宋体"/>
          <w:color w:val="auto"/>
          <w:szCs w:val="21"/>
        </w:rPr>
      </w:pPr>
      <w:r>
        <w:rPr>
          <w:rFonts w:hint="eastAsia" w:ascii="宋体" w:hAnsi="宋体"/>
          <w:color w:val="auto"/>
          <w:szCs w:val="21"/>
        </w:rPr>
        <w:t>评标基准价计算方法：见评标办法前附表。</w:t>
      </w:r>
    </w:p>
    <w:p w14:paraId="46F5B594">
      <w:pPr>
        <w:ind w:firstLine="420" w:firstLineChars="200"/>
        <w:rPr>
          <w:rFonts w:ascii="宋体" w:hAnsi="宋体"/>
          <w:color w:val="auto"/>
          <w:szCs w:val="21"/>
        </w:rPr>
      </w:pPr>
      <w:r>
        <w:rPr>
          <w:rFonts w:hint="eastAsia" w:ascii="宋体" w:hAnsi="宋体"/>
          <w:color w:val="auto"/>
          <w:szCs w:val="21"/>
        </w:rPr>
        <w:t>2.2.3 投标报价的偏差率计算</w:t>
      </w:r>
    </w:p>
    <w:p w14:paraId="60C00314">
      <w:pPr>
        <w:ind w:firstLine="420" w:firstLineChars="200"/>
        <w:rPr>
          <w:rFonts w:ascii="宋体" w:hAnsi="宋体"/>
          <w:color w:val="auto"/>
          <w:szCs w:val="21"/>
        </w:rPr>
      </w:pPr>
      <w:r>
        <w:rPr>
          <w:rFonts w:hint="eastAsia" w:ascii="宋体" w:hAnsi="宋体"/>
          <w:color w:val="auto"/>
          <w:szCs w:val="21"/>
        </w:rPr>
        <w:t>投标报价的偏差率计算公式：见评标办法前附表。</w:t>
      </w:r>
    </w:p>
    <w:p w14:paraId="4D8EC9D4">
      <w:pPr>
        <w:ind w:firstLine="420" w:firstLineChars="200"/>
        <w:rPr>
          <w:rFonts w:ascii="宋体" w:hAnsi="宋体"/>
          <w:color w:val="auto"/>
          <w:szCs w:val="21"/>
        </w:rPr>
      </w:pPr>
      <w:r>
        <w:rPr>
          <w:rFonts w:hint="eastAsia" w:ascii="宋体" w:hAnsi="宋体"/>
          <w:color w:val="auto"/>
          <w:szCs w:val="21"/>
        </w:rPr>
        <w:t>2.2.4 评分标准</w:t>
      </w:r>
    </w:p>
    <w:p w14:paraId="16ED10B7">
      <w:pPr>
        <w:ind w:firstLine="420" w:firstLineChars="200"/>
        <w:rPr>
          <w:rFonts w:ascii="宋体" w:hAnsi="宋体"/>
          <w:color w:val="auto"/>
          <w:szCs w:val="21"/>
        </w:rPr>
      </w:pPr>
      <w:bookmarkStart w:id="125" w:name="_Toc310437998"/>
      <w:bookmarkStart w:id="126" w:name="_Toc304994444"/>
      <w:bookmarkStart w:id="127" w:name="_Toc302769249"/>
      <w:bookmarkStart w:id="128" w:name="_Toc310451825"/>
      <w:bookmarkStart w:id="129" w:name="_Toc310452008"/>
      <w:bookmarkStart w:id="130" w:name="_Toc304811325"/>
      <w:bookmarkStart w:id="131" w:name="_Toc304808728"/>
      <w:bookmarkStart w:id="132" w:name="_Toc186513213"/>
      <w:r>
        <w:rPr>
          <w:rFonts w:hint="eastAsia" w:ascii="宋体" w:hAnsi="宋体"/>
          <w:color w:val="auto"/>
          <w:szCs w:val="21"/>
        </w:rPr>
        <w:t>（1）施工实施方案：见评标办法前附表；</w:t>
      </w:r>
    </w:p>
    <w:p w14:paraId="2B1D8D3E">
      <w:pPr>
        <w:ind w:firstLine="420" w:firstLineChars="200"/>
        <w:rPr>
          <w:rFonts w:ascii="宋体" w:hAnsi="宋体"/>
          <w:color w:val="auto"/>
          <w:szCs w:val="21"/>
        </w:rPr>
      </w:pPr>
      <w:r>
        <w:rPr>
          <w:rFonts w:hint="eastAsia" w:ascii="宋体" w:hAnsi="宋体"/>
          <w:color w:val="auto"/>
          <w:szCs w:val="21"/>
        </w:rPr>
        <w:t>（2）设计工作方案：见评标办法前附表；</w:t>
      </w:r>
    </w:p>
    <w:p w14:paraId="4BD8CF21">
      <w:pPr>
        <w:ind w:firstLine="420" w:firstLineChars="200"/>
        <w:rPr>
          <w:rFonts w:ascii="宋体" w:hAnsi="宋体"/>
          <w:color w:val="auto"/>
          <w:szCs w:val="21"/>
        </w:rPr>
      </w:pPr>
      <w:r>
        <w:rPr>
          <w:rFonts w:hint="eastAsia" w:ascii="宋体" w:hAnsi="宋体"/>
          <w:color w:val="auto"/>
          <w:szCs w:val="21"/>
        </w:rPr>
        <w:t>（3）</w:t>
      </w:r>
      <w:r>
        <w:rPr>
          <w:rFonts w:hint="eastAsia"/>
          <w:color w:val="auto"/>
        </w:rPr>
        <w:t>勘察工作方案</w:t>
      </w:r>
      <w:r>
        <w:rPr>
          <w:rFonts w:hint="eastAsia" w:ascii="宋体" w:hAnsi="宋体"/>
          <w:color w:val="auto"/>
          <w:szCs w:val="21"/>
        </w:rPr>
        <w:t>：见评标办法前附表；</w:t>
      </w:r>
    </w:p>
    <w:p w14:paraId="3F709BE7">
      <w:pPr>
        <w:ind w:firstLine="420" w:firstLineChars="200"/>
        <w:rPr>
          <w:rFonts w:ascii="宋体" w:hAnsi="宋体"/>
          <w:color w:val="auto"/>
          <w:szCs w:val="21"/>
        </w:rPr>
      </w:pPr>
      <w:r>
        <w:rPr>
          <w:rFonts w:hint="eastAsia" w:ascii="宋体" w:hAnsi="宋体"/>
          <w:color w:val="auto"/>
          <w:szCs w:val="21"/>
        </w:rPr>
        <w:t>（4）施工计划：见评标办法前附表；</w:t>
      </w:r>
    </w:p>
    <w:p w14:paraId="43082501">
      <w:pPr>
        <w:ind w:firstLine="420" w:firstLineChars="200"/>
        <w:rPr>
          <w:rFonts w:ascii="宋体" w:hAnsi="宋体"/>
          <w:color w:val="auto"/>
          <w:szCs w:val="21"/>
        </w:rPr>
      </w:pPr>
      <w:r>
        <w:rPr>
          <w:rFonts w:hint="eastAsia" w:ascii="宋体" w:hAnsi="宋体"/>
          <w:color w:val="auto"/>
          <w:szCs w:val="21"/>
        </w:rPr>
        <w:t>（5）</w:t>
      </w:r>
      <w:r>
        <w:rPr>
          <w:rFonts w:hint="eastAsia" w:ascii="宋体" w:hAnsi="宋体"/>
          <w:color w:val="auto"/>
          <w:kern w:val="0"/>
          <w:lang w:val="zh-TW" w:eastAsia="zh-TW"/>
        </w:rPr>
        <w:t>项目</w:t>
      </w:r>
      <w:r>
        <w:rPr>
          <w:rFonts w:hint="eastAsia" w:ascii="宋体" w:hAnsi="宋体"/>
          <w:color w:val="auto"/>
          <w:kern w:val="0"/>
        </w:rPr>
        <w:t>管理</w:t>
      </w:r>
      <w:r>
        <w:rPr>
          <w:rFonts w:hint="eastAsia" w:ascii="宋体" w:hAnsi="宋体"/>
          <w:color w:val="auto"/>
          <w:kern w:val="0"/>
          <w:lang w:val="zh-TW" w:eastAsia="zh-TW"/>
        </w:rPr>
        <w:t>组织机构及主要人员</w:t>
      </w:r>
      <w:r>
        <w:rPr>
          <w:rFonts w:hint="eastAsia" w:ascii="宋体" w:hAnsi="宋体"/>
          <w:color w:val="auto"/>
          <w:szCs w:val="21"/>
        </w:rPr>
        <w:t>：见评标办法前附表；</w:t>
      </w:r>
    </w:p>
    <w:p w14:paraId="34056718">
      <w:pPr>
        <w:ind w:firstLine="420" w:firstLineChars="200"/>
        <w:rPr>
          <w:rFonts w:ascii="宋体" w:hAnsi="宋体"/>
          <w:color w:val="auto"/>
          <w:szCs w:val="21"/>
        </w:rPr>
      </w:pPr>
      <w:r>
        <w:rPr>
          <w:rFonts w:hint="eastAsia" w:ascii="宋体" w:hAnsi="宋体"/>
          <w:color w:val="auto"/>
          <w:szCs w:val="21"/>
        </w:rPr>
        <w:t>（6）</w:t>
      </w:r>
      <w:r>
        <w:rPr>
          <w:rFonts w:hint="eastAsia" w:ascii="宋体" w:hAnsi="宋体"/>
          <w:color w:val="auto"/>
          <w:lang w:val="zh-TW"/>
        </w:rPr>
        <w:t>安全文明施工保证措施</w:t>
      </w:r>
      <w:r>
        <w:rPr>
          <w:rFonts w:hint="eastAsia" w:ascii="宋体" w:hAnsi="宋体"/>
          <w:color w:val="auto"/>
          <w:szCs w:val="21"/>
        </w:rPr>
        <w:t>：见评标办法前附表；</w:t>
      </w:r>
    </w:p>
    <w:p w14:paraId="67B54AD8">
      <w:pPr>
        <w:ind w:firstLine="420" w:firstLineChars="200"/>
        <w:rPr>
          <w:rFonts w:ascii="宋体" w:hAnsi="宋体"/>
          <w:color w:val="auto"/>
          <w:lang w:val="zh-TW" w:eastAsia="zh-TW"/>
        </w:rPr>
      </w:pPr>
      <w:r>
        <w:rPr>
          <w:rFonts w:hint="eastAsia" w:ascii="宋体" w:hAnsi="宋体"/>
          <w:color w:val="auto"/>
          <w:szCs w:val="21"/>
        </w:rPr>
        <w:t>（7）</w:t>
      </w:r>
      <w:r>
        <w:rPr>
          <w:rFonts w:ascii="宋体" w:hAnsi="宋体"/>
          <w:color w:val="auto"/>
          <w:lang w:val="zh-TW" w:eastAsia="zh-TW"/>
        </w:rPr>
        <w:t>后续服务承诺及保证措施</w:t>
      </w:r>
      <w:r>
        <w:rPr>
          <w:rFonts w:hint="eastAsia" w:ascii="宋体" w:hAnsi="宋体"/>
          <w:color w:val="auto"/>
          <w:lang w:val="zh-TW" w:eastAsia="zh-CN"/>
        </w:rPr>
        <w:t>：</w:t>
      </w:r>
      <w:r>
        <w:rPr>
          <w:rFonts w:hint="eastAsia" w:ascii="宋体" w:hAnsi="宋体"/>
          <w:color w:val="auto"/>
          <w:szCs w:val="21"/>
        </w:rPr>
        <w:t>见评标办法前附表；</w:t>
      </w:r>
    </w:p>
    <w:p w14:paraId="1BBB96A6">
      <w:pPr>
        <w:ind w:firstLine="420" w:firstLineChars="200"/>
        <w:rPr>
          <w:rFonts w:ascii="宋体" w:hAnsi="宋体"/>
          <w:color w:val="auto"/>
          <w:szCs w:val="21"/>
        </w:rPr>
      </w:pPr>
      <w:r>
        <w:rPr>
          <w:rFonts w:hint="eastAsia" w:ascii="宋体" w:hAnsi="宋体"/>
          <w:color w:val="auto"/>
          <w:szCs w:val="21"/>
        </w:rPr>
        <w:t>（8）质量保证措施</w:t>
      </w:r>
      <w:r>
        <w:rPr>
          <w:rFonts w:hint="eastAsia" w:ascii="宋体" w:hAnsi="宋体"/>
          <w:color w:val="auto"/>
          <w:szCs w:val="21"/>
          <w:lang w:eastAsia="zh-CN"/>
        </w:rPr>
        <w:t>：</w:t>
      </w:r>
      <w:r>
        <w:rPr>
          <w:rFonts w:hint="eastAsia" w:ascii="宋体" w:hAnsi="宋体"/>
          <w:color w:val="auto"/>
          <w:szCs w:val="21"/>
        </w:rPr>
        <w:t>见评标办法前附表；</w:t>
      </w:r>
    </w:p>
    <w:p w14:paraId="07CDB014">
      <w:pPr>
        <w:ind w:firstLine="420" w:firstLineChars="200"/>
        <w:rPr>
          <w:rFonts w:ascii="宋体" w:hAnsi="宋体"/>
          <w:color w:val="auto"/>
          <w:szCs w:val="21"/>
        </w:rPr>
      </w:pPr>
      <w:r>
        <w:rPr>
          <w:rFonts w:hint="eastAsia" w:ascii="宋体" w:hAnsi="宋体"/>
          <w:color w:val="auto"/>
          <w:szCs w:val="21"/>
        </w:rPr>
        <w:t>（9）投标报价：见评标办法前附表。</w:t>
      </w:r>
    </w:p>
    <w:p w14:paraId="4F1BF032">
      <w:pPr>
        <w:ind w:firstLine="422" w:firstLineChars="200"/>
        <w:rPr>
          <w:rFonts w:ascii="宋体" w:hAnsi="宋体"/>
          <w:b/>
          <w:color w:val="auto"/>
          <w:szCs w:val="21"/>
        </w:rPr>
      </w:pPr>
      <w:r>
        <w:rPr>
          <w:rFonts w:hint="eastAsia" w:ascii="宋体" w:hAnsi="宋体"/>
          <w:b/>
          <w:color w:val="auto"/>
          <w:szCs w:val="21"/>
        </w:rPr>
        <w:t>3.评标程序</w:t>
      </w:r>
      <w:bookmarkEnd w:id="125"/>
      <w:bookmarkEnd w:id="126"/>
      <w:bookmarkEnd w:id="127"/>
      <w:bookmarkEnd w:id="128"/>
      <w:bookmarkEnd w:id="129"/>
      <w:bookmarkEnd w:id="130"/>
      <w:bookmarkEnd w:id="131"/>
      <w:bookmarkEnd w:id="132"/>
      <w:bookmarkStart w:id="133" w:name="_Toc186513214"/>
    </w:p>
    <w:p w14:paraId="4A5A2DB9">
      <w:pPr>
        <w:ind w:firstLine="422" w:firstLineChars="200"/>
        <w:rPr>
          <w:rFonts w:ascii="宋体" w:hAnsi="宋体"/>
          <w:b/>
          <w:color w:val="auto"/>
          <w:szCs w:val="21"/>
        </w:rPr>
      </w:pPr>
      <w:bookmarkStart w:id="134" w:name="_Toc304811326"/>
      <w:bookmarkStart w:id="135" w:name="_Toc310437999"/>
      <w:bookmarkStart w:id="136" w:name="_Toc310452009"/>
      <w:bookmarkStart w:id="137" w:name="_Toc304808729"/>
      <w:bookmarkStart w:id="138" w:name="_Toc304994445"/>
      <w:bookmarkStart w:id="139" w:name="_Toc302769250"/>
      <w:bookmarkStart w:id="140" w:name="_Toc310451826"/>
      <w:r>
        <w:rPr>
          <w:rFonts w:hint="eastAsia" w:ascii="宋体" w:hAnsi="宋体"/>
          <w:b/>
          <w:color w:val="auto"/>
          <w:szCs w:val="21"/>
        </w:rPr>
        <w:t>3.1 初步评审</w:t>
      </w:r>
      <w:bookmarkEnd w:id="133"/>
      <w:bookmarkEnd w:id="134"/>
      <w:bookmarkEnd w:id="135"/>
      <w:bookmarkEnd w:id="136"/>
      <w:bookmarkEnd w:id="137"/>
      <w:bookmarkEnd w:id="138"/>
      <w:bookmarkEnd w:id="139"/>
      <w:bookmarkEnd w:id="140"/>
    </w:p>
    <w:p w14:paraId="256F8D26">
      <w:pPr>
        <w:ind w:firstLine="420" w:firstLineChars="200"/>
        <w:rPr>
          <w:rFonts w:ascii="宋体" w:hAnsi="宋体"/>
          <w:color w:val="auto"/>
          <w:szCs w:val="21"/>
        </w:rPr>
      </w:pPr>
      <w:bookmarkStart w:id="141" w:name="_Toc186513215"/>
      <w:r>
        <w:rPr>
          <w:rFonts w:hint="eastAsia" w:ascii="宋体" w:hAnsi="宋体"/>
          <w:color w:val="auto"/>
          <w:szCs w:val="21"/>
        </w:rPr>
        <w:t>3.1.1评标委员会依据本章第2.1款规定的标准对投标文件进行初步评审。有一项不符合评审标准的，评标委员会应当否决其投标。</w:t>
      </w:r>
    </w:p>
    <w:p w14:paraId="6E003F3C">
      <w:pPr>
        <w:ind w:firstLine="420" w:firstLineChars="200"/>
        <w:rPr>
          <w:rFonts w:ascii="宋体" w:hAnsi="宋体"/>
          <w:color w:val="auto"/>
          <w:szCs w:val="21"/>
        </w:rPr>
      </w:pPr>
      <w:r>
        <w:rPr>
          <w:rFonts w:hint="eastAsia" w:ascii="宋体" w:hAnsi="宋体"/>
          <w:color w:val="auto"/>
          <w:szCs w:val="21"/>
        </w:rPr>
        <w:t>3.1.2 投标人有以下情形之一的，评标委员会应当否决其投标：</w:t>
      </w:r>
    </w:p>
    <w:p w14:paraId="5AA35B31">
      <w:pPr>
        <w:ind w:firstLine="420" w:firstLineChars="200"/>
        <w:rPr>
          <w:rFonts w:ascii="宋体" w:hAnsi="宋体"/>
          <w:color w:val="auto"/>
          <w:szCs w:val="21"/>
        </w:rPr>
      </w:pPr>
      <w:r>
        <w:rPr>
          <w:rFonts w:hint="eastAsia" w:ascii="宋体" w:hAnsi="宋体"/>
          <w:color w:val="auto"/>
          <w:szCs w:val="21"/>
        </w:rPr>
        <w:t>（1）第二章“投标人须知”第1.4.3项规定的任何一种情形的；</w:t>
      </w:r>
    </w:p>
    <w:p w14:paraId="5B723778">
      <w:pPr>
        <w:ind w:firstLine="420" w:firstLineChars="200"/>
        <w:rPr>
          <w:rFonts w:ascii="宋体" w:hAnsi="宋体"/>
          <w:color w:val="auto"/>
          <w:szCs w:val="21"/>
        </w:rPr>
      </w:pPr>
      <w:r>
        <w:rPr>
          <w:rFonts w:hint="eastAsia" w:ascii="宋体" w:hAnsi="宋体"/>
          <w:color w:val="auto"/>
          <w:szCs w:val="21"/>
        </w:rPr>
        <w:t>（2）串通投标或弄虚作假或有其他违法行为的；</w:t>
      </w:r>
    </w:p>
    <w:p w14:paraId="0FAA6388">
      <w:pPr>
        <w:ind w:firstLine="420" w:firstLineChars="200"/>
        <w:rPr>
          <w:rFonts w:ascii="宋体" w:hAnsi="宋体"/>
          <w:color w:val="auto"/>
          <w:szCs w:val="21"/>
        </w:rPr>
      </w:pPr>
      <w:r>
        <w:rPr>
          <w:rFonts w:hint="eastAsia" w:ascii="宋体" w:hAnsi="宋体"/>
          <w:color w:val="auto"/>
          <w:szCs w:val="21"/>
        </w:rPr>
        <w:t>（3）不按评标委员会要求澄清、说明或补正的。</w:t>
      </w:r>
    </w:p>
    <w:p w14:paraId="4E3B769D">
      <w:pPr>
        <w:ind w:firstLine="420" w:firstLineChars="200"/>
        <w:rPr>
          <w:rFonts w:ascii="宋体" w:hAnsi="宋体"/>
          <w:color w:val="auto"/>
          <w:szCs w:val="21"/>
        </w:rPr>
      </w:pPr>
      <w:r>
        <w:rPr>
          <w:rFonts w:hint="eastAsia" w:ascii="宋体" w:hAnsi="宋体"/>
          <w:color w:val="auto"/>
          <w:szCs w:val="21"/>
        </w:rPr>
        <w:t>3.1.3 投标报价有算术错误的，评标委员会按以下原则对投标报价进行修正，修正的价格经投标人书面确认后具有约束力。投标人不接受修正价格的，评标委员会应当否决其投标。</w:t>
      </w:r>
    </w:p>
    <w:p w14:paraId="4DE1253A">
      <w:pPr>
        <w:ind w:firstLine="420" w:firstLineChars="200"/>
        <w:rPr>
          <w:rFonts w:ascii="宋体" w:hAnsi="宋体"/>
          <w:color w:val="auto"/>
          <w:szCs w:val="21"/>
        </w:rPr>
      </w:pPr>
      <w:r>
        <w:rPr>
          <w:rFonts w:hint="eastAsia" w:ascii="宋体" w:hAnsi="宋体"/>
          <w:color w:val="auto"/>
          <w:szCs w:val="21"/>
        </w:rPr>
        <w:t>（1）投标文件中的大写金额与小写金额不一致的，以大写金额为准；</w:t>
      </w:r>
    </w:p>
    <w:p w14:paraId="3D7E1000">
      <w:pPr>
        <w:ind w:firstLine="420" w:firstLineChars="200"/>
        <w:rPr>
          <w:rFonts w:ascii="宋体" w:hAnsi="宋体"/>
          <w:color w:val="auto"/>
          <w:szCs w:val="21"/>
        </w:rPr>
      </w:pPr>
      <w:r>
        <w:rPr>
          <w:rFonts w:hint="eastAsia" w:ascii="宋体" w:hAnsi="宋体"/>
          <w:color w:val="auto"/>
          <w:szCs w:val="21"/>
        </w:rPr>
        <w:t>（2）总价金额与依据单价计算出的结果不一致的，以单价金额为准修正总价，但单价金额小数点有明显错误的除外。</w:t>
      </w:r>
    </w:p>
    <w:p w14:paraId="05B0DF6F">
      <w:pPr>
        <w:ind w:firstLine="422" w:firstLineChars="200"/>
        <w:rPr>
          <w:rFonts w:ascii="宋体" w:hAnsi="宋体"/>
          <w:b/>
          <w:color w:val="auto"/>
          <w:szCs w:val="21"/>
        </w:rPr>
      </w:pPr>
      <w:bookmarkStart w:id="142" w:name="_Toc304994455"/>
      <w:bookmarkStart w:id="143" w:name="_Toc304811336"/>
      <w:bookmarkStart w:id="144" w:name="_Toc310451836"/>
      <w:bookmarkStart w:id="145" w:name="_Toc302769260"/>
      <w:bookmarkStart w:id="146" w:name="_Toc310452019"/>
      <w:bookmarkStart w:id="147" w:name="_Toc304808739"/>
      <w:r>
        <w:rPr>
          <w:rFonts w:hint="eastAsia" w:ascii="宋体" w:hAnsi="宋体"/>
          <w:b/>
          <w:color w:val="auto"/>
          <w:szCs w:val="21"/>
        </w:rPr>
        <w:t>3.2 详细评审</w:t>
      </w:r>
      <w:bookmarkEnd w:id="141"/>
      <w:bookmarkEnd w:id="142"/>
      <w:bookmarkEnd w:id="143"/>
      <w:bookmarkEnd w:id="144"/>
      <w:bookmarkEnd w:id="145"/>
      <w:bookmarkEnd w:id="146"/>
      <w:bookmarkEnd w:id="147"/>
    </w:p>
    <w:p w14:paraId="007E95C4">
      <w:pPr>
        <w:ind w:firstLine="420" w:firstLineChars="200"/>
        <w:rPr>
          <w:rFonts w:ascii="宋体" w:hAnsi="宋体"/>
          <w:color w:val="auto"/>
          <w:szCs w:val="21"/>
        </w:rPr>
      </w:pPr>
      <w:bookmarkStart w:id="148" w:name="_Toc186513216"/>
      <w:r>
        <w:rPr>
          <w:rFonts w:hint="eastAsia" w:ascii="宋体" w:hAnsi="宋体"/>
          <w:color w:val="auto"/>
          <w:szCs w:val="21"/>
        </w:rPr>
        <w:t>3.2.1 评标委员会按本章第2.2款规定的量化因素和分值进行打分，并计算出综合评估得分。评标办法前附表对承包人建议书中的设计文件评审有特殊规定的，从其规定。</w:t>
      </w:r>
    </w:p>
    <w:p w14:paraId="4D199254">
      <w:pPr>
        <w:ind w:firstLine="420" w:firstLineChars="200"/>
        <w:rPr>
          <w:rFonts w:ascii="宋体" w:hAnsi="宋体"/>
          <w:b/>
          <w:bCs/>
          <w:color w:val="auto"/>
          <w:szCs w:val="21"/>
        </w:rPr>
      </w:pPr>
      <w:r>
        <w:rPr>
          <w:rFonts w:hint="eastAsia" w:ascii="宋体" w:hAnsi="宋体"/>
          <w:color w:val="auto"/>
          <w:szCs w:val="21"/>
        </w:rPr>
        <w:t>（</w:t>
      </w:r>
      <w:r>
        <w:rPr>
          <w:rFonts w:hint="eastAsia" w:ascii="宋体" w:hAnsi="宋体"/>
          <w:b/>
          <w:bCs/>
          <w:color w:val="auto"/>
          <w:szCs w:val="21"/>
        </w:rPr>
        <w:t xml:space="preserve">1）按本章第2.4.1规定的评审因素和分值计算出得分； </w:t>
      </w:r>
    </w:p>
    <w:p w14:paraId="13049C62">
      <w:pPr>
        <w:ind w:firstLine="422" w:firstLineChars="200"/>
        <w:rPr>
          <w:rFonts w:ascii="宋体" w:hAnsi="宋体"/>
          <w:b/>
          <w:bCs/>
          <w:color w:val="auto"/>
          <w:szCs w:val="21"/>
        </w:rPr>
      </w:pPr>
      <w:r>
        <w:rPr>
          <w:rFonts w:hint="eastAsia" w:ascii="宋体" w:hAnsi="宋体"/>
          <w:b/>
          <w:bCs/>
          <w:color w:val="auto"/>
          <w:szCs w:val="21"/>
        </w:rPr>
        <w:t>（2）按本章第2.4.2规定的评审因素和分值计算出得分；</w:t>
      </w:r>
    </w:p>
    <w:p w14:paraId="6650C9FA">
      <w:pPr>
        <w:ind w:firstLine="422" w:firstLineChars="200"/>
        <w:rPr>
          <w:rFonts w:ascii="宋体" w:hAnsi="宋体"/>
          <w:b/>
          <w:bCs/>
          <w:color w:val="auto"/>
          <w:szCs w:val="21"/>
        </w:rPr>
      </w:pPr>
      <w:r>
        <w:rPr>
          <w:rFonts w:hint="eastAsia" w:ascii="宋体" w:hAnsi="宋体"/>
          <w:b/>
          <w:bCs/>
          <w:color w:val="auto"/>
          <w:szCs w:val="21"/>
        </w:rPr>
        <w:t>（3）按本章第2.4.3规定的评审因素和分值计算出得分；</w:t>
      </w:r>
    </w:p>
    <w:p w14:paraId="48A3F68A">
      <w:pPr>
        <w:ind w:firstLine="422" w:firstLineChars="200"/>
        <w:rPr>
          <w:rFonts w:ascii="宋体" w:hAnsi="宋体"/>
          <w:b/>
          <w:bCs/>
          <w:color w:val="auto"/>
          <w:szCs w:val="21"/>
        </w:rPr>
      </w:pPr>
      <w:r>
        <w:rPr>
          <w:rFonts w:hint="eastAsia" w:ascii="宋体" w:hAnsi="宋体"/>
          <w:b/>
          <w:bCs/>
          <w:color w:val="auto"/>
          <w:szCs w:val="21"/>
        </w:rPr>
        <w:t>（4）按本章第2.4.4规定的评审因素和分值计算出得分。</w:t>
      </w:r>
    </w:p>
    <w:p w14:paraId="51F44A6B">
      <w:pPr>
        <w:ind w:firstLine="422" w:firstLineChars="200"/>
        <w:rPr>
          <w:rFonts w:ascii="宋体" w:hAnsi="宋体"/>
          <w:b/>
          <w:bCs/>
          <w:color w:val="auto"/>
          <w:szCs w:val="21"/>
        </w:rPr>
      </w:pPr>
      <w:r>
        <w:rPr>
          <w:rFonts w:hint="eastAsia" w:ascii="宋体" w:hAnsi="宋体"/>
          <w:b/>
          <w:bCs/>
          <w:color w:val="auto"/>
          <w:szCs w:val="21"/>
        </w:rPr>
        <w:t>（5）按本章第2.4.5规定的评审因素和分值计算出得分。</w:t>
      </w:r>
    </w:p>
    <w:p w14:paraId="774DF50B">
      <w:pPr>
        <w:ind w:firstLine="422" w:firstLineChars="200"/>
        <w:rPr>
          <w:rFonts w:ascii="宋体" w:hAnsi="宋体"/>
          <w:b/>
          <w:bCs/>
          <w:color w:val="auto"/>
          <w:szCs w:val="21"/>
        </w:rPr>
      </w:pPr>
      <w:r>
        <w:rPr>
          <w:rFonts w:hint="eastAsia" w:ascii="宋体" w:hAnsi="宋体"/>
          <w:b/>
          <w:bCs/>
          <w:color w:val="auto"/>
          <w:szCs w:val="21"/>
        </w:rPr>
        <w:t>（6）按本章第2.4.6规定的评审因素和分值计算出得分。</w:t>
      </w:r>
    </w:p>
    <w:p w14:paraId="4378ED76">
      <w:pPr>
        <w:ind w:firstLine="422" w:firstLineChars="200"/>
        <w:rPr>
          <w:rFonts w:ascii="宋体" w:hAnsi="宋体"/>
          <w:b/>
          <w:bCs/>
          <w:color w:val="auto"/>
          <w:szCs w:val="21"/>
        </w:rPr>
      </w:pPr>
      <w:r>
        <w:rPr>
          <w:rFonts w:hint="eastAsia" w:ascii="宋体" w:hAnsi="宋体"/>
          <w:b/>
          <w:bCs/>
          <w:color w:val="auto"/>
          <w:szCs w:val="21"/>
        </w:rPr>
        <w:t>（7）按本章第2.4.7规定的评审因素和分值计算出得分。</w:t>
      </w:r>
    </w:p>
    <w:p w14:paraId="4ACC4D60">
      <w:pPr>
        <w:ind w:firstLine="422" w:firstLineChars="200"/>
        <w:rPr>
          <w:rFonts w:ascii="宋体" w:hAnsi="宋体"/>
          <w:b/>
          <w:bCs/>
          <w:color w:val="auto"/>
          <w:szCs w:val="21"/>
        </w:rPr>
      </w:pPr>
      <w:r>
        <w:rPr>
          <w:rFonts w:hint="eastAsia" w:ascii="宋体" w:hAnsi="宋体"/>
          <w:b/>
          <w:bCs/>
          <w:color w:val="auto"/>
          <w:szCs w:val="21"/>
        </w:rPr>
        <w:t>（8）按本章第2.4.8规定的评审因素和分值计算出得分。</w:t>
      </w:r>
    </w:p>
    <w:p w14:paraId="724B2D30">
      <w:pPr>
        <w:pStyle w:val="36"/>
        <w:rPr>
          <w:color w:val="auto"/>
        </w:rPr>
      </w:pPr>
      <w:r>
        <w:rPr>
          <w:rFonts w:hint="eastAsia" w:hAnsi="宋体"/>
          <w:b/>
          <w:bCs/>
          <w:color w:val="auto"/>
          <w:szCs w:val="21"/>
        </w:rPr>
        <w:t xml:space="preserve">     以上所有得分项计算平均分值为投标人技术部分的得分A</w:t>
      </w:r>
    </w:p>
    <w:p w14:paraId="1F32A7A0">
      <w:pPr>
        <w:ind w:firstLine="422" w:firstLineChars="200"/>
        <w:rPr>
          <w:rFonts w:ascii="宋体" w:hAnsi="宋体"/>
          <w:b/>
          <w:bCs/>
          <w:color w:val="auto"/>
          <w:szCs w:val="21"/>
        </w:rPr>
      </w:pPr>
      <w:r>
        <w:rPr>
          <w:rFonts w:hint="eastAsia" w:ascii="宋体" w:hAnsi="宋体"/>
          <w:b/>
          <w:bCs/>
          <w:color w:val="auto"/>
          <w:szCs w:val="21"/>
        </w:rPr>
        <w:t xml:space="preserve">（9）按本章第2.3规定的评审因素和分值对投标报价计算出得分B。 </w:t>
      </w:r>
    </w:p>
    <w:p w14:paraId="33702B42">
      <w:pPr>
        <w:ind w:firstLine="422" w:firstLineChars="200"/>
        <w:rPr>
          <w:rFonts w:ascii="宋体" w:hAnsi="宋体"/>
          <w:b/>
          <w:bCs/>
          <w:color w:val="auto"/>
          <w:szCs w:val="21"/>
        </w:rPr>
      </w:pPr>
      <w:r>
        <w:rPr>
          <w:rFonts w:hint="eastAsia" w:ascii="宋体" w:hAnsi="宋体"/>
          <w:b/>
          <w:bCs/>
          <w:color w:val="auto"/>
          <w:szCs w:val="21"/>
        </w:rPr>
        <w:t>3.2.2 评分分值计算保留小数点后两位，小数点后第三位“四舍五入”。</w:t>
      </w:r>
    </w:p>
    <w:p w14:paraId="2CBCEDC9">
      <w:pPr>
        <w:ind w:firstLine="422" w:firstLineChars="200"/>
        <w:rPr>
          <w:rFonts w:ascii="宋体" w:hAnsi="宋体"/>
          <w:color w:val="auto"/>
          <w:szCs w:val="21"/>
        </w:rPr>
      </w:pPr>
      <w:r>
        <w:rPr>
          <w:rFonts w:hint="eastAsia" w:ascii="宋体" w:hAnsi="宋体"/>
          <w:b/>
          <w:bCs/>
          <w:color w:val="auto"/>
          <w:szCs w:val="21"/>
        </w:rPr>
        <w:t>3.2.3 投标人得分=A+B</w:t>
      </w:r>
      <w:r>
        <w:rPr>
          <w:rFonts w:hint="eastAsia" w:ascii="宋体" w:hAnsi="宋体"/>
          <w:color w:val="auto"/>
          <w:szCs w:val="21"/>
        </w:rPr>
        <w:t>。</w:t>
      </w:r>
    </w:p>
    <w:p w14:paraId="64648789">
      <w:pPr>
        <w:ind w:firstLine="420" w:firstLineChars="200"/>
        <w:rPr>
          <w:rFonts w:ascii="宋体" w:hAnsi="宋体"/>
          <w:color w:val="auto"/>
          <w:szCs w:val="21"/>
        </w:rPr>
      </w:pPr>
      <w:r>
        <w:rPr>
          <w:rFonts w:hint="eastAsia" w:ascii="宋体" w:hAnsi="宋体"/>
          <w:color w:val="auto"/>
          <w:szCs w:val="21"/>
        </w:rPr>
        <w:t>3.2.4 评标委员会发现投标人的报价明显低于其他投标报价，或者在设有标底时明显低于标底，使得其投标报价可能低于其个别成本的，应当要求该投标人作出书面说明并提供相应的证明材料。投标人不能合理说明或者不能提供相应证明材料的，评标委员会应当认定该投标人以低于成本报价竞标，应当否决其投标。</w:t>
      </w:r>
    </w:p>
    <w:p w14:paraId="79D310D2">
      <w:pPr>
        <w:ind w:firstLine="422" w:firstLineChars="200"/>
        <w:rPr>
          <w:rFonts w:ascii="宋体" w:hAnsi="宋体"/>
          <w:b/>
          <w:color w:val="auto"/>
          <w:szCs w:val="21"/>
        </w:rPr>
      </w:pPr>
      <w:bookmarkStart w:id="149" w:name="_Toc310451840"/>
      <w:bookmarkStart w:id="150" w:name="_Toc304811340"/>
      <w:bookmarkStart w:id="151" w:name="_Toc310452023"/>
      <w:bookmarkStart w:id="152" w:name="_Toc304808743"/>
      <w:bookmarkStart w:id="153" w:name="_Toc302769264"/>
      <w:bookmarkStart w:id="154" w:name="_Toc304994459"/>
      <w:r>
        <w:rPr>
          <w:rFonts w:hint="eastAsia" w:ascii="宋体" w:hAnsi="宋体"/>
          <w:b/>
          <w:color w:val="auto"/>
          <w:szCs w:val="21"/>
        </w:rPr>
        <w:t>3.3 投标文件的澄清和补正</w:t>
      </w:r>
      <w:bookmarkEnd w:id="148"/>
      <w:bookmarkEnd w:id="149"/>
      <w:bookmarkEnd w:id="150"/>
      <w:bookmarkEnd w:id="151"/>
      <w:bookmarkEnd w:id="152"/>
      <w:bookmarkEnd w:id="153"/>
      <w:bookmarkEnd w:id="154"/>
    </w:p>
    <w:p w14:paraId="7ABD086A">
      <w:pPr>
        <w:ind w:firstLine="420" w:firstLineChars="200"/>
        <w:rPr>
          <w:rFonts w:ascii="宋体" w:hAnsi="宋体"/>
          <w:color w:val="auto"/>
          <w:szCs w:val="21"/>
        </w:rPr>
      </w:pPr>
      <w:bookmarkStart w:id="155" w:name="_Toc186513217"/>
      <w:r>
        <w:rPr>
          <w:rFonts w:hint="eastAsia" w:ascii="宋体" w:hAnsi="宋体"/>
          <w:color w:val="auto"/>
          <w:szCs w:val="21"/>
        </w:rPr>
        <w:t>3.3.1 在评标过程中，评标委员会可以书面形式要求投标人对所提交投标文件中不明确的内容进行书面澄清或说明，或者对细微偏差进行补正。评标委员会不接受投标人主动提出的澄清、说明或补正。</w:t>
      </w:r>
    </w:p>
    <w:p w14:paraId="5DE2D15C">
      <w:pPr>
        <w:ind w:firstLine="420" w:firstLineChars="200"/>
        <w:rPr>
          <w:rFonts w:ascii="宋体" w:hAnsi="宋体"/>
          <w:color w:val="auto"/>
          <w:szCs w:val="21"/>
        </w:rPr>
      </w:pPr>
      <w:r>
        <w:rPr>
          <w:rFonts w:hint="eastAsia" w:ascii="宋体" w:hAnsi="宋体"/>
          <w:color w:val="auto"/>
          <w:szCs w:val="21"/>
        </w:rPr>
        <w:t>3.3.2 澄清、说明和补正不得改变投标文件的实质性内容。投标人的书面澄清、说明和补正属于投标文件的组成部分。</w:t>
      </w:r>
    </w:p>
    <w:p w14:paraId="63A21FF1">
      <w:pPr>
        <w:ind w:firstLine="420" w:firstLineChars="200"/>
        <w:rPr>
          <w:rFonts w:ascii="宋体" w:hAnsi="宋体"/>
          <w:color w:val="auto"/>
          <w:szCs w:val="21"/>
        </w:rPr>
      </w:pPr>
      <w:r>
        <w:rPr>
          <w:rFonts w:hint="eastAsia" w:ascii="宋体" w:hAnsi="宋体"/>
          <w:color w:val="auto"/>
          <w:szCs w:val="21"/>
        </w:rPr>
        <w:t>3.3.3 评标委员会对投标人提交的澄清、说明或补正有疑问的，可以要求投标人进一步澄清、说明或补正，直至满足评标委员会的要求。</w:t>
      </w:r>
    </w:p>
    <w:p w14:paraId="2E966B7E">
      <w:pPr>
        <w:ind w:firstLine="422" w:firstLineChars="200"/>
        <w:rPr>
          <w:rFonts w:ascii="宋体" w:hAnsi="宋体"/>
          <w:b/>
          <w:color w:val="auto"/>
          <w:szCs w:val="21"/>
        </w:rPr>
      </w:pPr>
      <w:bookmarkStart w:id="156" w:name="_Toc310452027"/>
      <w:bookmarkStart w:id="157" w:name="_Toc302769268"/>
      <w:bookmarkStart w:id="158" w:name="_Toc310438017"/>
      <w:bookmarkStart w:id="159" w:name="_Toc304808747"/>
      <w:bookmarkStart w:id="160" w:name="_Toc304811344"/>
      <w:bookmarkStart w:id="161" w:name="_Toc304994463"/>
      <w:bookmarkStart w:id="162" w:name="_Toc310451844"/>
      <w:bookmarkStart w:id="163" w:name="_Toc310438581"/>
      <w:r>
        <w:rPr>
          <w:rFonts w:hint="eastAsia" w:ascii="宋体" w:hAnsi="宋体"/>
          <w:b/>
          <w:color w:val="auto"/>
          <w:szCs w:val="21"/>
        </w:rPr>
        <w:t>3.4 评标结果</w:t>
      </w:r>
      <w:bookmarkEnd w:id="155"/>
      <w:bookmarkEnd w:id="156"/>
      <w:bookmarkEnd w:id="157"/>
      <w:bookmarkEnd w:id="158"/>
      <w:bookmarkEnd w:id="159"/>
      <w:bookmarkEnd w:id="160"/>
      <w:bookmarkEnd w:id="161"/>
      <w:bookmarkEnd w:id="162"/>
      <w:bookmarkEnd w:id="163"/>
    </w:p>
    <w:p w14:paraId="5CF0A5F0">
      <w:pPr>
        <w:ind w:firstLine="420" w:firstLineChars="200"/>
        <w:rPr>
          <w:rFonts w:ascii="宋体" w:hAnsi="宋体"/>
          <w:color w:val="auto"/>
          <w:szCs w:val="21"/>
        </w:rPr>
      </w:pPr>
      <w:bookmarkStart w:id="164" w:name="_Toc310452028"/>
      <w:bookmarkStart w:id="165" w:name="_Toc310438018"/>
      <w:bookmarkStart w:id="166" w:name="_Toc304811345"/>
      <w:bookmarkStart w:id="167" w:name="_Toc310451845"/>
      <w:bookmarkStart w:id="168" w:name="_Toc302769269"/>
      <w:bookmarkStart w:id="169" w:name="_Toc310438126"/>
      <w:bookmarkStart w:id="170" w:name="_Toc304994464"/>
      <w:bookmarkStart w:id="171" w:name="_Toc304808748"/>
      <w:bookmarkStart w:id="172" w:name="_Toc310438582"/>
      <w:r>
        <w:rPr>
          <w:rFonts w:hint="eastAsia" w:ascii="宋体" w:hAnsi="宋体"/>
          <w:color w:val="auto"/>
          <w:szCs w:val="21"/>
        </w:rPr>
        <w:t>3.4.1 除第二章“投标人须知”前附表授权直接确定中标人外，评标委员会按照得分由高到低的顺序推荐中标候选人。</w:t>
      </w:r>
      <w:bookmarkEnd w:id="164"/>
      <w:bookmarkEnd w:id="165"/>
      <w:bookmarkEnd w:id="166"/>
      <w:bookmarkEnd w:id="167"/>
      <w:bookmarkEnd w:id="168"/>
      <w:bookmarkEnd w:id="169"/>
      <w:bookmarkEnd w:id="170"/>
      <w:bookmarkEnd w:id="171"/>
      <w:bookmarkEnd w:id="172"/>
    </w:p>
    <w:p w14:paraId="5ABD7459">
      <w:pPr>
        <w:adjustRightInd w:val="0"/>
        <w:snapToGrid w:val="0"/>
        <w:ind w:firstLine="420" w:firstLineChars="200"/>
        <w:rPr>
          <w:rFonts w:ascii="宋体" w:hAnsi="宋体"/>
          <w:color w:val="auto"/>
          <w:szCs w:val="21"/>
        </w:rPr>
      </w:pPr>
      <w:bookmarkStart w:id="173" w:name="_Toc310438019"/>
      <w:bookmarkStart w:id="174" w:name="_Toc304811346"/>
      <w:bookmarkStart w:id="175" w:name="_Toc310452029"/>
      <w:bookmarkStart w:id="176" w:name="_Toc304808749"/>
      <w:bookmarkStart w:id="177" w:name="_Toc310438583"/>
      <w:bookmarkStart w:id="178" w:name="_Toc304994465"/>
      <w:bookmarkStart w:id="179" w:name="_Toc310451846"/>
      <w:bookmarkStart w:id="180" w:name="_Toc302769270"/>
      <w:bookmarkStart w:id="181" w:name="_Toc310438127"/>
      <w:r>
        <w:rPr>
          <w:rFonts w:hint="eastAsia" w:ascii="宋体" w:hAnsi="宋体"/>
          <w:color w:val="auto"/>
          <w:szCs w:val="21"/>
        </w:rPr>
        <w:t>3.4.2 评标委员会完成评标后，应当向招标人提交书面评标报告。</w:t>
      </w:r>
      <w:bookmarkEnd w:id="173"/>
      <w:bookmarkEnd w:id="174"/>
      <w:bookmarkEnd w:id="175"/>
      <w:bookmarkEnd w:id="176"/>
      <w:bookmarkEnd w:id="177"/>
      <w:bookmarkEnd w:id="178"/>
      <w:bookmarkEnd w:id="179"/>
      <w:bookmarkEnd w:id="180"/>
      <w:bookmarkEnd w:id="181"/>
    </w:p>
    <w:p w14:paraId="29A9DF98">
      <w:pPr>
        <w:adjustRightInd w:val="0"/>
        <w:snapToGrid w:val="0"/>
        <w:ind w:firstLine="422" w:firstLineChars="200"/>
        <w:rPr>
          <w:rFonts w:ascii="宋体" w:hAnsi="宋体"/>
          <w:b/>
          <w:color w:val="auto"/>
          <w:szCs w:val="21"/>
        </w:rPr>
      </w:pPr>
    </w:p>
    <w:p w14:paraId="6998D9D6">
      <w:pPr>
        <w:adjustRightInd w:val="0"/>
        <w:snapToGrid w:val="0"/>
        <w:ind w:firstLine="422" w:firstLineChars="200"/>
        <w:rPr>
          <w:rFonts w:ascii="宋体" w:hAnsi="宋体"/>
          <w:b/>
          <w:color w:val="auto"/>
          <w:szCs w:val="21"/>
        </w:rPr>
      </w:pPr>
    </w:p>
    <w:p w14:paraId="7C526DD2">
      <w:pPr>
        <w:adjustRightInd w:val="0"/>
        <w:snapToGrid w:val="0"/>
        <w:ind w:firstLine="422" w:firstLineChars="200"/>
        <w:rPr>
          <w:rFonts w:ascii="宋体" w:hAnsi="宋体"/>
          <w:b/>
          <w:color w:val="auto"/>
          <w:szCs w:val="21"/>
        </w:rPr>
      </w:pPr>
    </w:p>
    <w:p w14:paraId="4AF91364">
      <w:pPr>
        <w:adjustRightInd w:val="0"/>
        <w:snapToGrid w:val="0"/>
        <w:ind w:firstLine="422" w:firstLineChars="200"/>
        <w:rPr>
          <w:rFonts w:ascii="宋体" w:hAnsi="宋体"/>
          <w:b/>
          <w:color w:val="auto"/>
          <w:szCs w:val="21"/>
        </w:rPr>
      </w:pPr>
    </w:p>
    <w:p w14:paraId="4E5730BA">
      <w:pPr>
        <w:adjustRightInd w:val="0"/>
        <w:snapToGrid w:val="0"/>
        <w:ind w:firstLine="422" w:firstLineChars="200"/>
        <w:rPr>
          <w:rFonts w:ascii="宋体" w:hAnsi="宋体"/>
          <w:b/>
          <w:color w:val="auto"/>
          <w:szCs w:val="21"/>
        </w:rPr>
      </w:pPr>
    </w:p>
    <w:p w14:paraId="4F06EB26">
      <w:pPr>
        <w:adjustRightInd w:val="0"/>
        <w:snapToGrid w:val="0"/>
        <w:ind w:firstLine="422" w:firstLineChars="200"/>
        <w:rPr>
          <w:rFonts w:ascii="宋体" w:hAnsi="宋体"/>
          <w:b/>
          <w:color w:val="auto"/>
          <w:szCs w:val="21"/>
        </w:rPr>
      </w:pPr>
    </w:p>
    <w:p w14:paraId="24985AA3">
      <w:pPr>
        <w:adjustRightInd w:val="0"/>
        <w:snapToGrid w:val="0"/>
        <w:ind w:firstLine="422" w:firstLineChars="200"/>
        <w:rPr>
          <w:rFonts w:ascii="宋体" w:hAnsi="宋体"/>
          <w:b/>
          <w:color w:val="auto"/>
          <w:szCs w:val="21"/>
        </w:rPr>
      </w:pPr>
    </w:p>
    <w:p w14:paraId="54E59564">
      <w:pPr>
        <w:adjustRightInd w:val="0"/>
        <w:snapToGrid w:val="0"/>
        <w:ind w:firstLine="422" w:firstLineChars="200"/>
        <w:rPr>
          <w:rFonts w:ascii="宋体" w:hAnsi="宋体"/>
          <w:b/>
          <w:color w:val="auto"/>
          <w:szCs w:val="21"/>
        </w:rPr>
      </w:pPr>
    </w:p>
    <w:p w14:paraId="31160000">
      <w:pPr>
        <w:adjustRightInd w:val="0"/>
        <w:snapToGrid w:val="0"/>
        <w:ind w:firstLine="422" w:firstLineChars="200"/>
        <w:rPr>
          <w:rFonts w:ascii="宋体" w:hAnsi="宋体"/>
          <w:b/>
          <w:color w:val="auto"/>
          <w:szCs w:val="21"/>
        </w:rPr>
      </w:pPr>
    </w:p>
    <w:p w14:paraId="3D09E321">
      <w:pPr>
        <w:adjustRightInd w:val="0"/>
        <w:snapToGrid w:val="0"/>
        <w:ind w:firstLine="422" w:firstLineChars="200"/>
        <w:rPr>
          <w:rFonts w:ascii="宋体" w:hAnsi="宋体"/>
          <w:b/>
          <w:color w:val="auto"/>
          <w:szCs w:val="21"/>
        </w:rPr>
      </w:pPr>
    </w:p>
    <w:p w14:paraId="1BBFCBB5">
      <w:pPr>
        <w:adjustRightInd w:val="0"/>
        <w:snapToGrid w:val="0"/>
        <w:ind w:firstLine="422" w:firstLineChars="200"/>
        <w:rPr>
          <w:rFonts w:ascii="宋体" w:hAnsi="宋体"/>
          <w:b/>
          <w:color w:val="auto"/>
          <w:szCs w:val="21"/>
        </w:rPr>
      </w:pPr>
    </w:p>
    <w:p w14:paraId="1F56F4DF">
      <w:pPr>
        <w:adjustRightInd w:val="0"/>
        <w:snapToGrid w:val="0"/>
        <w:ind w:firstLine="422" w:firstLineChars="200"/>
        <w:rPr>
          <w:rFonts w:hint="eastAsia" w:ascii="宋体" w:hAnsi="宋体"/>
          <w:b/>
          <w:color w:val="auto"/>
          <w:szCs w:val="21"/>
        </w:rPr>
      </w:pPr>
    </w:p>
    <w:p w14:paraId="41BE0537">
      <w:pPr>
        <w:adjustRightInd w:val="0"/>
        <w:snapToGrid w:val="0"/>
        <w:ind w:firstLine="422" w:firstLineChars="200"/>
        <w:rPr>
          <w:rFonts w:ascii="宋体" w:hAnsi="宋体"/>
          <w:b/>
          <w:color w:val="auto"/>
          <w:szCs w:val="21"/>
        </w:rPr>
      </w:pPr>
      <w:r>
        <w:rPr>
          <w:rFonts w:hint="eastAsia" w:ascii="宋体" w:hAnsi="宋体"/>
          <w:b/>
          <w:color w:val="auto"/>
          <w:szCs w:val="21"/>
        </w:rPr>
        <w:t>附件：否决投标条件</w:t>
      </w:r>
    </w:p>
    <w:p w14:paraId="01370765">
      <w:pPr>
        <w:adjustRightInd w:val="0"/>
        <w:snapToGrid w:val="0"/>
        <w:spacing w:before="312" w:beforeLines="100" w:after="312" w:afterLines="100"/>
        <w:ind w:firstLine="422" w:firstLineChars="200"/>
        <w:jc w:val="center"/>
        <w:rPr>
          <w:rFonts w:ascii="宋体" w:hAnsi="宋体"/>
          <w:b/>
          <w:color w:val="auto"/>
          <w:szCs w:val="21"/>
        </w:rPr>
      </w:pPr>
      <w:r>
        <w:rPr>
          <w:rFonts w:hint="eastAsia" w:ascii="宋体" w:hAnsi="宋体"/>
          <w:b/>
          <w:color w:val="auto"/>
          <w:szCs w:val="21"/>
        </w:rPr>
        <w:t>否决投标条件</w:t>
      </w:r>
    </w:p>
    <w:p w14:paraId="540F666A">
      <w:pPr>
        <w:adjustRightInd w:val="0"/>
        <w:snapToGrid w:val="0"/>
        <w:rPr>
          <w:rFonts w:ascii="宋体" w:hAnsi="宋体"/>
          <w:b/>
          <w:color w:val="auto"/>
          <w:szCs w:val="21"/>
        </w:rPr>
      </w:pPr>
      <w:r>
        <w:rPr>
          <w:rFonts w:ascii="宋体" w:hAnsi="宋体"/>
          <w:b/>
          <w:color w:val="auto"/>
          <w:szCs w:val="21"/>
        </w:rPr>
        <w:t>1</w:t>
      </w:r>
      <w:r>
        <w:rPr>
          <w:rFonts w:hint="eastAsia" w:ascii="宋体" w:hAnsi="宋体"/>
          <w:b/>
          <w:color w:val="auto"/>
          <w:szCs w:val="21"/>
        </w:rPr>
        <w:t>.总则</w:t>
      </w:r>
    </w:p>
    <w:p w14:paraId="35850C82">
      <w:pPr>
        <w:adjustRightInd w:val="0"/>
        <w:snapToGrid w:val="0"/>
        <w:ind w:firstLine="420" w:firstLineChars="200"/>
        <w:rPr>
          <w:rFonts w:ascii="宋体" w:hAnsi="宋体"/>
          <w:color w:val="auto"/>
          <w:szCs w:val="21"/>
        </w:rPr>
      </w:pPr>
      <w:r>
        <w:rPr>
          <w:rFonts w:hint="eastAsia" w:ascii="宋体" w:hAnsi="宋体"/>
          <w:color w:val="auto"/>
          <w:szCs w:val="21"/>
        </w:rPr>
        <w:t>本附件所集中列示的否决投标条件，是本章“评标办法”的组成部分，是对第二章“投标人须知”和本章正文部分所规定的否决投标条件的总结和补充，如果出现相互矛盾的情况，以本附件的规定为准，其他地方列出的否决投标条件无效，评标委员会不能依据招标文件“否决投标条件”之外的条款否决投标。</w:t>
      </w:r>
    </w:p>
    <w:p w14:paraId="798BE98A">
      <w:pPr>
        <w:adjustRightInd w:val="0"/>
        <w:snapToGrid w:val="0"/>
        <w:rPr>
          <w:rFonts w:ascii="宋体" w:hAnsi="宋体"/>
          <w:b/>
          <w:color w:val="auto"/>
          <w:szCs w:val="21"/>
        </w:rPr>
      </w:pPr>
      <w:r>
        <w:rPr>
          <w:rFonts w:ascii="宋体" w:hAnsi="宋体"/>
          <w:b/>
          <w:color w:val="auto"/>
          <w:szCs w:val="21"/>
        </w:rPr>
        <w:t>2</w:t>
      </w:r>
      <w:r>
        <w:rPr>
          <w:rFonts w:hint="eastAsia" w:ascii="宋体" w:hAnsi="宋体"/>
          <w:b/>
          <w:color w:val="auto"/>
          <w:szCs w:val="21"/>
        </w:rPr>
        <w:t>.</w:t>
      </w:r>
      <w:r>
        <w:rPr>
          <w:rFonts w:ascii="宋体" w:hAnsi="宋体"/>
          <w:b/>
          <w:color w:val="auto"/>
          <w:szCs w:val="21"/>
        </w:rPr>
        <w:t>否决投标条件</w:t>
      </w:r>
    </w:p>
    <w:p w14:paraId="3ACF027B">
      <w:pPr>
        <w:autoSpaceDE w:val="0"/>
        <w:autoSpaceDN w:val="0"/>
        <w:adjustRightInd w:val="0"/>
        <w:ind w:firstLine="422" w:firstLineChars="200"/>
        <w:rPr>
          <w:rFonts w:ascii="宋体" w:hAnsi="宋体"/>
          <w:b/>
          <w:color w:val="auto"/>
          <w:szCs w:val="21"/>
        </w:rPr>
      </w:pPr>
      <w:r>
        <w:rPr>
          <w:rFonts w:hint="eastAsia" w:ascii="宋体" w:hAnsi="宋体"/>
          <w:b/>
          <w:color w:val="auto"/>
          <w:szCs w:val="21"/>
        </w:rPr>
        <w:t>投标人或投标文件有下列情形之一的</w:t>
      </w:r>
      <w:r>
        <w:rPr>
          <w:rFonts w:hint="eastAsia" w:ascii="宋体" w:hAnsi="宋体"/>
          <w:b/>
          <w:color w:val="auto"/>
          <w:szCs w:val="21"/>
          <w:lang w:eastAsia="zh-CN"/>
        </w:rPr>
        <w:t>，</w:t>
      </w:r>
      <w:r>
        <w:rPr>
          <w:rFonts w:hint="eastAsia" w:ascii="宋体" w:hAnsi="宋体"/>
          <w:b/>
          <w:color w:val="auto"/>
          <w:szCs w:val="21"/>
        </w:rPr>
        <w:t>其投标作否决投标处理</w:t>
      </w:r>
      <w:r>
        <w:rPr>
          <w:rFonts w:hint="eastAsia" w:ascii="宋体" w:hAnsi="宋体"/>
          <w:b/>
          <w:color w:val="auto"/>
          <w:szCs w:val="21"/>
          <w:lang w:eastAsia="zh-CN"/>
        </w:rPr>
        <w:t>（</w:t>
      </w:r>
      <w:r>
        <w:rPr>
          <w:rFonts w:hint="eastAsia" w:ascii="宋体" w:hAnsi="宋体"/>
          <w:b/>
          <w:color w:val="auto"/>
          <w:szCs w:val="21"/>
        </w:rPr>
        <w:t>其他</w:t>
      </w:r>
      <w:r>
        <w:rPr>
          <w:rFonts w:ascii="宋体" w:hAnsi="宋体"/>
          <w:b/>
          <w:color w:val="auto"/>
          <w:szCs w:val="21"/>
        </w:rPr>
        <w:t>情形视为</w:t>
      </w:r>
      <w:r>
        <w:rPr>
          <w:rFonts w:hint="eastAsia" w:ascii="宋体" w:hAnsi="宋体"/>
          <w:b/>
          <w:color w:val="auto"/>
          <w:szCs w:val="21"/>
        </w:rPr>
        <w:t>细微</w:t>
      </w:r>
      <w:r>
        <w:rPr>
          <w:rFonts w:ascii="宋体" w:hAnsi="宋体"/>
          <w:b/>
          <w:color w:val="auto"/>
          <w:szCs w:val="21"/>
        </w:rPr>
        <w:t>偏差</w:t>
      </w:r>
      <w:r>
        <w:rPr>
          <w:rFonts w:hint="eastAsia" w:ascii="宋体" w:hAnsi="宋体"/>
          <w:b/>
          <w:color w:val="auto"/>
          <w:szCs w:val="21"/>
        </w:rPr>
        <w:t>，</w:t>
      </w:r>
      <w:r>
        <w:rPr>
          <w:rFonts w:ascii="宋体" w:hAnsi="宋体"/>
          <w:b/>
          <w:color w:val="auto"/>
          <w:szCs w:val="21"/>
        </w:rPr>
        <w:t>不作否决投标处理</w:t>
      </w:r>
      <w:r>
        <w:rPr>
          <w:rFonts w:hint="eastAsia" w:ascii="宋体" w:hAnsi="宋体"/>
          <w:b/>
          <w:color w:val="auto"/>
          <w:szCs w:val="21"/>
          <w:lang w:eastAsia="zh-CN"/>
        </w:rPr>
        <w:t>）</w:t>
      </w:r>
      <w:r>
        <w:rPr>
          <w:rFonts w:hint="eastAsia" w:ascii="宋体" w:hAnsi="宋体"/>
          <w:b/>
          <w:color w:val="auto"/>
          <w:szCs w:val="21"/>
        </w:rPr>
        <w:t>：</w:t>
      </w:r>
    </w:p>
    <w:p w14:paraId="5F1BBF56">
      <w:pPr>
        <w:adjustRightInd w:val="0"/>
        <w:snapToGrid w:val="0"/>
        <w:ind w:firstLine="420" w:firstLineChars="200"/>
        <w:rPr>
          <w:rFonts w:ascii="宋体" w:hAnsi="宋体"/>
          <w:color w:val="auto"/>
          <w:szCs w:val="21"/>
        </w:rPr>
      </w:pPr>
      <w:r>
        <w:rPr>
          <w:rFonts w:hint="eastAsia" w:ascii="宋体" w:hAnsi="宋体"/>
          <w:color w:val="auto"/>
          <w:szCs w:val="21"/>
        </w:rPr>
        <w:t>2.1有串通投标行为或弄虚作假或有其他违法行为的。</w:t>
      </w:r>
    </w:p>
    <w:p w14:paraId="596BD7F3">
      <w:pPr>
        <w:adjustRightInd w:val="0"/>
        <w:snapToGrid w:val="0"/>
        <w:ind w:firstLine="420" w:firstLineChars="200"/>
        <w:rPr>
          <w:rFonts w:ascii="宋体" w:hAnsi="宋体"/>
          <w:color w:val="auto"/>
          <w:szCs w:val="21"/>
        </w:rPr>
      </w:pPr>
      <w:r>
        <w:rPr>
          <w:rFonts w:hint="eastAsia" w:ascii="宋体" w:hAnsi="宋体"/>
          <w:color w:val="auto"/>
          <w:szCs w:val="21"/>
        </w:rPr>
        <w:t>2.2不按评标委员会要求澄清、说明或补正的；</w:t>
      </w:r>
    </w:p>
    <w:p w14:paraId="7AD5C829">
      <w:pPr>
        <w:adjustRightInd w:val="0"/>
        <w:snapToGrid w:val="0"/>
        <w:ind w:firstLine="420" w:firstLineChars="200"/>
        <w:rPr>
          <w:rFonts w:ascii="宋体" w:hAnsi="宋体"/>
          <w:color w:val="auto"/>
          <w:szCs w:val="21"/>
        </w:rPr>
      </w:pPr>
      <w:r>
        <w:rPr>
          <w:rFonts w:hint="eastAsia" w:ascii="宋体" w:hAnsi="宋体"/>
          <w:color w:val="auto"/>
          <w:szCs w:val="21"/>
        </w:rPr>
        <w:t>2.3投标人报价</w:t>
      </w:r>
      <w:r>
        <w:rPr>
          <w:rFonts w:hint="eastAsia" w:ascii="宋体" w:hAnsi="宋体"/>
          <w:color w:val="auto"/>
          <w:szCs w:val="21"/>
          <w:lang w:eastAsia="zh-CN"/>
        </w:rPr>
        <w:t>存在</w:t>
      </w:r>
      <w:r>
        <w:rPr>
          <w:rFonts w:hint="eastAsia" w:ascii="宋体" w:hAnsi="宋体"/>
          <w:color w:val="auto"/>
          <w:szCs w:val="21"/>
        </w:rPr>
        <w:t>重大漏项、缺项，且在投标书中没有明确的阐述和承诺的；</w:t>
      </w:r>
    </w:p>
    <w:p w14:paraId="750ACD14">
      <w:pPr>
        <w:adjustRightInd w:val="0"/>
        <w:snapToGrid w:val="0"/>
        <w:ind w:firstLine="420" w:firstLineChars="200"/>
        <w:rPr>
          <w:rFonts w:ascii="宋体" w:hAnsi="宋体"/>
          <w:color w:val="auto"/>
          <w:szCs w:val="21"/>
        </w:rPr>
      </w:pPr>
      <w:r>
        <w:rPr>
          <w:rFonts w:hint="eastAsia" w:ascii="宋体" w:hAnsi="宋体"/>
          <w:color w:val="auto"/>
          <w:szCs w:val="21"/>
        </w:rPr>
        <w:t>2.4未按规定的格式填写</w:t>
      </w:r>
      <w:r>
        <w:rPr>
          <w:rFonts w:hint="eastAsia" w:ascii="宋体" w:hAnsi="宋体"/>
          <w:color w:val="auto"/>
          <w:szCs w:val="21"/>
          <w:lang w:eastAsia="zh-CN"/>
        </w:rPr>
        <w:t>，</w:t>
      </w:r>
      <w:r>
        <w:rPr>
          <w:rFonts w:hint="eastAsia" w:ascii="宋体" w:hAnsi="宋体"/>
          <w:color w:val="auto"/>
          <w:szCs w:val="21"/>
        </w:rPr>
        <w:t>内容不全或关键内容字迹模糊、无法辨认的；</w:t>
      </w:r>
    </w:p>
    <w:p w14:paraId="2FB1E036">
      <w:pPr>
        <w:adjustRightInd w:val="0"/>
        <w:snapToGrid w:val="0"/>
        <w:ind w:firstLine="420" w:firstLineChars="200"/>
        <w:rPr>
          <w:rFonts w:ascii="宋体" w:hAnsi="宋体"/>
          <w:color w:val="auto"/>
          <w:szCs w:val="21"/>
        </w:rPr>
      </w:pPr>
      <w:r>
        <w:rPr>
          <w:rFonts w:hint="eastAsia" w:ascii="宋体" w:hAnsi="宋体"/>
          <w:color w:val="auto"/>
          <w:szCs w:val="21"/>
        </w:rPr>
        <w:t>2.5在形式评审、资格评审、响应性评审、价格审查中，评标委员会认定投标人的投标不符合评标办法前附表中规定的任何一项评审标准的。</w:t>
      </w:r>
    </w:p>
    <w:p w14:paraId="669CC8A2">
      <w:pPr>
        <w:adjustRightInd w:val="0"/>
        <w:snapToGrid w:val="0"/>
        <w:ind w:firstLine="420" w:firstLineChars="200"/>
        <w:rPr>
          <w:rFonts w:ascii="宋体" w:hAnsi="宋体"/>
          <w:color w:val="auto"/>
          <w:szCs w:val="21"/>
        </w:rPr>
      </w:pPr>
    </w:p>
    <w:p w14:paraId="047268AC">
      <w:pPr>
        <w:ind w:firstLine="420" w:firstLineChars="200"/>
        <w:rPr>
          <w:rFonts w:ascii="宋体" w:hAnsi="宋体"/>
          <w:color w:val="auto"/>
          <w:szCs w:val="21"/>
        </w:rPr>
      </w:pPr>
    </w:p>
    <w:p w14:paraId="61D79CE2">
      <w:pPr>
        <w:ind w:firstLine="420" w:firstLineChars="200"/>
        <w:rPr>
          <w:rFonts w:ascii="宋体" w:hAnsi="宋体"/>
          <w:color w:val="auto"/>
          <w:szCs w:val="21"/>
        </w:rPr>
      </w:pPr>
    </w:p>
    <w:p w14:paraId="7736649A">
      <w:pPr>
        <w:ind w:firstLine="420" w:firstLineChars="200"/>
        <w:rPr>
          <w:rFonts w:ascii="宋体" w:hAnsi="宋体"/>
          <w:color w:val="auto"/>
          <w:szCs w:val="21"/>
        </w:rPr>
      </w:pPr>
    </w:p>
    <w:p w14:paraId="4F2CF4EC">
      <w:pPr>
        <w:ind w:firstLine="420" w:firstLineChars="200"/>
        <w:rPr>
          <w:rFonts w:ascii="宋体" w:hAnsi="宋体"/>
          <w:color w:val="auto"/>
          <w:szCs w:val="21"/>
        </w:rPr>
      </w:pPr>
    </w:p>
    <w:p w14:paraId="4E39D0D0">
      <w:pPr>
        <w:ind w:firstLine="420" w:firstLineChars="200"/>
        <w:rPr>
          <w:rFonts w:ascii="宋体" w:hAnsi="宋体"/>
          <w:color w:val="auto"/>
          <w:szCs w:val="21"/>
        </w:rPr>
      </w:pPr>
    </w:p>
    <w:p w14:paraId="6C64211A">
      <w:pPr>
        <w:ind w:firstLine="420" w:firstLineChars="200"/>
        <w:rPr>
          <w:rFonts w:ascii="宋体" w:hAnsi="宋体"/>
          <w:color w:val="auto"/>
          <w:szCs w:val="21"/>
        </w:rPr>
      </w:pPr>
    </w:p>
    <w:p w14:paraId="5CABF2AB">
      <w:pPr>
        <w:ind w:firstLine="420" w:firstLineChars="200"/>
        <w:rPr>
          <w:rFonts w:ascii="宋体" w:hAnsi="宋体"/>
          <w:color w:val="auto"/>
          <w:szCs w:val="21"/>
        </w:rPr>
      </w:pPr>
    </w:p>
    <w:p w14:paraId="185087F4">
      <w:pPr>
        <w:ind w:firstLine="420" w:firstLineChars="200"/>
        <w:rPr>
          <w:rFonts w:ascii="宋体" w:hAnsi="宋体"/>
          <w:color w:val="auto"/>
          <w:szCs w:val="21"/>
        </w:rPr>
      </w:pPr>
    </w:p>
    <w:p w14:paraId="77E50D89">
      <w:pPr>
        <w:ind w:firstLine="420" w:firstLineChars="200"/>
        <w:rPr>
          <w:rFonts w:ascii="宋体" w:hAnsi="宋体"/>
          <w:color w:val="auto"/>
          <w:szCs w:val="21"/>
        </w:rPr>
      </w:pPr>
    </w:p>
    <w:p w14:paraId="6645678A">
      <w:pPr>
        <w:ind w:firstLine="420" w:firstLineChars="200"/>
        <w:rPr>
          <w:rFonts w:ascii="宋体" w:hAnsi="宋体"/>
          <w:color w:val="auto"/>
          <w:szCs w:val="21"/>
        </w:rPr>
      </w:pPr>
    </w:p>
    <w:p w14:paraId="7D14A987">
      <w:pPr>
        <w:ind w:firstLine="420" w:firstLineChars="200"/>
        <w:rPr>
          <w:rFonts w:ascii="宋体" w:hAnsi="宋体"/>
          <w:color w:val="auto"/>
          <w:szCs w:val="21"/>
        </w:rPr>
      </w:pPr>
    </w:p>
    <w:p w14:paraId="3C5DA30E">
      <w:pPr>
        <w:ind w:firstLine="420" w:firstLineChars="200"/>
        <w:rPr>
          <w:rFonts w:ascii="宋体" w:hAnsi="宋体"/>
          <w:color w:val="auto"/>
          <w:szCs w:val="21"/>
        </w:rPr>
      </w:pPr>
    </w:p>
    <w:p w14:paraId="72B457A0">
      <w:pPr>
        <w:ind w:firstLine="420" w:firstLineChars="200"/>
        <w:rPr>
          <w:rFonts w:ascii="宋体" w:hAnsi="宋体"/>
          <w:color w:val="auto"/>
          <w:szCs w:val="21"/>
        </w:rPr>
      </w:pPr>
    </w:p>
    <w:p w14:paraId="7BB5D7D9">
      <w:pPr>
        <w:ind w:firstLine="420" w:firstLineChars="200"/>
        <w:rPr>
          <w:rFonts w:ascii="宋体" w:hAnsi="宋体"/>
          <w:color w:val="auto"/>
          <w:szCs w:val="21"/>
        </w:rPr>
      </w:pPr>
    </w:p>
    <w:p w14:paraId="76AE6EE7">
      <w:pPr>
        <w:ind w:firstLine="420" w:firstLineChars="200"/>
        <w:rPr>
          <w:rFonts w:ascii="宋体" w:hAnsi="宋体"/>
          <w:color w:val="auto"/>
          <w:szCs w:val="21"/>
        </w:rPr>
      </w:pPr>
    </w:p>
    <w:p w14:paraId="2C13C7E4">
      <w:pPr>
        <w:ind w:firstLine="420" w:firstLineChars="200"/>
        <w:rPr>
          <w:rFonts w:ascii="宋体" w:hAnsi="宋体"/>
          <w:color w:val="auto"/>
          <w:szCs w:val="21"/>
        </w:rPr>
      </w:pPr>
    </w:p>
    <w:p w14:paraId="70B7E1FF">
      <w:pPr>
        <w:ind w:firstLine="420" w:firstLineChars="200"/>
        <w:rPr>
          <w:rFonts w:ascii="宋体" w:hAnsi="宋体"/>
          <w:color w:val="auto"/>
          <w:szCs w:val="21"/>
        </w:rPr>
      </w:pPr>
    </w:p>
    <w:p w14:paraId="118E2007">
      <w:pPr>
        <w:ind w:firstLine="420" w:firstLineChars="200"/>
        <w:rPr>
          <w:rFonts w:ascii="宋体" w:hAnsi="宋体"/>
          <w:color w:val="auto"/>
          <w:szCs w:val="21"/>
        </w:rPr>
      </w:pPr>
    </w:p>
    <w:p w14:paraId="31117527">
      <w:pPr>
        <w:ind w:firstLine="420" w:firstLineChars="200"/>
        <w:rPr>
          <w:rFonts w:ascii="宋体" w:hAnsi="宋体"/>
          <w:color w:val="auto"/>
          <w:szCs w:val="21"/>
        </w:rPr>
      </w:pPr>
    </w:p>
    <w:p w14:paraId="6A377AFD">
      <w:pPr>
        <w:ind w:firstLine="420" w:firstLineChars="200"/>
        <w:rPr>
          <w:rFonts w:ascii="宋体" w:hAnsi="宋体"/>
          <w:color w:val="auto"/>
          <w:szCs w:val="21"/>
        </w:rPr>
      </w:pPr>
    </w:p>
    <w:p w14:paraId="76386862">
      <w:pPr>
        <w:ind w:firstLine="420" w:firstLineChars="200"/>
        <w:rPr>
          <w:rFonts w:ascii="宋体" w:hAnsi="宋体"/>
          <w:color w:val="auto"/>
          <w:szCs w:val="21"/>
        </w:rPr>
      </w:pPr>
    </w:p>
    <w:p w14:paraId="065CBE84">
      <w:pPr>
        <w:ind w:firstLine="420" w:firstLineChars="200"/>
        <w:rPr>
          <w:rFonts w:ascii="宋体" w:hAnsi="宋体"/>
          <w:color w:val="auto"/>
          <w:szCs w:val="21"/>
        </w:rPr>
      </w:pPr>
    </w:p>
    <w:p w14:paraId="7835CEB2">
      <w:pPr>
        <w:ind w:firstLine="420" w:firstLineChars="200"/>
        <w:rPr>
          <w:rFonts w:ascii="宋体" w:hAnsi="宋体"/>
          <w:color w:val="auto"/>
          <w:szCs w:val="21"/>
        </w:rPr>
      </w:pPr>
    </w:p>
    <w:p w14:paraId="397B0F21">
      <w:pPr>
        <w:ind w:firstLine="420" w:firstLineChars="200"/>
        <w:rPr>
          <w:rFonts w:ascii="宋体" w:hAnsi="宋体"/>
          <w:color w:val="auto"/>
          <w:szCs w:val="21"/>
        </w:rPr>
      </w:pPr>
    </w:p>
    <w:p w14:paraId="7C485AC8">
      <w:pPr>
        <w:ind w:firstLine="420" w:firstLineChars="200"/>
        <w:rPr>
          <w:rFonts w:ascii="宋体" w:hAnsi="宋体"/>
          <w:color w:val="auto"/>
          <w:szCs w:val="21"/>
        </w:rPr>
      </w:pPr>
    </w:p>
    <w:p w14:paraId="41E5FF10">
      <w:pPr>
        <w:adjustRightInd w:val="0"/>
        <w:snapToGrid w:val="0"/>
        <w:spacing w:line="440" w:lineRule="exact"/>
        <w:rPr>
          <w:rFonts w:ascii="宋体" w:hAnsi="宋体"/>
          <w:color w:val="auto"/>
          <w:szCs w:val="21"/>
        </w:rPr>
      </w:pPr>
    </w:p>
    <w:p w14:paraId="2C3458CB">
      <w:pPr>
        <w:pStyle w:val="3"/>
        <w:spacing w:before="312" w:after="312"/>
        <w:rPr>
          <w:rFonts w:hAnsi="宋体"/>
          <w:bCs w:val="0"/>
          <w:color w:val="auto"/>
          <w:sz w:val="48"/>
        </w:rPr>
      </w:pPr>
      <w:bookmarkStart w:id="182" w:name="_Toc4012"/>
      <w:r>
        <w:rPr>
          <w:rFonts w:hint="eastAsia" w:hAnsi="宋体"/>
          <w:bCs w:val="0"/>
          <w:color w:val="auto"/>
          <w:sz w:val="48"/>
          <w:lang w:val="en-US" w:eastAsia="zh-CN"/>
        </w:rPr>
        <w:t xml:space="preserve">   </w:t>
      </w:r>
      <w:r>
        <w:rPr>
          <w:rFonts w:hint="eastAsia" w:hAnsi="宋体"/>
          <w:bCs w:val="0"/>
          <w:color w:val="auto"/>
          <w:sz w:val="48"/>
        </w:rPr>
        <w:t>第四章合同条款及格</w:t>
      </w:r>
      <w:bookmarkStart w:id="183" w:name="_Toc480918518"/>
      <w:r>
        <w:rPr>
          <w:rFonts w:hint="eastAsia" w:hAnsi="宋体"/>
          <w:bCs w:val="0"/>
          <w:color w:val="auto"/>
          <w:sz w:val="48"/>
        </w:rPr>
        <w:t>式</w:t>
      </w:r>
      <w:bookmarkEnd w:id="182"/>
    </w:p>
    <w:bookmarkEnd w:id="183"/>
    <w:p w14:paraId="72C8C724">
      <w:pPr>
        <w:jc w:val="center"/>
        <w:rPr>
          <w:rFonts w:ascii="阿里巴巴普惠体 L" w:hAnsi="宋体" w:eastAsia="阿里巴巴普惠体 L"/>
          <w:b/>
          <w:bCs/>
          <w:color w:val="auto"/>
          <w:sz w:val="72"/>
          <w:szCs w:val="72"/>
        </w:rPr>
      </w:pPr>
      <w:r>
        <w:rPr>
          <w:rFonts w:hint="eastAsia" w:ascii="阿里巴巴普惠体 L" w:hAnsi="宋体" w:eastAsia="阿里巴巴普惠体 L"/>
          <w:b/>
          <w:bCs/>
          <w:color w:val="auto"/>
          <w:sz w:val="72"/>
          <w:szCs w:val="72"/>
        </w:rPr>
        <w:t>建设项目工程总承包合同</w:t>
      </w:r>
    </w:p>
    <w:p w14:paraId="10BD30D1">
      <w:pPr>
        <w:jc w:val="center"/>
        <w:rPr>
          <w:rFonts w:ascii="阿里巴巴普惠体 L" w:hAnsi="宋体" w:eastAsia="阿里巴巴普惠体 L"/>
          <w:b/>
          <w:bCs/>
          <w:color w:val="auto"/>
          <w:sz w:val="28"/>
        </w:rPr>
      </w:pPr>
    </w:p>
    <w:p w14:paraId="2E624444">
      <w:pPr>
        <w:jc w:val="center"/>
        <w:rPr>
          <w:rFonts w:ascii="阿里巴巴普惠体 L" w:hAnsi="宋体" w:eastAsia="阿里巴巴普惠体 L"/>
          <w:b/>
          <w:bCs/>
          <w:color w:val="auto"/>
          <w:sz w:val="30"/>
          <w:szCs w:val="30"/>
        </w:rPr>
      </w:pPr>
      <w:r>
        <w:rPr>
          <w:rFonts w:hint="eastAsia" w:ascii="阿里巴巴普惠体 L" w:hAnsi="宋体" w:eastAsia="阿里巴巴普惠体 L"/>
          <w:b/>
          <w:bCs/>
          <w:color w:val="auto"/>
          <w:sz w:val="30"/>
          <w:szCs w:val="30"/>
        </w:rPr>
        <w:t>（本合同条款仅作参考，最终以双方共同商定的合同为准）</w:t>
      </w:r>
    </w:p>
    <w:p w14:paraId="3C67FDA9">
      <w:pPr>
        <w:jc w:val="center"/>
        <w:rPr>
          <w:rFonts w:ascii="阿里巴巴普惠体 L" w:hAnsi="宋体" w:eastAsia="阿里巴巴普惠体 L"/>
          <w:b/>
          <w:bCs/>
          <w:color w:val="auto"/>
          <w:sz w:val="48"/>
        </w:rPr>
      </w:pPr>
    </w:p>
    <w:p w14:paraId="428E92DB">
      <w:pPr>
        <w:spacing w:before="312" w:beforeLines="100" w:after="624" w:afterLines="200"/>
        <w:jc w:val="center"/>
        <w:rPr>
          <w:rFonts w:ascii="阿里巴巴普惠体 L" w:eastAsia="阿里巴巴普惠体 L"/>
          <w:b/>
          <w:color w:val="auto"/>
          <w:sz w:val="44"/>
          <w:szCs w:val="44"/>
        </w:rPr>
        <w:sectPr>
          <w:headerReference r:id="rId14" w:type="default"/>
          <w:footerReference r:id="rId16" w:type="default"/>
          <w:headerReference r:id="rId15" w:type="even"/>
          <w:footerReference r:id="rId17" w:type="even"/>
          <w:pgSz w:w="11906" w:h="16838"/>
          <w:pgMar w:top="1440" w:right="1349" w:bottom="1213" w:left="1349" w:header="851" w:footer="992" w:gutter="0"/>
          <w:pgNumType w:fmt="numberInDash" w:start="1"/>
          <w:cols w:space="425" w:num="1"/>
          <w:docGrid w:type="lines" w:linePitch="312" w:charSpace="0"/>
        </w:sectPr>
      </w:pPr>
    </w:p>
    <w:p w14:paraId="7656FFAF">
      <w:pPr>
        <w:topLinePunct/>
        <w:snapToGrid w:val="0"/>
        <w:spacing w:line="360" w:lineRule="auto"/>
        <w:ind w:firstLine="6674" w:firstLineChars="2400"/>
        <w:contextualSpacing/>
        <w:jc w:val="left"/>
        <w:rPr>
          <w:rFonts w:hint="eastAsia" w:ascii="宋体" w:hAnsi="宋体" w:cs="宋体"/>
          <w:b/>
          <w:bCs/>
          <w:color w:val="auto"/>
          <w:w w:val="99"/>
          <w:kern w:val="0"/>
          <w:sz w:val="28"/>
          <w:szCs w:val="28"/>
        </w:rPr>
      </w:pPr>
    </w:p>
    <w:p w14:paraId="63B46B83">
      <w:pPr>
        <w:topLinePunct/>
        <w:snapToGrid w:val="0"/>
        <w:spacing w:line="360" w:lineRule="auto"/>
        <w:ind w:firstLine="6674" w:firstLineChars="2400"/>
        <w:contextualSpacing/>
        <w:jc w:val="left"/>
        <w:rPr>
          <w:rFonts w:ascii="宋体" w:hAnsi="宋体" w:cs="宋体"/>
          <w:b/>
          <w:bCs/>
          <w:color w:val="auto"/>
          <w:w w:val="99"/>
          <w:kern w:val="0"/>
          <w:sz w:val="28"/>
          <w:szCs w:val="28"/>
        </w:rPr>
      </w:pPr>
      <w:r>
        <w:rPr>
          <w:rFonts w:hint="eastAsia" w:ascii="宋体" w:hAnsi="宋体" w:cs="宋体"/>
          <w:b/>
          <w:bCs/>
          <w:color w:val="auto"/>
          <w:w w:val="99"/>
          <w:kern w:val="0"/>
          <w:sz w:val="28"/>
          <w:szCs w:val="28"/>
        </w:rPr>
        <w:t>合同编号：</w:t>
      </w:r>
    </w:p>
    <w:p w14:paraId="31929819">
      <w:pPr>
        <w:topLinePunct/>
        <w:snapToGrid w:val="0"/>
        <w:spacing w:line="360" w:lineRule="auto"/>
        <w:contextualSpacing/>
        <w:jc w:val="center"/>
        <w:rPr>
          <w:rFonts w:ascii="宋体" w:hAnsi="宋体" w:eastAsia="PMingLiU" w:cs="宋体"/>
          <w:b/>
          <w:bCs/>
          <w:color w:val="auto"/>
          <w:w w:val="99"/>
          <w:kern w:val="0"/>
          <w:sz w:val="28"/>
          <w:szCs w:val="28"/>
          <w:lang w:eastAsia="zh-TW"/>
        </w:rPr>
      </w:pPr>
    </w:p>
    <w:p w14:paraId="0F19D74C">
      <w:pPr>
        <w:pStyle w:val="2"/>
        <w:rPr>
          <w:rFonts w:eastAsia="PMingLiU"/>
          <w:color w:val="auto"/>
          <w:lang w:eastAsia="zh-TW"/>
        </w:rPr>
      </w:pPr>
    </w:p>
    <w:p w14:paraId="59F593BE">
      <w:pPr>
        <w:topLinePunct/>
        <w:snapToGrid w:val="0"/>
        <w:spacing w:line="360" w:lineRule="auto"/>
        <w:contextualSpacing/>
        <w:jc w:val="center"/>
        <w:rPr>
          <w:rFonts w:ascii="宋体" w:hAnsi="宋体" w:cs="宋体"/>
          <w:b/>
          <w:bCs/>
          <w:color w:val="auto"/>
          <w:w w:val="99"/>
          <w:kern w:val="0"/>
          <w:sz w:val="44"/>
          <w:szCs w:val="44"/>
        </w:rPr>
      </w:pPr>
      <w:r>
        <w:rPr>
          <w:rFonts w:hint="eastAsia" w:ascii="宋体" w:hAnsi="宋体" w:cs="宋体"/>
          <w:b/>
          <w:bCs/>
          <w:color w:val="auto"/>
          <w:w w:val="99"/>
          <w:kern w:val="0"/>
          <w:sz w:val="36"/>
          <w:szCs w:val="36"/>
          <w:lang w:eastAsia="zh-CN"/>
        </w:rPr>
        <w:t>镇雄县旧府街道松林湾村石门坎“千万工程”配套基础设施建设项目</w:t>
      </w:r>
      <w:r>
        <w:rPr>
          <w:rFonts w:hint="eastAsia" w:ascii="宋体" w:hAnsi="宋体" w:cs="宋体"/>
          <w:b/>
          <w:bCs/>
          <w:color w:val="auto"/>
          <w:w w:val="99"/>
          <w:kern w:val="0"/>
          <w:sz w:val="36"/>
          <w:szCs w:val="36"/>
        </w:rPr>
        <w:t>（EPC）</w:t>
      </w:r>
    </w:p>
    <w:p w14:paraId="392B608E">
      <w:pPr>
        <w:topLinePunct/>
        <w:snapToGrid w:val="0"/>
        <w:spacing w:line="360" w:lineRule="auto"/>
        <w:contextualSpacing/>
        <w:jc w:val="center"/>
        <w:rPr>
          <w:rFonts w:ascii="宋体" w:hAnsi="宋体" w:cs="宋体"/>
          <w:b/>
          <w:bCs/>
          <w:color w:val="auto"/>
          <w:w w:val="99"/>
          <w:kern w:val="0"/>
          <w:sz w:val="28"/>
          <w:szCs w:val="28"/>
        </w:rPr>
      </w:pPr>
    </w:p>
    <w:p w14:paraId="67BBDB41">
      <w:pPr>
        <w:topLinePunct/>
        <w:snapToGrid w:val="0"/>
        <w:spacing w:line="360" w:lineRule="auto"/>
        <w:contextualSpacing/>
        <w:jc w:val="center"/>
        <w:rPr>
          <w:rFonts w:ascii="宋体" w:hAnsi="宋体" w:cs="宋体"/>
          <w:b/>
          <w:bCs/>
          <w:color w:val="auto"/>
          <w:w w:val="99"/>
          <w:kern w:val="0"/>
          <w:sz w:val="28"/>
          <w:szCs w:val="28"/>
        </w:rPr>
      </w:pPr>
    </w:p>
    <w:p w14:paraId="17DDA58E">
      <w:pPr>
        <w:topLinePunct/>
        <w:snapToGrid w:val="0"/>
        <w:spacing w:line="360" w:lineRule="auto"/>
        <w:contextualSpacing/>
        <w:jc w:val="center"/>
        <w:rPr>
          <w:color w:val="auto"/>
          <w:sz w:val="28"/>
          <w:szCs w:val="28"/>
        </w:rPr>
      </w:pPr>
    </w:p>
    <w:p w14:paraId="03BEDF47">
      <w:pPr>
        <w:topLinePunct/>
        <w:snapToGrid w:val="0"/>
        <w:spacing w:line="360" w:lineRule="auto"/>
        <w:contextualSpacing/>
        <w:jc w:val="center"/>
        <w:rPr>
          <w:rFonts w:ascii="宋体" w:hAnsi="宋体" w:cs="宋体"/>
          <w:b/>
          <w:bCs/>
          <w:color w:val="auto"/>
          <w:w w:val="99"/>
          <w:kern w:val="0"/>
          <w:sz w:val="28"/>
          <w:szCs w:val="28"/>
        </w:rPr>
      </w:pPr>
    </w:p>
    <w:p w14:paraId="1D10E2F7">
      <w:pPr>
        <w:topLinePunct/>
        <w:snapToGrid w:val="0"/>
        <w:spacing w:line="360" w:lineRule="auto"/>
        <w:contextualSpacing/>
        <w:jc w:val="center"/>
        <w:rPr>
          <w:rFonts w:ascii="宋体" w:hAnsi="宋体" w:cs="宋体"/>
          <w:b/>
          <w:bCs/>
          <w:color w:val="auto"/>
          <w:w w:val="99"/>
          <w:kern w:val="0"/>
          <w:sz w:val="28"/>
          <w:szCs w:val="28"/>
        </w:rPr>
      </w:pPr>
    </w:p>
    <w:p w14:paraId="7C27F36A">
      <w:pPr>
        <w:pStyle w:val="23"/>
        <w:rPr>
          <w:rFonts w:ascii="宋体" w:hAnsi="宋体" w:cs="宋体"/>
          <w:b/>
          <w:bCs/>
          <w:color w:val="auto"/>
          <w:w w:val="99"/>
          <w:kern w:val="0"/>
          <w:sz w:val="28"/>
          <w:szCs w:val="28"/>
        </w:rPr>
      </w:pPr>
    </w:p>
    <w:p w14:paraId="5DE05EC4">
      <w:pPr>
        <w:rPr>
          <w:color w:val="auto"/>
        </w:rPr>
      </w:pPr>
    </w:p>
    <w:p w14:paraId="3515B447">
      <w:pPr>
        <w:topLinePunct/>
        <w:snapToGrid w:val="0"/>
        <w:spacing w:line="360" w:lineRule="auto"/>
        <w:contextualSpacing/>
        <w:jc w:val="center"/>
        <w:rPr>
          <w:rFonts w:ascii="宋体" w:hAnsi="宋体" w:cs="宋体"/>
          <w:b/>
          <w:bCs/>
          <w:color w:val="auto"/>
          <w:w w:val="99"/>
          <w:kern w:val="0"/>
          <w:sz w:val="28"/>
          <w:szCs w:val="28"/>
        </w:rPr>
      </w:pPr>
    </w:p>
    <w:p w14:paraId="1812C134">
      <w:pPr>
        <w:topLinePunct/>
        <w:snapToGrid w:val="0"/>
        <w:spacing w:line="360" w:lineRule="auto"/>
        <w:contextualSpacing/>
        <w:jc w:val="center"/>
        <w:rPr>
          <w:rFonts w:ascii="宋体" w:hAnsi="宋体" w:cs="宋体"/>
          <w:b/>
          <w:bCs/>
          <w:color w:val="auto"/>
          <w:w w:val="99"/>
          <w:kern w:val="0"/>
          <w:sz w:val="28"/>
          <w:szCs w:val="28"/>
        </w:rPr>
      </w:pPr>
    </w:p>
    <w:p w14:paraId="7BA387FB">
      <w:pPr>
        <w:topLinePunct/>
        <w:snapToGrid w:val="0"/>
        <w:spacing w:line="360" w:lineRule="auto"/>
        <w:contextualSpacing/>
        <w:jc w:val="center"/>
        <w:rPr>
          <w:rFonts w:ascii="宋体" w:hAnsi="宋体" w:cs="宋体"/>
          <w:b/>
          <w:bCs/>
          <w:color w:val="auto"/>
          <w:w w:val="99"/>
          <w:kern w:val="0"/>
          <w:sz w:val="28"/>
          <w:szCs w:val="28"/>
        </w:rPr>
      </w:pPr>
    </w:p>
    <w:p w14:paraId="3ACCEA82">
      <w:pPr>
        <w:topLinePunct/>
        <w:snapToGrid w:val="0"/>
        <w:spacing w:line="360" w:lineRule="auto"/>
        <w:contextualSpacing/>
        <w:jc w:val="center"/>
        <w:rPr>
          <w:rFonts w:ascii="宋体" w:hAnsi="宋体" w:cs="宋体"/>
          <w:b/>
          <w:bCs/>
          <w:color w:val="auto"/>
          <w:w w:val="99"/>
          <w:kern w:val="0"/>
          <w:sz w:val="28"/>
          <w:szCs w:val="28"/>
        </w:rPr>
      </w:pPr>
    </w:p>
    <w:p w14:paraId="41B18855">
      <w:pPr>
        <w:topLinePunct/>
        <w:snapToGrid w:val="0"/>
        <w:spacing w:line="360" w:lineRule="auto"/>
        <w:contextualSpacing/>
        <w:jc w:val="center"/>
        <w:rPr>
          <w:rFonts w:ascii="宋体" w:hAnsi="宋体" w:cs="宋体"/>
          <w:b/>
          <w:bCs/>
          <w:color w:val="auto"/>
          <w:w w:val="99"/>
          <w:kern w:val="0"/>
          <w:sz w:val="28"/>
          <w:szCs w:val="28"/>
        </w:rPr>
      </w:pPr>
    </w:p>
    <w:p w14:paraId="5F9C0705">
      <w:pPr>
        <w:topLinePunct/>
        <w:snapToGrid w:val="0"/>
        <w:contextualSpacing/>
        <w:jc w:val="center"/>
        <w:rPr>
          <w:rFonts w:ascii="宋体" w:hAnsi="宋体" w:cs="宋体"/>
          <w:b/>
          <w:bCs/>
          <w:color w:val="auto"/>
          <w:w w:val="99"/>
          <w:kern w:val="0"/>
          <w:sz w:val="28"/>
          <w:szCs w:val="28"/>
        </w:rPr>
      </w:pPr>
      <w:r>
        <w:rPr>
          <w:rFonts w:hint="eastAsia" w:ascii="宋体" w:hAnsi="宋体" w:cs="宋体"/>
          <w:b/>
          <w:bCs/>
          <w:color w:val="auto"/>
          <w:w w:val="99"/>
          <w:kern w:val="0"/>
          <w:sz w:val="28"/>
          <w:szCs w:val="28"/>
        </w:rPr>
        <w:t>中华人民共和国住房和城乡建设部</w:t>
      </w:r>
    </w:p>
    <w:p w14:paraId="5D510D65">
      <w:pPr>
        <w:topLinePunct/>
        <w:snapToGrid w:val="0"/>
        <w:contextualSpacing/>
        <w:jc w:val="center"/>
        <w:rPr>
          <w:rFonts w:ascii="宋体" w:hAnsi="宋体" w:cs="宋体"/>
          <w:b/>
          <w:bCs/>
          <w:color w:val="auto"/>
          <w:w w:val="99"/>
          <w:kern w:val="0"/>
          <w:sz w:val="28"/>
          <w:szCs w:val="28"/>
        </w:rPr>
      </w:pPr>
      <w:r>
        <w:rPr>
          <w:rFonts w:hint="eastAsia" w:ascii="宋体" w:hAnsi="宋体" w:cs="宋体"/>
          <w:b/>
          <w:bCs/>
          <w:color w:val="auto"/>
          <w:w w:val="99"/>
          <w:kern w:val="0"/>
          <w:sz w:val="28"/>
          <w:szCs w:val="28"/>
        </w:rPr>
        <w:t xml:space="preserve">                                      制定</w:t>
      </w:r>
    </w:p>
    <w:p w14:paraId="5CCB8A9B">
      <w:pPr>
        <w:topLinePunct/>
        <w:snapToGrid w:val="0"/>
        <w:contextualSpacing/>
        <w:jc w:val="center"/>
        <w:rPr>
          <w:rFonts w:ascii="宋体" w:hAnsi="宋体" w:cs="宋体"/>
          <w:b/>
          <w:bCs/>
          <w:color w:val="auto"/>
          <w:w w:val="99"/>
          <w:kern w:val="0"/>
          <w:sz w:val="28"/>
          <w:szCs w:val="28"/>
        </w:rPr>
      </w:pPr>
      <w:r>
        <w:rPr>
          <w:rFonts w:hint="eastAsia" w:ascii="宋体" w:hAnsi="宋体" w:cs="宋体"/>
          <w:b/>
          <w:bCs/>
          <w:color w:val="auto"/>
          <w:w w:val="99"/>
          <w:kern w:val="0"/>
          <w:sz w:val="28"/>
          <w:szCs w:val="28"/>
        </w:rPr>
        <w:t>国家市场监督管理总局</w:t>
      </w:r>
    </w:p>
    <w:p w14:paraId="22156F54">
      <w:pPr>
        <w:pStyle w:val="2"/>
        <w:rPr>
          <w:color w:val="auto"/>
        </w:rPr>
      </w:pPr>
    </w:p>
    <w:p w14:paraId="3577400C">
      <w:pPr>
        <w:topLinePunct/>
        <w:snapToGrid w:val="0"/>
        <w:spacing w:line="360" w:lineRule="auto"/>
        <w:contextualSpacing/>
        <w:jc w:val="left"/>
        <w:rPr>
          <w:rFonts w:ascii="宋体" w:hAnsi="宋体"/>
          <w:color w:val="auto"/>
        </w:rPr>
      </w:pPr>
      <w:bookmarkStart w:id="184" w:name="_Toc85451944"/>
      <w:r>
        <w:rPr>
          <w:rFonts w:ascii="宋体" w:hAnsi="宋体"/>
          <w:color w:val="auto"/>
        </w:rPr>
        <w:br w:type="page"/>
      </w:r>
    </w:p>
    <w:p w14:paraId="5B14281D">
      <w:pPr>
        <w:pStyle w:val="589"/>
        <w:keepNext w:val="0"/>
        <w:keepLines w:val="0"/>
        <w:pageBreakBefore w:val="0"/>
        <w:widowControl/>
        <w:wordWrap/>
        <w:overflowPunct/>
        <w:topLinePunct w:val="0"/>
        <w:autoSpaceDE/>
        <w:autoSpaceDN/>
        <w:bidi w:val="0"/>
        <w:adjustRightInd w:val="0"/>
        <w:snapToGrid w:val="0"/>
        <w:spacing w:before="0" w:after="0" w:line="360" w:lineRule="exact"/>
        <w:contextualSpacing/>
        <w:jc w:val="center"/>
        <w:textAlignment w:val="auto"/>
        <w:outlineLvl w:val="1"/>
        <w:rPr>
          <w:color w:val="auto"/>
          <w:sz w:val="21"/>
          <w:szCs w:val="21"/>
        </w:rPr>
      </w:pPr>
      <w:r>
        <w:rPr>
          <w:rFonts w:hint="eastAsia"/>
          <w:color w:val="auto"/>
          <w:sz w:val="21"/>
          <w:szCs w:val="21"/>
        </w:rPr>
        <w:t>第一部分</w:t>
      </w:r>
      <w:r>
        <w:rPr>
          <w:color w:val="auto"/>
          <w:sz w:val="21"/>
          <w:szCs w:val="21"/>
        </w:rPr>
        <w:t xml:space="preserve"> </w:t>
      </w:r>
      <w:r>
        <w:rPr>
          <w:rFonts w:hint="eastAsia"/>
          <w:color w:val="auto"/>
          <w:sz w:val="21"/>
          <w:szCs w:val="21"/>
        </w:rPr>
        <w:t>合同协议书</w:t>
      </w:r>
    </w:p>
    <w:p w14:paraId="0A0EED7F">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hint="default" w:ascii="宋体" w:hAnsi="宋体" w:eastAsia="宋体"/>
          <w:color w:val="auto"/>
          <w:u w:val="single"/>
          <w:lang w:val="en-US" w:eastAsia="zh-CN"/>
        </w:rPr>
      </w:pPr>
      <w:r>
        <w:rPr>
          <w:rFonts w:hint="eastAsia" w:ascii="宋体" w:hAnsi="宋体"/>
          <w:color w:val="auto"/>
        </w:rPr>
        <w:t>发包人（全称）：</w:t>
      </w:r>
      <w:r>
        <w:rPr>
          <w:rFonts w:hint="eastAsia" w:ascii="宋体" w:hAnsi="宋体"/>
          <w:color w:val="auto"/>
          <w:u w:val="single"/>
          <w:lang w:val="en-US" w:eastAsia="zh-CN"/>
        </w:rPr>
        <w:t xml:space="preserve">                 </w:t>
      </w:r>
    </w:p>
    <w:p w14:paraId="71758891">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hint="eastAsia" w:ascii="宋体" w:hAnsi="宋体"/>
          <w:color w:val="auto"/>
          <w:u w:val="single"/>
        </w:rPr>
      </w:pPr>
      <w:r>
        <w:rPr>
          <w:rFonts w:hint="eastAsia" w:ascii="宋体" w:hAnsi="宋体"/>
          <w:color w:val="auto"/>
        </w:rPr>
        <w:t>承包人（全称）：</w:t>
      </w:r>
      <w:r>
        <w:rPr>
          <w:rFonts w:hint="eastAsia" w:ascii="宋体" w:hAnsi="宋体"/>
          <w:color w:val="auto"/>
          <w:u w:val="single"/>
        </w:rPr>
        <w:t xml:space="preserve">                 </w:t>
      </w:r>
    </w:p>
    <w:p w14:paraId="68D190C6">
      <w:pPr>
        <w:pStyle w:val="2"/>
        <w:keepNext w:val="0"/>
        <w:keepLines w:val="0"/>
        <w:pageBreakBefore w:val="0"/>
        <w:wordWrap/>
        <w:overflowPunct/>
        <w:topLinePunct w:val="0"/>
        <w:autoSpaceDE/>
        <w:autoSpaceDN/>
        <w:bidi w:val="0"/>
        <w:spacing w:line="360" w:lineRule="exact"/>
        <w:textAlignment w:val="auto"/>
        <w:rPr>
          <w:rFonts w:ascii="宋体" w:hAnsi="宋体"/>
          <w:color w:val="auto"/>
          <w:u w:val="single"/>
        </w:rPr>
      </w:pPr>
      <w:r>
        <w:rPr>
          <w:rFonts w:hint="eastAsia" w:ascii="宋体" w:hAnsi="宋体"/>
          <w:color w:val="auto"/>
        </w:rPr>
        <w:t xml:space="preserve">                    </w:t>
      </w:r>
    </w:p>
    <w:p w14:paraId="1B953660">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根据《中华人民共和国民法典》《中华人民共和国建筑法》及有关法律规定，遵循平等、自愿、公平和诚实信用的原则，双方就</w:t>
      </w:r>
      <w:r>
        <w:rPr>
          <w:rFonts w:hint="eastAsia" w:ascii="宋体" w:hAnsi="宋体"/>
          <w:color w:val="auto"/>
          <w:u w:val="single"/>
          <w:lang w:eastAsia="zh-CN"/>
        </w:rPr>
        <w:t>镇雄县旧府街道松林湾村石门坎“千万工程”配套基础设施建设项目</w:t>
      </w:r>
      <w:r>
        <w:rPr>
          <w:rFonts w:hint="eastAsia" w:ascii="宋体" w:hAnsi="宋体"/>
          <w:color w:val="auto"/>
          <w:u w:val="single"/>
        </w:rPr>
        <w:t xml:space="preserve"> </w:t>
      </w:r>
      <w:r>
        <w:rPr>
          <w:rFonts w:hint="eastAsia" w:ascii="宋体" w:hAnsi="宋体"/>
          <w:color w:val="auto"/>
        </w:rPr>
        <w:t>的工程总承包及有关事项协商一致，共同达成如下协议：</w:t>
      </w:r>
    </w:p>
    <w:p w14:paraId="4047AF10">
      <w:pPr>
        <w:keepNext w:val="0"/>
        <w:keepLines w:val="0"/>
        <w:pageBreakBefore w:val="0"/>
        <w:widowControl/>
        <w:tabs>
          <w:tab w:val="left" w:pos="567"/>
        </w:tabs>
        <w:wordWrap/>
        <w:overflowPunct/>
        <w:topLinePunct w:val="0"/>
        <w:autoSpaceDE/>
        <w:autoSpaceDN/>
        <w:bidi w:val="0"/>
        <w:adjustRightInd w:val="0"/>
        <w:snapToGrid w:val="0"/>
        <w:spacing w:line="360" w:lineRule="exact"/>
        <w:contextualSpacing/>
        <w:jc w:val="left"/>
        <w:textAlignment w:val="auto"/>
        <w:outlineLvl w:val="2"/>
        <w:rPr>
          <w:rFonts w:ascii="宋体" w:hAnsi="宋体"/>
          <w:bCs/>
          <w:color w:val="auto"/>
          <w:kern w:val="0"/>
        </w:rPr>
      </w:pPr>
      <w:bookmarkStart w:id="185" w:name="_Toc85451945"/>
      <w:r>
        <w:rPr>
          <w:rFonts w:hint="eastAsia" w:ascii="宋体" w:hAnsi="宋体"/>
          <w:bCs/>
          <w:color w:val="auto"/>
          <w:kern w:val="0"/>
        </w:rPr>
        <w:t>一、工程概况</w:t>
      </w:r>
      <w:bookmarkEnd w:id="185"/>
    </w:p>
    <w:p w14:paraId="539FC3B0">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1. 工程名称：</w:t>
      </w:r>
      <w:r>
        <w:rPr>
          <w:rFonts w:hint="eastAsia" w:ascii="宋体" w:hAnsi="宋体"/>
          <w:color w:val="auto"/>
          <w:u w:val="single"/>
          <w:lang w:val="en-US" w:eastAsia="zh-CN"/>
        </w:rPr>
        <w:t xml:space="preserve">                             </w:t>
      </w:r>
      <w:r>
        <w:rPr>
          <w:rFonts w:hint="eastAsia" w:ascii="宋体" w:hAnsi="宋体"/>
          <w:color w:val="auto"/>
        </w:rPr>
        <w:t>。</w:t>
      </w:r>
    </w:p>
    <w:p w14:paraId="41958EFE">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2. 工程地点：</w:t>
      </w:r>
      <w:r>
        <w:rPr>
          <w:rFonts w:hint="eastAsia" w:ascii="宋体" w:hAnsi="宋体"/>
          <w:color w:val="auto"/>
          <w:u w:val="single"/>
          <w:lang w:val="en-US" w:eastAsia="zh-CN"/>
        </w:rPr>
        <w:t xml:space="preserve">                         </w:t>
      </w:r>
      <w:r>
        <w:rPr>
          <w:rFonts w:hint="eastAsia" w:ascii="宋体" w:hAnsi="宋体"/>
          <w:color w:val="auto"/>
        </w:rPr>
        <w:t>。</w:t>
      </w:r>
    </w:p>
    <w:p w14:paraId="5B48EA62">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hint="eastAsia" w:ascii="宋体" w:hAnsi="宋体"/>
          <w:color w:val="auto"/>
        </w:rPr>
      </w:pPr>
      <w:r>
        <w:rPr>
          <w:rFonts w:hint="eastAsia" w:ascii="宋体" w:hAnsi="宋体"/>
          <w:color w:val="auto"/>
        </w:rPr>
        <w:t>3. 工程审批、核准或备案文号：</w:t>
      </w:r>
      <w:r>
        <w:rPr>
          <w:rFonts w:hint="eastAsia" w:ascii="宋体" w:hAnsi="宋体"/>
          <w:color w:val="auto"/>
          <w:u w:val="single"/>
        </w:rPr>
        <w:t xml:space="preserve"> </w:t>
      </w:r>
      <w:r>
        <w:rPr>
          <w:rFonts w:hint="eastAsia" w:ascii="宋体" w:hAnsi="宋体"/>
          <w:color w:val="auto"/>
          <w:u w:val="single"/>
          <w:lang w:val="en-US" w:eastAsia="zh-CN"/>
        </w:rPr>
        <w:t xml:space="preserve">              </w:t>
      </w:r>
      <w:r>
        <w:rPr>
          <w:rFonts w:hint="eastAsia" w:ascii="宋体" w:hAnsi="宋体"/>
          <w:color w:val="auto"/>
          <w:u w:val="single"/>
        </w:rPr>
        <w:t xml:space="preserve"> </w:t>
      </w:r>
      <w:r>
        <w:rPr>
          <w:rFonts w:hint="eastAsia" w:ascii="宋体" w:hAnsi="宋体"/>
          <w:color w:val="auto"/>
        </w:rPr>
        <w:t xml:space="preserve"> 。</w:t>
      </w:r>
    </w:p>
    <w:p w14:paraId="4813B2BA">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4. 资金来源：</w:t>
      </w:r>
      <w:r>
        <w:rPr>
          <w:rFonts w:hint="eastAsia" w:ascii="宋体" w:hAnsi="宋体"/>
          <w:color w:val="auto"/>
          <w:u w:val="single"/>
        </w:rPr>
        <w:t xml:space="preserve"> </w:t>
      </w:r>
      <w:r>
        <w:rPr>
          <w:rFonts w:hint="eastAsia" w:ascii="宋体" w:hAnsi="宋体"/>
          <w:color w:val="auto"/>
          <w:u w:val="single"/>
          <w:lang w:val="en-US" w:eastAsia="zh-CN"/>
        </w:rPr>
        <w:t xml:space="preserve">            </w:t>
      </w:r>
      <w:r>
        <w:rPr>
          <w:rFonts w:hint="eastAsia" w:ascii="宋体" w:hAnsi="宋体"/>
          <w:color w:val="auto"/>
          <w:u w:val="single"/>
        </w:rPr>
        <w:t>。</w:t>
      </w:r>
    </w:p>
    <w:p w14:paraId="1C122C74">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u w:val="single"/>
        </w:rPr>
      </w:pPr>
      <w:r>
        <w:rPr>
          <w:rFonts w:hint="eastAsia" w:ascii="宋体" w:hAnsi="宋体"/>
          <w:color w:val="auto"/>
        </w:rPr>
        <w:t>5. 工程内容及规模：</w:t>
      </w:r>
      <w:r>
        <w:rPr>
          <w:rFonts w:hint="eastAsia" w:ascii="宋体" w:hAnsi="宋体"/>
          <w:color w:val="auto"/>
          <w:u w:val="single"/>
          <w:lang w:val="en-US" w:eastAsia="zh-CN"/>
        </w:rPr>
        <w:t xml:space="preserve">                 </w:t>
      </w:r>
      <w:r>
        <w:rPr>
          <w:rFonts w:hint="eastAsia" w:ascii="宋体" w:hAnsi="宋体"/>
          <w:color w:val="auto"/>
        </w:rPr>
        <w:t>。</w:t>
      </w:r>
    </w:p>
    <w:p w14:paraId="2B36EB7E">
      <w:pPr>
        <w:keepNext w:val="0"/>
        <w:keepLines w:val="0"/>
        <w:pageBreakBefore w:val="0"/>
        <w:wordWrap/>
        <w:overflowPunct/>
        <w:topLinePunct w:val="0"/>
        <w:autoSpaceDE/>
        <w:autoSpaceDN/>
        <w:bidi w:val="0"/>
        <w:spacing w:line="360" w:lineRule="exact"/>
        <w:ind w:firstLine="480"/>
        <w:jc w:val="left"/>
        <w:textAlignment w:val="auto"/>
        <w:rPr>
          <w:rFonts w:hint="eastAsia" w:ascii="宋体" w:hAnsi="宋体"/>
          <w:color w:val="auto"/>
          <w:u w:val="single"/>
        </w:rPr>
      </w:pPr>
      <w:r>
        <w:rPr>
          <w:rFonts w:hint="eastAsia" w:ascii="宋体" w:hAnsi="宋体"/>
          <w:color w:val="auto"/>
        </w:rPr>
        <w:t>6. 工程承包范围：</w:t>
      </w:r>
      <w:bookmarkStart w:id="186" w:name="_Toc85451946"/>
      <w:r>
        <w:rPr>
          <w:rFonts w:hint="eastAsia" w:ascii="宋体" w:hAnsi="宋体"/>
          <w:color w:val="auto"/>
          <w:u w:val="single"/>
          <w:lang w:val="en-US" w:eastAsia="zh-CN"/>
        </w:rPr>
        <w:t xml:space="preserve">               </w:t>
      </w:r>
      <w:r>
        <w:rPr>
          <w:rFonts w:hint="eastAsia" w:ascii="宋体" w:hAnsi="宋体"/>
          <w:color w:val="auto"/>
          <w:u w:val="single"/>
        </w:rPr>
        <w:t>。</w:t>
      </w:r>
    </w:p>
    <w:p w14:paraId="7E602C37">
      <w:pPr>
        <w:keepNext w:val="0"/>
        <w:keepLines w:val="0"/>
        <w:pageBreakBefore w:val="0"/>
        <w:wordWrap/>
        <w:overflowPunct/>
        <w:topLinePunct w:val="0"/>
        <w:autoSpaceDE/>
        <w:autoSpaceDN/>
        <w:bidi w:val="0"/>
        <w:adjustRightInd w:val="0"/>
        <w:snapToGrid w:val="0"/>
        <w:spacing w:line="360" w:lineRule="exact"/>
        <w:contextualSpacing/>
        <w:textAlignment w:val="auto"/>
        <w:rPr>
          <w:rFonts w:ascii="宋体" w:hAnsi="宋体"/>
          <w:bCs/>
          <w:color w:val="auto"/>
          <w:kern w:val="0"/>
        </w:rPr>
      </w:pPr>
      <w:r>
        <w:rPr>
          <w:rFonts w:hint="eastAsia" w:ascii="宋体" w:hAnsi="宋体"/>
          <w:bCs/>
          <w:color w:val="auto"/>
          <w:kern w:val="0"/>
        </w:rPr>
        <w:t>二、合同工期</w:t>
      </w:r>
      <w:bookmarkEnd w:id="186"/>
    </w:p>
    <w:p w14:paraId="6CEC336E">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hint="eastAsia" w:hAnsi="宋体" w:eastAsia="宋体" w:cs="宋体"/>
          <w:color w:val="auto"/>
          <w:u w:val="single"/>
          <w:lang w:eastAsia="zh-CN"/>
        </w:rPr>
      </w:pPr>
      <w:r>
        <w:rPr>
          <w:rFonts w:hint="eastAsia" w:hAnsi="宋体" w:cs="宋体"/>
          <w:color w:val="auto"/>
          <w:u w:val="single"/>
        </w:rPr>
        <w:t>计划开始工作日期：   年   月    日</w:t>
      </w:r>
      <w:r>
        <w:rPr>
          <w:rFonts w:hint="eastAsia" w:hAnsi="宋体" w:cs="宋体"/>
          <w:color w:val="auto"/>
          <w:u w:val="single"/>
          <w:lang w:eastAsia="zh-CN"/>
        </w:rPr>
        <w:t>。</w:t>
      </w:r>
    </w:p>
    <w:p w14:paraId="3D68A02B">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hint="eastAsia" w:hAnsi="宋体" w:cs="宋体"/>
          <w:color w:val="auto"/>
          <w:u w:val="single"/>
        </w:rPr>
      </w:pPr>
      <w:r>
        <w:rPr>
          <w:rFonts w:hint="eastAsia" w:hAnsi="宋体" w:cs="宋体"/>
          <w:color w:val="auto"/>
          <w:u w:val="single"/>
        </w:rPr>
        <w:t>计划竣工日期：       年    月   日。</w:t>
      </w:r>
    </w:p>
    <w:p w14:paraId="227CEF48">
      <w:pPr>
        <w:pStyle w:val="2"/>
        <w:keepNext w:val="0"/>
        <w:keepLines w:val="0"/>
        <w:pageBreakBefore w:val="0"/>
        <w:wordWrap/>
        <w:overflowPunct/>
        <w:topLinePunct w:val="0"/>
        <w:autoSpaceDE/>
        <w:autoSpaceDN/>
        <w:bidi w:val="0"/>
        <w:spacing w:line="360" w:lineRule="exact"/>
        <w:ind w:firstLine="562" w:firstLineChars="200"/>
        <w:textAlignment w:val="auto"/>
        <w:rPr>
          <w:rFonts w:ascii="宋体" w:hAnsi="宋体"/>
          <w:b/>
          <w:bCs/>
          <w:color w:val="auto"/>
        </w:rPr>
      </w:pPr>
      <w:r>
        <w:rPr>
          <w:rFonts w:hint="eastAsia" w:ascii="宋体" w:hAnsi="宋体"/>
          <w:b/>
          <w:bCs/>
          <w:color w:val="auto"/>
        </w:rPr>
        <w:t>工期计划：</w:t>
      </w:r>
    </w:p>
    <w:p w14:paraId="56ED56B2">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hint="eastAsia" w:ascii="宋体" w:hAnsi="宋体"/>
          <w:color w:val="auto"/>
        </w:rPr>
      </w:pPr>
      <w:r>
        <w:rPr>
          <w:rFonts w:hint="eastAsia" w:ascii="宋体" w:hAnsi="宋体"/>
          <w:color w:val="auto"/>
        </w:rPr>
        <w:t>工期总日历天数：</w:t>
      </w:r>
      <w:r>
        <w:rPr>
          <w:rFonts w:ascii="宋体" w:hAnsi="宋体"/>
          <w:color w:val="auto"/>
          <w:u w:val="single"/>
        </w:rPr>
        <w:t xml:space="preserve">   </w:t>
      </w:r>
      <w:r>
        <w:rPr>
          <w:rFonts w:hint="eastAsia" w:ascii="宋体" w:hAnsi="宋体"/>
          <w:color w:val="auto"/>
          <w:u w:val="single"/>
          <w:lang w:val="en-US" w:eastAsia="zh-CN"/>
        </w:rPr>
        <w:t xml:space="preserve">  </w:t>
      </w:r>
      <w:r>
        <w:rPr>
          <w:rFonts w:ascii="宋体" w:hAnsi="宋体"/>
          <w:color w:val="auto"/>
          <w:u w:val="single"/>
        </w:rPr>
        <w:t xml:space="preserve">  </w:t>
      </w:r>
      <w:r>
        <w:rPr>
          <w:rFonts w:hint="eastAsia" w:ascii="宋体" w:hAnsi="宋体"/>
          <w:color w:val="auto"/>
        </w:rPr>
        <w:t>日历天。工期总日历天数与根据前述计划日期计算的工期天数不一致的，以工期总日历天数为准。</w:t>
      </w:r>
    </w:p>
    <w:p w14:paraId="466D5B4B">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hint="eastAsia" w:ascii="宋体" w:hAnsi="宋体"/>
          <w:color w:val="auto"/>
        </w:rPr>
      </w:pPr>
      <w:r>
        <w:rPr>
          <w:rFonts w:hint="eastAsia" w:ascii="宋体" w:hAnsi="宋体"/>
          <w:color w:val="auto"/>
          <w:lang w:val="en-US" w:eastAsia="zh-CN"/>
        </w:rPr>
        <w:t>勘察</w:t>
      </w:r>
      <w:r>
        <w:rPr>
          <w:rFonts w:hint="eastAsia" w:ascii="宋体" w:hAnsi="宋体"/>
          <w:color w:val="auto"/>
        </w:rPr>
        <w:t>总日历天数：</w:t>
      </w:r>
      <w:r>
        <w:rPr>
          <w:rFonts w:hint="eastAsia" w:ascii="宋体" w:hAnsi="宋体"/>
          <w:color w:val="auto"/>
          <w:u w:val="single"/>
        </w:rPr>
        <w:t xml:space="preserve">       </w:t>
      </w:r>
      <w:r>
        <w:rPr>
          <w:rFonts w:hint="eastAsia" w:ascii="宋体" w:hAnsi="宋体"/>
          <w:color w:val="auto"/>
        </w:rPr>
        <w:t>日历天。</w:t>
      </w:r>
    </w:p>
    <w:p w14:paraId="2E98539A">
      <w:pPr>
        <w:keepNext w:val="0"/>
        <w:keepLines w:val="0"/>
        <w:pageBreakBefore w:val="0"/>
        <w:widowControl/>
        <w:tabs>
          <w:tab w:val="left" w:pos="567"/>
        </w:tabs>
        <w:wordWrap/>
        <w:overflowPunct/>
        <w:topLinePunct w:val="0"/>
        <w:autoSpaceDE/>
        <w:autoSpaceDN/>
        <w:bidi w:val="0"/>
        <w:adjustRightInd w:val="0"/>
        <w:snapToGrid w:val="0"/>
        <w:spacing w:line="360" w:lineRule="exact"/>
        <w:contextualSpacing/>
        <w:jc w:val="left"/>
        <w:textAlignment w:val="auto"/>
        <w:outlineLvl w:val="2"/>
        <w:rPr>
          <w:rFonts w:ascii="宋体" w:hAnsi="宋体"/>
          <w:bCs/>
          <w:color w:val="auto"/>
          <w:kern w:val="0"/>
        </w:rPr>
      </w:pPr>
      <w:bookmarkStart w:id="187" w:name="_Toc85451947"/>
      <w:r>
        <w:rPr>
          <w:rFonts w:hint="eastAsia" w:ascii="宋体" w:hAnsi="宋体"/>
          <w:bCs/>
          <w:color w:val="auto"/>
          <w:kern w:val="0"/>
        </w:rPr>
        <w:t>三、质量标准</w:t>
      </w:r>
      <w:bookmarkEnd w:id="187"/>
    </w:p>
    <w:p w14:paraId="65E74623">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hint="eastAsia" w:ascii="宋体" w:hAnsi="宋体"/>
          <w:color w:val="auto"/>
        </w:rPr>
      </w:pPr>
      <w:r>
        <w:rPr>
          <w:rFonts w:hint="eastAsia" w:ascii="宋体" w:hAnsi="宋体"/>
          <w:color w:val="auto"/>
        </w:rPr>
        <w:t>工程质量标准：</w:t>
      </w:r>
    </w:p>
    <w:p w14:paraId="19A592A9">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hint="eastAsia" w:ascii="宋体" w:hAnsi="宋体"/>
          <w:color w:val="auto"/>
          <w:u w:val="single"/>
        </w:rPr>
      </w:pPr>
      <w:r>
        <w:rPr>
          <w:rFonts w:hint="eastAsia" w:ascii="宋体" w:hAnsi="宋体"/>
          <w:color w:val="auto"/>
          <w:u w:val="single"/>
        </w:rPr>
        <w:t>施工：</w:t>
      </w:r>
      <w:r>
        <w:rPr>
          <w:rFonts w:hint="eastAsia" w:ascii="宋体" w:hAnsi="宋体"/>
          <w:color w:val="auto"/>
          <w:u w:val="single"/>
          <w:lang w:val="en-US" w:eastAsia="zh-CN"/>
        </w:rPr>
        <w:t xml:space="preserve">                      </w:t>
      </w:r>
      <w:r>
        <w:rPr>
          <w:rFonts w:hint="eastAsia" w:ascii="宋体" w:hAnsi="宋体"/>
          <w:color w:val="auto"/>
          <w:u w:val="single"/>
        </w:rPr>
        <w:t>；</w:t>
      </w:r>
    </w:p>
    <w:p w14:paraId="03F21FFB">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hint="eastAsia" w:ascii="宋体" w:hAnsi="宋体"/>
          <w:color w:val="auto"/>
          <w:u w:val="single"/>
        </w:rPr>
      </w:pPr>
      <w:r>
        <w:rPr>
          <w:rFonts w:hint="eastAsia" w:ascii="宋体" w:hAnsi="宋体"/>
          <w:color w:val="auto"/>
          <w:u w:val="single"/>
          <w:lang w:val="en-US" w:eastAsia="zh-CN"/>
        </w:rPr>
        <w:t>勘察</w:t>
      </w:r>
      <w:r>
        <w:rPr>
          <w:rFonts w:hint="eastAsia" w:ascii="宋体" w:hAnsi="宋体"/>
          <w:color w:val="auto"/>
          <w:u w:val="single"/>
        </w:rPr>
        <w:t>：</w:t>
      </w:r>
      <w:r>
        <w:rPr>
          <w:rFonts w:hint="eastAsia" w:ascii="宋体" w:hAnsi="宋体"/>
          <w:color w:val="auto"/>
          <w:u w:val="single"/>
          <w:lang w:val="en-US" w:eastAsia="zh-CN"/>
        </w:rPr>
        <w:t xml:space="preserve">                      </w:t>
      </w:r>
      <w:r>
        <w:rPr>
          <w:rFonts w:hint="eastAsia" w:ascii="宋体" w:hAnsi="宋体"/>
          <w:color w:val="auto"/>
          <w:u w:val="single"/>
        </w:rPr>
        <w:t>；</w:t>
      </w:r>
    </w:p>
    <w:p w14:paraId="6DF1D0CD">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u w:val="single"/>
        </w:rPr>
        <w:t>设计：</w:t>
      </w:r>
      <w:r>
        <w:rPr>
          <w:rFonts w:hint="eastAsia" w:ascii="宋体" w:hAnsi="宋体"/>
          <w:color w:val="auto"/>
          <w:u w:val="single"/>
          <w:lang w:val="en-US" w:eastAsia="zh-CN"/>
        </w:rPr>
        <w:t xml:space="preserve">                      </w:t>
      </w:r>
      <w:r>
        <w:rPr>
          <w:rFonts w:hint="eastAsia" w:ascii="宋体" w:hAnsi="宋体"/>
          <w:color w:val="auto"/>
          <w:u w:val="single"/>
        </w:rPr>
        <w:t>。</w:t>
      </w:r>
    </w:p>
    <w:p w14:paraId="026E1524">
      <w:pPr>
        <w:keepNext w:val="0"/>
        <w:keepLines w:val="0"/>
        <w:pageBreakBefore w:val="0"/>
        <w:widowControl/>
        <w:tabs>
          <w:tab w:val="left" w:pos="567"/>
        </w:tabs>
        <w:wordWrap/>
        <w:overflowPunct/>
        <w:topLinePunct w:val="0"/>
        <w:autoSpaceDE/>
        <w:autoSpaceDN/>
        <w:bidi w:val="0"/>
        <w:adjustRightInd w:val="0"/>
        <w:snapToGrid w:val="0"/>
        <w:spacing w:line="360" w:lineRule="exact"/>
        <w:contextualSpacing/>
        <w:jc w:val="left"/>
        <w:textAlignment w:val="auto"/>
        <w:outlineLvl w:val="2"/>
        <w:rPr>
          <w:rFonts w:ascii="宋体" w:hAnsi="宋体"/>
          <w:bCs/>
          <w:color w:val="auto"/>
          <w:kern w:val="0"/>
        </w:rPr>
      </w:pPr>
      <w:bookmarkStart w:id="188" w:name="_Toc85451948"/>
      <w:r>
        <w:rPr>
          <w:rFonts w:hint="eastAsia" w:ascii="宋体" w:hAnsi="宋体"/>
          <w:bCs/>
          <w:color w:val="auto"/>
          <w:kern w:val="0"/>
        </w:rPr>
        <w:t>四、签约合同价与合同价格形式</w:t>
      </w:r>
      <w:bookmarkEnd w:id="188"/>
    </w:p>
    <w:p w14:paraId="70C21F8C">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1. 签约合同价（含税）为：</w:t>
      </w:r>
    </w:p>
    <w:p w14:paraId="0F44350C">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设计费（含税）：</w:t>
      </w:r>
    </w:p>
    <w:p w14:paraId="791C88FE">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建安工程费的：</w:t>
      </w:r>
      <w:r>
        <w:rPr>
          <w:rFonts w:hint="eastAsia" w:ascii="宋体" w:hAnsi="宋体"/>
          <w:color w:val="auto"/>
          <w:u w:val="single"/>
        </w:rPr>
        <w:t xml:space="preserve"> </w:t>
      </w:r>
      <w:r>
        <w:rPr>
          <w:rFonts w:ascii="宋体" w:hAnsi="宋体"/>
          <w:color w:val="auto"/>
          <w:u w:val="single"/>
        </w:rPr>
        <w:t xml:space="preserve"> </w:t>
      </w:r>
      <w:r>
        <w:rPr>
          <w:rFonts w:hint="eastAsia" w:ascii="宋体" w:hAnsi="宋体"/>
          <w:color w:val="auto"/>
          <w:u w:val="single"/>
        </w:rPr>
        <w:t xml:space="preserve"> </w:t>
      </w:r>
      <w:r>
        <w:rPr>
          <w:rFonts w:ascii="宋体" w:hAnsi="宋体"/>
          <w:color w:val="auto"/>
          <w:u w:val="single"/>
        </w:rPr>
        <w:t xml:space="preserve">  </w:t>
      </w:r>
      <w:r>
        <w:rPr>
          <w:rFonts w:hint="eastAsia" w:ascii="宋体" w:hAnsi="宋体"/>
          <w:color w:val="auto"/>
          <w:u w:val="single"/>
        </w:rPr>
        <w:t>%</w:t>
      </w:r>
      <w:r>
        <w:rPr>
          <w:rFonts w:hint="eastAsia" w:ascii="宋体" w:hAnsi="宋体"/>
          <w:color w:val="auto"/>
        </w:rPr>
        <w:t>，暂估为人民币（大写）</w:t>
      </w:r>
      <w:r>
        <w:rPr>
          <w:rFonts w:ascii="宋体" w:hAnsi="宋体"/>
          <w:color w:val="auto"/>
          <w:u w:val="single"/>
        </w:rPr>
        <w:t xml:space="preserve">     </w:t>
      </w:r>
      <w:r>
        <w:rPr>
          <w:rFonts w:hint="eastAsia" w:ascii="宋体" w:hAnsi="宋体"/>
          <w:color w:val="auto"/>
          <w:u w:val="single"/>
        </w:rPr>
        <w:t xml:space="preserve"> </w:t>
      </w:r>
      <w:r>
        <w:rPr>
          <w:rFonts w:ascii="宋体" w:hAnsi="宋体"/>
          <w:color w:val="auto"/>
        </w:rPr>
        <w:t>（¥</w:t>
      </w:r>
      <w:r>
        <w:rPr>
          <w:rFonts w:hint="eastAsia" w:ascii="宋体" w:hAnsi="宋体"/>
          <w:color w:val="auto"/>
          <w:u w:val="single"/>
        </w:rPr>
        <w:t xml:space="preserve"> </w:t>
      </w:r>
      <w:r>
        <w:rPr>
          <w:rFonts w:ascii="宋体" w:hAnsi="宋体"/>
          <w:color w:val="auto"/>
          <w:u w:val="single"/>
        </w:rPr>
        <w:t xml:space="preserve"> </w:t>
      </w:r>
      <w:r>
        <w:rPr>
          <w:rFonts w:hint="eastAsia" w:ascii="宋体" w:hAnsi="宋体"/>
          <w:color w:val="auto"/>
          <w:u w:val="single"/>
        </w:rPr>
        <w:t xml:space="preserve">  </w:t>
      </w:r>
      <w:r>
        <w:rPr>
          <w:rFonts w:ascii="宋体" w:hAnsi="宋体"/>
          <w:color w:val="auto"/>
        </w:rPr>
        <w:t>元）；适用税率：</w:t>
      </w:r>
      <w:r>
        <w:rPr>
          <w:rFonts w:ascii="宋体" w:hAnsi="宋体"/>
          <w:color w:val="auto"/>
          <w:u w:val="single"/>
        </w:rPr>
        <w:t xml:space="preserve"> </w:t>
      </w:r>
      <w:r>
        <w:rPr>
          <w:rFonts w:hint="eastAsia" w:ascii="宋体" w:hAnsi="宋体"/>
          <w:color w:val="auto"/>
          <w:u w:val="single"/>
        </w:rPr>
        <w:t xml:space="preserve">  </w:t>
      </w:r>
      <w:r>
        <w:rPr>
          <w:rFonts w:ascii="宋体" w:hAnsi="宋体"/>
          <w:color w:val="auto"/>
        </w:rPr>
        <w:t>%</w:t>
      </w:r>
      <w:r>
        <w:rPr>
          <w:rFonts w:hint="eastAsia" w:ascii="宋体" w:hAnsi="宋体"/>
          <w:color w:val="auto"/>
        </w:rPr>
        <w:t>。</w:t>
      </w:r>
    </w:p>
    <w:p w14:paraId="1F1BB631">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lang w:val="en-US" w:eastAsia="zh-CN"/>
        </w:rPr>
        <w:t>勘察</w:t>
      </w:r>
      <w:r>
        <w:rPr>
          <w:rFonts w:hint="eastAsia" w:ascii="宋体" w:hAnsi="宋体"/>
          <w:color w:val="auto"/>
        </w:rPr>
        <w:t>费（含税）：</w:t>
      </w:r>
    </w:p>
    <w:p w14:paraId="6548AAC7">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建安工程费的：</w:t>
      </w:r>
      <w:r>
        <w:rPr>
          <w:rFonts w:hint="eastAsia" w:ascii="宋体" w:hAnsi="宋体"/>
          <w:color w:val="auto"/>
          <w:u w:val="single"/>
        </w:rPr>
        <w:t xml:space="preserve"> </w:t>
      </w:r>
      <w:r>
        <w:rPr>
          <w:rFonts w:ascii="宋体" w:hAnsi="宋体"/>
          <w:color w:val="auto"/>
          <w:u w:val="single"/>
        </w:rPr>
        <w:t xml:space="preserve"> </w:t>
      </w:r>
      <w:r>
        <w:rPr>
          <w:rFonts w:hint="eastAsia" w:ascii="宋体" w:hAnsi="宋体"/>
          <w:color w:val="auto"/>
          <w:u w:val="single"/>
        </w:rPr>
        <w:t xml:space="preserve"> </w:t>
      </w:r>
      <w:r>
        <w:rPr>
          <w:rFonts w:ascii="宋体" w:hAnsi="宋体"/>
          <w:color w:val="auto"/>
          <w:u w:val="single"/>
        </w:rPr>
        <w:t xml:space="preserve">  </w:t>
      </w:r>
      <w:r>
        <w:rPr>
          <w:rFonts w:hint="eastAsia" w:ascii="宋体" w:hAnsi="宋体"/>
          <w:color w:val="auto"/>
          <w:u w:val="single"/>
        </w:rPr>
        <w:t>%</w:t>
      </w:r>
      <w:r>
        <w:rPr>
          <w:rFonts w:hint="eastAsia" w:ascii="宋体" w:hAnsi="宋体"/>
          <w:color w:val="auto"/>
        </w:rPr>
        <w:t>，暂估为人民币（大写）</w:t>
      </w:r>
      <w:r>
        <w:rPr>
          <w:rFonts w:ascii="宋体" w:hAnsi="宋体"/>
          <w:color w:val="auto"/>
          <w:u w:val="single"/>
        </w:rPr>
        <w:t xml:space="preserve">     </w:t>
      </w:r>
      <w:r>
        <w:rPr>
          <w:rFonts w:hint="eastAsia" w:ascii="宋体" w:hAnsi="宋体"/>
          <w:color w:val="auto"/>
          <w:u w:val="single"/>
        </w:rPr>
        <w:t xml:space="preserve"> </w:t>
      </w:r>
      <w:r>
        <w:rPr>
          <w:rFonts w:ascii="宋体" w:hAnsi="宋体"/>
          <w:color w:val="auto"/>
        </w:rPr>
        <w:t>（¥</w:t>
      </w:r>
      <w:r>
        <w:rPr>
          <w:rFonts w:hint="eastAsia" w:ascii="宋体" w:hAnsi="宋体"/>
          <w:color w:val="auto"/>
          <w:u w:val="single"/>
        </w:rPr>
        <w:t xml:space="preserve"> </w:t>
      </w:r>
      <w:r>
        <w:rPr>
          <w:rFonts w:ascii="宋体" w:hAnsi="宋体"/>
          <w:color w:val="auto"/>
          <w:u w:val="single"/>
        </w:rPr>
        <w:t xml:space="preserve"> </w:t>
      </w:r>
      <w:r>
        <w:rPr>
          <w:rFonts w:hint="eastAsia" w:ascii="宋体" w:hAnsi="宋体"/>
          <w:color w:val="auto"/>
          <w:u w:val="single"/>
        </w:rPr>
        <w:t xml:space="preserve">  </w:t>
      </w:r>
      <w:r>
        <w:rPr>
          <w:rFonts w:ascii="宋体" w:hAnsi="宋体"/>
          <w:color w:val="auto"/>
        </w:rPr>
        <w:t>元）；适用税率：</w:t>
      </w:r>
      <w:r>
        <w:rPr>
          <w:rFonts w:ascii="宋体" w:hAnsi="宋体"/>
          <w:color w:val="auto"/>
          <w:u w:val="single"/>
        </w:rPr>
        <w:t xml:space="preserve"> </w:t>
      </w:r>
      <w:r>
        <w:rPr>
          <w:rFonts w:hint="eastAsia" w:ascii="宋体" w:hAnsi="宋体"/>
          <w:color w:val="auto"/>
          <w:u w:val="single"/>
        </w:rPr>
        <w:t xml:space="preserve">  </w:t>
      </w:r>
      <w:r>
        <w:rPr>
          <w:rFonts w:ascii="宋体" w:hAnsi="宋体"/>
          <w:color w:val="auto"/>
        </w:rPr>
        <w:t>%</w:t>
      </w:r>
      <w:r>
        <w:rPr>
          <w:rFonts w:hint="eastAsia" w:ascii="宋体" w:hAnsi="宋体"/>
          <w:color w:val="auto"/>
        </w:rPr>
        <w:t>。</w:t>
      </w:r>
    </w:p>
    <w:p w14:paraId="1240E870">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建安工程费（含税）：</w:t>
      </w:r>
      <w:r>
        <w:rPr>
          <w:rFonts w:hint="eastAsia" w:ascii="宋体" w:hAnsi="宋体"/>
          <w:color w:val="auto"/>
        </w:rPr>
        <w:tab/>
      </w:r>
    </w:p>
    <w:p w14:paraId="77A8A291">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优惠后费率：</w:t>
      </w:r>
      <w:r>
        <w:rPr>
          <w:rFonts w:hint="eastAsia" w:ascii="宋体" w:hAnsi="宋体"/>
          <w:color w:val="auto"/>
          <w:u w:val="single"/>
        </w:rPr>
        <w:t xml:space="preserve">  </w:t>
      </w:r>
      <w:r>
        <w:rPr>
          <w:rFonts w:ascii="宋体" w:hAnsi="宋体"/>
          <w:color w:val="auto"/>
          <w:u w:val="single"/>
        </w:rPr>
        <w:t xml:space="preserve"> </w:t>
      </w:r>
      <w:r>
        <w:rPr>
          <w:rFonts w:hint="eastAsia" w:ascii="宋体" w:hAnsi="宋体"/>
          <w:color w:val="auto"/>
          <w:u w:val="single"/>
        </w:rPr>
        <w:t xml:space="preserve">  %</w:t>
      </w:r>
      <w:r>
        <w:rPr>
          <w:rFonts w:hint="eastAsia" w:ascii="宋体" w:hAnsi="宋体"/>
          <w:color w:val="auto"/>
        </w:rPr>
        <w:t>，暂估为人民币（大写）</w:t>
      </w:r>
      <w:r>
        <w:rPr>
          <w:rFonts w:hint="eastAsia" w:ascii="宋体" w:hAnsi="宋体"/>
          <w:color w:val="auto"/>
          <w:u w:val="single"/>
        </w:rPr>
        <w:t xml:space="preserve">     </w:t>
      </w:r>
      <w:r>
        <w:rPr>
          <w:rFonts w:ascii="宋体" w:hAnsi="宋体"/>
          <w:color w:val="auto"/>
        </w:rPr>
        <w:t>（¥</w:t>
      </w:r>
      <w:r>
        <w:rPr>
          <w:rFonts w:ascii="宋体" w:hAnsi="宋体"/>
          <w:color w:val="auto"/>
          <w:u w:val="single"/>
        </w:rPr>
        <w:t xml:space="preserve">  </w:t>
      </w:r>
      <w:r>
        <w:rPr>
          <w:rFonts w:hint="eastAsia" w:ascii="宋体" w:hAnsi="宋体"/>
          <w:color w:val="auto"/>
          <w:u w:val="single"/>
        </w:rPr>
        <w:t xml:space="preserve">  </w:t>
      </w:r>
      <w:r>
        <w:rPr>
          <w:rFonts w:ascii="宋体" w:hAnsi="宋体"/>
          <w:color w:val="auto"/>
          <w:u w:val="single"/>
        </w:rPr>
        <w:t xml:space="preserve"> </w:t>
      </w:r>
      <w:r>
        <w:rPr>
          <w:rFonts w:ascii="宋体" w:hAnsi="宋体"/>
          <w:color w:val="auto"/>
        </w:rPr>
        <w:t>元）；适用税率：</w:t>
      </w:r>
      <w:r>
        <w:rPr>
          <w:rFonts w:ascii="宋体" w:hAnsi="宋体"/>
          <w:color w:val="auto"/>
          <w:u w:val="single"/>
        </w:rPr>
        <w:t xml:space="preserve">    </w:t>
      </w:r>
      <w:r>
        <w:rPr>
          <w:rFonts w:ascii="宋体" w:hAnsi="宋体"/>
          <w:color w:val="auto"/>
        </w:rPr>
        <w:t>%</w:t>
      </w:r>
      <w:r>
        <w:rPr>
          <w:rFonts w:hint="eastAsia" w:ascii="宋体" w:hAnsi="宋体"/>
          <w:color w:val="auto"/>
        </w:rPr>
        <w:t>。</w:t>
      </w:r>
    </w:p>
    <w:p w14:paraId="28AC7DBD">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hint="eastAsia" w:ascii="宋体" w:hAnsi="宋体"/>
          <w:color w:val="auto"/>
        </w:rPr>
      </w:pPr>
      <w:r>
        <w:rPr>
          <w:rFonts w:hint="eastAsia" w:ascii="宋体" w:hAnsi="宋体"/>
          <w:color w:val="auto"/>
        </w:rPr>
        <w:t>设计费的结算：最终结算以镇雄县财政局投资评审中心全过程跟踪评审后，以建安工程费最终评审价×设计费率。</w:t>
      </w:r>
    </w:p>
    <w:p w14:paraId="1A3B0601">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u w:val="single"/>
        </w:rPr>
      </w:pPr>
      <w:r>
        <w:rPr>
          <w:rFonts w:hint="eastAsia" w:ascii="宋体" w:hAnsi="宋体"/>
          <w:color w:val="auto"/>
          <w:lang w:val="en-US" w:eastAsia="zh-CN"/>
        </w:rPr>
        <w:t>勘察</w:t>
      </w:r>
      <w:r>
        <w:rPr>
          <w:rFonts w:hint="eastAsia" w:ascii="宋体" w:hAnsi="宋体"/>
          <w:color w:val="auto"/>
        </w:rPr>
        <w:t>费的结算：</w:t>
      </w:r>
      <w:r>
        <w:rPr>
          <w:rFonts w:hint="eastAsia" w:ascii="宋体" w:hAnsi="宋体"/>
          <w:color w:val="auto"/>
          <w:u w:val="single"/>
          <w:lang w:val="en-US" w:eastAsia="zh-CN"/>
        </w:rPr>
        <w:t xml:space="preserve">                    </w:t>
      </w:r>
      <w:r>
        <w:rPr>
          <w:rFonts w:hint="eastAsia" w:ascii="宋体" w:hAnsi="宋体"/>
          <w:color w:val="auto"/>
          <w:u w:val="single"/>
        </w:rPr>
        <w:t>。</w:t>
      </w:r>
    </w:p>
    <w:p w14:paraId="4004389F">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建安工程费：</w:t>
      </w:r>
    </w:p>
    <w:p w14:paraId="3315A896">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Calibri" w:hAnsi="Calibri" w:cs="Calibri"/>
          <w:color w:val="auto"/>
          <w:lang w:eastAsia="zh-CN"/>
        </w:rPr>
        <w:t>①</w:t>
      </w:r>
      <w:r>
        <w:rPr>
          <w:rFonts w:hint="eastAsia" w:ascii="宋体" w:hAnsi="宋体"/>
          <w:color w:val="auto"/>
        </w:rPr>
        <w:t>工程造价根据《建设工程工程量清单计价规范》（GB50500-2013）、云南省住房和城乡建设厅关于重新调整云南省建设工程造价计价依据中税金综合税率的通知（云建科函〔2019〕62号）、《云南省住房和城乡建设厅关于《云南省建设工程造价计价标准（2020版）》发布实施的通知》（云建科〔2021〕15号）及其配套文件等国家及省、市建设行政管理部门的相关规定及云南省现行计价调整文件执行；</w:t>
      </w:r>
    </w:p>
    <w:p w14:paraId="1D52A3F2">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hint="eastAsia" w:ascii="宋体" w:hAnsi="宋体" w:eastAsia="宋体"/>
          <w:color w:val="auto"/>
          <w:lang w:val="en-US" w:eastAsia="zh-CN"/>
        </w:rPr>
      </w:pPr>
      <w:r>
        <w:rPr>
          <w:rFonts w:hint="eastAsia" w:ascii="Calibri" w:hAnsi="Calibri" w:cs="Calibri"/>
          <w:color w:val="auto"/>
          <w:lang w:eastAsia="zh-CN"/>
        </w:rPr>
        <w:t>②</w:t>
      </w:r>
      <w:r>
        <w:rPr>
          <w:rFonts w:hint="eastAsia" w:ascii="宋体" w:hAnsi="宋体"/>
          <w:color w:val="auto"/>
        </w:rPr>
        <w:t>项目所有材料价格确定：承包人采购的主材、辅材、安装材料、型材等材料价格参照昭通市（合同签订当月作为计价依据）建设工程材料价格信息（镇雄县基价）并结合市场行情执行；昭通市价格信息（镇雄县基价）没有的参照昭通市价格信息（</w:t>
      </w:r>
      <w:r>
        <w:rPr>
          <w:rFonts w:hint="eastAsia" w:ascii="宋体" w:hAnsi="宋体"/>
          <w:color w:val="auto"/>
          <w:lang w:eastAsia="zh-CN"/>
        </w:rPr>
        <w:t>镇雄县基价</w:t>
      </w:r>
      <w:r>
        <w:rPr>
          <w:rFonts w:hint="eastAsia" w:ascii="宋体" w:hAnsi="宋体"/>
          <w:color w:val="auto"/>
        </w:rPr>
        <w:t>）执行；昭通市价格信息（</w:t>
      </w:r>
      <w:r>
        <w:rPr>
          <w:rFonts w:hint="eastAsia" w:ascii="宋体" w:hAnsi="宋体"/>
          <w:color w:val="auto"/>
          <w:lang w:eastAsia="zh-CN"/>
        </w:rPr>
        <w:t>镇雄县基价</w:t>
      </w:r>
      <w:r>
        <w:rPr>
          <w:rFonts w:hint="eastAsia" w:ascii="宋体" w:hAnsi="宋体"/>
          <w:color w:val="auto"/>
        </w:rPr>
        <w:t>）没有的参照云南省价格信息（云南省基价）执行，参照镇雄县基价不计运费和采保费，参照除镇雄县基价外其他地区基价计运费及采保费。以上价格信息没有的，建设前由建设、施工、监理、造价咨询等单位共同询价书面确定后再行实施</w:t>
      </w:r>
      <w:r>
        <w:rPr>
          <w:rFonts w:hint="eastAsia" w:ascii="宋体" w:hAnsi="宋体"/>
          <w:color w:val="auto"/>
          <w:lang w:eastAsia="zh-CN"/>
        </w:rPr>
        <w:t>；</w:t>
      </w:r>
    </w:p>
    <w:p w14:paraId="7794E64B">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Calibri" w:hAnsi="Calibri" w:cs="Calibri"/>
          <w:color w:val="auto"/>
          <w:lang w:eastAsia="zh-CN"/>
        </w:rPr>
        <w:t>③</w:t>
      </w:r>
      <w:r>
        <w:rPr>
          <w:rFonts w:hint="eastAsia" w:ascii="宋体" w:hAnsi="宋体"/>
          <w:color w:val="auto"/>
        </w:rPr>
        <w:t>工程总承包单位依据建设单位确认的施工图，编制本项目工程量清单及施工图预算，经镇雄县财政局投资评审中心全过程跟踪评审以最终评审价作为竣工结算和工程款支付依据。</w:t>
      </w:r>
    </w:p>
    <w:p w14:paraId="74E89226">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s="宋体"/>
          <w:color w:val="auto"/>
          <w:lang w:eastAsia="zh-CN"/>
        </w:rPr>
        <w:t>④</w:t>
      </w:r>
      <w:r>
        <w:rPr>
          <w:rFonts w:hint="eastAsia" w:ascii="宋体" w:hAnsi="宋体"/>
          <w:color w:val="auto"/>
        </w:rPr>
        <w:t>工程完工后，由镇雄县财政局投资评审中心审定竣工结算后，按工程总承包单位中标优惠后费率作为最终的工程竣工结算价。即建安工程费最终结算价=（经审定后的建安工程费用-不可竞争费用）×中标优惠后费率+不可竞争费用，其中不可竞争</w:t>
      </w:r>
      <w:r>
        <w:rPr>
          <w:rFonts w:hint="eastAsia" w:ascii="宋体" w:hAnsi="宋体"/>
          <w:color w:val="auto"/>
          <w:lang w:eastAsia="zh-CN"/>
        </w:rPr>
        <w:t>费用</w:t>
      </w:r>
      <w:r>
        <w:rPr>
          <w:rFonts w:hint="eastAsia" w:ascii="宋体" w:hAnsi="宋体"/>
          <w:color w:val="auto"/>
        </w:rPr>
        <w:t>包括安全文明施工费、规费、税金。</w:t>
      </w:r>
    </w:p>
    <w:p w14:paraId="44B3498A">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在项目实施过程中，因设计变更、签证等</w:t>
      </w:r>
      <w:r>
        <w:rPr>
          <w:rFonts w:hint="eastAsia" w:ascii="宋体" w:hAnsi="宋体"/>
          <w:color w:val="auto"/>
          <w:lang w:eastAsia="zh-CN"/>
        </w:rPr>
        <w:t>增加</w:t>
      </w:r>
      <w:r>
        <w:rPr>
          <w:rFonts w:hint="eastAsia" w:ascii="宋体" w:hAnsi="宋体"/>
          <w:color w:val="auto"/>
        </w:rPr>
        <w:t>产生的投资从预备费中列支。</w:t>
      </w:r>
    </w:p>
    <w:p w14:paraId="4CD69710">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2. 合同价格形式：</w:t>
      </w:r>
    </w:p>
    <w:p w14:paraId="13D67899">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合同价格形式为可调单价合同，除根据合同约定的在工程实施过程中需进行增减的款项外，合同价格不予调整，但合同当事人另有约定的除外。</w:t>
      </w:r>
    </w:p>
    <w:p w14:paraId="57AB63B7">
      <w:pPr>
        <w:keepNext w:val="0"/>
        <w:keepLines w:val="0"/>
        <w:pageBreakBefore w:val="0"/>
        <w:kinsoku w:val="0"/>
        <w:wordWrap/>
        <w:overflowPunct/>
        <w:topLinePunct w:val="0"/>
        <w:autoSpaceDE/>
        <w:autoSpaceDN/>
        <w:bidi w:val="0"/>
        <w:adjustRightInd w:val="0"/>
        <w:snapToGrid w:val="0"/>
        <w:spacing w:line="360" w:lineRule="exact"/>
        <w:ind w:firstLine="420" w:firstLineChars="200"/>
        <w:contextualSpacing/>
        <w:jc w:val="left"/>
        <w:textAlignment w:val="auto"/>
        <w:rPr>
          <w:rFonts w:ascii="宋体" w:hAnsi="宋体"/>
          <w:color w:val="auto"/>
        </w:rPr>
      </w:pPr>
      <w:r>
        <w:rPr>
          <w:rFonts w:hint="eastAsia" w:ascii="宋体" w:hAnsi="宋体"/>
          <w:color w:val="auto"/>
        </w:rPr>
        <w:t>合同当事人对合同价格形式的其他约定：</w:t>
      </w:r>
      <w:r>
        <w:rPr>
          <w:rFonts w:ascii="宋体" w:hAnsi="宋体"/>
          <w:color w:val="auto"/>
          <w:u w:val="single"/>
        </w:rPr>
        <w:t xml:space="preserve"> </w:t>
      </w:r>
      <w:r>
        <w:rPr>
          <w:rFonts w:hint="eastAsia" w:ascii="宋体" w:hAnsi="宋体"/>
          <w:color w:val="auto"/>
          <w:u w:val="single"/>
        </w:rPr>
        <w:t>按建安工程费的第</w:t>
      </w:r>
      <w:r>
        <w:rPr>
          <w:rFonts w:ascii="Calibri" w:hAnsi="Calibri" w:cs="Calibri"/>
          <w:color w:val="auto"/>
          <w:u w:val="single"/>
        </w:rPr>
        <w:t>②</w:t>
      </w:r>
      <w:r>
        <w:rPr>
          <w:rFonts w:hint="eastAsia" w:ascii="宋体" w:hAnsi="宋体"/>
          <w:color w:val="auto"/>
          <w:u w:val="single"/>
        </w:rPr>
        <w:t xml:space="preserve">条执行 </w:t>
      </w:r>
      <w:r>
        <w:rPr>
          <w:rFonts w:hint="eastAsia" w:ascii="宋体" w:hAnsi="宋体"/>
          <w:color w:val="auto"/>
        </w:rPr>
        <w:t>。</w:t>
      </w:r>
    </w:p>
    <w:p w14:paraId="6C23F350">
      <w:pPr>
        <w:keepNext w:val="0"/>
        <w:keepLines w:val="0"/>
        <w:pageBreakBefore w:val="0"/>
        <w:widowControl/>
        <w:tabs>
          <w:tab w:val="left" w:pos="567"/>
        </w:tabs>
        <w:wordWrap/>
        <w:overflowPunct/>
        <w:topLinePunct w:val="0"/>
        <w:autoSpaceDE/>
        <w:autoSpaceDN/>
        <w:bidi w:val="0"/>
        <w:adjustRightInd w:val="0"/>
        <w:snapToGrid w:val="0"/>
        <w:spacing w:line="360" w:lineRule="exact"/>
        <w:contextualSpacing/>
        <w:jc w:val="left"/>
        <w:textAlignment w:val="auto"/>
        <w:outlineLvl w:val="2"/>
        <w:rPr>
          <w:rFonts w:ascii="宋体" w:hAnsi="宋体"/>
          <w:bCs/>
          <w:color w:val="auto"/>
          <w:kern w:val="0"/>
        </w:rPr>
      </w:pPr>
      <w:bookmarkStart w:id="189" w:name="_Toc85451949"/>
      <w:r>
        <w:rPr>
          <w:rFonts w:hint="eastAsia" w:ascii="宋体" w:hAnsi="宋体"/>
          <w:bCs/>
          <w:color w:val="auto"/>
          <w:kern w:val="0"/>
        </w:rPr>
        <w:t>五、工程总承包项目经理</w:t>
      </w:r>
      <w:bookmarkEnd w:id="189"/>
    </w:p>
    <w:p w14:paraId="62D76849">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工程总承包项目经理：</w:t>
      </w:r>
      <w:r>
        <w:rPr>
          <w:rFonts w:ascii="宋体" w:hAnsi="宋体"/>
          <w:color w:val="auto"/>
          <w:u w:val="single"/>
        </w:rPr>
        <w:t xml:space="preserve"> </w:t>
      </w:r>
      <w:r>
        <w:rPr>
          <w:rFonts w:hint="eastAsia" w:ascii="宋体" w:hAnsi="宋体"/>
          <w:color w:val="auto"/>
          <w:u w:val="single"/>
        </w:rPr>
        <w:t xml:space="preserve"> </w:t>
      </w:r>
      <w:r>
        <w:rPr>
          <w:rFonts w:ascii="宋体" w:hAnsi="宋体"/>
          <w:color w:val="auto"/>
          <w:u w:val="single"/>
        </w:rPr>
        <w:t xml:space="preserve">  </w:t>
      </w:r>
      <w:r>
        <w:rPr>
          <w:rFonts w:hint="eastAsia" w:ascii="宋体" w:hAnsi="宋体"/>
          <w:color w:val="auto"/>
          <w:u w:val="single"/>
        </w:rPr>
        <w:t xml:space="preserve"> </w:t>
      </w:r>
      <w:r>
        <w:rPr>
          <w:rFonts w:ascii="宋体" w:hAnsi="宋体"/>
          <w:color w:val="auto"/>
          <w:u w:val="single"/>
        </w:rPr>
        <w:t xml:space="preserve">     </w:t>
      </w:r>
      <w:r>
        <w:rPr>
          <w:rFonts w:hint="eastAsia" w:ascii="宋体" w:hAnsi="宋体"/>
          <w:color w:val="auto"/>
        </w:rPr>
        <w:t>。</w:t>
      </w:r>
    </w:p>
    <w:p w14:paraId="3E864D95">
      <w:pPr>
        <w:keepNext w:val="0"/>
        <w:keepLines w:val="0"/>
        <w:pageBreakBefore w:val="0"/>
        <w:widowControl/>
        <w:tabs>
          <w:tab w:val="left" w:pos="567"/>
        </w:tabs>
        <w:wordWrap/>
        <w:overflowPunct/>
        <w:topLinePunct w:val="0"/>
        <w:autoSpaceDE/>
        <w:autoSpaceDN/>
        <w:bidi w:val="0"/>
        <w:adjustRightInd w:val="0"/>
        <w:snapToGrid w:val="0"/>
        <w:spacing w:line="360" w:lineRule="exact"/>
        <w:contextualSpacing/>
        <w:jc w:val="left"/>
        <w:textAlignment w:val="auto"/>
        <w:outlineLvl w:val="2"/>
        <w:rPr>
          <w:rFonts w:ascii="宋体" w:hAnsi="宋体"/>
          <w:bCs/>
          <w:color w:val="auto"/>
          <w:kern w:val="0"/>
        </w:rPr>
      </w:pPr>
      <w:bookmarkStart w:id="190" w:name="_Toc85451950"/>
      <w:r>
        <w:rPr>
          <w:rFonts w:hint="eastAsia" w:ascii="宋体" w:hAnsi="宋体"/>
          <w:bCs/>
          <w:color w:val="auto"/>
          <w:kern w:val="0"/>
        </w:rPr>
        <w:t>六、合同文件构成</w:t>
      </w:r>
      <w:bookmarkEnd w:id="190"/>
    </w:p>
    <w:p w14:paraId="3CC16A9E">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 xml:space="preserve">本协议书与下列文件一起构成合同文件： </w:t>
      </w:r>
    </w:p>
    <w:p w14:paraId="20607D28">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hint="eastAsia" w:ascii="宋体" w:hAnsi="宋体"/>
          <w:color w:val="auto"/>
        </w:rPr>
      </w:pPr>
      <w:r>
        <w:rPr>
          <w:rFonts w:hint="eastAsia" w:ascii="宋体" w:hAnsi="宋体"/>
          <w:color w:val="auto"/>
        </w:rPr>
        <w:t xml:space="preserve">（1）合同协议书； </w:t>
      </w:r>
    </w:p>
    <w:p w14:paraId="04D167A3">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（2）中标通知书（如果有）；</w:t>
      </w:r>
    </w:p>
    <w:p w14:paraId="0A1CAAB7">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（3） 投标函及投标函附录（如果有）；</w:t>
      </w:r>
    </w:p>
    <w:p w14:paraId="014B5931">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（4） 专用合同条件及《发包人要求》等附件；</w:t>
      </w:r>
    </w:p>
    <w:p w14:paraId="78193C08">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（5） 通用合同条件；</w:t>
      </w:r>
    </w:p>
    <w:p w14:paraId="59CD7ECE">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 xml:space="preserve">（6） 承包人建议书； </w:t>
      </w:r>
    </w:p>
    <w:p w14:paraId="353C78D0">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highlight w:val="yellow"/>
        </w:rPr>
      </w:pPr>
      <w:r>
        <w:rPr>
          <w:rFonts w:hint="eastAsia" w:ascii="宋体" w:hAnsi="宋体"/>
          <w:color w:val="auto"/>
        </w:rPr>
        <w:t>（7）审定</w:t>
      </w:r>
      <w:r>
        <w:rPr>
          <w:rFonts w:ascii="宋体" w:hAnsi="宋体"/>
          <w:color w:val="auto"/>
        </w:rPr>
        <w:t>的施工图预算</w:t>
      </w:r>
      <w:r>
        <w:rPr>
          <w:rFonts w:hint="eastAsia" w:ascii="宋体" w:hAnsi="宋体"/>
          <w:color w:val="auto"/>
        </w:rPr>
        <w:t>；</w:t>
      </w:r>
    </w:p>
    <w:p w14:paraId="50C92D83">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（8） 双方约定的其他合同文件。</w:t>
      </w:r>
    </w:p>
    <w:p w14:paraId="477AD84C">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上述各项合同文件包括双方就该项合同文件所作出的补充和修改，属于同一类内容的合同文件应以最新签署的为准。专用合同条件及其附件须经合同当事人签字或盖章。</w:t>
      </w:r>
    </w:p>
    <w:p w14:paraId="55D70E93">
      <w:pPr>
        <w:keepNext w:val="0"/>
        <w:keepLines w:val="0"/>
        <w:pageBreakBefore w:val="0"/>
        <w:widowControl/>
        <w:tabs>
          <w:tab w:val="left" w:pos="567"/>
        </w:tabs>
        <w:wordWrap/>
        <w:overflowPunct/>
        <w:topLinePunct w:val="0"/>
        <w:autoSpaceDE/>
        <w:autoSpaceDN/>
        <w:bidi w:val="0"/>
        <w:adjustRightInd w:val="0"/>
        <w:snapToGrid w:val="0"/>
        <w:spacing w:line="360" w:lineRule="exact"/>
        <w:contextualSpacing/>
        <w:jc w:val="left"/>
        <w:textAlignment w:val="auto"/>
        <w:outlineLvl w:val="2"/>
        <w:rPr>
          <w:rFonts w:ascii="宋体" w:hAnsi="宋体"/>
          <w:bCs/>
          <w:color w:val="auto"/>
          <w:kern w:val="0"/>
        </w:rPr>
      </w:pPr>
      <w:bookmarkStart w:id="191" w:name="_Toc85451951"/>
      <w:r>
        <w:rPr>
          <w:rFonts w:hint="eastAsia" w:ascii="宋体" w:hAnsi="宋体"/>
          <w:bCs/>
          <w:color w:val="auto"/>
          <w:kern w:val="0"/>
        </w:rPr>
        <w:t>七、承诺</w:t>
      </w:r>
      <w:bookmarkEnd w:id="191"/>
    </w:p>
    <w:p w14:paraId="29500CAD">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1. 发包人承诺按照法律规定履行项目审批手续、筹集工程建设资金并按照合同约定的期限和方式支付合同价款。</w:t>
      </w:r>
    </w:p>
    <w:p w14:paraId="12076355">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2. 承包人承诺按照法律规定及合同约定组织完成工程的采购和施工等工作，确保工程质量和安全，不进行转包及违法分包，并在缺陷责任期及保修期内承担相应的工程维修责任。</w:t>
      </w:r>
    </w:p>
    <w:p w14:paraId="2F21BC0C">
      <w:pPr>
        <w:keepNext w:val="0"/>
        <w:keepLines w:val="0"/>
        <w:pageBreakBefore w:val="0"/>
        <w:widowControl/>
        <w:tabs>
          <w:tab w:val="left" w:pos="567"/>
        </w:tabs>
        <w:wordWrap/>
        <w:overflowPunct/>
        <w:topLinePunct w:val="0"/>
        <w:autoSpaceDE/>
        <w:autoSpaceDN/>
        <w:bidi w:val="0"/>
        <w:adjustRightInd w:val="0"/>
        <w:snapToGrid w:val="0"/>
        <w:spacing w:line="360" w:lineRule="exact"/>
        <w:contextualSpacing/>
        <w:jc w:val="left"/>
        <w:textAlignment w:val="auto"/>
        <w:outlineLvl w:val="2"/>
        <w:rPr>
          <w:rFonts w:ascii="宋体" w:hAnsi="宋体"/>
          <w:bCs/>
          <w:color w:val="auto"/>
          <w:kern w:val="0"/>
        </w:rPr>
      </w:pPr>
      <w:r>
        <w:rPr>
          <w:rFonts w:hint="eastAsia" w:ascii="宋体" w:hAnsi="宋体"/>
          <w:bCs/>
          <w:color w:val="auto"/>
          <w:kern w:val="0"/>
        </w:rPr>
        <w:t>八、</w:t>
      </w:r>
      <w:bookmarkStart w:id="192" w:name="_Toc85451952"/>
      <w:r>
        <w:rPr>
          <w:rFonts w:hint="eastAsia" w:ascii="宋体" w:hAnsi="宋体"/>
          <w:bCs/>
          <w:color w:val="auto"/>
          <w:kern w:val="0"/>
        </w:rPr>
        <w:t>订立时间</w:t>
      </w:r>
      <w:bookmarkEnd w:id="192"/>
    </w:p>
    <w:p w14:paraId="337E8FC8">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hint="eastAsia" w:ascii="宋体" w:hAnsi="宋体"/>
          <w:color w:val="auto"/>
        </w:rPr>
      </w:pPr>
      <w:r>
        <w:rPr>
          <w:rFonts w:hint="eastAsia" w:ascii="宋体" w:hAnsi="宋体"/>
          <w:color w:val="auto"/>
        </w:rPr>
        <w:t>本合同于      年    月   日订立。</w:t>
      </w:r>
    </w:p>
    <w:p w14:paraId="46A84812">
      <w:pPr>
        <w:keepNext w:val="0"/>
        <w:keepLines w:val="0"/>
        <w:pageBreakBefore w:val="0"/>
        <w:widowControl/>
        <w:tabs>
          <w:tab w:val="left" w:pos="567"/>
        </w:tabs>
        <w:wordWrap/>
        <w:overflowPunct/>
        <w:topLinePunct w:val="0"/>
        <w:autoSpaceDE/>
        <w:autoSpaceDN/>
        <w:bidi w:val="0"/>
        <w:adjustRightInd w:val="0"/>
        <w:snapToGrid w:val="0"/>
        <w:spacing w:line="360" w:lineRule="exact"/>
        <w:contextualSpacing/>
        <w:jc w:val="left"/>
        <w:textAlignment w:val="auto"/>
        <w:outlineLvl w:val="2"/>
        <w:rPr>
          <w:rFonts w:ascii="宋体" w:hAnsi="宋体"/>
          <w:bCs/>
          <w:color w:val="auto"/>
          <w:kern w:val="0"/>
        </w:rPr>
      </w:pPr>
      <w:bookmarkStart w:id="193" w:name="_Toc85451953"/>
      <w:r>
        <w:rPr>
          <w:rFonts w:hint="eastAsia" w:ascii="宋体" w:hAnsi="宋体"/>
          <w:bCs/>
          <w:color w:val="auto"/>
          <w:kern w:val="0"/>
        </w:rPr>
        <w:t>九、订立地点</w:t>
      </w:r>
      <w:bookmarkEnd w:id="193"/>
    </w:p>
    <w:p w14:paraId="7D36EBE2">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本合同在</w:t>
      </w:r>
      <w:r>
        <w:rPr>
          <w:rFonts w:hint="eastAsia" w:ascii="宋体" w:hAnsi="宋体"/>
          <w:color w:val="auto"/>
          <w:u w:val="single"/>
          <w:lang w:val="en-US" w:eastAsia="zh-CN"/>
        </w:rPr>
        <w:t xml:space="preserve">                    </w:t>
      </w:r>
      <w:r>
        <w:rPr>
          <w:rFonts w:hint="eastAsia" w:ascii="宋体" w:hAnsi="宋体"/>
          <w:color w:val="auto"/>
        </w:rPr>
        <w:t>订立。</w:t>
      </w:r>
    </w:p>
    <w:p w14:paraId="21F2417C">
      <w:pPr>
        <w:keepNext w:val="0"/>
        <w:keepLines w:val="0"/>
        <w:pageBreakBefore w:val="0"/>
        <w:widowControl/>
        <w:tabs>
          <w:tab w:val="left" w:pos="567"/>
        </w:tabs>
        <w:wordWrap/>
        <w:overflowPunct/>
        <w:topLinePunct w:val="0"/>
        <w:autoSpaceDE/>
        <w:autoSpaceDN/>
        <w:bidi w:val="0"/>
        <w:adjustRightInd w:val="0"/>
        <w:snapToGrid w:val="0"/>
        <w:spacing w:line="360" w:lineRule="exact"/>
        <w:contextualSpacing/>
        <w:jc w:val="left"/>
        <w:textAlignment w:val="auto"/>
        <w:outlineLvl w:val="2"/>
        <w:rPr>
          <w:rFonts w:ascii="宋体" w:hAnsi="宋体"/>
          <w:bCs/>
          <w:color w:val="auto"/>
          <w:kern w:val="0"/>
        </w:rPr>
      </w:pPr>
      <w:bookmarkStart w:id="194" w:name="_Toc85451954"/>
      <w:r>
        <w:rPr>
          <w:rFonts w:hint="eastAsia" w:ascii="宋体" w:hAnsi="宋体"/>
          <w:bCs/>
          <w:color w:val="auto"/>
          <w:kern w:val="0"/>
        </w:rPr>
        <w:t>十、合同生效</w:t>
      </w:r>
      <w:bookmarkEnd w:id="194"/>
    </w:p>
    <w:p w14:paraId="7A68B22A">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本合同经双方签字或盖章后成立，并自</w:t>
      </w:r>
      <w:r>
        <w:rPr>
          <w:rFonts w:hint="eastAsia" w:ascii="宋体" w:hAnsi="宋体"/>
          <w:color w:val="auto"/>
          <w:u w:val="single"/>
        </w:rPr>
        <w:t>合同签订之日起</w:t>
      </w:r>
      <w:r>
        <w:rPr>
          <w:rFonts w:hint="eastAsia" w:ascii="宋体" w:hAnsi="宋体"/>
          <w:color w:val="auto"/>
        </w:rPr>
        <w:t>生效。</w:t>
      </w:r>
    </w:p>
    <w:p w14:paraId="735DFCB4">
      <w:pPr>
        <w:keepNext w:val="0"/>
        <w:keepLines w:val="0"/>
        <w:pageBreakBefore w:val="0"/>
        <w:widowControl/>
        <w:tabs>
          <w:tab w:val="left" w:pos="567"/>
        </w:tabs>
        <w:wordWrap/>
        <w:overflowPunct/>
        <w:topLinePunct w:val="0"/>
        <w:autoSpaceDE/>
        <w:autoSpaceDN/>
        <w:bidi w:val="0"/>
        <w:adjustRightInd w:val="0"/>
        <w:snapToGrid w:val="0"/>
        <w:spacing w:line="360" w:lineRule="exact"/>
        <w:contextualSpacing/>
        <w:jc w:val="left"/>
        <w:textAlignment w:val="auto"/>
        <w:outlineLvl w:val="2"/>
        <w:rPr>
          <w:rFonts w:ascii="宋体" w:hAnsi="宋体"/>
          <w:bCs/>
          <w:color w:val="auto"/>
          <w:kern w:val="0"/>
        </w:rPr>
      </w:pPr>
      <w:bookmarkStart w:id="195" w:name="_Toc85451955"/>
      <w:r>
        <w:rPr>
          <w:rFonts w:hint="eastAsia" w:ascii="宋体" w:hAnsi="宋体"/>
          <w:bCs/>
          <w:color w:val="auto"/>
          <w:kern w:val="0"/>
        </w:rPr>
        <w:t>十一、合同份数</w:t>
      </w:r>
      <w:bookmarkEnd w:id="195"/>
    </w:p>
    <w:p w14:paraId="5A7B68B4">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本合同一式</w:t>
      </w:r>
      <w:r>
        <w:rPr>
          <w:rFonts w:ascii="宋体" w:hAnsi="宋体"/>
          <w:color w:val="auto"/>
          <w:u w:val="single"/>
        </w:rPr>
        <w:t xml:space="preserve"> </w:t>
      </w:r>
      <w:r>
        <w:rPr>
          <w:rFonts w:hint="eastAsia" w:ascii="宋体" w:hAnsi="宋体"/>
          <w:color w:val="auto"/>
          <w:u w:val="single"/>
        </w:rPr>
        <w:t>捌</w:t>
      </w:r>
      <w:r>
        <w:rPr>
          <w:rFonts w:ascii="宋体" w:hAnsi="宋体"/>
          <w:color w:val="auto"/>
          <w:u w:val="single"/>
        </w:rPr>
        <w:t xml:space="preserve"> </w:t>
      </w:r>
      <w:r>
        <w:rPr>
          <w:rFonts w:hint="eastAsia" w:ascii="宋体" w:hAnsi="宋体"/>
          <w:color w:val="auto"/>
        </w:rPr>
        <w:t>份，均具有同等法律效力，发包人执</w:t>
      </w:r>
      <w:r>
        <w:rPr>
          <w:rFonts w:ascii="宋体" w:hAnsi="宋体"/>
          <w:color w:val="auto"/>
          <w:u w:val="single"/>
        </w:rPr>
        <w:t xml:space="preserve"> </w:t>
      </w:r>
      <w:r>
        <w:rPr>
          <w:rFonts w:hint="eastAsia" w:ascii="宋体" w:hAnsi="宋体"/>
          <w:color w:val="auto"/>
          <w:u w:val="single"/>
        </w:rPr>
        <w:t>肆</w:t>
      </w:r>
      <w:r>
        <w:rPr>
          <w:rFonts w:ascii="宋体" w:hAnsi="宋体"/>
          <w:color w:val="auto"/>
          <w:u w:val="single"/>
        </w:rPr>
        <w:t xml:space="preserve"> </w:t>
      </w:r>
      <w:r>
        <w:rPr>
          <w:rFonts w:hint="eastAsia" w:ascii="宋体" w:hAnsi="宋体"/>
          <w:color w:val="auto"/>
        </w:rPr>
        <w:t>份，承包人执</w:t>
      </w:r>
      <w:r>
        <w:rPr>
          <w:rFonts w:ascii="宋体" w:hAnsi="宋体"/>
          <w:color w:val="auto"/>
          <w:u w:val="single"/>
        </w:rPr>
        <w:t xml:space="preserve"> </w:t>
      </w:r>
      <w:r>
        <w:rPr>
          <w:rFonts w:hint="eastAsia" w:ascii="宋体" w:hAnsi="宋体"/>
          <w:color w:val="auto"/>
          <w:u w:val="single"/>
        </w:rPr>
        <w:t>肆</w:t>
      </w:r>
      <w:r>
        <w:rPr>
          <w:rFonts w:ascii="宋体" w:hAnsi="宋体"/>
          <w:color w:val="auto"/>
          <w:u w:val="single"/>
        </w:rPr>
        <w:t xml:space="preserve"> </w:t>
      </w:r>
      <w:r>
        <w:rPr>
          <w:rFonts w:hint="eastAsia" w:ascii="宋体" w:hAnsi="宋体"/>
          <w:color w:val="auto"/>
        </w:rPr>
        <w:t>份。</w:t>
      </w:r>
    </w:p>
    <w:p w14:paraId="014A2448">
      <w:pPr>
        <w:keepNext w:val="0"/>
        <w:keepLines w:val="0"/>
        <w:pageBreakBefore w:val="0"/>
        <w:wordWrap/>
        <w:overflowPunct/>
        <w:topLinePunct w:val="0"/>
        <w:autoSpaceDE/>
        <w:autoSpaceDN/>
        <w:bidi w:val="0"/>
        <w:adjustRightInd w:val="0"/>
        <w:snapToGrid w:val="0"/>
        <w:spacing w:line="360" w:lineRule="exact"/>
        <w:contextualSpacing/>
        <w:textAlignment w:val="auto"/>
        <w:rPr>
          <w:rFonts w:ascii="宋体" w:hAnsi="宋体"/>
          <w:color w:val="auto"/>
        </w:rPr>
      </w:pPr>
      <w:r>
        <w:rPr>
          <w:rFonts w:ascii="宋体" w:hAnsi="宋体"/>
          <w:color w:val="auto"/>
        </w:rPr>
        <w:br w:type="page"/>
      </w:r>
    </w:p>
    <w:p w14:paraId="3EB48956">
      <w:pPr>
        <w:pStyle w:val="23"/>
        <w:keepNext w:val="0"/>
        <w:keepLines w:val="0"/>
        <w:pageBreakBefore w:val="0"/>
        <w:wordWrap/>
        <w:overflowPunct/>
        <w:topLinePunct w:val="0"/>
        <w:autoSpaceDE/>
        <w:autoSpaceDN/>
        <w:bidi w:val="0"/>
        <w:spacing w:line="360" w:lineRule="exact"/>
        <w:textAlignment w:val="auto"/>
        <w:rPr>
          <w:rFonts w:hint="eastAsia" w:ascii="宋体" w:hAnsi="宋体" w:eastAsia="宋体" w:cs="Times New Roman"/>
          <w:color w:val="auto"/>
          <w:kern w:val="2"/>
          <w:sz w:val="21"/>
          <w:lang w:val="en-US" w:eastAsia="zh-CN" w:bidi="ar-SA"/>
        </w:rPr>
      </w:pPr>
      <w:r>
        <w:rPr>
          <w:rFonts w:hint="eastAsia" w:ascii="宋体" w:hAnsi="宋体" w:eastAsia="宋体" w:cs="Times New Roman"/>
          <w:color w:val="auto"/>
          <w:kern w:val="2"/>
          <w:sz w:val="21"/>
          <w:lang w:val="en-US" w:eastAsia="zh-CN" w:bidi="ar-SA"/>
        </w:rPr>
        <w:t>此页无正文，为签字盖章页</w:t>
      </w:r>
      <w:r>
        <w:rPr>
          <w:rFonts w:hint="eastAsia" w:ascii="宋体" w:hAnsi="宋体" w:cs="Times New Roman"/>
          <w:color w:val="auto"/>
          <w:kern w:val="2"/>
          <w:sz w:val="21"/>
          <w:lang w:val="en-US" w:eastAsia="zh-CN" w:bidi="ar-SA"/>
        </w:rPr>
        <w:t>。</w:t>
      </w:r>
    </w:p>
    <w:p w14:paraId="275395EB">
      <w:pPr>
        <w:keepNext w:val="0"/>
        <w:keepLines w:val="0"/>
        <w:pageBreakBefore w:val="0"/>
        <w:wordWrap/>
        <w:overflowPunct/>
        <w:topLinePunct w:val="0"/>
        <w:autoSpaceDE/>
        <w:autoSpaceDN/>
        <w:bidi w:val="0"/>
        <w:spacing w:line="360" w:lineRule="exact"/>
        <w:textAlignment w:val="auto"/>
        <w:rPr>
          <w:rFonts w:hint="eastAsia" w:ascii="宋体" w:hAnsi="宋体" w:eastAsia="宋体" w:cs="Times New Roman"/>
          <w:color w:val="auto"/>
          <w:kern w:val="2"/>
          <w:sz w:val="21"/>
          <w:lang w:val="en-US" w:eastAsia="zh-CN" w:bidi="ar-SA"/>
        </w:rPr>
      </w:pPr>
    </w:p>
    <w:p w14:paraId="32830338">
      <w:pPr>
        <w:pStyle w:val="23"/>
        <w:keepNext w:val="0"/>
        <w:keepLines w:val="0"/>
        <w:pageBreakBefore w:val="0"/>
        <w:wordWrap/>
        <w:overflowPunct/>
        <w:topLinePunct w:val="0"/>
        <w:autoSpaceDE/>
        <w:autoSpaceDN/>
        <w:bidi w:val="0"/>
        <w:spacing w:line="360" w:lineRule="exact"/>
        <w:textAlignment w:val="auto"/>
        <w:rPr>
          <w:rFonts w:hint="eastAsia" w:ascii="宋体" w:hAnsi="宋体" w:eastAsia="宋体" w:cs="Times New Roman"/>
          <w:color w:val="auto"/>
          <w:kern w:val="2"/>
          <w:sz w:val="21"/>
          <w:lang w:val="en-US" w:eastAsia="zh-CN" w:bidi="ar-SA"/>
        </w:rPr>
      </w:pPr>
    </w:p>
    <w:p w14:paraId="3B7154E5">
      <w:pPr>
        <w:keepNext w:val="0"/>
        <w:keepLines w:val="0"/>
        <w:pageBreakBefore w:val="0"/>
        <w:wordWrap/>
        <w:overflowPunct/>
        <w:topLinePunct w:val="0"/>
        <w:autoSpaceDE/>
        <w:autoSpaceDN/>
        <w:bidi w:val="0"/>
        <w:spacing w:line="360" w:lineRule="exact"/>
        <w:textAlignment w:val="auto"/>
        <w:rPr>
          <w:rFonts w:hint="eastAsia" w:ascii="宋体" w:hAnsi="宋体" w:eastAsia="宋体" w:cs="Times New Roman"/>
          <w:color w:val="auto"/>
          <w:kern w:val="2"/>
          <w:sz w:val="21"/>
          <w:lang w:val="en-US" w:eastAsia="zh-CN" w:bidi="ar-SA"/>
        </w:rPr>
      </w:pPr>
    </w:p>
    <w:p w14:paraId="4378CD48">
      <w:pPr>
        <w:pStyle w:val="23"/>
        <w:keepNext w:val="0"/>
        <w:keepLines w:val="0"/>
        <w:pageBreakBefore w:val="0"/>
        <w:wordWrap/>
        <w:overflowPunct/>
        <w:topLinePunct w:val="0"/>
        <w:autoSpaceDE/>
        <w:autoSpaceDN/>
        <w:bidi w:val="0"/>
        <w:spacing w:line="360" w:lineRule="exact"/>
        <w:textAlignment w:val="auto"/>
        <w:rPr>
          <w:rFonts w:hint="eastAsia" w:ascii="宋体" w:hAnsi="宋体" w:eastAsia="宋体" w:cs="Times New Roman"/>
          <w:color w:val="auto"/>
          <w:kern w:val="2"/>
          <w:sz w:val="21"/>
          <w:lang w:val="en-US" w:eastAsia="zh-CN" w:bidi="ar-SA"/>
        </w:rPr>
      </w:pPr>
    </w:p>
    <w:p w14:paraId="0C7559FA">
      <w:pPr>
        <w:keepNext w:val="0"/>
        <w:keepLines w:val="0"/>
        <w:pageBreakBefore w:val="0"/>
        <w:wordWrap/>
        <w:overflowPunct/>
        <w:topLinePunct w:val="0"/>
        <w:autoSpaceDE/>
        <w:autoSpaceDN/>
        <w:bidi w:val="0"/>
        <w:spacing w:line="360" w:lineRule="exact"/>
        <w:textAlignment w:val="auto"/>
        <w:rPr>
          <w:rFonts w:hint="default"/>
          <w:color w:val="auto"/>
          <w:lang w:val="en-US" w:eastAsia="zh-CN"/>
        </w:rPr>
      </w:pPr>
    </w:p>
    <w:tbl>
      <w:tblPr>
        <w:tblStyle w:val="68"/>
        <w:tblpPr w:leftFromText="180" w:rightFromText="180" w:vertAnchor="text" w:horzAnchor="page" w:tblpX="1353" w:tblpY="67"/>
        <w:tblW w:w="0" w:type="auto"/>
        <w:tblInd w:w="0" w:type="dxa"/>
        <w:tblLayout w:type="fixed"/>
        <w:tblCellMar>
          <w:top w:w="0" w:type="dxa"/>
          <w:left w:w="108" w:type="dxa"/>
          <w:bottom w:w="0" w:type="dxa"/>
          <w:right w:w="108" w:type="dxa"/>
        </w:tblCellMar>
      </w:tblPr>
      <w:tblGrid>
        <w:gridCol w:w="4326"/>
        <w:gridCol w:w="5625"/>
      </w:tblGrid>
      <w:tr w14:paraId="6564BD44">
        <w:tblPrEx>
          <w:tblCellMar>
            <w:top w:w="0" w:type="dxa"/>
            <w:left w:w="108" w:type="dxa"/>
            <w:bottom w:w="0" w:type="dxa"/>
            <w:right w:w="108" w:type="dxa"/>
          </w:tblCellMar>
        </w:tblPrEx>
        <w:trPr>
          <w:trHeight w:val="1019" w:hRule="atLeast"/>
        </w:trPr>
        <w:tc>
          <w:tcPr>
            <w:tcW w:w="4326" w:type="dxa"/>
            <w:noWrap w:val="0"/>
            <w:vAlign w:val="top"/>
          </w:tcPr>
          <w:p w14:paraId="546F120C">
            <w:pPr>
              <w:pStyle w:val="590"/>
              <w:keepNext w:val="0"/>
              <w:keepLines w:val="0"/>
              <w:pageBreakBefore w:val="0"/>
              <w:framePr w:hSpace="0" w:wrap="auto" w:vAnchor="margin" w:hAnchor="text" w:yAlign="inline"/>
              <w:wordWrap/>
              <w:overflowPunct/>
              <w:topLinePunct w:val="0"/>
              <w:autoSpaceDE/>
              <w:autoSpaceDN/>
              <w:bidi w:val="0"/>
              <w:spacing w:line="360" w:lineRule="exact"/>
              <w:contextualSpacing/>
              <w:textAlignment w:val="auto"/>
              <w:rPr>
                <w:rFonts w:hint="eastAsia" w:hAnsi="宋体" w:eastAsia="宋体"/>
                <w:color w:val="auto"/>
                <w:sz w:val="21"/>
                <w:szCs w:val="21"/>
                <w:lang w:eastAsia="zh-CN"/>
              </w:rPr>
            </w:pPr>
            <w:r>
              <w:rPr>
                <w:rFonts w:hint="eastAsia" w:hAnsi="宋体"/>
                <w:color w:val="auto"/>
                <w:sz w:val="21"/>
                <w:szCs w:val="21"/>
              </w:rPr>
              <w:t>发包人：（公章）</w:t>
            </w:r>
            <w:r>
              <w:rPr>
                <w:rFonts w:hint="eastAsia" w:hAnsi="宋体"/>
                <w:color w:val="auto"/>
                <w:sz w:val="21"/>
                <w:szCs w:val="21"/>
                <w:lang w:val="en-US" w:eastAsia="zh-CN"/>
              </w:rPr>
              <w:t xml:space="preserve"> </w:t>
            </w:r>
          </w:p>
        </w:tc>
        <w:tc>
          <w:tcPr>
            <w:tcW w:w="5625" w:type="dxa"/>
            <w:noWrap w:val="0"/>
            <w:vAlign w:val="top"/>
          </w:tcPr>
          <w:p w14:paraId="3FBF4DC2">
            <w:pPr>
              <w:pStyle w:val="590"/>
              <w:keepNext w:val="0"/>
              <w:keepLines w:val="0"/>
              <w:pageBreakBefore w:val="0"/>
              <w:framePr w:hSpace="0" w:wrap="auto" w:vAnchor="margin" w:hAnchor="text" w:yAlign="inline"/>
              <w:wordWrap/>
              <w:overflowPunct/>
              <w:topLinePunct w:val="0"/>
              <w:autoSpaceDE/>
              <w:autoSpaceDN/>
              <w:bidi w:val="0"/>
              <w:spacing w:line="360" w:lineRule="exact"/>
              <w:contextualSpacing/>
              <w:textAlignment w:val="auto"/>
              <w:rPr>
                <w:rFonts w:hAnsi="宋体"/>
                <w:color w:val="auto"/>
                <w:sz w:val="21"/>
                <w:szCs w:val="21"/>
              </w:rPr>
            </w:pPr>
            <w:r>
              <w:rPr>
                <w:rFonts w:hint="eastAsia" w:hAnsi="宋体"/>
                <w:color w:val="auto"/>
                <w:sz w:val="21"/>
                <w:szCs w:val="21"/>
              </w:rPr>
              <w:t>承包人：（公章）</w:t>
            </w:r>
          </w:p>
        </w:tc>
      </w:tr>
      <w:tr w14:paraId="4E9F9339">
        <w:tblPrEx>
          <w:tblCellMar>
            <w:top w:w="0" w:type="dxa"/>
            <w:left w:w="108" w:type="dxa"/>
            <w:bottom w:w="0" w:type="dxa"/>
            <w:right w:w="108" w:type="dxa"/>
          </w:tblCellMar>
        </w:tblPrEx>
        <w:tc>
          <w:tcPr>
            <w:tcW w:w="4326" w:type="dxa"/>
            <w:noWrap w:val="0"/>
            <w:vAlign w:val="top"/>
          </w:tcPr>
          <w:p w14:paraId="2849F4E5">
            <w:pPr>
              <w:pStyle w:val="590"/>
              <w:keepNext w:val="0"/>
              <w:keepLines w:val="0"/>
              <w:pageBreakBefore w:val="0"/>
              <w:framePr w:hSpace="0" w:wrap="auto" w:vAnchor="margin" w:hAnchor="text" w:yAlign="inline"/>
              <w:wordWrap/>
              <w:overflowPunct/>
              <w:topLinePunct w:val="0"/>
              <w:autoSpaceDE/>
              <w:autoSpaceDN/>
              <w:bidi w:val="0"/>
              <w:spacing w:line="360" w:lineRule="exact"/>
              <w:contextualSpacing/>
              <w:textAlignment w:val="auto"/>
              <w:rPr>
                <w:rFonts w:hAnsi="宋体"/>
                <w:color w:val="auto"/>
                <w:sz w:val="21"/>
                <w:szCs w:val="21"/>
              </w:rPr>
            </w:pPr>
            <w:r>
              <w:rPr>
                <w:rFonts w:hint="eastAsia" w:hAnsi="宋体"/>
                <w:color w:val="auto"/>
                <w:sz w:val="21"/>
                <w:szCs w:val="21"/>
              </w:rPr>
              <w:t>法定代表人或其委托代理人：（签字）</w:t>
            </w:r>
          </w:p>
        </w:tc>
        <w:tc>
          <w:tcPr>
            <w:tcW w:w="5625" w:type="dxa"/>
            <w:noWrap w:val="0"/>
            <w:vAlign w:val="top"/>
          </w:tcPr>
          <w:p w14:paraId="7C48CD23">
            <w:pPr>
              <w:pStyle w:val="590"/>
              <w:keepNext w:val="0"/>
              <w:keepLines w:val="0"/>
              <w:pageBreakBefore w:val="0"/>
              <w:framePr w:hSpace="0" w:wrap="auto" w:vAnchor="margin" w:hAnchor="text" w:yAlign="inline"/>
              <w:wordWrap/>
              <w:overflowPunct/>
              <w:topLinePunct w:val="0"/>
              <w:autoSpaceDE/>
              <w:autoSpaceDN/>
              <w:bidi w:val="0"/>
              <w:spacing w:line="360" w:lineRule="exact"/>
              <w:contextualSpacing/>
              <w:textAlignment w:val="auto"/>
              <w:rPr>
                <w:rFonts w:hAnsi="宋体"/>
                <w:color w:val="auto"/>
                <w:sz w:val="21"/>
                <w:szCs w:val="21"/>
              </w:rPr>
            </w:pPr>
            <w:r>
              <w:rPr>
                <w:rFonts w:hint="eastAsia" w:hAnsi="宋体"/>
                <w:color w:val="auto"/>
                <w:sz w:val="21"/>
                <w:szCs w:val="21"/>
              </w:rPr>
              <w:t>法定代表人或其委托代理人：（签字）</w:t>
            </w:r>
          </w:p>
        </w:tc>
      </w:tr>
      <w:tr w14:paraId="517B9963">
        <w:tblPrEx>
          <w:tblCellMar>
            <w:top w:w="0" w:type="dxa"/>
            <w:left w:w="108" w:type="dxa"/>
            <w:bottom w:w="0" w:type="dxa"/>
            <w:right w:w="108" w:type="dxa"/>
          </w:tblCellMar>
        </w:tblPrEx>
        <w:tc>
          <w:tcPr>
            <w:tcW w:w="4326" w:type="dxa"/>
            <w:noWrap w:val="0"/>
            <w:vAlign w:val="top"/>
          </w:tcPr>
          <w:p w14:paraId="7D08A7E2">
            <w:pPr>
              <w:pStyle w:val="590"/>
              <w:keepNext w:val="0"/>
              <w:keepLines w:val="0"/>
              <w:pageBreakBefore w:val="0"/>
              <w:framePr w:hSpace="0" w:wrap="auto" w:vAnchor="margin" w:hAnchor="text" w:yAlign="inline"/>
              <w:wordWrap/>
              <w:overflowPunct/>
              <w:topLinePunct w:val="0"/>
              <w:autoSpaceDE/>
              <w:autoSpaceDN/>
              <w:bidi w:val="0"/>
              <w:spacing w:line="360" w:lineRule="exact"/>
              <w:contextualSpacing/>
              <w:textAlignment w:val="auto"/>
              <w:rPr>
                <w:rFonts w:hAnsi="宋体"/>
                <w:color w:val="auto"/>
                <w:sz w:val="21"/>
                <w:szCs w:val="21"/>
              </w:rPr>
            </w:pPr>
            <w:r>
              <w:rPr>
                <w:rFonts w:hint="eastAsia" w:hAnsi="宋体"/>
                <w:color w:val="auto"/>
                <w:sz w:val="21"/>
                <w:szCs w:val="21"/>
              </w:rPr>
              <w:t>统一社会信用代码：</w:t>
            </w:r>
            <w:r>
              <w:rPr>
                <w:rFonts w:hAnsi="宋体"/>
                <w:color w:val="auto"/>
                <w:kern w:val="0"/>
                <w:sz w:val="21"/>
                <w:szCs w:val="21"/>
                <w:u w:val="single"/>
              </w:rPr>
              <w:t xml:space="preserve">           </w:t>
            </w:r>
          </w:p>
          <w:p w14:paraId="1B25FD68">
            <w:pPr>
              <w:pStyle w:val="590"/>
              <w:keepNext w:val="0"/>
              <w:keepLines w:val="0"/>
              <w:pageBreakBefore w:val="0"/>
              <w:framePr w:hSpace="0" w:wrap="auto" w:vAnchor="margin" w:hAnchor="text" w:yAlign="inline"/>
              <w:wordWrap/>
              <w:overflowPunct/>
              <w:topLinePunct w:val="0"/>
              <w:autoSpaceDE/>
              <w:autoSpaceDN/>
              <w:bidi w:val="0"/>
              <w:spacing w:line="360" w:lineRule="exact"/>
              <w:contextualSpacing/>
              <w:textAlignment w:val="auto"/>
              <w:rPr>
                <w:rFonts w:hAnsi="宋体"/>
                <w:color w:val="auto"/>
                <w:kern w:val="0"/>
                <w:sz w:val="21"/>
                <w:szCs w:val="21"/>
                <w:u w:val="single"/>
              </w:rPr>
            </w:pPr>
            <w:r>
              <w:rPr>
                <w:rFonts w:hint="eastAsia" w:hAnsi="宋体"/>
                <w:color w:val="auto"/>
                <w:sz w:val="21"/>
                <w:szCs w:val="21"/>
              </w:rPr>
              <w:t>地址：</w:t>
            </w:r>
            <w:r>
              <w:rPr>
                <w:rFonts w:hint="eastAsia" w:hAnsi="宋体"/>
                <w:color w:val="auto"/>
                <w:sz w:val="21"/>
                <w:szCs w:val="21"/>
                <w:u w:val="single"/>
                <w:lang w:val="en-US" w:eastAsia="zh-CN"/>
              </w:rPr>
              <w:t xml:space="preserve"> </w:t>
            </w:r>
            <w:r>
              <w:rPr>
                <w:rFonts w:hAnsi="宋体"/>
                <w:color w:val="auto"/>
                <w:kern w:val="0"/>
                <w:sz w:val="21"/>
                <w:szCs w:val="21"/>
                <w:u w:val="single"/>
              </w:rPr>
              <w:t xml:space="preserve"> </w:t>
            </w:r>
            <w:r>
              <w:rPr>
                <w:rFonts w:hint="eastAsia" w:hAnsi="宋体"/>
                <w:color w:val="auto"/>
                <w:kern w:val="0"/>
                <w:sz w:val="21"/>
                <w:szCs w:val="21"/>
                <w:u w:val="single"/>
                <w:lang w:val="en-US" w:eastAsia="zh-CN"/>
              </w:rPr>
              <w:t xml:space="preserve">                   </w:t>
            </w:r>
            <w:r>
              <w:rPr>
                <w:rFonts w:hAnsi="宋体"/>
                <w:color w:val="auto"/>
                <w:kern w:val="0"/>
                <w:sz w:val="21"/>
                <w:szCs w:val="21"/>
                <w:u w:val="single"/>
              </w:rPr>
              <w:t xml:space="preserve">  </w:t>
            </w:r>
          </w:p>
          <w:p w14:paraId="6BCB4E06">
            <w:pPr>
              <w:pStyle w:val="590"/>
              <w:keepNext w:val="0"/>
              <w:keepLines w:val="0"/>
              <w:pageBreakBefore w:val="0"/>
              <w:framePr w:hSpace="0" w:wrap="auto" w:vAnchor="margin" w:hAnchor="text" w:yAlign="inline"/>
              <w:wordWrap/>
              <w:overflowPunct/>
              <w:topLinePunct w:val="0"/>
              <w:autoSpaceDE/>
              <w:autoSpaceDN/>
              <w:bidi w:val="0"/>
              <w:spacing w:line="360" w:lineRule="exact"/>
              <w:contextualSpacing/>
              <w:textAlignment w:val="auto"/>
              <w:rPr>
                <w:rFonts w:hAnsi="宋体"/>
                <w:color w:val="auto"/>
                <w:sz w:val="21"/>
                <w:szCs w:val="21"/>
              </w:rPr>
            </w:pPr>
            <w:r>
              <w:rPr>
                <w:rFonts w:hint="eastAsia" w:hAnsi="宋体"/>
                <w:color w:val="auto"/>
                <w:sz w:val="21"/>
                <w:szCs w:val="21"/>
              </w:rPr>
              <w:t>邮政编码：</w:t>
            </w:r>
            <w:r>
              <w:rPr>
                <w:rFonts w:hAnsi="宋体"/>
                <w:color w:val="auto"/>
                <w:kern w:val="0"/>
                <w:sz w:val="21"/>
                <w:szCs w:val="21"/>
                <w:u w:val="single"/>
              </w:rPr>
              <w:t xml:space="preserve">                   </w:t>
            </w:r>
          </w:p>
          <w:p w14:paraId="03F963FC">
            <w:pPr>
              <w:pStyle w:val="590"/>
              <w:keepNext w:val="0"/>
              <w:keepLines w:val="0"/>
              <w:pageBreakBefore w:val="0"/>
              <w:framePr w:hSpace="0" w:wrap="auto" w:vAnchor="margin" w:hAnchor="text" w:yAlign="inline"/>
              <w:wordWrap/>
              <w:overflowPunct/>
              <w:topLinePunct w:val="0"/>
              <w:autoSpaceDE/>
              <w:autoSpaceDN/>
              <w:bidi w:val="0"/>
              <w:spacing w:line="360" w:lineRule="exact"/>
              <w:contextualSpacing/>
              <w:textAlignment w:val="auto"/>
              <w:rPr>
                <w:rFonts w:hAnsi="宋体"/>
                <w:color w:val="auto"/>
                <w:sz w:val="21"/>
                <w:szCs w:val="21"/>
              </w:rPr>
            </w:pPr>
            <w:r>
              <w:rPr>
                <w:rFonts w:hint="eastAsia" w:hAnsi="宋体"/>
                <w:color w:val="auto"/>
                <w:sz w:val="21"/>
                <w:szCs w:val="21"/>
              </w:rPr>
              <w:t>法定代表人：</w:t>
            </w:r>
            <w:r>
              <w:rPr>
                <w:rFonts w:hAnsi="宋体"/>
                <w:color w:val="auto"/>
                <w:kern w:val="0"/>
                <w:sz w:val="21"/>
                <w:szCs w:val="21"/>
                <w:u w:val="single"/>
              </w:rPr>
              <w:t xml:space="preserve">                 </w:t>
            </w:r>
          </w:p>
          <w:p w14:paraId="1CFD10F0">
            <w:pPr>
              <w:pStyle w:val="590"/>
              <w:keepNext w:val="0"/>
              <w:keepLines w:val="0"/>
              <w:pageBreakBefore w:val="0"/>
              <w:framePr w:hSpace="0" w:wrap="auto" w:vAnchor="margin" w:hAnchor="text" w:yAlign="inline"/>
              <w:wordWrap/>
              <w:overflowPunct/>
              <w:topLinePunct w:val="0"/>
              <w:autoSpaceDE/>
              <w:autoSpaceDN/>
              <w:bidi w:val="0"/>
              <w:spacing w:line="360" w:lineRule="exact"/>
              <w:contextualSpacing/>
              <w:textAlignment w:val="auto"/>
              <w:rPr>
                <w:rFonts w:hAnsi="宋体"/>
                <w:color w:val="auto"/>
                <w:sz w:val="21"/>
                <w:szCs w:val="21"/>
              </w:rPr>
            </w:pPr>
            <w:r>
              <w:rPr>
                <w:rFonts w:hint="eastAsia" w:hAnsi="宋体"/>
                <w:color w:val="auto"/>
                <w:sz w:val="21"/>
                <w:szCs w:val="21"/>
              </w:rPr>
              <w:t>委托代理人：</w:t>
            </w:r>
            <w:r>
              <w:rPr>
                <w:rFonts w:hAnsi="宋体"/>
                <w:color w:val="auto"/>
                <w:kern w:val="0"/>
                <w:sz w:val="21"/>
                <w:szCs w:val="21"/>
                <w:u w:val="single"/>
              </w:rPr>
              <w:t xml:space="preserve">         </w:t>
            </w:r>
            <w:r>
              <w:rPr>
                <w:rFonts w:hint="eastAsia" w:hAnsi="宋体"/>
                <w:color w:val="auto"/>
                <w:kern w:val="0"/>
                <w:sz w:val="21"/>
                <w:szCs w:val="21"/>
                <w:u w:val="single"/>
                <w:lang w:val="en-US" w:eastAsia="zh-CN"/>
              </w:rPr>
              <w:t xml:space="preserve"> </w:t>
            </w:r>
            <w:r>
              <w:rPr>
                <w:rFonts w:hAnsi="宋体"/>
                <w:color w:val="auto"/>
                <w:kern w:val="0"/>
                <w:sz w:val="21"/>
                <w:szCs w:val="21"/>
                <w:u w:val="single"/>
              </w:rPr>
              <w:t xml:space="preserve">   </w:t>
            </w:r>
            <w:r>
              <w:rPr>
                <w:rFonts w:hint="eastAsia" w:hAnsi="宋体"/>
                <w:color w:val="auto"/>
                <w:kern w:val="0"/>
                <w:sz w:val="21"/>
                <w:szCs w:val="21"/>
                <w:u w:val="single"/>
                <w:lang w:val="en-US" w:eastAsia="zh-CN"/>
              </w:rPr>
              <w:t xml:space="preserve"> </w:t>
            </w:r>
            <w:r>
              <w:rPr>
                <w:rFonts w:hAnsi="宋体"/>
                <w:color w:val="auto"/>
                <w:kern w:val="0"/>
                <w:sz w:val="21"/>
                <w:szCs w:val="21"/>
                <w:u w:val="single"/>
              </w:rPr>
              <w:t xml:space="preserve">   </w:t>
            </w:r>
          </w:p>
          <w:p w14:paraId="7DB58953">
            <w:pPr>
              <w:pStyle w:val="590"/>
              <w:keepNext w:val="0"/>
              <w:keepLines w:val="0"/>
              <w:pageBreakBefore w:val="0"/>
              <w:framePr w:hSpace="0" w:wrap="auto" w:vAnchor="margin" w:hAnchor="text" w:yAlign="inline"/>
              <w:wordWrap/>
              <w:overflowPunct/>
              <w:topLinePunct w:val="0"/>
              <w:autoSpaceDE/>
              <w:autoSpaceDN/>
              <w:bidi w:val="0"/>
              <w:spacing w:line="360" w:lineRule="exact"/>
              <w:contextualSpacing/>
              <w:textAlignment w:val="auto"/>
              <w:rPr>
                <w:rFonts w:hAnsi="宋体"/>
                <w:color w:val="auto"/>
                <w:sz w:val="21"/>
                <w:szCs w:val="21"/>
              </w:rPr>
            </w:pPr>
            <w:r>
              <w:rPr>
                <w:rFonts w:hint="eastAsia" w:hAnsi="宋体"/>
                <w:color w:val="auto"/>
                <w:sz w:val="21"/>
                <w:szCs w:val="21"/>
              </w:rPr>
              <w:t>电话：</w:t>
            </w:r>
            <w:r>
              <w:rPr>
                <w:rFonts w:hAnsi="宋体"/>
                <w:color w:val="auto"/>
                <w:kern w:val="0"/>
                <w:sz w:val="21"/>
                <w:szCs w:val="21"/>
                <w:u w:val="single"/>
              </w:rPr>
              <w:t xml:space="preserve">                       </w:t>
            </w:r>
          </w:p>
          <w:p w14:paraId="24DC1AB2">
            <w:pPr>
              <w:pStyle w:val="590"/>
              <w:keepNext w:val="0"/>
              <w:keepLines w:val="0"/>
              <w:pageBreakBefore w:val="0"/>
              <w:framePr w:hSpace="0" w:wrap="auto" w:vAnchor="margin" w:hAnchor="text" w:yAlign="inline"/>
              <w:wordWrap/>
              <w:overflowPunct/>
              <w:topLinePunct w:val="0"/>
              <w:autoSpaceDE/>
              <w:autoSpaceDN/>
              <w:bidi w:val="0"/>
              <w:spacing w:line="360" w:lineRule="exact"/>
              <w:contextualSpacing/>
              <w:textAlignment w:val="auto"/>
              <w:rPr>
                <w:rFonts w:hAnsi="宋体"/>
                <w:color w:val="auto"/>
                <w:sz w:val="21"/>
                <w:szCs w:val="21"/>
              </w:rPr>
            </w:pPr>
            <w:r>
              <w:rPr>
                <w:rFonts w:hint="eastAsia" w:hAnsi="宋体"/>
                <w:color w:val="auto"/>
                <w:sz w:val="21"/>
                <w:szCs w:val="21"/>
              </w:rPr>
              <w:t xml:space="preserve">传真： </w:t>
            </w:r>
            <w:r>
              <w:rPr>
                <w:rFonts w:hAnsi="宋体"/>
                <w:color w:val="auto"/>
                <w:kern w:val="0"/>
                <w:sz w:val="21"/>
                <w:szCs w:val="21"/>
                <w:u w:val="single"/>
              </w:rPr>
              <w:t xml:space="preserve">                      </w:t>
            </w:r>
          </w:p>
          <w:p w14:paraId="7261643A">
            <w:pPr>
              <w:pStyle w:val="590"/>
              <w:keepNext w:val="0"/>
              <w:keepLines w:val="0"/>
              <w:pageBreakBefore w:val="0"/>
              <w:framePr w:hSpace="0" w:wrap="auto" w:vAnchor="margin" w:hAnchor="text" w:yAlign="inline"/>
              <w:wordWrap/>
              <w:overflowPunct/>
              <w:topLinePunct w:val="0"/>
              <w:autoSpaceDE/>
              <w:autoSpaceDN/>
              <w:bidi w:val="0"/>
              <w:spacing w:line="360" w:lineRule="exact"/>
              <w:contextualSpacing/>
              <w:textAlignment w:val="auto"/>
              <w:rPr>
                <w:rFonts w:hAnsi="宋体"/>
                <w:color w:val="auto"/>
                <w:sz w:val="21"/>
                <w:szCs w:val="21"/>
              </w:rPr>
            </w:pPr>
            <w:r>
              <w:rPr>
                <w:rFonts w:hint="eastAsia" w:hAnsi="宋体"/>
                <w:color w:val="auto"/>
                <w:sz w:val="21"/>
                <w:szCs w:val="21"/>
              </w:rPr>
              <w:t>电子信箱：</w:t>
            </w:r>
            <w:r>
              <w:rPr>
                <w:rFonts w:hAnsi="宋体"/>
                <w:color w:val="auto"/>
                <w:kern w:val="0"/>
                <w:sz w:val="21"/>
                <w:szCs w:val="21"/>
                <w:u w:val="single"/>
              </w:rPr>
              <w:t xml:space="preserve">                   </w:t>
            </w:r>
          </w:p>
          <w:p w14:paraId="54797D4A">
            <w:pPr>
              <w:pStyle w:val="590"/>
              <w:keepNext w:val="0"/>
              <w:keepLines w:val="0"/>
              <w:pageBreakBefore w:val="0"/>
              <w:framePr w:hSpace="0" w:wrap="auto" w:vAnchor="margin" w:hAnchor="text" w:yAlign="inline"/>
              <w:wordWrap/>
              <w:overflowPunct/>
              <w:topLinePunct w:val="0"/>
              <w:autoSpaceDE/>
              <w:autoSpaceDN/>
              <w:bidi w:val="0"/>
              <w:spacing w:line="360" w:lineRule="exact"/>
              <w:contextualSpacing/>
              <w:textAlignment w:val="auto"/>
              <w:rPr>
                <w:rFonts w:hAnsi="宋体"/>
                <w:color w:val="auto"/>
                <w:sz w:val="21"/>
                <w:szCs w:val="21"/>
              </w:rPr>
            </w:pPr>
            <w:r>
              <w:rPr>
                <w:rFonts w:hint="eastAsia" w:hAnsi="宋体"/>
                <w:color w:val="auto"/>
                <w:sz w:val="21"/>
                <w:szCs w:val="21"/>
              </w:rPr>
              <w:t>开户银行：</w:t>
            </w:r>
            <w:r>
              <w:rPr>
                <w:rFonts w:hAnsi="宋体"/>
                <w:color w:val="auto"/>
                <w:kern w:val="0"/>
                <w:sz w:val="21"/>
                <w:szCs w:val="21"/>
                <w:u w:val="single"/>
              </w:rPr>
              <w:t xml:space="preserve">                   </w:t>
            </w:r>
          </w:p>
          <w:p w14:paraId="3F902681">
            <w:pPr>
              <w:pStyle w:val="590"/>
              <w:keepNext w:val="0"/>
              <w:keepLines w:val="0"/>
              <w:pageBreakBefore w:val="0"/>
              <w:framePr w:hSpace="0" w:wrap="auto" w:vAnchor="margin" w:hAnchor="text" w:yAlign="inline"/>
              <w:wordWrap/>
              <w:overflowPunct/>
              <w:topLinePunct w:val="0"/>
              <w:autoSpaceDE/>
              <w:autoSpaceDN/>
              <w:bidi w:val="0"/>
              <w:spacing w:line="360" w:lineRule="exact"/>
              <w:contextualSpacing/>
              <w:textAlignment w:val="auto"/>
              <w:rPr>
                <w:rFonts w:hAnsi="宋体"/>
                <w:color w:val="auto"/>
                <w:kern w:val="0"/>
                <w:sz w:val="21"/>
                <w:szCs w:val="21"/>
                <w:u w:val="single"/>
              </w:rPr>
            </w:pPr>
            <w:r>
              <w:rPr>
                <w:rFonts w:hint="eastAsia" w:hAnsi="宋体"/>
                <w:color w:val="auto"/>
                <w:sz w:val="21"/>
                <w:szCs w:val="21"/>
              </w:rPr>
              <w:t>账号：</w:t>
            </w:r>
            <w:r>
              <w:rPr>
                <w:rFonts w:hAnsi="宋体"/>
                <w:color w:val="auto"/>
                <w:kern w:val="0"/>
                <w:sz w:val="21"/>
                <w:szCs w:val="21"/>
                <w:u w:val="single"/>
              </w:rPr>
              <w:t xml:space="preserve">                       </w:t>
            </w:r>
          </w:p>
          <w:p w14:paraId="25ECEFF5">
            <w:pPr>
              <w:pStyle w:val="590"/>
              <w:keepNext w:val="0"/>
              <w:keepLines w:val="0"/>
              <w:pageBreakBefore w:val="0"/>
              <w:framePr w:hSpace="0" w:wrap="auto" w:vAnchor="margin" w:hAnchor="text" w:yAlign="inline"/>
              <w:wordWrap/>
              <w:overflowPunct/>
              <w:topLinePunct w:val="0"/>
              <w:autoSpaceDE/>
              <w:autoSpaceDN/>
              <w:bidi w:val="0"/>
              <w:spacing w:line="360" w:lineRule="exact"/>
              <w:contextualSpacing/>
              <w:textAlignment w:val="auto"/>
              <w:rPr>
                <w:rFonts w:hAnsi="宋体"/>
                <w:color w:val="auto"/>
                <w:sz w:val="21"/>
                <w:szCs w:val="21"/>
              </w:rPr>
            </w:pPr>
          </w:p>
          <w:p w14:paraId="5F12593B">
            <w:pPr>
              <w:pStyle w:val="590"/>
              <w:keepNext w:val="0"/>
              <w:keepLines w:val="0"/>
              <w:pageBreakBefore w:val="0"/>
              <w:framePr w:hSpace="0" w:wrap="auto" w:vAnchor="margin" w:hAnchor="text" w:yAlign="inline"/>
              <w:wordWrap/>
              <w:overflowPunct/>
              <w:topLinePunct w:val="0"/>
              <w:autoSpaceDE/>
              <w:autoSpaceDN/>
              <w:bidi w:val="0"/>
              <w:spacing w:line="360" w:lineRule="exact"/>
              <w:contextualSpacing/>
              <w:textAlignment w:val="auto"/>
              <w:rPr>
                <w:rFonts w:hAnsi="宋体"/>
                <w:color w:val="auto"/>
                <w:sz w:val="21"/>
                <w:szCs w:val="21"/>
              </w:rPr>
            </w:pPr>
          </w:p>
          <w:p w14:paraId="7ABE4508">
            <w:pPr>
              <w:pStyle w:val="590"/>
              <w:keepNext w:val="0"/>
              <w:keepLines w:val="0"/>
              <w:pageBreakBefore w:val="0"/>
              <w:framePr w:hSpace="0" w:wrap="auto" w:vAnchor="margin" w:hAnchor="text" w:yAlign="inline"/>
              <w:wordWrap/>
              <w:overflowPunct/>
              <w:topLinePunct w:val="0"/>
              <w:autoSpaceDE/>
              <w:autoSpaceDN/>
              <w:bidi w:val="0"/>
              <w:spacing w:line="360" w:lineRule="exact"/>
              <w:contextualSpacing/>
              <w:textAlignment w:val="auto"/>
              <w:rPr>
                <w:rFonts w:hAnsi="宋体"/>
                <w:color w:val="auto"/>
                <w:sz w:val="21"/>
                <w:szCs w:val="21"/>
              </w:rPr>
            </w:pPr>
          </w:p>
          <w:p w14:paraId="68FEB300">
            <w:pPr>
              <w:pStyle w:val="590"/>
              <w:keepNext w:val="0"/>
              <w:keepLines w:val="0"/>
              <w:pageBreakBefore w:val="0"/>
              <w:framePr w:hSpace="0" w:wrap="auto" w:vAnchor="margin" w:hAnchor="text" w:yAlign="inline"/>
              <w:wordWrap/>
              <w:overflowPunct/>
              <w:topLinePunct w:val="0"/>
              <w:autoSpaceDE/>
              <w:autoSpaceDN/>
              <w:bidi w:val="0"/>
              <w:spacing w:line="360" w:lineRule="exact"/>
              <w:contextualSpacing/>
              <w:textAlignment w:val="auto"/>
              <w:rPr>
                <w:rFonts w:hAnsi="宋体"/>
                <w:color w:val="auto"/>
                <w:sz w:val="21"/>
                <w:szCs w:val="21"/>
              </w:rPr>
            </w:pPr>
          </w:p>
          <w:p w14:paraId="34447490">
            <w:pPr>
              <w:pStyle w:val="590"/>
              <w:keepNext w:val="0"/>
              <w:keepLines w:val="0"/>
              <w:pageBreakBefore w:val="0"/>
              <w:framePr w:hSpace="0" w:wrap="auto" w:vAnchor="margin" w:hAnchor="text" w:yAlign="inline"/>
              <w:wordWrap/>
              <w:overflowPunct/>
              <w:topLinePunct w:val="0"/>
              <w:autoSpaceDE/>
              <w:autoSpaceDN/>
              <w:bidi w:val="0"/>
              <w:spacing w:line="360" w:lineRule="exact"/>
              <w:contextualSpacing/>
              <w:textAlignment w:val="auto"/>
              <w:rPr>
                <w:rFonts w:hAnsi="宋体"/>
                <w:color w:val="auto"/>
                <w:kern w:val="0"/>
                <w:sz w:val="21"/>
                <w:szCs w:val="21"/>
                <w:u w:val="single"/>
              </w:rPr>
            </w:pPr>
          </w:p>
        </w:tc>
        <w:tc>
          <w:tcPr>
            <w:tcW w:w="5625" w:type="dxa"/>
            <w:noWrap w:val="0"/>
            <w:vAlign w:val="top"/>
          </w:tcPr>
          <w:p w14:paraId="46CEE13F">
            <w:pPr>
              <w:pStyle w:val="590"/>
              <w:keepNext w:val="0"/>
              <w:keepLines w:val="0"/>
              <w:pageBreakBefore w:val="0"/>
              <w:framePr w:hSpace="0" w:wrap="auto" w:vAnchor="margin" w:hAnchor="text" w:yAlign="inline"/>
              <w:wordWrap/>
              <w:overflowPunct/>
              <w:topLinePunct w:val="0"/>
              <w:autoSpaceDE/>
              <w:autoSpaceDN/>
              <w:bidi w:val="0"/>
              <w:spacing w:line="360" w:lineRule="exact"/>
              <w:contextualSpacing/>
              <w:textAlignment w:val="auto"/>
              <w:rPr>
                <w:rFonts w:hAnsi="宋体"/>
                <w:color w:val="auto"/>
                <w:sz w:val="21"/>
                <w:szCs w:val="21"/>
              </w:rPr>
            </w:pPr>
            <w:r>
              <w:rPr>
                <w:rFonts w:hint="eastAsia" w:hAnsi="宋体"/>
                <w:color w:val="auto"/>
                <w:sz w:val="21"/>
                <w:szCs w:val="21"/>
              </w:rPr>
              <w:t>统一社会信用代码：</w:t>
            </w:r>
            <w:r>
              <w:rPr>
                <w:rFonts w:hint="eastAsia" w:hAnsi="宋体" w:cs="宋体"/>
                <w:color w:val="auto"/>
                <w:kern w:val="0"/>
                <w:sz w:val="21"/>
                <w:szCs w:val="21"/>
                <w:u w:val="single"/>
              </w:rPr>
              <w:t xml:space="preserve">                  </w:t>
            </w:r>
            <w:r>
              <w:rPr>
                <w:rFonts w:hAnsi="宋体" w:cs="宋体"/>
                <w:color w:val="auto"/>
                <w:kern w:val="0"/>
                <w:sz w:val="21"/>
                <w:szCs w:val="21"/>
                <w:u w:val="single"/>
              </w:rPr>
              <w:t xml:space="preserve">  </w:t>
            </w:r>
          </w:p>
          <w:p w14:paraId="2003232D">
            <w:pPr>
              <w:pStyle w:val="590"/>
              <w:keepNext w:val="0"/>
              <w:keepLines w:val="0"/>
              <w:pageBreakBefore w:val="0"/>
              <w:framePr w:hSpace="0" w:wrap="auto" w:vAnchor="margin" w:hAnchor="text" w:yAlign="inline"/>
              <w:wordWrap/>
              <w:overflowPunct/>
              <w:topLinePunct w:val="0"/>
              <w:autoSpaceDE/>
              <w:autoSpaceDN/>
              <w:bidi w:val="0"/>
              <w:spacing w:line="360" w:lineRule="exact"/>
              <w:contextualSpacing/>
              <w:textAlignment w:val="auto"/>
              <w:rPr>
                <w:rFonts w:hAnsi="宋体" w:cs="宋体"/>
                <w:color w:val="auto"/>
                <w:kern w:val="0"/>
                <w:sz w:val="21"/>
                <w:szCs w:val="21"/>
                <w:u w:val="single"/>
              </w:rPr>
            </w:pPr>
            <w:r>
              <w:rPr>
                <w:rFonts w:hint="eastAsia" w:hAnsi="宋体"/>
                <w:color w:val="auto"/>
                <w:sz w:val="21"/>
                <w:szCs w:val="21"/>
              </w:rPr>
              <w:t>地址：</w:t>
            </w:r>
            <w:r>
              <w:rPr>
                <w:rFonts w:hint="eastAsia" w:hAnsi="宋体" w:cs="宋体"/>
                <w:color w:val="auto"/>
                <w:kern w:val="0"/>
                <w:sz w:val="21"/>
                <w:szCs w:val="21"/>
                <w:u w:val="single"/>
              </w:rPr>
              <w:t xml:space="preserve">                              </w:t>
            </w:r>
            <w:r>
              <w:rPr>
                <w:rFonts w:hAnsi="宋体" w:cs="宋体"/>
                <w:color w:val="auto"/>
                <w:kern w:val="0"/>
                <w:sz w:val="21"/>
                <w:szCs w:val="21"/>
                <w:u w:val="single"/>
              </w:rPr>
              <w:t xml:space="preserve">  </w:t>
            </w:r>
          </w:p>
          <w:p w14:paraId="253883A7">
            <w:pPr>
              <w:pStyle w:val="590"/>
              <w:keepNext w:val="0"/>
              <w:keepLines w:val="0"/>
              <w:pageBreakBefore w:val="0"/>
              <w:framePr w:hSpace="0" w:wrap="auto" w:vAnchor="margin" w:hAnchor="text" w:yAlign="inline"/>
              <w:wordWrap/>
              <w:overflowPunct/>
              <w:topLinePunct w:val="0"/>
              <w:autoSpaceDE/>
              <w:autoSpaceDN/>
              <w:bidi w:val="0"/>
              <w:spacing w:line="360" w:lineRule="exact"/>
              <w:contextualSpacing/>
              <w:textAlignment w:val="auto"/>
              <w:rPr>
                <w:rFonts w:hAnsi="宋体"/>
                <w:color w:val="auto"/>
                <w:sz w:val="21"/>
                <w:szCs w:val="21"/>
              </w:rPr>
            </w:pPr>
            <w:r>
              <w:rPr>
                <w:rFonts w:hint="eastAsia" w:hAnsi="宋体"/>
                <w:color w:val="auto"/>
                <w:sz w:val="21"/>
                <w:szCs w:val="21"/>
              </w:rPr>
              <w:t>邮政编码：</w:t>
            </w:r>
            <w:r>
              <w:rPr>
                <w:rFonts w:hAnsi="宋体"/>
                <w:color w:val="auto"/>
                <w:kern w:val="0"/>
                <w:sz w:val="21"/>
                <w:szCs w:val="21"/>
                <w:u w:val="single"/>
              </w:rPr>
              <w:t xml:space="preserve">                            </w:t>
            </w:r>
          </w:p>
          <w:p w14:paraId="4919C2C9">
            <w:pPr>
              <w:pStyle w:val="590"/>
              <w:keepNext w:val="0"/>
              <w:keepLines w:val="0"/>
              <w:pageBreakBefore w:val="0"/>
              <w:framePr w:hSpace="0" w:wrap="auto" w:vAnchor="margin" w:hAnchor="text" w:yAlign="inline"/>
              <w:wordWrap/>
              <w:overflowPunct/>
              <w:topLinePunct w:val="0"/>
              <w:autoSpaceDE/>
              <w:autoSpaceDN/>
              <w:bidi w:val="0"/>
              <w:spacing w:line="360" w:lineRule="exact"/>
              <w:contextualSpacing/>
              <w:textAlignment w:val="auto"/>
              <w:rPr>
                <w:rFonts w:hAnsi="宋体"/>
                <w:color w:val="auto"/>
                <w:kern w:val="0"/>
                <w:sz w:val="21"/>
                <w:szCs w:val="21"/>
              </w:rPr>
            </w:pPr>
            <w:r>
              <w:rPr>
                <w:rFonts w:hint="eastAsia" w:hAnsi="宋体"/>
                <w:color w:val="auto"/>
                <w:sz w:val="21"/>
                <w:szCs w:val="21"/>
              </w:rPr>
              <w:t>法定代表人：</w:t>
            </w:r>
            <w:r>
              <w:rPr>
                <w:rFonts w:hAnsi="宋体"/>
                <w:color w:val="auto"/>
                <w:kern w:val="0"/>
                <w:sz w:val="21"/>
                <w:szCs w:val="21"/>
                <w:u w:val="single"/>
              </w:rPr>
              <w:t xml:space="preserve">                   </w:t>
            </w:r>
            <w:r>
              <w:rPr>
                <w:rFonts w:hint="eastAsia" w:hAnsi="宋体"/>
                <w:color w:val="auto"/>
                <w:kern w:val="0"/>
                <w:sz w:val="21"/>
                <w:szCs w:val="21"/>
                <w:u w:val="single"/>
              </w:rPr>
              <w:t xml:space="preserve">  </w:t>
            </w:r>
            <w:r>
              <w:rPr>
                <w:rFonts w:hAnsi="宋体"/>
                <w:color w:val="auto"/>
                <w:kern w:val="0"/>
                <w:sz w:val="21"/>
                <w:szCs w:val="21"/>
                <w:u w:val="single"/>
              </w:rPr>
              <w:t xml:space="preserve">     </w:t>
            </w:r>
          </w:p>
          <w:p w14:paraId="64CAA602">
            <w:pPr>
              <w:pStyle w:val="590"/>
              <w:keepNext w:val="0"/>
              <w:keepLines w:val="0"/>
              <w:pageBreakBefore w:val="0"/>
              <w:framePr w:hSpace="0" w:wrap="auto" w:vAnchor="margin" w:hAnchor="text" w:yAlign="inline"/>
              <w:wordWrap/>
              <w:overflowPunct/>
              <w:topLinePunct w:val="0"/>
              <w:autoSpaceDE/>
              <w:autoSpaceDN/>
              <w:bidi w:val="0"/>
              <w:spacing w:line="360" w:lineRule="exact"/>
              <w:contextualSpacing/>
              <w:textAlignment w:val="auto"/>
              <w:rPr>
                <w:rFonts w:hAnsi="宋体"/>
                <w:color w:val="auto"/>
                <w:sz w:val="21"/>
                <w:szCs w:val="21"/>
              </w:rPr>
            </w:pPr>
            <w:r>
              <w:rPr>
                <w:rFonts w:hint="eastAsia" w:hAnsi="宋体"/>
                <w:color w:val="auto"/>
                <w:sz w:val="21"/>
                <w:szCs w:val="21"/>
              </w:rPr>
              <w:t>委托代理人：</w:t>
            </w:r>
            <w:r>
              <w:rPr>
                <w:rFonts w:hAnsi="宋体"/>
                <w:color w:val="auto"/>
                <w:kern w:val="0"/>
                <w:sz w:val="21"/>
                <w:szCs w:val="21"/>
                <w:u w:val="single"/>
              </w:rPr>
              <w:t xml:space="preserve">                          </w:t>
            </w:r>
          </w:p>
          <w:p w14:paraId="73825AF4">
            <w:pPr>
              <w:pStyle w:val="590"/>
              <w:keepNext w:val="0"/>
              <w:keepLines w:val="0"/>
              <w:pageBreakBefore w:val="0"/>
              <w:framePr w:hSpace="0" w:wrap="auto" w:vAnchor="margin" w:hAnchor="text" w:yAlign="inline"/>
              <w:wordWrap/>
              <w:overflowPunct/>
              <w:topLinePunct w:val="0"/>
              <w:autoSpaceDE/>
              <w:autoSpaceDN/>
              <w:bidi w:val="0"/>
              <w:spacing w:line="360" w:lineRule="exact"/>
              <w:contextualSpacing/>
              <w:textAlignment w:val="auto"/>
              <w:rPr>
                <w:rFonts w:hAnsi="宋体"/>
                <w:color w:val="auto"/>
                <w:sz w:val="21"/>
                <w:szCs w:val="21"/>
              </w:rPr>
            </w:pPr>
            <w:r>
              <w:rPr>
                <w:rFonts w:hint="eastAsia" w:hAnsi="宋体"/>
                <w:color w:val="auto"/>
                <w:sz w:val="21"/>
                <w:szCs w:val="21"/>
              </w:rPr>
              <w:t>电话：</w:t>
            </w:r>
            <w:r>
              <w:rPr>
                <w:rFonts w:hAnsi="宋体"/>
                <w:color w:val="auto"/>
                <w:kern w:val="0"/>
                <w:sz w:val="21"/>
                <w:szCs w:val="21"/>
                <w:u w:val="single"/>
              </w:rPr>
              <w:t xml:space="preserve"> </w:t>
            </w:r>
            <w:r>
              <w:rPr>
                <w:rFonts w:hAnsi="宋体" w:cs="宋体"/>
                <w:color w:val="auto"/>
                <w:kern w:val="0"/>
                <w:sz w:val="21"/>
                <w:szCs w:val="21"/>
                <w:u w:val="single"/>
              </w:rPr>
              <w:t xml:space="preserve">  </w:t>
            </w:r>
            <w:r>
              <w:rPr>
                <w:rFonts w:hint="eastAsia" w:hAnsi="宋体"/>
                <w:color w:val="auto"/>
                <w:kern w:val="0"/>
                <w:sz w:val="21"/>
                <w:szCs w:val="21"/>
                <w:u w:val="single"/>
              </w:rPr>
              <w:t xml:space="preserve">                          </w:t>
            </w:r>
            <w:r>
              <w:rPr>
                <w:rFonts w:hAnsi="宋体"/>
                <w:color w:val="auto"/>
                <w:kern w:val="0"/>
                <w:sz w:val="21"/>
                <w:szCs w:val="21"/>
                <w:u w:val="single"/>
              </w:rPr>
              <w:t xml:space="preserve">   </w:t>
            </w:r>
          </w:p>
          <w:p w14:paraId="0FF3CE80">
            <w:pPr>
              <w:pStyle w:val="590"/>
              <w:keepNext w:val="0"/>
              <w:keepLines w:val="0"/>
              <w:pageBreakBefore w:val="0"/>
              <w:framePr w:hSpace="0" w:wrap="auto" w:vAnchor="margin" w:hAnchor="text" w:yAlign="inline"/>
              <w:wordWrap/>
              <w:overflowPunct/>
              <w:topLinePunct w:val="0"/>
              <w:autoSpaceDE/>
              <w:autoSpaceDN/>
              <w:bidi w:val="0"/>
              <w:spacing w:line="360" w:lineRule="exact"/>
              <w:contextualSpacing/>
              <w:textAlignment w:val="auto"/>
              <w:rPr>
                <w:rFonts w:hAnsi="宋体"/>
                <w:color w:val="auto"/>
                <w:sz w:val="21"/>
                <w:szCs w:val="21"/>
              </w:rPr>
            </w:pPr>
            <w:r>
              <w:rPr>
                <w:rFonts w:hint="eastAsia" w:hAnsi="宋体"/>
                <w:color w:val="auto"/>
                <w:sz w:val="21"/>
                <w:szCs w:val="21"/>
              </w:rPr>
              <w:t>传真：</w:t>
            </w:r>
            <w:r>
              <w:rPr>
                <w:rFonts w:hAnsi="宋体"/>
                <w:color w:val="auto"/>
                <w:kern w:val="0"/>
                <w:sz w:val="21"/>
                <w:szCs w:val="21"/>
                <w:u w:val="single"/>
              </w:rPr>
              <w:t xml:space="preserve">  </w:t>
            </w:r>
            <w:r>
              <w:rPr>
                <w:rFonts w:hAnsi="宋体" w:cs="宋体"/>
                <w:color w:val="auto"/>
                <w:kern w:val="0"/>
                <w:sz w:val="21"/>
                <w:szCs w:val="21"/>
                <w:u w:val="single"/>
              </w:rPr>
              <w:t xml:space="preserve"> </w:t>
            </w:r>
            <w:r>
              <w:rPr>
                <w:rFonts w:hint="eastAsia" w:hAnsi="宋体" w:cs="宋体"/>
                <w:color w:val="auto"/>
                <w:kern w:val="0"/>
                <w:sz w:val="21"/>
                <w:szCs w:val="21"/>
                <w:u w:val="single"/>
              </w:rPr>
              <w:t xml:space="preserve">      </w:t>
            </w:r>
            <w:r>
              <w:rPr>
                <w:rFonts w:hAnsi="宋体" w:cs="宋体"/>
                <w:color w:val="auto"/>
                <w:kern w:val="0"/>
                <w:sz w:val="21"/>
                <w:szCs w:val="21"/>
                <w:u w:val="single"/>
              </w:rPr>
              <w:t xml:space="preserve">        </w:t>
            </w:r>
            <w:r>
              <w:rPr>
                <w:rFonts w:hAnsi="宋体"/>
                <w:color w:val="auto"/>
                <w:kern w:val="0"/>
                <w:sz w:val="21"/>
                <w:szCs w:val="21"/>
                <w:u w:val="single"/>
              </w:rPr>
              <w:t xml:space="preserve">    </w:t>
            </w:r>
            <w:r>
              <w:rPr>
                <w:rFonts w:hint="eastAsia" w:hAnsi="宋体"/>
                <w:color w:val="auto"/>
                <w:kern w:val="0"/>
                <w:sz w:val="21"/>
                <w:szCs w:val="21"/>
                <w:u w:val="single"/>
              </w:rPr>
              <w:t xml:space="preserve">      </w:t>
            </w:r>
            <w:r>
              <w:rPr>
                <w:rFonts w:hAnsi="宋体"/>
                <w:color w:val="auto"/>
                <w:kern w:val="0"/>
                <w:sz w:val="21"/>
                <w:szCs w:val="21"/>
                <w:u w:val="single"/>
              </w:rPr>
              <w:t xml:space="preserve">     </w:t>
            </w:r>
          </w:p>
          <w:p w14:paraId="3779ABFA">
            <w:pPr>
              <w:pStyle w:val="590"/>
              <w:keepNext w:val="0"/>
              <w:keepLines w:val="0"/>
              <w:pageBreakBefore w:val="0"/>
              <w:framePr w:hSpace="0" w:wrap="auto" w:vAnchor="margin" w:hAnchor="text" w:yAlign="inline"/>
              <w:wordWrap/>
              <w:overflowPunct/>
              <w:topLinePunct w:val="0"/>
              <w:autoSpaceDE/>
              <w:autoSpaceDN/>
              <w:bidi w:val="0"/>
              <w:spacing w:line="360" w:lineRule="exact"/>
              <w:contextualSpacing/>
              <w:textAlignment w:val="auto"/>
              <w:rPr>
                <w:rFonts w:hAnsi="宋体"/>
                <w:color w:val="auto"/>
                <w:sz w:val="21"/>
                <w:szCs w:val="21"/>
              </w:rPr>
            </w:pPr>
            <w:r>
              <w:rPr>
                <w:rFonts w:hint="eastAsia" w:hAnsi="宋体"/>
                <w:color w:val="auto"/>
                <w:sz w:val="21"/>
                <w:szCs w:val="21"/>
              </w:rPr>
              <w:t>电子信箱：</w:t>
            </w:r>
            <w:r>
              <w:rPr>
                <w:rFonts w:hAnsi="宋体"/>
                <w:color w:val="auto"/>
                <w:kern w:val="0"/>
                <w:sz w:val="21"/>
                <w:szCs w:val="21"/>
                <w:u w:val="single"/>
              </w:rPr>
              <w:t xml:space="preserve">                            </w:t>
            </w:r>
          </w:p>
          <w:p w14:paraId="2B1A226B">
            <w:pPr>
              <w:pStyle w:val="590"/>
              <w:keepNext w:val="0"/>
              <w:keepLines w:val="0"/>
              <w:pageBreakBefore w:val="0"/>
              <w:framePr w:hSpace="0" w:wrap="auto" w:vAnchor="margin" w:hAnchor="text" w:yAlign="inline"/>
              <w:wordWrap/>
              <w:overflowPunct/>
              <w:topLinePunct w:val="0"/>
              <w:autoSpaceDE/>
              <w:autoSpaceDN/>
              <w:bidi w:val="0"/>
              <w:spacing w:line="360" w:lineRule="exact"/>
              <w:contextualSpacing/>
              <w:textAlignment w:val="auto"/>
              <w:rPr>
                <w:rFonts w:hAnsi="宋体"/>
                <w:color w:val="auto"/>
                <w:sz w:val="21"/>
                <w:szCs w:val="21"/>
              </w:rPr>
            </w:pPr>
            <w:r>
              <w:rPr>
                <w:rFonts w:hint="eastAsia" w:hAnsi="宋体"/>
                <w:color w:val="auto"/>
                <w:sz w:val="21"/>
                <w:szCs w:val="21"/>
              </w:rPr>
              <w:t>开户银行：</w:t>
            </w:r>
            <w:r>
              <w:rPr>
                <w:rFonts w:hint="eastAsia" w:hAnsi="宋体"/>
                <w:color w:val="auto"/>
                <w:kern w:val="0"/>
                <w:sz w:val="21"/>
                <w:szCs w:val="21"/>
                <w:u w:val="single"/>
              </w:rPr>
              <w:t xml:space="preserve">               </w:t>
            </w:r>
            <w:r>
              <w:rPr>
                <w:rFonts w:hAnsi="宋体" w:cs="宋体"/>
                <w:color w:val="auto"/>
                <w:kern w:val="0"/>
                <w:sz w:val="21"/>
                <w:szCs w:val="21"/>
                <w:u w:val="single"/>
              </w:rPr>
              <w:t xml:space="preserve">           </w:t>
            </w:r>
            <w:r>
              <w:rPr>
                <w:rFonts w:hAnsi="宋体"/>
                <w:color w:val="auto"/>
                <w:kern w:val="0"/>
                <w:sz w:val="21"/>
                <w:szCs w:val="21"/>
                <w:u w:val="single"/>
              </w:rPr>
              <w:t xml:space="preserve">  </w:t>
            </w:r>
          </w:p>
          <w:p w14:paraId="7B1AF8A7">
            <w:pPr>
              <w:pStyle w:val="590"/>
              <w:keepNext w:val="0"/>
              <w:keepLines w:val="0"/>
              <w:pageBreakBefore w:val="0"/>
              <w:framePr w:hSpace="0" w:wrap="auto" w:vAnchor="margin" w:hAnchor="text" w:yAlign="inline"/>
              <w:wordWrap/>
              <w:overflowPunct/>
              <w:topLinePunct w:val="0"/>
              <w:autoSpaceDE/>
              <w:autoSpaceDN/>
              <w:bidi w:val="0"/>
              <w:spacing w:line="360" w:lineRule="exact"/>
              <w:contextualSpacing/>
              <w:textAlignment w:val="auto"/>
              <w:rPr>
                <w:rFonts w:hAnsi="宋体"/>
                <w:color w:val="auto"/>
                <w:sz w:val="21"/>
                <w:szCs w:val="21"/>
                <w:u w:val="single"/>
              </w:rPr>
            </w:pPr>
            <w:r>
              <w:rPr>
                <w:rFonts w:hint="eastAsia" w:hAnsi="宋体"/>
                <w:color w:val="auto"/>
                <w:sz w:val="21"/>
                <w:szCs w:val="21"/>
              </w:rPr>
              <w:t>账号：</w:t>
            </w:r>
            <w:r>
              <w:rPr>
                <w:rFonts w:hint="eastAsia" w:hAnsi="宋体"/>
                <w:color w:val="auto"/>
                <w:sz w:val="21"/>
                <w:szCs w:val="21"/>
                <w:u w:val="single"/>
              </w:rPr>
              <w:t xml:space="preserve">    </w:t>
            </w:r>
            <w:r>
              <w:rPr>
                <w:rFonts w:hAnsi="宋体"/>
                <w:color w:val="auto"/>
                <w:sz w:val="21"/>
                <w:szCs w:val="21"/>
                <w:u w:val="single"/>
              </w:rPr>
              <w:t xml:space="preserve">        </w:t>
            </w:r>
            <w:r>
              <w:rPr>
                <w:rFonts w:hint="eastAsia" w:hAnsi="宋体"/>
                <w:color w:val="auto"/>
                <w:sz w:val="21"/>
                <w:szCs w:val="21"/>
                <w:u w:val="single"/>
              </w:rPr>
              <w:t xml:space="preserve">             </w:t>
            </w:r>
            <w:r>
              <w:rPr>
                <w:rFonts w:hAnsi="宋体"/>
                <w:color w:val="auto"/>
                <w:sz w:val="21"/>
                <w:szCs w:val="21"/>
                <w:u w:val="single"/>
              </w:rPr>
              <w:t xml:space="preserve">       </w:t>
            </w:r>
          </w:p>
          <w:p w14:paraId="1A481873">
            <w:pPr>
              <w:pStyle w:val="590"/>
              <w:keepNext w:val="0"/>
              <w:keepLines w:val="0"/>
              <w:pageBreakBefore w:val="0"/>
              <w:framePr w:hSpace="0" w:wrap="auto" w:vAnchor="margin" w:hAnchor="text" w:yAlign="inline"/>
              <w:wordWrap/>
              <w:overflowPunct/>
              <w:topLinePunct w:val="0"/>
              <w:autoSpaceDE/>
              <w:autoSpaceDN/>
              <w:bidi w:val="0"/>
              <w:spacing w:line="360" w:lineRule="exact"/>
              <w:contextualSpacing/>
              <w:textAlignment w:val="auto"/>
              <w:rPr>
                <w:rFonts w:hAnsi="宋体"/>
                <w:color w:val="auto"/>
                <w:sz w:val="21"/>
                <w:szCs w:val="21"/>
              </w:rPr>
            </w:pPr>
          </w:p>
          <w:p w14:paraId="7EB526A0">
            <w:pPr>
              <w:pStyle w:val="590"/>
              <w:keepNext w:val="0"/>
              <w:keepLines w:val="0"/>
              <w:pageBreakBefore w:val="0"/>
              <w:framePr w:hSpace="0" w:wrap="auto" w:vAnchor="margin" w:hAnchor="text" w:yAlign="inline"/>
              <w:wordWrap/>
              <w:overflowPunct/>
              <w:topLinePunct w:val="0"/>
              <w:autoSpaceDE/>
              <w:autoSpaceDN/>
              <w:bidi w:val="0"/>
              <w:spacing w:line="360" w:lineRule="exact"/>
              <w:contextualSpacing/>
              <w:textAlignment w:val="auto"/>
              <w:rPr>
                <w:rFonts w:hAnsi="宋体"/>
                <w:color w:val="auto"/>
                <w:sz w:val="21"/>
                <w:szCs w:val="21"/>
              </w:rPr>
            </w:pPr>
          </w:p>
          <w:p w14:paraId="63D3C730">
            <w:pPr>
              <w:pStyle w:val="590"/>
              <w:keepNext w:val="0"/>
              <w:keepLines w:val="0"/>
              <w:pageBreakBefore w:val="0"/>
              <w:framePr w:hSpace="0" w:wrap="auto" w:vAnchor="margin" w:hAnchor="text" w:yAlign="inline"/>
              <w:wordWrap/>
              <w:overflowPunct/>
              <w:topLinePunct w:val="0"/>
              <w:autoSpaceDE/>
              <w:autoSpaceDN/>
              <w:bidi w:val="0"/>
              <w:spacing w:line="360" w:lineRule="exact"/>
              <w:contextualSpacing/>
              <w:textAlignment w:val="auto"/>
              <w:rPr>
                <w:rFonts w:hAnsi="宋体"/>
                <w:color w:val="auto"/>
                <w:sz w:val="21"/>
                <w:szCs w:val="21"/>
              </w:rPr>
            </w:pPr>
          </w:p>
          <w:p w14:paraId="3EDDC128">
            <w:pPr>
              <w:pStyle w:val="590"/>
              <w:keepNext w:val="0"/>
              <w:keepLines w:val="0"/>
              <w:pageBreakBefore w:val="0"/>
              <w:framePr w:hSpace="0" w:wrap="auto" w:vAnchor="margin" w:hAnchor="text" w:yAlign="inline"/>
              <w:wordWrap/>
              <w:overflowPunct/>
              <w:topLinePunct w:val="0"/>
              <w:autoSpaceDE/>
              <w:autoSpaceDN/>
              <w:bidi w:val="0"/>
              <w:spacing w:line="360" w:lineRule="exact"/>
              <w:contextualSpacing/>
              <w:textAlignment w:val="auto"/>
              <w:rPr>
                <w:rFonts w:hAnsi="宋体"/>
                <w:color w:val="auto"/>
                <w:kern w:val="0"/>
                <w:sz w:val="21"/>
                <w:szCs w:val="21"/>
                <w:u w:val="single"/>
              </w:rPr>
            </w:pPr>
          </w:p>
        </w:tc>
      </w:tr>
      <w:tr w14:paraId="426F4B4C">
        <w:tblPrEx>
          <w:tblCellMar>
            <w:top w:w="0" w:type="dxa"/>
            <w:left w:w="108" w:type="dxa"/>
            <w:bottom w:w="0" w:type="dxa"/>
            <w:right w:w="108" w:type="dxa"/>
          </w:tblCellMar>
        </w:tblPrEx>
        <w:tc>
          <w:tcPr>
            <w:tcW w:w="4326" w:type="dxa"/>
            <w:noWrap w:val="0"/>
            <w:vAlign w:val="top"/>
          </w:tcPr>
          <w:p w14:paraId="44B8657E">
            <w:pPr>
              <w:pStyle w:val="590"/>
              <w:keepNext w:val="0"/>
              <w:keepLines w:val="0"/>
              <w:pageBreakBefore w:val="0"/>
              <w:framePr w:hSpace="0" w:wrap="auto" w:vAnchor="margin" w:hAnchor="text" w:yAlign="inline"/>
              <w:wordWrap/>
              <w:overflowPunct/>
              <w:topLinePunct w:val="0"/>
              <w:autoSpaceDE/>
              <w:autoSpaceDN/>
              <w:bidi w:val="0"/>
              <w:spacing w:line="360" w:lineRule="exact"/>
              <w:contextualSpacing/>
              <w:textAlignment w:val="auto"/>
              <w:rPr>
                <w:rFonts w:hAnsi="宋体"/>
                <w:color w:val="auto"/>
                <w:kern w:val="0"/>
                <w:sz w:val="21"/>
                <w:szCs w:val="21"/>
                <w:u w:val="single"/>
              </w:rPr>
            </w:pPr>
            <w:bookmarkStart w:id="196" w:name="_Toc478646340"/>
            <w:bookmarkStart w:id="197" w:name="_Toc352656735"/>
            <w:bookmarkStart w:id="198" w:name="_Toc437684763"/>
          </w:p>
        </w:tc>
        <w:tc>
          <w:tcPr>
            <w:tcW w:w="5625" w:type="dxa"/>
            <w:noWrap w:val="0"/>
            <w:vAlign w:val="top"/>
          </w:tcPr>
          <w:p w14:paraId="61BA481A">
            <w:pPr>
              <w:pStyle w:val="590"/>
              <w:keepNext w:val="0"/>
              <w:keepLines w:val="0"/>
              <w:pageBreakBefore w:val="0"/>
              <w:framePr w:hSpace="0" w:wrap="auto" w:vAnchor="margin" w:hAnchor="text" w:yAlign="inline"/>
              <w:wordWrap/>
              <w:overflowPunct/>
              <w:topLinePunct w:val="0"/>
              <w:autoSpaceDE/>
              <w:autoSpaceDN/>
              <w:bidi w:val="0"/>
              <w:spacing w:line="360" w:lineRule="exact"/>
              <w:contextualSpacing/>
              <w:textAlignment w:val="auto"/>
              <w:rPr>
                <w:rFonts w:hint="eastAsia" w:hAnsi="宋体"/>
                <w:color w:val="auto"/>
                <w:sz w:val="21"/>
                <w:szCs w:val="21"/>
              </w:rPr>
            </w:pPr>
          </w:p>
        </w:tc>
      </w:tr>
    </w:tbl>
    <w:p w14:paraId="0128DBCE">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ascii="宋体" w:hAnsi="宋体" w:cs="宋体"/>
          <w:color w:val="auto"/>
        </w:rPr>
        <w:br w:type="page"/>
      </w:r>
    </w:p>
    <w:p w14:paraId="7548304D">
      <w:pPr>
        <w:pStyle w:val="589"/>
        <w:keepNext w:val="0"/>
        <w:keepLines w:val="0"/>
        <w:pageBreakBefore w:val="0"/>
        <w:widowControl/>
        <w:wordWrap/>
        <w:overflowPunct/>
        <w:topLinePunct w:val="0"/>
        <w:autoSpaceDE/>
        <w:autoSpaceDN/>
        <w:bidi w:val="0"/>
        <w:adjustRightInd w:val="0"/>
        <w:snapToGrid w:val="0"/>
        <w:spacing w:before="0" w:after="0" w:line="360" w:lineRule="exact"/>
        <w:contextualSpacing/>
        <w:jc w:val="center"/>
        <w:textAlignment w:val="auto"/>
        <w:outlineLvl w:val="1"/>
        <w:rPr>
          <w:color w:val="auto"/>
          <w:sz w:val="21"/>
          <w:szCs w:val="21"/>
        </w:rPr>
      </w:pPr>
      <w:r>
        <w:rPr>
          <w:rFonts w:hint="eastAsia"/>
          <w:color w:val="auto"/>
          <w:sz w:val="21"/>
          <w:szCs w:val="21"/>
        </w:rPr>
        <w:t>第二部分 通用条款</w:t>
      </w:r>
      <w:bookmarkEnd w:id="196"/>
      <w:bookmarkEnd w:id="197"/>
      <w:bookmarkEnd w:id="198"/>
    </w:p>
    <w:p w14:paraId="16A93656">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第1条一般约定</w:t>
      </w:r>
    </w:p>
    <w:p w14:paraId="1867EEC9">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1.1词语定义和解释</w:t>
      </w:r>
    </w:p>
    <w:p w14:paraId="1FB63AFA">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合同协议书、通用合同条件、专用合同条件中的下列词语应具有本款所赋予的含义：</w:t>
      </w:r>
    </w:p>
    <w:p w14:paraId="418911BD">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1.1.1合同</w:t>
      </w:r>
    </w:p>
    <w:p w14:paraId="26D1CC99">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1.1.1.1合同：是指根据法律规定和合同当事人约定具有约束力的文件，构成合同的文件包括合同协议书、中标通知书（如果有）、投标函及其附录（如果有）、专用合同条件及其附件、通用合同条件、《发包人要求》、承包人建议书、价格清单以及双方约定的其他合同文件。</w:t>
      </w:r>
    </w:p>
    <w:p w14:paraId="0949F4AB">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1.1.1.2合同协议书：是指构成合同的由发包人和承包人共同签署的称为“合同协议书”的书面文件。</w:t>
      </w:r>
    </w:p>
    <w:p w14:paraId="41D1F440">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1.1.1.3中标通知书：是指构成合同的由发包人通知承包人中标的书面文件。中标通知书随附的澄清、说明、补正事项纪要等，是中标通知书的组成部分。</w:t>
      </w:r>
    </w:p>
    <w:p w14:paraId="1E651D13">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1.1.1.4投标函：是指构成合同的由承包人填写并签署的用于投标的称为“投标函”的文件。</w:t>
      </w:r>
    </w:p>
    <w:p w14:paraId="090BEFCD">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1.1.1.5投标函附录：是指构成合同的附在投标函后的称为“投标函附录”的文件。</w:t>
      </w:r>
    </w:p>
    <w:p w14:paraId="23B850E9">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1.1.1.6《发包人要求》：指构成合同文件组成部分的名为《发包人要求》的文件，其中列明工程的目的、范围、设计与其他技术标准和要求，以及合同双方当事人约定对其所作的修改或补充。</w:t>
      </w:r>
    </w:p>
    <w:p w14:paraId="4E508D07">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1.1.1.7项目清单：是指发包人提供的载明工程总承包项目勘察费（如果有）、设计费、建筑安装工程费、设备购置费、暂估价、暂列金额和双方约定的其他费用的名称和相应数量等内容的项目明细。</w:t>
      </w:r>
    </w:p>
    <w:p w14:paraId="18ABB21D">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1.1.1.8价格清单：指构成合同文件组成部分的由承包人按发包人提供的项目清单规定的格式和要求填写并标明价格的清单。</w:t>
      </w:r>
    </w:p>
    <w:p w14:paraId="55242AC9">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1.1.1.9承包人建议书：指构成合同文件组成部分的名为承包人建议书的文件。承包人建议书由承包人随投标函一起提交。</w:t>
      </w:r>
    </w:p>
    <w:p w14:paraId="0E37A37D">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1.1.1.10其他合同文件：是指经合同当事人约定的与工程实施有关的具有合同约束力的文件或书面协议。合同当事人可以在专用合同条件中进行约定。</w:t>
      </w:r>
    </w:p>
    <w:p w14:paraId="26F2AFFE">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1.1.2合同当事人及其他相关方</w:t>
      </w:r>
    </w:p>
    <w:p w14:paraId="1E6D36BE">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1.1.2.1合同当事人：是指发包人和（或）承包人。</w:t>
      </w:r>
    </w:p>
    <w:p w14:paraId="28445434">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1.1.2.2发包人：是指与承包人订立合同协议书的当事人及取得该当事人资格的合法继受人。本合同中“因发包人原因”里的“发包人”包括发包人及所有发包人人员。</w:t>
      </w:r>
    </w:p>
    <w:p w14:paraId="537DAD7C">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1.1.2.3承包人：是指与发包人订立合同协议书的当事人及取得该当事人资格的合法继受人。</w:t>
      </w:r>
    </w:p>
    <w:p w14:paraId="0C54E136">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1.1.2.4联合体：是指经发包人同意由两个或两个以上法人或者其他组织组成的，作为承包人的临时机构。</w:t>
      </w:r>
    </w:p>
    <w:p w14:paraId="75B5544D">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1.1.2.5发包人代表：是指由发包人任命并派驻工作现场，在发包人授权范围内行使发包人权利和履行发包人义务的人。</w:t>
      </w:r>
    </w:p>
    <w:p w14:paraId="32BF7686">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1.1.2.6工程师：是指在专用合同条件中指明的，受发包人委托按照法律规定和发包人的授权进行合同履行管理、工程监督管理等工作的法人或其他组织；该法人或其他组织应雇用一名具有相应执业资格和职业能力的自然人作为工程师代表，并授予其根据本合同代表工程师行事的权利。</w:t>
      </w:r>
    </w:p>
    <w:p w14:paraId="3C4C98FC">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1.1.2.7工程总承包项目经理：是指由承包人任命的，在承包人授权范围内负责合同履行的管理，且按照法律规定具有相应资格的项目负责人。</w:t>
      </w:r>
    </w:p>
    <w:p w14:paraId="601A168E">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1.1.2.8设计负责人：是指承包人指定负责组织、指导、协调设计工作并具有相应资格的人员。</w:t>
      </w:r>
    </w:p>
    <w:p w14:paraId="583F4863">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1.1.2.9</w:t>
      </w:r>
      <w:r>
        <w:rPr>
          <w:rFonts w:hint="eastAsia" w:ascii="宋体" w:hAnsi="宋体" w:cs="宋体"/>
          <w:color w:val="auto"/>
          <w:lang w:val="en-US" w:eastAsia="zh-CN"/>
        </w:rPr>
        <w:t>勘察</w:t>
      </w:r>
      <w:r>
        <w:rPr>
          <w:rFonts w:hint="eastAsia" w:ascii="宋体" w:hAnsi="宋体" w:cs="宋体"/>
          <w:color w:val="auto"/>
        </w:rPr>
        <w:t>负责人：是指承包人指定负责组织、指导、协调采购工作的人员。</w:t>
      </w:r>
    </w:p>
    <w:p w14:paraId="0ED47431">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1.1.2.10施工负责人：是指承包人指定负责组织、指导、协调施工工作并具有相应资格的人员。</w:t>
      </w:r>
    </w:p>
    <w:p w14:paraId="729839C1">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1.1.2.11分包人：是指按照法律规定和合同约定，分包部分工程或工作，并与承包人订立分包合同的具有相应资质或资格的法人或其他组织。</w:t>
      </w:r>
    </w:p>
    <w:p w14:paraId="41989554">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1.1.3工程和设备</w:t>
      </w:r>
    </w:p>
    <w:p w14:paraId="3160B0AD">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1.1.3.1工程：是指与合同协议书中工程承包范围对应的永久工程和（或）临时工程。</w:t>
      </w:r>
    </w:p>
    <w:p w14:paraId="4DA344F1">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1.1.3.2工程实施：是指进行工程的设计、采购、施工和竣工以及对工程任何缺陷的修复。</w:t>
      </w:r>
    </w:p>
    <w:p w14:paraId="6DB9600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1.1.3.3永久工程：是指按合同约定建造并移交给发包人的工程，包括工程设备。</w:t>
      </w:r>
    </w:p>
    <w:p w14:paraId="0B83885F">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1.1.3.4临时工程：是指为完成合同约定的永久工程所修建的各类临时性工程，不包括施工设备。</w:t>
      </w:r>
    </w:p>
    <w:p w14:paraId="7F8C5A36">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1.1.3.5单位/区段工程：是指在专用合同条件中指明特定范围的，能单独接收并使用的永久工程。</w:t>
      </w:r>
    </w:p>
    <w:p w14:paraId="70704F46">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1.1.3.6工程设备：指构成永久工程的机电设备、仪器装置、运载工具及其他类似的设备和装置，包括其配件及备品、备件、易损易耗件等。</w:t>
      </w:r>
    </w:p>
    <w:p w14:paraId="25216B4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1.1.3.7施工设备：指为完成合同约定的各项工作所需的设备、器具和其他物品，不包括工程设备、临时工程和材料。</w:t>
      </w:r>
    </w:p>
    <w:p w14:paraId="4EF94730">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1.1.3.8临时设施：指为完成合同约定的各项工作所服务的临时性生产和生活设施。</w:t>
      </w:r>
    </w:p>
    <w:p w14:paraId="239F4CA4">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1.1.3.9施工现场：是指用于工程施工的场所，以及在专用合同条件中指明作为施工场所组成部分的其他场所，包括永久占地和临时占地。</w:t>
      </w:r>
    </w:p>
    <w:p w14:paraId="078533C4">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1.1.3.10永久占地：是指专用合同条件中指明为实施工程需永久占用的土地。</w:t>
      </w:r>
    </w:p>
    <w:p w14:paraId="20271E31">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1.1.3.11临时占地：是指专用合同条件中指明为实施工程需临时占用的土地。</w:t>
      </w:r>
    </w:p>
    <w:p w14:paraId="71E4F1BB">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1.1.4日期和期限</w:t>
      </w:r>
    </w:p>
    <w:p w14:paraId="48475DF8">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1.1.4.1开始工作通知：指工程师按第8.1.2项[开始工作通知]的约定通知承包人开始工作的函件。</w:t>
      </w:r>
    </w:p>
    <w:p w14:paraId="312D319B">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1.1.4.2开始工作日期：包括计划开始工作日期和实际开始工作日期。计划开始工作日期是指合同协议书约定的开始工作日期；实际开始工作日期是指工程师按照第8.1款[开始工作]约定发出的符合法律规定的开始工作通知中载明的开始工作日期。</w:t>
      </w:r>
    </w:p>
    <w:p w14:paraId="069CECA1">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1.1.4.3开始现场施工日期：包括计划开始现场施工日期和实际开始现场施工日期。计划开始现场施工日期是指合同协议书约定的开始现场施工日期；实际开始现场施工日期是指工程师发出的符合法律规定的开工通知中载明的开始现场施工日期。</w:t>
      </w:r>
    </w:p>
    <w:p w14:paraId="40BBBA9B">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1.1.4.4竣工日期：包括计划竣工日期和实际竣工日期。计划竣工日期是指合同协议书约定的竣工日期；实际竣工日期按照第8.2款[竣工日期]的约定确定。</w:t>
      </w:r>
    </w:p>
    <w:p w14:paraId="0A280E3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1.1.4.5工期：是指在合同协议书约定的承包人完成合同工作所需的期限，包括按照合同约定所作的期限变更及按合同约定承包人有权取得的工期延长。</w:t>
      </w:r>
    </w:p>
    <w:p w14:paraId="4BBBF204">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1.1.4.6缺陷责任期：是指发包人预留工程质量保证金以保证承包人履行第11.3款[缺陷调查]下质量缺陷责任的期限。</w:t>
      </w:r>
    </w:p>
    <w:p w14:paraId="35352ABF">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1.1.4.7保修期：是指承包人按照合同约定和法律规定对工程质量承担保修责任的期限，该期限自缺陷责任期起算之日起计算。</w:t>
      </w:r>
    </w:p>
    <w:p w14:paraId="6677BCBB">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1.1.4.8基准日期：招标发包的工程以投标截止日前28天的日期为基准日期，直接发包的工程以合同订立日前28天的日期为基准日期。</w:t>
      </w:r>
    </w:p>
    <w:p w14:paraId="2EF8780F">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1.1.4.9天：除特别指明外，均指日历天。合同中按天计算时间的，开始当天不计入，从次日开始计算。期限最后一天的截止时间为当天24:00。</w:t>
      </w:r>
    </w:p>
    <w:p w14:paraId="0D6B1D19">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1.1.4.10竣工试验：是指在工程竣工验收前，根据第9条[竣工试验]要求进行的试验。</w:t>
      </w:r>
    </w:p>
    <w:p w14:paraId="365CD62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1.1.4.11竣工验收：是指承包人完成了合同约定的各项内容后，发包人按合同要求进行的验收。</w:t>
      </w:r>
    </w:p>
    <w:p w14:paraId="2791526E">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1.1.4.12竣工后试验：是指在工程竣工验收后，根据第12条[竣工后试验]约定进行的试验。</w:t>
      </w:r>
    </w:p>
    <w:p w14:paraId="4220897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1.1.5合同价格和费用</w:t>
      </w:r>
    </w:p>
    <w:p w14:paraId="6B34EC67">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1.1.5.1签约合同价：是指发包人和承包人在合同协议书中确定的总金额，包括暂估价及暂列金额等。</w:t>
      </w:r>
    </w:p>
    <w:p w14:paraId="30FD03F7">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1.1.5.2合同价格：是指发包人用于支付承包人按照合同约定完成承包范围内全部工作的金额，包括合同履行过程中按合同约定发生的价格变化。</w:t>
      </w:r>
    </w:p>
    <w:p w14:paraId="66803054">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1.1.5.3费用：是指为履行合同所发生的或将要发生的所有合理开支，包括管理费和应分摊的其他费用，但不包括利润。</w:t>
      </w:r>
    </w:p>
    <w:p w14:paraId="69E739BD">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1.1.5.4人工费：是指支付给直接从事建筑安装工程施工作业的建筑工人的各项费用。</w:t>
      </w:r>
    </w:p>
    <w:p w14:paraId="1456F4A4">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1.1.5.5暂估价：是指发包人在项目清单中给定的，用于支付必然发生但暂时不能确定价格的专业服务、材料、设备、专业工程的金额。</w:t>
      </w:r>
    </w:p>
    <w:p w14:paraId="67B94A61">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1.1.5.6暂列金额：是指发包人在项目清单中给定的，用于在订立协议书时尚未确定或不可预见变更的设计、施工及其所需材料、工程设备、服务等的金额，包括以计日工方式支付的金额。</w:t>
      </w:r>
    </w:p>
    <w:p w14:paraId="21DF38B3">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1.1.5.7计日工：是指合同履行过程中，承包人完成发包人提出的零星工作或需要采用计日工计价的变更工作时，按合同中约定的单价计价的一种方式。</w:t>
      </w:r>
    </w:p>
    <w:p w14:paraId="1C1D148B">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1.1.5.8质量保证金：是指按第14.6款[质量保证金]约定承包人用于保证其在缺陷责任期内履行缺陷修复义务的担保。</w:t>
      </w:r>
    </w:p>
    <w:p w14:paraId="4C03B0D8">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1.1.6其他</w:t>
      </w:r>
    </w:p>
    <w:p w14:paraId="236C0302">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1.1.6.1书面形式：指合同文件、信函、电报、传真、数据电文、电子邮件、会议纪要等可以有形地表现所载内容的形式。</w:t>
      </w:r>
    </w:p>
    <w:p w14:paraId="7A074610">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1.1.6.2承包人文件：指由承包人根据合同约定应提交的所有图纸、手册、模型、计算书、软件、函件、洽商性文件和其他技术性文件。</w:t>
      </w:r>
    </w:p>
    <w:p w14:paraId="142D58BF">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1.1.6.3变更：指根据第13条[变更与调整]的约定，经指示或批准对《发包人要求》或工程所做的改变。</w:t>
      </w:r>
    </w:p>
    <w:p w14:paraId="680C6776">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1.2语言文字</w:t>
      </w:r>
    </w:p>
    <w:p w14:paraId="49A97B88">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合同文件以中国的汉语简体语言文字编写、解释和说明。专用术语使用外文的，应附有中文注释。合同当事人在专用合同条件约定使用两种及以上语言时，汉语为优先解释和说明合同的语言。</w:t>
      </w:r>
    </w:p>
    <w:p w14:paraId="33FF97EC">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与合同有关的联络应使用专用合同条件约定的语言。如没有约定，则应使用中国的汉语简体语言文字。</w:t>
      </w:r>
    </w:p>
    <w:p w14:paraId="0F55B49E">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1.3法律</w:t>
      </w:r>
    </w:p>
    <w:p w14:paraId="00D60177">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合同所称法律是指中华人民共和国法律、行政法规、部门规章，以及工程所在地的</w:t>
      </w:r>
      <w:r>
        <w:rPr>
          <w:rFonts w:hint="eastAsia" w:ascii="宋体" w:hAnsi="宋体" w:cs="宋体"/>
          <w:color w:val="auto"/>
          <w:lang w:eastAsia="zh-CN"/>
        </w:rPr>
        <w:t>地方性法规</w:t>
      </w:r>
      <w:r>
        <w:rPr>
          <w:rFonts w:hint="eastAsia" w:ascii="宋体" w:hAnsi="宋体" w:cs="宋体"/>
          <w:color w:val="auto"/>
        </w:rPr>
        <w:t>、自治条例、单行条例和地方政府规章等。</w:t>
      </w:r>
    </w:p>
    <w:p w14:paraId="4D106787">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合同当事人可以在专用合同条件中约定合同适用的其他规范性文件。</w:t>
      </w:r>
    </w:p>
    <w:p w14:paraId="7A3E8163">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1.4标准和规范</w:t>
      </w:r>
    </w:p>
    <w:p w14:paraId="7350F136">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1.4.1适用于工程的国家标准、行业标准、工程所在地的地方性标准，以及相应的规范、规程等，合同当事人有特别要求的，应在专用合同条件中约定。</w:t>
      </w:r>
    </w:p>
    <w:p w14:paraId="61D95E3D">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1.4.2发包人要求使用国外标准、规范的，发包人负责提供原文版本和中文译本，并在专用合同条件中约定提供标准规范的名称、份数和时间。</w:t>
      </w:r>
    </w:p>
    <w:p w14:paraId="1436323A">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1.4.3没有相应成文规定的标准、规范时，由发包人在专用合同条件中约定的时间向承包人列明技术要求，承包人按约定的时间和技术要求提出实施方法，经发包人认可后执行。承包人需要对实施方法进行研发试验的，或须对项目人员进行特殊培训及其有特殊要求的，除签约合同价已包含此项费用外，双方应另行订立协议作为合同附件，其费用由发包人承担。</w:t>
      </w:r>
    </w:p>
    <w:p w14:paraId="1D489893">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1.4.4发包人对于工程的技术标准、功能要求高于或严于现行国家、行业或地方标准的，应当在《发包人要求》中予以明确。除专用合同条件另有约定外，应视为承包人在订立合同前已充分预见前述技术标准和功能要求的复杂程度，签约合同价中已包含由此产生的费用。</w:t>
      </w:r>
    </w:p>
    <w:p w14:paraId="429656B6">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1.5合同文件的优先顺序</w:t>
      </w:r>
    </w:p>
    <w:p w14:paraId="58F05E8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组成合同的各项文件应互相解释，互为说明。除专用合同条件另有约定外，解释合同文件的优先顺序如下：</w:t>
      </w:r>
    </w:p>
    <w:p w14:paraId="476E4D8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（1）合同协议书；</w:t>
      </w:r>
    </w:p>
    <w:p w14:paraId="25D1B71D">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（2）中标通知书（如果有）；</w:t>
      </w:r>
    </w:p>
    <w:p w14:paraId="6761DB99">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（3）投标函及投标函附录（如果有）；</w:t>
      </w:r>
    </w:p>
    <w:p w14:paraId="207AD9BD">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（4）专用合同条件及《发包人要求》等附件；</w:t>
      </w:r>
    </w:p>
    <w:p w14:paraId="1653CB7D">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（5）通用合同条件；</w:t>
      </w:r>
    </w:p>
    <w:p w14:paraId="7B1DB392">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（6）承包人建议书；</w:t>
      </w:r>
    </w:p>
    <w:p w14:paraId="0DA5A4D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（7）价格清单；</w:t>
      </w:r>
    </w:p>
    <w:p w14:paraId="6B773CDB">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（8）双方约定的其他合同文件。</w:t>
      </w:r>
    </w:p>
    <w:p w14:paraId="3481A172">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上述各项合同文件包括合同当事人就该项合同文件所作出的补充和修改，属于同一类内容的文件，应以最新签署的为准。</w:t>
      </w:r>
    </w:p>
    <w:p w14:paraId="4088079C">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在合同订立及履行过程中形成的与合同有关的文件均构成合同文件组成部分，并根据其性质确定优先解释顺序。</w:t>
      </w:r>
    </w:p>
    <w:p w14:paraId="658D18FA">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1.6文件的提供和照管</w:t>
      </w:r>
    </w:p>
    <w:p w14:paraId="281BC7DF">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1.6.1发包人文件的提供</w:t>
      </w:r>
    </w:p>
    <w:p w14:paraId="104BDB73">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发包人应按照专用合同条件约定的期限、数量和形式向承包人免费提供前期工作相关资料、环境保护、气象水文、地质条件进行工程设计、现场施工等工程实施所需的文件。因发包人未按合同约定提供文件造成工期延误的，按照第8.7.1项[因发包人原因导致工期延误]约定办理。</w:t>
      </w:r>
    </w:p>
    <w:p w14:paraId="74C2E578">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1.6.2承包人文件的提供</w:t>
      </w:r>
    </w:p>
    <w:p w14:paraId="1D4A60D4">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除专用合同条件另有约定外，承包人文件应包含下列内容，并用第1.2款[语言文字]约定的语言制作：</w:t>
      </w:r>
    </w:p>
    <w:p w14:paraId="7AEC5769">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（1）《发包人要求》中规定的相关文件；</w:t>
      </w:r>
    </w:p>
    <w:p w14:paraId="49B7D1E4">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（2）满足工程相关行政审批手续所必须的应由承包人负责的相关文件；</w:t>
      </w:r>
    </w:p>
    <w:p w14:paraId="263DF440">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（3）第5.4款[竣工文件]与第5.5款[操作和维修手册]中要求的相关文件。</w:t>
      </w:r>
    </w:p>
    <w:p w14:paraId="030D9FA9">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承包人应按照专用合同条件约定的期限、名称、数量和形式向工程师提供应当由承包人编制的与工程设计、现场施工等工程实施有关的承包人文件。工程师对承包人文件有异议的，承包人应予以修改，并重新报送工程师。合同约定承包人文件应经审查的，工程师应在合同约定的期限内审查完毕，但工程师的审查并不减轻或免除承包人根据合同约定应当承担的责任。承包人文件的提供和审查还应遵守第5.2款[承包人文件审查]和第5.4款[竣工文件]的约定。</w:t>
      </w:r>
    </w:p>
    <w:p w14:paraId="385CD2E6">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1.6.3文件错误的通知</w:t>
      </w:r>
    </w:p>
    <w:p w14:paraId="2AF1BCF3">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任何一方发现文件中存在明显的错误或疏忽，应及时通知另一方。</w:t>
      </w:r>
    </w:p>
    <w:p w14:paraId="7DC2AD67">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1.6.4文件的照管</w:t>
      </w:r>
    </w:p>
    <w:p w14:paraId="419F171F">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除专用合同条件另有约定外，承包人应在现场保留一份合同、《发包人要求》中列出的所有文件、承包人文件、变更以及其他根据合同收发的往来信函。发包人和工程师有权在任何合理的时间查阅和使用上述所有文件。</w:t>
      </w:r>
    </w:p>
    <w:p w14:paraId="1C4E99BF">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1.7联络</w:t>
      </w:r>
    </w:p>
    <w:p w14:paraId="33312839">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1.7.1与合同有关的通知、批准、证明、证书、指示、指令、要求、请求、同意、意见、确定和决定等，均应采用书面形式，并应在合同约定的期限内（如无约定，应在合理期限内）通过特快专递或专人、挂号信、传真或双方商定的电子传输方式送达收件地址。</w:t>
      </w:r>
    </w:p>
    <w:p w14:paraId="637F6189">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1.7.2发包人和承包人应在专用合同条件中约定各自的送达方式和收件地址。任何一方合同当事人指定的送达方式或收件地址发生变动的，应提前3天以书面形式通知对方。</w:t>
      </w:r>
    </w:p>
    <w:p w14:paraId="46144BEF">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1.7.3发包人和承包人应当及时签收另一方通过约定的送达方式</w:t>
      </w:r>
      <w:r>
        <w:rPr>
          <w:rFonts w:hint="eastAsia" w:ascii="宋体" w:hAnsi="宋体" w:cs="宋体"/>
          <w:color w:val="auto"/>
          <w:lang w:eastAsia="zh-CN"/>
        </w:rPr>
        <w:t>送达</w:t>
      </w:r>
      <w:r>
        <w:rPr>
          <w:rFonts w:hint="eastAsia" w:ascii="宋体" w:hAnsi="宋体" w:cs="宋体"/>
          <w:color w:val="auto"/>
        </w:rPr>
        <w:t>收件地址的来往文件。拒不签收的，由此增加的费用和（或）延误的工期由拒绝接收一方承担。</w:t>
      </w:r>
    </w:p>
    <w:p w14:paraId="53D99802">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1.7.4对于工程师向承包人发出的任何通知，均应以书面形式由工程师或其代表签认后送交承包人实施，并抄送发包人；对于合同一方向另一方发出的任何通知，均应抄送工程师。对于由工程师审查后报发包人批准的事项，应由工程师向承包人出具经发包人签认的批准文件。</w:t>
      </w:r>
    </w:p>
    <w:p w14:paraId="0663764A">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1.8严禁贿赂</w:t>
      </w:r>
    </w:p>
    <w:p w14:paraId="033B6FF8">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合同当事人不得以贿赂或变相贿赂的方式，谋取非法利益或损害对方权益。因一方合同当事人的贿赂造成对方损失的，应赔偿损失，并承担相应的法律责任。</w:t>
      </w:r>
    </w:p>
    <w:p w14:paraId="0782B9B2">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承包人不得与工程师或发包人聘请的第三方串通损害发包人利益。未经发包人书面同意，承包人不得为工程师提供合同约定以外的通讯设备、交通工具及其他任何形式的利益，不得向工程师支付报酬。</w:t>
      </w:r>
    </w:p>
    <w:p w14:paraId="2E618CDC">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1.9化石、文物</w:t>
      </w:r>
    </w:p>
    <w:p w14:paraId="5C58689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工程师。</w:t>
      </w:r>
    </w:p>
    <w:p w14:paraId="6FC03922">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发包人、工程师和承包人应按有关政府行政管理部门要求采取妥善的保护措施，由此增加的费用和（或）延误的工期由发包人承担。</w:t>
      </w:r>
    </w:p>
    <w:p w14:paraId="38FFF5AF">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承包人发现文物后不及时报告或隐瞒不报，致使文物丢失或损坏的，应赔偿损失，并承担相应的法律责任。</w:t>
      </w:r>
    </w:p>
    <w:p w14:paraId="70AF309E">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1.10知识产权</w:t>
      </w:r>
    </w:p>
    <w:p w14:paraId="61C713D3">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1.10.1除专用合同条件另有约定外，由发包人（或以发包人名义）编制的《发包人要求》和其他文件，就合同当事人之间而言，其著作权和其他知识产权应归发包人所有。承包人可以为实现合同目的而复制、使用此类文件，但不能用于与合同无关的其他事项。未经发包人书面同意，承包人不得为了合同以外的目的而复制、使用上述文件或将之提供给任何第三方。</w:t>
      </w:r>
    </w:p>
    <w:p w14:paraId="02170BF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1.10.2除专用合同条件另有约定外，由承包人（或以承包人名义）为实施工程所编制的文件、承包人完成的设计工作成果和建造完成的建筑物，就合同当事人之间而言，其著作权和其他知识产权应归承包人享有。发包人可因实施工程的运行、调试、维修、改造等目的而复制、使用此类文件，但不能用于与合同无关的其他事项。未经承包人书面同意，发包人不得为了合同以外的目的而复制、使用上述文件或将之提供给任何第三方。</w:t>
      </w:r>
    </w:p>
    <w:p w14:paraId="4C0053C4">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1.10.3合同当事人保证在履行合同过程中不侵犯对方及第三方的知识产权。承包人在工程设计、使用材料、施工设备、工程设备或采用施工工艺时，因侵犯他人的专利权或其他知识产权所引起的责任，由承包人承担；因发包人提供的材料、施工设备、工程设备或施工工艺导致侵权的，由发包人承担责任。</w:t>
      </w:r>
    </w:p>
    <w:p w14:paraId="08692A2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1.10.4除专用合同条件另有约定外，承包人在投标文件中采用的专利、专有技术、商业软件、技术秘密的使用费已包含在签约合同价中。</w:t>
      </w:r>
    </w:p>
    <w:p w14:paraId="3F215149">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1.10.5合同当事人可就本合同涉及的合同一方</w:t>
      </w:r>
      <w:r>
        <w:rPr>
          <w:rFonts w:hint="eastAsia" w:ascii="宋体" w:hAnsi="宋体" w:cs="宋体"/>
          <w:color w:val="auto"/>
          <w:lang w:eastAsia="zh-CN"/>
        </w:rPr>
        <w:t>或</w:t>
      </w:r>
      <w:r>
        <w:rPr>
          <w:rFonts w:hint="eastAsia" w:ascii="宋体" w:hAnsi="宋体" w:cs="宋体"/>
          <w:color w:val="auto"/>
        </w:rPr>
        <w:t>合同双方（含一方或双方相关的专利商或第三方设计单位</w:t>
      </w:r>
      <w:r>
        <w:rPr>
          <w:rFonts w:hint="eastAsia" w:ascii="宋体" w:hAnsi="宋体" w:cs="宋体"/>
          <w:color w:val="auto"/>
          <w:lang w:eastAsia="zh-CN"/>
        </w:rPr>
        <w:t>）</w:t>
      </w:r>
      <w:r>
        <w:rPr>
          <w:rFonts w:hint="eastAsia" w:ascii="宋体" w:hAnsi="宋体" w:cs="宋体"/>
          <w:color w:val="auto"/>
        </w:rPr>
        <w:t>的技术专利、建筑设计方案、专有技术、设计文件著作权等知识产权，订立知识产权及保密协议，作为本合同的组成部分。</w:t>
      </w:r>
    </w:p>
    <w:p w14:paraId="7B84AE38">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1.11保密</w:t>
      </w:r>
    </w:p>
    <w:p w14:paraId="0A62B144">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合同当事人一方对在订立和履行合同过程中知悉的另一方的商业秘密、技术秘密，以及任何一方明确要求保密的其它信息，负有保密责任。</w:t>
      </w:r>
    </w:p>
    <w:p w14:paraId="1CB39EDB">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除法律规定或合同另有约定外，未经对方同意，任何一方当事人不得将对方提供的文件、技术秘密以及声明需要保密的资料信息等商业秘密泄露给第三方或者用于本合同以外的目的。</w:t>
      </w:r>
    </w:p>
    <w:p w14:paraId="660288C4">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一方泄露或者在本合同以外使用该商业秘密、技术秘密等保密信息给另一方造成损失的，应承担损害赔偿责任。当事人为履行合同所需要的信息，另一方应予以提供。当事人认为必要时，可订立保密协议，作为合同附件。</w:t>
      </w:r>
    </w:p>
    <w:p w14:paraId="2EBE21B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1.12《发包人要求》和基础资料中的错误</w:t>
      </w:r>
    </w:p>
    <w:p w14:paraId="27B306D9">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承包人应尽早认真阅读、复核《发包人要求》以及其提供的基础资料，发现错误的，应及时书面通知发包人补正。发包人作相应修改的，按照第13条[变更与调整]的约定处理。</w:t>
      </w:r>
    </w:p>
    <w:p w14:paraId="3E722B68">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《发包人要求》或其提供的基础资料中的错误导致承包人增加费用和（或）工期延误的，发包人应承担由此增加的费用和（或）工期延误，并向承包人支付合理利润。</w:t>
      </w:r>
    </w:p>
    <w:p w14:paraId="04253854">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1.13责任限制</w:t>
      </w:r>
    </w:p>
    <w:p w14:paraId="6D9E5B42">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承包人对发包人的赔偿责任不应超过专用合同条件约定的赔偿最高限额。若专用合同条件未约定，则承包人对发包人的赔偿责任不应超过签约合同价。但对于因欺诈、犯罪、故意、重大过失、人身伤害等不当行为造成的损失，赔偿的责任限度不受上述最高限额的限制。</w:t>
      </w:r>
    </w:p>
    <w:p w14:paraId="70E5AF68">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1.14建筑信息模型技术的应用</w:t>
      </w:r>
    </w:p>
    <w:p w14:paraId="5835D63C">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如果</w:t>
      </w:r>
      <w:r>
        <w:rPr>
          <w:rFonts w:hint="eastAsia" w:ascii="宋体" w:hAnsi="宋体" w:cs="宋体"/>
          <w:color w:val="auto"/>
          <w:lang w:eastAsia="zh-CN"/>
        </w:rPr>
        <w:t>项目</w:t>
      </w:r>
      <w:r>
        <w:rPr>
          <w:rFonts w:hint="eastAsia" w:ascii="宋体" w:hAnsi="宋体" w:cs="宋体"/>
          <w:color w:val="auto"/>
        </w:rPr>
        <w:t>拟采用建筑信息模型技术，合同双方应遵守国家现行相关标准的规定，并符合项目所在地的相关地方标准或指南。合同双方应在专用合同条件中就建筑信息模型的开发、使用、存储、传输、交付及费用等相关内容进行约定。除专用合同条件另有约定外，承包人应负责与本项目中其他使用方协商。</w:t>
      </w:r>
    </w:p>
    <w:p w14:paraId="456E10CF">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第2条发包人</w:t>
      </w:r>
    </w:p>
    <w:p w14:paraId="658B5953">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2.1遵守法律</w:t>
      </w:r>
    </w:p>
    <w:p w14:paraId="0AC9243E">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发包人在履行合同过程中应遵守法律，并承担因发包人违反法律给承包人造成的任何费用和损失。发包人不得以任何理由，要求承包人在工程实施过程中违反法律、行政法规以及建设工程质量、安全、环保标准，任意压缩合理工期或者降低工程质量。</w:t>
      </w:r>
    </w:p>
    <w:p w14:paraId="0118B70A">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2.2提供施工现场和工作条件</w:t>
      </w:r>
    </w:p>
    <w:p w14:paraId="767A49DB">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2.2.1提供施工现场</w:t>
      </w:r>
    </w:p>
    <w:p w14:paraId="5F5E245E">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发包人应按专用合同条件约定向承包人移交施工现场，给承包人进入和占用施工现场各部分的权利，并明确与承包人的交接界面，上述进入和占用权可不为承包人独享。如专用合同条件没有约定移交时间的，则发包人应最迟于计划开始现场施工日期7天前向承包人移交施工现场，但承包人未能按照第4.2款[履约担保]提供履约担保的除外。</w:t>
      </w:r>
    </w:p>
    <w:p w14:paraId="2F4F1339">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2.2.2提供工作条件</w:t>
      </w:r>
    </w:p>
    <w:p w14:paraId="08A3FDB7">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发包人应按专用合同条件约定向承包人提供工作条件。专用合同条件对此没有约定的，发包人应负责提供开展本合同相关工作所需要的条件，包括：</w:t>
      </w:r>
    </w:p>
    <w:p w14:paraId="20B2CDFD">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（1）将施工用水、电力、通讯线路等施工所必需的条件接至施工现场内；</w:t>
      </w:r>
    </w:p>
    <w:p w14:paraId="576B07D0">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（2）保证向承包人提供正常施工所需要的进入施工现场的交通条件；</w:t>
      </w:r>
    </w:p>
    <w:p w14:paraId="5AFCAC14">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（3）协调处理施工现场周围地下管线和邻近建筑物、构筑物、古树名木、文物、化石及坟墓等的保护工作，并承担相关费用；</w:t>
      </w:r>
    </w:p>
    <w:p w14:paraId="34BC4894">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（4）对工程现场临近发包人正在使用、运行</w:t>
      </w:r>
      <w:r>
        <w:rPr>
          <w:rFonts w:hint="eastAsia" w:ascii="宋体" w:hAnsi="宋体" w:cs="宋体"/>
          <w:color w:val="auto"/>
          <w:lang w:eastAsia="zh-CN"/>
        </w:rPr>
        <w:t>或</w:t>
      </w:r>
      <w:r>
        <w:rPr>
          <w:rFonts w:hint="eastAsia" w:ascii="宋体" w:hAnsi="宋体" w:cs="宋体"/>
          <w:color w:val="auto"/>
        </w:rPr>
        <w:t>由发包人用于生产的建筑物、构筑物、生产装置、设施、设备等，设置隔离设施，竖立禁止入内、禁止动火的明显标志，并以书面形式通知承包人须遵守的安全规定和位置范围；</w:t>
      </w:r>
    </w:p>
    <w:p w14:paraId="29D1355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（5）按照专用合同条件约定应提供的其他设施和条件。</w:t>
      </w:r>
    </w:p>
    <w:p w14:paraId="3CCC12B3">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2.2.3逾期提供的责任</w:t>
      </w:r>
    </w:p>
    <w:p w14:paraId="54E518C6">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因发包人原因未能按合同约定及时向承包人提供施工现场和施工条件的，由发包人承担由此增加的费用和（或）延误的工期。</w:t>
      </w:r>
    </w:p>
    <w:p w14:paraId="51963918">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2.3提供基础资料</w:t>
      </w:r>
    </w:p>
    <w:p w14:paraId="470209D0">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发包人应按专用合同条件和《发包人要求》中的约定向承包人提供施工现场及工程实施所必需的毗邻区域内的供水、排水、供电、供气、供热、通信、广播电视等地上、地下管线和设施资料，气象和水文观测资料，地质勘察资料，相邻建筑物、构筑物和地下工程等有关基础资料，并根据第1.12款[《发包人要求》和基础资料中的错误]承担基础资料错误造成的责任。按照法律规定确需在开工后方能提供的基础资料，发包人应尽其努力及时地在相应工程实施前的合理期限内提供，合理期限应以不影响承包人的正常履约为限。因发包人原因未能在合理期限内提供相应基础资料的，由发包人承担由此增加的费用和延误的工期。</w:t>
      </w:r>
    </w:p>
    <w:p w14:paraId="6D38E1FD">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2.4办理许可和批准</w:t>
      </w:r>
    </w:p>
    <w:p w14:paraId="13AAC71D">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2.4.1发包人在履行合同过程中应遵守法律，并办理法律规定或合同约定由其办理的许可、批准或备案，包括但不限于建设用地规划许可证、建设工程规划许可证、建设工程施工许可证等许可和批准。对于法律规定或合同约定由承包人负责的有关设计、施工证件、批件或备案，发包人应给予必要的协助。</w:t>
      </w:r>
    </w:p>
    <w:p w14:paraId="0AE77F3A">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2.4.2因发包人原因未能及时办理完毕前述许可、批准或备案，由发包人承担由此增加的费用和（或）延误的工期，并支付承包人合理的利润。</w:t>
      </w:r>
    </w:p>
    <w:p w14:paraId="7FB8A3A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2.5支付合同价款</w:t>
      </w:r>
    </w:p>
    <w:p w14:paraId="624D2594">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2.5.1发包人应按合同约定向承包人及时支付合同价款。</w:t>
      </w:r>
    </w:p>
    <w:p w14:paraId="1623FC41">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2.5.2发包人应当制定资金安排计划，除专用合同条件另有约定外，如发包人拟对资金安排做任何重要变更，应将变更的详细情况通知承包人。如发生承包人收到价格大于签约合同价10%的变更指示或累计变更的总价超过签约合同价30%；或承包人未能根据第14条[合同价格与支付]收到付款，或承包人得知发包人的资金安排发生重要变更但并未收到发包人上述重要变更通知的情况，则承包人可随时要求发包人在28天内补充提供能够按照合同约定支付合同价款的相应资金来源证明。</w:t>
      </w:r>
    </w:p>
    <w:p w14:paraId="7A52A68E">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2.5.3发包人应当向承包人提供支付担保。支付担保可以采用银行保函或担保公司担保等形式，具体由合同当事人在专用合同条件中约定。</w:t>
      </w:r>
    </w:p>
    <w:p w14:paraId="6ED39D3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2.6现场管理配合</w:t>
      </w:r>
    </w:p>
    <w:p w14:paraId="7C71D29B">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发包人应负责保证在现场或现场附近的发包人人员和发包人的其他承包人（如有）：</w:t>
      </w:r>
    </w:p>
    <w:p w14:paraId="2FA5A3BB">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（1）根据第7.3款[现场合作]的约定，与承包人进行合作；</w:t>
      </w:r>
    </w:p>
    <w:p w14:paraId="5616FF4E">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（2）遵守第7.5款[现场劳动用工]、第7.6款[安全文明施工]、第7.7款[职业健康]和第7.8款[环境保护]的相关约定。</w:t>
      </w:r>
    </w:p>
    <w:p w14:paraId="7877948A">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发包人应与承包人、由发包人直接发包的其他承包人（如有）订立施工现场统一管理协议，明确各方的权利义务。</w:t>
      </w:r>
    </w:p>
    <w:p w14:paraId="6CFA89E6">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2.7其他义务</w:t>
      </w:r>
    </w:p>
    <w:p w14:paraId="59D438CC">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发包人应履行合同约定的其他义务，双方可在专用合同条件内对发包人应履行的其他义务进行补充约定。</w:t>
      </w:r>
    </w:p>
    <w:p w14:paraId="6732883B">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第3条发包人的管理</w:t>
      </w:r>
    </w:p>
    <w:p w14:paraId="7A5D6A26">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3.1发包人代表</w:t>
      </w:r>
    </w:p>
    <w:p w14:paraId="1C0C65CD">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发包人应任命发包人代表，并在专用合同条件中明确发包人代表的姓名、职务、联系方式及授权范围等事项。发包人代表应在发包人的授权范围内，负责处理合同履行过程中与发包人有关的具体事宜。发包人代表在授权范围内的行为由发包人承担法律责任。</w:t>
      </w:r>
    </w:p>
    <w:p w14:paraId="279E8451">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除非发包人另行通知承包人，发包人代表应被授予并且被认为具有发包人在授权范围内享有的相应权利，涉及第16.1款[由发包人解除合同]的权利除外。</w:t>
      </w:r>
    </w:p>
    <w:p w14:paraId="4AD123F7">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发包人代表（或者在其为法人的情况下，被任命代表其行事的自然人）应：</w:t>
      </w:r>
    </w:p>
    <w:p w14:paraId="71FBA7B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（1）履行指派给其的职责，行使发包人托付给的权利；</w:t>
      </w:r>
    </w:p>
    <w:p w14:paraId="2287EC9B">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（2）具备履行这些职责、行使这些权利的能力；</w:t>
      </w:r>
    </w:p>
    <w:p w14:paraId="5F7619A0">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（3）作为熟练的专业人员行事。</w:t>
      </w:r>
    </w:p>
    <w:p w14:paraId="26E3A9D4">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如果发包人代表为法人且在签订本合同时未能确定授权代表的，发包人代表应在本合同签订之日起3日内向双方发出书面通知，告知被任命和授权的自然人以及任何替代人员。此授权在双方收到本通知后生效。发包人代表撤销该授权或者变更授权代表时也应同样发出该通知。</w:t>
      </w:r>
    </w:p>
    <w:p w14:paraId="59794A5D">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发包人更换发包人代表的，应提前14天将更换人的姓名、地址、任务和权利</w:t>
      </w:r>
      <w:r>
        <w:rPr>
          <w:rFonts w:hint="eastAsia" w:ascii="宋体" w:hAnsi="宋体" w:cs="宋体"/>
          <w:color w:val="auto"/>
          <w:lang w:eastAsia="zh-CN"/>
        </w:rPr>
        <w:t>，以及</w:t>
      </w:r>
      <w:r>
        <w:rPr>
          <w:rFonts w:hint="eastAsia" w:ascii="宋体" w:hAnsi="宋体" w:cs="宋体"/>
          <w:color w:val="auto"/>
        </w:rPr>
        <w:t>任命的日期书面通知承包人。发包人不得将发包人代表更换为承包人根据本款发出</w:t>
      </w:r>
      <w:r>
        <w:rPr>
          <w:rFonts w:hint="eastAsia" w:ascii="宋体" w:hAnsi="宋体" w:cs="宋体"/>
          <w:color w:val="auto"/>
          <w:lang w:eastAsia="zh-CN"/>
        </w:rPr>
        <w:t>《通知》提出</w:t>
      </w:r>
      <w:r>
        <w:rPr>
          <w:rFonts w:hint="eastAsia" w:ascii="宋体" w:hAnsi="宋体" w:cs="宋体"/>
          <w:color w:val="auto"/>
        </w:rPr>
        <w:t>合理反对意见的人员，不论是法人还是自然人。</w:t>
      </w:r>
    </w:p>
    <w:p w14:paraId="7F191B4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发包人代表不能按照合同约定履行其职责及义务，并导致合同无法继续正常履行的，承包人可以要求发包人撤换发包人代表。</w:t>
      </w:r>
    </w:p>
    <w:p w14:paraId="01DA01CC">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3.2发包人人员</w:t>
      </w:r>
    </w:p>
    <w:p w14:paraId="3C16F4F3">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发包人人员包括发包人代表、工程师及其他由发包人派驻施工现场的人员，发包人可以在专用合同条件中明确发包人人员的姓名、职务及职责等事项。发包人或发包人代表可随时对一些助手指派和托付一定的任务和权利，也可撤销这些指派和托付。这些助手可包括驻地工程师或担任检验、试验各项工程设备和材料的独立检查员。这些助手应具有适当的资质、履行其任务和权利的能力。以上指派、托付或撤销，在承包人收到通知后生效。承包人对于可能影响正常履约或工程安全质量的发包人人员保有随时提出沟通的权利。</w:t>
      </w:r>
    </w:p>
    <w:p w14:paraId="67612E64">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发包人应要求在施工现场的发包人人员遵守法律及有关安全、质量、环境保护、文明施工等规定，因发包人人员未遵守上述要求给承包人造成的损失和责任由发包人承担。</w:t>
      </w:r>
    </w:p>
    <w:p w14:paraId="7C8C0DD1">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3.3工程师</w:t>
      </w:r>
    </w:p>
    <w:p w14:paraId="7B926050">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3.3.1发包人需对承包人的设计、采购、施工、服务等工作过程或过程节点实施监督管理的，有权委任工程师。工程师的名称、监督管理范围、内容和权限在专用合同条件中写明。根据国家相关法律法规规定，如本合同工程属于强制监理项目的，由工程师履行法定的监理相关职责，但发包人另行授权第三方进行监理的除外。</w:t>
      </w:r>
    </w:p>
    <w:p w14:paraId="2B182C87">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3.3.2工程师按发包人委托的范围、内容、职权和权限，代表发包人对承包人实施监督管理。若承包人认为工程师行使的职权不在发包人委托的授权范围之内的，则其有权拒绝执行工程师的相关指示，同时应及时通知发包人，发包人书面确认工程师相关指示的，承包人应遵照执行。</w:t>
      </w:r>
    </w:p>
    <w:p w14:paraId="0DA2B007">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3.3.3在发包人和承包人之间提供证明、行使决定权或处理权时，工程师应作为独立专业的第三方，根据自己的专业技能和判断进行工作。但工程师或其人员均无权修改合同，且无权减轻或免除合同当事人的任何责任与义务。</w:t>
      </w:r>
    </w:p>
    <w:p w14:paraId="38CA66DE">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3.3.4通用合同条件中约定由工程师行使的职权如不在发包人对工程师的授权范围内的，则视为没有取得授权，该职权应由发包人或发包人指定的其他人员行使。若承包人认为工程师的职权与发包人（包括其人员）的职权相重叠或不明确时，应及时通知发包人，由发包人予以协调和明确并以书面形式通知承包人。</w:t>
      </w:r>
    </w:p>
    <w:p w14:paraId="52906ADF">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3.4任命和授权</w:t>
      </w:r>
    </w:p>
    <w:p w14:paraId="787C07BF">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3.4.1发包人应在发出开始工作通知前将工程师的任命通知承包人。更换工程师的，发包人应提前7天以书面形式通知承包人，并在通知中写明替换者的姓名、职务、职权、权限和任命时间。工程师超过2天不能履行职责的，应委派代表代行其职责，并通知承包人。</w:t>
      </w:r>
    </w:p>
    <w:p w14:paraId="2D8BCA54">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3.4.2工程师可以授权其他人员负责执行其指派的一项或多项工作，但第3.6款[商定或确定]下的权利除外。工程师应将被授权人员的姓名及其授权范围通知承包人。被授权的人员在授权范围内发出的指示视为已得到工程师的同意，与工程师发出的指示具有同等效力。工程师撤销某项授权时，应将撤销授权的决定及时通知承包人。</w:t>
      </w:r>
    </w:p>
    <w:p w14:paraId="6395BBAF">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3.5指示</w:t>
      </w:r>
    </w:p>
    <w:p w14:paraId="2AEB0FE4">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3.5.1工程师应按照发包人的授权发出指示。工程师的指示应采用书面形式，盖有工程师授权的项目管理机构章，并由工程师的授权人员签字。在紧急情况下，工程师的授权人员可以口头形式发出指示或当场签发临时书面指示，承包人应遵照执行。工程师应在授权人员发出口头指示或临时书面指示后24小时内发出书面确认函，在24小时内未发出书面确认函的，该口头指示或临时书面指示应被视为工程师的正式指示。</w:t>
      </w:r>
    </w:p>
    <w:p w14:paraId="46664E9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3.5.2承包人收到工程师作出的指示后应遵照执行。如果任何此类指示构成一项变更时，应按照第13条[变更与调整]的约定办理。</w:t>
      </w:r>
    </w:p>
    <w:p w14:paraId="3F05EDE6">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3.5.3由于工程师未能按合同约定发出指示、指示延误或指示错误而导致承包人费用增加和（或）工期延误的，发包人应承担由此增加的费用和（或）工期延误，并向承包人支付合理利润。</w:t>
      </w:r>
    </w:p>
    <w:p w14:paraId="60CAB34F">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3.6商定或确定</w:t>
      </w:r>
    </w:p>
    <w:p w14:paraId="6C833359">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3.6.1合同约定工程师应按照本款对任何事项进行商定或确定时，工程师应及时与合同当事人协商，尽量达成一致。工程师应将商定的结果以书面形式通知发包人和承包人，并由双方签署确认。</w:t>
      </w:r>
    </w:p>
    <w:p w14:paraId="41FF00D6">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3.6.2除专用合同条件另有约定外，商定的期限应为工程师收到任何一方就商定事由发出的通知后42天内或工程师提出并经双方同意的其他期限。未能在该期限内达成一致的，由工程师按照合同约定审慎做出公正的确定。确定的期限应为商定的期限届满后42天内或工程师提出并经双方同意的其他期限。工程师应将确定的结果以书面形式通知发包人和承包人，并附详细依据。</w:t>
      </w:r>
    </w:p>
    <w:p w14:paraId="7F49EB90">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3.6.3任何一方对工程师的确定有异议的，应在收到确定的结果后28天内向另一方发出书面异议通知并抄送工程师。除第19.2款[承包人索赔的处理程序]另有约定外，工程师未能在确定的期限内发出确定的结果通知的，或者任何一方发出对确定的结果有异议的通知的，则构成争议并应按照第20条[争议解决]的约定处理。如未在28天内发出上述通知的，工程师的确定应被视为已被双方接受并对双方具有约束力，但专用合同条件另有约定的除外。</w:t>
      </w:r>
    </w:p>
    <w:p w14:paraId="6A5C5A38">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3.6.4在该争议解决前，双方应暂按工程师的确定执行。按照第20条[争议解决]的约定对工程师的确定作出修改的，按修改后的结果执行，由此导致承包人增加的费用和延误的工期由责任方承担。</w:t>
      </w:r>
    </w:p>
    <w:p w14:paraId="43DB15B6">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3.7会议</w:t>
      </w:r>
    </w:p>
    <w:p w14:paraId="703FAA29">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3.7.1除专用合同条件另有约定外，任何一方可向另一方发出通知，要求另一方出席会议，讨论工程的实施安排或与本合同履行有关的其他事项。发包人的其他承包人、承包人的分包人和其他第三方可应任何一方的请求出席任何此类会议。</w:t>
      </w:r>
    </w:p>
    <w:p w14:paraId="123B677E">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3.7.2除专用合同条件另有约定外，发包人应保存每次会议参加人签名的记录，并将会议纪要提供给出席会议的人员。任何根据此类会议以及会议纪要采取的行动应符合本合同的约定。</w:t>
      </w:r>
    </w:p>
    <w:p w14:paraId="797820D7">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第4条承包人</w:t>
      </w:r>
    </w:p>
    <w:p w14:paraId="6FFCFDF7">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4.1承包人的一般义务</w:t>
      </w:r>
    </w:p>
    <w:p w14:paraId="44D54EF2">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除专用合同条件另有约定外，承包人在履行合同过程中应遵守法律和工程建设标准规范，并履行以下义务：</w:t>
      </w:r>
    </w:p>
    <w:p w14:paraId="106D144A">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（1）办理法律规定和合同约定由承包人办理的许可和批准，将办理结果书面报送发包人留存，并承担因承包人违反法律或合同约定给发包人造成的任何费用和损失；</w:t>
      </w:r>
    </w:p>
    <w:p w14:paraId="13C70EEF">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（2）按合同约定完成全部工作并在缺陷责任期和保修期内承担缺陷保证责任和保修义务，对工作中的任何缺陷进行整改、完善和修补，使其满足合同约定的目的；</w:t>
      </w:r>
    </w:p>
    <w:p w14:paraId="0F4DDFDD">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（3）提供合同约定的工程设备和承包人文件，以及为完成合同工作所需的劳务、材料、施工设备和其他物品，并按合同约定负责临时设施的设计、施工、运行、维护、管理和拆除；</w:t>
      </w:r>
    </w:p>
    <w:p w14:paraId="50207481">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（4）按合同约定的工作内容和进度要求，编制设计、施工的组织和实施计划，保证项目进度计划的实现，并对所有设计、施工作业和施工方法，以及全部工程的完备性和安全可靠性负责；</w:t>
      </w:r>
    </w:p>
    <w:p w14:paraId="3B6BA966">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（5）按法律规定和合同约定采取安全文明施工、职业健康和环境保护措施，办理员工工伤保险等相关保险，确保工程及人员、材料、设备和设施的安全，防止因工程实施造成的人身伤害和财产损失；</w:t>
      </w:r>
    </w:p>
    <w:p w14:paraId="600F9E4A">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（6）将发包人按合同约定支付的各项价款专用于合同工程，且应及时支付其雇用人员（包括建筑工人）工资，并及时向分包人支付合同价款；</w:t>
      </w:r>
    </w:p>
    <w:p w14:paraId="48199304">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（7）在进行合同约定的各项工作时，不得侵害发包人与他人使用公用道路、水源、市政管网等公共设施的权利，避免对邻近的公共设施产生干扰。</w:t>
      </w:r>
    </w:p>
    <w:p w14:paraId="0EBC4377">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4.2履约担保</w:t>
      </w:r>
    </w:p>
    <w:p w14:paraId="79C2C7E1">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发包人需要承包人提供履约担保的，由合同当事人在专用合同条件中约定履约担保的方式、金额及提交的时间等，并应符合第2.5款[支付合同价款]的规定。履约担保可以采用银行保函或担保公司担保等形式，承包人为联合体的，其履约担保由联合体各方或者联合体中牵头人的名义代表联合体提交，具体由合同当事人在专用合同条件中约定。</w:t>
      </w:r>
    </w:p>
    <w:p w14:paraId="0EF0C8CC">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承包人应保证其履约担保在发包人竣工验收前一直有效，发包人应在竣工验收合格后7天内将履约担保款项退还给承包人或者解除履约担保。</w:t>
      </w:r>
    </w:p>
    <w:p w14:paraId="4A3D6C72">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因承包人原因导致工期延长的，继续提供履约担保所增加的费用由承包人承担；非因承包人原因导致工期延长的，继续提供履约担保所增加的费用由发包人承担。</w:t>
      </w:r>
    </w:p>
    <w:p w14:paraId="10231033">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4.3工程总承包项目经理</w:t>
      </w:r>
    </w:p>
    <w:p w14:paraId="080CBB1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4.3.1工程总承包项目经理应为合同当事人所确认的人选，并在专用合同条件中明确工程总承包项目经理的姓名、注册执业资格或职称、联系方式及授权范围等事项。工程总承包项目经理应具备履行其职责所需的资格、经验和能力，并为承包人正式聘用的员工，承包人应向发包人提交工程总承包项目经理与承包人之间的劳动合同，以及承包人为工程总承包项目经理缴纳社会保险的有效证明。承包人不提交上述文件的，工程总承包项目经理无权履行职责，发包人有权要求更换工程总承包项目经理，由此增加的费用和（或）延误的工期由承包人承担。同时，发包人有权根据专用合同条件约定要求承包人承担违约责任。</w:t>
      </w:r>
    </w:p>
    <w:p w14:paraId="45F32066">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4.3.2承包人应按合同协议书的约定指派工程总承包项目经理，并在约定的期限内到职。工程总承包项目经理不得同时担任其他工程项目的工程总承包项目经理或施工工程总承包项目经理（含施工总承包工程、专业承包工程）。工程在现场实施的全部时间内，工程总承包项目经理每月在施工现场时间不得少于专用合同条件约定的天数。工程总承包项目经理确需离开施工现场时，应事先通知工程师，并取得发包人的书面同意。工程总承包项目经理未经批准擅自离开施工现场的，承包人应按照专用合同条件的约定承担违约责任。工程总承包项目经理的通知中应当载明临时代行其职责的人员的注册执业资格、管理经验等资料，该人员应具备履行相应职责的资格、经验和能力。</w:t>
      </w:r>
    </w:p>
    <w:p w14:paraId="47428E2C">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4.3.3承包人应根据本合同的约定授予工程总承包项目经理代表承包人履行合同所需的权利，工程总承包项目经理权限以专用合同条件中约定的权限为准。经承包人授权后，工程总承包项目经理应按合同约定以及工程师按第3.5款[指示]作出的指示，代表承包人负责组织合同的实施。在紧急情况下，且无法与发包人和工程师取得联系时，工程总承包项目经理有权采取必要的措施保证人身、工程和财产的安全，但须在事后48小时内向工程师送交书面报告。</w:t>
      </w:r>
    </w:p>
    <w:p w14:paraId="1984CD1A">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4.3.4承包人需要更换工程总承包项目经理的，应提前14天书面通知发包人并抄送工程师，征得发包人书面同意。通知中应当载明继任工程总承包项目经理的注册执业资格、管理经验等资料，继任工程总承包项目经理继续履行本合同约定的职责。未经发包人书面同意，承包人不得擅自更换工程总承包项目经理，在发包人未予以书面回复期间内，工程总承包项目经理将继续履行其职责。工程总承包项目经理突发丧失履行职务能力的，承包人应当及时委派一位具有相应资格能力的人员担任临时工程总承包项目经理，履行工程总承包项目经理的职责，临时工程总承包项目经理将履行职责直至发包人同意新的工程总承包项目经理的任命之日止。承包人擅自更换工程总承包项目经理的，应按照专用合同条件的约定承担违约责任。</w:t>
      </w:r>
    </w:p>
    <w:p w14:paraId="07F2658E">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4.3.5发包人有权书面通知承包人要求更换其认为不称职的工程总承包项目经理，通知中应当载明要求更换的理由。承包人应在接到更换通知后14天内向发包人提出书面的改进报告。如承包人没有提出改进报告，应在收到更换通知后28天内更换项目经理。发包人收到改进报告后仍要求更换的，承包人应在接到第二次更换通知的28天内进行更换，并将新任命的工程总承包项目经理的注册执业资格、管理经验等资料书面通知发包人。继任工程总承包项目经理继续履行本合同约定的职责。承包人无正当理由拒绝更换工程总承包项目经理的，应按照专用合同条件的约定承担违约责任。</w:t>
      </w:r>
    </w:p>
    <w:p w14:paraId="385016C4">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4.3.6工程总承包项目经理因特殊情况授权其下属人员履行其某项工作职责的，该下属人员应具备履行相应职责的能力，并应事先将上述人员的姓名、注册执业资格、管理经验等信息和授权范围书面通知发包人并抄送工程师，征得发包人书面同意。</w:t>
      </w:r>
    </w:p>
    <w:p w14:paraId="6DB8B162">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4.4承包人人员</w:t>
      </w:r>
    </w:p>
    <w:p w14:paraId="3C52A81E">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4.4.1人员安排</w:t>
      </w:r>
    </w:p>
    <w:p w14:paraId="2391F7BB">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承包人人员的资质、数量、配置和管理应能满足工程实施的需要。除专用合同条件另有约定外，承包人应在接到开始工作通知之日起14天内，向工程师提交承包人的项目管理机构以及人员安排的报告，其内容应包括管理机构的设置、各主要岗位的关键人员名单及注册执业资格等证明其具备担任关键人员能力的相关文件，以及设计人员和各工种技术负责人的安排状况。</w:t>
      </w:r>
    </w:p>
    <w:p w14:paraId="0131B068">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关键人员是发包人及承包人一致认为对工程建设起重要作用的承包人主要管理人员或技术人员。关键人员的具体范围由发包人及承包人在附件5[承包人主要管理人员表]中另行约定。</w:t>
      </w:r>
    </w:p>
    <w:p w14:paraId="3A044796">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4.4.2关键人员更换</w:t>
      </w:r>
    </w:p>
    <w:p w14:paraId="1AD1148D">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承包人派驻到施工现场的关键人员应相对稳定。承包人更换关键人员时，应提前14天将继任关键人员信息及相关证明文件提交给工程师，并由工程师报发包人征求同意。在发包人未予以书面回复期间内，关键人员将继续履行其职务。关键人员突发丧失履行职务能力的，承包人应当及时委派一位具有相应资格能力的人员临时继任该关键人员职位，履行该关键人员职责，临时继任关键人员将履行职责直至发包人同意新的关键人员任命之日止。承包人擅自更换关键人员，应按照专用合同条件约定承担违约责任。</w:t>
      </w:r>
    </w:p>
    <w:p w14:paraId="506BC0B6">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工程师对于承包人关键人员的资格或能力有异议的，承包人应提供资料证明被质疑人员有能力完成其岗位工作或不存在工程师所质疑的情形。工程师指示撤换不能按照合同约定履行职责及义务的主要施工管理人员的，承包人应当撤换。承包人无正当理由拒绝撤换的，应按照专用合同条件的约定承担违约责任。</w:t>
      </w:r>
    </w:p>
    <w:p w14:paraId="77FFC044">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4.4.3现场管理关键人员在岗要求</w:t>
      </w:r>
    </w:p>
    <w:p w14:paraId="19B12C33">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除专用合同条件另有约定外，承包人的现场管理关键人员离开施工现场每月累计不超过7天的，应报工程师同意；离开施工现场每月累计超过7天的，应书面通知发包人并抄送工程师，征得发包人书面同意。现场管理关键人员因故离开施工现场的，可授权有经验的人员临时代行其职责，但承包人应将被授权人员信息及授权范围书面通知发包人并取得其同意。现场管理关键人员未经工程师或发包人同意擅自离开施工现场的，应按照专用合同条件约定承担违约责任。</w:t>
      </w:r>
    </w:p>
    <w:p w14:paraId="47DD4100">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4.5分包</w:t>
      </w:r>
    </w:p>
    <w:p w14:paraId="2881CF00">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4.5.1一般约定</w:t>
      </w:r>
    </w:p>
    <w:p w14:paraId="6A69F812">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承包人不得将其承包的全部工程转包给第三人，或将其承包的全部工程</w:t>
      </w:r>
      <w:r>
        <w:rPr>
          <w:rFonts w:hint="eastAsia" w:ascii="宋体" w:hAnsi="宋体" w:cs="宋体"/>
          <w:color w:val="auto"/>
          <w:lang w:eastAsia="zh-CN"/>
        </w:rPr>
        <w:t>肢解</w:t>
      </w:r>
      <w:r>
        <w:rPr>
          <w:rFonts w:hint="eastAsia" w:ascii="宋体" w:hAnsi="宋体" w:cs="宋体"/>
          <w:color w:val="auto"/>
        </w:rPr>
        <w:t>后以分包的名义转包给第三人。承包人不得将法律或专用合同条件中禁止分包的工作事项分包给第三人，不得以劳务分包的名义转包或违法分包工程。</w:t>
      </w:r>
    </w:p>
    <w:p w14:paraId="10256ED0">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4.5.2分包的确定</w:t>
      </w:r>
    </w:p>
    <w:p w14:paraId="2C690858">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承包人应按照专用合同条件约定对工作事项进行分包，确定分包人。</w:t>
      </w:r>
    </w:p>
    <w:p w14:paraId="48C31A41">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专用合同条件未列出的分包事项，承包人可在工程实施阶段分批分期就分包事项向发包人提交申请，发包人在接到分包事项申请后的14天内，予以批准或提出意见。未经发包人同意，承包人不得将提出的拟分包事项对外分包。发包人未能在14天内批准亦未提出意见的，承包人有权将提出的拟分包事项对外分包，但应在分包人确定后通知发包人。</w:t>
      </w:r>
    </w:p>
    <w:p w14:paraId="04D4EF92">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4.5.3分包人资质</w:t>
      </w:r>
    </w:p>
    <w:p w14:paraId="0B7624D7">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分包人应符合国家法律规定的资质等级，否则不能作为分包人。承包人有义务对分包人的资质进行审查。</w:t>
      </w:r>
    </w:p>
    <w:p w14:paraId="4A541576">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4.5.4分包管理</w:t>
      </w:r>
    </w:p>
    <w:p w14:paraId="34BA6E3E">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承包人应当对分包人的工作进行必要的协调与管理，确保分包人严格执行国家有关分包事项的管理规定。承包人应向工程师提交分包人的主要管理人员表，并对分包人的工作人员进行实名制管理，包括但不限于进出场管理、登记造册以及各种证照的办理。</w:t>
      </w:r>
    </w:p>
    <w:p w14:paraId="65FAFB50">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4.5.5分包合同价款支付</w:t>
      </w:r>
    </w:p>
    <w:p w14:paraId="77C603B9">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（1）除本项第（2）目约定的情况或专用合同条件另有约定外，分包合同价款由承包人与分包人结算，未经承包人同意，发包人不得向分包人支付分包合同价款；</w:t>
      </w:r>
    </w:p>
    <w:p w14:paraId="19515478">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（2）生效法律文书要求发包人向分包人支付分包合同价款的，发包人有权从应付承包人工程款中扣除该部分款项，将扣款直接支付给分包人，并书面通知承包人。</w:t>
      </w:r>
    </w:p>
    <w:p w14:paraId="605129F0">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4.5.6责任承担</w:t>
      </w:r>
    </w:p>
    <w:p w14:paraId="6B204052">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承包人对分包人的行为向发包人负责，承包人和分包人就分包工作向发包人承担连带责任。</w:t>
      </w:r>
    </w:p>
    <w:p w14:paraId="5618C0C1">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4.6联合体</w:t>
      </w:r>
    </w:p>
    <w:p w14:paraId="4510EA2D">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4.6.1经发包人同意，以联合体方式承包工程的，联合体各方应共同与发包人订立合同协议书。联合体各方应为履行合同向发包人承担连带责任。</w:t>
      </w:r>
    </w:p>
    <w:p w14:paraId="1D4CF416">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4.6.2承包人应在专用合同条件中明确联合体各成员的分工、费用收取、发票开具等事项。联合体各成员分工承担的工作内容必须与适用法律规定的该成员的资质资格相适应，并应具有相应的项目管理体系和项目管理能力，且不应根据其就承包工作的分工而减免对发包人的任何合同责任。</w:t>
      </w:r>
    </w:p>
    <w:p w14:paraId="65B9404E">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4.6.3联合体协议经发包人确认后作为合同附件。在履行合同过程中，未经发包人同意，不得变更联合体成员和其负责的工作范围，或者修改联合体协议中与本合同履行相关的内容。</w:t>
      </w:r>
    </w:p>
    <w:p w14:paraId="6214EB12">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4.7承包人现场查勘</w:t>
      </w:r>
    </w:p>
    <w:p w14:paraId="0CC5ED1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4.7.1除专用合同条件另有约定外，承包人应对基于发包人提交的基础资料所做出的解释和推断负责，因基础资料存在错误、遗漏导致承包人解释或推断失实的，按照第2.3项[提供基础资料]的规定承担责任。承包人发现基础资料中存在明显错误或疏忽的，应及时书面通知发包人。</w:t>
      </w:r>
    </w:p>
    <w:p w14:paraId="712DB623">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4.7.2承包人应对现场和工程实施条件进行查勘，并充分了解工程所在地的气象条件、交通条件、风俗习惯以及其他与完成合同工作有关的其他资料。承包人提交投标文件，视为承包人已对施工现场及周围环境进行了踏勘，并已充分了解评估施工现场及周围环境对工程可能产生的影响，自愿承担相应风险与责任。在全部合同工作中，视为承包人已充分估计了应承担的责任和风险，但属于4.8款[不可预见的困难]约定的情形除外。</w:t>
      </w:r>
    </w:p>
    <w:p w14:paraId="067DAE74">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4.8不可预见的困难</w:t>
      </w:r>
    </w:p>
    <w:p w14:paraId="16B48AA0">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不可预见的困难是指有经验的承包人在施工现场遇到的不可预见的自然物质条件、非自然的物质障碍和污染物，包括地表以下物质条件和水文条件以及专用合同条件约定的其他情形，但不包括气候条件。</w:t>
      </w:r>
    </w:p>
    <w:p w14:paraId="3DC96E1F">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承包人遇到不可预见的困难时，应采取克服不可预见的困难的合理措施继续施工，并及时通知工程师并抄送发包人。通知应载明不可预见的困难的内容、承包人认为不可预见的理由以及承包人制定的处理方案。工程师应当及时发出指示，指示构成变更的，按第13条[变更与调整]约定执行。承包人因采取合理措施而增加的费用和（或）延误的工期由发包人承担。</w:t>
      </w:r>
    </w:p>
    <w:p w14:paraId="640AD112">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4.9工程质量管理</w:t>
      </w:r>
    </w:p>
    <w:p w14:paraId="3ACF6F5A">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4.9.1承包人应按合同约定的质量标准规范，建立有效的质量管理系统，确保设计、采购、加工制造、施工、竣工试验等各项工作的质量，并按照国家有关规定，通过质量保修责任书的形式约定保修范围、保修期限和保修责任。</w:t>
      </w:r>
    </w:p>
    <w:p w14:paraId="66BD8C3A">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4.9.2承包人按照第8.4款[项目进度计划]约定向工程师提交工程质量保证体系及措施文件，建立完善的质量检查制度，并提交相应的工程质量文件。对于发包人和工程师违反法律规定和合同约定的错误指示，承包人有权拒绝实施。</w:t>
      </w:r>
    </w:p>
    <w:p w14:paraId="599AD9D6">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4.9.3承包人应对其人员进行质量教育和技术培训，定期考核人员的劳动技能，严格执行相关规范和操作规程。</w:t>
      </w:r>
    </w:p>
    <w:p w14:paraId="7D9B81A2">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4.9.4承包人应按照法律规定和合同约定，对设计、材料、工程设备以及全部工程内容及其施工工艺进行全过程的质量检查和检验，并</w:t>
      </w:r>
      <w:r>
        <w:rPr>
          <w:rFonts w:hint="eastAsia" w:ascii="宋体" w:hAnsi="宋体" w:cs="宋体"/>
          <w:color w:val="auto"/>
          <w:lang w:eastAsia="zh-CN"/>
        </w:rPr>
        <w:t>做</w:t>
      </w:r>
      <w:r>
        <w:rPr>
          <w:rFonts w:hint="eastAsia" w:ascii="宋体" w:hAnsi="宋体" w:cs="宋体"/>
          <w:color w:val="auto"/>
        </w:rPr>
        <w:t>详细记录，编制工程质量报表，报送工程师审查。此外，承包人还应按照法律规定和合同约定，进行施工现场取样试验、工程复核测量和设备性能检测，提供试验样品、提交试验报告和测量成果以及其他工作。</w:t>
      </w:r>
    </w:p>
    <w:p w14:paraId="3A8612C2">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第5条设计</w:t>
      </w:r>
    </w:p>
    <w:p w14:paraId="4360C4B8">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5.1承包人的设计义务</w:t>
      </w:r>
    </w:p>
    <w:p w14:paraId="74B5541A">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5.1.1设计义务的一般要求</w:t>
      </w:r>
    </w:p>
    <w:p w14:paraId="7667A56F">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承包人应当按照法律规定，国家、行业和地方的规范和标准，以及《发包人要求》和合同约定完成设计工作和设计相关的其他服务，并对工程的设计负责。承包人应根据工程实施的需要及时向发包人和工程师说明设计文件的意图，解释设计文件。</w:t>
      </w:r>
    </w:p>
    <w:p w14:paraId="65CA9DB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5.1.2对设计人员的要求</w:t>
      </w:r>
    </w:p>
    <w:p w14:paraId="0B0368EF">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承包人应保证其或其设计分包人的设计资质在合同有效期内满足法律法规、行业标准或合同约定的相关要求，并指派符合法律法规、行业标准或合同约定的资质要求并具有从事设计所必需的经验与能力</w:t>
      </w:r>
      <w:r>
        <w:rPr>
          <w:rFonts w:hint="eastAsia" w:ascii="宋体" w:hAnsi="宋体" w:cs="宋体"/>
          <w:color w:val="auto"/>
          <w:lang w:eastAsia="zh-CN"/>
        </w:rPr>
        <w:t>的</w:t>
      </w:r>
      <w:r>
        <w:rPr>
          <w:rFonts w:hint="eastAsia" w:ascii="宋体" w:hAnsi="宋体" w:cs="宋体"/>
          <w:color w:val="auto"/>
        </w:rPr>
        <w:t>设计人员完成设计工作。承包人应保证其设计人员（包括分包人的设计人员）在合同期限内，都能按时参加发包人或工程师组织的工作会议。</w:t>
      </w:r>
    </w:p>
    <w:p w14:paraId="5573C72D">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5.1.3法律和标准的变化</w:t>
      </w:r>
    </w:p>
    <w:p w14:paraId="3E10ECAB">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除合同另有约定外，承包人完成设计工作所应遵守的法律规定，以及国家、行业和地方的规范和标准，均应视为在基准日期适用的版本。基准日期之后，前述版本发生重大变化，或者有新的法律，以及国家、行业和地方的规范和标准实施的，承包人应向工程师提出遵守新规定的建议。发包人或其委托的工程师应在收到建议后7天内发出是否遵守新规定的指示。如果该项建议构成变更的，按照第13.2款[承包人的合理化建议]的约定执行。</w:t>
      </w:r>
    </w:p>
    <w:p w14:paraId="5BDC6906">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在基准日期之后，因国家颁布新的强制性规范、标准导致承包人的费用变化的，发包人应合理调整合同价格；导致工期延误的，发包人应合理延长工期。</w:t>
      </w:r>
    </w:p>
    <w:p w14:paraId="08E09BBA">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5.2承包人文件审查</w:t>
      </w:r>
    </w:p>
    <w:p w14:paraId="2581C17F">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5.2.1根据《发包人要求》应当通过工程师报发包人审查同意的承包人文件，承包人应当按照《发包人要求》约定的范围和内容及时报送审查。</w:t>
      </w:r>
    </w:p>
    <w:p w14:paraId="0CF48E36">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除专用合同条件另有约定外，自工程师收到承包人文件以及承包人的通知之日起，发包人对承包人文件审查期不超过21天。承包人的设计文件对于合同约定有偏离的，应在通知中说明。承包人需要修改已提交的承包人文件的，应立即通知工程师，并向工程师提交修改后的承包人文件，审查期重新起算。</w:t>
      </w:r>
    </w:p>
    <w:p w14:paraId="2815453F">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发包人同意承包人文件的，应及时通知承包人，发包人不同意承包人文件的，应在审查期限内通过工程师以书面形式通知承包人，并说明不同意的具体内容和理由。</w:t>
      </w:r>
    </w:p>
    <w:p w14:paraId="26E8CF46">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承包人对发包人的意见按以下方式处理：</w:t>
      </w:r>
    </w:p>
    <w:p w14:paraId="445D4A5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（1）发包人的意见构成变更的，承包人应在7天内通知发包人按照第13条[变更与调整]中关于发包人指示变更的约定执行，双方对是否构成变更无法达成一致的，按照第20条[争议解决]的约定执行；</w:t>
      </w:r>
    </w:p>
    <w:p w14:paraId="6DE6C1CF">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（2）因承包人原因导致无法通过审查的，承包人应根据发包人的书面说明，对承包人文件进行修改后重新报送发包人审查，审查期重新起算。因此引起的工期延长和必要的工程费用增加，由承包人负责。</w:t>
      </w:r>
    </w:p>
    <w:p w14:paraId="3F0F575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合同约定的审查期满，发包人没有做出审查结论也没有提出异议的，视为承包人文件已获发包人同意。</w:t>
      </w:r>
    </w:p>
    <w:p w14:paraId="1686BCD4">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发包人对承包人文件的审查和同意不得被理解为对合同的修改或改变，也并不减轻或免除承包人任何的责任和义务。</w:t>
      </w:r>
    </w:p>
    <w:p w14:paraId="781EF7B7">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5.2.2承包人文件不需要政府有关部门或专用合同条件约定的第三方审查单位审查或批准的，承包人应当严格按照经发包人审查同意的承包人文件设计和实施工程。</w:t>
      </w:r>
    </w:p>
    <w:p w14:paraId="567FB279">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发包人需要组织审查会议对承包人文件进行审查的，审查会议的审查形式、时间安排、费用承担，在专用合同条件中约定。发包人负责组织承包人文件审查会议，承包人有义务参加发包人组织的审查会议，向审查者介绍、解答、解释承包人文件，并提供有关补充资料。</w:t>
      </w:r>
    </w:p>
    <w:p w14:paraId="74D62DCA">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发包人有义务向承包人提供审查会议的批准文件和纪要。承包人有义务按照相关审查会议批准的文件和纪要，并依据合同约定及相关技术标准，对承包人文件进行修改、补充和完善。</w:t>
      </w:r>
    </w:p>
    <w:p w14:paraId="51EE6D11">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5.2.3承包人文件需政府有关部门或专用合同条件约定的第三方审查单位审查或批准的，发包人应在发包人审查同意承包人文件后7天内，向政府有关部门或第三方报送承包人文件，承包人应予以协助。</w:t>
      </w:r>
    </w:p>
    <w:p w14:paraId="6BC7804D">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对于政府有关部门或第三方审查单位的审查意见，不需要修改《发包人要求》的，承包人需按该审查意见修改承包人的设计文件；需要修改《发包人要求》的，承包人应按第13.2款[承包人的合理化建议]的约定执行。上述情形还应适用第5.1款[承包人的设计义务]和第13条[变更与调整]的有关约定。</w:t>
      </w:r>
    </w:p>
    <w:p w14:paraId="2161C92B">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政府有关部门或第三方审查单位审查批准后，承包人应当严格按照批准后的承包人文件实施工程。政府有关部门或第三方审查单位批准时间较合同约定时间延长的，竣工日期相应顺延。因此给双方带来的费用增加，由双方在负责的范围内各自承担。</w:t>
      </w:r>
    </w:p>
    <w:p w14:paraId="77AE09CC">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5.3培训</w:t>
      </w:r>
    </w:p>
    <w:p w14:paraId="7451FB47">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承包人应按照《发包人要求》，</w:t>
      </w:r>
      <w:r>
        <w:rPr>
          <w:rFonts w:hint="eastAsia" w:ascii="宋体" w:hAnsi="宋体" w:cs="宋体"/>
          <w:color w:val="auto"/>
          <w:lang w:eastAsia="zh-CN"/>
        </w:rPr>
        <w:t>对发包人的雇员或其他发包人</w:t>
      </w:r>
      <w:r>
        <w:rPr>
          <w:rFonts w:hint="eastAsia" w:ascii="宋体" w:hAnsi="宋体" w:cs="宋体"/>
          <w:color w:val="auto"/>
        </w:rPr>
        <w:t>指定的人员进行工程操作、维修或</w:t>
      </w:r>
      <w:r>
        <w:rPr>
          <w:rFonts w:hint="eastAsia" w:ascii="宋体" w:hAnsi="宋体" w:cs="宋体"/>
          <w:color w:val="auto"/>
          <w:lang w:eastAsia="zh-CN"/>
        </w:rPr>
        <w:t>其他</w:t>
      </w:r>
      <w:r>
        <w:rPr>
          <w:rFonts w:hint="eastAsia" w:ascii="宋体" w:hAnsi="宋体" w:cs="宋体"/>
          <w:color w:val="auto"/>
        </w:rPr>
        <w:t>合同中约定的培训。合同约定接收之前进行培训的，应在第10.1款[竣工验收]约定的竣工验收前或试运行结束前完成培训。</w:t>
      </w:r>
    </w:p>
    <w:p w14:paraId="5B8AA5CB">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培训的时长应由双方在专用合同条件中约定，承包人应为培训提供有经验的人员、设施和</w:t>
      </w:r>
      <w:r>
        <w:rPr>
          <w:rFonts w:hint="eastAsia" w:ascii="宋体" w:hAnsi="宋体" w:cs="宋体"/>
          <w:color w:val="auto"/>
          <w:lang w:eastAsia="zh-CN"/>
        </w:rPr>
        <w:t>其他</w:t>
      </w:r>
      <w:r>
        <w:rPr>
          <w:rFonts w:hint="eastAsia" w:ascii="宋体" w:hAnsi="宋体" w:cs="宋体"/>
          <w:color w:val="auto"/>
        </w:rPr>
        <w:t>必要条件。</w:t>
      </w:r>
    </w:p>
    <w:p w14:paraId="16F64D7C">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5.4竣工文件</w:t>
      </w:r>
    </w:p>
    <w:p w14:paraId="73150181">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5.4.1承包人应编制并及时更新反映工程实施结果的竣工记录，如实记载竣工工程的确切位置、尺寸和已实施工作的详细说明。竣工文件的</w:t>
      </w:r>
      <w:r>
        <w:rPr>
          <w:rFonts w:hint="eastAsia" w:ascii="宋体" w:hAnsi="宋体" w:cs="宋体"/>
          <w:color w:val="auto"/>
          <w:lang w:eastAsia="zh-CN"/>
        </w:rPr>
        <w:t>形式、技术标准以及其他</w:t>
      </w:r>
      <w:r>
        <w:rPr>
          <w:rFonts w:hint="eastAsia" w:ascii="宋体" w:hAnsi="宋体" w:cs="宋体"/>
          <w:color w:val="auto"/>
        </w:rPr>
        <w:t>相关内容应按照相关法律法规、行业标准与《发包人要求》执行。竣工记录应保存在施工现场，并在竣工试验开始前，按照专用合同条件约定的份数提交给工程师。</w:t>
      </w:r>
    </w:p>
    <w:p w14:paraId="0685D2B6">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5.4.2在颁发工程接收证书之前，承包人应按照《发包人要求》的份数和形式向工程师提交相应竣工图纸，并取得工程师对尺寸、参照系统及其他有关细节的认可。工程师应按照第5.2款[承包人文件审查]的约定进行审查。</w:t>
      </w:r>
    </w:p>
    <w:p w14:paraId="39E30290">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5.4.3除专用合同条件另有约定外，在工程师收到本款下的文件前，不应认为工程已根据第10.1款[竣工验收]和第10.2款[单位/区段工程的验收]的约定完成验收。</w:t>
      </w:r>
    </w:p>
    <w:p w14:paraId="779B2C4C">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5.5操作和维修手册</w:t>
      </w:r>
    </w:p>
    <w:p w14:paraId="386E3A0D">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5.5.1在竣工试验开始前，承包人应向工程师提交暂行的操作和维修手册并负责及时更新，该手册应足够详细，以便发包人能够对工程设备进行操作、维修、拆卸、重新安装、调整及修理，以及实现《发包人要求》。同时，手册还应包含发包人未来可能需要的备品备件清单。</w:t>
      </w:r>
    </w:p>
    <w:p w14:paraId="69148AED">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5.5.2工程师收到承包人提交的文件后，应依据第5.2款[承包人文件审查]的约定对操作和维修手册进行审查</w:t>
      </w:r>
      <w:r>
        <w:rPr>
          <w:rFonts w:hint="eastAsia" w:ascii="宋体" w:hAnsi="宋体" w:cs="宋体"/>
          <w:color w:val="auto"/>
          <w:lang w:eastAsia="zh-CN"/>
        </w:rPr>
        <w:t>，在</w:t>
      </w:r>
      <w:r>
        <w:rPr>
          <w:rFonts w:hint="eastAsia" w:ascii="宋体" w:hAnsi="宋体" w:cs="宋体"/>
          <w:color w:val="auto"/>
        </w:rPr>
        <w:t>竣工试验工程中，承包人应为任何因操作和维修手册错误或遗漏引起的风险或损失承担责任。</w:t>
      </w:r>
    </w:p>
    <w:p w14:paraId="691D2C41">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5.5.3除专用合同条件另有约定外，承包人应提交足够详细的最终操作和维修手册，以及在《发包人要求》中明确的相关操作和维修手册。除专用合同条件另有约定外，在工程师收到上述文件前，不应认为工程已根据第10.1款[竣工验收]和第10.2款[单位/区段工程的验收]的约定完成验收。</w:t>
      </w:r>
    </w:p>
    <w:p w14:paraId="036461B3">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5.6承包人文件错误</w:t>
      </w:r>
    </w:p>
    <w:p w14:paraId="78ABD25B">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承包人文件存在错误、遗漏、含混、矛盾、不充分之处或其他缺陷，无论承包人是否根据本款获得了同意，承包人均应自费对前述问题带来的缺陷和工程问题进行改正，并按照第5.2款[承包人文件审查]的要求，重新送工程师审查，审查日期从工程师收到文件开始重新计算。因此款原因重新提交审查文件导致的工程延误和必要费用增加由承包人承担。《发包人要求》的错误导致承包人文件错误、遗漏、含混、矛盾、不充分或其他缺陷的除外。</w:t>
      </w:r>
    </w:p>
    <w:p w14:paraId="331159B3">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第6条材料、工程设备</w:t>
      </w:r>
    </w:p>
    <w:p w14:paraId="40F64CD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6.1实施方法</w:t>
      </w:r>
    </w:p>
    <w:p w14:paraId="56F56676">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承包人应按以下方法进行材料的加工、工程设备的采购、制造和安装</w:t>
      </w:r>
      <w:r>
        <w:rPr>
          <w:rFonts w:hint="eastAsia" w:ascii="宋体" w:hAnsi="宋体" w:cs="宋体"/>
          <w:color w:val="auto"/>
          <w:lang w:eastAsia="zh-CN"/>
        </w:rPr>
        <w:t>，以及</w:t>
      </w:r>
      <w:r>
        <w:rPr>
          <w:rFonts w:hint="eastAsia" w:ascii="宋体" w:hAnsi="宋体" w:cs="宋体"/>
          <w:color w:val="auto"/>
        </w:rPr>
        <w:t>工程的所有其他实施作业：</w:t>
      </w:r>
    </w:p>
    <w:p w14:paraId="24E0DA1C">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（1）按照法律规定和合同约定的方法；</w:t>
      </w:r>
    </w:p>
    <w:p w14:paraId="110E9C20">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（2）按照公认的良好行业习惯，使用恰当、审慎、先进的方法；</w:t>
      </w:r>
    </w:p>
    <w:p w14:paraId="28F354DA">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（3）除专用合同条件另有规定外，应使用适当配备的实施方法、设备、设施和无危险的材料。</w:t>
      </w:r>
    </w:p>
    <w:p w14:paraId="18057ECD">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6.2材料和工程设备</w:t>
      </w:r>
    </w:p>
    <w:p w14:paraId="28125E54">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6.2.1发包人提供的材料和工程设备</w:t>
      </w:r>
    </w:p>
    <w:p w14:paraId="347AF6FF">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发包人自行供应材料、工程设备的，应在订立合同时在专用合同条件的附件《发包人供应材料设备一览表》中明确材料、工程设备的品种、规格、型号、主要参数、数量、单价、质量等级和交接地点等。</w:t>
      </w:r>
    </w:p>
    <w:p w14:paraId="72BBBC27">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承包人应根据项目进度计划的安排，提前28天以书面形式通知工程师供应材料与工程设备的进场计划。承包人按照第8.4款[项目进度计划]约定修订项目进度计划时，需同时提交经修订后的发包人供应材料与工程设备的进场计划。发包人应按照上述进场计划，向承包人提交材料和工程设备。</w:t>
      </w:r>
    </w:p>
    <w:p w14:paraId="2050084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发包人应在材料和工程设备到货7天前通知承包人，承包人应会同工程师在约定的时间内，赴交货地点共同进行验收。除专用合同条件另有约定外，发包人提供的材料和工程设备验收后，由承包人负责接收、运输和保管。</w:t>
      </w:r>
    </w:p>
    <w:p w14:paraId="4A714522">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发包人需要对进场计划进行变更的，承包人不得拒绝，应根据第13条[变更与调整]的规定执行，并由发包人承担承包人由此增加的费用，以及引起的工期延误。承包人需要对进场计划进行变更的，应事先报请工程师批准，由此增加的费用和（或）工期延误由承包人承担。</w:t>
      </w:r>
    </w:p>
    <w:p w14:paraId="4F5AE4B3">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发包人提供的材料和工程设备的规格、数量或质量不符合合同要求，或由于发包人原因发生交货日期延误及交货地点变更等情况的，发包人应承担由此增加的费用和（或）工期延误，并向承包人支付合理利润。</w:t>
      </w:r>
    </w:p>
    <w:p w14:paraId="0D191C2C">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6.2.2承包人提供的材料和工程设备</w:t>
      </w:r>
    </w:p>
    <w:p w14:paraId="0BF7CEE4">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承包人应按照专用合同条件的约定，将各项材料和工程设备的供货人及品种、技术要求、规格、数量和供货时间等报送工程师批准。承包人应向工程师提交其负责提供的材料和工程设备的质量证明文件，并根据合同约定的质量标准，对材料、工程设备质量负责。</w:t>
      </w:r>
    </w:p>
    <w:p w14:paraId="395C597A">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承包人应按照已被批准的第8.4款[项目进度计划]规定的数量要求及时间要求，负责组织材料和工程设备采购（包括备品备件、专用工具及厂商提供的技术文件），负责运抵现场。合同约定由承包人采购的材料、工程设备，除专用合同条件另有约定外，发包人不得指定生产厂家或供应商，发包人违反本款约定指定生产厂家或供应商的，承包人有权拒绝，并由发包人承担相应责任。</w:t>
      </w:r>
    </w:p>
    <w:p w14:paraId="6A00E6AE">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对承包人提供的材料和工程设备，承包人应会同工程师进行检验和交货验收，查验材料合格证明和产品合格证书，并按合同约定和工程师指示，进行材料的抽样检验和工程设备的检验测试，检验和测试结果应提交工程师，所需费用由承包人承担。</w:t>
      </w:r>
    </w:p>
    <w:p w14:paraId="3E426EEC">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因承包人提供的材料和工程设备不符合国家强制性标准、规范的规定或合同约定的标准、规范，所造成的质量缺陷，由承包人自费修复，竣工日期不予延长。在履行合同过程中，由于国家新颁布的强制性标准、规范，造成承包人负责提供的材料和工程设备，虽符合合同约定的标准，但不符合新颁布的强制性标准时，由承包人负责修复或重新订货，相关费用支出及导致的工期延长由发包人负责。</w:t>
      </w:r>
    </w:p>
    <w:p w14:paraId="2579BEC2">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6.2.3材料和工程设备的保管</w:t>
      </w:r>
    </w:p>
    <w:p w14:paraId="608AAE52">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（1）发包人供应材料与工程设备的保管与使用</w:t>
      </w:r>
    </w:p>
    <w:p w14:paraId="4F4BE5EC">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发包人供应的材料和工程设备，承包人清点并接收后由承包人妥善保管，保管费用由承包人承担，但专用合同条件另有约定除外。因承包人原因发生丢失毁损的，由承包人负责赔偿。</w:t>
      </w:r>
    </w:p>
    <w:p w14:paraId="59A9CF72">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发包人供应的材料和工程设备使用前，由承包人负责必要的检验，检验费用由发包人承担，不合格的不得使用。</w:t>
      </w:r>
    </w:p>
    <w:p w14:paraId="5CDEC23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（2）承包人采购材料与工程设备的保管与使用</w:t>
      </w:r>
    </w:p>
    <w:p w14:paraId="64C3B4A6">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承包人采购的材料和工程设备由承包人妥善保管，保管费用由承包人承担。合同约定或法律规定材料和工程设备使用前必须进行检验或试验的，承包人应按工程师的指示进行检验或试验，检验或试验费用由承包人承担，不合格的不得使用。</w:t>
      </w:r>
    </w:p>
    <w:p w14:paraId="2AAE657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工程师发现承包人使用不符合设计或有关标准要求的材料和工程设备时，有权要求承包人进行修复、拆除或重新采购，由此增加的费用和（或）延误的工期，由承包人承担。</w:t>
      </w:r>
    </w:p>
    <w:p w14:paraId="3B4FF148">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6.2.4材料和工程设备的所有权</w:t>
      </w:r>
    </w:p>
    <w:p w14:paraId="429F23E8">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除本合同另有约定外，承包人根据第6.2.2项[承包人提供的材料和工程设备]约定提供的材料和工程设备后，材料及工程设备的价款应列入第14.3.1项第（2）目的进度款金额中，发包人支付当期进度款之后，其所有权转为发包人所有（周转性材料除外）；在发包人接收工程前，承包人有义务对材料和工程设备进行保管、维护和保养，未经发包人批准不得运出现场。</w:t>
      </w:r>
    </w:p>
    <w:p w14:paraId="33447CF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承包人按第6.2.2项提供的材料和工程设备，承包人应确保发包人取得无权利负担的材料及工程设备所有权，因承包人与第三人的物权争议导致的增加的费用和（或）延误的工期，由承包人承担。</w:t>
      </w:r>
    </w:p>
    <w:p w14:paraId="3501BE22">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6.3样品</w:t>
      </w:r>
    </w:p>
    <w:p w14:paraId="38A7DDFA">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6.3.1样品的报送与封存</w:t>
      </w:r>
    </w:p>
    <w:p w14:paraId="36BA5711">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需要承包人报送样品的材料或工程设备，样品的种类、名称、规格、数量等要求均应在专用合同条件中约定。样品的报送程序如下：</w:t>
      </w:r>
    </w:p>
    <w:p w14:paraId="219A38D1">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承包人应在计划采购前28天向工程师报送样品。承包人报送的样品均应来自供应材料的实际生产地，且提供的样品的规格、数量足以表明材料或工程设备的质量、型号、颜色、表面处理、质地、误差和其他要求的特征。</w:t>
      </w:r>
    </w:p>
    <w:p w14:paraId="4BAB5A32">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（2）承包人每次报送样品时应随附申报单，申报单应载明报送样品的相关数据和资料，并标明每件样品对应的图纸号，预留工程师审批意见栏。工程师应在收到承包人报送的样品后7</w:t>
      </w:r>
      <w:r>
        <w:rPr>
          <w:rFonts w:hint="eastAsia" w:ascii="宋体" w:hAnsi="宋体" w:cs="宋体"/>
          <w:color w:val="auto"/>
          <w:lang w:eastAsia="zh-CN"/>
        </w:rPr>
        <w:t>天内</w:t>
      </w:r>
      <w:r>
        <w:rPr>
          <w:rFonts w:hint="eastAsia" w:ascii="宋体" w:hAnsi="宋体" w:cs="宋体"/>
          <w:color w:val="auto"/>
        </w:rPr>
        <w:t>向承包人回复经发包人签认的样品审批意见。</w:t>
      </w:r>
    </w:p>
    <w:p w14:paraId="1EC068C9">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（3）经工程师审批确认的样品应按约定的方法封样，封存的样品作为检验工程相关部分的标准之一。承包人在施工过程中不得使用与样品不符的材料或工程设备。</w:t>
      </w:r>
    </w:p>
    <w:p w14:paraId="65A89100">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（4）工程师对样品的审批确认仅为确认相关材料或工程设备的特征或用途，不得被理解为对合同的修改或改变，也并不减轻或免除承包人</w:t>
      </w:r>
      <w:r>
        <w:rPr>
          <w:rFonts w:hint="eastAsia" w:ascii="宋体" w:hAnsi="宋体" w:cs="宋体"/>
          <w:color w:val="auto"/>
          <w:lang w:eastAsia="zh-CN"/>
        </w:rPr>
        <w:t>任何</w:t>
      </w:r>
      <w:r>
        <w:rPr>
          <w:rFonts w:hint="eastAsia" w:ascii="宋体" w:hAnsi="宋体" w:cs="宋体"/>
          <w:color w:val="auto"/>
        </w:rPr>
        <w:t>责任和义务。如果封存的样品修改或改变了合同约定，合同当事人应当以书面协议予以确认。</w:t>
      </w:r>
    </w:p>
    <w:p w14:paraId="6F876FBC">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6.3.2样品的保管</w:t>
      </w:r>
    </w:p>
    <w:p w14:paraId="257027B0">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经批准的样品应由工程师负责封存于现场，承包人应在现场为保存样品提供适当和固定的场所并保持适当和良好的存储环境条件。</w:t>
      </w:r>
    </w:p>
    <w:p w14:paraId="1D8F500D">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6.4质量检查</w:t>
      </w:r>
    </w:p>
    <w:p w14:paraId="47282FE3">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6.4.1工程质量要求</w:t>
      </w:r>
    </w:p>
    <w:p w14:paraId="1D4F7D97">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工程质量标准必须符合现行国家有关工程施工质量验收规范和标准的要求。有关工程质量的特殊标准或要求由合同当事人在专用合同条件中约定。</w:t>
      </w:r>
    </w:p>
    <w:p w14:paraId="5F0B961D">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因承包人原因造成工程质量未达到合同约定标准的，发包人有权要求承包人返工直至工程质量达到合同约定的标准为止，并由承包人承担由此增加的费用和（或）延误的工期。因发包人原因造成工程质量未达到合同约定标准的，由发包人承担由此增加的费用和（或）延误的工期，并支付承包人合理的利润。</w:t>
      </w:r>
    </w:p>
    <w:p w14:paraId="626BA21E">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6.4.2质量检查</w:t>
      </w:r>
    </w:p>
    <w:p w14:paraId="66C94224">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发包人有权通过工程师或自行对全部工程内容及其施工工艺、材料和工程设备进行检查和检验。承包人应为工程师或发包人的检查和检验提供方便，包括到施工现场，或制造、加工地点，或专用合同条件约定的其他地方进行</w:t>
      </w:r>
      <w:r>
        <w:rPr>
          <w:rFonts w:hint="eastAsia" w:ascii="宋体" w:hAnsi="宋体" w:cs="宋体"/>
          <w:color w:val="auto"/>
          <w:lang w:eastAsia="zh-CN"/>
        </w:rPr>
        <w:t>查看</w:t>
      </w:r>
      <w:r>
        <w:rPr>
          <w:rFonts w:hint="eastAsia" w:ascii="宋体" w:hAnsi="宋体" w:cs="宋体"/>
          <w:color w:val="auto"/>
        </w:rPr>
        <w:t>和查阅施工原始记录。承包人还应按工程师或发包人指示，进行施工现场的取样试验，工程复核测量和设备性能检测，提供试验样品、提交试验报告和测量成果以及工程师或发包人指示进行的其他工作。工程师或发包人的检查和检验，不免除承包人按合同约定应负的责任。</w:t>
      </w:r>
    </w:p>
    <w:p w14:paraId="4319B3A2">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6.4.3隐蔽工程检查</w:t>
      </w:r>
    </w:p>
    <w:p w14:paraId="7A23495B">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除专用合同条件另有约定外，工程隐蔽部位经承包人自检确认具备覆盖条件的，承包人应书面通知工程师在约定的期限内检查，通知中应载明隐蔽检查的内容、时间和地点，并应附有自检记录和必要的检查资料。</w:t>
      </w:r>
    </w:p>
    <w:p w14:paraId="43E68C8D">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工程师应按时到场并对隐蔽工程及其施工工艺、材料和工程设备进行检查。经工程师检查确认质量符合隐蔽要求，并在验收记录上签字后，承包人才能进行覆盖。经工程师检查质量不合格的，承包人应在工程师指示的时间内完成修复，并由工程师重新检查，由此增加的费用和（或）延误的工期由承包人承担。</w:t>
      </w:r>
    </w:p>
    <w:p w14:paraId="6DACBE1B">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除专用合同条件另有约定外，工程师不能按时进行检查的，应提前向承包人提交书面延期要求，顺延时间不得超过48小时，由此导致工期延误的，工期应予以顺延，顺延超过48小时的，由此导致的工期延误及费用增加由发包人承担。工程师未按时进行检查，也未提出延期要求的，视为隐蔽工程检查合格，承包人可自行完成覆盖工作，并</w:t>
      </w:r>
      <w:r>
        <w:rPr>
          <w:rFonts w:hint="eastAsia" w:ascii="宋体" w:hAnsi="宋体" w:cs="宋体"/>
          <w:color w:val="auto"/>
          <w:lang w:eastAsia="zh-CN"/>
        </w:rPr>
        <w:t>做</w:t>
      </w:r>
      <w:r>
        <w:rPr>
          <w:rFonts w:hint="eastAsia" w:ascii="宋体" w:hAnsi="宋体" w:cs="宋体"/>
          <w:color w:val="auto"/>
        </w:rPr>
        <w:t>相应记录报送工程师，工程师应签字确认。工程师事后对检查记录有疑问的，可按下列约定重新检查。</w:t>
      </w:r>
    </w:p>
    <w:p w14:paraId="23615EAA">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承包人覆盖工程隐蔽部位后，工程师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14:paraId="47D9D753">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承包人未通知工程师到场检查，私自将工程隐蔽部位覆盖的，工程师有权指示承包人钻孔探测或揭开检查，无论工程隐蔽部位质量是否合格，由此增加的费用和（或）延误的工期均由承包人承担。</w:t>
      </w:r>
    </w:p>
    <w:p w14:paraId="7AF4A286">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6.5由承包人试验和检验</w:t>
      </w:r>
    </w:p>
    <w:p w14:paraId="58551FF8">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6.5.1试验设备与试验人员</w:t>
      </w:r>
    </w:p>
    <w:p w14:paraId="6322F0D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承包人根据合同约定或工程师指示进行的现场材料试验，应由承包人提供试验场所、试验人员、试验设备以及其他必要的试验条件。工程师在必要时可以使用承包人提供的试验场所、试验设备以及其他试验条件，进行以工程质量检查为目的的材料复核试验，承包人应予以协助。</w:t>
      </w:r>
    </w:p>
    <w:p w14:paraId="6151A93D">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（2）承包人应按专用合同条件约定的试验内容、时间和地点提供试验设备、取样装置、试验场所和试验条件，并向工程师提交相应进场计划表。</w:t>
      </w:r>
    </w:p>
    <w:p w14:paraId="3ACAF648">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承包人配置的试验设备要符合相应试验规程的要求并经过具有资质的检测单位检测，且在正式使用该试验设备前，需要经过工程师与承包人共同校定。</w:t>
      </w:r>
    </w:p>
    <w:p w14:paraId="668AF750">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（3）承包人应向工程师提交试验人员的名单及其岗位、资格等证明资料，试验人员必须能够熟练进行相应的检测试验，承包人对试验人员的试验程序和试验结果的正确性负责。</w:t>
      </w:r>
    </w:p>
    <w:p w14:paraId="27F2C98D">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6.5.2取样</w:t>
      </w:r>
    </w:p>
    <w:p w14:paraId="407006FE">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试验属于自检性质的，承包人可以单独取样。试验属于工程师抽检性质的，可由工程师取样，也可由承包人的试验人员在工程师的监督下取样。</w:t>
      </w:r>
    </w:p>
    <w:p w14:paraId="3BDF151C">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6.5.3材料、工程设备和工程的试验和检验</w:t>
      </w:r>
    </w:p>
    <w:p w14:paraId="21F409F4">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承包人应按合同约定进行材料和工程设备的试验和检验，并为工程师对上述材料、工程设备和工程的质量检查提供必要的试验资料和原始记录。按合同约定应由工程师与承包人共同进行试验和检验的，由承包人负责提供必要的试验资料和原始记录。</w:t>
      </w:r>
    </w:p>
    <w:p w14:paraId="648340E8">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试验属于自检性质的，承包人可以单独进行试验。试验属于工程师抽检性质的，工程师可以单独进行试验，也可由承包人与工程师共同进行。承包人对由工程师单独进行的试验结果有异议的，可以申请重新共同进行试验。约定共同进行试验的，工程师未按照约定参加试验的，承包人可自行试验，并将试验结果报送工程师，工程师应承认该试验结果。</w:t>
      </w:r>
    </w:p>
    <w:p w14:paraId="60DE1AA6">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3）工程师对承包人的试验和检验结果有异议的，或为查清承包人试验和检验成果的可靠性要求承包人重新试验和检验的，可由工程师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14:paraId="358DC604">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6.5.4现场工艺试验</w:t>
      </w:r>
    </w:p>
    <w:p w14:paraId="03B5BDD8">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承包人应按合同约定进行现场工艺试验。对大型的现场工艺试验，发包人认为必要时，承包人应根据发包人提出的工艺试验要求，编制工艺试验措施计划，报送发包人审查。</w:t>
      </w:r>
    </w:p>
    <w:p w14:paraId="6BD04723">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6.6缺陷和修补</w:t>
      </w:r>
    </w:p>
    <w:p w14:paraId="6A8AC706">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6.6.1发包人可在颁发接收证书前随时指示承包人：</w:t>
      </w:r>
    </w:p>
    <w:p w14:paraId="3BC09A4F">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（1）对不符合合同要求的任何工程设备或材料进行修补，或者将其移出现场并进行更换；</w:t>
      </w:r>
    </w:p>
    <w:p w14:paraId="3BD5CBA3">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（2）对不符合合同的其他工作进行修补，或者将其去除并重新实施；</w:t>
      </w:r>
    </w:p>
    <w:p w14:paraId="295E960D">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（3）实施因意外、不可预见的事件或其他原因引起的、为工程的安全迫切需要的任何修补工作。</w:t>
      </w:r>
    </w:p>
    <w:p w14:paraId="3414121B">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6.6.2承包人应遵守第6.6.1项下指示，并在合理可行的情况下，根据上述指示中规定的时间完成修补工作。除因下列原因引起的第6.6.1项第（3）目下的情形外，承包人应承担所有修补工作的费用：</w:t>
      </w:r>
    </w:p>
    <w:p w14:paraId="2E4C7423">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（1）因发包人或其人员的任何行为导致的情形，且在此情况下发包人应承担因此引起的工期延误和承包人费用损失，并向承包人支付合理的利润。</w:t>
      </w:r>
    </w:p>
    <w:p w14:paraId="5D9B3E9F">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（2）第17.4款[不可抗力后果的承担]中适用的不可抗力事件的情形。</w:t>
      </w:r>
    </w:p>
    <w:p w14:paraId="747930B2">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6.6.3如果承包人未能遵守发包人的指示，发包人可以自行决定请第三方完成上述修补工作，并有权要求承包人支付因未履行指示而产生的所有费用，但承包人根据第6.6.2项有权就修补工作获得支付的情况除外。</w:t>
      </w:r>
    </w:p>
    <w:p w14:paraId="6D523CBA">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第7条施工</w:t>
      </w:r>
    </w:p>
    <w:p w14:paraId="317FCEBA">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7.1交通运输</w:t>
      </w:r>
    </w:p>
    <w:p w14:paraId="01D1F0D9">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7.1.1出入现场的权利</w:t>
      </w:r>
    </w:p>
    <w:p w14:paraId="0F76B31C">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除专用合同条件另有约定外，发包人应根据工程实施需要，负责取得出入施工现场所需的批准手续和全部权利，以及取得因工程实施所需修建道路、桥梁以及其他基础设施的权利，并承担相关手续费用和建设费用。承包人应协助发包人办理修建场内外道路、桥梁以及其他基础设施的手续。</w:t>
      </w:r>
    </w:p>
    <w:p w14:paraId="50C02CE1">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7.1.2场外交通</w:t>
      </w:r>
    </w:p>
    <w:p w14:paraId="57FF52EE">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除专用合同条件另有约定外，发包人应提供场外交通设施的技术参数和具体条件，场外交通设施无法满足工程施工需要的，由发包人负责承担由此产生的相关费用。承包人应遵守有关交通法规，严格按照道路和桥梁的限制荷载行驶，执行有关道路限速、限行、禁止超载的规定，并配合交通管理部门的监督和检查。承包人车辆外出行驶所需的场外公共道路的通行费、养路费和税款等由承包人承担。</w:t>
      </w:r>
    </w:p>
    <w:p w14:paraId="200718CB">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7.1.3场内交通</w:t>
      </w:r>
    </w:p>
    <w:p w14:paraId="6909B7AB">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除专用合同条件另有约定外，承包人应负责修建、维修、养护和管理施工所需的临时道路和交通设施，包括维修、养护和管理发包人提供的道路和交通设施，并承担相应费用。承包人修建的临时道路和交通设施应免费提供发包人和工程师为实现合同目的使用。场内交通与场外交通的边界由合同当事人在专用合同条件中约定。</w:t>
      </w:r>
    </w:p>
    <w:p w14:paraId="6C0AD18E">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7.1.4超大件和超重件的运输</w:t>
      </w:r>
    </w:p>
    <w:p w14:paraId="24336C2A">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由承包人负责运输的超大件或超重件，应由承包人负责向交通管理部门办理申请手续，发包人给予协助。运输超大件或超重件所需的道路和桥梁临时加固改造费用和其他有关费用，由承包人承担，但专用合同条件另有约定的除外。</w:t>
      </w:r>
    </w:p>
    <w:p w14:paraId="69F9829A">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7.1.5道路和桥梁的损坏责任</w:t>
      </w:r>
    </w:p>
    <w:p w14:paraId="4BB3FF1F">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因承包人运输造成施工现场内外公共道路和桥梁损坏的，由承包人承担修复损坏的全部费用和可能引起的赔偿。</w:t>
      </w:r>
    </w:p>
    <w:p w14:paraId="4F983050">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7.1.6水路和航空运输</w:t>
      </w:r>
    </w:p>
    <w:p w14:paraId="2F1870CF">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本条上述各款的内容适用于水路运输和航空运输，其中“道路”一词的</w:t>
      </w:r>
      <w:r>
        <w:rPr>
          <w:rFonts w:hint="eastAsia" w:ascii="宋体" w:hAnsi="宋体" w:cs="宋体"/>
          <w:color w:val="auto"/>
          <w:lang w:eastAsia="zh-CN"/>
        </w:rPr>
        <w:t>含义</w:t>
      </w:r>
      <w:r>
        <w:rPr>
          <w:rFonts w:hint="eastAsia" w:ascii="宋体" w:hAnsi="宋体" w:cs="宋体"/>
          <w:color w:val="auto"/>
        </w:rPr>
        <w:t>包括河道、航线、船闸、机场、码头、堤防以及水路或航空运输中其他相似结构物；“车辆”一词的</w:t>
      </w:r>
      <w:r>
        <w:rPr>
          <w:rFonts w:hint="eastAsia" w:ascii="宋体" w:hAnsi="宋体" w:cs="宋体"/>
          <w:color w:val="auto"/>
          <w:lang w:eastAsia="zh-CN"/>
        </w:rPr>
        <w:t>含义</w:t>
      </w:r>
      <w:r>
        <w:rPr>
          <w:rFonts w:hint="eastAsia" w:ascii="宋体" w:hAnsi="宋体" w:cs="宋体"/>
          <w:color w:val="auto"/>
        </w:rPr>
        <w:t>包括船舶和飞机等。</w:t>
      </w:r>
    </w:p>
    <w:p w14:paraId="6B3E23B2">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7.2施工设备和临时设施</w:t>
      </w:r>
    </w:p>
    <w:p w14:paraId="3D9179FD">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7.2.1承包人提供的施工设备和临时设施</w:t>
      </w:r>
    </w:p>
    <w:p w14:paraId="4BA03291">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承包人应按项目进度计划的要求，及时配置施工设备和修建临时设施。进入施工现场的承包人提供的施工设备需经工程师核查后才能投入使用。承包人更换合同约定由承包人提供的施工设备的，应报工程师批准。</w:t>
      </w:r>
    </w:p>
    <w:p w14:paraId="21F40558">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除专用合同条件另有约定外，承包人应自行承担修建临时设施的费用，需要临时占地的，应由发包人办理申请手续并承担相应费用。承包人应在专用合同条件7.2款约定的时间内向发包人提交临时占地资料，因承包人未能按时提交资料，导致工期延误的，由此增加的费用和（或）竣工日期延误，由承包人负责。</w:t>
      </w:r>
    </w:p>
    <w:p w14:paraId="141914C4">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7.2.2发包人提供的施工设备和临时设施</w:t>
      </w:r>
    </w:p>
    <w:p w14:paraId="0E9CA97C">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发包人提供的施工设备或临时设施在专用合同条件中约定。</w:t>
      </w:r>
    </w:p>
    <w:p w14:paraId="28A634F6">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7.2.3要求承包人增加或更换施工设备</w:t>
      </w:r>
    </w:p>
    <w:p w14:paraId="6496A718">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承包人使用的施工设备不能满足项目进度计划和（或）质量要求时，工程师有权要求承包人增加或更换施工设备，承包人应及时增加或更换，由此增加的费用和（或）延误的工期由承包人承担。</w:t>
      </w:r>
    </w:p>
    <w:p w14:paraId="1AE2F140">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7.2.4施工设备和临时设施专用于合同工程</w:t>
      </w:r>
    </w:p>
    <w:p w14:paraId="1A7A1A4C">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承包人</w:t>
      </w:r>
      <w:r>
        <w:rPr>
          <w:rFonts w:hint="eastAsia" w:ascii="宋体" w:hAnsi="宋体" w:cs="宋体"/>
          <w:color w:val="auto"/>
          <w:lang w:eastAsia="zh-CN"/>
        </w:rPr>
        <w:t>进入</w:t>
      </w:r>
      <w:r>
        <w:rPr>
          <w:rFonts w:hint="eastAsia" w:ascii="宋体" w:hAnsi="宋体" w:cs="宋体"/>
          <w:color w:val="auto"/>
        </w:rPr>
        <w:t>施工现场的施工设备以及在施工现场建设的临时设施必须专用于工程。未经发包人批准，承包人不得运出施工现场或挪作他用；经发包人批准，承包人可以根据施工进度计划撤走闲置的施工设备和其他物品。</w:t>
      </w:r>
    </w:p>
    <w:p w14:paraId="7314E92C">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7.3现场合作</w:t>
      </w:r>
    </w:p>
    <w:p w14:paraId="01A34F98">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承包人应按合同约定或发包人的指示，与发包人人员、发包人的其他承包人等人员就在现场或附近实施与工程有关的各项工作进行合作并提供适当条件，包括使用承包人设备、临时工程或进入现场等。</w:t>
      </w:r>
    </w:p>
    <w:p w14:paraId="06488E74">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承包人应对其在现场的施工活动负责，并应尽合理努力按合同约定或发包人的指示，协调自身与发包人人员、发包人的其他承包人等人员的活动。</w:t>
      </w:r>
    </w:p>
    <w:p w14:paraId="3D959FD9">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除专用合同条件另有约定外，如果承包人提供上述合作、条件或协调在考虑到《发包人要求》所列内容的情况下是不可预见的，则承包人有权就额外费用和合理利润从发包人处获得支付，且因此延误的工期应相应顺延。</w:t>
      </w:r>
    </w:p>
    <w:p w14:paraId="31C8FC3D">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7.4测量放线</w:t>
      </w:r>
    </w:p>
    <w:p w14:paraId="323E07EA">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7.4.1除专用合同条件另有约定外，承包人应根据国家测绘基准、测绘系统和工程测量技术规范，按基准点（线）以及合同工程精度要求，测设施工控制网，并在专用合同条件约定的期限内，将施工控制网资料报送工程师。</w:t>
      </w:r>
    </w:p>
    <w:p w14:paraId="54B6844F">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7.4.2承包人应负责管理施工控制网点。施工控制网点丢失或损坏的，承包人应及时修复。承包人应承担施工控制网点的管理与修复费用，并在工程竣工后将施工控制网点移交发包人。承包人负责对工程、单位/区段工程、施工部位放线，并对放线的准确性负责。</w:t>
      </w:r>
    </w:p>
    <w:p w14:paraId="73B6B054">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7.4.3承包人负责施工过程中的全部施工测量放线工作，并配置具有相应资质的人员、合格的仪器、设备和其他物品。承包人应矫正工程的位置、标高、尺寸或基准线中出现的任何差错，并对工程各部分的定位负责。施工过程中对施工现场内水准点等测量标志物的保护工作由承包人负责。</w:t>
      </w:r>
    </w:p>
    <w:p w14:paraId="1E04ADEA">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7.5现场劳动用工</w:t>
      </w:r>
    </w:p>
    <w:p w14:paraId="7D3362F1">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7.5.1承包人及其分包人招用建筑工人的，应当依法与所招用的建筑工人订立劳动合同，实行建筑工人劳动用工实名制管理，承包人应当按照有关规定开设建筑工人工资专用账户、存储工资保证金，专项用于支付和保障该工程建设项目建筑工人工资。</w:t>
      </w:r>
    </w:p>
    <w:p w14:paraId="17C96836">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7.5.2承包人应当在工程项目部配备劳资专管员，对分包单位劳动用工及工资发放实施监督管理。承包人拖欠建筑工人工资的</w:t>
      </w:r>
      <w:r>
        <w:rPr>
          <w:rFonts w:hint="eastAsia" w:ascii="宋体" w:hAnsi="宋体" w:cs="宋体"/>
          <w:color w:val="auto"/>
          <w:lang w:eastAsia="zh-CN"/>
        </w:rPr>
        <w:t>，</w:t>
      </w:r>
      <w:r>
        <w:rPr>
          <w:rFonts w:hint="eastAsia" w:ascii="宋体" w:hAnsi="宋体" w:cs="宋体"/>
          <w:color w:val="auto"/>
        </w:rPr>
        <w:t>应当依法予以清偿。分包人拖欠建筑工人工资的</w:t>
      </w:r>
      <w:r>
        <w:rPr>
          <w:rFonts w:hint="eastAsia" w:ascii="宋体" w:hAnsi="宋体" w:cs="宋体"/>
          <w:color w:val="auto"/>
          <w:lang w:eastAsia="zh-CN"/>
        </w:rPr>
        <w:t>，</w:t>
      </w:r>
      <w:r>
        <w:rPr>
          <w:rFonts w:hint="eastAsia" w:ascii="宋体" w:hAnsi="宋体" w:cs="宋体"/>
          <w:color w:val="auto"/>
        </w:rPr>
        <w:t>由承包人先行清偿</w:t>
      </w:r>
      <w:r>
        <w:rPr>
          <w:rFonts w:hint="eastAsia" w:ascii="宋体" w:hAnsi="宋体" w:cs="宋体"/>
          <w:color w:val="auto"/>
          <w:lang w:eastAsia="zh-CN"/>
        </w:rPr>
        <w:t>，</w:t>
      </w:r>
      <w:r>
        <w:rPr>
          <w:rFonts w:hint="eastAsia" w:ascii="宋体" w:hAnsi="宋体" w:cs="宋体"/>
          <w:color w:val="auto"/>
        </w:rPr>
        <w:t>再依法进行追偿。因发包人未按照合同约定及时拨付工程款导致建筑工人工资拖欠的，发包人应当以未结清的工程款为限先行垫付被拖欠的建筑工人工资。合同当事人可在专用合同条件中约定具体的清偿事宜和违约责任。</w:t>
      </w:r>
    </w:p>
    <w:p w14:paraId="7420427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7.5.3承包人应当按照相关法律法规的要求，进行劳动用工管理和建筑工人工资支付。</w:t>
      </w:r>
    </w:p>
    <w:p w14:paraId="6976FAE8">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7.6安全文明施工</w:t>
      </w:r>
    </w:p>
    <w:p w14:paraId="6471AE5F">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7.6.1安全生产要求</w:t>
      </w:r>
    </w:p>
    <w:p w14:paraId="59949099">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合同履行期间，合同当事人均应当遵守国家和工程所在地有关安全生产的要求，合同当事人有特别要求的，应在专用合同条件中明确安全生产标准化目标及相应事项。承包人有权拒绝发包人及工程师强令承包人违章作业、冒险施工的任何指示。</w:t>
      </w:r>
    </w:p>
    <w:p w14:paraId="386D176E">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在工程实施过程中，如遇到突发的地质变动、事先未知的地下施工障碍等影响施工安全的紧急情况，承包人应及时报告工程师和发包人，发包人应当及时下令停工并采取应急措施，按照相关法律法规的要求需上报政府有关行政管理部门的，应依法上报。</w:t>
      </w:r>
    </w:p>
    <w:p w14:paraId="64D75427">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因安全生产需要暂停施工的，按照第8.9款[暂停工作]的约定执行。</w:t>
      </w:r>
    </w:p>
    <w:p w14:paraId="227D8248">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7.6.2安全生产保证措施</w:t>
      </w:r>
    </w:p>
    <w:p w14:paraId="385612A6">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承包人应当按照</w:t>
      </w:r>
      <w:r>
        <w:rPr>
          <w:rFonts w:hint="eastAsia" w:ascii="宋体" w:hAnsi="宋体" w:cs="宋体"/>
          <w:color w:val="auto"/>
          <w:lang w:eastAsia="zh-CN"/>
        </w:rPr>
        <w:t>法律法规</w:t>
      </w:r>
      <w:r>
        <w:rPr>
          <w:rFonts w:hint="eastAsia" w:ascii="宋体" w:hAnsi="宋体" w:cs="宋体"/>
          <w:color w:val="auto"/>
        </w:rPr>
        <w:t>和工程建设强制性标准进行设计、在设计文件中注明涉及施工安全的重点部位和环节，提出保障施工作业人员和预防安全事故的措施建议，防止因设计不合理导致生产安全事故的发生。</w:t>
      </w:r>
    </w:p>
    <w:p w14:paraId="563852CE">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工程师及政府安全监督部门的检查与监督。</w:t>
      </w:r>
    </w:p>
    <w:p w14:paraId="3D5D41B7">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承包人应按照法律规定进行施工，开工前做好安全技术交底工作</w:t>
      </w:r>
      <w:r>
        <w:rPr>
          <w:rFonts w:hint="eastAsia" w:ascii="宋体" w:hAnsi="宋体" w:cs="宋体"/>
          <w:color w:val="auto"/>
          <w:lang w:eastAsia="zh-CN"/>
        </w:rPr>
        <w:t>，在</w:t>
      </w:r>
      <w:r>
        <w:rPr>
          <w:rFonts w:hint="eastAsia" w:ascii="宋体" w:hAnsi="宋体" w:cs="宋体"/>
          <w:color w:val="auto"/>
        </w:rPr>
        <w:t>施工过程中做好各项安全防护措施。承包人为实施合同而雇用的特殊工种的人员应受过专门的培训并已取得政府有关管理机构颁发的上岗证书。承包人应加强施工作业安全管理，特别应加强</w:t>
      </w:r>
      <w:r>
        <w:rPr>
          <w:rFonts w:hint="eastAsia" w:ascii="宋体" w:hAnsi="宋体" w:cs="宋体"/>
          <w:color w:val="auto"/>
          <w:lang w:eastAsia="zh-CN"/>
        </w:rPr>
        <w:t>对</w:t>
      </w:r>
      <w:r>
        <w:rPr>
          <w:rFonts w:hint="eastAsia" w:ascii="宋体" w:hAnsi="宋体" w:cs="宋体"/>
          <w:color w:val="auto"/>
        </w:rPr>
        <w:t>易燃、易爆材料、火工器材、有毒与腐蚀性材料和其他危险品的管理，以及对爆破作业和地下工程施工等危险作业的管理。</w:t>
      </w:r>
    </w:p>
    <w:p w14:paraId="07681487">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7.6.3文明施工</w:t>
      </w:r>
    </w:p>
    <w:p w14:paraId="27856A7A">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承包人在工程施工期间，应当采取措施保持施工现场平整，物料堆放整齐。工程所在地有关政府行政管理部门有特殊要求的，按照其要求执行。合同当事人对文明施工有其他要求的，可以在专用合同条件中明确。</w:t>
      </w:r>
    </w:p>
    <w:p w14:paraId="7ED74511">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14:paraId="1B47082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7.6.4事故处理</w:t>
      </w:r>
    </w:p>
    <w:p w14:paraId="22428D67">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工程实施过程中发生事故的，承包人应立即通知工程师。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2A9632EE">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在工程实施期间或缺陷责任期内发生危及工程安全的事件，工程师通知承包人进行抢救和抢修，承包人声明无能力或不愿立即执行的，发包人有权雇佣其他人员进行抢救和抢修。此类抢救和抢修按合同约定属于承包人义务的，由此增加的费用和（或）延误的工期由承包人承担。</w:t>
      </w:r>
    </w:p>
    <w:p w14:paraId="07046DA9">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7.6.5安全生产责任</w:t>
      </w:r>
    </w:p>
    <w:p w14:paraId="0F7B2AB7">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发包人应负责赔偿以下各种情况造成的损失：</w:t>
      </w:r>
    </w:p>
    <w:p w14:paraId="215BD8ED">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（1）工程或工程的任何部分对土地的占用所造成的第三者财产损失；</w:t>
      </w:r>
    </w:p>
    <w:p w14:paraId="3628415C">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（2）由于发包人原因在施工现场及其毗邻地带、履行合同工作中造成的第三者人身伤亡和财产损失；</w:t>
      </w:r>
    </w:p>
    <w:p w14:paraId="2F7BBF5D">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（3）由于发包人原因对发包人自身、承包人、工程师造成的人身伤害和财产损失。</w:t>
      </w:r>
    </w:p>
    <w:p w14:paraId="44B557C0">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承包人应负责赔偿由于承包人原因在施工现场及其毗邻地带、履行合同工作中造成的第三者人身伤亡和财产损失。</w:t>
      </w:r>
    </w:p>
    <w:p w14:paraId="4FFD4DF4">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如果上述损失是由于发包人和承包人共同原因导致的，则双方应根据过错情况按比例承担。</w:t>
      </w:r>
    </w:p>
    <w:p w14:paraId="40D0204D">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7.7职业健康</w:t>
      </w:r>
    </w:p>
    <w:p w14:paraId="0D1F586E">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承包人应遵守适用的职业健康的法律和合同约定（包括对</w:t>
      </w:r>
      <w:r>
        <w:rPr>
          <w:rFonts w:hint="eastAsia" w:ascii="宋体" w:hAnsi="宋体" w:cs="宋体"/>
          <w:color w:val="auto"/>
          <w:lang w:eastAsia="zh-CN"/>
        </w:rPr>
        <w:t>雇佣</w:t>
      </w:r>
      <w:r>
        <w:rPr>
          <w:rFonts w:hint="eastAsia" w:ascii="宋体" w:hAnsi="宋体" w:cs="宋体"/>
          <w:color w:val="auto"/>
        </w:rPr>
        <w:t>、职业健康、安全、福利等方面的规定），负责现场实施过程中其人员的职业健康和保护，包括：</w:t>
      </w:r>
    </w:p>
    <w:p w14:paraId="3678E21D">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承包人应遵守适用的劳动法规，保护承包人员工及承包人聘用的第三方人员的合法休假权等合法权益，按照法律规定安排现场施工人员的劳动和休息时间，保障劳动者的休息时间，并支付合理的报酬和费用。因工程施工的特殊需要占用休假日或延长工作时间的，应不超过法律规定的限度，并按法律规定给予补休或酬劳。</w:t>
      </w:r>
    </w:p>
    <w:p w14:paraId="0D5EFA9B">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承包人应依法为承包人员工及承包人聘用的第三方人员办理必要的证件、许可、保险和注册等，承包人应督促其分包人为分包人员工及分包人聘用的第三方人员办理必要的证件、许可、保险和注册等。承包人应为其履行合同所雇用的人员提供必要的膳宿条件和生活环境，必要的现场食宿条件。</w:t>
      </w:r>
    </w:p>
    <w:p w14:paraId="53016759">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3）承包人应对其施工人员进行相关作业的职业健康知识培训、危险及危害因素交底、安全操作规程交底、采取有效措施，按有关规定为其现场人员提供劳动保护用品、防护器具、防暑降温用品和安全生产设施。采取有效的防止粉尘、降低噪声、控制有害气体和保障高温、高寒、高空作业安全等劳动保护措施。</w:t>
      </w:r>
    </w:p>
    <w:p w14:paraId="551D63DE">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4）承包人应在有毒有害作业区域设置警示标志和说明，对有毒有害岗位进行防治检查，对不合格的防护设施、器具、搭设等及时整改，消除危害职业健康的隐患。发包人人员和工程师人员未经承包人允许、未配备相关保护器具，进入该作业区域所造成的伤害，由发包人承担责任和费用。</w:t>
      </w:r>
    </w:p>
    <w:p w14:paraId="31937C20">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（5）承包人应采取有效措施预防传染病，保持食堂的饮食卫生，保证施工人员的健康，并定期对施工现场、施工人员生活基地和工程进行防疫和卫生的专业检查和处理</w:t>
      </w:r>
      <w:r>
        <w:rPr>
          <w:rFonts w:hint="eastAsia" w:ascii="宋体" w:hAnsi="宋体" w:cs="宋体"/>
          <w:color w:val="auto"/>
          <w:lang w:eastAsia="zh-CN"/>
        </w:rPr>
        <w:t>，</w:t>
      </w:r>
      <w:r>
        <w:rPr>
          <w:rFonts w:hint="eastAsia" w:ascii="宋体" w:hAnsi="宋体" w:cs="宋体"/>
          <w:color w:val="auto"/>
        </w:rPr>
        <w:t>在远离城镇的施工现场，还应配备必要的伤病防治和急救的医务人员与医疗设施。承包人雇佣人员在施工中受到伤害的，承包人应立即采取有效措施进行抢救和治疗。</w:t>
      </w:r>
    </w:p>
    <w:p w14:paraId="68A0B04C">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7.8环境保护</w:t>
      </w:r>
    </w:p>
    <w:p w14:paraId="587AA8DA">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7.8.1承包人负责在现场施工过程中对现场周围的建筑物、构筑物、文物建筑、古树、名木，及地下管线、线缆、构筑物、文物、化石和坟墓等进行保护。因承包人未能通知发包人，并在未能得到发包人进一步指示的情况下，所造成的损害、损失、赔偿等费用增加，和（或）竣工日期延误，由承包人负责。如承包人已及时通知发包人，发包人未能及时作出指示的，所造成的损害、损失、赔偿等费用增加，和（或）竣工日期延误，由发包人负责。</w:t>
      </w:r>
    </w:p>
    <w:p w14:paraId="1B2C2870">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7.8.2承包人应采取措施，并负责控制和（或）处理现场的粉尘、废气、废水、固体废物和噪声对环境的污染和危害。因此发生的伤害、赔偿、罚款等费用增加，和（或）竣工日期延误，由承包人负责。</w:t>
      </w:r>
    </w:p>
    <w:p w14:paraId="22B86C41">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7.8.3承包人及时或定期将施工现场残留、废弃的垃圾分类后运到发包人或当地有关行政部门指定的地点，防止对周围环境的污染及对作业的影响。承包人应当承担因其原因引起的环境污染侵权损害赔偿责任，因违反上述约定导致当地行政部门的罚款、赔偿等增加的费用，由承包人承担；因上述环境污染引起纠纷而导致暂停施工的，由此增加的费用和（或）延误的工期由承包人承担。</w:t>
      </w:r>
    </w:p>
    <w:p w14:paraId="4F3546F9">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7.9临时性公用设施</w:t>
      </w:r>
    </w:p>
    <w:p w14:paraId="30742FB7">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7.9.1提供临时用水、用电等和节点铺设</w:t>
      </w:r>
    </w:p>
    <w:p w14:paraId="2ABD2FC0">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除专用合同条件另有约定外，发包人应在承包人进场前将施工临时用水、用电等接至约定的节点位置，并保证其需要。上述临时使用的水、电等的类别、取费单价在专用合同条件中约定，发包人按实际计量结果收费。发包人无法提供的水、电等在专用合同条件中约定，相关费用由承包人纳入报价并承担相关责任。</w:t>
      </w:r>
    </w:p>
    <w:p w14:paraId="742553BF">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发包人未能按约定的类别和时间完成节点铺设，使开工时间延误，竣工日期相应顺延。未能按约定的品质、数量和时间提供水、电等，给承包人造成的损失由发包人承担，导致工程关键路径延误的，竣工日期相应顺延。</w:t>
      </w:r>
    </w:p>
    <w:p w14:paraId="61996D7B">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7.9.2临时用水、用电等</w:t>
      </w:r>
    </w:p>
    <w:p w14:paraId="44AD3AFE">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承包人应在计划开始现场施工日期28天前或双方约定的</w:t>
      </w:r>
      <w:r>
        <w:rPr>
          <w:rFonts w:hint="eastAsia" w:ascii="宋体" w:hAnsi="宋体" w:cs="宋体"/>
          <w:color w:val="auto"/>
          <w:lang w:eastAsia="zh-CN"/>
        </w:rPr>
        <w:t>其他时间</w:t>
      </w:r>
      <w:r>
        <w:rPr>
          <w:rFonts w:hint="eastAsia" w:ascii="宋体" w:hAnsi="宋体" w:cs="宋体"/>
          <w:color w:val="auto"/>
        </w:rPr>
        <w:t>，按专用合同条件中约定的发包人能够提供的临时用水、用电等类别，向发包人提交施工（含工程物资保管）所需的临时用水、用电等的品质、正常用量、高峰用量、使用时间和节点位置等资料。承包人自费负责计量仪器的购买、安装和维护，并依据专用合同条件中约定的单价向发包人交费，合同当事人另有约定时除外。</w:t>
      </w:r>
    </w:p>
    <w:p w14:paraId="0BF776D2">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因承包人未能按合同约定提交上述资料，造成发包人费用增加和竣工日期延误时，由承包人负责。</w:t>
      </w:r>
    </w:p>
    <w:p w14:paraId="49BEC89A">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7.10现场安保</w:t>
      </w:r>
    </w:p>
    <w:p w14:paraId="20E35968">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承包人承担自发包人向其移交施工现场、进入占有施工现场至发包人接收单位/区段工程或（和）工程之前的现场安保责任，并负责编制相关的安保制度、责任制度和报告制度，提交给发包人。除专用合同条件另有约定外，承包人的该等义务不因其与他人共同合法占有施工现场而减免。承包人有权要求发包人负责协调他人就共同合法占有现场的安保事宜接受承包人的管理。</w:t>
      </w:r>
    </w:p>
    <w:p w14:paraId="4665232D">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承包人应将其作业限制在现场区域、合同约定的区域或为履行合同所需的区域内。承包人应采取一切必要的预防措施，以保持承包人的设备和人员处于现场区域内，避免其进入邻近地区。</w:t>
      </w:r>
    </w:p>
    <w:p w14:paraId="43201461">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承包人为履行合同义务而占用的其他场所（如预制加工场所、办公及生活营区）的安保适用本款前述关于现场安保的规定。</w:t>
      </w:r>
    </w:p>
    <w:p w14:paraId="580B4E5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7.11工程照管</w:t>
      </w:r>
    </w:p>
    <w:p w14:paraId="16D62649">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自开始现场施工日期起至发包人应当接收工程之日止，承包人应承担工程现场、材料、设备及承包人文件的照管和维护工作。</w:t>
      </w:r>
    </w:p>
    <w:p w14:paraId="588165F8">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如部分工程于竣工验收前提前交付发包人的，则自交付之日起，该部分工程照管及维护职责由发包人承担。</w:t>
      </w:r>
    </w:p>
    <w:p w14:paraId="59DBE05A">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如发包人及承包人进行竣工验收时尚有部分未竣工工程的，承包人应负责该未竣工工程的照管和维护工作，直至竣工后移交给发包人。</w:t>
      </w:r>
    </w:p>
    <w:p w14:paraId="68261C0A">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如合同解除或终止的，承包人自合同解除或终止之日起不再对工程承担照管和维护义务。</w:t>
      </w:r>
    </w:p>
    <w:p w14:paraId="617A9947">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第8条工期和进度</w:t>
      </w:r>
    </w:p>
    <w:p w14:paraId="22D20994">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8.1开始工作</w:t>
      </w:r>
    </w:p>
    <w:p w14:paraId="6A96CA13">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8.1.1开始工作准备</w:t>
      </w:r>
    </w:p>
    <w:p w14:paraId="26D46A49">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合同当事人应按专用合同条件约定完成开始工作准备工作。</w:t>
      </w:r>
    </w:p>
    <w:p w14:paraId="66F7A9A3">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8.1.2开始工作通知</w:t>
      </w:r>
    </w:p>
    <w:p w14:paraId="6D5298F2">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经发包人同意后，工程师应提前7天向承包人发出经发包人签认的开始工作通知，工期自开始工作通知中载明的开始工作日期起算。</w:t>
      </w:r>
    </w:p>
    <w:p w14:paraId="54ACE0B7">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除专用合同条件另有约定外，因发包人原因造成实际开始现场施工日期迟于计划开始现场施工日期后第84天的，承包人有权提出价格调整要求，或者解除合同。发包人应当承担由此增加的费用和（或）延误的工期，并向承包人支付合理利润。</w:t>
      </w:r>
    </w:p>
    <w:p w14:paraId="27B9B13E">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8.2竣工日期</w:t>
      </w:r>
    </w:p>
    <w:p w14:paraId="4DEB92D9">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承包人应在合同协议书约定的工期内完成合同工作。除专用合同条件另有约定外，工程的竣工日期以第10.1条[竣工验收]的约定为准，并在工程接收证书中写明。</w:t>
      </w:r>
    </w:p>
    <w:p w14:paraId="6B3D7D36">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因发包人原因，在工程师收到承包人竣工验收申请报告42天后未进行验收的，视为验收合格，实际竣工日期以提交竣工验收申请报告的日期为准，但发包人由于不可抗力不能进行验收的除外。</w:t>
      </w:r>
    </w:p>
    <w:p w14:paraId="5B0E5F0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8.3项目实施计划</w:t>
      </w:r>
    </w:p>
    <w:p w14:paraId="0B45BC67">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8.3.1项目实施计划的内容</w:t>
      </w:r>
    </w:p>
    <w:p w14:paraId="3B3668B2">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项目实施计划是依据合同和经批准的项目管理计划进行编制并用于对项目实施进行管理和控制的文件，应包含概述、总体实施方案、项目实施要点、项目初步进度计划以及合同当事人在专用合同条件中约定的其他内容。</w:t>
      </w:r>
    </w:p>
    <w:p w14:paraId="058FF0D4">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8.3.2项目实施计划的提交和修改</w:t>
      </w:r>
    </w:p>
    <w:p w14:paraId="0C2C059A">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除专用合同条件另有约定外，承包人应在合同订立后14天内，向工程师提交项目实施计划，工程师应在收到项目实施计划后21天内确认或提出修改意见。对工程师提出的合理意见和要求，承包人应自费修改完善。根据工程实施的实际情况需要修改项目实施计划的，承包人应向工程师提交修改后的项目实施计划。</w:t>
      </w:r>
    </w:p>
    <w:p w14:paraId="3F3E6C72">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项目进度计划的编制和修改按照第8.4款[项目进度计划]执行。</w:t>
      </w:r>
    </w:p>
    <w:p w14:paraId="44E7EDF9">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8.4项目进度计划</w:t>
      </w:r>
    </w:p>
    <w:p w14:paraId="6A63E2B4">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8.4.1项目进度计划的提交和修改</w:t>
      </w:r>
    </w:p>
    <w:p w14:paraId="7CC33E11">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承包人应按照第8.3款[项目实施计划]约定编制并向工程师提交项目初步进度计划，经工程师批准后实施。除专用合同条件另有约定外，工程师应在21天内批复或提出修改意见，否则该项目初步进度计划视为已得到批准。对工程师提出的合理意见和要求，承包人应自费修改完善。</w:t>
      </w:r>
    </w:p>
    <w:p w14:paraId="066BEE26">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经工程师批准的项目初步进度计划称为项目进度计划，是控制合同工程进度的依据，工程师有权按照进度计划检查工程进度情况。承包人还应根据项目进度计划，编制更为详细的分阶段或分项的进度计划，由工程师批准。</w:t>
      </w:r>
    </w:p>
    <w:p w14:paraId="6023BEB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8.4.2项目进度计划的内容</w:t>
      </w:r>
    </w:p>
    <w:p w14:paraId="5484FF2A">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项目进度计划应当包括设计、承包人文件提交、采购、制造、检验、运达现场、施工、安装、试验的各个阶段的预期时间以及设计和施工组织方案说明等，其编制应当符合国家法律规定和一般工程实践惯例。项目进度计划的具体要求、关键路径及关键路径变化的确定原则、承包人提交的份数和时间等，在专用合同条件约定。</w:t>
      </w:r>
    </w:p>
    <w:p w14:paraId="106E6ADE">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8.4.3项目进度计划的修订</w:t>
      </w:r>
    </w:p>
    <w:p w14:paraId="381B77AC">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项目进度计划不符合合同要求或与工程的实际进度不一致的，承包人应向工程师提交修订的项目进度计划，并附具有关措施和相关资料。工程师也可以直接向承包人发出修订项目进度计划的通知，承包人如接受，应按该通知修订项目进度计划，报工程师批准。承包人如不接受，应当在14天内答复，如未按时答复视作已接受修订项目进度计划通知中的内容。</w:t>
      </w:r>
    </w:p>
    <w:p w14:paraId="010E4FEF">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除专用合同条件另有约定外，工程师应在收到修订的项目进度计划后14天内完成审批或提出修改意见，如未按时答复视作已批准承包人修订后的项目进度计划。工程师对承包人提交的项目进度计划的确认，不能减轻或免除承包人根据法律规定和合同约定应承担的任何责任或义务。</w:t>
      </w:r>
    </w:p>
    <w:p w14:paraId="32B96E77">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除合同当事人另有约定外，项目进度计划的修订并不能减轻或者免除双方按第8.7款[工期延误]、第8.8款[工期提前]、第8.9款[暂停工作]应承担的合同责任。</w:t>
      </w:r>
    </w:p>
    <w:p w14:paraId="50420561">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8.5进度报告</w:t>
      </w:r>
    </w:p>
    <w:p w14:paraId="70594F3F">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项目实施过程中，承包人应进行实际进度记录，并根据工程师的要求编制月进度报告，并提交给工程师。进度报告应包含以下主要内容：</w:t>
      </w:r>
    </w:p>
    <w:p w14:paraId="796A24E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（1）工程设计、采购、施工等各个工作内容的进展报告；</w:t>
      </w:r>
    </w:p>
    <w:p w14:paraId="035C847E">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（2）工程施工方法的一般说明；</w:t>
      </w:r>
    </w:p>
    <w:p w14:paraId="11FA6B61">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（3）当月工程实施介入的项目人员、设备和材料的预估明细报告；</w:t>
      </w:r>
    </w:p>
    <w:p w14:paraId="4B39164A">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（4）当月实际进度与进度计划对比分析，以及提出未来可能引起工期延误的情形，同时提出应对措施；需要修订项目进度计划的，应对项目进度计划的修订部分进行说明；</w:t>
      </w:r>
    </w:p>
    <w:p w14:paraId="36AD636E">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（5）承包人对于解决工期延误所提出的建议；</w:t>
      </w:r>
    </w:p>
    <w:p w14:paraId="7BCFC536">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（6）其他与工程有关的重大事项。</w:t>
      </w:r>
    </w:p>
    <w:p w14:paraId="462067B9">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进度报告的具体要求等，在专用合同条件约定。</w:t>
      </w:r>
    </w:p>
    <w:p w14:paraId="6B1A4538">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8.6提前预警</w:t>
      </w:r>
    </w:p>
    <w:p w14:paraId="6D7BC53F">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任何一方应当在下列情形发生时尽快书面通知另一方：</w:t>
      </w:r>
    </w:p>
    <w:p w14:paraId="154DCF93">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（1）该情形可能对合同的履行或实现合同目的产生不利影响；</w:t>
      </w:r>
    </w:p>
    <w:p w14:paraId="0EEA3A2C">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（2）该情形可能对工程完成后的使用产生不利影响；</w:t>
      </w:r>
    </w:p>
    <w:p w14:paraId="49960567">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（3）该情形可能导致合同价款增加；</w:t>
      </w:r>
    </w:p>
    <w:p w14:paraId="68EB81FC">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（4）该情形可能导致整个工程或单位/区段工程的工期延长。</w:t>
      </w:r>
    </w:p>
    <w:p w14:paraId="71C3591F">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发包人有权要求承包人根据第13.2款[承包人的合理化建议]的约定提交变更建议，采取措施尽量避免或最小化上述情形的发生或影响。</w:t>
      </w:r>
    </w:p>
    <w:p w14:paraId="3D0085FC">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8.7工期延误</w:t>
      </w:r>
    </w:p>
    <w:p w14:paraId="58C25C91">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8.7.1因发包人原因导致工期延误</w:t>
      </w:r>
    </w:p>
    <w:p w14:paraId="1AFD8A37">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在合同履行过程中，因下列情况导致工期延误和（或）费用增加的，由发包人承担由此延误的工期和（或）增加的费用，且发包人应支付承包人合理的利润：</w:t>
      </w:r>
    </w:p>
    <w:p w14:paraId="3FF546A8">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（1）根据第13条[变更与调整]的约定构成一项变更的；</w:t>
      </w:r>
    </w:p>
    <w:p w14:paraId="099DB49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（2）发包人违反本合同约定，导致工期延误和（或）费用增加的；</w:t>
      </w:r>
    </w:p>
    <w:p w14:paraId="4A401D26">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（3）发包人、发包人代表、工程师或发包人聘请的任意第三方造成或引起的任何延误、妨碍和阻碍；</w:t>
      </w:r>
    </w:p>
    <w:p w14:paraId="637A2FF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（4）发包人未能依据第6.2.1项[发包人提供的材料和工程设备]的约定提供材料和工程设备导致工期延误和（或）费用增加的；</w:t>
      </w:r>
    </w:p>
    <w:p w14:paraId="0816AC62">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（5）因发包人原因导致的暂停施工；</w:t>
      </w:r>
    </w:p>
    <w:p w14:paraId="402A17C6">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（6）发包人未及时履行相关合同义务，造成工期延误的其他原因。</w:t>
      </w:r>
    </w:p>
    <w:p w14:paraId="18D877FE">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8.7.2因承包人原因导致工期延误</w:t>
      </w:r>
    </w:p>
    <w:p w14:paraId="0B36E290">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由于承包人的原因，未能按项目进度计划完成工作，承包人应采取措施加快进度，并承担加快进度所增加的费用。</w:t>
      </w:r>
    </w:p>
    <w:p w14:paraId="1A60BF47">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由于承包人原因造成工期延误并导致逾期竣工的，承包人应支付逾期竣工违约金。逾期竣工违约金的计算方法和最高限额在专用合同条件中约定。承包人支付逾期竣工违约金，不免除承包人完成工作及修补缺陷的义务，且发包人有权从工程进度款、竣工结算款或约定提交的履约担保中扣除相当于逾期竣工违约金的金额。</w:t>
      </w:r>
    </w:p>
    <w:p w14:paraId="2537FD41">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8.7.3行政审批迟延</w:t>
      </w:r>
    </w:p>
    <w:p w14:paraId="71380E1C">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合同约定范围内的工作需国家有关部门审批的，发包人和（或）承包人应按照专用合同条件约定的职责分工完成行政审批报送。因国家有关部门审批迟延造成工期延误的，竣工日期相应顺延。造成费用增加的，由双方在负责的范围内各自承担。</w:t>
      </w:r>
    </w:p>
    <w:p w14:paraId="7A17C819">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8.7.4异常恶劣的气候条件</w:t>
      </w:r>
    </w:p>
    <w:p w14:paraId="34490C59">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异常恶劣的气候条件是指在施工过程中遇到的，有经验的承包人在订立合同时不可预见的，对合同履行造成实质性影响的，但尚未构成不可抗力事件的恶劣气候条件。合同当事人可以在专用合同条件中约定异常恶劣的气候条件的具体情形。</w:t>
      </w:r>
    </w:p>
    <w:p w14:paraId="1B5C8C14">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承包人应采取克服异常恶劣的气候条件的合理措施继续施工，并及时通知工程师。工程师应当及时发出指示，指示构成变更的，按第13条[变更与调整]约定办理。承包人因采取合理措施而延误的工期由发包人承担。</w:t>
      </w:r>
    </w:p>
    <w:p w14:paraId="526E067B">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8.8工期提前</w:t>
      </w:r>
    </w:p>
    <w:p w14:paraId="7741D2BC">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8.8.1发包人指示承包人提前竣工且被承包人接受的，应与承包人</w:t>
      </w:r>
      <w:r>
        <w:rPr>
          <w:rFonts w:hint="eastAsia" w:ascii="宋体" w:hAnsi="宋体" w:cs="宋体"/>
          <w:color w:val="auto"/>
          <w:lang w:eastAsia="zh-CN"/>
        </w:rPr>
        <w:t>协商</w:t>
      </w:r>
      <w:r>
        <w:rPr>
          <w:rFonts w:hint="eastAsia" w:ascii="宋体" w:hAnsi="宋体" w:cs="宋体"/>
          <w:color w:val="auto"/>
        </w:rPr>
        <w:t>采取加快工程进度的措施和修订项目进度计划。发包人应承担承包人由此增加的费用，增加的费用按第13条[变更与调整]的约定执行；发包人不得以任何理由要求承包人超过合理限度压缩工期。承包人有权不接受提前竣工的指示，工期按照合同约定执行。</w:t>
      </w:r>
    </w:p>
    <w:p w14:paraId="1D75A3A0">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8.8.2承包人提出提前竣工的建议且发包人接受的，应与发包人</w:t>
      </w:r>
      <w:r>
        <w:rPr>
          <w:rFonts w:hint="eastAsia" w:ascii="宋体" w:hAnsi="宋体" w:cs="宋体"/>
          <w:color w:val="auto"/>
          <w:lang w:eastAsia="zh-CN"/>
        </w:rPr>
        <w:t>协商</w:t>
      </w:r>
      <w:r>
        <w:rPr>
          <w:rFonts w:hint="eastAsia" w:ascii="宋体" w:hAnsi="宋体" w:cs="宋体"/>
          <w:color w:val="auto"/>
        </w:rPr>
        <w:t>采取加快工程进度的措施和修订项目进度计划。发包人应承担承包人由此增加的费用，增加的费用按第13条[变更与调整]的约定执行，并向承包人支付专用合同条件约定的相应奖励金。</w:t>
      </w:r>
    </w:p>
    <w:p w14:paraId="5E679142">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8.9暂停工作</w:t>
      </w:r>
    </w:p>
    <w:p w14:paraId="3F51CE53">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8.9.1由发包人暂停工作</w:t>
      </w:r>
    </w:p>
    <w:p w14:paraId="40C346DD">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发包人认为必要时，可通过工程师向承包人发出经发包人签认的暂停工作通知，应列明暂停原因、暂停的日期及预计暂停的期限。承包人应按该通知暂停工作。</w:t>
      </w:r>
    </w:p>
    <w:p w14:paraId="03BB9B44">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承包人因执行暂停工作通知而造成费用的增加和（或）工期延误由发包人承担，并有权要求发包人支付合理利润，但由于承包人原因造成发包人暂停工作的除外。</w:t>
      </w:r>
    </w:p>
    <w:p w14:paraId="63183D7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8.9.2由承包人暂停工作</w:t>
      </w:r>
    </w:p>
    <w:p w14:paraId="5CC0D3EC">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因承包人原因所造成部分或全部工程的暂停，承包人应采取措施尽快复工并赶上进度，由此造成费用的增加或工期延误由承包人承担。因此造成逾期竣工的，承包人应按第8.7.2项[因承包人原因导致工期延误]承担逾期竣工违约责任。</w:t>
      </w:r>
    </w:p>
    <w:p w14:paraId="61C26A36">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合同履行过程中发生下列情形之一的，承包人可向发包人发出通知，要求发包人采取有效措施予以纠正。发包人收到承包人通知后的28天内仍不予以纠正，承包人有权暂停施工，并通知工程师。承包人有权要求发包人延长工期和（或）增加费用，并支付合理利润：</w:t>
      </w:r>
    </w:p>
    <w:p w14:paraId="62C0DAF0">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（1）发包人拖延、拒绝批准付款申请和支付证书，或未能按合同约定支付价款，导致付款延误的；</w:t>
      </w:r>
    </w:p>
    <w:p w14:paraId="70134E91">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（2）发包人未按约定履行合同其他义务导致承包人无法继续履行合同的，或者发包人明确表示暂停或实质上已暂停履行合同的。</w:t>
      </w:r>
    </w:p>
    <w:p w14:paraId="359272BB">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8.9.3除上述原因以外的暂停工作，双方应遵守第17条[不可抗力]的相关约定。</w:t>
      </w:r>
    </w:p>
    <w:p w14:paraId="08D6AA28">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8.9.4暂停工作期间的工程照管</w:t>
      </w:r>
    </w:p>
    <w:p w14:paraId="383D4B9A">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不论由于何种原因引起暂停工作的，暂停工作期间，承包人应负责对工程、工程物资及文件等进行照管和保护，并提供安全保障，由此增加的费用按第8.9.1项[由发包人暂停工作]和第8.9.2项[由承包人暂停工作]的约定承担。</w:t>
      </w:r>
    </w:p>
    <w:p w14:paraId="6799F6BC">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因承包人未能尽到照管、保护的责任造成损失的，使发包人的费用增加，（或）竣工日期延误的，由承包人按本合同约定承担责任。</w:t>
      </w:r>
    </w:p>
    <w:p w14:paraId="0000CF93">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8.9.5拖长的暂停</w:t>
      </w:r>
    </w:p>
    <w:p w14:paraId="5D73A15E">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根据第8.9.1项[由发包人暂停工作]暂停工作持续超过56天的，承包人可向发包人发出要求复工的通知。如果发包人没有在收到书面通知后28天内准许已暂停工作的全部或部分继续工作，承包人有权根据第13条[变更与调整]的约定，要求以变更方式调减受暂停影响的部分工程。发包人的暂停超过56天且暂停影响到整个工程的，承包人有权根据第16.2款[由承包人解除合同]的约定，发出解除合同的通知。</w:t>
      </w:r>
    </w:p>
    <w:p w14:paraId="40005AA1">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8.10复工</w:t>
      </w:r>
    </w:p>
    <w:p w14:paraId="36261FB4">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8.10.1收到发包人的复工通知后，承包人应按通知时间复工；发包人通知的复工时间应当给予承包人必要的准备复工时间。</w:t>
      </w:r>
    </w:p>
    <w:p w14:paraId="711A7EFA">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8.10.2不论由于何种原因引起暂停工作，双方均可要求对方一同对受暂停影响的工程、工程设备和工程物资进行检查，承包人应将检查结果及需要恢复、修复的内容和估算通知发包人。</w:t>
      </w:r>
    </w:p>
    <w:p w14:paraId="2733BE41">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8.10.3除第17条[不可抗力]另有约定外，发生的恢复、修复价款及工期延误的后果由责任方承担。</w:t>
      </w:r>
    </w:p>
    <w:p w14:paraId="0A4948F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第9条竣工试验</w:t>
      </w:r>
    </w:p>
    <w:p w14:paraId="75E2F4ED">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9.1竣工试验的义务</w:t>
      </w:r>
    </w:p>
    <w:p w14:paraId="505A2B63">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9.1.1承包人完成工程或区段工程进行竣工试验所需的作业，并根据第5.4款[竣工文件]和第5.5款[操作和维修手册]提交文件后，进行竣工试验。</w:t>
      </w:r>
    </w:p>
    <w:p w14:paraId="0A98A45D">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9.1.2承包人应在进行竣工试验之前，至少提前42天向工程师提交详细的竣工试验计划，该计划应载明竣工试验的内容、地点、拟开展时间和需要发包人提供的资源条件。工程师应在收到计划后的14天内进行审查，并就该计划不符合合同的部分提出意见，承包人应在收到意见后的14天内自费对计划进行修正。工程师逾期未提出意见的，视为竣工试验计划已得到确认。除提交竣工试验计划外，承包人还应提前21天将可以开始进行各项竣工试验的日期通知工程师，并在该日期后的14天内或工程师指示的日期进行竣工试验。</w:t>
      </w:r>
    </w:p>
    <w:p w14:paraId="5D79923E">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9.1.3承包人应根据经确认的竣工试验计划以及第6.5款[由承包人试验和检验]进行竣工试验。除《发包人要求》中另有说明外，竣工试验应按以下顺序分阶段进行，即只有在工程或区段工程已通过上一阶段试验的情况下，才可进行下一阶段试验：</w:t>
      </w:r>
    </w:p>
    <w:p w14:paraId="61921B08">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（1）承包人进行启动前试验，包括适当的检查和功能性试验，以证明工程或区段工程的每一部分均能够安全地承受下一阶段试验；</w:t>
      </w:r>
    </w:p>
    <w:p w14:paraId="02F0F0DC">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（2）承包人进行启动试验，以证明工程或区段工程能够在所有可利用的操作条件下安全运行，并按照专用合同条件和《发包人要求》中的规定操作；</w:t>
      </w:r>
    </w:p>
    <w:p w14:paraId="03D7CCAD">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（3）承包人进行试运行试验。当工程或区段工程能稳定安全运行时，承包人应通知工程师，可以进行其他竣工试验，包括各种性能测试，以证明工程或区段工程符合《发包人要求》中列明的性能保证指标。</w:t>
      </w:r>
    </w:p>
    <w:p w14:paraId="6AB0D05D">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进行上述试验不应构成第10条[验收和工程接收]规定的接收，但试验所产生的任何产品或其他收益均应归属于发包人。</w:t>
      </w:r>
    </w:p>
    <w:p w14:paraId="54DEEE24">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9.1.4完成上述各阶段竣工试验后，承包人应向工程师提交试验结果报告，试验结果须符合约定的标准、规范和数据。工程师应在收到报告后14天内予以回复，逾期未回复的，视为认可竣工试验结果。但在考虑工程或区段工程是否通过竣工试验时，应适当考虑发包人对工程或其任何部分的使用，对工程或区段工程的性能、特性和试验结果产生的影响。</w:t>
      </w:r>
    </w:p>
    <w:p w14:paraId="35982A5C">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9.2延误的试验</w:t>
      </w:r>
    </w:p>
    <w:p w14:paraId="297583C8">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9.2.1如果承包人已根据第9.1款[竣工试验的义务]就可以开始进行各项竣工试验的日期通知工程师，但该等试验因发包人原因被延误14天以上的，发包人应承担由此增加的费用和工期延误，并支付承包人合理利润。同时，承包人应在合理可行的情况下尽快进行竣工试验。</w:t>
      </w:r>
    </w:p>
    <w:p w14:paraId="415438CB">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9.2.2承包人无正当理由延误进行竣工试验的，工程师可向其发出通知，要求其在收到通知后的21天内进行该项竣工试验。承包人应在该21天的期限内确定进行试验的日期，并至少提前7天通知工程师。</w:t>
      </w:r>
    </w:p>
    <w:p w14:paraId="4936C5C2">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9.2.3如果承包人未在该期限内进行竣工试验，则发包人有权自行组织该项竣工试验，由此产生的合理费用由承包人承担。发包人应在试验完成后28天内向承包人发送试验结果。</w:t>
      </w:r>
    </w:p>
    <w:p w14:paraId="3A379C91">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9.3重新试验</w:t>
      </w:r>
    </w:p>
    <w:p w14:paraId="0F484D7E">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如果工程或区段工程未能通过竣工试验，则承包人应根据第6.6款[缺陷和修补]修补缺陷。发包人或承包人可要求按相同的条件，重新进行未通过的试验以及相关工程或区段工程的竣工试验。该等重新进行的试验仍应适用本条对于竣工试验的规定。</w:t>
      </w:r>
    </w:p>
    <w:p w14:paraId="7938CEA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9.4未能通过竣工试验</w:t>
      </w:r>
    </w:p>
    <w:p w14:paraId="64D5FD6C">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9.4.1因发包人原因导致竣工试验未能通过的，承包人进行竣工试验的费用由发包人承担，竣工日期相应顺延。</w:t>
      </w:r>
    </w:p>
    <w:p w14:paraId="385209BB">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9.4.2如果工程或区段工程未能通过根据第9.3款[重新试验]重新进行的竣工试验的，则：</w:t>
      </w:r>
    </w:p>
    <w:p w14:paraId="385F78C3">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（1）发包人有权要求承包人根据第6.6款[缺陷和修补]继续进行修补和改正，并根据第9.3款[重新试验]再次进行竣工试验；</w:t>
      </w:r>
    </w:p>
    <w:p w14:paraId="59FB1158">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（2）未能通过竣工试验，对工程或区段工程的操作或使用未产生实质性影响的，发包人有权要求承包人自费修复</w:t>
      </w:r>
      <w:r>
        <w:rPr>
          <w:rFonts w:hint="eastAsia" w:ascii="宋体" w:hAnsi="宋体" w:cs="宋体"/>
          <w:color w:val="auto"/>
          <w:lang w:eastAsia="zh-CN"/>
        </w:rPr>
        <w:t>，并</w:t>
      </w:r>
      <w:r>
        <w:rPr>
          <w:rFonts w:hint="eastAsia" w:ascii="宋体" w:hAnsi="宋体" w:cs="宋体"/>
          <w:color w:val="auto"/>
        </w:rPr>
        <w:t>承担因此增加的费用和误期损害赔偿责任，并赔偿发包人的相应损失；无法修复时，发包人有权扣减该部分的相应付款，同时视为通过竣工验收；</w:t>
      </w:r>
    </w:p>
    <w:p w14:paraId="13068437">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（3）未能通过竣工试验，使工程或区段工程的任何主要部分丧失了生产、使用功能时，发包人有权指令承包人更换相关部分，承包人应承担因此增加的费用和误期损害赔偿责任，并赔偿发包人的相应损失；</w:t>
      </w:r>
    </w:p>
    <w:p w14:paraId="1D53931F">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4）未能通过竣工试验，使整个工程或区段工程丧失了生产、使用功能时，发包人可拒收工程或区段工程，或指令承包人重新设计、重置相关部分，承包人应承担因此增加的费用和误期损害赔偿责任，并赔偿发包人的相应损失。同时发包人有权根据第16.1款[由发包人解除合同]的约定解除合同。</w:t>
      </w:r>
    </w:p>
    <w:p w14:paraId="3F80986E">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第10条验收和工程接收</w:t>
      </w:r>
    </w:p>
    <w:p w14:paraId="3E68B95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10.1竣工验收</w:t>
      </w:r>
    </w:p>
    <w:p w14:paraId="244094D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10.1.1竣工验收条件</w:t>
      </w:r>
    </w:p>
    <w:p w14:paraId="37FC3D82">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工程具备以下条件的，承包人可以申请竣工验收：</w:t>
      </w:r>
    </w:p>
    <w:p w14:paraId="43405790">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除因第13条[变更与调整]导致的工程量删减和第14.5.3项[扫尾工作清单]列入缺陷责任期内完成的扫尾工程和缺陷修补工作外，合同范围内的全部单位/区段工程以及有关工作，包括合同要求的试验和竣工试验均已完成，并符合合同要求；</w:t>
      </w:r>
    </w:p>
    <w:p w14:paraId="6515AA90">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（2）已按合同约定编制了扫尾工作和缺陷修补工作清单以及相应实施计划；</w:t>
      </w:r>
    </w:p>
    <w:p w14:paraId="448099C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（3）已按合同约定的内容和份数备齐竣工资料；</w:t>
      </w:r>
    </w:p>
    <w:p w14:paraId="17B86CC2">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（4）合同约定要求在竣工验收前应完成的其他工作。</w:t>
      </w:r>
    </w:p>
    <w:p w14:paraId="58943047">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10.1.2竣工验收程序</w:t>
      </w:r>
    </w:p>
    <w:p w14:paraId="2502B10C">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除专用合同条件另有约定外，承包人申请竣工验收的，应当按照以下程序进行：</w:t>
      </w:r>
    </w:p>
    <w:p w14:paraId="3EB56847">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承包人向工程师报送竣工验收申请报告，工程师应在收到竣工验收申请报告后14天内完成审查并报送发包人。工程师审查后认为尚不具备竣工验收条件的，应在收到竣工验收申请报告后的14天内通知承包人，指出在颁发接收证书前承包人还需进行的工作内容。承包人完成工程师通知的全部工作内容后，应再次提交竣工验收申请报告，直至工程师同意为止。</w:t>
      </w:r>
    </w:p>
    <w:p w14:paraId="00355043">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工程师同意承包人提交的竣工验收申请报告的，或工程师收到竣工验收申请报告后14天内不予答复的，视为发包人收到并同意承包人的竣工验收申请，发包人应在收到该竣工验收申请报告后的28天内进行竣工验收。工程经竣工验收合格的，以竣工验收合格之日为实际竣工日期，并在工程接收证书中载明；完成竣工验收但发包人不予签发工程接收证书的，视为竣工验收合格，以完成竣工验收之日为实际竣工日期。</w:t>
      </w:r>
    </w:p>
    <w:p w14:paraId="061732E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3）竣工验收不合格的，工程师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73DBB543">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（4）因发包人原因，未在工程师收到承包人竣工验收申请报告之日起42天内完成竣工验收的，以承包人提交竣工验收申请报告之日作为工程实际竣工日期。</w:t>
      </w:r>
    </w:p>
    <w:p w14:paraId="39D4CE20">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（5）工程未经竣工验收，发包人擅自使用的，以转移占有工程之日为实际竣工日期。</w:t>
      </w:r>
    </w:p>
    <w:p w14:paraId="139F716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除专用合同条件另有约定外，发包人不按照本项和第10.4款[接收证书]约定组织竣工验收、颁发工程接收证书的，每逾期一天，应以签约合同价为基数，按照贷款市场报价利率（LPR）支付违约金。</w:t>
      </w:r>
    </w:p>
    <w:p w14:paraId="02DD99A1">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10.2单位/区段工程的验收</w:t>
      </w:r>
    </w:p>
    <w:p w14:paraId="3CB851B8">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10.2.1发包人根据项目进度计划安排，在全部工程竣工前需要使用已经竣工的单位/区段工程时，或承包人提出经发包人同意时，可进行单位/区段工程验收。验收的程序可参照第10.1款[竣工验收]的约定进行。验收合格后，由工程师向承包人出具经发包人签认的单位/区段工程验收证书。单位/区段工程的验收成果和结论作为全部工程竣工验收申请报告的附件。</w:t>
      </w:r>
    </w:p>
    <w:p w14:paraId="6B267E0F">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10.2.2发包人在全部工程竣工前，使用已接收的单位/区段工程导致承包人费用增加的，发包人应承担由此增加的费用和（或）工期延误，并支付承包人合理利润。</w:t>
      </w:r>
    </w:p>
    <w:p w14:paraId="3DB375F1">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10.3工程的接收</w:t>
      </w:r>
    </w:p>
    <w:p w14:paraId="1C6D0F28">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10.3.1根据工程项目的具体情况和特点，可按工程或单位/区段工程进行接收，并在专用合同条件约定接收的先后顺序、时间安排和其他要求。</w:t>
      </w:r>
    </w:p>
    <w:p w14:paraId="54D29CB3">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10.3.2除按本条约定已经提交的资料外，接收工程时承包人需提交竣工验收资料的类别、内容、份数和提交时间，在专用合同条件中约定。</w:t>
      </w:r>
    </w:p>
    <w:p w14:paraId="53D64E82">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10.3.3发包人无正当理由不接收工程的，发包人自应当接收工程之日起，承担工程照管、成品保护、保管等与工程有关的各项费用，合同当事人可以在专用合同条件中另行约定发包人逾期接收工程的违约责任。</w:t>
      </w:r>
    </w:p>
    <w:p w14:paraId="42E6BB4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10.3.4承包人无正当理由不移交工程的，承包人应承担工程照管、成品保护、保管等与工程有关的各项费用，合同当事人可以在专用合同条件中另行约定承包人无正当理由不移交工程的违约责任。</w:t>
      </w:r>
    </w:p>
    <w:p w14:paraId="6922C1C6">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10.4接收证书</w:t>
      </w:r>
    </w:p>
    <w:p w14:paraId="097990D8">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10.4.1除专用合同条件另有约定外，承包人应在竣工验收合格后向发包人提交第14.6款[质量保证金]约定的质量保证金，发包人应在竣工验收合格且工程具备接收条件后的14天内向承包人颁发工程接收证书，但承包人未提交质量保证金的，发包人有权拒绝颁发。发包人拒绝颁发工程接收证书的，应向承包人发出通知，说明理由并指出在颁发接收证书前承包人需要做的工作，需要修补的缺陷和承包人需要提供的文件。</w:t>
      </w:r>
    </w:p>
    <w:p w14:paraId="296AC6C2">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10.4.2发包人向承包人颁发的接收证书，应注明工程或单位/区段工程经验收合格的实际竣工日期，并列明不在接收范围内的，在收尾工作和缺陷修补完成之前对工程或单位/区段工程预期使用目的没有实质影响的少量收尾工作和缺陷。</w:t>
      </w:r>
    </w:p>
    <w:p w14:paraId="33DA03CE">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10.4.3竣工验收合格而发包人无正当理由逾期不颁发工程接收证书的，自验收合格后第15天起视为已颁发工程接收证书。</w:t>
      </w:r>
    </w:p>
    <w:p w14:paraId="1B7DD488">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10.4.4工程未经验收或验收不合格，发包人擅自使用的，应在转移占有工程后7天内向承包人颁发工程接收证书；发包人无正当理由逾期不颁发工程接收证书的，自转移占有后第15天起视为已颁发工程接收证书。</w:t>
      </w:r>
    </w:p>
    <w:p w14:paraId="37C8A4B0">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10.4.5存在扫尾工作的，工程接收证书中应当将第14.5.3项[扫尾工作清单]中约定的扫尾工作清单作为工程接收证书附件。</w:t>
      </w:r>
    </w:p>
    <w:p w14:paraId="5BFC1868">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10.5竣工退场</w:t>
      </w:r>
    </w:p>
    <w:p w14:paraId="13868F5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10.5.1竣工退场</w:t>
      </w:r>
    </w:p>
    <w:p w14:paraId="34BA6080">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颁发工程接收证书后，承包人应对施工现场进行清理，并撤离相关人员，使得施工现场处于以下状态，直至工程师检验合格为止：</w:t>
      </w:r>
    </w:p>
    <w:p w14:paraId="7A94B446">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w:t>
      </w:r>
      <w:r>
        <w:rPr>
          <w:rFonts w:hint="eastAsia" w:ascii="宋体" w:hAnsi="宋体" w:cs="宋体"/>
          <w:color w:val="auto"/>
          <w:lang w:eastAsia="zh-CN"/>
        </w:rPr>
        <w:t>）施工现场</w:t>
      </w:r>
      <w:r>
        <w:rPr>
          <w:rFonts w:hint="eastAsia" w:ascii="宋体" w:hAnsi="宋体" w:cs="宋体"/>
          <w:color w:val="auto"/>
        </w:rPr>
        <w:t>残留的垃圾已全部清除出场；</w:t>
      </w:r>
    </w:p>
    <w:p w14:paraId="3FEB1CBD">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（2）临时工程已拆除，场地已按合同约定进行清理、平整或复原；</w:t>
      </w:r>
    </w:p>
    <w:p w14:paraId="621293F3">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（3）按合同约定应撤离的人员、承包人提供的施工设备和剩余的材料，包括废弃的施工设备和材料，已按计划撤离施工现场；</w:t>
      </w:r>
    </w:p>
    <w:p w14:paraId="00F002AE">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（4）施工现场周边及其附近道路、河道的施工堆积物，已全部清理；</w:t>
      </w:r>
    </w:p>
    <w:p w14:paraId="614512D6">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（5）施工现场其他竣工退场工作已全部完成。</w:t>
      </w:r>
    </w:p>
    <w:p w14:paraId="0DF17997">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施工现场的竣工退场费用由承包人承担。承包人应在专用合同条件约定的期限内完成竣工退场，逾期未完成的，发包人有权出售或另行处理承包人遗留的物品，由此支出的费用由承包人承担，发包人出售承包人遗留物品所得款项在扣除必要费用后应返还承包人。</w:t>
      </w:r>
    </w:p>
    <w:p w14:paraId="73AFBB44">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10.5.2地表还原</w:t>
      </w:r>
    </w:p>
    <w:p w14:paraId="6E52ED8A">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承包人应按合同约定和工程师的要求恢复临时占地及清理场地，否则发包人有权委托其他人恢复或清理，所发生的费用由承包人承担。</w:t>
      </w:r>
    </w:p>
    <w:p w14:paraId="2AD27C52">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10.5.3人员撤离</w:t>
      </w:r>
    </w:p>
    <w:p w14:paraId="05EE543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除了经工程师同意需在缺陷责任期内继续工作和使用的人员、施工设备和临时工程外，承包人应按专用合同条件约定和工程师的要求将其余的人员、施工设备和临时工程撤离施工现场或拆除。除专用合同条件另有约定外，缺陷责任期满时，承包人的人员和施工设备应全部撤离施工现场。</w:t>
      </w:r>
    </w:p>
    <w:p w14:paraId="382C538B">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第11条缺陷责任与保修</w:t>
      </w:r>
    </w:p>
    <w:p w14:paraId="7EF842E0">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11.1工程保修的原则</w:t>
      </w:r>
    </w:p>
    <w:p w14:paraId="172E5D7C">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在工程移交发包人后，因承包人原因产生的质量缺陷，承包人应承担质量缺陷责任和保修义务。缺陷责任期届满，承包人仍应按合同约定的工程各部位保修年限承担保修义务。</w:t>
      </w:r>
    </w:p>
    <w:p w14:paraId="719AF42D">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11.2缺陷责任期</w:t>
      </w:r>
    </w:p>
    <w:p w14:paraId="7FE45DEC">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缺陷责任期原则上从工程竣工验收合格之日起计算，合同当事人应在专用合同条件约定缺陷责任期的具体期限，但该期限最长不超过24个月。</w:t>
      </w:r>
    </w:p>
    <w:p w14:paraId="4752A4D1">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单位/区段工程先于全部工程进行验收，经验收合格并交付使用的，该单位/区段工程缺陷责任期自单位/区段工程验收合格之日起算。因发包人原因导致工程未在合同约定期</w:t>
      </w:r>
      <w:r>
        <w:rPr>
          <w:rFonts w:hint="eastAsia" w:ascii="宋体" w:hAnsi="宋体" w:cs="宋体"/>
          <w:color w:val="auto"/>
          <w:lang w:eastAsia="zh-CN"/>
        </w:rPr>
        <w:t>限内</w:t>
      </w:r>
      <w:r>
        <w:rPr>
          <w:rFonts w:hint="eastAsia" w:ascii="宋体" w:hAnsi="宋体" w:cs="宋体"/>
          <w:color w:val="auto"/>
        </w:rPr>
        <w:t>进行验收，但工程经验收合格的，以承包人提交竣工验收报告之日起算；因发包人原因导致工程未能进行竣工验收的，在承包人提交竣工验收报告90天后，工程自动进入缺陷责任期；发包人未经竣工验收擅自使用工程的，缺陷责任期自工程转移占有之日起开始计算。</w:t>
      </w:r>
    </w:p>
    <w:p w14:paraId="03EA5C6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由于承包人原因造成某项缺陷或损坏使某项工程或工程设备不能按原定目标使用而需要再次检查、检验和修复的，发包人有权要求承包人延长该项工程或工程设备的缺陷责任期，并应在原缺陷责任期届满前发出延长通知。但缺陷责任期最长不超过24个月。</w:t>
      </w:r>
    </w:p>
    <w:p w14:paraId="719909BE">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11.3缺陷调查</w:t>
      </w:r>
    </w:p>
    <w:p w14:paraId="5D175164">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11.3.1承包人缺陷调查</w:t>
      </w:r>
    </w:p>
    <w:p w14:paraId="6A8D6A81">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如果发包人指示承包人调查任何缺陷的原因，承包人应在发包人的指导下进行调查。承包人应在发包人指示中说明的日期或与发包人达成一致的其他日期开展调查。除非该缺陷应由承包人负责自费进行修补，承包人有权就调查的成本和利润获得支付。</w:t>
      </w:r>
    </w:p>
    <w:p w14:paraId="187A2F41">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如果承包人未能根据本款开展调查，该调查可由发包人开展。但应将上述调查开展的日期通知承包人，承包人可自费参加调查。如果该缺陷应由承包人自费进行修补，则发包人有权要求承包人支付发包人因调查产生的合理费用。</w:t>
      </w:r>
    </w:p>
    <w:p w14:paraId="6E122257">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11.3.2缺陷责任</w:t>
      </w:r>
    </w:p>
    <w:p w14:paraId="56F4C1C6">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缺陷责任期内，由承包人原因造成的缺陷，承包人应负责维修，并承担鉴定及维修费用。如承包人不维修也不承担费用，发包人可按合同约定从质量保证金中扣除，费用超出质量保证金金额的，发包人可按合同约定向承包人进行索赔。承包人维修并承担相应费用后，不免除对工程的损失赔偿责任。发包人在使用过程中，发现已修补的缺陷部位或部件还存在质量缺陷的，承包人应负责修复，直至检验合格为止。</w:t>
      </w:r>
    </w:p>
    <w:p w14:paraId="4B9AFF0E">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11.3.3修复费用</w:t>
      </w:r>
    </w:p>
    <w:p w14:paraId="4020DD33">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发包人和承包人应共同查清缺陷或损坏的原因。经查明属承包人原因造成的，应由承包人承担修复的费用。经查验非承包人原因造成的，发包人应承担修复的费用，并支付承包人合理利润。</w:t>
      </w:r>
    </w:p>
    <w:p w14:paraId="42153939">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11.3.4修复通知</w:t>
      </w:r>
    </w:p>
    <w:p w14:paraId="24E185B9">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在缺陷责任期内，发包人在使用过程中，发现已接收的工程存在缺陷或损坏的，应书面通知承包人予以修复，但情况紧急必须立即修复缺陷或损坏的，发包人可以口头通知承包人并在口头通知后48小时内书面确认，承包人应在专用合同条件约定的合理期限内到达工程现场并修复缺陷或损坏。</w:t>
      </w:r>
    </w:p>
    <w:p w14:paraId="4BB12718">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11.3.5在现场外修复</w:t>
      </w:r>
    </w:p>
    <w:p w14:paraId="69497462">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在缺陷责任期内，承包人认为设备中的缺陷或损害不能在现场得到迅速修复，承包人应当向发包人发出通知，请求发包人同意把这些有缺陷或者损害的设备移出现场进行修复，通知应当注明有缺陷或者损害的设备及维修的相关内容，发包人可要求承包人按移出设备的全部重置成本增加质量保证金的数额。</w:t>
      </w:r>
    </w:p>
    <w:p w14:paraId="0F9E6B87">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11.3.6未能修复</w:t>
      </w:r>
    </w:p>
    <w:p w14:paraId="5DC8EDBA">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14:paraId="3CBC48EE">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如果工程或工程设备的缺陷或损害使发包人实质上失去了工程的整体功能，发包人有权向承包人追回已支付的工程款项，并要求其赔偿发包人相应损失。</w:t>
      </w:r>
    </w:p>
    <w:p w14:paraId="3B62FCF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11.4缺陷修复后的进一步试验</w:t>
      </w:r>
    </w:p>
    <w:p w14:paraId="7BE4988C">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任何一项缺陷修补后的7天内，承包人应向发包人发出通知，告知已修补的情况。如根据第9条[竣工试验]或第12条[竣工后试验]的规定适用重新试验的，还应建议重新试验。发包人应在收到重新试验的通知后14天内答复，逾期未进行答复的视为同意重新试验。承包人未建议重新试验的，发包人也可在缺陷修补后的14天内指示进行必要的重新试验，以证明已修复的部分符合合同要求。</w:t>
      </w:r>
    </w:p>
    <w:p w14:paraId="4172D6EB">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所有的重复试验应按照适用于先前试验的条款进行，但应由责任方承担修补工作的成本和重新试验的风险和费用。</w:t>
      </w:r>
    </w:p>
    <w:p w14:paraId="7145B03F">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11.5承包人出入权</w:t>
      </w:r>
    </w:p>
    <w:p w14:paraId="00F08687">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在缺陷责任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安保和保密等规定。</w:t>
      </w:r>
    </w:p>
    <w:p w14:paraId="4D9889F9">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11.6缺陷责任期终止证书</w:t>
      </w:r>
    </w:p>
    <w:p w14:paraId="3243246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除专用合同条件另有约定外，承包人应于缺陷责任期届满前7天内向发包人发出缺陷责任期即将届满通知，发包人应在收到通知后7天内核实承包人是否履行缺陷修复义务，承包人未能履行缺陷修复义务的，发包人有权扣除相应金额的维修费用。发包人应在缺陷责任期届满之日，向承包人颁发缺陷责任期终止证书，并按第14.6.3项[质量保证金的返还]返还质量保证金。</w:t>
      </w:r>
    </w:p>
    <w:p w14:paraId="6690F4FC">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如根据第10.5.3项[人员撤离]承包人在施工现场还留有人员、施工设备和临时工程的，承包人应当在收到缺陷责任期终止证书后28天内，将上述人员、施工设备和临时工程撤离施工现场。</w:t>
      </w:r>
    </w:p>
    <w:p w14:paraId="4410F148">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11.7保修责任</w:t>
      </w:r>
    </w:p>
    <w:p w14:paraId="332281E9">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因承包人原因导致的质量缺陷责任，由合同当事人根据有关法律规定，在专用合同条件和工程质量保修书中约定工程质量保修范围、期限和责任。</w:t>
      </w:r>
    </w:p>
    <w:p w14:paraId="0C8BAFB6">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第12条竣工后试验</w:t>
      </w:r>
    </w:p>
    <w:p w14:paraId="4BF65D52">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本合同工程包含竣工后试验的，遵守本条约定。</w:t>
      </w:r>
    </w:p>
    <w:p w14:paraId="765BBD29">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12.1竣工后试验的程序</w:t>
      </w:r>
    </w:p>
    <w:p w14:paraId="6D01A44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12.1.1工程或区段工程被发包人接收后，在合理可行的情况下应根据合同约定尽早进行竣工后试验。</w:t>
      </w:r>
    </w:p>
    <w:p w14:paraId="3AB1C4E2">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12.1.2除专用合同条件另有约定外，发包人应提供全部电力、水、污水处理、燃料、消耗品和材料，以及全部其他仪器、协助、文件或其他信息、设备、工具、劳力，启动工程设备，并组织安排有适当资质、经验和能力的工作人员实施竣工后试验。</w:t>
      </w:r>
    </w:p>
    <w:p w14:paraId="25D33F7D">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12.1.3除《发包人要求》另有约定外，发包人应在合理可行的情况下尽快进行每项竣工后试验，并至少提前21天将该项竣工后试验的内容、地点和时间，以及显示其他竣工后试验拟开展时间的竣工后试验计划通知承包人。</w:t>
      </w:r>
    </w:p>
    <w:p w14:paraId="13726D5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12.1.4发包人应根据《发包人要求》、承包人按照第5.5款[操作和维修手册]提交的文件，以及承包人被要求提供的指导进行竣工后试验。如承包人未在发包人通知的时间和地点参加竣工后试验，发包人可自行进行，该试验应被视为是承包人在场的情况下进行的，且承包人应视为认可试验数据。</w:t>
      </w:r>
    </w:p>
    <w:p w14:paraId="15FD0517">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12.1.5竣工后试验的结果应由双方进行整理和评价，并应适当考虑发包人对工程或其任何部分的使用，对工程或区段工程的性能、特性和试验结果产生的影响。</w:t>
      </w:r>
    </w:p>
    <w:p w14:paraId="7FB30C7D">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12.2延误的试验</w:t>
      </w:r>
    </w:p>
    <w:p w14:paraId="492F07EE">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12.2.1如果竣工后试验因发包人原因被延误的，发包人应承担承包人由此增加的费用并支付承包人合理利润。</w:t>
      </w:r>
    </w:p>
    <w:p w14:paraId="3B287AF8">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12.2.2如果因承包人以外的原因，导致竣工后试验未能在缺陷责任期或双方另行同意的其他期限内完成，则相关工程或区段工程应视为已通过该竣工后试验。</w:t>
      </w:r>
    </w:p>
    <w:p w14:paraId="5E4E2307">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12.3重新试验</w:t>
      </w:r>
    </w:p>
    <w:p w14:paraId="372D6BF6">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如工程或区段工程未能通过竣工后试验，则承包人应根据第11.3款[缺陷调查]的规定修补缺陷，以达到合同约定的要求；并按照第11.4款[缺陷修复后的进一步试验]重新进行竣工后试验以及承担风险和费用。如未通过试验和重新试验是承包人原因造成的，则承包人还应承担发包人因此增加的费用。</w:t>
      </w:r>
    </w:p>
    <w:p w14:paraId="3D03EA31">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12.4未能通过竣工后试验</w:t>
      </w:r>
    </w:p>
    <w:p w14:paraId="7756A7B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12.4.1工程或区段工程未能通过竣工后试验，且合同中就该项未通过的试验约定了性能损害赔偿违约金及其计算方法的，或者就该项未通过的试验另行达成补充协议的，承包人在缺陷责任期内向发包人支付相应违约金或按补充协议履行后，视为通过竣工后试验。</w:t>
      </w:r>
    </w:p>
    <w:p w14:paraId="30415E5C">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12.4.2对未能通过竣工后试验的工程或区段工程，承包人可向发包人建议，由承包人对该工程或区段工程进行调整或修补。发包人收到建议后，可向承包人发出通知，指示其在发包人方便的合理时间进入工程或区段工程进行调查、调整或修补，并为承包人的进入提供方便。承包人提出建议，但未在缺陷责任期内收到上述发包人通知的，相关工程或区段工程应视为已通过该竣工后试验。</w:t>
      </w:r>
    </w:p>
    <w:p w14:paraId="500E7F24">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12.4.3发包人无故拖延给予承包人进行调查、调整或修补所需的进入工程或区段工程的许可，并造成承包人费用增加的，应承担由此增加的费用并支付承包人合理利润。</w:t>
      </w:r>
    </w:p>
    <w:p w14:paraId="6D957CE4">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第13条变更与调整</w:t>
      </w:r>
    </w:p>
    <w:p w14:paraId="6CEBAD33">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13.1发包人变更权</w:t>
      </w:r>
    </w:p>
    <w:p w14:paraId="532DA12F">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13.1.1变更指示应经发包人同意，并由工程师发出经发包人签认的变更指示。除第11.3.6项[未能修复]约定的情况外，变更不应包括准备将任何工作删减并交由他人或发包人自行实施的情况。承包人收到变更指示后，方可实施变更。未经许可，承包人不得擅自对工程的任何部分进行变更。发包人与承包人对某项指示或批准是否构成变更产生争议的，按第20条[争议解决]处理。</w:t>
      </w:r>
    </w:p>
    <w:p w14:paraId="18B59311">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13.1.2承包人应按照变更指示执行，除非承包人及时向工程师发出通知，说明该项变更指示将降低工程的安全性、稳定性或适用性；涉及的工作内容和范围不可预见；所涉设备难以采购；导致承包人无法执行第7.5款[现场劳动用工]、第7.6款[安全文明施工]、第7.7款[职业健康]或第7.8款[环境保护]内容；将造成工期延误；与第4.1款[承包人的一般义务]相冲突等无法执行的理由。工程师接到承包人的通知后，应作出经发包人签认的取消、确认或改变原指示的书面回复。</w:t>
      </w:r>
    </w:p>
    <w:p w14:paraId="6B19D1E7">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13.2承包人的合理化建议</w:t>
      </w:r>
    </w:p>
    <w:p w14:paraId="451BA93F">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13.2.1承包人提出合理化建议的，应向工程师提交合理化建议说明，说明建议的内容、理由以及实施该建议对合同价格和工期的影响。</w:t>
      </w:r>
    </w:p>
    <w:p w14:paraId="6A050291">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13.2.2除专用合同条件另有约定外，工程师应在收到承包人提交的合理化建议后7天内审查完毕并报送发包人，发现其中存在技术上的缺陷，应通知承包人修改。发包人应在收到工程师报送的合理化建议后7天内审批完毕。合理化建议经发包人批准的，工程师应及时发出变更指示，由此引起的合同价格调整按照第13.3.3项[变更估价]约定执行。发包人不同意变更的，工程师应书面通知承包人。</w:t>
      </w:r>
    </w:p>
    <w:p w14:paraId="0CAF38B6">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13.2.3合理化建议降低了合同价格、缩短了工期或者提高了工程经济效益的，双方可以按照专用合同条件的约定进行利益分享。</w:t>
      </w:r>
    </w:p>
    <w:p w14:paraId="1AD4FEBD">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13.3变更程序</w:t>
      </w:r>
    </w:p>
    <w:p w14:paraId="22AB663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13.3.1发包人提出变更</w:t>
      </w:r>
    </w:p>
    <w:p w14:paraId="7670C357">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发包人提出变更的，应通过工程师向承包人发出书面形式的变更指示，变更指示应说明计划变更的工程范围和变更的内容。</w:t>
      </w:r>
    </w:p>
    <w:p w14:paraId="6A27C3D1">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13.3.2变更执行</w:t>
      </w:r>
    </w:p>
    <w:p w14:paraId="1CAF944E">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承包人收到工程师下达的变更指示后，认为不能执行，应在合理期限内提出不能执行该变更指示的理由。承包人认为可以执行变更的，应当书面说明实施该变更指示需要采取的具体措施及对合同价格和工期的影响，且合同当事人应当按照第13.3.3项[变更估价]约定确定变更估价。</w:t>
      </w:r>
    </w:p>
    <w:p w14:paraId="56BF4C67">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13.3.3变更估价</w:t>
      </w:r>
    </w:p>
    <w:p w14:paraId="6F9CB227">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13.3.3.1变更估价原则</w:t>
      </w:r>
    </w:p>
    <w:p w14:paraId="7E94D47E">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除专用合同条件另有约定外，变更估价按照本款约定处理：</w:t>
      </w:r>
    </w:p>
    <w:p w14:paraId="64180593">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（1）合同中未包含价格清单，合同价格应按照所执行的变更工程的成本加利润调整；</w:t>
      </w:r>
    </w:p>
    <w:p w14:paraId="15545B4A">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（2）合同中包含价格清单，合同价格按照如下规则调整：</w:t>
      </w:r>
    </w:p>
    <w:p w14:paraId="70A54A13">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1）价格清单中有适用于变更工程项目的，应采用该项目的费率和价格；</w:t>
      </w:r>
    </w:p>
    <w:p w14:paraId="47A8F56F">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2）价格清单中没有适用但有类似于变更工程项目的，可在合理范围内参照类似项目的费率或价格；</w:t>
      </w:r>
    </w:p>
    <w:p w14:paraId="72C8B75C">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3）价格清单中没有适用也没有类似于变更工程项目的，该工程项目应按成本加利润原则调整适用新的费率或价格。</w:t>
      </w:r>
    </w:p>
    <w:p w14:paraId="750F2FC3">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13.3.3.2变更估价程序</w:t>
      </w:r>
    </w:p>
    <w:p w14:paraId="35984B4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承包人应在收到变更指示后14天内，向工程师提交变更估价申请。工程师应在收到承包人提交的变更估价申请后7天内审查完毕并报送发包人，工程师对变更估价申请有异议，通知承包人修改后重新提交。发包人应在承包人提交变更估价申请后14天内审批完毕。发包人逾期未完成审批或未提出异议的，视为认可承包人提交的变更估价申请。</w:t>
      </w:r>
    </w:p>
    <w:p w14:paraId="70FD5E0A">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因变更引起的价格调整应计入最近一期的进度款中支付。</w:t>
      </w:r>
    </w:p>
    <w:p w14:paraId="5F28A33E">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13.3.4变更引起的工期调整</w:t>
      </w:r>
    </w:p>
    <w:p w14:paraId="6204C58A">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因变更引起工期变化的，合同当事人均可要求调整合同工期，由合同当事人按照第3.6款[商定或确定]并参考工程所在地的工期定额标准确定增减工期天数。</w:t>
      </w:r>
    </w:p>
    <w:p w14:paraId="056E3656">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13.4暂估价</w:t>
      </w:r>
    </w:p>
    <w:p w14:paraId="35BBE990">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13.4.1依法必须招标的暂估价项目</w:t>
      </w:r>
    </w:p>
    <w:p w14:paraId="7CA018A8">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对于依法必须招标的暂估价项目，专用合同条件约定由承包人作为招标人的，招标文件、评标方案、评标结果应报送发包人批准。与组织招标工作有关的费用应当被认为已经包括在承包人的签约合同价中。</w:t>
      </w:r>
    </w:p>
    <w:p w14:paraId="464A46BD">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专用合同条件约定由发包人和承包人共同作为招标人的，与组织招标工作有关的费用在专用合同条件中约定。</w:t>
      </w:r>
    </w:p>
    <w:p w14:paraId="40B56413">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具体的招标程序以及发包人和承包人权利义务关系可在专用合同条件中约定。暂估价项目的中标金额与价格清单中所列暂估价的金额差以及相应的税金等其他费用应列入合同价格。</w:t>
      </w:r>
    </w:p>
    <w:p w14:paraId="4A6431F4">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13.4.2不属于依法必须招标的暂估价项目</w:t>
      </w:r>
    </w:p>
    <w:p w14:paraId="3CEE48EE">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对于不属于依法必须招标的暂估价项目，承包人具备实施暂估价项目的资格和条件的，经发包人和承包人协商一致后，可由承包人自行实施暂估价项目，具体的协商和估价程序以及发包人和承包人权利义务关系可在专用合同条件中约定。确定后的暂估价项目金额与价格清单中所列暂估价的金额差以及相应的税金等其他费用应列入合同价格。</w:t>
      </w:r>
    </w:p>
    <w:p w14:paraId="5C92C9F1">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14:paraId="52A88D59">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13.5暂列金额</w:t>
      </w:r>
    </w:p>
    <w:p w14:paraId="2ED47C52">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除专用合同条件另有约定外，每一笔暂列金额只能按照发包人的指示全部或部分使用，并对合同价格进行相应调整。付给承包人的总金额应仅包括发包人已指示的，与暂列金额相关的工作、货物或服务的应付款项。</w:t>
      </w:r>
    </w:p>
    <w:p w14:paraId="341F27E8">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对于每笔暂列金额，发包人可以指示用于下列支付：</w:t>
      </w:r>
    </w:p>
    <w:p w14:paraId="346B245C">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（1）发包人根据第13.1款[发包人变更权]指示变更，决定对合同价格和付款计划表（如有）进行调整的、由承包人实施的工作（包括要提供的工程设备、材料和服务）；</w:t>
      </w:r>
    </w:p>
    <w:p w14:paraId="7FDCE1FF">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承包人购买的工程设备、材料、工作或服务，应支付包括承包人已付（或应付）的实际金额以及相应的管理费等费用和利润（管理费和利润应以实际金额为基数根据合同约定的费率（如有）或百分比计算）。</w:t>
      </w:r>
    </w:p>
    <w:p w14:paraId="3D31AF61">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发包人根据上述</w:t>
      </w:r>
      <w:r>
        <w:rPr>
          <w:rFonts w:hint="eastAsia" w:ascii="宋体" w:hAnsi="宋体" w:cs="宋体"/>
          <w:color w:val="auto"/>
          <w:lang w:eastAsia="zh-CN"/>
        </w:rPr>
        <w:t>（</w:t>
      </w:r>
      <w:r>
        <w:rPr>
          <w:rFonts w:hint="eastAsia" w:ascii="宋体" w:hAnsi="宋体" w:cs="宋体"/>
          <w:color w:val="auto"/>
        </w:rPr>
        <w:t>1</w:t>
      </w:r>
      <w:r>
        <w:rPr>
          <w:rFonts w:hint="eastAsia" w:ascii="宋体" w:hAnsi="宋体" w:cs="宋体"/>
          <w:color w:val="auto"/>
          <w:lang w:eastAsia="zh-CN"/>
        </w:rPr>
        <w:t>）</w:t>
      </w:r>
      <w:r>
        <w:rPr>
          <w:rFonts w:hint="eastAsia" w:ascii="宋体" w:hAnsi="宋体" w:cs="宋体"/>
          <w:color w:val="auto"/>
        </w:rPr>
        <w:t>和（或）</w:t>
      </w:r>
      <w:r>
        <w:rPr>
          <w:rFonts w:hint="eastAsia" w:ascii="宋体" w:hAnsi="宋体" w:cs="宋体"/>
          <w:color w:val="auto"/>
          <w:lang w:eastAsia="zh-CN"/>
        </w:rPr>
        <w:t>（</w:t>
      </w:r>
      <w:r>
        <w:rPr>
          <w:rFonts w:hint="eastAsia" w:ascii="宋体" w:hAnsi="宋体" w:cs="宋体"/>
          <w:color w:val="auto"/>
        </w:rPr>
        <w:t>2</w:t>
      </w:r>
      <w:r>
        <w:rPr>
          <w:rFonts w:hint="eastAsia" w:ascii="宋体" w:hAnsi="宋体" w:cs="宋体"/>
          <w:color w:val="auto"/>
          <w:lang w:eastAsia="zh-CN"/>
        </w:rPr>
        <w:t>）</w:t>
      </w:r>
      <w:r>
        <w:rPr>
          <w:rFonts w:hint="eastAsia" w:ascii="宋体" w:hAnsi="宋体" w:cs="宋体"/>
          <w:color w:val="auto"/>
        </w:rPr>
        <w:t>指示支付暂列金额的，可以要求承包人提交其供应商提供的全部或部分要实施的工程或拟购买的工程设备、材料、工作或服务的项目报价单。发包人可以发出通知指示承包人接受其中的一个报价或指示撤销支付，发包人在收到项目报价单的7天内未作回应的，承包人应有权自行接受其中任何一个报价。</w:t>
      </w:r>
    </w:p>
    <w:p w14:paraId="45526AA8">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每份包含暂列金额的文件还应包括用以证明暂列金额的所有有效的发票、凭证和账户或收据。</w:t>
      </w:r>
    </w:p>
    <w:p w14:paraId="10C5AE08">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13.6计日工</w:t>
      </w:r>
    </w:p>
    <w:p w14:paraId="4CC5A300">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13.6.1需要采用计日工方式的，经发包人同意后，由工程师通知承包人以计日工计价方式实施相应的工作，其价款按列入价格清单或预算书中的计日工计价项目及其单价进行计算；价格清单或预算书中无相应的计日工单价的，按照合理的成本与利润构成的原则，由工程师按照第3.6款[商定或确定]确定计日工的单价。</w:t>
      </w:r>
    </w:p>
    <w:p w14:paraId="237A7870">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13.6.2采用计日工计价的任何一项工作，承包人应在该项工作实施过程中，每天提交以下报表和有关凭证报送工程师审查：</w:t>
      </w:r>
    </w:p>
    <w:p w14:paraId="7D99565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（1）工作名称、内容和数量；</w:t>
      </w:r>
    </w:p>
    <w:p w14:paraId="63C807A6">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（2）投入该工作的所有人员的姓名、专业、工种、级别和耗用工时；</w:t>
      </w:r>
    </w:p>
    <w:p w14:paraId="71B7B57F">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（3）投入该工作的材料类别和数量；</w:t>
      </w:r>
    </w:p>
    <w:p w14:paraId="5399E050">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（4）投入该工作的施工设备型号、台数和耗用台时；</w:t>
      </w:r>
    </w:p>
    <w:p w14:paraId="34FD163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（5）其他有关资料和凭证。</w:t>
      </w:r>
    </w:p>
    <w:p w14:paraId="771826C0">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计日工由承包人汇总后，列入最近一期进度付款申请单，由工程师审查并经发包人批准后列入进度付款。</w:t>
      </w:r>
    </w:p>
    <w:p w14:paraId="220CC5E2">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13.7法律变化引起的调整</w:t>
      </w:r>
    </w:p>
    <w:p w14:paraId="781AEDB1">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13.7.1基准日期后，法律变化导致承包人在合同履行过程中所需要的费用发生除第13.8款[市场价格波动引起的调整]约定以外的增加时，由发包人承担由此增加的费用；减少时，应从合同价格中予以扣减。基准日期后，因法律变化造成工期延误时，工期应予以顺延。</w:t>
      </w:r>
    </w:p>
    <w:p w14:paraId="42CAA74B">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13.7.2因法律变化引起的合同价格和工期调整，合同当事人无法达成一致的，由工程师按第3.6款[商定或确定]的约定处理。</w:t>
      </w:r>
    </w:p>
    <w:p w14:paraId="275ED61A">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13.7.3因承包人原因造成工期延误，在工期延误期间出现法律变化的，由此增加的费用和（或）延误的工期由承包人承担。</w:t>
      </w:r>
    </w:p>
    <w:p w14:paraId="190E9C7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13.7.4因法律变化而需要对工程的实施进行任何调整的，承包人应迅速通知发包人，或者发包人应迅速通知承包人，并附上详细的辅助资料。发包人接到通知后，应根据第13.3款[变更程序]发出变更指示。</w:t>
      </w:r>
    </w:p>
    <w:p w14:paraId="4656B86B">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13.8市场价格波动引起的调整</w:t>
      </w:r>
    </w:p>
    <w:p w14:paraId="0E36B53F">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13.8.1主要工程材料、设备、人工价格与招标时基期价相比，波动幅度超过合同约定幅度的，双方按照合同约定的价格调整方式调整。</w:t>
      </w:r>
    </w:p>
    <w:p w14:paraId="507B6D6B">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13.8.2发包人与承包人在专用合同条件中约定采用《价格指数权重表》的，适用本项约定。</w:t>
      </w:r>
    </w:p>
    <w:p w14:paraId="2BE4A0C1">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13.8.2.1双方当事人可以将部分主要工程材料、工程设备、人工价格及其他双方认为应当根据市场价格调整的费用列入附件6[价格指数权重表]，并根据以下公式计算差额并调整合同价格：</w:t>
      </w:r>
    </w:p>
    <w:p w14:paraId="325A18C6">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（1）价格调整公式</w:t>
      </w:r>
    </w:p>
    <w:p w14:paraId="2AAC2D53">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公式中：△P---需调整的价格差额；</w:t>
      </w:r>
    </w:p>
    <w:p w14:paraId="4A9CDE09">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PO---付款证书中承包人应得到的已完成工作量的金额。此项金额应不包括价格调整、不计质量保证金的预留和支付、预付款的支付和扣回。第13条[变更与调整]约定的变更及其他金额已按当期价格计价的，也不计在内；</w:t>
      </w:r>
    </w:p>
    <w:p w14:paraId="1D6FA71F">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A---定值权重（即不调部分的权重）；</w:t>
      </w:r>
    </w:p>
    <w:p w14:paraId="63727A3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B1；B2；B3；……Bn---各可调因子的变值权重（即可调部分的权重）为各可调因子在投标函投标总报价中所占的比例，且A+B1+B2+B3+……+Bn=1；</w:t>
      </w:r>
    </w:p>
    <w:p w14:paraId="39FBF209">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Ft1；Ft2；Ft3；……Ftn---各可调因子的当期价格指数，指付款证书相关周期最后一天的前42天的各可调因子的价格指数；</w:t>
      </w:r>
    </w:p>
    <w:p w14:paraId="0F0C98EC">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F01；F02；F03；……F0n---各可调因子的基本价格指数，指基准日期的各可调因子的价格指数。</w:t>
      </w:r>
    </w:p>
    <w:p w14:paraId="66540AAC">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以上价格调整公式中的各可调因子、定值和变值权重，以及基本价格指数及其来源在投标函附录价格指数和权重表中约定。价格指数应首先采用投标函附录中载明的有关部门提供的价格指数，缺乏上述价格指数时，可采用有关部门提供的价格代替。</w:t>
      </w:r>
    </w:p>
    <w:p w14:paraId="5D744BD3">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（2）暂时确定调整差额</w:t>
      </w:r>
    </w:p>
    <w:p w14:paraId="34EE55E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在计算调整差额时得不到当期价格指数的，可暂用上一次价格指数计算，并在以后的付款中再按实际价格指数进行调整。</w:t>
      </w:r>
    </w:p>
    <w:p w14:paraId="3FE4BF7B">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（3）权重的调整</w:t>
      </w:r>
    </w:p>
    <w:p w14:paraId="419F4677">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按第13.1款[发包人变更权]约定的变更导致原定合同中的权重不合理的，由工程师与承包人和发包人协商后进行调整。</w:t>
      </w:r>
    </w:p>
    <w:p w14:paraId="2D815000">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（4）承包人原因工期延误后的价格调整</w:t>
      </w:r>
    </w:p>
    <w:p w14:paraId="244FB450">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因承包人原因未在约定的工期内竣工的，则对原约定竣工日期后继续施工的工程，在使用本款第</w:t>
      </w:r>
      <w:r>
        <w:rPr>
          <w:rFonts w:hint="eastAsia" w:ascii="宋体" w:hAnsi="宋体" w:cs="宋体"/>
          <w:color w:val="auto"/>
          <w:lang w:eastAsia="zh-CN"/>
        </w:rPr>
        <w:t>（</w:t>
      </w:r>
      <w:r>
        <w:rPr>
          <w:rFonts w:hint="eastAsia" w:ascii="宋体" w:hAnsi="宋体" w:cs="宋体"/>
          <w:color w:val="auto"/>
        </w:rPr>
        <w:t>1</w:t>
      </w:r>
      <w:r>
        <w:rPr>
          <w:rFonts w:hint="eastAsia" w:ascii="宋体" w:hAnsi="宋体" w:cs="宋体"/>
          <w:color w:val="auto"/>
          <w:lang w:eastAsia="zh-CN"/>
        </w:rPr>
        <w:t>）</w:t>
      </w:r>
      <w:r>
        <w:rPr>
          <w:rFonts w:hint="eastAsia" w:ascii="宋体" w:hAnsi="宋体" w:cs="宋体"/>
          <w:color w:val="auto"/>
        </w:rPr>
        <w:t>项价格调整公式时，应采用原约定竣工日期与实际竣工日期的两个价格指数中较低的一个作为当期价格指数。</w:t>
      </w:r>
    </w:p>
    <w:p w14:paraId="298ABED2">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（5）发包人引起的工期延误后的价格调整</w:t>
      </w:r>
    </w:p>
    <w:p w14:paraId="7269AD9F">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由于发包人原因未在约定的工期内竣工的，则对原约定竣工日期后继续施工的工程，在使用本款第（1）目价格调整公式时，应采用原约定竣工日期与实际竣工日期的两个价格指数中较高的一个作为当期价格指数。</w:t>
      </w:r>
    </w:p>
    <w:p w14:paraId="6E41FDBB">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13.8.2.2未列入《价格指数权重表》的费用不因市场变化而调整。</w:t>
      </w:r>
    </w:p>
    <w:p w14:paraId="42F2F98C">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13.8.3双方约定采用其他方式调整合同价款的，以专用合同条件约定为准。</w:t>
      </w:r>
    </w:p>
    <w:p w14:paraId="2D2289AF">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第14条合同价格与支付</w:t>
      </w:r>
    </w:p>
    <w:p w14:paraId="4ED724CC">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14.1合同价格形式</w:t>
      </w:r>
    </w:p>
    <w:p w14:paraId="08C50658">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14.1.1除专用合同条件中另有约定外，本合同为总价合同，除根据第13条[变更与调整]，以及合同中</w:t>
      </w:r>
      <w:r>
        <w:rPr>
          <w:rFonts w:hint="eastAsia" w:ascii="宋体" w:hAnsi="宋体" w:cs="宋体"/>
          <w:color w:val="auto"/>
          <w:lang w:eastAsia="zh-CN"/>
        </w:rPr>
        <w:t>其他</w:t>
      </w:r>
      <w:r>
        <w:rPr>
          <w:rFonts w:hint="eastAsia" w:ascii="宋体" w:hAnsi="宋体" w:cs="宋体"/>
          <w:color w:val="auto"/>
        </w:rPr>
        <w:t>相关增减金额的约定进行调整外，合同价格不做调整。</w:t>
      </w:r>
    </w:p>
    <w:p w14:paraId="20EF558B">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14.1.2除专用合同条件另有约定外：</w:t>
      </w:r>
    </w:p>
    <w:p w14:paraId="5FBB125B">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（1）工程款的支付应以合同协议书约定的签约合同价格为基础，按照合同约定进行调整；</w:t>
      </w:r>
    </w:p>
    <w:p w14:paraId="038ABE9D">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（2）承包人应支付根据法律规定或合同约定应由其支付的各项税费，除第13.7款[法律变化引起的调整]约定外，合同价格不应因任何这些税费进行调整；</w:t>
      </w:r>
    </w:p>
    <w:p w14:paraId="38336893">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3）价格清单列出的任何数量仅为估算的工作量，不得将其视为要求承包人实施的工程的实际或准确的工作量。在价格清单中列出的任何工作量和价格数据应仅限用于变更和支付的参考资料，而不能用于其他目的。</w:t>
      </w:r>
    </w:p>
    <w:p w14:paraId="2C0482E2">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14.1.3合同约定工程的某部分按照实际完成的工程量进行支付的，应按照专用合同条件的约定进行计量和估价，并据此调整合同价格。</w:t>
      </w:r>
    </w:p>
    <w:p w14:paraId="2A2B11C9">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14.2预付款</w:t>
      </w:r>
    </w:p>
    <w:p w14:paraId="0B0AAE5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14.2.1预付款支付</w:t>
      </w:r>
    </w:p>
    <w:p w14:paraId="51A99020">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预付款的额度和支付按照专用合同条件约定执行。预付款应当专用于承包人为合同工程的设计和工程实施购置材料、工程设备、施工设备、修建临时设施以及组织施工队伍进场等合同工作。</w:t>
      </w:r>
    </w:p>
    <w:p w14:paraId="3C10861B">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除专用合同条件另有约定外，预付款在进度付款中同比例扣回。在颁发工程接收证书前，提前解除合同的，尚未扣完的预付款应与合同价款一并结算。</w:t>
      </w:r>
    </w:p>
    <w:p w14:paraId="1B4D9680">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发包人逾期支付预付款超过7天的，承包人有权向发包人发出要求预付的催告通知，发包人收到通知后7天内仍未支付的，承包人有权暂停施工，并按第15.1.1项[发包人违约的情形]执行。</w:t>
      </w:r>
    </w:p>
    <w:p w14:paraId="7AAB3E92">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14.2.2预付款担保</w:t>
      </w:r>
    </w:p>
    <w:p w14:paraId="69C86890">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发包人指示承包人提供预付款担保的，承包人应在发包人支付预付款7天前提供预付款担保，专用合同条件另有约定除外。预付款担保可采用银行保函、担保公司担保等形式，具体由合同当事人在专用合同条件中约定。在预付款完全扣回之前，承包人应保证预付款担保持续有效。</w:t>
      </w:r>
    </w:p>
    <w:p w14:paraId="391F63C4">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发包人在工程款中逐期扣回预付款后，预付款担保额度应相应减少，但剩余的预付款担保金额不得低于未被扣回的预付款金额。</w:t>
      </w:r>
    </w:p>
    <w:p w14:paraId="175FBADE">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14.3工程进度款</w:t>
      </w:r>
    </w:p>
    <w:p w14:paraId="335D2FEF">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14.3.1工程进度付款申请</w:t>
      </w:r>
    </w:p>
    <w:p w14:paraId="3836ABE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（1）人工费的申请</w:t>
      </w:r>
    </w:p>
    <w:p w14:paraId="78C4085B">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人工费应按月支付，工程师应在收到承包人人工费付款申请单以及相关资料后7天内完成审查并报送发包人，发包人应在收到后7天内完成审批并向承包人签发人工费支付证书，发包人应在人工费支付证书签发后7天内完成支付。已支付的人工费部分，发包人支付进度款时予以相应扣除。</w:t>
      </w:r>
    </w:p>
    <w:p w14:paraId="0259CC07">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（2）除专用合同条件另有约定外，承包人应在每月月末向工程师提交进度付款申请单，该进度付款申请单应包括下列内容：</w:t>
      </w:r>
    </w:p>
    <w:p w14:paraId="2B33926E">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1）截至本次付款周期内已完成工作对应的金额；</w:t>
      </w:r>
    </w:p>
    <w:p w14:paraId="619E968D">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2）扣除依据本款第（1）目约定中已扣除的人工费金额；</w:t>
      </w:r>
    </w:p>
    <w:p w14:paraId="2F65058D">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3）根据第13条[变更与调整]应增加和扣减的变更金额；</w:t>
      </w:r>
    </w:p>
    <w:p w14:paraId="6620E920">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4）根据第14.2款[预付款]约定应支付的预付款和扣减的返还预付款；</w:t>
      </w:r>
    </w:p>
    <w:p w14:paraId="2F5A0867">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5）根据第14.6.2项[质量保证金的预留]约定应预留的质量保证金金额；</w:t>
      </w:r>
    </w:p>
    <w:p w14:paraId="6B7B487A">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6）根据第19条[索赔]应增加和扣减的索赔金额；</w:t>
      </w:r>
    </w:p>
    <w:p w14:paraId="1D214092">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7）对已签发的进度款支付证书中出现错误的修正，应在本次进度付款中支付或扣除的金额；</w:t>
      </w:r>
    </w:p>
    <w:p w14:paraId="12F6B554">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8）根据合同约定应增加和扣减的其他金额。</w:t>
      </w:r>
    </w:p>
    <w:p w14:paraId="52FCA447">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14.3.2进度付款审核和支付</w:t>
      </w:r>
    </w:p>
    <w:p w14:paraId="273A6D51">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除专用合同条件另有约定外，工程师应在收到承包人进度付款申请单以及相关资料后7天内完成审查并报送发包人，发包人应在收到后7天内完成审批并向承包人签发进度款支付证书。发包人逾期（包括因工程师原因延误报送的时间）未完成审批且未提出异议的，视为已签发进度款支付证书。</w:t>
      </w:r>
    </w:p>
    <w:p w14:paraId="3268E3FE">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工程师对承包人的进度付款申请单有异议的，有权要求承包人修正和提供补充资料，承包人应提交修正后的进度付款申请单。工程师应在收到承包人修正后的进度付款申请单及相关资料后7天内完成审查并报送发包人，发包人应在收到工程师报送的进度付款申请单及相关资料后7天内，向承包人签发无异议部分的进度款支付证书。存在争议的部分，按照第20条[争议解决]的约定处理。</w:t>
      </w:r>
    </w:p>
    <w:p w14:paraId="73D66649">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除专用合同条件另有约定外，发包人应在进度款支付证书签发后14天内完成支付，发包人逾期支付进度款的，按照贷款市场报价利率（LPR）支付利息；逾期支付超过56天的，按照贷款市场报价利率（LPR）的两倍支付利息。</w:t>
      </w:r>
    </w:p>
    <w:p w14:paraId="4A5942CA">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发包人签发进度款支付证书，不表明发包人已同意、批准或接受了承包人完成的相应部分的工作。</w:t>
      </w:r>
    </w:p>
    <w:p w14:paraId="3AD279C1">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14.3.3进度付款的修正</w:t>
      </w:r>
    </w:p>
    <w:p w14:paraId="204096B8">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在对已签发的进度款支付证书进行阶段汇总和复核中发现错误、遗漏或重复的，发包人和承包人均有权提出修正申请。经发包人和承包人同意的修正，应在下期进度付款中支付或扣除。</w:t>
      </w:r>
    </w:p>
    <w:p w14:paraId="6EBD51C8">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14.4付款计划表</w:t>
      </w:r>
    </w:p>
    <w:p w14:paraId="76494FA0">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14.4.1付款计划表的编制要求</w:t>
      </w:r>
    </w:p>
    <w:p w14:paraId="71939344">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除专用合同条件另有约定外，付款计划表按如下要求编制：</w:t>
      </w:r>
    </w:p>
    <w:p w14:paraId="551D4D1E">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（1）付款计划表中所列的每期付款金额，应为第14.3.1项[工程进度付款申请]每期进度款的估算金额；</w:t>
      </w:r>
    </w:p>
    <w:p w14:paraId="0C9A22DA">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（2）实际进度与项目进度计划不一致的，合同当事人可按照第3.6款[商定或确定]修改付款计划表；</w:t>
      </w:r>
    </w:p>
    <w:p w14:paraId="75D8CCCC">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（3）不采用付款计划表的，承包人应向工程师提交按季度编制的支付估算付款计划表，用于支付参考。</w:t>
      </w:r>
    </w:p>
    <w:p w14:paraId="31D8EA3A">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14.4.2付款计划表的编制与审批</w:t>
      </w:r>
    </w:p>
    <w:p w14:paraId="30809C3E">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除专用合同条件另有约定外，承包人应根据第8.4款[项目进度计划]约定的项目进度计划、签约合同价和工程量等因素对总价合同进行分解，确定付款期数、计划每期达到的主要形象进度和（或）完成的主要计划工程量（含设计、采购、施工、竣工试验和竣工后试验等）等目标任务，编制付款计划表。其中人工费应按月确定付款期和付款计划。承包人应当在收到工程师和发包人批准的项目进度计划后7天内，将付款计划表及编制付款计划表的支持性资料报送工程师。</w:t>
      </w:r>
    </w:p>
    <w:p w14:paraId="34F91648">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（2）工程师应在收到付款计划表后7天内完成审核并报送发包人。发包人应在收到经工程师审核的付款计划表后7天内完成审批，经发包人批准的付款计划表为有约束力的付款计划表。</w:t>
      </w:r>
    </w:p>
    <w:p w14:paraId="3CE39B31">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（3）发包人逾期未完成付款计划表审批的，也未及时要求承包人进行修正和提供补充资料的，则承包人提交的付款计划表视为已经获得发包人批准。</w:t>
      </w:r>
    </w:p>
    <w:p w14:paraId="3B870C51">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14.5竣工结算</w:t>
      </w:r>
    </w:p>
    <w:p w14:paraId="0181711D">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14.5.1竣工结算申请</w:t>
      </w:r>
    </w:p>
    <w:p w14:paraId="0A4EC6DD">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除专用合同条件另有约定外，承包人应在工程竣工验收合格后42天内向工程师提交竣工结算申请单，并提交完整的结算资料，有关竣工结算申请单的资料清单和份数等要求由合同当事人在专用合同条件中约定。</w:t>
      </w:r>
    </w:p>
    <w:p w14:paraId="65948D2F">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除专用合同条件另有约定外，竣工结算申请单应包括以下内容：</w:t>
      </w:r>
    </w:p>
    <w:p w14:paraId="0F9699C2">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（1）竣工结算合同价格；</w:t>
      </w:r>
    </w:p>
    <w:p w14:paraId="59316BD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（2）发包人已支付承包人的款项；</w:t>
      </w:r>
    </w:p>
    <w:p w14:paraId="409FF5A2">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3）采用第14.6.1项[承包人提供质量保证金的方式]第（2）种方式提供质量保证金的，应当列明应预留的质量保证金金额；采用第14.6.1项[承包人提供质量保证金的方式]中其他方式提供质量保证金的，应当按第14.6款[质量保证金]提供相关文件作为附件；</w:t>
      </w:r>
    </w:p>
    <w:p w14:paraId="7ACFDF91">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（4）发包人应支付承包人的合同价款。</w:t>
      </w:r>
    </w:p>
    <w:p w14:paraId="1EE85A9F">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14.5.2竣工结算审核</w:t>
      </w:r>
    </w:p>
    <w:p w14:paraId="2721D1AC">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除专用合同条件另有约定外，工程师应在收到竣工结算申请单后14天内完成核查并报送发包人。发包人应在收到工程师提交的经审核的竣工结算申请单后14天内完成审批，并由工程师向承包人签发经发包人签认的竣工付款证书。工程师或发包人对竣工结算申请单有异议的，有权要求承包人进行修正和提供补充资料，承包人应提交修正后的竣工结算申请单。</w:t>
      </w:r>
    </w:p>
    <w:p w14:paraId="197E845E">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发包人在收到承包人提交竣工结算申请书后28天内未完成审批且未提出异议的，视为发包人认可承包人提交的竣工结算申请单，并自发包人收到承包人提交的竣工结算申请单后第29天起视为已签发竣工付款证书。</w:t>
      </w:r>
    </w:p>
    <w:p w14:paraId="7F3314AD">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除专用合同条件另有约定外，发包人应在签发竣工付款证书后的14天内，完成对承包人的竣工付款。发包人逾期支付的，按照贷款市场报价利率（LPR）支付违约金；逾期支付超过56天的，按照贷款市场报价利率（LPR）的两倍支付违约金。</w:t>
      </w:r>
    </w:p>
    <w:p w14:paraId="52CA338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3）承包人对发包人签认的竣工付款证书有异议的，对于有异议部分应在收到发包人签认的竣工付款证书后7天内提出异议，并由合同当事人按照专用合同条件约定的方式和程序进行复核，或按照第20条[争议解决]约定处理。对于无异议部分，发包人应签发临时竣工付款证书，并按本款第（2）项完成付款。承包人逾期未提出异议的，视为认可发包人的审批结果。</w:t>
      </w:r>
    </w:p>
    <w:p w14:paraId="342DD8D9">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14.5.3扫尾工作清单</w:t>
      </w:r>
    </w:p>
    <w:p w14:paraId="199BBCE9">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经双方协商，部分工作在工程竣工验收后进行的，承包人应当编制扫尾工作清单，扫尾工作清单中应当列明承包人应当完成的扫尾工作的内容及完成时间。</w:t>
      </w:r>
    </w:p>
    <w:p w14:paraId="2B310B4E">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承包人完成扫尾工作清单中的内容应取得的费用包含在第14.5.1项[竣工结算申请]及第14.5.2项[竣工结算审核]中一并结算。</w:t>
      </w:r>
    </w:p>
    <w:p w14:paraId="64E25AB7">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扫尾工作的缺陷责任期按第11条[缺陷责任与保修]处理。承包人未能按照扫尾工作清单约定的完成时间完成扫尾工作的，视为承包人原因导致的工程质量缺陷按照第11.3款[缺陷调查]处理。</w:t>
      </w:r>
    </w:p>
    <w:p w14:paraId="07C04C27">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14.6质量保证金</w:t>
      </w:r>
    </w:p>
    <w:p w14:paraId="1819DD92">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经合同当事人协商一致提供质量保证金的，应在专用合同条件中予以明确。在工程项目竣工前，承包人已经提供履约担保的，发包人不得同时要求承包人提供质量保证金。</w:t>
      </w:r>
    </w:p>
    <w:p w14:paraId="51088414">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14.6.1承包人提供质量保证金的方式</w:t>
      </w:r>
    </w:p>
    <w:p w14:paraId="61EFE6FC">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承包人提供质量保证金有以下三种方式：</w:t>
      </w:r>
    </w:p>
    <w:p w14:paraId="3DDB6EDB">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（1）提交工程质量保证担保；</w:t>
      </w:r>
    </w:p>
    <w:p w14:paraId="360C14C8">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（2）预留相应比例的工程款；</w:t>
      </w:r>
    </w:p>
    <w:p w14:paraId="41A66846">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（3）双方约定的其他方式。</w:t>
      </w:r>
    </w:p>
    <w:p w14:paraId="2A1727EA">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除专用合同条件另有约定外，质量保证金原则上采用上述第（1）种方式，且承包人应在工程竣工验收合格后7天内，向发包人提交工程质量保证担保。承包人提交工程质量保证担保时，发包人应同时返还预留的作为质量保证金的工程价款（如有）。但不论承包人以何种方式提供质量保证金，累计金额均不得高于工程价款结算总额的3%。</w:t>
      </w:r>
    </w:p>
    <w:p w14:paraId="5FE496E9">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14.6.2质量保证金的预留</w:t>
      </w:r>
    </w:p>
    <w:p w14:paraId="6FCCBB22">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双方约定采用预留相应比例的工程款方式提供质量保证金的，质量保证金的预留有以下三种方式：</w:t>
      </w:r>
    </w:p>
    <w:p w14:paraId="4191666C">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按专用合同条件的约定在支付工程进度款时逐次预留，直至预留的质量保证金总额达到专用合同条件约定的金额或比例为止。在此情形下，质量保证金的计算基数不包括预付款的支付、扣回以及价格调整的金额；</w:t>
      </w:r>
    </w:p>
    <w:p w14:paraId="2EF29646">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（2）工程竣工结算时一次性预留质量保证金；</w:t>
      </w:r>
    </w:p>
    <w:p w14:paraId="6CD5D66A">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（3）双方约定的其他预留方式。</w:t>
      </w:r>
    </w:p>
    <w:p w14:paraId="4E11121C">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除专用合同条件另有约定外，质量保证金的预留原则上采用上述第（1）种方式。如承包人在发包人签发竣工付款证书后28天内提交工程质量保证担保，发包人应同时返还预留的作为质量保证金的工程价款。发包人在返还本条款项下的质量保证金的同时，按照中国人民银行同期同类存款基准利率支付利息。</w:t>
      </w:r>
    </w:p>
    <w:p w14:paraId="052104C6">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14.6.3质量保证金的返还</w:t>
      </w:r>
    </w:p>
    <w:p w14:paraId="009FD096">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缺陷责任期内，承包人认真履行合同约定的责任，缺陷责任期满，发包人根据第11.6款[缺陷责任期终止证书]向承包人颁发缺陷责任期终止证书后，承包人可向发包人申请返还质量保证金。</w:t>
      </w:r>
    </w:p>
    <w:p w14:paraId="419FCF5A">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发包人在接到承包人返还质量保证金申请后，应于7天内将质量保证金返还承包人，逾期未返还的，应承担违约责任。发包人在接到承包人返还质量保证金申请后7天内不予答复，视同认可承包人的返还质量保证金申请。</w:t>
      </w:r>
    </w:p>
    <w:p w14:paraId="0352214B">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发包人和承包人对质量保证金预留、返还以及工程维修质量、费用有争议的，按本合同第20条[争议解决]约定的争议和纠纷解决程序处理。</w:t>
      </w:r>
    </w:p>
    <w:p w14:paraId="7BD8A76E">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14.7最终结清</w:t>
      </w:r>
    </w:p>
    <w:p w14:paraId="776D3CC6">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14.7.1最终结清申请单</w:t>
      </w:r>
    </w:p>
    <w:p w14:paraId="39949B1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（1）除专用合同条件另有约定外，承包人应在缺陷责任期终止证书颁发后7天内，按专用合同条件约定的份数向发包人提交最终结清申请单，并提供相关证明材料。</w:t>
      </w:r>
    </w:p>
    <w:p w14:paraId="05BD7CCC">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除专用合同条件另有约定外，最终结清申请单应列明质量保证金、应扣除的质量保证金、缺陷责任期内发生的增减费用。</w:t>
      </w:r>
    </w:p>
    <w:p w14:paraId="11FD02C3">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（2）发包人对最终结清申请单内容有异议的，有权要求承包人进行修正和提供补充资料，承包人应向发包人提交修正后的最终结清申请单。</w:t>
      </w:r>
    </w:p>
    <w:p w14:paraId="6C7418D9">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14.7.2最终结清证书和支付</w:t>
      </w:r>
    </w:p>
    <w:p w14:paraId="0F1D45E8">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除专用合同条件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p>
    <w:p w14:paraId="2570D85A">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除专用合同条件另有约定外，发包人应在颁发最终结清证书后7天内完成支付。发包人逾期支付的，按照贷款市场报价利率（LPR）支付利息；逾期支付超过56天的，按照贷款市场报价利率（LPR）的两倍支付利息。</w:t>
      </w:r>
    </w:p>
    <w:p w14:paraId="79A731C2">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（3）承包人对发包人颁发的最终结清证书有异议的，按第20条[争议解决]的约定办理。</w:t>
      </w:r>
    </w:p>
    <w:p w14:paraId="53125339">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第15条违约</w:t>
      </w:r>
    </w:p>
    <w:p w14:paraId="067FB272">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15.1发包人违约</w:t>
      </w:r>
    </w:p>
    <w:p w14:paraId="3F59CFE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15.1.1发包人违约的情形</w:t>
      </w:r>
    </w:p>
    <w:p w14:paraId="37F17C4A">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除专用合同条件另有约定外，在合同履行过程中发生的下列情形，属于发包人违约：</w:t>
      </w:r>
    </w:p>
    <w:p w14:paraId="513048FE">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（1）因发包人原因导致开始工作日期延误的；</w:t>
      </w:r>
    </w:p>
    <w:p w14:paraId="7A0E67FE">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（2）因发包人原因未能按合同约定支付合同价款的；</w:t>
      </w:r>
    </w:p>
    <w:p w14:paraId="032ED18B">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（3）发包人违反第13.1.1项约定，自行实施被取消的工作或转由他人实施的；</w:t>
      </w:r>
    </w:p>
    <w:p w14:paraId="177DA12B">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（4）因发包人违反合同约定造成工程暂停施工的；</w:t>
      </w:r>
    </w:p>
    <w:p w14:paraId="3028D82F">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（5）工程师无正当理由没有在约定期限内发出复工指示，导致承包人无法复工的；</w:t>
      </w:r>
    </w:p>
    <w:p w14:paraId="0CC19B6C">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（6）发包人明确表示或者以其行为表明不履行合同主要义务的；</w:t>
      </w:r>
    </w:p>
    <w:p w14:paraId="37785A9A">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（7）发包人未能按照合同约定履行其他义务的。</w:t>
      </w:r>
    </w:p>
    <w:p w14:paraId="52D5BBB2">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15.1.2通知改正</w:t>
      </w:r>
    </w:p>
    <w:p w14:paraId="15A009A7">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发包人发生除第15.1.1项第</w:t>
      </w:r>
      <w:r>
        <w:rPr>
          <w:rFonts w:hint="eastAsia" w:ascii="宋体" w:hAnsi="宋体" w:cs="宋体"/>
          <w:color w:val="auto"/>
          <w:lang w:eastAsia="zh-CN"/>
        </w:rPr>
        <w:t>（</w:t>
      </w:r>
      <w:r>
        <w:rPr>
          <w:rFonts w:hint="eastAsia" w:ascii="宋体" w:hAnsi="宋体" w:cs="宋体"/>
          <w:color w:val="auto"/>
        </w:rPr>
        <w:t>6</w:t>
      </w:r>
      <w:r>
        <w:rPr>
          <w:rFonts w:hint="eastAsia" w:ascii="宋体" w:hAnsi="宋体" w:cs="宋体"/>
          <w:color w:val="auto"/>
          <w:lang w:eastAsia="zh-CN"/>
        </w:rPr>
        <w:t>）</w:t>
      </w:r>
      <w:r>
        <w:rPr>
          <w:rFonts w:hint="eastAsia" w:ascii="宋体" w:hAnsi="宋体" w:cs="宋体"/>
          <w:color w:val="auto"/>
        </w:rPr>
        <w:t>目以外的违约情况时，承包人可向发包人发出通知，要求发包人采取有效措施纠正违约行为。发包人收到承包人通知后28天内仍不纠正违约行为的，承包人有权暂停相应部位工程实施，并通知工程师。</w:t>
      </w:r>
    </w:p>
    <w:p w14:paraId="57905E69">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15.1.3发包人违约的责任</w:t>
      </w:r>
    </w:p>
    <w:p w14:paraId="0339978E">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发包人应承担因其违约给承包人增加的费用和（或）延误的工期，并支付承包人合理的利润。此外，合同当事人可在专用合同条件中另行约定发包人违约责任的承担方式和计算方法。</w:t>
      </w:r>
    </w:p>
    <w:p w14:paraId="47116810">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15.2承包人违约</w:t>
      </w:r>
    </w:p>
    <w:p w14:paraId="2B99D7DA">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15.2.1承包人违约的情形</w:t>
      </w:r>
    </w:p>
    <w:p w14:paraId="7E9F7F81">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除专用合同条件另有约定外，在履行合同过程中</w:t>
      </w:r>
      <w:r>
        <w:rPr>
          <w:rFonts w:hint="eastAsia" w:ascii="宋体" w:hAnsi="宋体" w:cs="宋体"/>
          <w:color w:val="auto"/>
          <w:lang w:eastAsia="zh-CN"/>
        </w:rPr>
        <w:t>发生</w:t>
      </w:r>
      <w:r>
        <w:rPr>
          <w:rFonts w:hint="eastAsia" w:ascii="宋体" w:hAnsi="宋体" w:cs="宋体"/>
          <w:color w:val="auto"/>
        </w:rPr>
        <w:t>下列情况之一的，属于承包人违约：</w:t>
      </w:r>
    </w:p>
    <w:p w14:paraId="7DAEC81C">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（1）承包人的原因导致的承包人文件、实施和竣工的工程不符合法律法规、工程质量验收标准以及合同约定；</w:t>
      </w:r>
    </w:p>
    <w:p w14:paraId="54264951">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（2）承包人违反合同约定进行转包或违法分包的；</w:t>
      </w:r>
    </w:p>
    <w:p w14:paraId="125F875F">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（3）承包人违反约定采购和使用不合格材料或工程设备；</w:t>
      </w:r>
    </w:p>
    <w:p w14:paraId="1CE0CB91">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（4）因承包人原因导致工程质量不符合合同要求的；</w:t>
      </w:r>
    </w:p>
    <w:p w14:paraId="570C2A0E">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（5）承包人未经工程师批准，擅自将已按合同约定进入施工现场的施工设备、临时设施或材料撤离施工现场；</w:t>
      </w:r>
    </w:p>
    <w:p w14:paraId="3857C030">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（6）承包人未能按项目进度计划及时完成合同约定的工作，造成工期延误；</w:t>
      </w:r>
    </w:p>
    <w:p w14:paraId="4B59A66D">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（7）由于承包人原因未能通过竣工试验或竣工后试验的；</w:t>
      </w:r>
    </w:p>
    <w:p w14:paraId="461C19F6">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（8）承包人在缺陷责任期及保修期内，未能在合理期</w:t>
      </w:r>
      <w:r>
        <w:rPr>
          <w:rFonts w:hint="eastAsia" w:ascii="宋体" w:hAnsi="宋体" w:cs="宋体"/>
          <w:color w:val="auto"/>
          <w:lang w:eastAsia="zh-CN"/>
        </w:rPr>
        <w:t>限内</w:t>
      </w:r>
      <w:r>
        <w:rPr>
          <w:rFonts w:hint="eastAsia" w:ascii="宋体" w:hAnsi="宋体" w:cs="宋体"/>
          <w:color w:val="auto"/>
        </w:rPr>
        <w:t>对工程缺陷进行修复，或拒绝按发包人指示进行修复的；</w:t>
      </w:r>
    </w:p>
    <w:p w14:paraId="2C0DECA1">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（9）承包人明确表示或者以其行为表明不履行合同主要义务的；</w:t>
      </w:r>
    </w:p>
    <w:p w14:paraId="373BB0BC">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（10）承包人未能按照合同约定履行其他义务的。</w:t>
      </w:r>
    </w:p>
    <w:p w14:paraId="05759611">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15.2.2通知改正</w:t>
      </w:r>
    </w:p>
    <w:p w14:paraId="7CBE5C2C">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承包人发生除第15.2.1项第</w:t>
      </w:r>
      <w:r>
        <w:rPr>
          <w:rFonts w:hint="eastAsia" w:ascii="宋体" w:hAnsi="宋体" w:cs="宋体"/>
          <w:color w:val="auto"/>
          <w:lang w:eastAsia="zh-CN"/>
        </w:rPr>
        <w:t>（</w:t>
      </w:r>
      <w:r>
        <w:rPr>
          <w:rFonts w:hint="eastAsia" w:ascii="宋体" w:hAnsi="宋体" w:cs="宋体"/>
          <w:color w:val="auto"/>
        </w:rPr>
        <w:t>7</w:t>
      </w:r>
      <w:r>
        <w:rPr>
          <w:rFonts w:hint="eastAsia" w:ascii="宋体" w:hAnsi="宋体" w:cs="宋体"/>
          <w:color w:val="auto"/>
          <w:lang w:eastAsia="zh-CN"/>
        </w:rPr>
        <w:t>）</w:t>
      </w:r>
      <w:r>
        <w:rPr>
          <w:rFonts w:hint="eastAsia" w:ascii="宋体" w:hAnsi="宋体" w:cs="宋体"/>
          <w:color w:val="auto"/>
        </w:rPr>
        <w:t>目、第</w:t>
      </w:r>
      <w:r>
        <w:rPr>
          <w:rFonts w:hint="eastAsia" w:ascii="宋体" w:hAnsi="宋体" w:cs="宋体"/>
          <w:color w:val="auto"/>
          <w:lang w:eastAsia="zh-CN"/>
        </w:rPr>
        <w:t>（</w:t>
      </w:r>
      <w:r>
        <w:rPr>
          <w:rFonts w:hint="eastAsia" w:ascii="宋体" w:hAnsi="宋体" w:cs="宋体"/>
          <w:color w:val="auto"/>
        </w:rPr>
        <w:t>9</w:t>
      </w:r>
      <w:r>
        <w:rPr>
          <w:rFonts w:hint="eastAsia" w:ascii="宋体" w:hAnsi="宋体" w:cs="宋体"/>
          <w:color w:val="auto"/>
          <w:lang w:eastAsia="zh-CN"/>
        </w:rPr>
        <w:t>）</w:t>
      </w:r>
      <w:r>
        <w:rPr>
          <w:rFonts w:hint="eastAsia" w:ascii="宋体" w:hAnsi="宋体" w:cs="宋体"/>
          <w:color w:val="auto"/>
        </w:rPr>
        <w:t>目约定以外的其他违约情况时，工程师可在专用合同条件约定的合理期限内向承包人发出整改通知，要求其在指定的期限内改正。</w:t>
      </w:r>
    </w:p>
    <w:p w14:paraId="4D3D848B">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15.2.3承包人违约的责任</w:t>
      </w:r>
    </w:p>
    <w:p w14:paraId="36970DE8">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承包人应承担因其违约行为而增加的费用和（或）延误的工期。此外，合同当事人可在专用合同条件中另行约定承包人违约责任的承担方式和计算方法。</w:t>
      </w:r>
    </w:p>
    <w:p w14:paraId="7740969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15.3第三人造成的违约</w:t>
      </w:r>
    </w:p>
    <w:p w14:paraId="0754A8D9">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在履行合同过程中，一方当事人因第三人的原因造成违约的，应当向对方当事人承担违约责任。一方当事人和第三人之间的纠纷，依照法律规定或者按照约定解决。</w:t>
      </w:r>
    </w:p>
    <w:p w14:paraId="19CFEF82">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第16条合同解除</w:t>
      </w:r>
    </w:p>
    <w:p w14:paraId="71868460">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16.1由发包人解除合同</w:t>
      </w:r>
    </w:p>
    <w:p w14:paraId="69AFDC8F">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16.1.1因承包人违约解除合同</w:t>
      </w:r>
    </w:p>
    <w:p w14:paraId="67DF4D0B">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除专用合同条件另有约定外，发包人有权基于下列原因，以书面形式通知承包人解除合同，解除通知中应注明是根据第16.1.1项发出的，发包人应在发出正式解除合同通知14天前告知承包人其解除合同意向，除非承包人在收到该解除合同意向通知后14天内采取了补救措施，否则发包人可向承包人发出正式解除合同通知立即解除合同。解除日期应为承包人收到正式解除合同通知的日期，但在第</w:t>
      </w:r>
      <w:r>
        <w:rPr>
          <w:rFonts w:hint="eastAsia" w:ascii="宋体" w:hAnsi="宋体" w:cs="宋体"/>
          <w:color w:val="auto"/>
          <w:lang w:eastAsia="zh-CN"/>
        </w:rPr>
        <w:t>（</w:t>
      </w:r>
      <w:r>
        <w:rPr>
          <w:rFonts w:hint="eastAsia" w:ascii="宋体" w:hAnsi="宋体" w:cs="宋体"/>
          <w:color w:val="auto"/>
        </w:rPr>
        <w:t>5</w:t>
      </w:r>
      <w:r>
        <w:rPr>
          <w:rFonts w:hint="eastAsia" w:ascii="宋体" w:hAnsi="宋体" w:cs="宋体"/>
          <w:color w:val="auto"/>
          <w:lang w:eastAsia="zh-CN"/>
        </w:rPr>
        <w:t>）</w:t>
      </w:r>
      <w:r>
        <w:rPr>
          <w:rFonts w:hint="eastAsia" w:ascii="宋体" w:hAnsi="宋体" w:cs="宋体"/>
          <w:color w:val="auto"/>
        </w:rPr>
        <w:t>目的情况下，发包人无须提前告知承包人其解除合同意向，可直接发出正式解除合同通知立即解除合同：</w:t>
      </w:r>
    </w:p>
    <w:p w14:paraId="7F23BFDF">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（1）承包人未能遵守第4.2款[履约担保]的约定；</w:t>
      </w:r>
    </w:p>
    <w:p w14:paraId="265606E9">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（2）承包人未能遵守第4.5款[分包]有关分包和转包的约定；</w:t>
      </w:r>
    </w:p>
    <w:p w14:paraId="7850CB83">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（3）承包人实际进度明显落后于进度计划，并且未按发包人的指令采取措施并修正进度计划；</w:t>
      </w:r>
    </w:p>
    <w:p w14:paraId="13237A34">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（4）工程质量有严重缺陷，承包人无正当理由使修复开始日期拖延达28天以上；</w:t>
      </w:r>
    </w:p>
    <w:p w14:paraId="4CC08971">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5）承包人破产、停业清理或进入清算程序，或情况表明承包人将进入破产和（或）清算程序，已有对其财产的接管令或管理令，与债权人达成和解，或为其债权人的利益在财产接管人、受托人或管理人的监督下营业，或采取了任何行动或发生任何事件（根据有关适用法律）具有与前述行动或事件相似的效果；</w:t>
      </w:r>
    </w:p>
    <w:p w14:paraId="5EB33B42">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（6）承包人明确表示或以自己的行为表明不履行合同</w:t>
      </w:r>
      <w:r>
        <w:rPr>
          <w:rFonts w:hint="eastAsia" w:ascii="宋体" w:hAnsi="宋体" w:cs="宋体"/>
          <w:color w:val="auto"/>
          <w:lang w:eastAsia="zh-CN"/>
        </w:rPr>
        <w:t>或</w:t>
      </w:r>
      <w:r>
        <w:rPr>
          <w:rFonts w:hint="eastAsia" w:ascii="宋体" w:hAnsi="宋体" w:cs="宋体"/>
          <w:color w:val="auto"/>
        </w:rPr>
        <w:t>经发包人以书面形式通知其履约后仍未能依约履行合同</w:t>
      </w:r>
      <w:r>
        <w:rPr>
          <w:rFonts w:hint="eastAsia" w:ascii="宋体" w:hAnsi="宋体" w:cs="宋体"/>
          <w:color w:val="auto"/>
          <w:lang w:eastAsia="zh-CN"/>
        </w:rPr>
        <w:t>或</w:t>
      </w:r>
      <w:r>
        <w:rPr>
          <w:rFonts w:hint="eastAsia" w:ascii="宋体" w:hAnsi="宋体" w:cs="宋体"/>
          <w:color w:val="auto"/>
        </w:rPr>
        <w:t>以不适当的方式履行合同；</w:t>
      </w:r>
    </w:p>
    <w:p w14:paraId="648FA16B">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（7）未能通过的竣工试验、未能通过的竣工后试验，使工程的任何部分和（或）整个工程丧失了主要使用功能、生产功能；</w:t>
      </w:r>
    </w:p>
    <w:p w14:paraId="365BCC9F">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（8）因承包人的原因暂停工作超过56天且暂停影响到整个工程，或因承包人的原因暂停工作超过182天；</w:t>
      </w:r>
    </w:p>
    <w:p w14:paraId="3DF1C6E8">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（9）承包人未能遵守第8.2款[竣工日期]规定，延误超过182天；</w:t>
      </w:r>
    </w:p>
    <w:p w14:paraId="23388050">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（10）工程师根据第15.2.2项[通知改正]发出整改通知后，承包人在指定的合理期限内仍不纠正违约行为并致使合同目的不能实现的。</w:t>
      </w:r>
    </w:p>
    <w:p w14:paraId="7E25DE33">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16.1.2因承包人违约解除合同后承包人的义务</w:t>
      </w:r>
    </w:p>
    <w:p w14:paraId="35C8A93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合同解除后，承包人应按以下约定执行：</w:t>
      </w:r>
    </w:p>
    <w:p w14:paraId="51651E2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（1）除了为保护生命、财产或工程安全、清理和必须执行的工作外，停止执行所有被通知解除的工作，并将相关人员撤离现场；</w:t>
      </w:r>
    </w:p>
    <w:p w14:paraId="311C5F7C">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（2）经发包人批准，承包人应将与被解除合同相关的和正在执行的分包合同及相关的责任和义务转让至发包人和（或）发包人指定方的名下，包括永久性工程及工程物资，以及相关工作；</w:t>
      </w:r>
    </w:p>
    <w:p w14:paraId="43FCC614">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（3）移交已完成的永久性工程及负责已运抵现场的工程物资。在移交前，妥善做好</w:t>
      </w:r>
      <w:r>
        <w:rPr>
          <w:rFonts w:hint="eastAsia" w:ascii="宋体" w:hAnsi="宋体" w:cs="宋体"/>
          <w:color w:val="auto"/>
          <w:lang w:eastAsia="zh-CN"/>
        </w:rPr>
        <w:t>已</w:t>
      </w:r>
      <w:r>
        <w:rPr>
          <w:rFonts w:hint="eastAsia" w:ascii="宋体" w:hAnsi="宋体" w:cs="宋体"/>
          <w:color w:val="auto"/>
        </w:rPr>
        <w:t>完工程和已运抵现场的工程物资的保管、维护和保养；</w:t>
      </w:r>
    </w:p>
    <w:p w14:paraId="7EFDE3BD">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（4）将发包人提供的所有信息及承包人为本工程编制的设计文件、技术资料及其它文件移交给发包人。在承包人留有的资料文件中，销毁与发包人提供的所有信息相关的数据及资料的备份；</w:t>
      </w:r>
    </w:p>
    <w:p w14:paraId="2DFED248">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（5）移交相应实施阶段已经付款的并已完成的和尚待完成的设计文件、图纸、资料、操作维修手册、施工组织设计、质检资料、竣工资料等；</w:t>
      </w:r>
    </w:p>
    <w:p w14:paraId="41109805">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16.1.3因承包人违约解除合同后的估价、付款和结算</w:t>
      </w:r>
    </w:p>
    <w:p w14:paraId="446B085D">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因承包人原因导致合同解除的，则合同当事人应在合同解除后28天内完成估价、付款和清算，并按以下约定执行：</w:t>
      </w:r>
    </w:p>
    <w:p w14:paraId="7CED9B73">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（1）合同解除后，按第3.6款[商定或确定]商定或确定承包人实际完成工作对应的合同价款，以及承包人已提供的材料、工程设备、施工设备和临时工程等的价值；</w:t>
      </w:r>
    </w:p>
    <w:p w14:paraId="1839914A">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（2）合同解除后，承包人应支付的违约金；</w:t>
      </w:r>
    </w:p>
    <w:p w14:paraId="7D632823">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（3）合同解除后，因解除合同给发包人造成的损失；</w:t>
      </w:r>
    </w:p>
    <w:p w14:paraId="78192A38">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（4）合同解除后，承包人应按照发包人的指示完成现场的清理和撤离；</w:t>
      </w:r>
    </w:p>
    <w:p w14:paraId="72CBF880">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（5）发包人和承包人应在合同解除后进行清算，出具最终结清付款证书，结清全部款项。</w:t>
      </w:r>
    </w:p>
    <w:p w14:paraId="2D5E31E2">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因承包人违约解除合同的，发包人有权暂停对承包人的付款，查清各项付款和已扣款项，发包人和承包人未能就合同解除后的清算和款项支付达成一致的，按照第20条[争议解决]的约定处理。</w:t>
      </w:r>
    </w:p>
    <w:p w14:paraId="6D7D8AD2">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16.1.4因承包人违约解除合同的合同权益转让</w:t>
      </w:r>
    </w:p>
    <w:p w14:paraId="75A7853A">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合同解除后，发包人可以继续完成工程，和（或）安排第三人完成。发包人有权要求承包人将其为实施合同而订立的材料和设备的订货合同或任何服务合同利益转让给发包人，并在承包人收到解除合同通知后的14天内，依法办理转让手续。发包人和（或）第三人有权使用承包人在施工现场的材料、设备、临时工程、承包人文件和由承包人或以其名义编制的其他文件。</w:t>
      </w:r>
    </w:p>
    <w:p w14:paraId="4B88070A">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16.2由承包人解除合同</w:t>
      </w:r>
    </w:p>
    <w:p w14:paraId="197B15FA">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16.2.1因发包人违约解除合同</w:t>
      </w:r>
    </w:p>
    <w:p w14:paraId="0D05E3A4">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除专用合同条件另有约定外，承包人有权基于下列原因，以书面形式通知发包人解除合同，解除通知中应注明是根据第16.2.1项发出的，承包人应在发出正式解除合同通知14天前告知发包人其解除合同意向，除非发包人在收到该解除合同意向通知后14天内采取了补救措施，否则承包人可向发包人发出正式解除合同通知立即解除合同。解除日期应为发包人收到正式解除合同通知的日期，但在第</w:t>
      </w:r>
      <w:r>
        <w:rPr>
          <w:rFonts w:hint="eastAsia" w:ascii="宋体" w:hAnsi="宋体" w:cs="宋体"/>
          <w:color w:val="auto"/>
          <w:lang w:eastAsia="zh-CN"/>
        </w:rPr>
        <w:t>（</w:t>
      </w:r>
      <w:r>
        <w:rPr>
          <w:rFonts w:hint="eastAsia" w:ascii="宋体" w:hAnsi="宋体" w:cs="宋体"/>
          <w:color w:val="auto"/>
        </w:rPr>
        <w:t>5</w:t>
      </w:r>
      <w:r>
        <w:rPr>
          <w:rFonts w:hint="eastAsia" w:ascii="宋体" w:hAnsi="宋体" w:cs="宋体"/>
          <w:color w:val="auto"/>
          <w:lang w:eastAsia="zh-CN"/>
        </w:rPr>
        <w:t>）</w:t>
      </w:r>
      <w:r>
        <w:rPr>
          <w:rFonts w:hint="eastAsia" w:ascii="宋体" w:hAnsi="宋体" w:cs="宋体"/>
          <w:color w:val="auto"/>
        </w:rPr>
        <w:t>目的情况下，承包人无须提前告知发包人其解除合同意向，可直接发出正式解除合同通知立即解除合同：</w:t>
      </w:r>
    </w:p>
    <w:p w14:paraId="7416DE21">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（1）承包人就发包人未能遵守第2.5.2项关于发包人的资金安排发出通知后42天内，仍未收到合理的证明；</w:t>
      </w:r>
    </w:p>
    <w:p w14:paraId="6FFE8D1B">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（2）在第14条规定的付款时间到期后42天内，承包人仍未收到应付款项；</w:t>
      </w:r>
    </w:p>
    <w:p w14:paraId="2BC647C4">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（3）发包人实质上未能根据合同约定履行其义务，构成根本性违约；</w:t>
      </w:r>
    </w:p>
    <w:p w14:paraId="2F988A26">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（4）发承包双方订立本合同协议书后的84天内，承包人未收到根据第8.1款[开始工作]的开始工作通知；</w:t>
      </w:r>
    </w:p>
    <w:p w14:paraId="458B0EF1">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5）发包人破产、停业清理或进入清算程序，或情况表明发包人将进入破产和（或）清算程序或发包人资信严重恶化，已有对其财产的接管令或管理令，与债权人达成和解，或为其债权人的利益在财产接管人、受托人或管理人的监督下营业，或采取了任何行动或发生任何事件（根据有关适用法律）具有与前述行动或事件相似的效果；</w:t>
      </w:r>
    </w:p>
    <w:p w14:paraId="606F25DC">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（6）发包人未能遵守第2.5.3项的约定提交支付担保；</w:t>
      </w:r>
    </w:p>
    <w:p w14:paraId="3C6E933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（7）发包人未能执行第15.1.2项[通知改正]的约定，致使合同目的不能实现的；</w:t>
      </w:r>
    </w:p>
    <w:p w14:paraId="1B6E1844">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（8）因发包人的原因暂停工作超过56天且暂停影响到整个工程，或因发包人的原因暂停工作超过182天的；</w:t>
      </w:r>
    </w:p>
    <w:p w14:paraId="236457CE">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（9）因发包人原因造成开始工作日期迟于承包人收到中标通知书（或在无中标通知书的情况下，订立本合同之日）后第84天的。</w:t>
      </w:r>
    </w:p>
    <w:p w14:paraId="2045CDF3">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发包人接到承包人解除合同意向通知后14天内，发包人随后给予了付款，或同意复工</w:t>
      </w:r>
      <w:r>
        <w:rPr>
          <w:rFonts w:hint="eastAsia" w:ascii="宋体" w:hAnsi="宋体" w:cs="宋体"/>
          <w:color w:val="auto"/>
          <w:lang w:eastAsia="zh-CN"/>
        </w:rPr>
        <w:t>或</w:t>
      </w:r>
      <w:r>
        <w:rPr>
          <w:rFonts w:hint="eastAsia" w:ascii="宋体" w:hAnsi="宋体" w:cs="宋体"/>
          <w:color w:val="auto"/>
        </w:rPr>
        <w:t>继续履行其义务</w:t>
      </w:r>
      <w:r>
        <w:rPr>
          <w:rFonts w:hint="eastAsia" w:ascii="宋体" w:hAnsi="宋体" w:cs="宋体"/>
          <w:color w:val="auto"/>
          <w:lang w:eastAsia="zh-CN"/>
        </w:rPr>
        <w:t>或</w:t>
      </w:r>
      <w:r>
        <w:rPr>
          <w:rFonts w:hint="eastAsia" w:ascii="宋体" w:hAnsi="宋体" w:cs="宋体"/>
          <w:color w:val="auto"/>
        </w:rPr>
        <w:t>提供了支付担保等，承包人应尽快安排并恢复正常工作；因此造成工期延误的，竣工日期顺延；承包人因此增加的费用，由发包人承担。</w:t>
      </w:r>
    </w:p>
    <w:p w14:paraId="3EDE2C68">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16.2.2因发包人违约解除合同后承包人的义务</w:t>
      </w:r>
    </w:p>
    <w:p w14:paraId="07A62AED">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合同解除后，承包人应按以下约定执行：</w:t>
      </w:r>
    </w:p>
    <w:p w14:paraId="2FF746C6">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（1）除为保护生命、财产、工程安全的工作外，停止所有进一步的工作；承包人因执行该保护工作而产生费用的，由发包人承担；</w:t>
      </w:r>
    </w:p>
    <w:p w14:paraId="6BDC8BC7">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（2）向发包人移交承包人已获得支付的承包人文件、生产设备、材料和其他工作；</w:t>
      </w:r>
    </w:p>
    <w:p w14:paraId="6927E38D">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（3）从现场运走除为了安全需要以外的所有属于承包人的其他货物，并撤离现场。</w:t>
      </w:r>
    </w:p>
    <w:p w14:paraId="233326E0">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16.2.3因发包人违约解除合同后的付款</w:t>
      </w:r>
    </w:p>
    <w:p w14:paraId="5AA94D33">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承包人按照本款约定解除合同的，发包人应在解除合同后28天内支付下列款项，并退还履约担保：</w:t>
      </w:r>
    </w:p>
    <w:p w14:paraId="1739983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（1）合同解除前所完成工作的价款；</w:t>
      </w:r>
    </w:p>
    <w:p w14:paraId="10505E5E">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（2）承包人为工程施工订购并已付款的材料、工程设备和其他物品的价款；发包人付款后，该材料、工程设备和其他物品归发包人所有；</w:t>
      </w:r>
    </w:p>
    <w:p w14:paraId="7650E256">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（3）承包人为完成工程所发生的，而发包人未支付的金额；</w:t>
      </w:r>
    </w:p>
    <w:p w14:paraId="6F91A3E1">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（4）承包人撤离施工现场以及遣散承包人人员的款项；</w:t>
      </w:r>
    </w:p>
    <w:p w14:paraId="5044B0C2">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（5）按照合同约定在合同解除前应支付的违约金；</w:t>
      </w:r>
    </w:p>
    <w:p w14:paraId="27F2DE14">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（6）按照合同约定应当支付给承包人的其他款项；</w:t>
      </w:r>
    </w:p>
    <w:p w14:paraId="4EC15F5F">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（7）按照合同约定应返还的质量保证金；</w:t>
      </w:r>
    </w:p>
    <w:p w14:paraId="7FCC2BC9">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（8）因解除合同给承包人造成的损失。</w:t>
      </w:r>
    </w:p>
    <w:p w14:paraId="2EC59134">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承包人应妥善做好已完工程和与工程有关的已购材料、工程设备的保护和移交工作，并将施工设备和人员撤出施工现场，发包人应为承包人撤出提供必要条件。</w:t>
      </w:r>
    </w:p>
    <w:p w14:paraId="1418A752">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16.3合同解除后的事项</w:t>
      </w:r>
    </w:p>
    <w:p w14:paraId="4B1B595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16.3.1结算约定依然有效</w:t>
      </w:r>
    </w:p>
    <w:p w14:paraId="77B26BCC">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合同解除后，由发包人或由承包人解除合同的结算及结算后的付款约定仍然有效，直至解除合同的结算工作结清。</w:t>
      </w:r>
    </w:p>
    <w:p w14:paraId="588674FA">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16.3.2解除合同的争议</w:t>
      </w:r>
    </w:p>
    <w:p w14:paraId="4647AC91">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双方对解除合同或解除合同后的结算有争议的，按照第20条[争议解决]的约定处理。</w:t>
      </w:r>
    </w:p>
    <w:p w14:paraId="7BDD8ED1">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第17条不可抗力</w:t>
      </w:r>
    </w:p>
    <w:p w14:paraId="1C7B7509">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17.1不可抗力的定义</w:t>
      </w:r>
    </w:p>
    <w:p w14:paraId="47FD7E70">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不可抗力是指合同当事人在订立合同时不可预见，在合同履行过程中不可避免、不能克服且不能提前防备的自然灾害和社会性突发事件，如地震、海啸、瘟疫、骚乱、戒严、暴动、战争和专用合同条件中约定的其他情形。</w:t>
      </w:r>
    </w:p>
    <w:p w14:paraId="6E46FA8D">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17.2不可抗力的通知</w:t>
      </w:r>
    </w:p>
    <w:p w14:paraId="44E0A3C2">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合同一方当事人觉察或发现不可抗力事件发生，使其履行合同义务受到阻碍时，有义务立即通知合同另一方当事人和工程师，书面说明不可抗力和受阻碍的详细情况，并提供必要的证明。</w:t>
      </w:r>
    </w:p>
    <w:p w14:paraId="683FD62D">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不可抗力持续发生的，合同一方当事人应每隔28天向合同另一方当事人和工程师提交中间报告，说明不可抗力和履行合同受阻的情况，并于不可抗力事件结束后28天内提交最终报告及有关资料。</w:t>
      </w:r>
    </w:p>
    <w:p w14:paraId="3B7BDD79">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17.3将损失减至最小的义务</w:t>
      </w:r>
    </w:p>
    <w:p w14:paraId="1956F8C8">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不可抗力发生后，合同当事人均应采取措施尽量避免和减少损失的扩大，使不可抗力对履行合同造成的损失减至最小。另一方全力协助并采取措施，需暂停实施的工作，立即停止。任何一方当事人没有采取有效措施导致损失扩大的，应对扩大的损失承担责任。</w:t>
      </w:r>
    </w:p>
    <w:p w14:paraId="74718D5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17.4不可抗力后果的承担</w:t>
      </w:r>
    </w:p>
    <w:p w14:paraId="38EC5DAE">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不可抗力导致的人员伤亡、财产损失、费用增加和（或）工期延误等后果，由合同当事人按以下原则承担：</w:t>
      </w:r>
    </w:p>
    <w:p w14:paraId="6B367A98">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（1）永久工程，包括已运至施工现场的材料和工程设备的损害，以及因工程损害造成的第三人人员伤亡和财产损失由发包人承担；</w:t>
      </w:r>
    </w:p>
    <w:p w14:paraId="2AF20A0E">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（2）承包人提供的施工设备的损坏由承包人承担；</w:t>
      </w:r>
    </w:p>
    <w:p w14:paraId="44E24A3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（3）发包人和承包人各自承担其人员伤亡及其他财产损失；</w:t>
      </w:r>
    </w:p>
    <w:p w14:paraId="37200C2D">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4）因不可抗力影响承包人履行合同约定的义务，已经引起或将引起工期延误的，应当顺延工期，由此导致承包人停工的费用损失由发包人和承包人合理分担，停工期间必须支付的现场必要的工人工资由发包人承担；</w:t>
      </w:r>
    </w:p>
    <w:p w14:paraId="457C27FF">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（5）因不可抗力引起或将引起工期延误，发包人指示赶工的，由此增加的赶工费用由发包人承担；</w:t>
      </w:r>
    </w:p>
    <w:p w14:paraId="51F4E4FD">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（6）承包人在停工期间按照工程师或发包人要求照管、清理和修复工程的费用由发包人承担。</w:t>
      </w:r>
    </w:p>
    <w:p w14:paraId="725D902B">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不可抗力引起的后果及造成的损失由合同当事人按照法律规定及合同约定各自承担。不可抗力发生前已完成的工程应当按照合同约定进行支付。</w:t>
      </w:r>
    </w:p>
    <w:p w14:paraId="7697BB2C">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17.5不可抗力影响分包人</w:t>
      </w:r>
    </w:p>
    <w:p w14:paraId="5C5FC79A">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分包人根据分包合同的约定，有权获得更多或者更广的不可抗力而免除某些义务时，承包人不得以分包合同中不可抗力约定向发包人抗辩免除其义务。</w:t>
      </w:r>
    </w:p>
    <w:p w14:paraId="6FB1D020">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17.6因不可抗力解除合同</w:t>
      </w:r>
    </w:p>
    <w:p w14:paraId="35640409">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因单次不可抗力导致合同无法履行连续超过84天或累计超过140天的，发包人和承包人均有权解除合同。合同解除后，承包人应按照第10.5款[竣工退场]的规定进行。由双方当事人按照第3.6款[商定或确定]商定或确定发包人应支付的款项，该款项包括：</w:t>
      </w:r>
    </w:p>
    <w:p w14:paraId="020FB9EF">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（1）合同解除前承包人已完成工作的价款；</w:t>
      </w:r>
    </w:p>
    <w:p w14:paraId="44B8F43D">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承包人为工程订购的并已交付给承包人，或承包人有责任接受交付的材料、工程设备和其他物品的价款；当发包人支付上述费用后，此项材料、工程设备与其他物品应成为发包人的财产，承包人应将其交由发包人处理；</w:t>
      </w:r>
    </w:p>
    <w:p w14:paraId="3A78E118">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（3）发包人指示承包人退货或解除订货合同而产生的费用，或因不能退货或解除合同而产生的损失；</w:t>
      </w:r>
    </w:p>
    <w:p w14:paraId="6906C539">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（4）承包人撤离施工现场以及遣散承包人人员的费用；</w:t>
      </w:r>
    </w:p>
    <w:p w14:paraId="07FC37E4">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（5）按照合同约定在合同解除前应支付给承包人的其他款项；</w:t>
      </w:r>
    </w:p>
    <w:p w14:paraId="70F4DB9F">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（6）扣减承包人按照合同约定应向发包人支付的款项；</w:t>
      </w:r>
    </w:p>
    <w:p w14:paraId="1C9721BB">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（7）双方商定或确定的其他款项。</w:t>
      </w:r>
    </w:p>
    <w:p w14:paraId="3FA42D13">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除专用合同条件另有约定外，合同解除后，发包人应当在商定或确定上述款项后28天内完成上述款项的支付。</w:t>
      </w:r>
    </w:p>
    <w:p w14:paraId="52D624AC">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第18条保险</w:t>
      </w:r>
    </w:p>
    <w:p w14:paraId="0E50BC28">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18.1设计和工程保险</w:t>
      </w:r>
    </w:p>
    <w:p w14:paraId="3FB70DB7">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18.1.1双方应按照专用合同条件的约定向双方同意的保险人投保建设工程设计责任险、建筑安装工程一切险等保险。具体的投保险种、保险范围、保险金额、保险费率、保险期限等有关内容应当在专用合同条件中明确约定。</w:t>
      </w:r>
    </w:p>
    <w:p w14:paraId="43476668">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18.1.2双方应按照专用合同条件的约定投保第三者责任险，并在缺陷责任期终止证书颁发前维持其持续有效。第三者责任险最低投保额应在专用合同条件内约定。</w:t>
      </w:r>
    </w:p>
    <w:p w14:paraId="58CB72D1">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18.2工伤和意外伤害保险</w:t>
      </w:r>
    </w:p>
    <w:p w14:paraId="7A0B4F5D">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18.2.1发包人应依照法律规定为其在施工现场的</w:t>
      </w:r>
      <w:r>
        <w:rPr>
          <w:rFonts w:hint="eastAsia" w:ascii="宋体" w:hAnsi="宋体" w:cs="宋体"/>
          <w:color w:val="auto"/>
          <w:lang w:eastAsia="zh-CN"/>
        </w:rPr>
        <w:t>雇佣</w:t>
      </w:r>
      <w:r>
        <w:rPr>
          <w:rFonts w:hint="eastAsia" w:ascii="宋体" w:hAnsi="宋体" w:cs="宋体"/>
          <w:color w:val="auto"/>
        </w:rPr>
        <w:t>人员办理工伤保险</w:t>
      </w:r>
      <w:r>
        <w:rPr>
          <w:rFonts w:hint="eastAsia" w:ascii="宋体" w:hAnsi="宋体" w:cs="宋体"/>
          <w:color w:val="auto"/>
          <w:lang w:eastAsia="zh-CN"/>
        </w:rPr>
        <w:t>，并</w:t>
      </w:r>
      <w:r>
        <w:rPr>
          <w:rFonts w:hint="eastAsia" w:ascii="宋体" w:hAnsi="宋体" w:cs="宋体"/>
          <w:color w:val="auto"/>
        </w:rPr>
        <w:t>缴纳工伤保险费；并要求工程师及由发包人为履行合同聘请的第三方在施工现场的</w:t>
      </w:r>
      <w:r>
        <w:rPr>
          <w:rFonts w:hint="eastAsia" w:ascii="宋体" w:hAnsi="宋体" w:cs="宋体"/>
          <w:color w:val="auto"/>
          <w:lang w:eastAsia="zh-CN"/>
        </w:rPr>
        <w:t>雇佣</w:t>
      </w:r>
      <w:r>
        <w:rPr>
          <w:rFonts w:hint="eastAsia" w:ascii="宋体" w:hAnsi="宋体" w:cs="宋体"/>
          <w:color w:val="auto"/>
        </w:rPr>
        <w:t>人员依法办理工伤保险。</w:t>
      </w:r>
    </w:p>
    <w:p w14:paraId="3FFCE89F">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18.2.2承包人应依照法律规定为其履行合同雇用的全部人员办理工伤保险</w:t>
      </w:r>
      <w:r>
        <w:rPr>
          <w:rFonts w:hint="eastAsia" w:ascii="宋体" w:hAnsi="宋体" w:cs="宋体"/>
          <w:color w:val="auto"/>
          <w:lang w:eastAsia="zh-CN"/>
        </w:rPr>
        <w:t>，并</w:t>
      </w:r>
      <w:r>
        <w:rPr>
          <w:rFonts w:hint="eastAsia" w:ascii="宋体" w:hAnsi="宋体" w:cs="宋体"/>
          <w:color w:val="auto"/>
        </w:rPr>
        <w:t>缴纳工伤保险费，并要求分包人及由承包人为履行合同聘请的第三方雇用的全部人员依法办理工伤保险。</w:t>
      </w:r>
    </w:p>
    <w:p w14:paraId="6B58B677">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18.2.3发包人和承包人可以为其施工现场的全部人员办理意外伤害保险并支付保险费，包括其员工及为履行合同聘请的第三方的人员，具体事项由合同当事人在专用合同条件约定。</w:t>
      </w:r>
    </w:p>
    <w:p w14:paraId="19EA9819">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18.3货物保险</w:t>
      </w:r>
    </w:p>
    <w:p w14:paraId="45A84B2A">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承包人应按照专用合同条件的约定为运抵现场的施工设备、材料、工程设备和临时工程等办理财产保险，保险期限自上述货物运抵现场至其不再为工程所需要为止。</w:t>
      </w:r>
    </w:p>
    <w:p w14:paraId="703F6809">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18.4其他保险</w:t>
      </w:r>
    </w:p>
    <w:p w14:paraId="066DF8B4">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发包人应按照工程总承包模式所适用的法律法规和专用合同条件约定，投保其他保险并保持保险有效，其投保费</w:t>
      </w:r>
      <w:r>
        <w:rPr>
          <w:rFonts w:hint="eastAsia" w:ascii="宋体" w:hAnsi="宋体" w:cs="宋体"/>
          <w:color w:val="auto"/>
          <w:lang w:eastAsia="zh-CN"/>
        </w:rPr>
        <w:t>用由</w:t>
      </w:r>
      <w:r>
        <w:rPr>
          <w:rFonts w:hint="eastAsia" w:ascii="宋体" w:hAnsi="宋体" w:cs="宋体"/>
          <w:color w:val="auto"/>
        </w:rPr>
        <w:t>发包人自行承担。承包人应按照工程总承包模式所适用法律法规和专用合同条件约定投保相应保险并保持保险有效，其投保费用包含在合同价格中，但在合同执行过程中，新颁布适用的法律法规规定由承包人投保的强制保险，应根据本合同第13条[变更与调整]的约定增加合同价款。</w:t>
      </w:r>
    </w:p>
    <w:p w14:paraId="0C652CCF">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18.5对各项保险的一般要求</w:t>
      </w:r>
    </w:p>
    <w:p w14:paraId="180AA6E4">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18.5.1持续保险</w:t>
      </w:r>
    </w:p>
    <w:p w14:paraId="137F3B0A">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合同当事人应与保险人保持联系，使保险人能够随时了解工程实施中的变动，并确保按保险合同条款要求持续保险。</w:t>
      </w:r>
    </w:p>
    <w:p w14:paraId="5EC173B3">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18.5.2保险凭证</w:t>
      </w:r>
    </w:p>
    <w:p w14:paraId="01DD306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合同当事人应及时向另一方当事人提交其已投保的各项保险的凭证和保险单复印件，保险单必须与专用合同条件约定的条件保持一致。</w:t>
      </w:r>
    </w:p>
    <w:p w14:paraId="545F283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18.5.3未按约定投保的补救</w:t>
      </w:r>
    </w:p>
    <w:p w14:paraId="0BFDD86E">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负有投保义务的一方当事人未按合同约定办理保险，或未能使保险持续有效的，则另一方当事人可代为办理，所需费用由负有投保义务的一方当事人承担。</w:t>
      </w:r>
    </w:p>
    <w:p w14:paraId="338940E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负有投保义务的一方当事人未按合同约定办理某项保险，导致受益人未能得到足额赔偿的，由负有投保义务的一方当事人负责按照原应从该项保险得到的保险金数额进行补足。</w:t>
      </w:r>
    </w:p>
    <w:p w14:paraId="59742D7A">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18.5.4通知义务</w:t>
      </w:r>
    </w:p>
    <w:p w14:paraId="3F0FBD5E">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除专用合同条件另有约定外，任何一方当事人变更除工伤保险之外的保险合同时，应事先征得另一方当事人同意，并通知工程师。</w:t>
      </w:r>
    </w:p>
    <w:p w14:paraId="35A65D5A">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保险事故发生时，投保人应按照保险合同规定的条件和期限及时向保险人报告。发包人和承包人应当在知道保险事故发生后及时通知对方。</w:t>
      </w:r>
    </w:p>
    <w:p w14:paraId="07FB20E8">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双方按本条规定投保不减少双方在合同下的其他义务。</w:t>
      </w:r>
    </w:p>
    <w:p w14:paraId="3A9F6883">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第19条索赔</w:t>
      </w:r>
    </w:p>
    <w:p w14:paraId="711C483C">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19.1索赔的提出</w:t>
      </w:r>
    </w:p>
    <w:p w14:paraId="23003066">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根据合同约定，任意一方认为有权得到追加/减少付款、延长缺陷责任期和（或）延长工期的，应按以下程序向对方提出索赔：</w:t>
      </w:r>
    </w:p>
    <w:p w14:paraId="7E5CE93E">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索赔方应在知道或应当知道索赔事件发生后28天内，向对方递交索赔意向通知书，并说明发生索赔事件的事由；索赔方未在前述28天内发出索赔意向通知书的，丧失要求追加/减少付款、延长缺陷责任期和（或）延长工期的权利；</w:t>
      </w:r>
    </w:p>
    <w:p w14:paraId="1F8EDB9F">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（2）索赔方应在发出索赔意向通知书后28天内，向对方正式递交索赔报告；索赔报告应详细说明索赔理由以及要求追加的付款金额、延长缺陷责任期和（或）延长的工期，并附必要的记录和证明材料；</w:t>
      </w:r>
    </w:p>
    <w:p w14:paraId="171FC9BD">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（3）索赔事件具有持续影响的，索赔方应每月递交延续索赔通知，说明持续影响的实际情况和记录，列出累计的追加付款金额、延长缺陷责任期和（或）工期延长天数；</w:t>
      </w:r>
    </w:p>
    <w:p w14:paraId="5FAC4C41">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（4）在索赔事件影响结束后28天内，索赔方应向对方递交最终索赔报告，说明最终要求索赔的追加付款金额、延长缺陷责任期和（或）延长的工期，并附必要的记录和证明材料。</w:t>
      </w:r>
    </w:p>
    <w:p w14:paraId="7458F293">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（5）承包人作为索赔方时，其索赔意向通知书、索赔报告及相关索赔文件应向工程师提出；发包人作为索赔方时，其索赔意向通知书、索赔报告及相关索赔文件可自行向承包人提出或由工程师向承包人提出。</w:t>
      </w:r>
    </w:p>
    <w:p w14:paraId="7F2DFA66">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19.2承包人索赔的处理程序</w:t>
      </w:r>
    </w:p>
    <w:p w14:paraId="1DF51E20">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（1）工程师收到承包人提交的索赔报告后，应及时审查索赔报告的内容、查验承包人的记录和证明材料，必要时工程师可要求承包人提交全部原始记录副本。</w:t>
      </w:r>
    </w:p>
    <w:p w14:paraId="188FB9DE">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工程师应按第3.6款[商定或确定]商定或确定追加的付款和（或）延长的工期，并在收到上述索赔报告或有关索赔的进一步证明材料后及时书面告知发包人，并在42天内，将发包人书面认可的索赔处理结果答复承包人。工程师在收到索赔报告或有关索赔的进一步证明材料后的42天内不予答复的，视为认可索赔。</w:t>
      </w:r>
    </w:p>
    <w:p w14:paraId="27FC4F83">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（3）承包人接受索赔处理结果的，发包人应在作出索赔处理结果答复后28天内完成支付。承包人不接受索赔处理结果的，按照第20条[争议解决]约定处理。</w:t>
      </w:r>
    </w:p>
    <w:p w14:paraId="665FE970">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19.3发包人索赔的处理程序</w:t>
      </w:r>
    </w:p>
    <w:p w14:paraId="05634FEC">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（1）承包人收到发包人提交的索赔报告后，应及时审查索赔报告的内容、查验发包人证明材料；</w:t>
      </w:r>
    </w:p>
    <w:p w14:paraId="7358012E">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（2）承包人应在收到上述索赔报告或有关索赔的进一步证明材料后42天内，将索赔处理结果答复发包人。承包人在收到索赔通知书或有关索赔的进一步证明材料后的42天内不予答复的，视为认可索赔。</w:t>
      </w:r>
    </w:p>
    <w:p w14:paraId="0B6B1FCD">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（3）发包人接受索赔处理结果的，发包人可从应支付给承包人的合同价款中扣除赔付的金额或延长缺陷责任期；发包人不接受索赔处理结果的，按第20条[争议解决]约定处理。</w:t>
      </w:r>
    </w:p>
    <w:p w14:paraId="07300377">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19.4提出索赔的期限</w:t>
      </w:r>
    </w:p>
    <w:p w14:paraId="75437742">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（1）承包人按第14.5款[竣工结算]约定接收竣工付款证书后，应被认为已无权再提出在合同工程接收证书颁发前所发生的任何索赔。</w:t>
      </w:r>
    </w:p>
    <w:p w14:paraId="5B44805F">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（2）承包人按第14.7款[最终结清]提交的最终结清申请单中，只限于提出工程接收证书颁发后发生的索赔。提出索赔的期限均自接受最终结清证书时终止。</w:t>
      </w:r>
    </w:p>
    <w:p w14:paraId="1835369A">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第20条争议解决</w:t>
      </w:r>
    </w:p>
    <w:p w14:paraId="46BE1D56">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20.1和解</w:t>
      </w:r>
    </w:p>
    <w:p w14:paraId="3DCA9662">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合同当事人可以就争议自行和解，自行和解达成协议的经双方签字并盖章后作为合同补充文件，双方均应遵照执行。</w:t>
      </w:r>
    </w:p>
    <w:p w14:paraId="3DBD41C0">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20.2调解</w:t>
      </w:r>
    </w:p>
    <w:p w14:paraId="477484D2">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合同当事人可以就争议请求建设行政主管部门、行业协会或其他第三方进行调解，调解达成协议的，经双方签字盖章后作为合同补充文件，双方均应遵照执行。</w:t>
      </w:r>
    </w:p>
    <w:p w14:paraId="26D0F4B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20.3争议评审</w:t>
      </w:r>
    </w:p>
    <w:p w14:paraId="293F97E8">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合同当事人在专用合同条件中约定采取争议评审方式及评审规则解决争议的，按下列约定执行：</w:t>
      </w:r>
    </w:p>
    <w:p w14:paraId="26EA320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20.3.1争议评审小组的确定</w:t>
      </w:r>
    </w:p>
    <w:p w14:paraId="4A0DBFC5">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合同当事人可以共同选择一名或三名争议评审员，组成争议评审小组。如专用合同条件未对成员人数进行约定，则应由三名成员组成。除专用合同条件另有约定外，合同当事人应当自合同订立后28天内，或者争议发生后14天内，选定争议评审员。</w:t>
      </w:r>
    </w:p>
    <w:p w14:paraId="4BDA6F56">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选择一名争议评审员的，由合同当事人共同确定；选择三名争议评审员的，各自选定一名，第三名成员由合同当事人共同确定或由合同当事人委托已选定的争议评审员共同确定，为首席争议评审员。争议评审员为一人且合同当事人未能达成一致的，或争议评审员为三人且合同当事人就首席争议评审员未能达成一致的，由专用合同条件约定的评审机构指定。</w:t>
      </w:r>
    </w:p>
    <w:p w14:paraId="7DFF59DA">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除专用合同条件另有约定外，争议评审员报酬由发包人和承包人各承担一半。</w:t>
      </w:r>
    </w:p>
    <w:p w14:paraId="41F79ABB">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20.3.2争议的避免</w:t>
      </w:r>
    </w:p>
    <w:p w14:paraId="2AC9118E">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合同当事人协商一致，可以共同书面请求争议评审小组，就合同履行过程中可能出现争议的情况提供协助或进行非正式讨论，争议评审小组应给出公正的意见或建议。</w:t>
      </w:r>
    </w:p>
    <w:p w14:paraId="64810FFC">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此类协助或非正式讨论可在任何会议、施工现场视察或其他场合进行，并且除专用合同条件另有约定外，发包人和承包人均应出席。</w:t>
      </w:r>
    </w:p>
    <w:p w14:paraId="411FB3CA">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争议评审小组在此类非正式讨论上给出的任何意见或建议，无论是口头还是书面的，对发包人和承包人不具有约束力，争议评审小组在之后的争议评审程序或决定中也不受此类意见或建议的约束。</w:t>
      </w:r>
    </w:p>
    <w:p w14:paraId="755CA660">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20.3.3争议评审小组的决定</w:t>
      </w:r>
    </w:p>
    <w:p w14:paraId="4FA726A1">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或争议评审小组建议并经双方同意的其他期限内作出书面决定，并说明理由。合同当事人可以在专用合同条件中对本项事项另行约定。</w:t>
      </w:r>
    </w:p>
    <w:p w14:paraId="5E2DC8EB">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20.3.4争议评审小组决定的效力</w:t>
      </w:r>
    </w:p>
    <w:p w14:paraId="59A5C7B1">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争议评审小组作出的书面决定经合同当事人签字确认后，对双方具有约束力，双方应遵照执行。</w:t>
      </w:r>
    </w:p>
    <w:p w14:paraId="568A00CF">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任何一方当事人不接受争议评审小组决定或不履行争议评审小组决定的，双方可选择采用其他争议解决方式。</w:t>
      </w:r>
    </w:p>
    <w:p w14:paraId="2CAF6661">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任何一方当事人不接受争议评审小组的决定，并不影响暂时执行争议评审小组的决定，直到在后续的采用其他争议解决方式中对争议评审小组的决定进行了改变。</w:t>
      </w:r>
    </w:p>
    <w:p w14:paraId="08B50624">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20.4仲裁或诉讼</w:t>
      </w:r>
    </w:p>
    <w:p w14:paraId="2D606731">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因合同及合同有关事项产生的争议，合同当事人可以在专用合同条件中约定以下一种方式解决争议：</w:t>
      </w:r>
    </w:p>
    <w:p w14:paraId="08E4CEDA">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（1）向约定的仲裁委员会申请仲裁；</w:t>
      </w:r>
    </w:p>
    <w:p w14:paraId="076084ED">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（2）向有管辖权的人民法院起诉。</w:t>
      </w:r>
    </w:p>
    <w:p w14:paraId="2267CBCD">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20.5争议解决条款效力</w:t>
      </w:r>
    </w:p>
    <w:p w14:paraId="793829BA">
      <w:pPr>
        <w:keepNext w:val="0"/>
        <w:keepLines w:val="0"/>
        <w:pageBreakBefore w:val="0"/>
        <w:wordWrap/>
        <w:overflowPunct/>
        <w:topLinePunct w:val="0"/>
        <w:autoSpaceDE/>
        <w:autoSpaceDN/>
        <w:bidi w:val="0"/>
        <w:adjustRightInd w:val="0"/>
        <w:snapToGrid w:val="0"/>
        <w:spacing w:line="360" w:lineRule="exact"/>
        <w:ind w:firstLine="420" w:firstLineChars="200"/>
        <w:textAlignment w:val="auto"/>
        <w:rPr>
          <w:rFonts w:ascii="宋体" w:hAnsi="宋体" w:cs="宋体"/>
          <w:color w:val="auto"/>
        </w:rPr>
      </w:pPr>
      <w:r>
        <w:rPr>
          <w:rFonts w:hint="eastAsia" w:ascii="宋体" w:hAnsi="宋体" w:cs="宋体"/>
          <w:color w:val="auto"/>
        </w:rPr>
        <w:t>合同有关争议解决的条款独立存在，</w:t>
      </w:r>
      <w:r>
        <w:rPr>
          <w:rFonts w:hint="eastAsia" w:ascii="宋体" w:hAnsi="宋体" w:cs="宋体"/>
          <w:color w:val="auto"/>
          <w:lang w:eastAsia="zh-CN"/>
        </w:rPr>
        <w:t>合同</w:t>
      </w:r>
      <w:r>
        <w:rPr>
          <w:rFonts w:hint="eastAsia" w:ascii="宋体" w:hAnsi="宋体" w:cs="宋体"/>
          <w:color w:val="auto"/>
        </w:rPr>
        <w:t>不生效、无效、被撤销或者终止的，不影响合同中有关争议解决条款的效力。</w:t>
      </w:r>
    </w:p>
    <w:p w14:paraId="779389BE">
      <w:pPr>
        <w:keepNext w:val="0"/>
        <w:keepLines w:val="0"/>
        <w:pageBreakBefore w:val="0"/>
        <w:widowControl/>
        <w:wordWrap/>
        <w:overflowPunct/>
        <w:topLinePunct w:val="0"/>
        <w:autoSpaceDE/>
        <w:autoSpaceDN/>
        <w:bidi w:val="0"/>
        <w:adjustRightInd w:val="0"/>
        <w:snapToGrid w:val="0"/>
        <w:spacing w:line="360" w:lineRule="exact"/>
        <w:contextualSpacing/>
        <w:jc w:val="center"/>
        <w:textAlignment w:val="auto"/>
        <w:outlineLvl w:val="1"/>
        <w:rPr>
          <w:rFonts w:ascii="宋体" w:hAnsi="宋体"/>
          <w:b/>
          <w:bCs/>
          <w:color w:val="auto"/>
          <w:kern w:val="44"/>
          <w:lang w:val="zh-CN"/>
        </w:rPr>
      </w:pPr>
      <w:bookmarkStart w:id="199" w:name="_Toc85451957"/>
      <w:r>
        <w:rPr>
          <w:rFonts w:ascii="宋体" w:hAnsi="宋体"/>
          <w:b/>
          <w:bCs/>
          <w:color w:val="auto"/>
          <w:kern w:val="44"/>
          <w:lang w:val="zh-CN"/>
        </w:rPr>
        <w:br w:type="page"/>
      </w:r>
    </w:p>
    <w:p w14:paraId="4169B101">
      <w:pPr>
        <w:keepNext w:val="0"/>
        <w:keepLines w:val="0"/>
        <w:pageBreakBefore w:val="0"/>
        <w:widowControl/>
        <w:wordWrap/>
        <w:overflowPunct/>
        <w:topLinePunct w:val="0"/>
        <w:autoSpaceDE/>
        <w:autoSpaceDN/>
        <w:bidi w:val="0"/>
        <w:adjustRightInd w:val="0"/>
        <w:snapToGrid w:val="0"/>
        <w:spacing w:line="360" w:lineRule="exact"/>
        <w:contextualSpacing/>
        <w:jc w:val="center"/>
        <w:textAlignment w:val="auto"/>
        <w:outlineLvl w:val="1"/>
        <w:rPr>
          <w:rFonts w:ascii="宋体" w:hAnsi="宋体"/>
          <w:b/>
          <w:bCs/>
          <w:color w:val="auto"/>
          <w:kern w:val="44"/>
          <w:lang w:val="zh-CN"/>
        </w:rPr>
      </w:pPr>
      <w:r>
        <w:rPr>
          <w:rFonts w:hint="eastAsia" w:ascii="宋体" w:hAnsi="宋体"/>
          <w:b/>
          <w:bCs/>
          <w:color w:val="auto"/>
          <w:kern w:val="44"/>
          <w:lang w:val="zh-CN"/>
        </w:rPr>
        <w:t>第三部分</w:t>
      </w:r>
      <w:r>
        <w:rPr>
          <w:rFonts w:ascii="宋体" w:hAnsi="宋体"/>
          <w:b/>
          <w:bCs/>
          <w:color w:val="auto"/>
          <w:kern w:val="44"/>
          <w:lang w:val="zh-CN"/>
        </w:rPr>
        <w:t xml:space="preserve"> </w:t>
      </w:r>
      <w:r>
        <w:rPr>
          <w:rFonts w:hint="eastAsia" w:ascii="宋体" w:hAnsi="宋体"/>
          <w:b/>
          <w:bCs/>
          <w:color w:val="auto"/>
          <w:kern w:val="44"/>
          <w:lang w:val="zh-CN"/>
        </w:rPr>
        <w:t>专用合同条件</w:t>
      </w:r>
      <w:bookmarkEnd w:id="199"/>
    </w:p>
    <w:p w14:paraId="4F709015">
      <w:pPr>
        <w:keepNext w:val="0"/>
        <w:keepLines w:val="0"/>
        <w:pageBreakBefore w:val="0"/>
        <w:widowControl/>
        <w:tabs>
          <w:tab w:val="left" w:pos="993"/>
        </w:tabs>
        <w:wordWrap/>
        <w:overflowPunct/>
        <w:topLinePunct w:val="0"/>
        <w:autoSpaceDE/>
        <w:autoSpaceDN/>
        <w:bidi w:val="0"/>
        <w:adjustRightInd w:val="0"/>
        <w:snapToGrid w:val="0"/>
        <w:spacing w:line="360" w:lineRule="exact"/>
        <w:contextualSpacing/>
        <w:textAlignment w:val="auto"/>
        <w:outlineLvl w:val="2"/>
        <w:rPr>
          <w:rFonts w:ascii="宋体" w:hAnsi="宋体" w:cs="Times"/>
          <w:bCs/>
          <w:color w:val="auto"/>
          <w:kern w:val="0"/>
        </w:rPr>
      </w:pPr>
      <w:bookmarkStart w:id="200" w:name="_Toc85451958"/>
      <w:r>
        <w:rPr>
          <w:rFonts w:hint="eastAsia" w:ascii="宋体" w:hAnsi="宋体" w:cs="Times"/>
          <w:bCs/>
          <w:color w:val="auto"/>
          <w:kern w:val="0"/>
        </w:rPr>
        <w:t>第</w:t>
      </w:r>
      <w:r>
        <w:rPr>
          <w:rFonts w:ascii="宋体" w:hAnsi="宋体" w:cs="Times"/>
          <w:bCs/>
          <w:color w:val="auto"/>
          <w:kern w:val="0"/>
        </w:rPr>
        <w:t>1条</w:t>
      </w:r>
      <w:r>
        <w:rPr>
          <w:rFonts w:hint="eastAsia" w:ascii="宋体" w:hAnsi="宋体" w:cs="Times"/>
          <w:bCs/>
          <w:color w:val="auto"/>
          <w:kern w:val="0"/>
        </w:rPr>
        <w:t xml:space="preserve"> 一般约定</w:t>
      </w:r>
      <w:bookmarkEnd w:id="200"/>
    </w:p>
    <w:p w14:paraId="691FEE83">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1.1 </w:t>
      </w:r>
      <w:r>
        <w:rPr>
          <w:rFonts w:hint="eastAsia" w:ascii="宋体" w:hAnsi="宋体"/>
          <w:color w:val="auto"/>
        </w:rPr>
        <w:t>词语定义和解释</w:t>
      </w:r>
    </w:p>
    <w:p w14:paraId="7873FFB4">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1.1.1 </w:t>
      </w:r>
      <w:r>
        <w:rPr>
          <w:rFonts w:hint="eastAsia" w:ascii="宋体" w:hAnsi="宋体"/>
          <w:color w:val="auto"/>
        </w:rPr>
        <w:t>合同</w:t>
      </w:r>
    </w:p>
    <w:p w14:paraId="01440F14">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1.1.1.10 </w:t>
      </w:r>
      <w:r>
        <w:rPr>
          <w:rFonts w:hint="eastAsia" w:ascii="宋体" w:hAnsi="宋体"/>
          <w:color w:val="auto"/>
        </w:rPr>
        <w:t>其他合同文件：</w:t>
      </w:r>
      <w:r>
        <w:rPr>
          <w:rFonts w:hint="eastAsia" w:ascii="宋体" w:hAnsi="宋体"/>
          <w:color w:val="auto"/>
          <w:u w:val="single"/>
        </w:rPr>
        <w:t>1、合同协议书；2、中标通知书；3、投标文件及其附件；4、专用合同条件；5、通用合同条件；6、标准、规范及有关技术文件；7、承包人建议书；8、经审</w:t>
      </w:r>
      <w:r>
        <w:rPr>
          <w:rFonts w:ascii="宋体" w:hAnsi="宋体"/>
          <w:color w:val="auto"/>
          <w:u w:val="single"/>
        </w:rPr>
        <w:t>定的施工图预算</w:t>
      </w:r>
      <w:r>
        <w:rPr>
          <w:rFonts w:hint="eastAsia" w:ascii="宋体" w:hAnsi="宋体"/>
          <w:color w:val="auto"/>
          <w:u w:val="single"/>
        </w:rPr>
        <w:t>；9、双方有关工程的洽商、变更等书面协议或文件</w:t>
      </w:r>
      <w:r>
        <w:rPr>
          <w:rFonts w:hint="eastAsia" w:ascii="宋体" w:hAnsi="宋体"/>
          <w:color w:val="auto"/>
        </w:rPr>
        <w:t>。</w:t>
      </w:r>
    </w:p>
    <w:p w14:paraId="4A759C39">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1.1.3 </w:t>
      </w:r>
      <w:r>
        <w:rPr>
          <w:rFonts w:hint="eastAsia" w:ascii="宋体" w:hAnsi="宋体"/>
          <w:color w:val="auto"/>
        </w:rPr>
        <w:t>工程和设备</w:t>
      </w:r>
    </w:p>
    <w:p w14:paraId="35DF9D3E">
      <w:pPr>
        <w:keepNext w:val="0"/>
        <w:keepLines w:val="0"/>
        <w:pageBreakBefore w:val="0"/>
        <w:wordWrap/>
        <w:overflowPunct/>
        <w:topLinePunct w:val="0"/>
        <w:autoSpaceDE/>
        <w:autoSpaceDN/>
        <w:bidi w:val="0"/>
        <w:spacing w:line="360" w:lineRule="exact"/>
        <w:ind w:firstLine="480"/>
        <w:jc w:val="left"/>
        <w:textAlignment w:val="auto"/>
        <w:rPr>
          <w:rFonts w:hAnsi="宋体" w:cs="宋体"/>
          <w:color w:val="auto"/>
          <w:u w:val="single"/>
        </w:rPr>
      </w:pPr>
      <w:r>
        <w:rPr>
          <w:rFonts w:ascii="宋体" w:hAnsi="宋体"/>
          <w:color w:val="auto"/>
        </w:rPr>
        <w:t xml:space="preserve">1.1.3.5 </w:t>
      </w:r>
      <w:r>
        <w:rPr>
          <w:rFonts w:hint="eastAsia" w:ascii="宋体" w:hAnsi="宋体"/>
          <w:color w:val="auto"/>
        </w:rPr>
        <w:t>单位/区段工程的范围：</w:t>
      </w:r>
      <w:r>
        <w:rPr>
          <w:rFonts w:hint="eastAsia" w:ascii="宋体" w:hAnsi="宋体"/>
          <w:color w:val="auto"/>
          <w:u w:val="single"/>
        </w:rPr>
        <w:t>包括但不限于施工图设计和审查、工程施工、采购（包括但不限于竣工验收、移交、交付使用等，具体以发包人委托的本工程施工内容为准，招标人有权对发包范围进行调整）全过程的承包</w:t>
      </w:r>
      <w:r>
        <w:rPr>
          <w:rFonts w:hint="eastAsia" w:hAnsi="宋体" w:cs="宋体"/>
          <w:color w:val="auto"/>
          <w:u w:val="single"/>
        </w:rPr>
        <w:t>。</w:t>
      </w:r>
    </w:p>
    <w:p w14:paraId="45577FE9">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1.1.3.9 </w:t>
      </w:r>
      <w:r>
        <w:rPr>
          <w:rFonts w:hint="eastAsia" w:ascii="宋体" w:hAnsi="宋体"/>
          <w:color w:val="auto"/>
        </w:rPr>
        <w:t>作为施工场所组成部分的其他场所包括：</w:t>
      </w:r>
      <w:r>
        <w:rPr>
          <w:rFonts w:hint="eastAsia" w:ascii="宋体" w:hAnsi="宋体"/>
          <w:color w:val="auto"/>
          <w:u w:val="single"/>
        </w:rPr>
        <w:t>施工现场临时用地、施工临时生产、生活设施公用地等</w:t>
      </w:r>
      <w:r>
        <w:rPr>
          <w:rFonts w:hint="eastAsia" w:ascii="宋体" w:hAnsi="宋体"/>
          <w:color w:val="auto"/>
        </w:rPr>
        <w:t>。</w:t>
      </w:r>
    </w:p>
    <w:p w14:paraId="186E4319">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1.1.3.10 </w:t>
      </w:r>
      <w:r>
        <w:rPr>
          <w:rFonts w:hint="eastAsia" w:ascii="宋体" w:hAnsi="宋体"/>
          <w:color w:val="auto"/>
        </w:rPr>
        <w:t>永久占地包括：</w:t>
      </w:r>
      <w:r>
        <w:rPr>
          <w:rFonts w:hint="eastAsia" w:ascii="宋体" w:hAnsi="宋体"/>
          <w:color w:val="auto"/>
          <w:u w:val="single"/>
        </w:rPr>
        <w:t>施工现场红线范围内</w:t>
      </w:r>
      <w:r>
        <w:rPr>
          <w:rFonts w:hint="eastAsia" w:ascii="宋体" w:hAnsi="宋体"/>
          <w:color w:val="auto"/>
        </w:rPr>
        <w:t>。</w:t>
      </w:r>
    </w:p>
    <w:p w14:paraId="45AD5813">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1.1.3.11 </w:t>
      </w:r>
      <w:r>
        <w:rPr>
          <w:rFonts w:hint="eastAsia" w:ascii="宋体" w:hAnsi="宋体"/>
          <w:color w:val="auto"/>
        </w:rPr>
        <w:t>临时占地包括：</w:t>
      </w:r>
      <w:r>
        <w:rPr>
          <w:rFonts w:hint="eastAsia" w:ascii="宋体" w:hAnsi="宋体"/>
          <w:color w:val="auto"/>
          <w:u w:val="single"/>
        </w:rPr>
        <w:t>为完成工程所需的临时占地</w:t>
      </w:r>
      <w:r>
        <w:rPr>
          <w:rFonts w:ascii="宋体" w:hAnsi="宋体"/>
          <w:color w:val="auto"/>
          <w:u w:val="single"/>
        </w:rPr>
        <w:t xml:space="preserve"> </w:t>
      </w:r>
      <w:r>
        <w:rPr>
          <w:rFonts w:hint="eastAsia" w:ascii="宋体" w:hAnsi="宋体"/>
          <w:color w:val="auto"/>
          <w:u w:val="single"/>
        </w:rPr>
        <w:t>。</w:t>
      </w:r>
    </w:p>
    <w:p w14:paraId="142A4BB1">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1.2 </w:t>
      </w:r>
      <w:r>
        <w:rPr>
          <w:rFonts w:hint="eastAsia" w:ascii="宋体" w:hAnsi="宋体"/>
          <w:color w:val="auto"/>
        </w:rPr>
        <w:t>语言文字</w:t>
      </w:r>
    </w:p>
    <w:p w14:paraId="5BE342DC">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本合同除使用汉语外，还使用</w:t>
      </w:r>
      <w:r>
        <w:rPr>
          <w:rFonts w:ascii="宋体" w:hAnsi="宋体"/>
          <w:color w:val="auto"/>
          <w:u w:val="single"/>
        </w:rPr>
        <w:t xml:space="preserve">  </w:t>
      </w:r>
      <w:r>
        <w:rPr>
          <w:rFonts w:hint="eastAsia" w:ascii="宋体" w:hAnsi="宋体"/>
          <w:color w:val="auto"/>
          <w:u w:val="single"/>
        </w:rPr>
        <w:t>/</w:t>
      </w:r>
      <w:r>
        <w:rPr>
          <w:rFonts w:ascii="宋体" w:hAnsi="宋体"/>
          <w:color w:val="auto"/>
          <w:u w:val="single"/>
        </w:rPr>
        <w:t xml:space="preserve">  </w:t>
      </w:r>
      <w:r>
        <w:rPr>
          <w:rFonts w:hint="eastAsia" w:ascii="宋体" w:hAnsi="宋体"/>
          <w:color w:val="auto"/>
        </w:rPr>
        <w:t>语言。</w:t>
      </w:r>
    </w:p>
    <w:p w14:paraId="2934F687">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1.3 </w:t>
      </w:r>
      <w:r>
        <w:rPr>
          <w:rFonts w:hint="eastAsia" w:ascii="宋体" w:hAnsi="宋体"/>
          <w:color w:val="auto"/>
        </w:rPr>
        <w:t>法律</w:t>
      </w:r>
    </w:p>
    <w:p w14:paraId="0E7A9B3F">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适用于合同的其他规范性文件：</w:t>
      </w:r>
      <w:r>
        <w:rPr>
          <w:rFonts w:hint="eastAsia" w:ascii="宋体" w:hAnsi="宋体"/>
          <w:color w:val="auto"/>
          <w:u w:val="single"/>
        </w:rPr>
        <w:t>《中华人民共和国建筑法》《中华人民共和国民法典》《中华人民共和国招标投标法》《中华人民共和国安全生产法》、国务院《建设工程质量管理条例》、建设部2001年第89号令《房屋建筑和市政基础设施工程施工招标投标管理办法》、七部委2003年第30号令《工程建设项目施工招标投标办法》、中华人民共和国建设部令第107号（2001）《建筑工程施工发包与承包计价管理办法》、财建</w:t>
      </w:r>
      <w:r>
        <w:rPr>
          <w:rFonts w:hint="eastAsia" w:ascii="宋体" w:hAnsi="宋体"/>
          <w:color w:val="auto"/>
          <w:u w:val="single"/>
          <w:lang w:eastAsia="zh-CN"/>
        </w:rPr>
        <w:t>〔2004〕369号</w:t>
      </w:r>
      <w:r>
        <w:rPr>
          <w:rFonts w:hint="eastAsia" w:ascii="宋体" w:hAnsi="宋体"/>
          <w:color w:val="auto"/>
          <w:u w:val="single"/>
        </w:rPr>
        <w:t>文、《中华人民共和国招标投标法实施条例</w:t>
      </w:r>
      <w:r>
        <w:rPr>
          <w:rFonts w:hint="eastAsia" w:ascii="宋体" w:hAnsi="宋体"/>
          <w:color w:val="auto"/>
          <w:u w:val="single"/>
          <w:lang w:eastAsia="zh-CN"/>
        </w:rPr>
        <w:t>》和</w:t>
      </w:r>
      <w:r>
        <w:rPr>
          <w:rFonts w:hint="eastAsia" w:ascii="宋体" w:hAnsi="宋体"/>
          <w:color w:val="auto"/>
          <w:u w:val="single"/>
        </w:rPr>
        <w:t>国务院令第613号等国家及云南省颁布的现行</w:t>
      </w:r>
      <w:r>
        <w:rPr>
          <w:rFonts w:hint="eastAsia" w:ascii="宋体" w:hAnsi="宋体"/>
          <w:color w:val="auto"/>
          <w:u w:val="single"/>
          <w:lang w:eastAsia="zh-CN"/>
        </w:rPr>
        <w:t>法律法规</w:t>
      </w:r>
      <w:r>
        <w:rPr>
          <w:rFonts w:hint="eastAsia" w:ascii="宋体" w:hAnsi="宋体"/>
          <w:color w:val="auto"/>
          <w:u w:val="single"/>
        </w:rPr>
        <w:t>和条例</w:t>
      </w:r>
      <w:r>
        <w:rPr>
          <w:rFonts w:hint="eastAsia" w:ascii="宋体" w:hAnsi="宋体"/>
          <w:color w:val="auto"/>
        </w:rPr>
        <w:t>。</w:t>
      </w:r>
    </w:p>
    <w:p w14:paraId="57A1B4FD">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1.4 </w:t>
      </w:r>
      <w:r>
        <w:rPr>
          <w:rFonts w:hint="eastAsia" w:ascii="宋体" w:hAnsi="宋体"/>
          <w:color w:val="auto"/>
        </w:rPr>
        <w:t>标准和规范</w:t>
      </w:r>
    </w:p>
    <w:p w14:paraId="45473F26">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1.4.1 </w:t>
      </w:r>
      <w:r>
        <w:rPr>
          <w:rFonts w:hint="eastAsia" w:ascii="宋体" w:hAnsi="宋体"/>
          <w:color w:val="auto"/>
        </w:rPr>
        <w:t>适用于本合同的标准、规范（名称）包括：</w:t>
      </w:r>
      <w:r>
        <w:rPr>
          <w:rFonts w:hint="eastAsia" w:ascii="宋体" w:hAnsi="宋体" w:cs="宋体"/>
          <w:b/>
          <w:bCs/>
          <w:color w:val="auto"/>
          <w:u w:val="single"/>
        </w:rPr>
        <w:t>按现行国家颁布的设计、施工规范标准及相关行业规定</w:t>
      </w:r>
      <w:r>
        <w:rPr>
          <w:rFonts w:hint="eastAsia" w:ascii="宋体" w:hAnsi="宋体"/>
          <w:color w:val="auto"/>
        </w:rPr>
        <w:t>。</w:t>
      </w:r>
    </w:p>
    <w:p w14:paraId="2B7B1D16">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1.4.2 </w:t>
      </w:r>
      <w:r>
        <w:rPr>
          <w:rFonts w:hint="eastAsia" w:ascii="宋体" w:hAnsi="宋体"/>
          <w:color w:val="auto"/>
        </w:rPr>
        <w:t>发包人提供的国外标准、规范的名称：</w:t>
      </w:r>
      <w:r>
        <w:rPr>
          <w:rFonts w:ascii="宋体" w:hAnsi="宋体"/>
          <w:color w:val="auto"/>
          <w:u w:val="single"/>
        </w:rPr>
        <w:t xml:space="preserve">   /   </w:t>
      </w:r>
      <w:r>
        <w:rPr>
          <w:rFonts w:hint="eastAsia" w:ascii="宋体" w:hAnsi="宋体"/>
          <w:color w:val="auto"/>
        </w:rPr>
        <w:t>；发包人提供的国外标准、规范的份数：</w:t>
      </w:r>
      <w:r>
        <w:rPr>
          <w:rFonts w:ascii="宋体" w:hAnsi="宋体"/>
          <w:color w:val="auto"/>
          <w:u w:val="single"/>
        </w:rPr>
        <w:t xml:space="preserve">   /   </w:t>
      </w:r>
      <w:r>
        <w:rPr>
          <w:rFonts w:hint="eastAsia" w:ascii="宋体" w:hAnsi="宋体"/>
          <w:color w:val="auto"/>
        </w:rPr>
        <w:t>；发包人提供的国外标准、规范的时间：</w:t>
      </w:r>
      <w:r>
        <w:rPr>
          <w:rFonts w:ascii="宋体" w:hAnsi="宋体"/>
          <w:color w:val="auto"/>
          <w:u w:val="single"/>
        </w:rPr>
        <w:t xml:space="preserve">   /   </w:t>
      </w:r>
      <w:r>
        <w:rPr>
          <w:rFonts w:hint="eastAsia" w:ascii="宋体" w:hAnsi="宋体"/>
          <w:color w:val="auto"/>
        </w:rPr>
        <w:t>。</w:t>
      </w:r>
    </w:p>
    <w:p w14:paraId="1524131B">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1.4.3 </w:t>
      </w:r>
      <w:r>
        <w:rPr>
          <w:rFonts w:hint="eastAsia" w:ascii="宋体" w:hAnsi="宋体"/>
          <w:color w:val="auto"/>
        </w:rPr>
        <w:t>没有成文规范、标准规定的约定：</w:t>
      </w:r>
      <w:r>
        <w:rPr>
          <w:rFonts w:ascii="宋体" w:hAnsi="宋体"/>
          <w:color w:val="auto"/>
          <w:u w:val="single"/>
        </w:rPr>
        <w:t xml:space="preserve">   /   </w:t>
      </w:r>
      <w:r>
        <w:rPr>
          <w:rFonts w:hint="eastAsia" w:ascii="宋体" w:hAnsi="宋体"/>
          <w:color w:val="auto"/>
        </w:rPr>
        <w:t>。</w:t>
      </w:r>
    </w:p>
    <w:p w14:paraId="77045F55">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1.4.4 </w:t>
      </w:r>
      <w:r>
        <w:rPr>
          <w:rFonts w:hint="eastAsia" w:ascii="宋体" w:hAnsi="宋体"/>
          <w:color w:val="auto"/>
        </w:rPr>
        <w:t>发包人</w:t>
      </w:r>
      <w:r>
        <w:rPr>
          <w:rFonts w:hint="eastAsia" w:ascii="宋体" w:hAnsi="宋体"/>
          <w:color w:val="auto"/>
          <w:lang w:eastAsia="zh-CN"/>
        </w:rPr>
        <w:t>对</w:t>
      </w:r>
      <w:r>
        <w:rPr>
          <w:rFonts w:hint="eastAsia" w:ascii="宋体" w:hAnsi="宋体"/>
          <w:color w:val="auto"/>
        </w:rPr>
        <w:t>工程的技术标准、功能要求：</w:t>
      </w:r>
      <w:r>
        <w:rPr>
          <w:rFonts w:hint="eastAsia" w:ascii="宋体" w:hAnsi="宋体" w:cs="宋体"/>
          <w:b/>
          <w:bCs/>
          <w:color w:val="auto"/>
          <w:u w:val="single"/>
        </w:rPr>
        <w:t>按现行规范标准及国家建设项目相关行业规定执行</w:t>
      </w:r>
      <w:r>
        <w:rPr>
          <w:rFonts w:hint="eastAsia" w:ascii="宋体" w:hAnsi="宋体"/>
          <w:color w:val="auto"/>
        </w:rPr>
        <w:t>。</w:t>
      </w:r>
    </w:p>
    <w:p w14:paraId="51A79B48">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1.5 </w:t>
      </w:r>
      <w:r>
        <w:rPr>
          <w:rFonts w:hint="eastAsia" w:ascii="宋体" w:hAnsi="宋体"/>
          <w:color w:val="auto"/>
        </w:rPr>
        <w:t>合同文件的优先顺序</w:t>
      </w:r>
    </w:p>
    <w:p w14:paraId="7311DA95">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u w:val="single"/>
        </w:rPr>
      </w:pPr>
      <w:r>
        <w:rPr>
          <w:rFonts w:hint="eastAsia" w:ascii="宋体" w:hAnsi="宋体"/>
          <w:color w:val="auto"/>
        </w:rPr>
        <w:t>合同文件组成及优先顺序为：</w:t>
      </w:r>
      <w:r>
        <w:rPr>
          <w:rFonts w:hint="eastAsia" w:ascii="宋体" w:hAnsi="宋体"/>
          <w:color w:val="auto"/>
          <w:u w:val="single"/>
        </w:rPr>
        <w:t>1、合同协议书；2、中标通知书；3、投标文件及其附件；4、专用合同条件；5、通用合同条件；6、标准、规范及有关技术文件；7、承包人建议书；8、经审</w:t>
      </w:r>
      <w:r>
        <w:rPr>
          <w:rFonts w:ascii="宋体" w:hAnsi="宋体"/>
          <w:color w:val="auto"/>
          <w:u w:val="single"/>
        </w:rPr>
        <w:t>定的施工图预算</w:t>
      </w:r>
      <w:r>
        <w:rPr>
          <w:rFonts w:hint="eastAsia" w:ascii="宋体" w:hAnsi="宋体"/>
          <w:color w:val="auto"/>
          <w:u w:val="single"/>
        </w:rPr>
        <w:t>；9、双方有关工程的洽商、变更等书面协议或文件</w:t>
      </w:r>
      <w:r>
        <w:rPr>
          <w:rFonts w:hint="eastAsia" w:ascii="宋体" w:hAnsi="宋体"/>
          <w:color w:val="auto"/>
        </w:rPr>
        <w:t>。</w:t>
      </w:r>
    </w:p>
    <w:p w14:paraId="523E3152">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1.6 </w:t>
      </w:r>
      <w:r>
        <w:rPr>
          <w:rFonts w:hint="eastAsia" w:ascii="宋体" w:hAnsi="宋体"/>
          <w:color w:val="auto"/>
        </w:rPr>
        <w:t>文件的提供和照管</w:t>
      </w:r>
    </w:p>
    <w:p w14:paraId="63F17DED">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1.6.1 </w:t>
      </w:r>
      <w:r>
        <w:rPr>
          <w:rFonts w:hint="eastAsia" w:ascii="宋体" w:hAnsi="宋体"/>
          <w:color w:val="auto"/>
        </w:rPr>
        <w:t>发包人文件的提供</w:t>
      </w:r>
    </w:p>
    <w:p w14:paraId="567C4C6A">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发包人文件的提供期限、名称、数量和形式：</w:t>
      </w:r>
      <w:r>
        <w:rPr>
          <w:rFonts w:hint="eastAsia" w:ascii="宋体" w:hAnsi="宋体"/>
          <w:color w:val="auto"/>
          <w:u w:val="single"/>
        </w:rPr>
        <w:t>开工前</w:t>
      </w:r>
      <w:r>
        <w:rPr>
          <w:rFonts w:ascii="宋体" w:hAnsi="宋体"/>
          <w:color w:val="auto"/>
          <w:u w:val="single"/>
        </w:rPr>
        <w:t>15</w:t>
      </w:r>
      <w:r>
        <w:rPr>
          <w:rFonts w:hint="eastAsia" w:ascii="宋体" w:hAnsi="宋体"/>
          <w:color w:val="auto"/>
          <w:u w:val="single"/>
        </w:rPr>
        <w:t>天，发包人向承包人提供前期工作相关资料、环境保护、气象水文、地质条件进行工程设计、现场施工等工程实施所需的纸质文件或电子资料1份</w:t>
      </w:r>
      <w:r>
        <w:rPr>
          <w:rFonts w:hint="eastAsia" w:ascii="宋体" w:hAnsi="宋体"/>
          <w:color w:val="auto"/>
        </w:rPr>
        <w:t>。</w:t>
      </w:r>
    </w:p>
    <w:p w14:paraId="73637E0F">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1.6.2 </w:t>
      </w:r>
      <w:r>
        <w:rPr>
          <w:rFonts w:hint="eastAsia" w:ascii="宋体" w:hAnsi="宋体"/>
          <w:color w:val="auto"/>
        </w:rPr>
        <w:t>承包人文件的提供</w:t>
      </w:r>
    </w:p>
    <w:p w14:paraId="49434667">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承包人文件的内容、提供期限、名称、数量和形式：</w:t>
      </w:r>
    </w:p>
    <w:p w14:paraId="6C991593">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u w:val="single"/>
        </w:rPr>
      </w:pPr>
      <w:r>
        <w:rPr>
          <w:rFonts w:hint="eastAsia" w:ascii="宋体" w:hAnsi="宋体"/>
          <w:color w:val="auto"/>
          <w:u w:val="single"/>
        </w:rPr>
        <w:t>需要由承包人提供的文件，包括但不限于：实施性工程总进度计划、工程实施方案和说明等按工程规定所需的一切要件；承包人按合同约定的工作内容和进度要求，编制施工的组织和实施计划，并对所有施工作业和施工方法，以及全部工程的完备性和安全可靠性负全部</w:t>
      </w:r>
      <w:r>
        <w:rPr>
          <w:rFonts w:hint="eastAsia" w:ascii="宋体" w:hAnsi="宋体"/>
          <w:color w:val="auto"/>
          <w:u w:val="single"/>
          <w:lang w:eastAsia="zh-CN"/>
        </w:rPr>
        <w:t>责任</w:t>
      </w:r>
      <w:r>
        <w:rPr>
          <w:rFonts w:hint="eastAsia" w:ascii="宋体" w:hAnsi="宋体"/>
          <w:color w:val="auto"/>
          <w:u w:val="single"/>
        </w:rPr>
        <w:t>。实施阶段开始前，向监理人</w:t>
      </w:r>
      <w:r>
        <w:rPr>
          <w:rFonts w:hint="eastAsia" w:ascii="宋体" w:hAnsi="宋体"/>
          <w:color w:val="auto"/>
          <w:u w:val="single"/>
          <w:lang w:eastAsia="zh-CN"/>
        </w:rPr>
        <w:t>提交</w:t>
      </w:r>
      <w:r>
        <w:rPr>
          <w:rFonts w:hint="eastAsia" w:ascii="宋体" w:hAnsi="宋体"/>
          <w:color w:val="auto"/>
          <w:u w:val="single"/>
        </w:rPr>
        <w:t>具体的质量保证细则和工作程序。工程总进度计划和工程实施方案应分工程准备、采购、施工、分部分项验收、初步验收、竣工验收、缺陷修复和保修等分阶段编制详细细目；监理人应在7天内批复承包人；经监理人批准的工程总进度计划（称合同进度计划），作为控制本合同工程进度的依据，并据此编制年、季进度计划（提交纸质文档和电子文档）报送监理人审批；在工程总进度计划批准前，应按签订协议书时商定的进度计划和监理人的指示控制工程进度。</w:t>
      </w:r>
    </w:p>
    <w:p w14:paraId="3034462A">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u w:val="single"/>
        </w:rPr>
      </w:pPr>
      <w:r>
        <w:rPr>
          <w:rFonts w:hint="eastAsia" w:ascii="宋体" w:hAnsi="宋体"/>
          <w:color w:val="auto"/>
          <w:u w:val="single"/>
        </w:rPr>
        <w:t>承包人提供的文件的期限为：监理工程师下发开工令15天内；</w:t>
      </w:r>
    </w:p>
    <w:p w14:paraId="58AD4CF2">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u w:val="single"/>
        </w:rPr>
      </w:pPr>
      <w:r>
        <w:rPr>
          <w:rFonts w:hint="eastAsia" w:ascii="宋体" w:hAnsi="宋体"/>
          <w:color w:val="auto"/>
          <w:u w:val="single"/>
        </w:rPr>
        <w:t>承包人提供的文件的数量为：</w:t>
      </w:r>
      <w:r>
        <w:rPr>
          <w:rFonts w:ascii="宋体" w:hAnsi="宋体"/>
          <w:color w:val="auto"/>
          <w:u w:val="single"/>
        </w:rPr>
        <w:t>8</w:t>
      </w:r>
      <w:r>
        <w:rPr>
          <w:rFonts w:hint="eastAsia" w:ascii="宋体" w:hAnsi="宋体"/>
          <w:color w:val="auto"/>
          <w:u w:val="single"/>
        </w:rPr>
        <w:t>套；</w:t>
      </w:r>
    </w:p>
    <w:p w14:paraId="4CA66E62">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u w:val="single"/>
        </w:rPr>
        <w:t>承包人提供的文件的形式为：纸质（加盖单位项目部公章），附电子文档</w:t>
      </w:r>
      <w:r>
        <w:rPr>
          <w:rFonts w:hint="eastAsia" w:ascii="宋体" w:hAnsi="宋体"/>
          <w:color w:val="auto"/>
        </w:rPr>
        <w:t>。</w:t>
      </w:r>
    </w:p>
    <w:p w14:paraId="748F2E00">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1.6.4 </w:t>
      </w:r>
      <w:r>
        <w:rPr>
          <w:rFonts w:hint="eastAsia" w:ascii="宋体" w:hAnsi="宋体"/>
          <w:color w:val="auto"/>
        </w:rPr>
        <w:t>文件的照管</w:t>
      </w:r>
    </w:p>
    <w:p w14:paraId="083A5296">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关于现场文件准备的约定：</w:t>
      </w:r>
      <w:r>
        <w:rPr>
          <w:rFonts w:hint="eastAsia" w:ascii="宋体" w:hAnsi="宋体"/>
          <w:color w:val="auto"/>
          <w:u w:val="single"/>
        </w:rPr>
        <w:t>按通用合同条件执行</w:t>
      </w:r>
      <w:r>
        <w:rPr>
          <w:rFonts w:hint="eastAsia" w:ascii="宋体" w:hAnsi="宋体"/>
          <w:color w:val="auto"/>
        </w:rPr>
        <w:t>。</w:t>
      </w:r>
    </w:p>
    <w:p w14:paraId="00540133">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1.7 </w:t>
      </w:r>
      <w:r>
        <w:rPr>
          <w:rFonts w:hint="eastAsia" w:ascii="宋体" w:hAnsi="宋体"/>
          <w:color w:val="auto"/>
        </w:rPr>
        <w:t>联络</w:t>
      </w:r>
    </w:p>
    <w:p w14:paraId="3B3B37B3">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1.7.2 </w:t>
      </w:r>
      <w:r>
        <w:rPr>
          <w:rFonts w:hint="eastAsia" w:ascii="宋体" w:hAnsi="宋体"/>
          <w:color w:val="auto"/>
        </w:rPr>
        <w:t>发包人指定的送达方式（包括电子传输方式）：</w:t>
      </w:r>
      <w:r>
        <w:rPr>
          <w:rFonts w:ascii="宋体" w:hAnsi="宋体"/>
          <w:color w:val="auto"/>
          <w:u w:val="single"/>
        </w:rPr>
        <w:t xml:space="preserve"> </w:t>
      </w:r>
      <w:r>
        <w:rPr>
          <w:rFonts w:hint="eastAsia" w:ascii="宋体" w:hAnsi="宋体"/>
          <w:color w:val="auto"/>
          <w:u w:val="single"/>
        </w:rPr>
        <w:t xml:space="preserve">   </w:t>
      </w:r>
      <w:r>
        <w:rPr>
          <w:rFonts w:ascii="宋体" w:hAnsi="宋体"/>
          <w:color w:val="auto"/>
          <w:u w:val="single"/>
        </w:rPr>
        <w:t xml:space="preserve">  </w:t>
      </w:r>
      <w:r>
        <w:rPr>
          <w:rFonts w:hint="eastAsia" w:ascii="宋体" w:hAnsi="宋体"/>
          <w:color w:val="auto"/>
        </w:rPr>
        <w:t>。</w:t>
      </w:r>
    </w:p>
    <w:p w14:paraId="17993608">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发包人的送达地址：</w:t>
      </w:r>
      <w:r>
        <w:rPr>
          <w:rFonts w:ascii="宋体" w:hAnsi="宋体"/>
          <w:color w:val="auto"/>
          <w:u w:val="single"/>
        </w:rPr>
        <w:t xml:space="preserve">  </w:t>
      </w:r>
      <w:r>
        <w:rPr>
          <w:rFonts w:hint="eastAsia" w:ascii="宋体" w:hAnsi="宋体"/>
          <w:color w:val="auto"/>
          <w:u w:val="single"/>
        </w:rPr>
        <w:t xml:space="preserve">   </w:t>
      </w:r>
      <w:r>
        <w:rPr>
          <w:rFonts w:ascii="宋体" w:hAnsi="宋体"/>
          <w:color w:val="auto"/>
          <w:u w:val="single"/>
        </w:rPr>
        <w:t xml:space="preserve">  </w:t>
      </w:r>
      <w:r>
        <w:rPr>
          <w:rFonts w:hint="eastAsia" w:ascii="宋体" w:hAnsi="宋体"/>
          <w:color w:val="auto"/>
        </w:rPr>
        <w:t>。</w:t>
      </w:r>
    </w:p>
    <w:p w14:paraId="5BA50BBD">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highlight w:val="green"/>
        </w:rPr>
      </w:pPr>
      <w:r>
        <w:rPr>
          <w:rFonts w:hint="eastAsia" w:ascii="宋体" w:hAnsi="宋体"/>
          <w:color w:val="auto"/>
        </w:rPr>
        <w:t xml:space="preserve">承包人指定的送达方式（包括电子传输方式）： </w:t>
      </w:r>
      <w:r>
        <w:rPr>
          <w:rFonts w:ascii="宋体" w:hAnsi="宋体"/>
          <w:color w:val="auto"/>
          <w:u w:val="single"/>
        </w:rPr>
        <w:t xml:space="preserve">       </w:t>
      </w:r>
      <w:r>
        <w:rPr>
          <w:rFonts w:hint="eastAsia" w:ascii="宋体" w:hAnsi="宋体"/>
          <w:color w:val="auto"/>
        </w:rPr>
        <w:t>。</w:t>
      </w:r>
    </w:p>
    <w:p w14:paraId="7413894E">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highlight w:val="green"/>
        </w:rPr>
      </w:pPr>
      <w:r>
        <w:rPr>
          <w:rFonts w:hint="eastAsia" w:ascii="宋体" w:hAnsi="宋体"/>
          <w:color w:val="auto"/>
        </w:rPr>
        <w:t>承包人的送达地址：</w:t>
      </w:r>
      <w:r>
        <w:rPr>
          <w:rFonts w:ascii="宋体" w:hAnsi="宋体"/>
          <w:color w:val="auto"/>
          <w:u w:val="single"/>
        </w:rPr>
        <w:t xml:space="preserve">       </w:t>
      </w:r>
      <w:r>
        <w:rPr>
          <w:rFonts w:hint="eastAsia" w:ascii="宋体" w:hAnsi="宋体"/>
          <w:color w:val="auto"/>
        </w:rPr>
        <w:t>。</w:t>
      </w:r>
    </w:p>
    <w:p w14:paraId="363228FF">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1.10 </w:t>
      </w:r>
      <w:r>
        <w:rPr>
          <w:rFonts w:hint="eastAsia" w:ascii="宋体" w:hAnsi="宋体"/>
          <w:color w:val="auto"/>
        </w:rPr>
        <w:t>知识产权</w:t>
      </w:r>
    </w:p>
    <w:p w14:paraId="29BC5FC6">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1.10.1 </w:t>
      </w:r>
      <w:r>
        <w:rPr>
          <w:rFonts w:hint="eastAsia" w:ascii="宋体" w:hAnsi="宋体"/>
          <w:color w:val="auto"/>
        </w:rPr>
        <w:t>由发包人（或以发包人名义）编制的《发包人要求》和其他文件的著作权归属：</w:t>
      </w:r>
      <w:r>
        <w:rPr>
          <w:rFonts w:hint="eastAsia" w:ascii="宋体" w:hAnsi="宋体"/>
          <w:color w:val="auto"/>
          <w:u w:val="single"/>
        </w:rPr>
        <w:t>归发包人所有</w:t>
      </w:r>
      <w:r>
        <w:rPr>
          <w:rFonts w:hint="eastAsia" w:ascii="宋体" w:hAnsi="宋体"/>
          <w:color w:val="auto"/>
        </w:rPr>
        <w:t>。</w:t>
      </w:r>
    </w:p>
    <w:p w14:paraId="4AFE77F1">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1.10.2 </w:t>
      </w:r>
      <w:r>
        <w:rPr>
          <w:rFonts w:hint="eastAsia" w:ascii="宋体" w:hAnsi="宋体"/>
          <w:color w:val="auto"/>
        </w:rPr>
        <w:t>由承包人（或以承包人名义）为实施工程所编制的文件、承包人完成的设计工作成果和建造完成的建筑物的知识产权归属：</w:t>
      </w:r>
      <w:r>
        <w:rPr>
          <w:rFonts w:hint="eastAsia" w:ascii="宋体" w:hAnsi="宋体"/>
          <w:color w:val="auto"/>
          <w:u w:val="single"/>
        </w:rPr>
        <w:t>归承包人享有</w:t>
      </w:r>
      <w:r>
        <w:rPr>
          <w:rFonts w:hint="eastAsia" w:ascii="宋体" w:hAnsi="宋体"/>
          <w:color w:val="auto"/>
        </w:rPr>
        <w:t>。</w:t>
      </w:r>
    </w:p>
    <w:p w14:paraId="3723F72D">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1.10.4 </w:t>
      </w:r>
      <w:r>
        <w:rPr>
          <w:rFonts w:hint="eastAsia" w:ascii="宋体" w:hAnsi="宋体"/>
          <w:color w:val="auto"/>
        </w:rPr>
        <w:t>承包人在投标文件中采用的专利、专有技术、技术秘密的使用费的承担方式：</w:t>
      </w:r>
      <w:r>
        <w:rPr>
          <w:rFonts w:hint="eastAsia" w:ascii="宋体" w:hAnsi="宋体"/>
          <w:color w:val="auto"/>
          <w:u w:val="single"/>
        </w:rPr>
        <w:t>承包人自行承担</w:t>
      </w:r>
      <w:r>
        <w:rPr>
          <w:rFonts w:hint="eastAsia" w:ascii="宋体" w:hAnsi="宋体"/>
          <w:color w:val="auto"/>
        </w:rPr>
        <w:t>。</w:t>
      </w:r>
    </w:p>
    <w:p w14:paraId="3B133BEA">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1.11 </w:t>
      </w:r>
      <w:r>
        <w:rPr>
          <w:rFonts w:hint="eastAsia" w:ascii="宋体" w:hAnsi="宋体"/>
          <w:color w:val="auto"/>
        </w:rPr>
        <w:t>保密</w:t>
      </w:r>
    </w:p>
    <w:p w14:paraId="4136B110">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双方订立的商业保密协议（名称）：</w:t>
      </w:r>
      <w:r>
        <w:rPr>
          <w:rFonts w:ascii="宋体" w:hAnsi="宋体"/>
          <w:color w:val="auto"/>
          <w:u w:val="single"/>
        </w:rPr>
        <w:t xml:space="preserve">       </w:t>
      </w:r>
      <w:r>
        <w:rPr>
          <w:rFonts w:hint="eastAsia" w:ascii="宋体" w:hAnsi="宋体"/>
          <w:color w:val="auto"/>
          <w:u w:val="single"/>
        </w:rPr>
        <w:t>/</w:t>
      </w:r>
      <w:r>
        <w:rPr>
          <w:rFonts w:ascii="宋体" w:hAnsi="宋体"/>
          <w:color w:val="auto"/>
          <w:u w:val="single"/>
        </w:rPr>
        <w:t xml:space="preserve">      </w:t>
      </w:r>
      <w:r>
        <w:rPr>
          <w:rFonts w:hint="eastAsia" w:ascii="宋体" w:hAnsi="宋体"/>
          <w:color w:val="auto"/>
        </w:rPr>
        <w:t>，作为本合同附件。</w:t>
      </w:r>
    </w:p>
    <w:p w14:paraId="789AF378">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双方订立的技术保密协议（名称）：</w:t>
      </w:r>
      <w:r>
        <w:rPr>
          <w:rFonts w:ascii="宋体" w:hAnsi="宋体"/>
          <w:color w:val="auto"/>
          <w:u w:val="single"/>
        </w:rPr>
        <w:t xml:space="preserve">      </w:t>
      </w:r>
      <w:r>
        <w:rPr>
          <w:rFonts w:hint="eastAsia" w:ascii="宋体" w:hAnsi="宋体"/>
          <w:color w:val="auto"/>
          <w:u w:val="single"/>
        </w:rPr>
        <w:t xml:space="preserve"> /</w:t>
      </w:r>
      <w:r>
        <w:rPr>
          <w:rFonts w:ascii="宋体" w:hAnsi="宋体"/>
          <w:color w:val="auto"/>
          <w:u w:val="single"/>
        </w:rPr>
        <w:t xml:space="preserve">      </w:t>
      </w:r>
      <w:r>
        <w:rPr>
          <w:rFonts w:hint="eastAsia" w:ascii="宋体" w:hAnsi="宋体"/>
          <w:color w:val="auto"/>
        </w:rPr>
        <w:t>，作为本合同附件。</w:t>
      </w:r>
    </w:p>
    <w:p w14:paraId="2C9EA9DB">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1.13 </w:t>
      </w:r>
      <w:r>
        <w:rPr>
          <w:rFonts w:hint="eastAsia" w:ascii="宋体" w:hAnsi="宋体"/>
          <w:color w:val="auto"/>
        </w:rPr>
        <w:t>责任限制</w:t>
      </w:r>
    </w:p>
    <w:p w14:paraId="3186F083">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承包人对发包人赔偿责任的最高限额为</w:t>
      </w:r>
      <w:r>
        <w:rPr>
          <w:rFonts w:hint="eastAsia" w:ascii="宋体" w:hAnsi="宋体"/>
          <w:color w:val="auto"/>
          <w:u w:val="single"/>
        </w:rPr>
        <w:t>合同金额的</w:t>
      </w:r>
      <w:r>
        <w:rPr>
          <w:rFonts w:ascii="宋体" w:hAnsi="宋体"/>
          <w:color w:val="auto"/>
          <w:u w:val="single"/>
        </w:rPr>
        <w:t>5</w:t>
      </w:r>
      <w:r>
        <w:rPr>
          <w:rFonts w:hint="eastAsia" w:ascii="宋体" w:hAnsi="宋体"/>
          <w:color w:val="auto"/>
          <w:u w:val="single"/>
        </w:rPr>
        <w:t>%，但对于因欺诈、犯罪、故意、重大过失、人身伤害等不当行为造成的损失，赔偿的责任限度不受上述最高限额的限制</w:t>
      </w:r>
      <w:r>
        <w:rPr>
          <w:rFonts w:hint="eastAsia" w:ascii="宋体" w:hAnsi="宋体"/>
          <w:color w:val="auto"/>
        </w:rPr>
        <w:t>。</w:t>
      </w:r>
    </w:p>
    <w:p w14:paraId="595B8208">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1.14 </w:t>
      </w:r>
      <w:r>
        <w:rPr>
          <w:rFonts w:hint="eastAsia" w:ascii="宋体" w:hAnsi="宋体"/>
          <w:color w:val="auto"/>
        </w:rPr>
        <w:t>建筑信息模型技术的应用</w:t>
      </w:r>
    </w:p>
    <w:p w14:paraId="1E65F468">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关于建筑信息模型技术的开发、使用、存储、传输、交付及费用约定如下：</w:t>
      </w:r>
      <w:r>
        <w:rPr>
          <w:rFonts w:hint="eastAsia" w:ascii="宋体" w:hAnsi="宋体"/>
          <w:color w:val="auto"/>
          <w:u w:val="single"/>
        </w:rPr>
        <w:t>按通用合同条件执行</w:t>
      </w:r>
      <w:r>
        <w:rPr>
          <w:rFonts w:hint="eastAsia" w:ascii="宋体" w:hAnsi="宋体"/>
          <w:color w:val="auto"/>
        </w:rPr>
        <w:t>。</w:t>
      </w:r>
    </w:p>
    <w:p w14:paraId="68ADE009">
      <w:pPr>
        <w:keepNext w:val="0"/>
        <w:keepLines w:val="0"/>
        <w:pageBreakBefore w:val="0"/>
        <w:widowControl/>
        <w:tabs>
          <w:tab w:val="left" w:pos="993"/>
        </w:tabs>
        <w:wordWrap/>
        <w:overflowPunct/>
        <w:topLinePunct w:val="0"/>
        <w:autoSpaceDE/>
        <w:autoSpaceDN/>
        <w:bidi w:val="0"/>
        <w:adjustRightInd w:val="0"/>
        <w:snapToGrid w:val="0"/>
        <w:spacing w:line="360" w:lineRule="exact"/>
        <w:contextualSpacing/>
        <w:textAlignment w:val="auto"/>
        <w:outlineLvl w:val="2"/>
        <w:rPr>
          <w:rFonts w:ascii="宋体" w:hAnsi="宋体" w:cs="Times"/>
          <w:bCs/>
          <w:color w:val="auto"/>
          <w:kern w:val="0"/>
        </w:rPr>
      </w:pPr>
      <w:bookmarkStart w:id="201" w:name="_Toc85451959"/>
      <w:r>
        <w:rPr>
          <w:rFonts w:hint="eastAsia" w:ascii="宋体" w:hAnsi="宋体" w:cs="Times"/>
          <w:bCs/>
          <w:color w:val="auto"/>
          <w:kern w:val="0"/>
        </w:rPr>
        <w:t>第</w:t>
      </w:r>
      <w:r>
        <w:rPr>
          <w:rFonts w:ascii="宋体" w:hAnsi="宋体" w:cs="Times"/>
          <w:bCs/>
          <w:color w:val="auto"/>
          <w:kern w:val="0"/>
        </w:rPr>
        <w:t>2条</w:t>
      </w:r>
      <w:r>
        <w:rPr>
          <w:rFonts w:hint="eastAsia" w:ascii="宋体" w:hAnsi="宋体" w:cs="Times"/>
          <w:bCs/>
          <w:color w:val="auto"/>
          <w:kern w:val="0"/>
        </w:rPr>
        <w:t xml:space="preserve"> 发包人</w:t>
      </w:r>
      <w:bookmarkEnd w:id="201"/>
    </w:p>
    <w:p w14:paraId="233FD300">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2.2 </w:t>
      </w:r>
      <w:r>
        <w:rPr>
          <w:rFonts w:hint="eastAsia" w:ascii="宋体" w:hAnsi="宋体"/>
          <w:color w:val="auto"/>
        </w:rPr>
        <w:t>提供施工现场和工作条件</w:t>
      </w:r>
    </w:p>
    <w:p w14:paraId="0C1A2445">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2.2.1 </w:t>
      </w:r>
      <w:r>
        <w:rPr>
          <w:rFonts w:hint="eastAsia" w:ascii="宋体" w:hAnsi="宋体"/>
          <w:color w:val="auto"/>
        </w:rPr>
        <w:t>提供施工现场</w:t>
      </w:r>
    </w:p>
    <w:p w14:paraId="2046EBC5">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关于发包人提供施工现场的范围和期限：</w:t>
      </w:r>
      <w:r>
        <w:rPr>
          <w:rFonts w:hint="eastAsia" w:ascii="宋体" w:hAnsi="宋体"/>
          <w:color w:val="auto"/>
          <w:u w:val="single"/>
        </w:rPr>
        <w:t>按通用合同条件执行</w:t>
      </w:r>
      <w:r>
        <w:rPr>
          <w:rFonts w:hint="eastAsia" w:ascii="宋体" w:hAnsi="宋体"/>
          <w:color w:val="auto"/>
        </w:rPr>
        <w:t>。</w:t>
      </w:r>
    </w:p>
    <w:p w14:paraId="2AEA7E83">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2.2.2 </w:t>
      </w:r>
      <w:r>
        <w:rPr>
          <w:rFonts w:hint="eastAsia" w:ascii="宋体" w:hAnsi="宋体"/>
          <w:color w:val="auto"/>
        </w:rPr>
        <w:t>提供工作条件</w:t>
      </w:r>
    </w:p>
    <w:p w14:paraId="0288830E">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关于发包人应负责提供的工作条件包括：</w:t>
      </w:r>
      <w:r>
        <w:rPr>
          <w:rFonts w:hint="eastAsia" w:ascii="宋体" w:hAnsi="宋体"/>
          <w:color w:val="auto"/>
          <w:u w:val="single"/>
        </w:rPr>
        <w:t>按通用合同条件执行</w:t>
      </w:r>
      <w:r>
        <w:rPr>
          <w:rFonts w:hint="eastAsia" w:ascii="宋体" w:hAnsi="宋体"/>
          <w:color w:val="auto"/>
        </w:rPr>
        <w:t>。</w:t>
      </w:r>
    </w:p>
    <w:p w14:paraId="19841F93">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2.3 </w:t>
      </w:r>
      <w:r>
        <w:rPr>
          <w:rFonts w:hint="eastAsia" w:ascii="宋体" w:hAnsi="宋体"/>
          <w:color w:val="auto"/>
        </w:rPr>
        <w:t>提供基础资料</w:t>
      </w:r>
    </w:p>
    <w:p w14:paraId="1F489ADC">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关于发包人应提供的基础资料的范围和期限：</w:t>
      </w:r>
      <w:r>
        <w:rPr>
          <w:rFonts w:hint="eastAsia" w:ascii="宋体" w:hAnsi="宋体"/>
          <w:color w:val="auto"/>
          <w:u w:val="single"/>
        </w:rPr>
        <w:t>按通用合同条件执行</w:t>
      </w:r>
      <w:r>
        <w:rPr>
          <w:rFonts w:hint="eastAsia" w:ascii="宋体" w:hAnsi="宋体"/>
          <w:color w:val="auto"/>
        </w:rPr>
        <w:t>。</w:t>
      </w:r>
    </w:p>
    <w:p w14:paraId="5CA02E98">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2.5 </w:t>
      </w:r>
      <w:r>
        <w:rPr>
          <w:rFonts w:hint="eastAsia" w:ascii="宋体" w:hAnsi="宋体"/>
          <w:color w:val="auto"/>
        </w:rPr>
        <w:t>支付合同价款</w:t>
      </w:r>
    </w:p>
    <w:p w14:paraId="6CACF4D2">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2.5.2 </w:t>
      </w:r>
      <w:r>
        <w:rPr>
          <w:rFonts w:hint="eastAsia" w:ascii="宋体" w:hAnsi="宋体"/>
          <w:color w:val="auto"/>
        </w:rPr>
        <w:t>发包人提供资金来源证明及资金安排的期限要求：</w:t>
      </w:r>
      <w:r>
        <w:rPr>
          <w:rFonts w:ascii="宋体" w:hAnsi="宋体"/>
          <w:color w:val="auto"/>
          <w:u w:val="single"/>
        </w:rPr>
        <w:t xml:space="preserve">  /  </w:t>
      </w:r>
      <w:r>
        <w:rPr>
          <w:rFonts w:hint="eastAsia" w:ascii="宋体" w:hAnsi="宋体"/>
          <w:color w:val="auto"/>
        </w:rPr>
        <w:t>。</w:t>
      </w:r>
    </w:p>
    <w:p w14:paraId="1EEF43F6">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2.5.3 </w:t>
      </w:r>
      <w:r>
        <w:rPr>
          <w:rFonts w:hint="eastAsia" w:ascii="宋体" w:hAnsi="宋体"/>
          <w:color w:val="auto"/>
        </w:rPr>
        <w:t>发包人提供支付担保的形式、期限、金额（或比例）：</w:t>
      </w:r>
      <w:r>
        <w:rPr>
          <w:rFonts w:hint="eastAsia" w:ascii="宋体" w:hAnsi="宋体"/>
          <w:color w:val="auto"/>
          <w:u w:val="single"/>
        </w:rPr>
        <w:t xml:space="preserve"> </w:t>
      </w:r>
      <w:r>
        <w:rPr>
          <w:rFonts w:ascii="宋体" w:hAnsi="宋体"/>
          <w:color w:val="auto"/>
          <w:u w:val="single"/>
        </w:rPr>
        <w:t xml:space="preserve"> /  </w:t>
      </w:r>
      <w:r>
        <w:rPr>
          <w:rFonts w:hint="eastAsia" w:ascii="宋体" w:hAnsi="宋体"/>
          <w:color w:val="auto"/>
        </w:rPr>
        <w:t>。</w:t>
      </w:r>
    </w:p>
    <w:p w14:paraId="4C0AF4C5">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2.7 </w:t>
      </w:r>
      <w:r>
        <w:rPr>
          <w:rFonts w:hint="eastAsia" w:ascii="宋体" w:hAnsi="宋体"/>
          <w:color w:val="auto"/>
        </w:rPr>
        <w:t>其他义务</w:t>
      </w:r>
    </w:p>
    <w:p w14:paraId="5A506FB1">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发包人应履行的其他义务：</w:t>
      </w:r>
      <w:r>
        <w:rPr>
          <w:rFonts w:ascii="宋体" w:hAnsi="宋体"/>
          <w:color w:val="auto"/>
          <w:u w:val="single"/>
        </w:rPr>
        <w:t xml:space="preserve"> / </w:t>
      </w:r>
      <w:r>
        <w:rPr>
          <w:rFonts w:hint="eastAsia" w:ascii="宋体" w:hAnsi="宋体"/>
          <w:color w:val="auto"/>
        </w:rPr>
        <w:t>。</w:t>
      </w:r>
    </w:p>
    <w:p w14:paraId="190650C2">
      <w:pPr>
        <w:keepNext w:val="0"/>
        <w:keepLines w:val="0"/>
        <w:pageBreakBefore w:val="0"/>
        <w:widowControl/>
        <w:tabs>
          <w:tab w:val="left" w:pos="993"/>
        </w:tabs>
        <w:wordWrap/>
        <w:overflowPunct/>
        <w:topLinePunct w:val="0"/>
        <w:autoSpaceDE/>
        <w:autoSpaceDN/>
        <w:bidi w:val="0"/>
        <w:adjustRightInd w:val="0"/>
        <w:snapToGrid w:val="0"/>
        <w:spacing w:line="360" w:lineRule="exact"/>
        <w:contextualSpacing/>
        <w:textAlignment w:val="auto"/>
        <w:outlineLvl w:val="2"/>
        <w:rPr>
          <w:rFonts w:ascii="宋体" w:hAnsi="宋体" w:cs="Times"/>
          <w:bCs/>
          <w:color w:val="auto"/>
          <w:kern w:val="0"/>
        </w:rPr>
      </w:pPr>
      <w:bookmarkStart w:id="202" w:name="_Toc85451960"/>
      <w:r>
        <w:rPr>
          <w:rFonts w:hint="eastAsia" w:ascii="宋体" w:hAnsi="宋体" w:cs="Times"/>
          <w:bCs/>
          <w:color w:val="auto"/>
          <w:kern w:val="0"/>
        </w:rPr>
        <w:t>第</w:t>
      </w:r>
      <w:r>
        <w:rPr>
          <w:rFonts w:ascii="宋体" w:hAnsi="宋体" w:cs="Times"/>
          <w:bCs/>
          <w:color w:val="auto"/>
          <w:kern w:val="0"/>
        </w:rPr>
        <w:t>3条</w:t>
      </w:r>
      <w:r>
        <w:rPr>
          <w:rFonts w:hint="eastAsia" w:ascii="宋体" w:hAnsi="宋体" w:cs="Times"/>
          <w:bCs/>
          <w:color w:val="auto"/>
          <w:kern w:val="0"/>
        </w:rPr>
        <w:t xml:space="preserve"> 发包人的管理</w:t>
      </w:r>
      <w:bookmarkEnd w:id="202"/>
    </w:p>
    <w:p w14:paraId="3D0B0543">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3.1 </w:t>
      </w:r>
      <w:r>
        <w:rPr>
          <w:rFonts w:hint="eastAsia" w:ascii="宋体" w:hAnsi="宋体"/>
          <w:color w:val="auto"/>
        </w:rPr>
        <w:t>发包人代表</w:t>
      </w:r>
    </w:p>
    <w:p w14:paraId="676FF732">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发包人代表的姓名：</w:t>
      </w:r>
      <w:r>
        <w:rPr>
          <w:rFonts w:ascii="宋体" w:hAnsi="宋体"/>
          <w:color w:val="auto"/>
          <w:u w:val="single"/>
        </w:rPr>
        <w:t xml:space="preserve">  </w:t>
      </w:r>
      <w:r>
        <w:rPr>
          <w:rFonts w:hint="eastAsia" w:ascii="宋体" w:hAnsi="宋体"/>
          <w:color w:val="auto"/>
          <w:u w:val="single"/>
        </w:rPr>
        <w:t xml:space="preserve"> </w:t>
      </w:r>
      <w:r>
        <w:rPr>
          <w:rFonts w:ascii="宋体" w:hAnsi="宋体"/>
          <w:color w:val="auto"/>
          <w:u w:val="single"/>
        </w:rPr>
        <w:t xml:space="preserve">                              </w:t>
      </w:r>
      <w:r>
        <w:rPr>
          <w:rFonts w:hint="eastAsia" w:ascii="宋体" w:hAnsi="宋体"/>
          <w:color w:val="auto"/>
        </w:rPr>
        <w:t>；</w:t>
      </w:r>
    </w:p>
    <w:p w14:paraId="4E0AB872">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发包人代表的身份证号：</w:t>
      </w:r>
      <w:r>
        <w:rPr>
          <w:rFonts w:ascii="宋体" w:hAnsi="宋体"/>
          <w:color w:val="auto"/>
          <w:u w:val="single"/>
        </w:rPr>
        <w:t xml:space="preserve">                             </w:t>
      </w:r>
      <w:r>
        <w:rPr>
          <w:rFonts w:hint="eastAsia" w:ascii="宋体" w:hAnsi="宋体"/>
          <w:color w:val="auto"/>
        </w:rPr>
        <w:t>；</w:t>
      </w:r>
    </w:p>
    <w:p w14:paraId="4AEBA775">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发包人代表的职务：</w:t>
      </w:r>
      <w:r>
        <w:rPr>
          <w:rFonts w:ascii="宋体" w:hAnsi="宋体"/>
          <w:color w:val="auto"/>
          <w:u w:val="single"/>
        </w:rPr>
        <w:t xml:space="preserve">                                  </w:t>
      </w:r>
      <w:r>
        <w:rPr>
          <w:rFonts w:hint="eastAsia" w:ascii="宋体" w:hAnsi="宋体"/>
          <w:color w:val="auto"/>
        </w:rPr>
        <w:t>；</w:t>
      </w:r>
    </w:p>
    <w:p w14:paraId="236715F4">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发包人代表的联系电话：</w:t>
      </w:r>
      <w:r>
        <w:rPr>
          <w:rFonts w:ascii="宋体" w:hAnsi="宋体"/>
          <w:color w:val="auto"/>
          <w:u w:val="single"/>
        </w:rPr>
        <w:t xml:space="preserve">                             </w:t>
      </w:r>
      <w:r>
        <w:rPr>
          <w:rFonts w:hint="eastAsia" w:ascii="宋体" w:hAnsi="宋体"/>
          <w:color w:val="auto"/>
        </w:rPr>
        <w:t>；</w:t>
      </w:r>
    </w:p>
    <w:p w14:paraId="4C082114">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发包人代表的电子邮箱：</w:t>
      </w:r>
      <w:r>
        <w:rPr>
          <w:rFonts w:ascii="宋体" w:hAnsi="宋体"/>
          <w:color w:val="auto"/>
          <w:u w:val="single"/>
        </w:rPr>
        <w:t xml:space="preserve">                              </w:t>
      </w:r>
      <w:r>
        <w:rPr>
          <w:rFonts w:hint="eastAsia" w:ascii="宋体" w:hAnsi="宋体"/>
          <w:color w:val="auto"/>
        </w:rPr>
        <w:t>；</w:t>
      </w:r>
    </w:p>
    <w:p w14:paraId="3C991D76">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发包人代表的通信地址：</w:t>
      </w:r>
      <w:r>
        <w:rPr>
          <w:rFonts w:ascii="宋体" w:hAnsi="宋体"/>
          <w:color w:val="auto"/>
          <w:u w:val="single"/>
        </w:rPr>
        <w:t xml:space="preserve">  </w:t>
      </w:r>
      <w:r>
        <w:rPr>
          <w:rFonts w:hint="eastAsia" w:ascii="宋体" w:hAnsi="宋体"/>
          <w:color w:val="auto"/>
          <w:u w:val="single"/>
        </w:rPr>
        <w:t xml:space="preserve"> </w:t>
      </w:r>
      <w:r>
        <w:rPr>
          <w:rFonts w:ascii="宋体" w:hAnsi="宋体"/>
          <w:color w:val="auto"/>
          <w:u w:val="single"/>
        </w:rPr>
        <w:t xml:space="preserve">                            </w:t>
      </w:r>
      <w:r>
        <w:rPr>
          <w:rFonts w:hint="eastAsia" w:ascii="宋体" w:hAnsi="宋体"/>
          <w:color w:val="auto"/>
        </w:rPr>
        <w:t>；</w:t>
      </w:r>
    </w:p>
    <w:p w14:paraId="46491CE3">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发包人对发包人代表的授权范围如下：</w:t>
      </w:r>
      <w:r>
        <w:rPr>
          <w:rFonts w:hint="eastAsia" w:ascii="宋体" w:hAnsi="宋体"/>
          <w:color w:val="auto"/>
          <w:u w:val="single"/>
        </w:rPr>
        <w:t>行使发包人的权利，监督各方履行职责，协调施工现场各方面的关系，协调工程质量、安全文明施工中存在的问题等</w:t>
      </w:r>
      <w:r>
        <w:rPr>
          <w:rFonts w:hint="eastAsia" w:ascii="宋体" w:hAnsi="宋体"/>
          <w:color w:val="auto"/>
        </w:rPr>
        <w:t>；</w:t>
      </w:r>
    </w:p>
    <w:p w14:paraId="69D9B94E">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发包人代表的职责：</w:t>
      </w:r>
      <w:r>
        <w:rPr>
          <w:rFonts w:hint="eastAsia" w:ascii="宋体" w:hAnsi="宋体"/>
          <w:color w:val="auto"/>
          <w:u w:val="single"/>
        </w:rPr>
        <w:t>行使发包人的权利，监督各方履行职责，协调施工现场各方面的关系，协调工程质量、安全文明施工中存在的问题等</w:t>
      </w:r>
      <w:r>
        <w:rPr>
          <w:rFonts w:hint="eastAsia" w:ascii="宋体" w:hAnsi="宋体"/>
          <w:color w:val="auto"/>
        </w:rPr>
        <w:t>。</w:t>
      </w:r>
    </w:p>
    <w:p w14:paraId="01C2AB31">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3.2 </w:t>
      </w:r>
      <w:r>
        <w:rPr>
          <w:rFonts w:hint="eastAsia" w:ascii="宋体" w:hAnsi="宋体"/>
          <w:color w:val="auto"/>
        </w:rPr>
        <w:t>发包人人员</w:t>
      </w:r>
    </w:p>
    <w:p w14:paraId="260DE264">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发包人人员姓名：</w:t>
      </w:r>
      <w:r>
        <w:rPr>
          <w:rFonts w:ascii="宋体" w:hAnsi="宋体"/>
          <w:color w:val="auto"/>
          <w:u w:val="single"/>
        </w:rPr>
        <w:t xml:space="preserve">                                   </w:t>
      </w:r>
      <w:r>
        <w:rPr>
          <w:rFonts w:ascii="宋体" w:hAnsi="宋体"/>
          <w:color w:val="auto"/>
        </w:rPr>
        <w:t>；</w:t>
      </w:r>
    </w:p>
    <w:p w14:paraId="5071BBCC">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发包人人员职务：</w:t>
      </w:r>
      <w:r>
        <w:rPr>
          <w:rFonts w:ascii="宋体" w:hAnsi="宋体"/>
          <w:color w:val="auto"/>
          <w:u w:val="single"/>
        </w:rPr>
        <w:t xml:space="preserve">                                  </w:t>
      </w:r>
      <w:r>
        <w:rPr>
          <w:rFonts w:ascii="宋体" w:hAnsi="宋体"/>
          <w:color w:val="auto"/>
        </w:rPr>
        <w:t>；</w:t>
      </w:r>
    </w:p>
    <w:p w14:paraId="36D40401">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发包人人员职责：</w:t>
      </w:r>
      <w:r>
        <w:rPr>
          <w:rFonts w:ascii="宋体" w:hAnsi="宋体"/>
          <w:color w:val="auto"/>
          <w:u w:val="single"/>
        </w:rPr>
        <w:t xml:space="preserve">                                  </w:t>
      </w:r>
      <w:r>
        <w:rPr>
          <w:rFonts w:hint="eastAsia" w:ascii="宋体" w:hAnsi="宋体"/>
          <w:color w:val="auto"/>
        </w:rPr>
        <w:t>。</w:t>
      </w:r>
    </w:p>
    <w:p w14:paraId="2839796E">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3.3 </w:t>
      </w:r>
      <w:r>
        <w:rPr>
          <w:rFonts w:hint="eastAsia" w:ascii="宋体" w:hAnsi="宋体"/>
          <w:color w:val="auto"/>
        </w:rPr>
        <w:t>工程师</w:t>
      </w:r>
    </w:p>
    <w:p w14:paraId="6C13604C">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highlight w:val="cyan"/>
        </w:rPr>
      </w:pPr>
      <w:r>
        <w:rPr>
          <w:rFonts w:hint="eastAsia" w:ascii="宋体" w:hAnsi="宋体"/>
          <w:color w:val="auto"/>
        </w:rPr>
        <w:t>3</w:t>
      </w:r>
      <w:r>
        <w:rPr>
          <w:rFonts w:ascii="宋体" w:hAnsi="宋体"/>
          <w:color w:val="auto"/>
        </w:rPr>
        <w:t xml:space="preserve">.3.1 </w:t>
      </w:r>
      <w:r>
        <w:rPr>
          <w:rFonts w:hint="eastAsia" w:ascii="宋体" w:hAnsi="宋体"/>
          <w:color w:val="auto"/>
        </w:rPr>
        <w:t>工程师名称</w:t>
      </w:r>
      <w:r>
        <w:rPr>
          <w:rFonts w:ascii="宋体" w:hAnsi="宋体"/>
          <w:color w:val="auto"/>
        </w:rPr>
        <w:t>：</w:t>
      </w:r>
      <w:r>
        <w:rPr>
          <w:rFonts w:ascii="宋体" w:hAnsi="宋体"/>
          <w:color w:val="auto"/>
          <w:u w:val="single"/>
        </w:rPr>
        <w:t xml:space="preserve">        </w:t>
      </w:r>
      <w:r>
        <w:rPr>
          <w:rFonts w:ascii="宋体" w:hAnsi="宋体"/>
          <w:color w:val="auto"/>
        </w:rPr>
        <w:t>；</w:t>
      </w:r>
      <w:r>
        <w:rPr>
          <w:rFonts w:hint="eastAsia" w:ascii="宋体" w:hAnsi="宋体"/>
          <w:color w:val="auto"/>
        </w:rPr>
        <w:t>工程师监督管理</w:t>
      </w:r>
      <w:r>
        <w:rPr>
          <w:rFonts w:ascii="宋体" w:hAnsi="宋体"/>
          <w:color w:val="auto"/>
        </w:rPr>
        <w:t>范围</w:t>
      </w:r>
      <w:r>
        <w:rPr>
          <w:rFonts w:hint="eastAsia" w:ascii="宋体" w:hAnsi="宋体"/>
          <w:color w:val="auto"/>
        </w:rPr>
        <w:t>、内容</w:t>
      </w:r>
      <w:r>
        <w:rPr>
          <w:rFonts w:ascii="宋体" w:hAnsi="宋体"/>
          <w:color w:val="auto"/>
        </w:rPr>
        <w:t>：</w:t>
      </w:r>
      <w:r>
        <w:rPr>
          <w:rFonts w:ascii="宋体" w:hAnsi="宋体"/>
          <w:color w:val="auto"/>
          <w:u w:val="single"/>
        </w:rPr>
        <w:t xml:space="preserve">                       </w:t>
      </w:r>
      <w:r>
        <w:rPr>
          <w:rFonts w:hint="eastAsia" w:ascii="宋体" w:hAnsi="宋体"/>
          <w:color w:val="auto"/>
        </w:rPr>
        <w:t>；工程师</w:t>
      </w:r>
      <w:r>
        <w:rPr>
          <w:rFonts w:ascii="宋体" w:hAnsi="宋体"/>
          <w:color w:val="auto"/>
        </w:rPr>
        <w:t>权限：</w:t>
      </w:r>
      <w:r>
        <w:rPr>
          <w:rFonts w:ascii="宋体" w:hAnsi="宋体"/>
          <w:color w:val="auto"/>
          <w:u w:val="single"/>
        </w:rPr>
        <w:t xml:space="preserve">                          </w:t>
      </w:r>
      <w:r>
        <w:rPr>
          <w:rFonts w:hint="eastAsia" w:ascii="宋体" w:hAnsi="宋体"/>
          <w:color w:val="auto"/>
        </w:rPr>
        <w:t>。</w:t>
      </w:r>
    </w:p>
    <w:p w14:paraId="4E1A9B49">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3.6 </w:t>
      </w:r>
      <w:r>
        <w:rPr>
          <w:rFonts w:hint="eastAsia" w:ascii="宋体" w:hAnsi="宋体"/>
          <w:color w:val="auto"/>
        </w:rPr>
        <w:t>商定或确定</w:t>
      </w:r>
    </w:p>
    <w:p w14:paraId="5D388944">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3</w:t>
      </w:r>
      <w:r>
        <w:rPr>
          <w:rFonts w:ascii="宋体" w:hAnsi="宋体"/>
          <w:color w:val="auto"/>
        </w:rPr>
        <w:t>.6.2 关于</w:t>
      </w:r>
      <w:r>
        <w:rPr>
          <w:rFonts w:hint="eastAsia" w:ascii="宋体" w:hAnsi="宋体"/>
          <w:color w:val="auto"/>
        </w:rPr>
        <w:t>商定</w:t>
      </w:r>
      <w:r>
        <w:rPr>
          <w:rFonts w:ascii="宋体" w:hAnsi="宋体"/>
          <w:color w:val="auto"/>
        </w:rPr>
        <w:t>时间限制的具体约定：</w:t>
      </w:r>
      <w:r>
        <w:rPr>
          <w:rFonts w:hint="eastAsia" w:ascii="宋体" w:hAnsi="宋体"/>
          <w:color w:val="auto"/>
          <w:u w:val="single"/>
        </w:rPr>
        <w:t>按通用合同条件执行</w:t>
      </w:r>
      <w:r>
        <w:rPr>
          <w:rFonts w:hint="eastAsia" w:ascii="宋体" w:hAnsi="宋体"/>
          <w:color w:val="auto"/>
        </w:rPr>
        <w:t>。</w:t>
      </w:r>
    </w:p>
    <w:p w14:paraId="5DD3221D">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3.6.3 关于</w:t>
      </w:r>
      <w:r>
        <w:rPr>
          <w:rFonts w:hint="eastAsia" w:ascii="宋体" w:hAnsi="宋体"/>
          <w:color w:val="auto"/>
        </w:rPr>
        <w:t>商定或确定</w:t>
      </w:r>
      <w:r>
        <w:rPr>
          <w:rFonts w:ascii="宋体" w:hAnsi="宋体"/>
          <w:color w:val="auto"/>
        </w:rPr>
        <w:t>效力的具体约定：</w:t>
      </w:r>
      <w:r>
        <w:rPr>
          <w:rFonts w:hint="eastAsia" w:ascii="宋体" w:hAnsi="宋体"/>
          <w:color w:val="auto"/>
          <w:u w:val="single"/>
        </w:rPr>
        <w:t>按通用合同条件执行</w:t>
      </w:r>
      <w:r>
        <w:rPr>
          <w:rFonts w:hint="eastAsia" w:ascii="宋体" w:hAnsi="宋体"/>
          <w:color w:val="auto"/>
        </w:rPr>
        <w:t>；</w:t>
      </w:r>
      <w:r>
        <w:rPr>
          <w:rFonts w:ascii="宋体" w:hAnsi="宋体"/>
          <w:color w:val="auto"/>
        </w:rPr>
        <w:t>关于对</w:t>
      </w:r>
      <w:r>
        <w:rPr>
          <w:rFonts w:hint="eastAsia" w:ascii="宋体" w:hAnsi="宋体"/>
          <w:color w:val="auto"/>
        </w:rPr>
        <w:t>工程师的确定提出异议</w:t>
      </w:r>
      <w:r>
        <w:rPr>
          <w:rFonts w:ascii="宋体" w:hAnsi="宋体"/>
          <w:color w:val="auto"/>
        </w:rPr>
        <w:t>的具体约定：</w:t>
      </w:r>
      <w:r>
        <w:rPr>
          <w:rFonts w:hint="eastAsia" w:ascii="宋体" w:hAnsi="宋体"/>
          <w:color w:val="auto"/>
          <w:u w:val="single"/>
        </w:rPr>
        <w:t>按通用合同条件执行</w:t>
      </w:r>
      <w:r>
        <w:rPr>
          <w:rFonts w:hint="eastAsia" w:ascii="宋体" w:hAnsi="宋体"/>
          <w:color w:val="auto"/>
        </w:rPr>
        <w:t>。</w:t>
      </w:r>
    </w:p>
    <w:p w14:paraId="2F8A0B93">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3.7 </w:t>
      </w:r>
      <w:r>
        <w:rPr>
          <w:rFonts w:hint="eastAsia" w:ascii="宋体" w:hAnsi="宋体"/>
          <w:color w:val="auto"/>
        </w:rPr>
        <w:t>会议</w:t>
      </w:r>
    </w:p>
    <w:p w14:paraId="150504A3">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3</w:t>
      </w:r>
      <w:r>
        <w:rPr>
          <w:rFonts w:ascii="宋体" w:hAnsi="宋体"/>
          <w:color w:val="auto"/>
        </w:rPr>
        <w:t>.7.1 关于召开会议</w:t>
      </w:r>
      <w:r>
        <w:rPr>
          <w:rFonts w:hint="eastAsia" w:ascii="宋体" w:hAnsi="宋体"/>
          <w:color w:val="auto"/>
        </w:rPr>
        <w:t>的具体约定：</w:t>
      </w:r>
      <w:r>
        <w:rPr>
          <w:rFonts w:hint="eastAsia" w:ascii="宋体" w:hAnsi="宋体"/>
          <w:color w:val="auto"/>
          <w:u w:val="single"/>
        </w:rPr>
        <w:t>按通用合同条件执行</w:t>
      </w:r>
      <w:r>
        <w:rPr>
          <w:rFonts w:hint="eastAsia" w:ascii="宋体" w:hAnsi="宋体"/>
          <w:color w:val="auto"/>
        </w:rPr>
        <w:t>。</w:t>
      </w:r>
    </w:p>
    <w:p w14:paraId="3578E2D1">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3</w:t>
      </w:r>
      <w:r>
        <w:rPr>
          <w:rFonts w:ascii="宋体" w:hAnsi="宋体"/>
          <w:color w:val="auto"/>
        </w:rPr>
        <w:t xml:space="preserve">.7.2 </w:t>
      </w:r>
      <w:r>
        <w:rPr>
          <w:rFonts w:hint="eastAsia" w:ascii="宋体" w:hAnsi="宋体"/>
          <w:color w:val="auto"/>
        </w:rPr>
        <w:t>关于保存和提供会议纪要</w:t>
      </w:r>
      <w:r>
        <w:rPr>
          <w:rFonts w:ascii="宋体" w:hAnsi="宋体"/>
          <w:color w:val="auto"/>
        </w:rPr>
        <w:t>的具体约定：</w:t>
      </w:r>
      <w:r>
        <w:rPr>
          <w:rFonts w:hint="eastAsia" w:ascii="宋体" w:hAnsi="宋体"/>
          <w:color w:val="auto"/>
          <w:u w:val="single"/>
        </w:rPr>
        <w:t>按通用合同条件执行</w:t>
      </w:r>
      <w:r>
        <w:rPr>
          <w:rFonts w:hint="eastAsia" w:ascii="宋体" w:hAnsi="宋体"/>
          <w:color w:val="auto"/>
        </w:rPr>
        <w:t>。</w:t>
      </w:r>
    </w:p>
    <w:p w14:paraId="7F9F1024">
      <w:pPr>
        <w:keepNext w:val="0"/>
        <w:keepLines w:val="0"/>
        <w:pageBreakBefore w:val="0"/>
        <w:widowControl/>
        <w:tabs>
          <w:tab w:val="left" w:pos="993"/>
        </w:tabs>
        <w:wordWrap/>
        <w:overflowPunct/>
        <w:topLinePunct w:val="0"/>
        <w:autoSpaceDE/>
        <w:autoSpaceDN/>
        <w:bidi w:val="0"/>
        <w:adjustRightInd w:val="0"/>
        <w:snapToGrid w:val="0"/>
        <w:spacing w:line="360" w:lineRule="exact"/>
        <w:contextualSpacing/>
        <w:textAlignment w:val="auto"/>
        <w:outlineLvl w:val="2"/>
        <w:rPr>
          <w:rFonts w:ascii="宋体" w:hAnsi="宋体" w:cs="Times"/>
          <w:bCs/>
          <w:color w:val="auto"/>
          <w:kern w:val="0"/>
        </w:rPr>
      </w:pPr>
      <w:bookmarkStart w:id="203" w:name="_Toc85451961"/>
      <w:r>
        <w:rPr>
          <w:rFonts w:hint="eastAsia" w:ascii="宋体" w:hAnsi="宋体" w:cs="Times"/>
          <w:bCs/>
          <w:color w:val="auto"/>
          <w:kern w:val="0"/>
        </w:rPr>
        <w:t>第</w:t>
      </w:r>
      <w:r>
        <w:rPr>
          <w:rFonts w:ascii="宋体" w:hAnsi="宋体" w:cs="Times"/>
          <w:bCs/>
          <w:color w:val="auto"/>
          <w:kern w:val="0"/>
        </w:rPr>
        <w:t>4条</w:t>
      </w:r>
      <w:r>
        <w:rPr>
          <w:rFonts w:hint="eastAsia" w:ascii="宋体" w:hAnsi="宋体" w:cs="Times"/>
          <w:bCs/>
          <w:color w:val="auto"/>
          <w:kern w:val="0"/>
        </w:rPr>
        <w:t xml:space="preserve"> 承包人</w:t>
      </w:r>
      <w:bookmarkEnd w:id="203"/>
    </w:p>
    <w:p w14:paraId="7ADB0B55">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4.1 </w:t>
      </w:r>
      <w:r>
        <w:rPr>
          <w:rFonts w:hint="eastAsia" w:ascii="宋体" w:hAnsi="宋体"/>
          <w:color w:val="auto"/>
        </w:rPr>
        <w:t>承包人的一般义务</w:t>
      </w:r>
    </w:p>
    <w:p w14:paraId="44A45FD4">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承包人应履行的其他义务：</w:t>
      </w:r>
      <w:r>
        <w:rPr>
          <w:rFonts w:hint="eastAsia" w:ascii="宋体" w:hAnsi="宋体"/>
          <w:color w:val="auto"/>
          <w:u w:val="single"/>
        </w:rPr>
        <w:t>按通用合同条件执行</w:t>
      </w:r>
      <w:r>
        <w:rPr>
          <w:rFonts w:hint="eastAsia" w:ascii="宋体" w:hAnsi="宋体"/>
          <w:color w:val="auto"/>
        </w:rPr>
        <w:t>。</w:t>
      </w:r>
    </w:p>
    <w:p w14:paraId="6548E460">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4.2 </w:t>
      </w:r>
      <w:r>
        <w:rPr>
          <w:rFonts w:hint="eastAsia" w:ascii="宋体" w:hAnsi="宋体"/>
          <w:color w:val="auto"/>
        </w:rPr>
        <w:t>履约担保</w:t>
      </w:r>
    </w:p>
    <w:p w14:paraId="19A857D7">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承包人是否提供履约担保：</w:t>
      </w:r>
      <w:r>
        <w:rPr>
          <w:rFonts w:ascii="宋体" w:hAnsi="宋体"/>
          <w:color w:val="auto"/>
          <w:u w:val="single"/>
        </w:rPr>
        <w:t xml:space="preserve"> </w:t>
      </w:r>
      <w:r>
        <w:rPr>
          <w:rFonts w:hint="eastAsia" w:ascii="宋体" w:hAnsi="宋体"/>
          <w:color w:val="auto"/>
          <w:u w:val="single"/>
        </w:rPr>
        <w:t>是</w:t>
      </w:r>
      <w:r>
        <w:rPr>
          <w:rFonts w:ascii="宋体" w:hAnsi="宋体"/>
          <w:color w:val="auto"/>
          <w:u w:val="single"/>
        </w:rPr>
        <w:t xml:space="preserve"> </w:t>
      </w:r>
      <w:r>
        <w:rPr>
          <w:rFonts w:hint="eastAsia" w:ascii="宋体" w:hAnsi="宋体"/>
          <w:color w:val="auto"/>
        </w:rPr>
        <w:t>。</w:t>
      </w:r>
    </w:p>
    <w:p w14:paraId="6C57B3A1">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履约担保的方式、金额及期限</w:t>
      </w:r>
      <w:r>
        <w:rPr>
          <w:rFonts w:hint="eastAsia" w:ascii="宋体" w:hAnsi="宋体"/>
          <w:color w:val="auto"/>
          <w:lang w:eastAsia="zh-CN"/>
        </w:rPr>
        <w:t>：</w:t>
      </w:r>
      <w:r>
        <w:rPr>
          <w:rFonts w:hint="eastAsia" w:ascii="宋体" w:hAnsi="宋体"/>
          <w:color w:val="auto"/>
        </w:rPr>
        <w:t xml:space="preserve"> </w:t>
      </w:r>
      <w:r>
        <w:rPr>
          <w:rFonts w:hint="eastAsia" w:ascii="宋体" w:hAnsi="宋体"/>
          <w:color w:val="auto"/>
          <w:u w:val="single"/>
        </w:rPr>
        <w:t>（1）履约担保的形式：银行转账或银行保函或保证保险；（2）合同签订后10个工作日内缴纳中标合同</w:t>
      </w:r>
      <w:r>
        <w:rPr>
          <w:rFonts w:hint="eastAsia" w:ascii="宋体" w:hAnsi="宋体"/>
          <w:color w:val="auto"/>
          <w:u w:val="single"/>
          <w:lang w:val="en-US" w:eastAsia="zh-CN"/>
        </w:rPr>
        <w:t>暂估</w:t>
      </w:r>
      <w:r>
        <w:rPr>
          <w:rFonts w:hint="eastAsia" w:ascii="宋体" w:hAnsi="宋体"/>
          <w:color w:val="auto"/>
          <w:u w:val="single"/>
        </w:rPr>
        <w:t>金额</w:t>
      </w:r>
      <w:r>
        <w:rPr>
          <w:rFonts w:hint="eastAsia" w:ascii="宋体" w:hAnsi="宋体"/>
          <w:color w:val="auto"/>
          <w:u w:val="single"/>
          <w:lang w:val="en-US" w:eastAsia="zh-CN"/>
        </w:rPr>
        <w:t xml:space="preserve"> 5 </w:t>
      </w:r>
      <w:r>
        <w:rPr>
          <w:rFonts w:hint="eastAsia" w:ascii="宋体" w:hAnsi="宋体"/>
          <w:color w:val="auto"/>
          <w:u w:val="single"/>
        </w:rPr>
        <w:t>%的履约保证金，工程竣工验收合格后5个工作日内</w:t>
      </w:r>
      <w:r>
        <w:rPr>
          <w:rFonts w:hint="eastAsia" w:ascii="宋体" w:hAnsi="宋体"/>
          <w:color w:val="auto"/>
          <w:u w:val="single"/>
          <w:lang w:val="en-US" w:eastAsia="zh-CN"/>
        </w:rPr>
        <w:t>按相关法律法规规定</w:t>
      </w:r>
      <w:r>
        <w:rPr>
          <w:rFonts w:hint="eastAsia" w:ascii="宋体" w:hAnsi="宋体"/>
          <w:color w:val="auto"/>
          <w:u w:val="single"/>
        </w:rPr>
        <w:t>退还</w:t>
      </w:r>
      <w:r>
        <w:rPr>
          <w:rFonts w:hint="eastAsia" w:ascii="宋体" w:hAnsi="宋体"/>
          <w:color w:val="auto"/>
          <w:u w:val="single"/>
          <w:lang w:val="en-US" w:eastAsia="zh-CN"/>
        </w:rPr>
        <w:t>。</w:t>
      </w:r>
    </w:p>
    <w:p w14:paraId="08A62A53">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4.3 </w:t>
      </w:r>
      <w:r>
        <w:rPr>
          <w:rFonts w:hint="eastAsia" w:ascii="宋体" w:hAnsi="宋体"/>
          <w:color w:val="auto"/>
        </w:rPr>
        <w:t>工程总承包项目经理</w:t>
      </w:r>
    </w:p>
    <w:p w14:paraId="2814D824">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4.3.1 </w:t>
      </w:r>
      <w:r>
        <w:rPr>
          <w:rFonts w:hint="eastAsia" w:ascii="宋体" w:hAnsi="宋体"/>
          <w:color w:val="auto"/>
        </w:rPr>
        <w:t>工程总承包项目经理姓名：</w:t>
      </w:r>
      <w:r>
        <w:rPr>
          <w:rFonts w:ascii="宋体" w:hAnsi="宋体"/>
          <w:color w:val="auto"/>
          <w:u w:val="single"/>
        </w:rPr>
        <w:t xml:space="preserve"> </w:t>
      </w:r>
      <w:r>
        <w:rPr>
          <w:rFonts w:hint="eastAsia" w:ascii="宋体" w:hAnsi="宋体"/>
          <w:color w:val="auto"/>
          <w:u w:val="single"/>
        </w:rPr>
        <w:t xml:space="preserve"> </w:t>
      </w:r>
      <w:r>
        <w:rPr>
          <w:rFonts w:ascii="宋体" w:hAnsi="宋体"/>
          <w:color w:val="auto"/>
          <w:u w:val="single"/>
        </w:rPr>
        <w:t xml:space="preserve">      </w:t>
      </w:r>
      <w:r>
        <w:rPr>
          <w:rFonts w:hint="eastAsia" w:ascii="宋体" w:hAnsi="宋体"/>
          <w:color w:val="auto"/>
        </w:rPr>
        <w:t>；</w:t>
      </w:r>
    </w:p>
    <w:p w14:paraId="7C1C6BE3">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执业资格或职称类型：</w:t>
      </w:r>
      <w:r>
        <w:rPr>
          <w:rFonts w:hint="eastAsia" w:ascii="宋体" w:hAnsi="宋体"/>
          <w:color w:val="auto"/>
          <w:u w:val="single"/>
        </w:rPr>
        <w:t xml:space="preserve"> </w:t>
      </w:r>
      <w:r>
        <w:rPr>
          <w:rFonts w:ascii="宋体" w:hAnsi="宋体"/>
          <w:color w:val="auto"/>
          <w:u w:val="single"/>
        </w:rPr>
        <w:t xml:space="preserve">        </w:t>
      </w:r>
      <w:r>
        <w:rPr>
          <w:rFonts w:hint="eastAsia" w:ascii="宋体" w:hAnsi="宋体"/>
          <w:color w:val="auto"/>
        </w:rPr>
        <w:t>；</w:t>
      </w:r>
    </w:p>
    <w:p w14:paraId="5F97FF3F">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执业资格证或职称证号码：</w:t>
      </w:r>
      <w:r>
        <w:rPr>
          <w:rFonts w:hint="eastAsia" w:ascii="宋体" w:hAnsi="宋体"/>
          <w:color w:val="auto"/>
          <w:u w:val="single"/>
        </w:rPr>
        <w:t xml:space="preserve">      </w:t>
      </w:r>
      <w:r>
        <w:rPr>
          <w:rFonts w:ascii="宋体" w:hAnsi="宋体"/>
          <w:color w:val="auto"/>
          <w:u w:val="single"/>
        </w:rPr>
        <w:t xml:space="preserve"> </w:t>
      </w:r>
      <w:r>
        <w:rPr>
          <w:rFonts w:hint="eastAsia" w:ascii="宋体" w:hAnsi="宋体"/>
          <w:color w:val="auto"/>
        </w:rPr>
        <w:t>；</w:t>
      </w:r>
    </w:p>
    <w:p w14:paraId="61AD9A74">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联系电话：</w:t>
      </w:r>
      <w:r>
        <w:rPr>
          <w:rFonts w:hint="eastAsia" w:ascii="宋体" w:hAnsi="宋体"/>
          <w:color w:val="auto"/>
          <w:u w:val="single"/>
        </w:rPr>
        <w:t xml:space="preserve">  </w:t>
      </w:r>
      <w:r>
        <w:rPr>
          <w:rFonts w:ascii="宋体" w:hAnsi="宋体"/>
          <w:color w:val="auto"/>
          <w:u w:val="single"/>
        </w:rPr>
        <w:t xml:space="preserve">           </w:t>
      </w:r>
      <w:r>
        <w:rPr>
          <w:rFonts w:hint="eastAsia" w:ascii="宋体" w:hAnsi="宋体"/>
          <w:color w:val="auto"/>
        </w:rPr>
        <w:t>；</w:t>
      </w:r>
    </w:p>
    <w:p w14:paraId="1F487291">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电子邮箱：</w:t>
      </w:r>
      <w:r>
        <w:rPr>
          <w:rFonts w:ascii="宋体" w:hAnsi="宋体"/>
          <w:color w:val="auto"/>
          <w:u w:val="single"/>
        </w:rPr>
        <w:t xml:space="preserve">             </w:t>
      </w:r>
      <w:r>
        <w:rPr>
          <w:rFonts w:hint="eastAsia" w:ascii="宋体" w:hAnsi="宋体"/>
          <w:color w:val="auto"/>
        </w:rPr>
        <w:t>；</w:t>
      </w:r>
    </w:p>
    <w:p w14:paraId="3125588E">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通信地址：</w:t>
      </w:r>
      <w:r>
        <w:rPr>
          <w:rFonts w:hint="eastAsia" w:ascii="宋体" w:hAnsi="宋体"/>
          <w:color w:val="auto"/>
          <w:u w:val="single"/>
        </w:rPr>
        <w:t xml:space="preserve">       </w:t>
      </w:r>
      <w:r>
        <w:rPr>
          <w:rFonts w:ascii="宋体" w:hAnsi="宋体"/>
          <w:color w:val="auto"/>
          <w:u w:val="single"/>
        </w:rPr>
        <w:t xml:space="preserve">      </w:t>
      </w:r>
      <w:r>
        <w:rPr>
          <w:rFonts w:hint="eastAsia" w:ascii="宋体" w:hAnsi="宋体"/>
          <w:color w:val="auto"/>
        </w:rPr>
        <w:t>。</w:t>
      </w:r>
    </w:p>
    <w:p w14:paraId="16A95537">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承包人未提交劳动合同，以及没有为工程总承包项目经理缴纳社会保险证明的违约责任：</w:t>
      </w:r>
      <w:r>
        <w:rPr>
          <w:rFonts w:hint="eastAsia" w:ascii="宋体" w:hAnsi="宋体"/>
          <w:color w:val="auto"/>
          <w:u w:val="single"/>
        </w:rPr>
        <w:t>按通用合同条件执行</w:t>
      </w:r>
      <w:r>
        <w:rPr>
          <w:rFonts w:hint="eastAsia" w:ascii="宋体" w:hAnsi="宋体"/>
          <w:color w:val="auto"/>
        </w:rPr>
        <w:t>。</w:t>
      </w:r>
    </w:p>
    <w:p w14:paraId="22B36377">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4.3.2 </w:t>
      </w:r>
      <w:r>
        <w:rPr>
          <w:rFonts w:hint="eastAsia" w:ascii="宋体" w:hAnsi="宋体"/>
          <w:color w:val="auto"/>
        </w:rPr>
        <w:t>工程总承包项目经理每月在现场的时间要求：</w:t>
      </w:r>
      <w:r>
        <w:rPr>
          <w:rFonts w:ascii="宋体" w:hAnsi="宋体"/>
          <w:color w:val="auto"/>
          <w:u w:val="single"/>
        </w:rPr>
        <w:t>22</w:t>
      </w:r>
      <w:r>
        <w:rPr>
          <w:rFonts w:hint="eastAsia" w:ascii="宋体" w:hAnsi="宋体"/>
          <w:color w:val="auto"/>
          <w:u w:val="single"/>
        </w:rPr>
        <w:t>天/月</w:t>
      </w:r>
      <w:r>
        <w:rPr>
          <w:rFonts w:hint="eastAsia" w:ascii="宋体" w:hAnsi="宋体"/>
          <w:color w:val="auto"/>
        </w:rPr>
        <w:t>。</w:t>
      </w:r>
    </w:p>
    <w:p w14:paraId="3B45A508">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工程总承包项目经理未经批准擅自离开施工现场的违约责任：</w:t>
      </w:r>
      <w:r>
        <w:rPr>
          <w:rFonts w:hint="eastAsia" w:ascii="宋体" w:hAnsi="宋体"/>
          <w:color w:val="auto"/>
          <w:u w:val="single"/>
        </w:rPr>
        <w:t>按2</w:t>
      </w:r>
      <w:r>
        <w:rPr>
          <w:rFonts w:ascii="宋体" w:hAnsi="宋体"/>
          <w:color w:val="auto"/>
          <w:u w:val="single"/>
        </w:rPr>
        <w:t>000</w:t>
      </w:r>
      <w:r>
        <w:rPr>
          <w:rFonts w:hint="eastAsia" w:ascii="宋体" w:hAnsi="宋体"/>
          <w:color w:val="auto"/>
          <w:u w:val="single"/>
        </w:rPr>
        <w:t>元</w:t>
      </w:r>
      <w:r>
        <w:rPr>
          <w:rFonts w:ascii="宋体" w:hAnsi="宋体"/>
          <w:color w:val="auto"/>
          <w:u w:val="single"/>
        </w:rPr>
        <w:t>/天</w:t>
      </w:r>
      <w:r>
        <w:rPr>
          <w:rFonts w:hint="eastAsia" w:ascii="宋体" w:hAnsi="宋体"/>
          <w:color w:val="auto"/>
          <w:u w:val="single"/>
        </w:rPr>
        <w:t>支付违约金</w:t>
      </w:r>
      <w:r>
        <w:rPr>
          <w:rFonts w:hint="eastAsia" w:ascii="宋体" w:hAnsi="宋体"/>
          <w:color w:val="auto"/>
        </w:rPr>
        <w:t>。</w:t>
      </w:r>
    </w:p>
    <w:p w14:paraId="5A4BFA2A">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4.3.3 </w:t>
      </w:r>
      <w:r>
        <w:rPr>
          <w:rFonts w:hint="eastAsia" w:ascii="宋体" w:hAnsi="宋体"/>
          <w:color w:val="auto"/>
        </w:rPr>
        <w:t>承包人对工程总承包项目经理的授权范围</w:t>
      </w:r>
      <w:r>
        <w:rPr>
          <w:rFonts w:hint="eastAsia" w:ascii="宋体" w:hAnsi="宋体"/>
          <w:color w:val="auto"/>
          <w:lang w:eastAsia="zh-CN"/>
        </w:rPr>
        <w:t>：</w:t>
      </w:r>
      <w:r>
        <w:rPr>
          <w:rFonts w:hint="eastAsia" w:ascii="宋体" w:hAnsi="宋体"/>
          <w:color w:val="auto"/>
        </w:rPr>
        <w:t xml:space="preserve"> </w:t>
      </w:r>
      <w:r>
        <w:rPr>
          <w:rFonts w:hint="eastAsia" w:ascii="宋体" w:hAnsi="宋体"/>
          <w:color w:val="auto"/>
          <w:u w:val="single"/>
        </w:rPr>
        <w:t>代表承包人负责组织合同的实施</w:t>
      </w:r>
      <w:r>
        <w:rPr>
          <w:rFonts w:hint="eastAsia" w:ascii="宋体" w:hAnsi="宋体"/>
          <w:color w:val="auto"/>
        </w:rPr>
        <w:t>。</w:t>
      </w:r>
    </w:p>
    <w:p w14:paraId="5EF2BAC1">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4.3.4 </w:t>
      </w:r>
      <w:r>
        <w:rPr>
          <w:rFonts w:hint="eastAsia" w:ascii="宋体" w:hAnsi="宋体"/>
          <w:color w:val="auto"/>
        </w:rPr>
        <w:t>承包人</w:t>
      </w:r>
      <w:r>
        <w:rPr>
          <w:rFonts w:ascii="宋体" w:hAnsi="宋体"/>
          <w:color w:val="auto"/>
        </w:rPr>
        <w:t>擅自更换工程总承包项目经理的违约</w:t>
      </w:r>
      <w:r>
        <w:rPr>
          <w:rFonts w:hint="eastAsia" w:ascii="宋体" w:hAnsi="宋体"/>
          <w:color w:val="auto"/>
        </w:rPr>
        <w:t>责任：</w:t>
      </w:r>
      <w:r>
        <w:rPr>
          <w:rFonts w:hint="eastAsia" w:ascii="宋体" w:hAnsi="宋体"/>
          <w:color w:val="auto"/>
          <w:u w:val="single"/>
        </w:rPr>
        <w:t>承包人向发包人支付20000元/次的违约金，并按发包人要求立即整改，否则视为违约，发包人有权单方面终止合同（</w:t>
      </w:r>
      <w:r>
        <w:rPr>
          <w:rFonts w:ascii="宋体" w:hAnsi="宋体"/>
          <w:color w:val="auto"/>
          <w:u w:val="single"/>
        </w:rPr>
        <w:t>发包人同意更换的除外</w:t>
      </w:r>
      <w:r>
        <w:rPr>
          <w:rFonts w:hint="eastAsia" w:ascii="宋体" w:hAnsi="宋体"/>
          <w:color w:val="auto"/>
          <w:u w:val="single"/>
        </w:rPr>
        <w:t>）</w:t>
      </w:r>
      <w:r>
        <w:rPr>
          <w:rFonts w:hint="eastAsia" w:ascii="宋体" w:hAnsi="宋体"/>
          <w:color w:val="auto"/>
        </w:rPr>
        <w:t>。</w:t>
      </w:r>
    </w:p>
    <w:p w14:paraId="3320A8A7">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4.3.5 承包人无正当理由拒绝更换工程总承包项目经理的违约责任</w:t>
      </w:r>
      <w:r>
        <w:rPr>
          <w:rFonts w:hint="eastAsia" w:ascii="宋体" w:hAnsi="宋体"/>
          <w:color w:val="auto"/>
          <w:lang w:eastAsia="zh-CN"/>
        </w:rPr>
        <w:t>：</w:t>
      </w:r>
      <w:r>
        <w:rPr>
          <w:rFonts w:hint="eastAsia" w:ascii="宋体" w:hAnsi="宋体"/>
          <w:color w:val="auto"/>
          <w:u w:val="single"/>
        </w:rPr>
        <w:t>承包人向发包人支付20000元/次的违约金，并按发包人要求立即整改，否则视为违约，发包人有权单方面终止合同</w:t>
      </w:r>
      <w:r>
        <w:rPr>
          <w:rFonts w:ascii="宋体" w:hAnsi="宋体"/>
          <w:color w:val="auto"/>
        </w:rPr>
        <w:t>。</w:t>
      </w:r>
    </w:p>
    <w:p w14:paraId="1100CB26">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4.4 </w:t>
      </w:r>
      <w:r>
        <w:rPr>
          <w:rFonts w:hint="eastAsia" w:ascii="宋体" w:hAnsi="宋体"/>
          <w:color w:val="auto"/>
        </w:rPr>
        <w:t>承包人人员</w:t>
      </w:r>
    </w:p>
    <w:p w14:paraId="526CBE11">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4.4.1 </w:t>
      </w:r>
      <w:r>
        <w:rPr>
          <w:rFonts w:hint="eastAsia" w:ascii="宋体" w:hAnsi="宋体"/>
          <w:color w:val="auto"/>
        </w:rPr>
        <w:t>人员安排</w:t>
      </w:r>
    </w:p>
    <w:p w14:paraId="6154517E">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承包人</w:t>
      </w:r>
      <w:r>
        <w:rPr>
          <w:rFonts w:hint="eastAsia" w:ascii="宋体" w:hAnsi="宋体"/>
          <w:color w:val="auto"/>
        </w:rPr>
        <w:t>提交</w:t>
      </w:r>
      <w:r>
        <w:rPr>
          <w:rFonts w:ascii="宋体" w:hAnsi="宋体"/>
          <w:color w:val="auto"/>
        </w:rPr>
        <w:t>项目管理机构及施工现场人员安排的报告</w:t>
      </w:r>
      <w:r>
        <w:rPr>
          <w:rFonts w:hint="eastAsia" w:ascii="宋体" w:hAnsi="宋体"/>
          <w:color w:val="auto"/>
        </w:rPr>
        <w:t>的期限：</w:t>
      </w:r>
      <w:r>
        <w:rPr>
          <w:rFonts w:hint="eastAsia" w:ascii="宋体" w:hAnsi="宋体"/>
          <w:color w:val="auto"/>
          <w:u w:val="single"/>
        </w:rPr>
        <w:t>按通用合同条件执行</w:t>
      </w:r>
      <w:r>
        <w:rPr>
          <w:rFonts w:hint="eastAsia" w:ascii="宋体" w:hAnsi="宋体"/>
          <w:color w:val="auto"/>
        </w:rPr>
        <w:t>。</w:t>
      </w:r>
    </w:p>
    <w:p w14:paraId="103BA091">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承包人提交关键人员信息及注册执业资格等证明其具备担任关键人员能力的相关文件的期限：</w:t>
      </w:r>
      <w:r>
        <w:rPr>
          <w:rFonts w:hint="eastAsia" w:ascii="宋体" w:hAnsi="宋体"/>
          <w:color w:val="auto"/>
          <w:u w:val="single"/>
        </w:rPr>
        <w:t>按通用合同条件执行</w:t>
      </w:r>
      <w:r>
        <w:rPr>
          <w:rFonts w:hint="eastAsia" w:ascii="宋体" w:hAnsi="宋体"/>
          <w:color w:val="auto"/>
        </w:rPr>
        <w:t>。</w:t>
      </w:r>
    </w:p>
    <w:p w14:paraId="3A3940B1">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4.4.2 </w:t>
      </w:r>
      <w:r>
        <w:rPr>
          <w:rFonts w:hint="eastAsia" w:ascii="宋体" w:hAnsi="宋体"/>
          <w:color w:val="auto"/>
        </w:rPr>
        <w:t>关键人员更换</w:t>
      </w:r>
    </w:p>
    <w:p w14:paraId="75E3EA46">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承包人擅自更换关键人员的违约责任：参与本合同工程的除项目经理以外的其他本项目负责人</w:t>
      </w:r>
      <w:r>
        <w:rPr>
          <w:rFonts w:hint="eastAsia" w:ascii="宋体" w:hAnsi="宋体"/>
          <w:color w:val="auto"/>
          <w:lang w:eastAsia="zh-CN"/>
        </w:rPr>
        <w:t>未经</w:t>
      </w:r>
      <w:r>
        <w:rPr>
          <w:rFonts w:hint="eastAsia" w:ascii="宋体" w:hAnsi="宋体"/>
          <w:color w:val="auto"/>
        </w:rPr>
        <w:t>发包人书面同意不得更换，随意更换每次向发包人支付违约金10000元，并按发包人要求立即整改（</w:t>
      </w:r>
      <w:r>
        <w:rPr>
          <w:rFonts w:ascii="宋体" w:hAnsi="宋体"/>
          <w:color w:val="auto"/>
        </w:rPr>
        <w:t>发包人同意更换的除外</w:t>
      </w:r>
      <w:r>
        <w:rPr>
          <w:rFonts w:hint="eastAsia" w:ascii="宋体" w:hAnsi="宋体"/>
          <w:color w:val="auto"/>
        </w:rPr>
        <w:t>）。</w:t>
      </w:r>
    </w:p>
    <w:p w14:paraId="424505D1">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承包人无正当理由拒绝撤换</w:t>
      </w:r>
      <w:r>
        <w:rPr>
          <w:rFonts w:hint="eastAsia" w:ascii="宋体" w:hAnsi="宋体"/>
          <w:color w:val="auto"/>
        </w:rPr>
        <w:t>关键人员</w:t>
      </w:r>
      <w:r>
        <w:rPr>
          <w:rFonts w:ascii="宋体" w:hAnsi="宋体"/>
          <w:color w:val="auto"/>
        </w:rPr>
        <w:t>的违约责任：</w:t>
      </w:r>
      <w:r>
        <w:rPr>
          <w:rFonts w:hint="eastAsia" w:ascii="宋体" w:hAnsi="宋体"/>
          <w:color w:val="auto"/>
          <w:u w:val="single"/>
        </w:rPr>
        <w:t>每次向发包人支付违约金10000元，并按发包人要求立即整改</w:t>
      </w:r>
      <w:r>
        <w:rPr>
          <w:rFonts w:hint="eastAsia" w:ascii="宋体" w:hAnsi="宋体"/>
          <w:color w:val="auto"/>
        </w:rPr>
        <w:t>。</w:t>
      </w:r>
    </w:p>
    <w:p w14:paraId="304362EF">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4.4.3 </w:t>
      </w:r>
      <w:r>
        <w:rPr>
          <w:rFonts w:hint="eastAsia" w:ascii="宋体" w:hAnsi="宋体"/>
          <w:color w:val="auto"/>
        </w:rPr>
        <w:t>现场管理关键人员在岗要求</w:t>
      </w:r>
    </w:p>
    <w:p w14:paraId="00BC5328">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承包人</w:t>
      </w:r>
      <w:r>
        <w:rPr>
          <w:rFonts w:hint="eastAsia" w:ascii="宋体" w:hAnsi="宋体"/>
          <w:color w:val="auto"/>
        </w:rPr>
        <w:t>现场管理关键</w:t>
      </w:r>
      <w:r>
        <w:rPr>
          <w:rFonts w:ascii="宋体" w:hAnsi="宋体"/>
          <w:color w:val="auto"/>
        </w:rPr>
        <w:t>人员离开施工现场的批准要求</w:t>
      </w:r>
      <w:r>
        <w:rPr>
          <w:rFonts w:hint="eastAsia" w:ascii="宋体" w:hAnsi="宋体"/>
          <w:color w:val="auto"/>
        </w:rPr>
        <w:t>：</w:t>
      </w:r>
      <w:r>
        <w:rPr>
          <w:rFonts w:hint="eastAsia" w:ascii="宋体" w:hAnsi="宋体"/>
          <w:color w:val="auto"/>
          <w:u w:val="single"/>
        </w:rPr>
        <w:t>按通用合同条件执行</w:t>
      </w:r>
      <w:r>
        <w:rPr>
          <w:rFonts w:hint="eastAsia" w:ascii="宋体" w:hAnsi="宋体"/>
          <w:color w:val="auto"/>
        </w:rPr>
        <w:t>。</w:t>
      </w:r>
    </w:p>
    <w:p w14:paraId="7D5752EC">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承包人现场管理关键人员擅自离开施工现场的违约责任：</w:t>
      </w:r>
      <w:r>
        <w:rPr>
          <w:rFonts w:hint="eastAsia" w:ascii="宋体" w:hAnsi="宋体"/>
          <w:color w:val="auto"/>
          <w:u w:val="single"/>
        </w:rPr>
        <w:t>第一次</w:t>
      </w:r>
      <w:r>
        <w:rPr>
          <w:rFonts w:hint="eastAsia" w:ascii="宋体" w:hAnsi="宋体"/>
          <w:color w:val="auto"/>
          <w:u w:val="single"/>
          <w:lang w:eastAsia="zh-CN"/>
        </w:rPr>
        <w:t>处以</w:t>
      </w:r>
      <w:r>
        <w:rPr>
          <w:rFonts w:hint="eastAsia" w:ascii="宋体" w:hAnsi="宋体"/>
          <w:color w:val="auto"/>
          <w:u w:val="single"/>
        </w:rPr>
        <w:t>罚款1000元/人，第二次处以罚款2000元/人，第三次处以罚款</w:t>
      </w:r>
      <w:r>
        <w:rPr>
          <w:rFonts w:ascii="宋体" w:hAnsi="宋体"/>
          <w:color w:val="auto"/>
          <w:u w:val="single"/>
        </w:rPr>
        <w:t>3</w:t>
      </w:r>
      <w:r>
        <w:rPr>
          <w:rFonts w:hint="eastAsia" w:ascii="宋体" w:hAnsi="宋体"/>
          <w:color w:val="auto"/>
          <w:u w:val="single"/>
        </w:rPr>
        <w:t>000元/人，未经同意缺席累计超过三次者，发包人有权要求更换人员</w:t>
      </w:r>
      <w:r>
        <w:rPr>
          <w:rFonts w:hint="eastAsia" w:ascii="宋体" w:hAnsi="宋体"/>
          <w:color w:val="auto"/>
        </w:rPr>
        <w:t>。</w:t>
      </w:r>
    </w:p>
    <w:p w14:paraId="1B82D3FE">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4.5 </w:t>
      </w:r>
      <w:r>
        <w:rPr>
          <w:rFonts w:hint="eastAsia" w:ascii="宋体" w:hAnsi="宋体"/>
          <w:color w:val="auto"/>
        </w:rPr>
        <w:t>分包</w:t>
      </w:r>
    </w:p>
    <w:p w14:paraId="1F0E5C11">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4.5.1 </w:t>
      </w:r>
      <w:r>
        <w:rPr>
          <w:rFonts w:hint="eastAsia" w:ascii="宋体" w:hAnsi="宋体"/>
          <w:color w:val="auto"/>
        </w:rPr>
        <w:t>一般约定</w:t>
      </w:r>
    </w:p>
    <w:p w14:paraId="490CFF45">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禁止分包的工程包括：</w:t>
      </w:r>
      <w:r>
        <w:rPr>
          <w:rFonts w:hint="eastAsia" w:ascii="宋体" w:hAnsi="宋体"/>
          <w:color w:val="auto"/>
          <w:u w:val="single"/>
        </w:rPr>
        <w:t>主体工程的施工</w:t>
      </w:r>
      <w:r>
        <w:rPr>
          <w:rFonts w:ascii="宋体" w:hAnsi="宋体"/>
          <w:color w:val="auto"/>
          <w:u w:val="single"/>
        </w:rPr>
        <w:t xml:space="preserve"> </w:t>
      </w:r>
      <w:r>
        <w:rPr>
          <w:rFonts w:ascii="宋体" w:hAnsi="宋体"/>
          <w:color w:val="auto"/>
        </w:rPr>
        <w:t>。</w:t>
      </w:r>
    </w:p>
    <w:p w14:paraId="6D501966">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4.5.2 </w:t>
      </w:r>
      <w:r>
        <w:rPr>
          <w:rFonts w:hint="eastAsia" w:ascii="宋体" w:hAnsi="宋体"/>
          <w:color w:val="auto"/>
        </w:rPr>
        <w:t>分包的确定</w:t>
      </w:r>
    </w:p>
    <w:p w14:paraId="60B4095F">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允许分包的工程包括：</w:t>
      </w:r>
      <w:r>
        <w:rPr>
          <w:rFonts w:ascii="宋体" w:hAnsi="宋体"/>
          <w:color w:val="auto"/>
          <w:u w:val="single"/>
        </w:rPr>
        <w:t xml:space="preserve"> / </w:t>
      </w:r>
      <w:r>
        <w:rPr>
          <w:rFonts w:ascii="宋体" w:hAnsi="宋体"/>
          <w:color w:val="auto"/>
        </w:rPr>
        <w:t>。</w:t>
      </w:r>
    </w:p>
    <w:p w14:paraId="7B3AFDF5">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其他关于分包的约定：</w:t>
      </w:r>
      <w:r>
        <w:rPr>
          <w:rFonts w:hint="eastAsia" w:ascii="宋体" w:hAnsi="宋体"/>
          <w:color w:val="auto"/>
          <w:u w:val="single"/>
        </w:rPr>
        <w:t>在实施过程中如果确需分包，必须经发包人书面同意，否则不允许</w:t>
      </w:r>
      <w:r>
        <w:rPr>
          <w:rFonts w:ascii="宋体" w:hAnsi="宋体"/>
          <w:color w:val="auto"/>
        </w:rPr>
        <w:t>。</w:t>
      </w:r>
    </w:p>
    <w:p w14:paraId="37DE0951">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4.5.5 </w:t>
      </w:r>
      <w:r>
        <w:rPr>
          <w:rFonts w:hint="eastAsia" w:ascii="宋体" w:hAnsi="宋体"/>
          <w:color w:val="auto"/>
        </w:rPr>
        <w:t>分包合同价款支付</w:t>
      </w:r>
    </w:p>
    <w:p w14:paraId="377F5A3C">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关于分包合同价款支付的约定：</w:t>
      </w:r>
      <w:r>
        <w:rPr>
          <w:rFonts w:hint="eastAsia" w:ascii="宋体" w:hAnsi="宋体"/>
          <w:color w:val="auto"/>
          <w:u w:val="single"/>
        </w:rPr>
        <w:t>按通用合同条件执行</w:t>
      </w:r>
      <w:r>
        <w:rPr>
          <w:rFonts w:ascii="宋体" w:hAnsi="宋体"/>
          <w:color w:val="auto"/>
        </w:rPr>
        <w:t>。</w:t>
      </w:r>
    </w:p>
    <w:p w14:paraId="3253CE5E">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4.6 </w:t>
      </w:r>
      <w:r>
        <w:rPr>
          <w:rFonts w:hint="eastAsia" w:ascii="宋体" w:hAnsi="宋体"/>
          <w:color w:val="auto"/>
        </w:rPr>
        <w:t>联合体</w:t>
      </w:r>
    </w:p>
    <w:p w14:paraId="0D6040D6">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4</w:t>
      </w:r>
      <w:r>
        <w:rPr>
          <w:rFonts w:ascii="宋体" w:hAnsi="宋体"/>
          <w:color w:val="auto"/>
        </w:rPr>
        <w:t xml:space="preserve">.6.2 </w:t>
      </w:r>
      <w:r>
        <w:rPr>
          <w:rFonts w:hint="eastAsia" w:ascii="宋体" w:hAnsi="宋体"/>
          <w:color w:val="auto"/>
        </w:rPr>
        <w:t>联合体各成员的分工、费用收取、发票开具等事项：</w:t>
      </w:r>
      <w:r>
        <w:rPr>
          <w:rFonts w:hint="eastAsia" w:ascii="宋体" w:hAnsi="宋体"/>
          <w:color w:val="auto"/>
          <w:u w:val="single"/>
        </w:rPr>
        <w:t>联合体成员的分工按联合体协议书执行，各成员开具发票给</w:t>
      </w:r>
      <w:r>
        <w:rPr>
          <w:rFonts w:ascii="宋体" w:hAnsi="宋体"/>
          <w:color w:val="auto"/>
          <w:u w:val="single"/>
        </w:rPr>
        <w:t>发包人</w:t>
      </w:r>
      <w:r>
        <w:rPr>
          <w:rFonts w:hint="eastAsia" w:ascii="宋体" w:hAnsi="宋体"/>
          <w:color w:val="auto"/>
          <w:u w:val="single"/>
        </w:rPr>
        <w:t>后，由发包人将</w:t>
      </w:r>
      <w:r>
        <w:rPr>
          <w:rFonts w:ascii="宋体" w:hAnsi="宋体"/>
          <w:color w:val="auto"/>
          <w:u w:val="single"/>
        </w:rPr>
        <w:t>相应款项</w:t>
      </w:r>
      <w:r>
        <w:rPr>
          <w:rFonts w:hint="eastAsia" w:ascii="宋体" w:hAnsi="宋体"/>
          <w:color w:val="auto"/>
          <w:u w:val="single"/>
        </w:rPr>
        <w:t>分</w:t>
      </w:r>
      <w:r>
        <w:rPr>
          <w:rFonts w:ascii="宋体" w:hAnsi="宋体"/>
          <w:color w:val="auto"/>
          <w:u w:val="single"/>
        </w:rPr>
        <w:t>别</w:t>
      </w:r>
      <w:r>
        <w:rPr>
          <w:rFonts w:hint="eastAsia" w:ascii="宋体" w:hAnsi="宋体"/>
          <w:color w:val="auto"/>
          <w:u w:val="single"/>
        </w:rPr>
        <w:t>支付至</w:t>
      </w:r>
      <w:r>
        <w:rPr>
          <w:rFonts w:ascii="宋体" w:hAnsi="宋体"/>
          <w:color w:val="auto"/>
          <w:u w:val="single"/>
        </w:rPr>
        <w:t>联合体成员各方</w:t>
      </w:r>
      <w:r>
        <w:rPr>
          <w:rFonts w:hint="eastAsia" w:ascii="宋体" w:hAnsi="宋体"/>
          <w:color w:val="auto"/>
        </w:rPr>
        <w:t>。</w:t>
      </w:r>
    </w:p>
    <w:p w14:paraId="38E6E70A">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4.7 </w:t>
      </w:r>
      <w:r>
        <w:rPr>
          <w:rFonts w:hint="eastAsia" w:ascii="宋体" w:hAnsi="宋体"/>
          <w:color w:val="auto"/>
        </w:rPr>
        <w:t>承包人现场查勘</w:t>
      </w:r>
    </w:p>
    <w:p w14:paraId="610DDE59">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4</w:t>
      </w:r>
      <w:r>
        <w:rPr>
          <w:rFonts w:ascii="宋体" w:hAnsi="宋体"/>
          <w:color w:val="auto"/>
        </w:rPr>
        <w:t xml:space="preserve">.7.1 </w:t>
      </w:r>
      <w:r>
        <w:rPr>
          <w:rFonts w:hint="eastAsia" w:ascii="宋体" w:hAnsi="宋体"/>
          <w:color w:val="auto"/>
        </w:rPr>
        <w:t>双方当事人对现场查勘的责任承担的约定：</w:t>
      </w:r>
      <w:r>
        <w:rPr>
          <w:rFonts w:hint="eastAsia" w:ascii="宋体" w:hAnsi="宋体"/>
          <w:color w:val="auto"/>
          <w:u w:val="single"/>
        </w:rPr>
        <w:t>按通用合同条件执行</w:t>
      </w:r>
      <w:r>
        <w:rPr>
          <w:rFonts w:hint="eastAsia" w:ascii="宋体" w:hAnsi="宋体"/>
          <w:color w:val="auto"/>
        </w:rPr>
        <w:t>。</w:t>
      </w:r>
    </w:p>
    <w:p w14:paraId="5F981B81">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4.8 </w:t>
      </w:r>
      <w:r>
        <w:rPr>
          <w:rFonts w:hint="eastAsia" w:ascii="宋体" w:hAnsi="宋体"/>
          <w:color w:val="auto"/>
        </w:rPr>
        <w:t>不可预见的困难</w:t>
      </w:r>
    </w:p>
    <w:p w14:paraId="78AEA24E">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不可预见的困难包括：</w:t>
      </w:r>
      <w:r>
        <w:rPr>
          <w:rFonts w:ascii="宋体" w:hAnsi="宋体"/>
          <w:color w:val="auto"/>
          <w:u w:val="single"/>
        </w:rPr>
        <w:t xml:space="preserve"> / </w:t>
      </w:r>
      <w:r>
        <w:rPr>
          <w:rFonts w:ascii="宋体" w:hAnsi="宋体"/>
          <w:color w:val="auto"/>
        </w:rPr>
        <w:t>。</w:t>
      </w:r>
    </w:p>
    <w:p w14:paraId="4ADCE7C2">
      <w:pPr>
        <w:keepNext w:val="0"/>
        <w:keepLines w:val="0"/>
        <w:pageBreakBefore w:val="0"/>
        <w:widowControl/>
        <w:tabs>
          <w:tab w:val="left" w:pos="993"/>
        </w:tabs>
        <w:wordWrap/>
        <w:overflowPunct/>
        <w:topLinePunct w:val="0"/>
        <w:autoSpaceDE/>
        <w:autoSpaceDN/>
        <w:bidi w:val="0"/>
        <w:adjustRightInd w:val="0"/>
        <w:snapToGrid w:val="0"/>
        <w:spacing w:line="360" w:lineRule="exact"/>
        <w:contextualSpacing/>
        <w:textAlignment w:val="auto"/>
        <w:outlineLvl w:val="2"/>
        <w:rPr>
          <w:rFonts w:ascii="宋体" w:hAnsi="宋体" w:cs="Times"/>
          <w:bCs/>
          <w:color w:val="auto"/>
          <w:kern w:val="0"/>
        </w:rPr>
      </w:pPr>
      <w:bookmarkStart w:id="204" w:name="_Toc85451962"/>
      <w:r>
        <w:rPr>
          <w:rFonts w:hint="eastAsia" w:ascii="宋体" w:hAnsi="宋体" w:cs="Times"/>
          <w:bCs/>
          <w:color w:val="auto"/>
          <w:kern w:val="0"/>
        </w:rPr>
        <w:t>第</w:t>
      </w:r>
      <w:r>
        <w:rPr>
          <w:rFonts w:ascii="宋体" w:hAnsi="宋体" w:cs="Times"/>
          <w:bCs/>
          <w:color w:val="auto"/>
          <w:kern w:val="0"/>
        </w:rPr>
        <w:t>5条</w:t>
      </w:r>
      <w:r>
        <w:rPr>
          <w:rFonts w:hint="eastAsia" w:ascii="宋体" w:hAnsi="宋体" w:cs="Times"/>
          <w:bCs/>
          <w:color w:val="auto"/>
          <w:kern w:val="0"/>
        </w:rPr>
        <w:t xml:space="preserve"> 设计</w:t>
      </w:r>
      <w:bookmarkEnd w:id="204"/>
    </w:p>
    <w:p w14:paraId="1F5AFBDD">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5.2 </w:t>
      </w:r>
      <w:r>
        <w:rPr>
          <w:rFonts w:hint="eastAsia" w:ascii="宋体" w:hAnsi="宋体"/>
          <w:color w:val="auto"/>
        </w:rPr>
        <w:t>承包人文件审查</w:t>
      </w:r>
    </w:p>
    <w:p w14:paraId="4B739086">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5</w:t>
      </w:r>
      <w:r>
        <w:rPr>
          <w:rFonts w:ascii="宋体" w:hAnsi="宋体"/>
          <w:color w:val="auto"/>
        </w:rPr>
        <w:t xml:space="preserve">.2.1 </w:t>
      </w:r>
      <w:r>
        <w:rPr>
          <w:rFonts w:hint="eastAsia" w:ascii="宋体" w:hAnsi="宋体"/>
          <w:color w:val="auto"/>
        </w:rPr>
        <w:t>承包人文件审查的期限</w:t>
      </w:r>
      <w:r>
        <w:rPr>
          <w:rFonts w:hint="eastAsia" w:ascii="宋体" w:hAnsi="宋体"/>
          <w:color w:val="auto"/>
          <w:lang w:eastAsia="zh-CN"/>
        </w:rPr>
        <w:t>：</w:t>
      </w:r>
    </w:p>
    <w:p w14:paraId="115FA821">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5.2.2 </w:t>
      </w:r>
      <w:r>
        <w:rPr>
          <w:rFonts w:hint="eastAsia" w:ascii="宋体" w:hAnsi="宋体"/>
          <w:color w:val="auto"/>
        </w:rPr>
        <w:t>审查会议的审查形式和时间安排为</w:t>
      </w:r>
      <w:r>
        <w:rPr>
          <w:rFonts w:hint="eastAsia" w:ascii="宋体" w:hAnsi="宋体"/>
          <w:color w:val="auto"/>
          <w:lang w:eastAsia="zh-CN"/>
        </w:rPr>
        <w:t>：</w:t>
      </w:r>
      <w:r>
        <w:rPr>
          <w:rFonts w:hint="eastAsia" w:ascii="宋体" w:hAnsi="宋体"/>
          <w:color w:val="auto"/>
        </w:rPr>
        <w:t>审查会议的相关费用由</w:t>
      </w:r>
      <w:r>
        <w:rPr>
          <w:rFonts w:hint="eastAsia" w:ascii="宋体" w:hAnsi="宋体"/>
          <w:color w:val="auto"/>
          <w:u w:val="single"/>
        </w:rPr>
        <w:t>/</w:t>
      </w:r>
      <w:r>
        <w:rPr>
          <w:rFonts w:hint="eastAsia" w:ascii="宋体" w:hAnsi="宋体"/>
          <w:color w:val="auto"/>
        </w:rPr>
        <w:t>承担。</w:t>
      </w:r>
    </w:p>
    <w:p w14:paraId="7A478A50">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5</w:t>
      </w:r>
      <w:r>
        <w:rPr>
          <w:rFonts w:ascii="宋体" w:hAnsi="宋体"/>
          <w:color w:val="auto"/>
        </w:rPr>
        <w:t xml:space="preserve">.2.3 </w:t>
      </w:r>
      <w:r>
        <w:rPr>
          <w:rFonts w:hint="eastAsia" w:ascii="宋体" w:hAnsi="宋体"/>
          <w:color w:val="auto"/>
        </w:rPr>
        <w:t>关于第三方审查单位的约定</w:t>
      </w:r>
      <w:r>
        <w:rPr>
          <w:rFonts w:hint="eastAsia" w:ascii="宋体" w:hAnsi="宋体"/>
          <w:color w:val="auto"/>
          <w:lang w:eastAsia="zh-CN"/>
        </w:rPr>
        <w:t>：</w:t>
      </w:r>
    </w:p>
    <w:p w14:paraId="36048D5A">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5.3 </w:t>
      </w:r>
      <w:r>
        <w:rPr>
          <w:rFonts w:hint="eastAsia" w:ascii="宋体" w:hAnsi="宋体"/>
          <w:color w:val="auto"/>
        </w:rPr>
        <w:t>培训</w:t>
      </w:r>
    </w:p>
    <w:p w14:paraId="2703AEC3">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培训的时长为</w:t>
      </w:r>
      <w:r>
        <w:rPr>
          <w:rFonts w:ascii="宋体" w:hAnsi="宋体"/>
          <w:color w:val="auto"/>
          <w:u w:val="single"/>
        </w:rPr>
        <w:t xml:space="preserve"> / </w:t>
      </w:r>
      <w:r>
        <w:rPr>
          <w:rFonts w:hint="eastAsia" w:ascii="宋体" w:hAnsi="宋体"/>
          <w:color w:val="auto"/>
        </w:rPr>
        <w:t>，承包人应为培训提供的人员、设施</w:t>
      </w:r>
      <w:r>
        <w:rPr>
          <w:rFonts w:hint="eastAsia" w:ascii="宋体" w:hAnsi="宋体"/>
          <w:color w:val="auto"/>
          <w:lang w:eastAsia="zh-CN"/>
        </w:rPr>
        <w:t>和其他必要条件为</w:t>
      </w:r>
      <w:r>
        <w:rPr>
          <w:rFonts w:ascii="宋体" w:hAnsi="宋体"/>
          <w:color w:val="auto"/>
          <w:u w:val="single"/>
        </w:rPr>
        <w:t xml:space="preserve"> / </w:t>
      </w:r>
      <w:r>
        <w:rPr>
          <w:rFonts w:hint="eastAsia" w:ascii="宋体" w:hAnsi="宋体"/>
          <w:color w:val="auto"/>
        </w:rPr>
        <w:t>。</w:t>
      </w:r>
    </w:p>
    <w:p w14:paraId="4B19DBB1">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5.4 </w:t>
      </w:r>
      <w:r>
        <w:rPr>
          <w:rFonts w:hint="eastAsia" w:ascii="宋体" w:hAnsi="宋体"/>
          <w:color w:val="auto"/>
        </w:rPr>
        <w:t>竣工文件</w:t>
      </w:r>
    </w:p>
    <w:p w14:paraId="534E9A00">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5.4.1 </w:t>
      </w:r>
      <w:r>
        <w:rPr>
          <w:rFonts w:hint="eastAsia" w:ascii="宋体" w:hAnsi="宋体"/>
          <w:color w:val="auto"/>
        </w:rPr>
        <w:t>竣工文件的形式、</w:t>
      </w:r>
      <w:r>
        <w:rPr>
          <w:rFonts w:hint="eastAsia" w:ascii="宋体" w:hAnsi="宋体"/>
          <w:color w:val="auto"/>
          <w:lang w:eastAsia="zh-CN"/>
        </w:rPr>
        <w:t>提供的份数、技术标准以及其他</w:t>
      </w:r>
      <w:r>
        <w:rPr>
          <w:rFonts w:hint="eastAsia" w:ascii="宋体" w:hAnsi="宋体"/>
          <w:color w:val="auto"/>
        </w:rPr>
        <w:t>相关要求：</w:t>
      </w:r>
      <w:r>
        <w:rPr>
          <w:rFonts w:hint="eastAsia" w:ascii="宋体" w:hAnsi="宋体"/>
          <w:color w:val="auto"/>
          <w:u w:val="single"/>
        </w:rPr>
        <w:t>8份，竣工验收后</w:t>
      </w:r>
      <w:r>
        <w:rPr>
          <w:rFonts w:ascii="宋体" w:hAnsi="宋体"/>
          <w:color w:val="auto"/>
          <w:u w:val="single"/>
        </w:rPr>
        <w:t>3</w:t>
      </w:r>
      <w:r>
        <w:rPr>
          <w:rFonts w:hint="eastAsia" w:ascii="宋体" w:hAnsi="宋体"/>
          <w:color w:val="auto"/>
          <w:u w:val="single"/>
        </w:rPr>
        <w:t>个月。竣工资料</w:t>
      </w:r>
      <w:r>
        <w:rPr>
          <w:rFonts w:hint="eastAsia" w:ascii="宋体" w:hAnsi="宋体"/>
          <w:color w:val="auto"/>
          <w:u w:val="single"/>
          <w:lang w:eastAsia="zh-CN"/>
        </w:rPr>
        <w:t>须</w:t>
      </w:r>
      <w:r>
        <w:rPr>
          <w:rFonts w:hint="eastAsia" w:ascii="宋体" w:hAnsi="宋体"/>
          <w:color w:val="auto"/>
          <w:u w:val="single"/>
        </w:rPr>
        <w:t>达到省建设厅及城建档案管理部门的入档要求。竣工资料编制等费用由承包人负责。绘制竣工图用的图纸由承包人提供，提交8套。所有竣工资料和竣工图须提供电子版</w:t>
      </w:r>
      <w:r>
        <w:rPr>
          <w:rFonts w:hint="eastAsia" w:ascii="宋体" w:hAnsi="宋体"/>
          <w:color w:val="auto"/>
        </w:rPr>
        <w:t>。</w:t>
      </w:r>
    </w:p>
    <w:p w14:paraId="2AF93937">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5</w:t>
      </w:r>
      <w:r>
        <w:rPr>
          <w:rFonts w:ascii="宋体" w:hAnsi="宋体"/>
          <w:color w:val="auto"/>
        </w:rPr>
        <w:t xml:space="preserve">.4.3 </w:t>
      </w:r>
      <w:r>
        <w:rPr>
          <w:rFonts w:hint="eastAsia" w:ascii="宋体" w:hAnsi="宋体"/>
          <w:color w:val="auto"/>
        </w:rPr>
        <w:t>关于竣工文件的其他约定：</w:t>
      </w:r>
      <w:r>
        <w:rPr>
          <w:rFonts w:hint="eastAsia" w:ascii="宋体" w:hAnsi="宋体"/>
          <w:color w:val="auto"/>
          <w:u w:val="single"/>
        </w:rPr>
        <w:t>按通用合同条件执行</w:t>
      </w:r>
      <w:r>
        <w:rPr>
          <w:rFonts w:hint="eastAsia" w:ascii="宋体" w:hAnsi="宋体"/>
          <w:color w:val="auto"/>
        </w:rPr>
        <w:t>。</w:t>
      </w:r>
    </w:p>
    <w:p w14:paraId="6CF1DE45">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5.5 </w:t>
      </w:r>
      <w:r>
        <w:rPr>
          <w:rFonts w:hint="eastAsia" w:ascii="宋体" w:hAnsi="宋体"/>
          <w:color w:val="auto"/>
        </w:rPr>
        <w:t>操作和维修手册</w:t>
      </w:r>
    </w:p>
    <w:p w14:paraId="0B0532F3">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5.5.3 </w:t>
      </w:r>
      <w:r>
        <w:rPr>
          <w:rFonts w:hint="eastAsia" w:ascii="宋体" w:hAnsi="宋体"/>
          <w:color w:val="auto"/>
        </w:rPr>
        <w:t>对最终操作和维修手册的约定：</w:t>
      </w:r>
      <w:r>
        <w:rPr>
          <w:rFonts w:hint="eastAsia" w:ascii="宋体" w:hAnsi="宋体"/>
          <w:color w:val="auto"/>
          <w:u w:val="single"/>
        </w:rPr>
        <w:t>按通用合同条件执行</w:t>
      </w:r>
      <w:r>
        <w:rPr>
          <w:rFonts w:hint="eastAsia" w:ascii="宋体" w:hAnsi="宋体"/>
          <w:color w:val="auto"/>
        </w:rPr>
        <w:t>。</w:t>
      </w:r>
    </w:p>
    <w:p w14:paraId="0007B009">
      <w:pPr>
        <w:keepNext w:val="0"/>
        <w:keepLines w:val="0"/>
        <w:pageBreakBefore w:val="0"/>
        <w:widowControl/>
        <w:tabs>
          <w:tab w:val="left" w:pos="993"/>
        </w:tabs>
        <w:wordWrap/>
        <w:overflowPunct/>
        <w:topLinePunct w:val="0"/>
        <w:autoSpaceDE/>
        <w:autoSpaceDN/>
        <w:bidi w:val="0"/>
        <w:adjustRightInd w:val="0"/>
        <w:snapToGrid w:val="0"/>
        <w:spacing w:line="360" w:lineRule="exact"/>
        <w:contextualSpacing/>
        <w:textAlignment w:val="auto"/>
        <w:outlineLvl w:val="2"/>
        <w:rPr>
          <w:rFonts w:ascii="宋体" w:hAnsi="宋体" w:cs="Times"/>
          <w:bCs/>
          <w:color w:val="auto"/>
          <w:kern w:val="0"/>
        </w:rPr>
      </w:pPr>
      <w:bookmarkStart w:id="205" w:name="_Toc85451963"/>
      <w:r>
        <w:rPr>
          <w:rFonts w:hint="eastAsia" w:ascii="宋体" w:hAnsi="宋体" w:cs="Times"/>
          <w:bCs/>
          <w:color w:val="auto"/>
          <w:kern w:val="0"/>
        </w:rPr>
        <w:t>第</w:t>
      </w:r>
      <w:r>
        <w:rPr>
          <w:rFonts w:ascii="宋体" w:hAnsi="宋体" w:cs="Times"/>
          <w:bCs/>
          <w:color w:val="auto"/>
          <w:kern w:val="0"/>
        </w:rPr>
        <w:t>6条</w:t>
      </w:r>
      <w:r>
        <w:rPr>
          <w:rFonts w:hint="eastAsia" w:ascii="宋体" w:hAnsi="宋体" w:cs="Times"/>
          <w:bCs/>
          <w:color w:val="auto"/>
          <w:kern w:val="0"/>
        </w:rPr>
        <w:t xml:space="preserve"> 材料、工程设备</w:t>
      </w:r>
      <w:bookmarkEnd w:id="205"/>
    </w:p>
    <w:p w14:paraId="1BE18FDC">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6.1 </w:t>
      </w:r>
      <w:r>
        <w:rPr>
          <w:rFonts w:hint="eastAsia" w:ascii="宋体" w:hAnsi="宋体"/>
          <w:color w:val="auto"/>
        </w:rPr>
        <w:t>实施方法</w:t>
      </w:r>
    </w:p>
    <w:p w14:paraId="5E58089B">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双方当事人约定的实施方法、设备、设施和材料：</w:t>
      </w:r>
      <w:r>
        <w:rPr>
          <w:rFonts w:hint="eastAsia" w:ascii="宋体" w:hAnsi="宋体"/>
          <w:color w:val="auto"/>
          <w:u w:val="single"/>
        </w:rPr>
        <w:t>按通用合同条件执行</w:t>
      </w:r>
      <w:r>
        <w:rPr>
          <w:rFonts w:hint="eastAsia" w:ascii="宋体" w:hAnsi="宋体"/>
          <w:color w:val="auto"/>
        </w:rPr>
        <w:t>。</w:t>
      </w:r>
    </w:p>
    <w:p w14:paraId="167EF633">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6.2 </w:t>
      </w:r>
      <w:r>
        <w:rPr>
          <w:rFonts w:hint="eastAsia" w:ascii="宋体" w:hAnsi="宋体"/>
          <w:color w:val="auto"/>
        </w:rPr>
        <w:t>材料和工程设备</w:t>
      </w:r>
    </w:p>
    <w:p w14:paraId="53381D66">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6.2.1 </w:t>
      </w:r>
      <w:r>
        <w:rPr>
          <w:rFonts w:hint="eastAsia" w:ascii="宋体" w:hAnsi="宋体"/>
          <w:color w:val="auto"/>
        </w:rPr>
        <w:t>发包人提供的材料和工程设备</w:t>
      </w:r>
    </w:p>
    <w:p w14:paraId="57ED733C">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发包人提供的材料和工程设备验收后，由</w:t>
      </w:r>
      <w:r>
        <w:rPr>
          <w:rFonts w:hint="eastAsia" w:ascii="宋体" w:hAnsi="宋体"/>
          <w:color w:val="auto"/>
          <w:u w:val="single"/>
        </w:rPr>
        <w:t>承包人</w:t>
      </w:r>
      <w:r>
        <w:rPr>
          <w:rFonts w:hint="eastAsia" w:ascii="宋体" w:hAnsi="宋体"/>
          <w:color w:val="auto"/>
        </w:rPr>
        <w:t>负责接收、运输和保管。</w:t>
      </w:r>
    </w:p>
    <w:p w14:paraId="4E00C591">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6.2.2 </w:t>
      </w:r>
      <w:r>
        <w:rPr>
          <w:rFonts w:hint="eastAsia" w:ascii="宋体" w:hAnsi="宋体"/>
          <w:color w:val="auto"/>
        </w:rPr>
        <w:t>承包人提供的材料和工程设备</w:t>
      </w:r>
    </w:p>
    <w:p w14:paraId="058B9396">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u w:val="single"/>
        </w:rPr>
      </w:pPr>
      <w:r>
        <w:rPr>
          <w:rFonts w:hint="eastAsia" w:ascii="宋体" w:hAnsi="宋体"/>
          <w:color w:val="auto"/>
        </w:rPr>
        <w:t>材料和工程设备的类别、估算数量：</w:t>
      </w:r>
      <w:r>
        <w:rPr>
          <w:rFonts w:hint="eastAsia" w:ascii="宋体" w:hAnsi="宋体"/>
          <w:color w:val="auto"/>
          <w:u w:val="single"/>
        </w:rPr>
        <w:t>承包人提供的材料和工程设备均由承包人负责采购、运输和保管。承包人应对其采购的材料和工程设备负责。</w:t>
      </w:r>
    </w:p>
    <w:p w14:paraId="4BEB5688">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u w:val="single"/>
        </w:rPr>
      </w:pPr>
      <w:r>
        <w:rPr>
          <w:rFonts w:hint="eastAsia" w:ascii="宋体" w:hAnsi="宋体"/>
          <w:color w:val="auto"/>
          <w:u w:val="single"/>
        </w:rPr>
        <w:t>各项材料和工程设备的供货人及品种、技术要求、规格、数量和供货时间等报送发包人、监理人批准。承包人应向发包人、监理人提交其负责提供的材料和工程设备的质量证明文件，并满足合同约定的质量标准。未经发包人批准同意的材料一律不得用于本项目。</w:t>
      </w:r>
    </w:p>
    <w:p w14:paraId="771C6A35">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hint="eastAsia" w:ascii="宋体" w:hAnsi="宋体" w:eastAsia="宋体"/>
          <w:color w:val="auto"/>
          <w:lang w:eastAsia="zh-CN"/>
        </w:rPr>
      </w:pPr>
      <w:r>
        <w:rPr>
          <w:rFonts w:hint="eastAsia" w:ascii="宋体" w:hAnsi="宋体"/>
          <w:color w:val="auto"/>
          <w:u w:val="single"/>
        </w:rPr>
        <w:t>对承包人提供的材料和工程设备，承包人应会同发包人、监理人进行检验和交货验收，发包人和监理人查验材料合格证明和产品合格证书，并按合同约定和监理人指示，进行材料的抽样检验和工程设备的检验测试，检验和测试结果应提交发包人、监理人，所需费用由承包人承担。未经发包人和监理人查验并签字认可的材料和设备不得用于本项目，已经使用的，由承包人自行拆除并承担全部费用</w:t>
      </w:r>
      <w:r>
        <w:rPr>
          <w:rFonts w:hint="eastAsia" w:ascii="宋体" w:hAnsi="宋体"/>
          <w:color w:val="auto"/>
          <w:u w:val="single"/>
          <w:lang w:eastAsia="zh-CN"/>
        </w:rPr>
        <w:t>。</w:t>
      </w:r>
    </w:p>
    <w:p w14:paraId="1A7EAD08">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竣工后试验的生产性材料的类别或（和）清单：</w:t>
      </w:r>
      <w:r>
        <w:rPr>
          <w:rFonts w:ascii="宋体" w:hAnsi="宋体"/>
          <w:color w:val="auto"/>
          <w:u w:val="single"/>
        </w:rPr>
        <w:t xml:space="preserve"> / </w:t>
      </w:r>
      <w:r>
        <w:rPr>
          <w:rFonts w:hint="eastAsia" w:ascii="宋体" w:hAnsi="宋体"/>
          <w:color w:val="auto"/>
        </w:rPr>
        <w:t>。</w:t>
      </w:r>
    </w:p>
    <w:p w14:paraId="703826F4">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6.2.3 </w:t>
      </w:r>
      <w:r>
        <w:rPr>
          <w:rFonts w:hint="eastAsia" w:ascii="宋体" w:hAnsi="宋体"/>
          <w:color w:val="auto"/>
        </w:rPr>
        <w:t>材料和工程设备的保管</w:t>
      </w:r>
    </w:p>
    <w:p w14:paraId="4D89A360">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发包人供应的材料和工程设备的保管费用由</w:t>
      </w:r>
      <w:r>
        <w:rPr>
          <w:rFonts w:hint="eastAsia" w:ascii="宋体" w:hAnsi="宋体"/>
          <w:color w:val="auto"/>
          <w:u w:val="single"/>
        </w:rPr>
        <w:t>承包人</w:t>
      </w:r>
      <w:r>
        <w:rPr>
          <w:rFonts w:hint="eastAsia" w:ascii="宋体" w:hAnsi="宋体"/>
          <w:color w:val="auto"/>
        </w:rPr>
        <w:t>承担。</w:t>
      </w:r>
    </w:p>
    <w:p w14:paraId="6F6B8D35">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承包人提交保管、维护方案的时间：</w:t>
      </w:r>
      <w:r>
        <w:rPr>
          <w:rFonts w:ascii="宋体" w:hAnsi="宋体"/>
          <w:color w:val="auto"/>
          <w:u w:val="single"/>
        </w:rPr>
        <w:t xml:space="preserve"> / </w:t>
      </w:r>
      <w:r>
        <w:rPr>
          <w:rFonts w:hint="eastAsia" w:ascii="宋体" w:hAnsi="宋体"/>
          <w:color w:val="auto"/>
        </w:rPr>
        <w:t>。</w:t>
      </w:r>
    </w:p>
    <w:p w14:paraId="7BDB02EF">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发包人提供的库房、堆场、设施和设备：</w:t>
      </w:r>
      <w:r>
        <w:rPr>
          <w:rFonts w:ascii="宋体" w:hAnsi="宋体"/>
          <w:color w:val="auto"/>
          <w:u w:val="single"/>
        </w:rPr>
        <w:t xml:space="preserve"> / </w:t>
      </w:r>
      <w:r>
        <w:rPr>
          <w:rFonts w:hint="eastAsia" w:ascii="宋体" w:hAnsi="宋体"/>
          <w:color w:val="auto"/>
        </w:rPr>
        <w:t>。</w:t>
      </w:r>
    </w:p>
    <w:p w14:paraId="76DA511B">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6.3 </w:t>
      </w:r>
      <w:r>
        <w:rPr>
          <w:rFonts w:hint="eastAsia" w:ascii="宋体" w:hAnsi="宋体"/>
          <w:color w:val="auto"/>
        </w:rPr>
        <w:t>样品</w:t>
      </w:r>
    </w:p>
    <w:p w14:paraId="3A99AAFB">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6</w:t>
      </w:r>
      <w:r>
        <w:rPr>
          <w:rFonts w:ascii="宋体" w:hAnsi="宋体"/>
          <w:color w:val="auto"/>
        </w:rPr>
        <w:t xml:space="preserve">.3.1 </w:t>
      </w:r>
      <w:r>
        <w:rPr>
          <w:rFonts w:hint="eastAsia" w:ascii="宋体" w:hAnsi="宋体"/>
          <w:color w:val="auto"/>
        </w:rPr>
        <w:t>样品的报送与封存</w:t>
      </w:r>
    </w:p>
    <w:p w14:paraId="518A3C26">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需要承包人报送样品的材料或工程设备</w:t>
      </w:r>
      <w:r>
        <w:rPr>
          <w:rFonts w:hint="eastAsia" w:ascii="宋体" w:hAnsi="宋体"/>
          <w:color w:val="auto"/>
        </w:rPr>
        <w:t>，样品种类、名称、规格、数量：</w:t>
      </w:r>
      <w:r>
        <w:rPr>
          <w:rFonts w:ascii="宋体" w:hAnsi="宋体"/>
          <w:color w:val="auto"/>
          <w:u w:val="single"/>
        </w:rPr>
        <w:t xml:space="preserve"> </w:t>
      </w:r>
      <w:r>
        <w:rPr>
          <w:rFonts w:hint="eastAsia" w:ascii="宋体" w:hAnsi="宋体"/>
          <w:color w:val="auto"/>
          <w:u w:val="single"/>
        </w:rPr>
        <w:t>按发包人要求</w:t>
      </w:r>
      <w:r>
        <w:rPr>
          <w:rFonts w:ascii="宋体" w:hAnsi="宋体"/>
          <w:color w:val="auto"/>
          <w:u w:val="single"/>
        </w:rPr>
        <w:t xml:space="preserve"> </w:t>
      </w:r>
      <w:r>
        <w:rPr>
          <w:rFonts w:hint="eastAsia" w:ascii="宋体" w:hAnsi="宋体"/>
          <w:color w:val="auto"/>
        </w:rPr>
        <w:t>。</w:t>
      </w:r>
    </w:p>
    <w:p w14:paraId="0E0EC3A0">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6.4 </w:t>
      </w:r>
      <w:r>
        <w:rPr>
          <w:rFonts w:hint="eastAsia" w:ascii="宋体" w:hAnsi="宋体"/>
          <w:color w:val="auto"/>
        </w:rPr>
        <w:t>质量检查</w:t>
      </w:r>
    </w:p>
    <w:p w14:paraId="291579E3">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6.4.1 </w:t>
      </w:r>
      <w:r>
        <w:rPr>
          <w:rFonts w:hint="eastAsia" w:ascii="宋体" w:hAnsi="宋体"/>
          <w:color w:val="auto"/>
        </w:rPr>
        <w:t>工程质量要求</w:t>
      </w:r>
    </w:p>
    <w:p w14:paraId="7C00BDC8">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工程质量的特殊标准或要求：</w:t>
      </w:r>
      <w:r>
        <w:rPr>
          <w:rFonts w:ascii="宋体" w:hAnsi="宋体"/>
          <w:color w:val="auto"/>
          <w:u w:val="single"/>
        </w:rPr>
        <w:t xml:space="preserve"> </w:t>
      </w:r>
      <w:r>
        <w:rPr>
          <w:rFonts w:hint="eastAsia" w:ascii="宋体" w:hAnsi="宋体"/>
          <w:color w:val="auto"/>
          <w:u w:val="single"/>
        </w:rPr>
        <w:t>符合国家相关标准，一次性验收合格</w:t>
      </w:r>
      <w:r>
        <w:rPr>
          <w:rFonts w:ascii="宋体" w:hAnsi="宋体"/>
          <w:color w:val="auto"/>
          <w:u w:val="single"/>
        </w:rPr>
        <w:t xml:space="preserve"> </w:t>
      </w:r>
      <w:r>
        <w:rPr>
          <w:rFonts w:hint="eastAsia" w:ascii="宋体" w:hAnsi="宋体"/>
          <w:color w:val="auto"/>
        </w:rPr>
        <w:t>。</w:t>
      </w:r>
    </w:p>
    <w:p w14:paraId="06E8C211">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6.4.2 </w:t>
      </w:r>
      <w:r>
        <w:rPr>
          <w:rFonts w:hint="eastAsia" w:ascii="宋体" w:hAnsi="宋体"/>
          <w:color w:val="auto"/>
        </w:rPr>
        <w:t>质量检查</w:t>
      </w:r>
    </w:p>
    <w:p w14:paraId="7D023F67">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除通用合同条件已列明的质量检查的地点外，发包人有权进行质量检查的其他地点：</w:t>
      </w:r>
      <w:r>
        <w:rPr>
          <w:rFonts w:ascii="宋体" w:hAnsi="宋体"/>
          <w:color w:val="auto"/>
          <w:u w:val="single"/>
        </w:rPr>
        <w:t xml:space="preserve"> </w:t>
      </w:r>
      <w:r>
        <w:rPr>
          <w:rFonts w:hint="eastAsia" w:ascii="宋体" w:hAnsi="宋体"/>
          <w:color w:val="auto"/>
          <w:u w:val="single"/>
        </w:rPr>
        <w:t>发包人自行确定</w:t>
      </w:r>
      <w:r>
        <w:rPr>
          <w:rFonts w:ascii="宋体" w:hAnsi="宋体"/>
          <w:color w:val="auto"/>
          <w:u w:val="single"/>
        </w:rPr>
        <w:t xml:space="preserve"> </w:t>
      </w:r>
      <w:r>
        <w:rPr>
          <w:rFonts w:hint="eastAsia" w:ascii="宋体" w:hAnsi="宋体"/>
          <w:color w:val="auto"/>
        </w:rPr>
        <w:t>。</w:t>
      </w:r>
    </w:p>
    <w:p w14:paraId="4BBA3D91">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6.4.3 </w:t>
      </w:r>
      <w:r>
        <w:rPr>
          <w:rFonts w:hint="eastAsia" w:ascii="宋体" w:hAnsi="宋体"/>
          <w:color w:val="auto"/>
        </w:rPr>
        <w:t>隐蔽工程检查</w:t>
      </w:r>
    </w:p>
    <w:p w14:paraId="30513A5F">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关于隐蔽工程和中间验收的特别约定：</w:t>
      </w:r>
      <w:r>
        <w:rPr>
          <w:rFonts w:hint="eastAsia" w:ascii="宋体" w:hAnsi="宋体"/>
          <w:color w:val="auto"/>
          <w:u w:val="single"/>
        </w:rPr>
        <w:t>按审定施工组织设计规定中间验收部位，验收务必向发包人、监理人报告，并经发包人和监理人参验签字认可，否则视为无效工程，承包人承担全部损失</w:t>
      </w:r>
      <w:r>
        <w:rPr>
          <w:rFonts w:hint="eastAsia" w:ascii="宋体" w:hAnsi="宋体"/>
          <w:color w:val="auto"/>
        </w:rPr>
        <w:t>。</w:t>
      </w:r>
    </w:p>
    <w:p w14:paraId="1EE99E36">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6.5 </w:t>
      </w:r>
      <w:r>
        <w:rPr>
          <w:rFonts w:hint="eastAsia" w:ascii="宋体" w:hAnsi="宋体"/>
          <w:color w:val="auto"/>
        </w:rPr>
        <w:t>由承包人试验和检验</w:t>
      </w:r>
    </w:p>
    <w:p w14:paraId="59BC6022">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6</w:t>
      </w:r>
      <w:r>
        <w:rPr>
          <w:rFonts w:ascii="宋体" w:hAnsi="宋体"/>
          <w:color w:val="auto"/>
        </w:rPr>
        <w:t xml:space="preserve">.5.1 </w:t>
      </w:r>
      <w:r>
        <w:rPr>
          <w:rFonts w:hint="eastAsia" w:ascii="宋体" w:hAnsi="宋体"/>
          <w:color w:val="auto"/>
        </w:rPr>
        <w:t>试验设备与试验人员</w:t>
      </w:r>
    </w:p>
    <w:p w14:paraId="47EB9606">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试验的内容、时间和地点：</w:t>
      </w:r>
      <w:r>
        <w:rPr>
          <w:rFonts w:ascii="宋体" w:hAnsi="宋体"/>
          <w:color w:val="auto"/>
          <w:u w:val="single"/>
        </w:rPr>
        <w:t xml:space="preserve"> </w:t>
      </w:r>
      <w:r>
        <w:rPr>
          <w:rFonts w:hint="eastAsia" w:ascii="宋体" w:hAnsi="宋体"/>
          <w:color w:val="auto"/>
          <w:u w:val="single"/>
        </w:rPr>
        <w:t>由监理人按施工图和相关标准要求并通知相关人员</w:t>
      </w:r>
      <w:r>
        <w:rPr>
          <w:rFonts w:ascii="宋体" w:hAnsi="宋体"/>
          <w:color w:val="auto"/>
          <w:u w:val="single"/>
        </w:rPr>
        <w:t xml:space="preserve"> </w:t>
      </w:r>
      <w:r>
        <w:rPr>
          <w:rFonts w:hint="eastAsia" w:ascii="宋体" w:hAnsi="宋体"/>
          <w:color w:val="auto"/>
        </w:rPr>
        <w:t>。</w:t>
      </w:r>
    </w:p>
    <w:p w14:paraId="27496BBB">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试验所需要的试验设备、取样装置、试验场所和试验条件：</w:t>
      </w:r>
      <w:r>
        <w:rPr>
          <w:rFonts w:hint="eastAsia" w:ascii="宋体" w:hAnsi="宋体"/>
          <w:color w:val="auto"/>
          <w:u w:val="single"/>
        </w:rPr>
        <w:t>承包人配置的试验设备要符合相应试验规程的要求并经过具有资质的检测单位检测，且在正式使用该试验设备前，需要经过工程师与承包人共同校定</w:t>
      </w:r>
      <w:r>
        <w:rPr>
          <w:rFonts w:hint="eastAsia" w:ascii="宋体" w:hAnsi="宋体"/>
          <w:color w:val="auto"/>
        </w:rPr>
        <w:t>。</w:t>
      </w:r>
    </w:p>
    <w:p w14:paraId="2927982F">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u w:val="single"/>
        </w:rPr>
      </w:pPr>
      <w:r>
        <w:rPr>
          <w:rFonts w:hint="eastAsia" w:ascii="宋体" w:hAnsi="宋体"/>
          <w:color w:val="auto"/>
        </w:rPr>
        <w:t>试验和检验费用的计价原则：</w:t>
      </w:r>
      <w:r>
        <w:rPr>
          <w:rFonts w:hint="eastAsia" w:ascii="宋体" w:hAnsi="宋体"/>
          <w:color w:val="auto"/>
          <w:u w:val="single"/>
        </w:rPr>
        <w:t xml:space="preserve"> 第三方检测费用由建设单位承担，一般检测费用由承包方承担</w:t>
      </w:r>
      <w:r>
        <w:rPr>
          <w:rFonts w:ascii="宋体" w:hAnsi="宋体"/>
          <w:color w:val="auto"/>
          <w:u w:val="single"/>
        </w:rPr>
        <w:t xml:space="preserve"> </w:t>
      </w:r>
      <w:r>
        <w:rPr>
          <w:rFonts w:hint="eastAsia" w:ascii="宋体" w:hAnsi="宋体"/>
          <w:color w:val="auto"/>
        </w:rPr>
        <w:t>。</w:t>
      </w:r>
    </w:p>
    <w:p w14:paraId="5EFCBC05">
      <w:pPr>
        <w:keepNext w:val="0"/>
        <w:keepLines w:val="0"/>
        <w:pageBreakBefore w:val="0"/>
        <w:widowControl/>
        <w:tabs>
          <w:tab w:val="left" w:pos="993"/>
        </w:tabs>
        <w:wordWrap/>
        <w:overflowPunct/>
        <w:topLinePunct w:val="0"/>
        <w:autoSpaceDE/>
        <w:autoSpaceDN/>
        <w:bidi w:val="0"/>
        <w:adjustRightInd w:val="0"/>
        <w:snapToGrid w:val="0"/>
        <w:spacing w:line="360" w:lineRule="exact"/>
        <w:contextualSpacing/>
        <w:textAlignment w:val="auto"/>
        <w:outlineLvl w:val="2"/>
        <w:rPr>
          <w:rFonts w:ascii="宋体" w:hAnsi="宋体" w:cs="Times"/>
          <w:bCs/>
          <w:color w:val="auto"/>
          <w:kern w:val="0"/>
        </w:rPr>
      </w:pPr>
      <w:bookmarkStart w:id="206" w:name="_Toc85451964"/>
      <w:r>
        <w:rPr>
          <w:rFonts w:hint="eastAsia" w:ascii="宋体" w:hAnsi="宋体" w:cs="Times"/>
          <w:bCs/>
          <w:color w:val="auto"/>
          <w:kern w:val="0"/>
        </w:rPr>
        <w:t>第</w:t>
      </w:r>
      <w:r>
        <w:rPr>
          <w:rFonts w:ascii="宋体" w:hAnsi="宋体" w:cs="Times"/>
          <w:bCs/>
          <w:color w:val="auto"/>
          <w:kern w:val="0"/>
        </w:rPr>
        <w:t>7条</w:t>
      </w:r>
      <w:r>
        <w:rPr>
          <w:rFonts w:hint="eastAsia" w:ascii="宋体" w:hAnsi="宋体" w:cs="Times"/>
          <w:bCs/>
          <w:color w:val="auto"/>
          <w:kern w:val="0"/>
        </w:rPr>
        <w:t xml:space="preserve"> 施工</w:t>
      </w:r>
      <w:bookmarkEnd w:id="206"/>
    </w:p>
    <w:p w14:paraId="7D2C5938">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7.1 </w:t>
      </w:r>
      <w:r>
        <w:rPr>
          <w:rFonts w:hint="eastAsia" w:ascii="宋体" w:hAnsi="宋体"/>
          <w:color w:val="auto"/>
        </w:rPr>
        <w:t>交通运输</w:t>
      </w:r>
    </w:p>
    <w:p w14:paraId="346D39D6">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7.1.1 </w:t>
      </w:r>
      <w:r>
        <w:rPr>
          <w:rFonts w:hint="eastAsia" w:ascii="宋体" w:hAnsi="宋体"/>
          <w:color w:val="auto"/>
        </w:rPr>
        <w:t>出入现场的权利</w:t>
      </w:r>
    </w:p>
    <w:p w14:paraId="28B34478">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关于出入现场的权利的约定：</w:t>
      </w:r>
      <w:r>
        <w:rPr>
          <w:rFonts w:hint="eastAsia" w:ascii="宋体" w:hAnsi="宋体"/>
          <w:color w:val="auto"/>
          <w:u w:val="single"/>
        </w:rPr>
        <w:t>按通用合同条件执行</w:t>
      </w:r>
      <w:r>
        <w:rPr>
          <w:rFonts w:ascii="宋体" w:hAnsi="宋体"/>
          <w:color w:val="auto"/>
        </w:rPr>
        <w:t>。</w:t>
      </w:r>
    </w:p>
    <w:p w14:paraId="328817F0">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7.1.2 </w:t>
      </w:r>
      <w:r>
        <w:rPr>
          <w:rFonts w:hint="eastAsia" w:ascii="宋体" w:hAnsi="宋体"/>
          <w:color w:val="auto"/>
        </w:rPr>
        <w:t>场外交通</w:t>
      </w:r>
    </w:p>
    <w:p w14:paraId="47EEFF20">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关于场外交通的特别约定：</w:t>
      </w:r>
      <w:r>
        <w:rPr>
          <w:rFonts w:hint="eastAsia" w:ascii="宋体" w:hAnsi="宋体"/>
          <w:color w:val="auto"/>
          <w:u w:val="single"/>
        </w:rPr>
        <w:t>按通用合同条件执行</w:t>
      </w:r>
      <w:r>
        <w:rPr>
          <w:rFonts w:hint="eastAsia" w:ascii="宋体" w:hAnsi="宋体"/>
          <w:color w:val="auto"/>
        </w:rPr>
        <w:t>。</w:t>
      </w:r>
    </w:p>
    <w:p w14:paraId="076543C1">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7.1.3 </w:t>
      </w:r>
      <w:r>
        <w:rPr>
          <w:rFonts w:hint="eastAsia" w:ascii="宋体" w:hAnsi="宋体"/>
          <w:color w:val="auto"/>
        </w:rPr>
        <w:t>场内交通</w:t>
      </w:r>
    </w:p>
    <w:p w14:paraId="5B92EC0C">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关于场内交通的特别约定：</w:t>
      </w:r>
      <w:r>
        <w:rPr>
          <w:rFonts w:hint="eastAsia" w:ascii="宋体" w:hAnsi="宋体"/>
          <w:color w:val="auto"/>
          <w:u w:val="single"/>
        </w:rPr>
        <w:t>按通用合同条件执行</w:t>
      </w:r>
      <w:r>
        <w:rPr>
          <w:rFonts w:hint="eastAsia" w:ascii="宋体" w:hAnsi="宋体"/>
          <w:color w:val="auto"/>
        </w:rPr>
        <w:t>。</w:t>
      </w:r>
    </w:p>
    <w:p w14:paraId="3AB2E26F">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关于场内交通与场外交通边界的约定：</w:t>
      </w:r>
      <w:r>
        <w:rPr>
          <w:rFonts w:ascii="宋体" w:hAnsi="宋体"/>
          <w:color w:val="auto"/>
          <w:u w:val="single"/>
        </w:rPr>
        <w:t xml:space="preserve"> </w:t>
      </w:r>
      <w:r>
        <w:rPr>
          <w:rFonts w:hint="eastAsia" w:ascii="宋体" w:hAnsi="宋体"/>
          <w:color w:val="auto"/>
          <w:u w:val="single"/>
        </w:rPr>
        <w:t>项目周边道路与施工进场道路分界处作为场内外交通边界</w:t>
      </w:r>
      <w:r>
        <w:rPr>
          <w:rFonts w:ascii="宋体" w:hAnsi="宋体"/>
          <w:color w:val="auto"/>
          <w:u w:val="single"/>
        </w:rPr>
        <w:t xml:space="preserve"> </w:t>
      </w:r>
      <w:r>
        <w:rPr>
          <w:rFonts w:ascii="宋体" w:hAnsi="宋体"/>
          <w:color w:val="auto"/>
        </w:rPr>
        <w:t>。</w:t>
      </w:r>
    </w:p>
    <w:p w14:paraId="4ACE554A">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7.1.4 </w:t>
      </w:r>
      <w:r>
        <w:rPr>
          <w:rFonts w:hint="eastAsia" w:ascii="宋体" w:hAnsi="宋体"/>
          <w:color w:val="auto"/>
        </w:rPr>
        <w:t>超大件和超重件的运输</w:t>
      </w:r>
    </w:p>
    <w:p w14:paraId="1A7558A8">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运输超大件或超重件所需的道路和桥梁临时加固改造费用和其他有关费用由</w:t>
      </w:r>
      <w:r>
        <w:rPr>
          <w:rFonts w:hint="eastAsia" w:ascii="宋体" w:hAnsi="宋体"/>
          <w:color w:val="auto"/>
          <w:u w:val="single"/>
        </w:rPr>
        <w:t>承包人</w:t>
      </w:r>
      <w:r>
        <w:rPr>
          <w:rFonts w:ascii="宋体" w:hAnsi="宋体"/>
          <w:color w:val="auto"/>
        </w:rPr>
        <w:t>承担。</w:t>
      </w:r>
    </w:p>
    <w:p w14:paraId="763F82C0">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7.2 </w:t>
      </w:r>
      <w:r>
        <w:rPr>
          <w:rFonts w:hint="eastAsia" w:ascii="宋体" w:hAnsi="宋体"/>
          <w:color w:val="auto"/>
        </w:rPr>
        <w:t>施工设备和临时设施</w:t>
      </w:r>
    </w:p>
    <w:p w14:paraId="418430B7">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7.2.1 </w:t>
      </w:r>
      <w:r>
        <w:rPr>
          <w:rFonts w:hint="eastAsia" w:ascii="宋体" w:hAnsi="宋体"/>
          <w:color w:val="auto"/>
        </w:rPr>
        <w:t>承包人提供的施工设备和临时设施</w:t>
      </w:r>
    </w:p>
    <w:p w14:paraId="7672261C">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临时设施的费用和临时占地手续和费用承担的特别约定：</w:t>
      </w:r>
      <w:r>
        <w:rPr>
          <w:rFonts w:hint="eastAsia" w:ascii="宋体" w:hAnsi="宋体"/>
          <w:color w:val="auto"/>
          <w:u w:val="single"/>
        </w:rPr>
        <w:t>按通用合同条件执行</w:t>
      </w:r>
      <w:r>
        <w:rPr>
          <w:rFonts w:hint="eastAsia" w:ascii="宋体" w:hAnsi="宋体"/>
          <w:color w:val="auto"/>
        </w:rPr>
        <w:t>。</w:t>
      </w:r>
    </w:p>
    <w:p w14:paraId="5FD6E0D1">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7.2.2 </w:t>
      </w:r>
      <w:r>
        <w:rPr>
          <w:rFonts w:hint="eastAsia" w:ascii="宋体" w:hAnsi="宋体"/>
          <w:color w:val="auto"/>
        </w:rPr>
        <w:t>发包人提供的施工设备和临时设施</w:t>
      </w:r>
    </w:p>
    <w:p w14:paraId="7997AFD3">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发包人提供的施工设备或临时设施范围：</w:t>
      </w:r>
      <w:r>
        <w:rPr>
          <w:rFonts w:ascii="宋体" w:hAnsi="宋体"/>
          <w:color w:val="auto"/>
          <w:u w:val="single"/>
        </w:rPr>
        <w:t xml:space="preserve"> / </w:t>
      </w:r>
      <w:r>
        <w:rPr>
          <w:rFonts w:hint="eastAsia" w:ascii="宋体" w:hAnsi="宋体"/>
          <w:color w:val="auto"/>
        </w:rPr>
        <w:t>。</w:t>
      </w:r>
    </w:p>
    <w:p w14:paraId="397515B7">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7.3 </w:t>
      </w:r>
      <w:r>
        <w:rPr>
          <w:rFonts w:hint="eastAsia" w:ascii="宋体" w:hAnsi="宋体"/>
          <w:color w:val="auto"/>
        </w:rPr>
        <w:t>现场合作</w:t>
      </w:r>
    </w:p>
    <w:p w14:paraId="2DAFA79C">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关于现场合作费用的特别约定：</w:t>
      </w:r>
      <w:r>
        <w:rPr>
          <w:rFonts w:hint="eastAsia" w:ascii="宋体" w:hAnsi="宋体"/>
          <w:color w:val="auto"/>
          <w:u w:val="single"/>
        </w:rPr>
        <w:t>按通用合同条件执行</w:t>
      </w:r>
      <w:r>
        <w:rPr>
          <w:rFonts w:hint="eastAsia" w:ascii="宋体" w:hAnsi="宋体"/>
          <w:color w:val="auto"/>
        </w:rPr>
        <w:t>。</w:t>
      </w:r>
    </w:p>
    <w:p w14:paraId="7B80CA08">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7.4 </w:t>
      </w:r>
      <w:r>
        <w:rPr>
          <w:rFonts w:hint="eastAsia" w:ascii="宋体" w:hAnsi="宋体"/>
          <w:color w:val="auto"/>
        </w:rPr>
        <w:t>测量放线</w:t>
      </w:r>
    </w:p>
    <w:p w14:paraId="6305EF68">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7</w:t>
      </w:r>
      <w:r>
        <w:rPr>
          <w:rFonts w:ascii="宋体" w:hAnsi="宋体"/>
          <w:color w:val="auto"/>
        </w:rPr>
        <w:t xml:space="preserve">.4.1 </w:t>
      </w:r>
      <w:r>
        <w:rPr>
          <w:rFonts w:hint="eastAsia" w:ascii="宋体" w:hAnsi="宋体"/>
          <w:color w:val="auto"/>
        </w:rPr>
        <w:t>关于测量放线的特别约定的技术规范：</w:t>
      </w:r>
      <w:r>
        <w:rPr>
          <w:rFonts w:hint="eastAsia" w:ascii="宋体" w:hAnsi="宋体"/>
          <w:color w:val="auto"/>
          <w:u w:val="single"/>
        </w:rPr>
        <w:t>按通用合同条件执行</w:t>
      </w:r>
      <w:r>
        <w:rPr>
          <w:rFonts w:hint="eastAsia" w:ascii="宋体" w:hAnsi="宋体"/>
          <w:color w:val="auto"/>
        </w:rPr>
        <w:t>。施工控制网资料的告知期限：</w:t>
      </w:r>
      <w:r>
        <w:rPr>
          <w:rFonts w:ascii="宋体" w:hAnsi="宋体"/>
          <w:color w:val="auto"/>
          <w:u w:val="single"/>
        </w:rPr>
        <w:t xml:space="preserve"> </w:t>
      </w:r>
      <w:r>
        <w:rPr>
          <w:rFonts w:hint="eastAsia" w:ascii="宋体" w:hAnsi="宋体"/>
          <w:color w:val="auto"/>
          <w:u w:val="single"/>
        </w:rPr>
        <w:t>双方协商确定</w:t>
      </w:r>
      <w:r>
        <w:rPr>
          <w:rFonts w:ascii="宋体" w:hAnsi="宋体"/>
          <w:color w:val="auto"/>
          <w:u w:val="single"/>
        </w:rPr>
        <w:t xml:space="preserve"> </w:t>
      </w:r>
      <w:r>
        <w:rPr>
          <w:rFonts w:hint="eastAsia" w:ascii="宋体" w:hAnsi="宋体"/>
          <w:color w:val="auto"/>
        </w:rPr>
        <w:t>。</w:t>
      </w:r>
    </w:p>
    <w:p w14:paraId="3D951D6A">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7.5 </w:t>
      </w:r>
      <w:r>
        <w:rPr>
          <w:rFonts w:hint="eastAsia" w:ascii="宋体" w:hAnsi="宋体"/>
          <w:color w:val="auto"/>
        </w:rPr>
        <w:t>现场劳动用工</w:t>
      </w:r>
    </w:p>
    <w:p w14:paraId="5CF9E822">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7</w:t>
      </w:r>
      <w:r>
        <w:rPr>
          <w:rFonts w:ascii="宋体" w:hAnsi="宋体"/>
          <w:color w:val="auto"/>
        </w:rPr>
        <w:t xml:space="preserve">.5.2 </w:t>
      </w:r>
      <w:r>
        <w:rPr>
          <w:rFonts w:hint="eastAsia" w:ascii="宋体" w:hAnsi="宋体"/>
          <w:color w:val="auto"/>
        </w:rPr>
        <w:t>合同当事人对建筑工人工资清偿事宜和违约责任的约定：</w:t>
      </w:r>
      <w:r>
        <w:rPr>
          <w:rFonts w:hint="eastAsia" w:ascii="宋体" w:hAnsi="宋体"/>
          <w:color w:val="auto"/>
          <w:u w:val="single"/>
        </w:rPr>
        <w:t>按通用合同条件执行</w:t>
      </w:r>
      <w:r>
        <w:rPr>
          <w:rFonts w:hint="eastAsia" w:ascii="宋体" w:hAnsi="宋体"/>
          <w:color w:val="auto"/>
        </w:rPr>
        <w:t>。</w:t>
      </w:r>
    </w:p>
    <w:p w14:paraId="140BF76F">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7.6 </w:t>
      </w:r>
      <w:r>
        <w:rPr>
          <w:rFonts w:hint="eastAsia" w:ascii="宋体" w:hAnsi="宋体"/>
          <w:color w:val="auto"/>
        </w:rPr>
        <w:t>安全文明施工</w:t>
      </w:r>
    </w:p>
    <w:p w14:paraId="35A9FBAA">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7.6.1 </w:t>
      </w:r>
      <w:r>
        <w:rPr>
          <w:rFonts w:hint="eastAsia" w:ascii="宋体" w:hAnsi="宋体"/>
          <w:color w:val="auto"/>
        </w:rPr>
        <w:t>安全生产要求</w:t>
      </w:r>
    </w:p>
    <w:p w14:paraId="457BC2DF">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合同当事人对安全施工的要求：</w:t>
      </w:r>
      <w:r>
        <w:rPr>
          <w:rFonts w:hint="eastAsia" w:ascii="宋体" w:hAnsi="宋体"/>
          <w:color w:val="auto"/>
          <w:u w:val="single"/>
        </w:rPr>
        <w:t>按通用合同条件执行</w:t>
      </w:r>
      <w:r>
        <w:rPr>
          <w:rFonts w:hint="eastAsia" w:ascii="宋体" w:hAnsi="宋体"/>
          <w:color w:val="auto"/>
        </w:rPr>
        <w:t>。</w:t>
      </w:r>
    </w:p>
    <w:p w14:paraId="4A144347">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7.6.3 </w:t>
      </w:r>
      <w:r>
        <w:rPr>
          <w:rFonts w:hint="eastAsia" w:ascii="宋体" w:hAnsi="宋体"/>
          <w:color w:val="auto"/>
        </w:rPr>
        <w:t>文明施工</w:t>
      </w:r>
    </w:p>
    <w:p w14:paraId="32710C45">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合同当事人对文明施工的要求：</w:t>
      </w:r>
      <w:r>
        <w:rPr>
          <w:rFonts w:hint="eastAsia" w:ascii="宋体" w:hAnsi="宋体"/>
          <w:color w:val="auto"/>
          <w:u w:val="single"/>
        </w:rPr>
        <w:t>按通用合同条件执行</w:t>
      </w:r>
      <w:r>
        <w:rPr>
          <w:rFonts w:hint="eastAsia" w:ascii="宋体" w:hAnsi="宋体"/>
          <w:color w:val="auto"/>
        </w:rPr>
        <w:t>。</w:t>
      </w:r>
    </w:p>
    <w:p w14:paraId="1FD67458">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7.9 </w:t>
      </w:r>
      <w:r>
        <w:rPr>
          <w:rFonts w:hint="eastAsia" w:ascii="宋体" w:hAnsi="宋体"/>
          <w:color w:val="auto"/>
        </w:rPr>
        <w:t>临时性公用设施</w:t>
      </w:r>
    </w:p>
    <w:p w14:paraId="73220E3D">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关于临时性公用设施的特别约定：</w:t>
      </w:r>
      <w:r>
        <w:rPr>
          <w:rFonts w:hint="eastAsia" w:ascii="宋体" w:hAnsi="宋体"/>
          <w:color w:val="auto"/>
          <w:u w:val="single"/>
        </w:rPr>
        <w:t>按通用合同条件执行</w:t>
      </w:r>
      <w:r>
        <w:rPr>
          <w:rFonts w:hint="eastAsia" w:ascii="宋体" w:hAnsi="宋体"/>
          <w:color w:val="auto"/>
        </w:rPr>
        <w:t>。</w:t>
      </w:r>
    </w:p>
    <w:p w14:paraId="55932D91">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7.10 </w:t>
      </w:r>
      <w:r>
        <w:rPr>
          <w:rFonts w:hint="eastAsia" w:ascii="宋体" w:hAnsi="宋体"/>
          <w:color w:val="auto"/>
        </w:rPr>
        <w:t>现场安保</w:t>
      </w:r>
    </w:p>
    <w:p w14:paraId="48081C7B">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承包人现场安保义务的特别约定：</w:t>
      </w:r>
      <w:r>
        <w:rPr>
          <w:rFonts w:hint="eastAsia" w:ascii="宋体" w:hAnsi="宋体"/>
          <w:color w:val="auto"/>
          <w:u w:val="single"/>
        </w:rPr>
        <w:t>按通用合同条件执行</w:t>
      </w:r>
      <w:r>
        <w:rPr>
          <w:rFonts w:ascii="宋体" w:hAnsi="宋体"/>
          <w:color w:val="auto"/>
        </w:rPr>
        <w:t>。</w:t>
      </w:r>
    </w:p>
    <w:p w14:paraId="7E82903D">
      <w:pPr>
        <w:keepNext w:val="0"/>
        <w:keepLines w:val="0"/>
        <w:pageBreakBefore w:val="0"/>
        <w:widowControl/>
        <w:tabs>
          <w:tab w:val="left" w:pos="993"/>
        </w:tabs>
        <w:wordWrap/>
        <w:overflowPunct/>
        <w:topLinePunct w:val="0"/>
        <w:autoSpaceDE/>
        <w:autoSpaceDN/>
        <w:bidi w:val="0"/>
        <w:adjustRightInd w:val="0"/>
        <w:snapToGrid w:val="0"/>
        <w:spacing w:line="360" w:lineRule="exact"/>
        <w:contextualSpacing/>
        <w:textAlignment w:val="auto"/>
        <w:outlineLvl w:val="2"/>
        <w:rPr>
          <w:rFonts w:ascii="宋体" w:hAnsi="宋体" w:cs="Times"/>
          <w:bCs/>
          <w:color w:val="auto"/>
          <w:kern w:val="0"/>
        </w:rPr>
      </w:pPr>
      <w:bookmarkStart w:id="207" w:name="_Toc85451965"/>
      <w:r>
        <w:rPr>
          <w:rFonts w:hint="eastAsia" w:ascii="宋体" w:hAnsi="宋体" w:cs="Times"/>
          <w:bCs/>
          <w:color w:val="auto"/>
          <w:kern w:val="0"/>
        </w:rPr>
        <w:t>第</w:t>
      </w:r>
      <w:r>
        <w:rPr>
          <w:rFonts w:ascii="宋体" w:hAnsi="宋体" w:cs="Times"/>
          <w:bCs/>
          <w:color w:val="auto"/>
          <w:kern w:val="0"/>
        </w:rPr>
        <w:t>8条</w:t>
      </w:r>
      <w:r>
        <w:rPr>
          <w:rFonts w:hint="eastAsia" w:ascii="宋体" w:hAnsi="宋体" w:cs="Times"/>
          <w:bCs/>
          <w:color w:val="auto"/>
          <w:kern w:val="0"/>
        </w:rPr>
        <w:t xml:space="preserve"> 工期和进度</w:t>
      </w:r>
      <w:bookmarkEnd w:id="207"/>
    </w:p>
    <w:p w14:paraId="1E37EB2F">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8.1 </w:t>
      </w:r>
      <w:r>
        <w:rPr>
          <w:rFonts w:hint="eastAsia" w:ascii="宋体" w:hAnsi="宋体"/>
          <w:color w:val="auto"/>
        </w:rPr>
        <w:t>开始工作</w:t>
      </w:r>
    </w:p>
    <w:p w14:paraId="0F32C93D">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8.1.1 </w:t>
      </w:r>
      <w:r>
        <w:rPr>
          <w:rFonts w:hint="eastAsia" w:ascii="宋体" w:hAnsi="宋体"/>
          <w:color w:val="auto"/>
        </w:rPr>
        <w:t>开始准备工作：</w:t>
      </w:r>
      <w:r>
        <w:rPr>
          <w:rFonts w:hint="eastAsia" w:ascii="宋体" w:hAnsi="宋体"/>
          <w:color w:val="auto"/>
          <w:u w:val="single"/>
        </w:rPr>
        <w:t>承包人在开工前7日内将项目管理机构以及人员安排、各主要岗位的关键人员名单及注册执业资格等证明其具备担任关键人员能力的相关文件报送至发包人</w:t>
      </w:r>
      <w:r>
        <w:rPr>
          <w:rFonts w:hint="eastAsia" w:ascii="宋体" w:hAnsi="宋体"/>
          <w:color w:val="auto"/>
        </w:rPr>
        <w:t>。</w:t>
      </w:r>
    </w:p>
    <w:p w14:paraId="317CF87A">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8.1.2 </w:t>
      </w:r>
      <w:r>
        <w:rPr>
          <w:rFonts w:hint="eastAsia" w:ascii="宋体" w:hAnsi="宋体"/>
          <w:color w:val="auto"/>
        </w:rPr>
        <w:t>发包人可在计划开始工作之日起</w:t>
      </w:r>
      <w:r>
        <w:rPr>
          <w:rFonts w:ascii="宋体" w:hAnsi="宋体"/>
          <w:color w:val="auto"/>
        </w:rPr>
        <w:t>84</w:t>
      </w:r>
      <w:r>
        <w:rPr>
          <w:rFonts w:hint="eastAsia" w:ascii="宋体" w:hAnsi="宋体"/>
          <w:color w:val="auto"/>
        </w:rPr>
        <w:t>日后发出开始工作通知的特殊情形：</w:t>
      </w:r>
      <w:r>
        <w:rPr>
          <w:rFonts w:hint="eastAsia" w:ascii="宋体" w:hAnsi="宋体"/>
          <w:color w:val="auto"/>
          <w:u w:val="single"/>
        </w:rPr>
        <w:t>按通用合同条件执行</w:t>
      </w:r>
      <w:r>
        <w:rPr>
          <w:rFonts w:hint="eastAsia" w:ascii="宋体" w:hAnsi="宋体"/>
          <w:color w:val="auto"/>
        </w:rPr>
        <w:t>。</w:t>
      </w:r>
    </w:p>
    <w:p w14:paraId="1A06D7ED">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8.2 </w:t>
      </w:r>
      <w:r>
        <w:rPr>
          <w:rFonts w:hint="eastAsia" w:ascii="宋体" w:hAnsi="宋体"/>
          <w:color w:val="auto"/>
        </w:rPr>
        <w:t>竣工日期</w:t>
      </w:r>
    </w:p>
    <w:p w14:paraId="1E6AF567">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竣工日期的约定：</w:t>
      </w:r>
      <w:r>
        <w:rPr>
          <w:rFonts w:hint="eastAsia" w:ascii="宋体" w:hAnsi="宋体"/>
          <w:color w:val="auto"/>
          <w:u w:val="single"/>
        </w:rPr>
        <w:t>以竣工验收合格之日为实际竣工日期</w:t>
      </w:r>
      <w:r>
        <w:rPr>
          <w:rFonts w:hint="eastAsia" w:ascii="宋体" w:hAnsi="宋体"/>
          <w:color w:val="auto"/>
        </w:rPr>
        <w:t>。</w:t>
      </w:r>
    </w:p>
    <w:p w14:paraId="34D4858D">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8.3 </w:t>
      </w:r>
      <w:r>
        <w:rPr>
          <w:rFonts w:hint="eastAsia" w:ascii="宋体" w:hAnsi="宋体"/>
          <w:color w:val="auto"/>
        </w:rPr>
        <w:t>项目实施计划</w:t>
      </w:r>
    </w:p>
    <w:p w14:paraId="46B67509">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8.3.1 </w:t>
      </w:r>
      <w:r>
        <w:rPr>
          <w:rFonts w:hint="eastAsia" w:ascii="宋体" w:hAnsi="宋体"/>
          <w:color w:val="auto"/>
        </w:rPr>
        <w:t>项目实施计划的内容</w:t>
      </w:r>
    </w:p>
    <w:p w14:paraId="5DB1496C">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项目实施计划的内容：</w:t>
      </w:r>
      <w:r>
        <w:rPr>
          <w:rFonts w:hint="eastAsia" w:ascii="宋体" w:hAnsi="宋体"/>
          <w:color w:val="auto"/>
          <w:u w:val="single"/>
        </w:rPr>
        <w:t>书面报监理人审核，经发包人确认后执行</w:t>
      </w:r>
      <w:r>
        <w:rPr>
          <w:rFonts w:hint="eastAsia" w:ascii="宋体" w:hAnsi="宋体"/>
          <w:color w:val="auto"/>
        </w:rPr>
        <w:t>。</w:t>
      </w:r>
    </w:p>
    <w:p w14:paraId="5703366E">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8.3.2 </w:t>
      </w:r>
      <w:r>
        <w:rPr>
          <w:rFonts w:hint="eastAsia" w:ascii="宋体" w:hAnsi="宋体"/>
          <w:color w:val="auto"/>
        </w:rPr>
        <w:t>项目实施计划的提交和修改</w:t>
      </w:r>
    </w:p>
    <w:p w14:paraId="608526AD">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项目实施计划的提交及修改期限：</w:t>
      </w:r>
      <w:r>
        <w:rPr>
          <w:rFonts w:hint="eastAsia" w:ascii="宋体" w:hAnsi="宋体"/>
          <w:color w:val="auto"/>
          <w:u w:val="single"/>
        </w:rPr>
        <w:t>按通用合同条件执行</w:t>
      </w:r>
      <w:r>
        <w:rPr>
          <w:rFonts w:hint="eastAsia" w:ascii="宋体" w:hAnsi="宋体"/>
          <w:color w:val="auto"/>
        </w:rPr>
        <w:t>。</w:t>
      </w:r>
    </w:p>
    <w:p w14:paraId="6F692CAB">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8.4 </w:t>
      </w:r>
      <w:r>
        <w:rPr>
          <w:rFonts w:hint="eastAsia" w:ascii="宋体" w:hAnsi="宋体"/>
          <w:color w:val="auto"/>
        </w:rPr>
        <w:t>项目进度计划</w:t>
      </w:r>
    </w:p>
    <w:p w14:paraId="2231917F">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8.4.1 </w:t>
      </w:r>
      <w:r>
        <w:rPr>
          <w:rFonts w:hint="eastAsia" w:ascii="宋体" w:hAnsi="宋体"/>
          <w:color w:val="auto"/>
        </w:rPr>
        <w:t>工程师在收到进度计划后确认或提出修改意见的期限：</w:t>
      </w:r>
      <w:r>
        <w:rPr>
          <w:rFonts w:hint="eastAsia" w:ascii="宋体" w:hAnsi="宋体"/>
          <w:color w:val="auto"/>
          <w:u w:val="single"/>
        </w:rPr>
        <w:t>按通用合同条件执行</w:t>
      </w:r>
      <w:r>
        <w:rPr>
          <w:rFonts w:hint="eastAsia" w:ascii="宋体" w:hAnsi="宋体"/>
          <w:color w:val="auto"/>
        </w:rPr>
        <w:t>。</w:t>
      </w:r>
    </w:p>
    <w:p w14:paraId="564D60F4">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8.4.2 </w:t>
      </w:r>
      <w:r>
        <w:rPr>
          <w:rFonts w:hint="eastAsia" w:ascii="宋体" w:hAnsi="宋体"/>
          <w:color w:val="auto"/>
        </w:rPr>
        <w:t>进度计划的具体要求：</w:t>
      </w:r>
      <w:r>
        <w:rPr>
          <w:rFonts w:hint="eastAsia" w:ascii="宋体" w:hAnsi="宋体"/>
          <w:color w:val="auto"/>
          <w:u w:val="single"/>
        </w:rPr>
        <w:t>编制完整，程序清晰，安排科学，措施有力，切实可行，有具体的违约承诺、违约责任</w:t>
      </w:r>
      <w:r>
        <w:rPr>
          <w:rFonts w:hint="eastAsia" w:ascii="宋体" w:hAnsi="宋体"/>
          <w:color w:val="auto"/>
        </w:rPr>
        <w:t>。</w:t>
      </w:r>
    </w:p>
    <w:p w14:paraId="23866C0A">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关键路径及关键路径变化的确定原则：</w:t>
      </w:r>
      <w:r>
        <w:rPr>
          <w:rFonts w:hint="eastAsia" w:ascii="宋体" w:hAnsi="宋体"/>
          <w:color w:val="auto"/>
          <w:u w:val="single"/>
        </w:rPr>
        <w:t>面报监理人审核，经发包人确认后执行</w:t>
      </w:r>
      <w:r>
        <w:rPr>
          <w:rFonts w:hint="eastAsia" w:ascii="宋体" w:hAnsi="宋体"/>
          <w:color w:val="auto"/>
        </w:rPr>
        <w:t>。</w:t>
      </w:r>
    </w:p>
    <w:p w14:paraId="60576DCB">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承包人提交项目进度计划的份数和时间：</w:t>
      </w:r>
      <w:r>
        <w:rPr>
          <w:rFonts w:hint="eastAsia" w:ascii="宋体" w:hAnsi="宋体"/>
          <w:color w:val="auto"/>
          <w:u w:val="single"/>
        </w:rPr>
        <w:t>开工前7日提交3份纸质（加盖单位项目部公章），附电子文档</w:t>
      </w:r>
      <w:r>
        <w:rPr>
          <w:rFonts w:hint="eastAsia" w:ascii="宋体" w:hAnsi="宋体"/>
          <w:color w:val="auto"/>
        </w:rPr>
        <w:t>。</w:t>
      </w:r>
    </w:p>
    <w:p w14:paraId="3EE1D280">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8.4.3 </w:t>
      </w:r>
      <w:r>
        <w:rPr>
          <w:rFonts w:hint="eastAsia" w:ascii="宋体" w:hAnsi="宋体"/>
          <w:color w:val="auto"/>
        </w:rPr>
        <w:t>进度计划的修订</w:t>
      </w:r>
    </w:p>
    <w:p w14:paraId="03FB2C24">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承包人提交修订</w:t>
      </w:r>
      <w:r>
        <w:rPr>
          <w:rFonts w:ascii="宋体" w:hAnsi="宋体"/>
          <w:color w:val="auto"/>
        </w:rPr>
        <w:t>项目进度计划</w:t>
      </w:r>
      <w:r>
        <w:rPr>
          <w:rFonts w:hint="eastAsia" w:ascii="宋体" w:hAnsi="宋体"/>
          <w:color w:val="auto"/>
        </w:rPr>
        <w:t>申请报告的期限：</w:t>
      </w:r>
      <w:r>
        <w:rPr>
          <w:rFonts w:hint="eastAsia" w:ascii="宋体" w:hAnsi="宋体"/>
          <w:color w:val="auto"/>
          <w:u w:val="single"/>
        </w:rPr>
        <w:t>按通用合同条件执行</w:t>
      </w:r>
      <w:r>
        <w:rPr>
          <w:rFonts w:hint="eastAsia" w:ascii="宋体" w:hAnsi="宋体"/>
          <w:color w:val="auto"/>
        </w:rPr>
        <w:t>。</w:t>
      </w:r>
    </w:p>
    <w:p w14:paraId="465B8087">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发包人批复修订</w:t>
      </w:r>
      <w:r>
        <w:rPr>
          <w:rFonts w:ascii="宋体" w:hAnsi="宋体"/>
          <w:color w:val="auto"/>
        </w:rPr>
        <w:t>项目进度计划</w:t>
      </w:r>
      <w:r>
        <w:rPr>
          <w:rFonts w:hint="eastAsia" w:ascii="宋体" w:hAnsi="宋体"/>
          <w:color w:val="auto"/>
        </w:rPr>
        <w:t>申请报告的期限：</w:t>
      </w:r>
      <w:r>
        <w:rPr>
          <w:rFonts w:hint="eastAsia" w:ascii="宋体" w:hAnsi="宋体"/>
          <w:color w:val="auto"/>
          <w:u w:val="single"/>
        </w:rPr>
        <w:t>按通用合同条件执行</w:t>
      </w:r>
      <w:r>
        <w:rPr>
          <w:rFonts w:hint="eastAsia" w:ascii="宋体" w:hAnsi="宋体"/>
          <w:color w:val="auto"/>
        </w:rPr>
        <w:t>。</w:t>
      </w:r>
    </w:p>
    <w:p w14:paraId="7F03BA64">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承包人答复发包人提出修订合同计划的期限：</w:t>
      </w:r>
      <w:r>
        <w:rPr>
          <w:rFonts w:hint="eastAsia" w:ascii="宋体" w:hAnsi="宋体"/>
          <w:color w:val="auto"/>
          <w:u w:val="single"/>
        </w:rPr>
        <w:t>按通用合同条件执行</w:t>
      </w:r>
      <w:r>
        <w:rPr>
          <w:rFonts w:hint="eastAsia" w:ascii="宋体" w:hAnsi="宋体"/>
          <w:color w:val="auto"/>
        </w:rPr>
        <w:t>。</w:t>
      </w:r>
    </w:p>
    <w:p w14:paraId="322ABBA7">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8.5 </w:t>
      </w:r>
      <w:r>
        <w:rPr>
          <w:rFonts w:hint="eastAsia" w:ascii="宋体" w:hAnsi="宋体"/>
          <w:color w:val="auto"/>
        </w:rPr>
        <w:t>进度报告</w:t>
      </w:r>
    </w:p>
    <w:p w14:paraId="280460AB">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进度报告的具体要求：</w:t>
      </w:r>
      <w:r>
        <w:rPr>
          <w:rFonts w:hint="eastAsia" w:ascii="宋体" w:hAnsi="宋体"/>
          <w:color w:val="auto"/>
          <w:u w:val="single"/>
        </w:rPr>
        <w:t>每月25日前承包人一式三份提交上月已完成工程量进度报告，同时提出下月施工进度计划</w:t>
      </w:r>
      <w:r>
        <w:rPr>
          <w:rFonts w:hint="eastAsia" w:ascii="宋体" w:hAnsi="宋体"/>
          <w:color w:val="auto"/>
        </w:rPr>
        <w:t>。</w:t>
      </w:r>
    </w:p>
    <w:p w14:paraId="73886F73">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8.7 </w:t>
      </w:r>
      <w:r>
        <w:rPr>
          <w:rFonts w:hint="eastAsia" w:ascii="宋体" w:hAnsi="宋体"/>
          <w:color w:val="auto"/>
        </w:rPr>
        <w:t>工期延误</w:t>
      </w:r>
    </w:p>
    <w:p w14:paraId="15BE51D1">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8.7.2 </w:t>
      </w:r>
      <w:r>
        <w:rPr>
          <w:rFonts w:hint="eastAsia" w:ascii="宋体" w:hAnsi="宋体"/>
          <w:color w:val="auto"/>
        </w:rPr>
        <w:t>因承包人原因导致工期延误</w:t>
      </w:r>
    </w:p>
    <w:p w14:paraId="2954E270">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因承包人原因使竣工日期延误，每延误1日的误期赔偿金额为合同协议书的合同价格的</w:t>
      </w:r>
      <w:r>
        <w:rPr>
          <w:rFonts w:ascii="宋体" w:hAnsi="宋体"/>
          <w:color w:val="auto"/>
          <w:u w:val="single"/>
        </w:rPr>
        <w:t xml:space="preserve"> / </w:t>
      </w:r>
      <w:r>
        <w:rPr>
          <w:rFonts w:hint="eastAsia" w:ascii="宋体" w:hAnsi="宋体"/>
          <w:color w:val="auto"/>
        </w:rPr>
        <w:t>%或人民币金额为：</w:t>
      </w:r>
      <w:r>
        <w:rPr>
          <w:rFonts w:ascii="宋体" w:hAnsi="宋体"/>
          <w:color w:val="auto"/>
          <w:u w:val="single"/>
        </w:rPr>
        <w:t xml:space="preserve"> </w:t>
      </w:r>
      <w:r>
        <w:rPr>
          <w:rFonts w:hint="eastAsia" w:ascii="宋体" w:hAnsi="宋体"/>
          <w:color w:val="auto"/>
          <w:u w:val="single"/>
        </w:rPr>
        <w:t>10000元/天</w:t>
      </w:r>
      <w:r>
        <w:rPr>
          <w:rFonts w:ascii="宋体" w:hAnsi="宋体"/>
          <w:color w:val="auto"/>
          <w:u w:val="single"/>
        </w:rPr>
        <w:t xml:space="preserve"> </w:t>
      </w:r>
      <w:r>
        <w:rPr>
          <w:rFonts w:hint="eastAsia" w:ascii="宋体" w:hAnsi="宋体"/>
          <w:color w:val="auto"/>
        </w:rPr>
        <w:t>、累计最高赔偿金额为合同协议书的合同价格的：</w:t>
      </w:r>
      <w:r>
        <w:rPr>
          <w:rFonts w:ascii="宋体" w:hAnsi="宋体"/>
          <w:color w:val="auto"/>
          <w:u w:val="single"/>
        </w:rPr>
        <w:t xml:space="preserve"> 5 </w:t>
      </w:r>
      <w:r>
        <w:rPr>
          <w:rFonts w:hint="eastAsia" w:ascii="宋体" w:hAnsi="宋体"/>
          <w:color w:val="auto"/>
        </w:rPr>
        <w:t>%或人民币金额为：</w:t>
      </w:r>
      <w:r>
        <w:rPr>
          <w:rFonts w:ascii="宋体" w:hAnsi="宋体"/>
          <w:color w:val="auto"/>
          <w:u w:val="single"/>
        </w:rPr>
        <w:t xml:space="preserve"> / </w:t>
      </w:r>
      <w:r>
        <w:rPr>
          <w:rFonts w:hint="eastAsia" w:ascii="宋体" w:hAnsi="宋体"/>
          <w:color w:val="auto"/>
        </w:rPr>
        <w:t>。</w:t>
      </w:r>
    </w:p>
    <w:p w14:paraId="59B7A381">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8.7.3 </w:t>
      </w:r>
      <w:r>
        <w:rPr>
          <w:rFonts w:hint="eastAsia" w:ascii="宋体" w:hAnsi="宋体"/>
          <w:color w:val="auto"/>
        </w:rPr>
        <w:t>行政审批迟延</w:t>
      </w:r>
    </w:p>
    <w:p w14:paraId="0FDC2F6A">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行政审批报送的职责分工：</w:t>
      </w:r>
      <w:r>
        <w:rPr>
          <w:rFonts w:ascii="宋体" w:hAnsi="宋体"/>
          <w:color w:val="auto"/>
          <w:u w:val="single"/>
        </w:rPr>
        <w:t xml:space="preserve"> / </w:t>
      </w:r>
      <w:r>
        <w:rPr>
          <w:rFonts w:hint="eastAsia" w:ascii="宋体" w:hAnsi="宋体"/>
          <w:color w:val="auto"/>
        </w:rPr>
        <w:t>。</w:t>
      </w:r>
    </w:p>
    <w:p w14:paraId="2363671F">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8.7.4 </w:t>
      </w:r>
      <w:r>
        <w:rPr>
          <w:rFonts w:hint="eastAsia" w:ascii="宋体" w:hAnsi="宋体"/>
          <w:color w:val="auto"/>
        </w:rPr>
        <w:t>异常恶劣的气候条件</w:t>
      </w:r>
    </w:p>
    <w:p w14:paraId="6487C5C0">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双方约定视为异常恶劣的气候条件的情形：</w:t>
      </w:r>
      <w:r>
        <w:rPr>
          <w:rFonts w:ascii="宋体" w:hAnsi="宋体"/>
          <w:color w:val="auto"/>
          <w:u w:val="single"/>
        </w:rPr>
        <w:t xml:space="preserve"> </w:t>
      </w:r>
      <w:r>
        <w:rPr>
          <w:rFonts w:hint="eastAsia" w:ascii="宋体" w:hAnsi="宋体"/>
          <w:color w:val="auto"/>
          <w:u w:val="single"/>
        </w:rPr>
        <w:t>雷暴、连续暴雨、暴雪冰冻。若道路塌方，导致运输中断，也视为异常恶劣天气</w:t>
      </w:r>
      <w:r>
        <w:rPr>
          <w:rFonts w:ascii="宋体" w:hAnsi="宋体"/>
          <w:color w:val="auto"/>
          <w:u w:val="single"/>
        </w:rPr>
        <w:t xml:space="preserve"> </w:t>
      </w:r>
      <w:r>
        <w:rPr>
          <w:rFonts w:hint="eastAsia" w:ascii="宋体" w:hAnsi="宋体"/>
          <w:color w:val="auto"/>
        </w:rPr>
        <w:t>。</w:t>
      </w:r>
    </w:p>
    <w:p w14:paraId="79D3B8C2">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8.8 </w:t>
      </w:r>
      <w:r>
        <w:rPr>
          <w:rFonts w:hint="eastAsia" w:ascii="宋体" w:hAnsi="宋体"/>
          <w:color w:val="auto"/>
        </w:rPr>
        <w:t>工期提前</w:t>
      </w:r>
    </w:p>
    <w:p w14:paraId="0C1DBC9B">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8.8.2 </w:t>
      </w:r>
      <w:r>
        <w:rPr>
          <w:rFonts w:hint="eastAsia" w:ascii="宋体" w:hAnsi="宋体"/>
          <w:color w:val="auto"/>
        </w:rPr>
        <w:t>承包人提前竣工的奖励：</w:t>
      </w:r>
      <w:r>
        <w:rPr>
          <w:rFonts w:ascii="宋体" w:hAnsi="宋体"/>
          <w:color w:val="auto"/>
          <w:u w:val="single"/>
        </w:rPr>
        <w:t xml:space="preserve"> / </w:t>
      </w:r>
      <w:r>
        <w:rPr>
          <w:rFonts w:hint="eastAsia" w:ascii="宋体" w:hAnsi="宋体"/>
          <w:color w:val="auto"/>
        </w:rPr>
        <w:t>。</w:t>
      </w:r>
    </w:p>
    <w:p w14:paraId="7353291D">
      <w:pPr>
        <w:keepNext w:val="0"/>
        <w:keepLines w:val="0"/>
        <w:pageBreakBefore w:val="0"/>
        <w:widowControl/>
        <w:tabs>
          <w:tab w:val="left" w:pos="993"/>
        </w:tabs>
        <w:wordWrap/>
        <w:overflowPunct/>
        <w:topLinePunct w:val="0"/>
        <w:autoSpaceDE/>
        <w:autoSpaceDN/>
        <w:bidi w:val="0"/>
        <w:adjustRightInd w:val="0"/>
        <w:snapToGrid w:val="0"/>
        <w:spacing w:line="360" w:lineRule="exact"/>
        <w:contextualSpacing/>
        <w:textAlignment w:val="auto"/>
        <w:outlineLvl w:val="2"/>
        <w:rPr>
          <w:rFonts w:ascii="宋体" w:hAnsi="宋体" w:cs="Times"/>
          <w:bCs/>
          <w:color w:val="auto"/>
          <w:kern w:val="0"/>
        </w:rPr>
      </w:pPr>
      <w:bookmarkStart w:id="208" w:name="_Toc85451966"/>
      <w:r>
        <w:rPr>
          <w:rFonts w:hint="eastAsia" w:ascii="宋体" w:hAnsi="宋体" w:cs="Times"/>
          <w:bCs/>
          <w:color w:val="auto"/>
          <w:kern w:val="0"/>
        </w:rPr>
        <w:t>第</w:t>
      </w:r>
      <w:r>
        <w:rPr>
          <w:rFonts w:ascii="宋体" w:hAnsi="宋体" w:cs="Times"/>
          <w:bCs/>
          <w:color w:val="auto"/>
          <w:kern w:val="0"/>
        </w:rPr>
        <w:t>9条</w:t>
      </w:r>
      <w:r>
        <w:rPr>
          <w:rFonts w:hint="eastAsia" w:ascii="宋体" w:hAnsi="宋体" w:cs="Times"/>
          <w:bCs/>
          <w:color w:val="auto"/>
          <w:kern w:val="0"/>
        </w:rPr>
        <w:t xml:space="preserve"> 竣工试验</w:t>
      </w:r>
      <w:bookmarkEnd w:id="208"/>
    </w:p>
    <w:p w14:paraId="751F6DCA">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9.1 </w:t>
      </w:r>
      <w:r>
        <w:rPr>
          <w:rFonts w:hint="eastAsia" w:ascii="宋体" w:hAnsi="宋体"/>
          <w:color w:val="auto"/>
        </w:rPr>
        <w:t>竣工试验的义务</w:t>
      </w:r>
    </w:p>
    <w:p w14:paraId="452F910B">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9.1.3 </w:t>
      </w:r>
      <w:r>
        <w:rPr>
          <w:rFonts w:hint="eastAsia" w:ascii="宋体" w:hAnsi="宋体"/>
          <w:color w:val="auto"/>
        </w:rPr>
        <w:t>竣工试验的阶段、内容和顺序：</w:t>
      </w:r>
      <w:r>
        <w:rPr>
          <w:rFonts w:hint="eastAsia" w:ascii="宋体" w:hAnsi="宋体"/>
          <w:color w:val="auto"/>
          <w:u w:val="single"/>
        </w:rPr>
        <w:t>按通用合同条件执行</w:t>
      </w:r>
      <w:r>
        <w:rPr>
          <w:rFonts w:hint="eastAsia" w:ascii="宋体" w:hAnsi="宋体"/>
          <w:color w:val="auto"/>
        </w:rPr>
        <w:t>。</w:t>
      </w:r>
    </w:p>
    <w:p w14:paraId="474040FA">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竣工试验的操作要求：</w:t>
      </w:r>
      <w:r>
        <w:rPr>
          <w:rFonts w:hint="eastAsia" w:ascii="宋体" w:hAnsi="宋体"/>
          <w:color w:val="auto"/>
          <w:u w:val="single"/>
        </w:rPr>
        <w:t>只有在工程或区段工程已通过上一阶段试验的情况下，才可进行下一阶段试验</w:t>
      </w:r>
      <w:r>
        <w:rPr>
          <w:rFonts w:hint="eastAsia" w:ascii="宋体" w:hAnsi="宋体"/>
          <w:color w:val="auto"/>
        </w:rPr>
        <w:t>。</w:t>
      </w:r>
    </w:p>
    <w:p w14:paraId="49FE7B5E">
      <w:pPr>
        <w:keepNext w:val="0"/>
        <w:keepLines w:val="0"/>
        <w:pageBreakBefore w:val="0"/>
        <w:widowControl/>
        <w:tabs>
          <w:tab w:val="left" w:pos="993"/>
        </w:tabs>
        <w:wordWrap/>
        <w:overflowPunct/>
        <w:topLinePunct w:val="0"/>
        <w:autoSpaceDE/>
        <w:autoSpaceDN/>
        <w:bidi w:val="0"/>
        <w:adjustRightInd w:val="0"/>
        <w:snapToGrid w:val="0"/>
        <w:spacing w:line="360" w:lineRule="exact"/>
        <w:contextualSpacing/>
        <w:textAlignment w:val="auto"/>
        <w:outlineLvl w:val="2"/>
        <w:rPr>
          <w:rFonts w:ascii="宋体" w:hAnsi="宋体" w:cs="Times"/>
          <w:bCs/>
          <w:color w:val="auto"/>
          <w:kern w:val="0"/>
        </w:rPr>
      </w:pPr>
      <w:bookmarkStart w:id="209" w:name="_Toc85451967"/>
      <w:r>
        <w:rPr>
          <w:rFonts w:hint="eastAsia" w:ascii="宋体" w:hAnsi="宋体" w:cs="Times"/>
          <w:bCs/>
          <w:color w:val="auto"/>
          <w:kern w:val="0"/>
        </w:rPr>
        <w:t>第</w:t>
      </w:r>
      <w:r>
        <w:rPr>
          <w:rFonts w:ascii="宋体" w:hAnsi="宋体" w:cs="Times"/>
          <w:bCs/>
          <w:color w:val="auto"/>
          <w:kern w:val="0"/>
        </w:rPr>
        <w:t>10条</w:t>
      </w:r>
      <w:r>
        <w:rPr>
          <w:rFonts w:hint="eastAsia" w:ascii="宋体" w:hAnsi="宋体" w:cs="Times"/>
          <w:bCs/>
          <w:color w:val="auto"/>
          <w:kern w:val="0"/>
        </w:rPr>
        <w:t xml:space="preserve"> 验收和工程接收</w:t>
      </w:r>
      <w:bookmarkEnd w:id="209"/>
    </w:p>
    <w:p w14:paraId="2FB10792">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10.1 </w:t>
      </w:r>
      <w:r>
        <w:rPr>
          <w:rFonts w:hint="eastAsia" w:ascii="宋体" w:hAnsi="宋体"/>
          <w:color w:val="auto"/>
        </w:rPr>
        <w:t>竣工验收</w:t>
      </w:r>
    </w:p>
    <w:p w14:paraId="362B4767">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10.1.2 </w:t>
      </w:r>
      <w:r>
        <w:rPr>
          <w:rFonts w:hint="eastAsia" w:ascii="宋体" w:hAnsi="宋体"/>
          <w:color w:val="auto"/>
        </w:rPr>
        <w:t>关于竣工验收程序的约定：</w:t>
      </w:r>
      <w:r>
        <w:rPr>
          <w:rFonts w:hint="eastAsia" w:ascii="宋体" w:hAnsi="宋体"/>
          <w:color w:val="auto"/>
          <w:u w:val="single"/>
        </w:rPr>
        <w:t>按通用合同条件执行</w:t>
      </w:r>
      <w:r>
        <w:rPr>
          <w:rFonts w:hint="eastAsia" w:ascii="宋体" w:hAnsi="宋体"/>
          <w:color w:val="auto"/>
        </w:rPr>
        <w:t>。</w:t>
      </w:r>
    </w:p>
    <w:p w14:paraId="0095F06B">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发包人不按照合同约定组织竣工验收、颁发工程接受证书的违约金的计算方式：</w:t>
      </w:r>
      <w:r>
        <w:rPr>
          <w:rFonts w:hint="eastAsia" w:ascii="宋体" w:hAnsi="宋体"/>
          <w:color w:val="auto"/>
          <w:u w:val="single"/>
        </w:rPr>
        <w:t>按通用合同条件执行</w:t>
      </w:r>
      <w:r>
        <w:rPr>
          <w:rFonts w:hint="eastAsia" w:ascii="宋体" w:hAnsi="宋体"/>
          <w:color w:val="auto"/>
        </w:rPr>
        <w:t>。</w:t>
      </w:r>
    </w:p>
    <w:p w14:paraId="4CB92DBC">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10.3 工程的接收</w:t>
      </w:r>
    </w:p>
    <w:p w14:paraId="5F5B986C">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10.3.1</w:t>
      </w:r>
      <w:r>
        <w:rPr>
          <w:rFonts w:hint="eastAsia" w:ascii="宋体" w:hAnsi="宋体"/>
          <w:color w:val="auto"/>
        </w:rPr>
        <w:t>工程接收的先后顺序、时间安排和其他要求：</w:t>
      </w:r>
      <w:r>
        <w:rPr>
          <w:rFonts w:ascii="宋体" w:hAnsi="宋体"/>
          <w:color w:val="auto"/>
          <w:u w:val="single"/>
        </w:rPr>
        <w:t xml:space="preserve"> </w:t>
      </w:r>
      <w:r>
        <w:rPr>
          <w:rFonts w:hint="eastAsia" w:ascii="宋体" w:hAnsi="宋体"/>
          <w:color w:val="auto"/>
          <w:u w:val="single"/>
        </w:rPr>
        <w:t>竣工图、竣工资料、操作维修手册齐全交付后7日内</w:t>
      </w:r>
      <w:r>
        <w:rPr>
          <w:rFonts w:ascii="宋体" w:hAnsi="宋体"/>
          <w:color w:val="auto"/>
          <w:u w:val="single"/>
        </w:rPr>
        <w:t xml:space="preserve"> </w:t>
      </w:r>
      <w:r>
        <w:rPr>
          <w:rFonts w:hint="eastAsia" w:ascii="宋体" w:hAnsi="宋体"/>
          <w:color w:val="auto"/>
        </w:rPr>
        <w:t>。</w:t>
      </w:r>
    </w:p>
    <w:p w14:paraId="1BD978FF">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10.3.2 </w:t>
      </w:r>
      <w:r>
        <w:rPr>
          <w:rFonts w:hint="eastAsia" w:ascii="宋体" w:hAnsi="宋体"/>
          <w:color w:val="auto"/>
          <w:lang w:eastAsia="zh-CN"/>
        </w:rPr>
        <w:t>接收</w:t>
      </w:r>
      <w:r>
        <w:rPr>
          <w:rFonts w:hint="eastAsia" w:ascii="宋体" w:hAnsi="宋体"/>
          <w:color w:val="auto"/>
        </w:rPr>
        <w:t>工程时承包人需提交竣工验收资料的类别、内容、份数和提交时间：</w:t>
      </w:r>
      <w:r>
        <w:rPr>
          <w:rFonts w:hint="eastAsia" w:ascii="宋体" w:hAnsi="宋体"/>
          <w:color w:val="auto"/>
          <w:u w:val="single"/>
        </w:rPr>
        <w:t>工程竣工试验完成后15天内，向发包方提供一式</w:t>
      </w:r>
      <w:r>
        <w:rPr>
          <w:rFonts w:ascii="宋体" w:hAnsi="宋体"/>
          <w:color w:val="auto"/>
          <w:u w:val="single"/>
        </w:rPr>
        <w:t>8</w:t>
      </w:r>
      <w:r>
        <w:rPr>
          <w:rFonts w:hint="eastAsia" w:ascii="宋体" w:hAnsi="宋体"/>
          <w:color w:val="auto"/>
          <w:u w:val="single"/>
        </w:rPr>
        <w:t>份完整的竣工试验资料（含电子版）</w:t>
      </w:r>
      <w:r>
        <w:rPr>
          <w:rFonts w:hint="eastAsia" w:ascii="宋体" w:hAnsi="宋体"/>
          <w:color w:val="auto"/>
        </w:rPr>
        <w:t>。</w:t>
      </w:r>
    </w:p>
    <w:p w14:paraId="27FAA41D">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10.3.3 </w:t>
      </w:r>
      <w:r>
        <w:rPr>
          <w:rFonts w:hint="eastAsia" w:ascii="宋体" w:hAnsi="宋体"/>
          <w:color w:val="auto"/>
        </w:rPr>
        <w:t>发包人逾期接收工程的违约责任：</w:t>
      </w:r>
      <w:r>
        <w:rPr>
          <w:rFonts w:hint="eastAsia" w:ascii="宋体" w:hAnsi="宋体"/>
          <w:color w:val="auto"/>
          <w:u w:val="single"/>
        </w:rPr>
        <w:t>承担工程照管、成品保护、保管等与工程有关的各项费用</w:t>
      </w:r>
      <w:r>
        <w:rPr>
          <w:rFonts w:hint="eastAsia" w:ascii="宋体" w:hAnsi="宋体"/>
          <w:color w:val="auto"/>
        </w:rPr>
        <w:t>。</w:t>
      </w:r>
    </w:p>
    <w:p w14:paraId="371D5916">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10.3.4 </w:t>
      </w:r>
      <w:r>
        <w:rPr>
          <w:rFonts w:hint="eastAsia" w:ascii="宋体" w:hAnsi="宋体"/>
          <w:color w:val="auto"/>
        </w:rPr>
        <w:t>承包人无正当理由不移交工程的违约责任：</w:t>
      </w:r>
      <w:r>
        <w:rPr>
          <w:rFonts w:hint="eastAsia" w:ascii="宋体" w:hAnsi="宋体"/>
          <w:color w:val="auto"/>
          <w:u w:val="single"/>
        </w:rPr>
        <w:t>承包人逾期未向发包人移交工程，视为乙方拖延竣工日期，按10000.00元/天支付违约金。工程竣工验收并达到合同验收要求，承包人不得以任何理由（含经济纠纷）而拒绝移交工程和工程技术资料。工程竣工验收合格后，双方须全力配合办理工程移交手续，任何一方均不得无理拒收或不交。承包人在工程竣工验收合格后，无故拒绝移交工程，并使发包人造成经济损失，承包人须负责赔偿全部发包人损失</w:t>
      </w:r>
      <w:r>
        <w:rPr>
          <w:rFonts w:hint="eastAsia" w:ascii="宋体" w:hAnsi="宋体"/>
          <w:color w:val="auto"/>
        </w:rPr>
        <w:t>。</w:t>
      </w:r>
    </w:p>
    <w:p w14:paraId="796C4BD8">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10.4 </w:t>
      </w:r>
      <w:r>
        <w:rPr>
          <w:rFonts w:hint="eastAsia" w:ascii="宋体" w:hAnsi="宋体"/>
          <w:color w:val="auto"/>
        </w:rPr>
        <w:t>接收证书</w:t>
      </w:r>
    </w:p>
    <w:p w14:paraId="6AF3B573">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10.4.1 </w:t>
      </w:r>
      <w:r>
        <w:rPr>
          <w:rFonts w:hint="eastAsia" w:ascii="宋体" w:hAnsi="宋体"/>
          <w:color w:val="auto"/>
        </w:rPr>
        <w:t>工程接收证书颁发时间：</w:t>
      </w:r>
      <w:r>
        <w:rPr>
          <w:rFonts w:hint="eastAsia" w:ascii="宋体" w:hAnsi="宋体"/>
          <w:color w:val="auto"/>
          <w:u w:val="single"/>
        </w:rPr>
        <w:t>按通用合同条件执行</w:t>
      </w:r>
      <w:r>
        <w:rPr>
          <w:rFonts w:hint="eastAsia" w:ascii="宋体" w:hAnsi="宋体"/>
          <w:color w:val="auto"/>
        </w:rPr>
        <w:t>。</w:t>
      </w:r>
    </w:p>
    <w:p w14:paraId="0B43C343">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10.5 </w:t>
      </w:r>
      <w:r>
        <w:rPr>
          <w:rFonts w:hint="eastAsia" w:ascii="宋体" w:hAnsi="宋体"/>
          <w:color w:val="auto"/>
        </w:rPr>
        <w:t>竣工退场</w:t>
      </w:r>
    </w:p>
    <w:p w14:paraId="26CA14DA">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10.5.1 </w:t>
      </w:r>
      <w:r>
        <w:rPr>
          <w:rFonts w:hint="eastAsia" w:ascii="宋体" w:hAnsi="宋体"/>
          <w:color w:val="auto"/>
        </w:rPr>
        <w:t>竣工退场的相关约定：</w:t>
      </w:r>
      <w:r>
        <w:rPr>
          <w:rFonts w:hint="eastAsia" w:ascii="宋体" w:hAnsi="宋体"/>
          <w:color w:val="auto"/>
          <w:u w:val="single"/>
        </w:rPr>
        <w:t>承包人应在综合竣工验收后30日内，撤出全部</w:t>
      </w:r>
      <w:r>
        <w:rPr>
          <w:rFonts w:hint="eastAsia" w:ascii="宋体" w:hAnsi="宋体"/>
          <w:color w:val="auto"/>
          <w:u w:val="single"/>
          <w:lang w:eastAsia="zh-CN"/>
        </w:rPr>
        <w:t>临时建筑物</w:t>
      </w:r>
      <w:r>
        <w:rPr>
          <w:rFonts w:hint="eastAsia" w:ascii="宋体" w:hAnsi="宋体"/>
          <w:color w:val="auto"/>
          <w:u w:val="single"/>
        </w:rPr>
        <w:t>、施工人员、机械设备和剩余材料（除收尾工程所需的以外），然后填写工程移交书，经发包人签字后，视为工程移交完毕</w:t>
      </w:r>
      <w:r>
        <w:rPr>
          <w:rFonts w:hint="eastAsia" w:ascii="宋体" w:hAnsi="宋体"/>
          <w:color w:val="auto"/>
        </w:rPr>
        <w:t>。</w:t>
      </w:r>
    </w:p>
    <w:p w14:paraId="0F2C554A">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10.5.3</w:t>
      </w:r>
      <w:r>
        <w:rPr>
          <w:rFonts w:hint="eastAsia" w:ascii="宋体" w:hAnsi="宋体"/>
          <w:color w:val="auto"/>
        </w:rPr>
        <w:t>人员撤离</w:t>
      </w:r>
    </w:p>
    <w:p w14:paraId="68490E59">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工程师同意需在缺陷责任期内继续工作和使用的人员、施工设备和临时工程的内容：</w:t>
      </w:r>
      <w:r>
        <w:rPr>
          <w:rFonts w:hint="eastAsia" w:ascii="宋体" w:hAnsi="宋体"/>
          <w:color w:val="auto"/>
          <w:u w:val="single"/>
        </w:rPr>
        <w:t xml:space="preserve"> </w:t>
      </w:r>
      <w:r>
        <w:rPr>
          <w:rFonts w:ascii="宋体" w:hAnsi="宋体"/>
          <w:color w:val="auto"/>
          <w:u w:val="single"/>
        </w:rPr>
        <w:t xml:space="preserve">      </w:t>
      </w:r>
      <w:r>
        <w:rPr>
          <w:rFonts w:hint="eastAsia" w:ascii="宋体" w:hAnsi="宋体"/>
          <w:color w:val="auto"/>
        </w:rPr>
        <w:t>。</w:t>
      </w:r>
    </w:p>
    <w:p w14:paraId="7FB92B64">
      <w:pPr>
        <w:keepNext w:val="0"/>
        <w:keepLines w:val="0"/>
        <w:pageBreakBefore w:val="0"/>
        <w:widowControl/>
        <w:tabs>
          <w:tab w:val="left" w:pos="993"/>
        </w:tabs>
        <w:wordWrap/>
        <w:overflowPunct/>
        <w:topLinePunct w:val="0"/>
        <w:autoSpaceDE/>
        <w:autoSpaceDN/>
        <w:bidi w:val="0"/>
        <w:adjustRightInd w:val="0"/>
        <w:snapToGrid w:val="0"/>
        <w:spacing w:line="360" w:lineRule="exact"/>
        <w:contextualSpacing/>
        <w:textAlignment w:val="auto"/>
        <w:outlineLvl w:val="2"/>
        <w:rPr>
          <w:rFonts w:ascii="宋体" w:hAnsi="宋体" w:cs="Times"/>
          <w:bCs/>
          <w:color w:val="auto"/>
          <w:kern w:val="0"/>
        </w:rPr>
      </w:pPr>
      <w:bookmarkStart w:id="210" w:name="_Toc85451968"/>
      <w:r>
        <w:rPr>
          <w:rFonts w:hint="eastAsia" w:ascii="宋体" w:hAnsi="宋体" w:cs="Times"/>
          <w:bCs/>
          <w:color w:val="auto"/>
          <w:kern w:val="0"/>
        </w:rPr>
        <w:t>第</w:t>
      </w:r>
      <w:r>
        <w:rPr>
          <w:rFonts w:ascii="宋体" w:hAnsi="宋体" w:cs="Times"/>
          <w:bCs/>
          <w:color w:val="auto"/>
          <w:kern w:val="0"/>
        </w:rPr>
        <w:t>11条</w:t>
      </w:r>
      <w:r>
        <w:rPr>
          <w:rFonts w:hint="eastAsia" w:ascii="宋体" w:hAnsi="宋体" w:cs="Times"/>
          <w:bCs/>
          <w:color w:val="auto"/>
          <w:kern w:val="0"/>
        </w:rPr>
        <w:t xml:space="preserve"> 缺陷责任与保修</w:t>
      </w:r>
      <w:bookmarkEnd w:id="210"/>
    </w:p>
    <w:p w14:paraId="266B6094">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11.2 </w:t>
      </w:r>
      <w:r>
        <w:rPr>
          <w:rFonts w:hint="eastAsia" w:ascii="宋体" w:hAnsi="宋体"/>
          <w:color w:val="auto"/>
        </w:rPr>
        <w:t>缺陷责任期</w:t>
      </w:r>
    </w:p>
    <w:p w14:paraId="2E91F073">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缺陷责任期的</w:t>
      </w:r>
      <w:r>
        <w:rPr>
          <w:rFonts w:hint="eastAsia" w:ascii="宋体" w:hAnsi="宋体"/>
          <w:color w:val="auto"/>
        </w:rPr>
        <w:t>期限：</w:t>
      </w:r>
      <w:r>
        <w:rPr>
          <w:rFonts w:hint="eastAsia" w:ascii="宋体" w:hAnsi="宋体"/>
          <w:color w:val="auto"/>
          <w:u w:val="single"/>
        </w:rPr>
        <w:t>2年，从竣工验收合格之日起计算</w:t>
      </w:r>
      <w:r>
        <w:rPr>
          <w:rFonts w:hint="eastAsia" w:ascii="宋体" w:hAnsi="宋体"/>
          <w:color w:val="auto"/>
        </w:rPr>
        <w:t>。</w:t>
      </w:r>
    </w:p>
    <w:p w14:paraId="44E2B98B">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11.3 </w:t>
      </w:r>
      <w:r>
        <w:rPr>
          <w:rFonts w:hint="eastAsia" w:ascii="宋体" w:hAnsi="宋体"/>
          <w:color w:val="auto"/>
        </w:rPr>
        <w:t>缺陷调查</w:t>
      </w:r>
    </w:p>
    <w:p w14:paraId="485B0056">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11.3.4 </w:t>
      </w:r>
      <w:r>
        <w:rPr>
          <w:rFonts w:hint="eastAsia" w:ascii="宋体" w:hAnsi="宋体"/>
          <w:color w:val="auto"/>
        </w:rPr>
        <w:t>修复通知</w:t>
      </w:r>
    </w:p>
    <w:p w14:paraId="03EEA40B">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承包人收到保修通知并到达工程现场的合理时间：</w:t>
      </w:r>
      <w:r>
        <w:rPr>
          <w:rFonts w:hint="eastAsia" w:ascii="宋体" w:hAnsi="宋体"/>
          <w:color w:val="auto"/>
          <w:u w:val="single"/>
        </w:rPr>
        <w:t>24小时内到达工程现场并修复缺陷</w:t>
      </w:r>
      <w:r>
        <w:rPr>
          <w:rFonts w:hint="eastAsia" w:ascii="宋体" w:hAnsi="宋体"/>
          <w:color w:val="auto"/>
        </w:rPr>
        <w:t>。</w:t>
      </w:r>
    </w:p>
    <w:p w14:paraId="00792BF8">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11.6 </w:t>
      </w:r>
      <w:r>
        <w:rPr>
          <w:rFonts w:hint="eastAsia" w:ascii="宋体" w:hAnsi="宋体"/>
          <w:color w:val="auto"/>
        </w:rPr>
        <w:t>缺陷责任期终止证书</w:t>
      </w:r>
    </w:p>
    <w:p w14:paraId="174CC5B0">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承包人应于缺陷责任期届满后</w:t>
      </w:r>
      <w:r>
        <w:rPr>
          <w:rFonts w:ascii="宋体" w:hAnsi="宋体"/>
          <w:color w:val="auto"/>
          <w:u w:val="single"/>
        </w:rPr>
        <w:t xml:space="preserve"> 7 </w:t>
      </w:r>
      <w:r>
        <w:rPr>
          <w:rFonts w:hint="eastAsia" w:ascii="宋体" w:hAnsi="宋体"/>
          <w:color w:val="auto"/>
        </w:rPr>
        <w:t>天内向发包人发出缺陷责任期届满通知，发包人应在收到缺陷责任期满通知后</w:t>
      </w:r>
      <w:r>
        <w:rPr>
          <w:rFonts w:ascii="宋体" w:hAnsi="宋体"/>
          <w:color w:val="auto"/>
          <w:u w:val="single"/>
        </w:rPr>
        <w:t xml:space="preserve"> 7 </w:t>
      </w:r>
      <w:r>
        <w:rPr>
          <w:rFonts w:hint="eastAsia" w:ascii="宋体" w:hAnsi="宋体"/>
          <w:color w:val="auto"/>
        </w:rPr>
        <w:t>天内核实承包人是否履行缺陷修复义务，承包人未能履行缺陷修复义务的，发包人有权扣除相应金额的维修费用。发包人应在收到缺陷责任期届满通知后</w:t>
      </w:r>
      <w:r>
        <w:rPr>
          <w:rFonts w:ascii="宋体" w:hAnsi="宋体"/>
          <w:color w:val="auto"/>
          <w:u w:val="single"/>
        </w:rPr>
        <w:t xml:space="preserve"> 7 </w:t>
      </w:r>
      <w:r>
        <w:rPr>
          <w:rFonts w:hint="eastAsia" w:ascii="宋体" w:hAnsi="宋体"/>
          <w:color w:val="auto"/>
        </w:rPr>
        <w:t>天内，向承包人颁发缺陷责任期终止证书。</w:t>
      </w:r>
    </w:p>
    <w:p w14:paraId="504A69F9">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11.7 </w:t>
      </w:r>
      <w:r>
        <w:rPr>
          <w:rFonts w:hint="eastAsia" w:ascii="宋体" w:hAnsi="宋体"/>
          <w:color w:val="auto"/>
        </w:rPr>
        <w:t>保修责任</w:t>
      </w:r>
    </w:p>
    <w:p w14:paraId="53374BC6">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工程质量保修范围、期限和责任</w:t>
      </w:r>
      <w:r>
        <w:rPr>
          <w:rFonts w:ascii="宋体" w:hAnsi="宋体"/>
          <w:color w:val="auto"/>
        </w:rPr>
        <w:t>为：</w:t>
      </w:r>
      <w:r>
        <w:rPr>
          <w:rFonts w:hint="eastAsia" w:ascii="宋体" w:hAnsi="宋体"/>
          <w:color w:val="auto"/>
          <w:u w:val="single"/>
        </w:rPr>
        <w:t>按工程质量保修书执行</w:t>
      </w:r>
      <w:r>
        <w:rPr>
          <w:rFonts w:hint="eastAsia" w:ascii="宋体" w:hAnsi="宋体"/>
          <w:color w:val="auto"/>
        </w:rPr>
        <w:t>。</w:t>
      </w:r>
    </w:p>
    <w:p w14:paraId="12836CDE">
      <w:pPr>
        <w:keepNext w:val="0"/>
        <w:keepLines w:val="0"/>
        <w:pageBreakBefore w:val="0"/>
        <w:widowControl/>
        <w:tabs>
          <w:tab w:val="left" w:pos="993"/>
        </w:tabs>
        <w:wordWrap/>
        <w:overflowPunct/>
        <w:topLinePunct w:val="0"/>
        <w:autoSpaceDE/>
        <w:autoSpaceDN/>
        <w:bidi w:val="0"/>
        <w:adjustRightInd w:val="0"/>
        <w:snapToGrid w:val="0"/>
        <w:spacing w:line="360" w:lineRule="exact"/>
        <w:contextualSpacing/>
        <w:textAlignment w:val="auto"/>
        <w:outlineLvl w:val="2"/>
        <w:rPr>
          <w:rFonts w:ascii="宋体" w:hAnsi="宋体" w:cs="Times"/>
          <w:bCs/>
          <w:color w:val="auto"/>
          <w:kern w:val="0"/>
        </w:rPr>
      </w:pPr>
      <w:bookmarkStart w:id="211" w:name="_Toc85451969"/>
      <w:r>
        <w:rPr>
          <w:rFonts w:hint="eastAsia" w:ascii="宋体" w:hAnsi="宋体" w:cs="Times"/>
          <w:bCs/>
          <w:color w:val="auto"/>
          <w:kern w:val="0"/>
        </w:rPr>
        <w:t>第</w:t>
      </w:r>
      <w:r>
        <w:rPr>
          <w:rFonts w:ascii="宋体" w:hAnsi="宋体" w:cs="Times"/>
          <w:bCs/>
          <w:color w:val="auto"/>
          <w:kern w:val="0"/>
        </w:rPr>
        <w:t>12条</w:t>
      </w:r>
      <w:r>
        <w:rPr>
          <w:rFonts w:hint="eastAsia" w:ascii="宋体" w:hAnsi="宋体" w:cs="Times"/>
          <w:bCs/>
          <w:color w:val="auto"/>
          <w:kern w:val="0"/>
        </w:rPr>
        <w:t xml:space="preserve"> 竣工后试验</w:t>
      </w:r>
      <w:bookmarkEnd w:id="211"/>
    </w:p>
    <w:p w14:paraId="2ACA0B5D">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本合同工程是否包含竣工后试验：</w:t>
      </w:r>
      <w:r>
        <w:rPr>
          <w:rFonts w:ascii="宋体" w:hAnsi="宋体"/>
          <w:color w:val="auto"/>
          <w:u w:val="single"/>
        </w:rPr>
        <w:t xml:space="preserve"> </w:t>
      </w:r>
      <w:r>
        <w:rPr>
          <w:rFonts w:hint="eastAsia" w:ascii="宋体" w:hAnsi="宋体"/>
          <w:color w:val="auto"/>
          <w:u w:val="single"/>
        </w:rPr>
        <w:t>是</w:t>
      </w:r>
      <w:r>
        <w:rPr>
          <w:rFonts w:ascii="宋体" w:hAnsi="宋体"/>
          <w:color w:val="auto"/>
          <w:u w:val="single"/>
        </w:rPr>
        <w:t xml:space="preserve"> </w:t>
      </w:r>
      <w:r>
        <w:rPr>
          <w:rFonts w:hint="eastAsia" w:ascii="宋体" w:hAnsi="宋体"/>
          <w:color w:val="auto"/>
        </w:rPr>
        <w:t>。</w:t>
      </w:r>
    </w:p>
    <w:p w14:paraId="2A4F8187">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12.1 </w:t>
      </w:r>
      <w:r>
        <w:rPr>
          <w:rFonts w:hint="eastAsia" w:ascii="宋体" w:hAnsi="宋体"/>
          <w:color w:val="auto"/>
        </w:rPr>
        <w:t>竣工后试验的程序</w:t>
      </w:r>
    </w:p>
    <w:p w14:paraId="67894E1C">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12.1.2 </w:t>
      </w:r>
      <w:r>
        <w:rPr>
          <w:rFonts w:hint="eastAsia" w:ascii="宋体" w:hAnsi="宋体"/>
          <w:color w:val="auto"/>
        </w:rPr>
        <w:t>竣工后试验全部电力、水、污水处理、燃料、消耗品和材料，以及全部其他仪器、协助、文件或其他信息、设备、工具、劳力，启动工程设备，并组织安排有适当资质、经验和能力的工作人员等必要条件的提供方：</w:t>
      </w:r>
      <w:r>
        <w:rPr>
          <w:rFonts w:hint="eastAsia" w:ascii="宋体" w:hAnsi="宋体"/>
          <w:color w:val="auto"/>
          <w:u w:val="single"/>
        </w:rPr>
        <w:t>由承包人负责（与其</w:t>
      </w:r>
      <w:r>
        <w:rPr>
          <w:rFonts w:ascii="宋体" w:hAnsi="宋体"/>
          <w:color w:val="auto"/>
          <w:u w:val="single"/>
        </w:rPr>
        <w:t>施工范围有关的</w:t>
      </w:r>
      <w:r>
        <w:rPr>
          <w:rFonts w:hint="eastAsia" w:ascii="宋体" w:hAnsi="宋体"/>
          <w:color w:val="auto"/>
          <w:u w:val="single"/>
        </w:rPr>
        <w:t>）提供并承担所需费用</w:t>
      </w:r>
      <w:r>
        <w:rPr>
          <w:rFonts w:hint="eastAsia" w:ascii="宋体" w:hAnsi="宋体"/>
          <w:color w:val="auto"/>
        </w:rPr>
        <w:t>。</w:t>
      </w:r>
    </w:p>
    <w:p w14:paraId="7958A903">
      <w:pPr>
        <w:keepNext w:val="0"/>
        <w:keepLines w:val="0"/>
        <w:pageBreakBefore w:val="0"/>
        <w:widowControl/>
        <w:tabs>
          <w:tab w:val="left" w:pos="993"/>
        </w:tabs>
        <w:wordWrap/>
        <w:overflowPunct/>
        <w:topLinePunct w:val="0"/>
        <w:autoSpaceDE/>
        <w:autoSpaceDN/>
        <w:bidi w:val="0"/>
        <w:adjustRightInd w:val="0"/>
        <w:snapToGrid w:val="0"/>
        <w:spacing w:line="360" w:lineRule="exact"/>
        <w:contextualSpacing/>
        <w:textAlignment w:val="auto"/>
        <w:outlineLvl w:val="2"/>
        <w:rPr>
          <w:rFonts w:ascii="宋体" w:hAnsi="宋体" w:cs="Times"/>
          <w:bCs/>
          <w:color w:val="auto"/>
          <w:kern w:val="0"/>
        </w:rPr>
      </w:pPr>
      <w:bookmarkStart w:id="212" w:name="_Toc85451970"/>
      <w:r>
        <w:rPr>
          <w:rFonts w:hint="eastAsia" w:ascii="宋体" w:hAnsi="宋体" w:cs="Times"/>
          <w:bCs/>
          <w:color w:val="auto"/>
          <w:kern w:val="0"/>
        </w:rPr>
        <w:t>第</w:t>
      </w:r>
      <w:r>
        <w:rPr>
          <w:rFonts w:ascii="宋体" w:hAnsi="宋体" w:cs="Times"/>
          <w:bCs/>
          <w:color w:val="auto"/>
          <w:kern w:val="0"/>
        </w:rPr>
        <w:t>13条</w:t>
      </w:r>
      <w:r>
        <w:rPr>
          <w:rFonts w:hint="eastAsia" w:ascii="宋体" w:hAnsi="宋体" w:cs="Times"/>
          <w:bCs/>
          <w:color w:val="auto"/>
          <w:kern w:val="0"/>
        </w:rPr>
        <w:t xml:space="preserve"> 变更与调整</w:t>
      </w:r>
      <w:bookmarkEnd w:id="212"/>
    </w:p>
    <w:p w14:paraId="78633E62">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13.2 </w:t>
      </w:r>
      <w:r>
        <w:rPr>
          <w:rFonts w:hint="eastAsia" w:ascii="宋体" w:hAnsi="宋体"/>
          <w:color w:val="auto"/>
        </w:rPr>
        <w:t>承包人的合理化建议</w:t>
      </w:r>
    </w:p>
    <w:p w14:paraId="088071FA">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13.2.2 </w:t>
      </w:r>
      <w:r>
        <w:rPr>
          <w:rFonts w:hint="eastAsia" w:ascii="宋体" w:hAnsi="宋体"/>
          <w:color w:val="auto"/>
        </w:rPr>
        <w:t>工程师应在收到承包人提交的合理化建议后</w:t>
      </w:r>
      <w:r>
        <w:rPr>
          <w:rFonts w:hint="eastAsia" w:ascii="宋体" w:hAnsi="宋体"/>
          <w:color w:val="auto"/>
          <w:u w:val="single"/>
        </w:rPr>
        <w:t xml:space="preserve"> </w:t>
      </w:r>
      <w:r>
        <w:rPr>
          <w:rFonts w:ascii="宋体" w:hAnsi="宋体"/>
          <w:color w:val="auto"/>
          <w:u w:val="single"/>
        </w:rPr>
        <w:t>7</w:t>
      </w:r>
      <w:r>
        <w:rPr>
          <w:rFonts w:hint="eastAsia" w:ascii="宋体" w:hAnsi="宋体"/>
          <w:color w:val="auto"/>
          <w:u w:val="single"/>
        </w:rPr>
        <w:t xml:space="preserve"> </w:t>
      </w:r>
      <w:r>
        <w:rPr>
          <w:rFonts w:hint="eastAsia" w:ascii="宋体" w:hAnsi="宋体"/>
          <w:color w:val="auto"/>
        </w:rPr>
        <w:t>日内审查完毕并报送发包人，发现其中存在技术上的缺陷，应通知承包人修改。发包人应在收到工程师报送的合理化建议后</w:t>
      </w:r>
      <w:r>
        <w:rPr>
          <w:rFonts w:ascii="宋体" w:hAnsi="宋体"/>
          <w:color w:val="auto"/>
          <w:u w:val="single"/>
        </w:rPr>
        <w:t xml:space="preserve"> 7 </w:t>
      </w:r>
      <w:r>
        <w:rPr>
          <w:rFonts w:hint="eastAsia" w:ascii="宋体" w:hAnsi="宋体"/>
          <w:color w:val="auto"/>
        </w:rPr>
        <w:t>日内审批完毕。合理化建议经发包人批准的，工程师应及时发出变更指示，由此引起的合同价格调整按照</w:t>
      </w:r>
      <w:r>
        <w:rPr>
          <w:rFonts w:hint="eastAsia" w:ascii="宋体" w:hAnsi="宋体"/>
          <w:color w:val="auto"/>
          <w:u w:val="single"/>
        </w:rPr>
        <w:t>第13.3.3项[变更估价]约定</w:t>
      </w:r>
      <w:r>
        <w:rPr>
          <w:rFonts w:hint="eastAsia" w:ascii="宋体" w:hAnsi="宋体"/>
          <w:color w:val="auto"/>
        </w:rPr>
        <w:t>执行。发包人不同意变更的，工程师应书面通知承包人</w:t>
      </w:r>
    </w:p>
    <w:p w14:paraId="0D6FE8A0">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13.2.3 承包人提出的</w:t>
      </w:r>
      <w:r>
        <w:rPr>
          <w:rFonts w:hint="eastAsia" w:ascii="宋体" w:hAnsi="宋体"/>
          <w:color w:val="auto"/>
        </w:rPr>
        <w:t>合理化变更</w:t>
      </w:r>
      <w:r>
        <w:rPr>
          <w:rFonts w:ascii="宋体" w:hAnsi="宋体"/>
          <w:color w:val="auto"/>
        </w:rPr>
        <w:t>建议的</w:t>
      </w:r>
      <w:r>
        <w:rPr>
          <w:rFonts w:hint="eastAsia" w:ascii="宋体" w:hAnsi="宋体"/>
          <w:color w:val="auto"/>
        </w:rPr>
        <w:t>利益分享约定</w:t>
      </w:r>
      <w:r>
        <w:rPr>
          <w:rFonts w:ascii="宋体" w:hAnsi="宋体"/>
          <w:color w:val="auto"/>
        </w:rPr>
        <w:t>：</w:t>
      </w:r>
      <w:r>
        <w:rPr>
          <w:rFonts w:ascii="宋体" w:hAnsi="宋体"/>
          <w:color w:val="auto"/>
          <w:u w:val="single"/>
        </w:rPr>
        <w:t xml:space="preserve"> </w:t>
      </w:r>
      <w:r>
        <w:rPr>
          <w:rFonts w:hint="eastAsia" w:ascii="宋体" w:hAnsi="宋体"/>
          <w:color w:val="auto"/>
          <w:u w:val="single"/>
        </w:rPr>
        <w:t>/</w:t>
      </w:r>
      <w:r>
        <w:rPr>
          <w:rFonts w:ascii="宋体" w:hAnsi="宋体"/>
          <w:color w:val="auto"/>
          <w:u w:val="single"/>
        </w:rPr>
        <w:t xml:space="preserve"> </w:t>
      </w:r>
      <w:r>
        <w:rPr>
          <w:rFonts w:hint="eastAsia" w:ascii="宋体" w:hAnsi="宋体"/>
          <w:color w:val="auto"/>
        </w:rPr>
        <w:t>。</w:t>
      </w:r>
    </w:p>
    <w:p w14:paraId="53D6AC82">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13.3 </w:t>
      </w:r>
      <w:r>
        <w:rPr>
          <w:rFonts w:hint="eastAsia" w:ascii="宋体" w:hAnsi="宋体"/>
          <w:color w:val="auto"/>
        </w:rPr>
        <w:t>变更程序</w:t>
      </w:r>
    </w:p>
    <w:p w14:paraId="01837726">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13.3.3 变更估价</w:t>
      </w:r>
    </w:p>
    <w:p w14:paraId="60A5076A">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13.3.3.1 变更估价原则</w:t>
      </w:r>
    </w:p>
    <w:p w14:paraId="4A1CF2CD">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关于变更估价原则的约定：</w:t>
      </w:r>
      <w:r>
        <w:rPr>
          <w:rFonts w:hint="eastAsia" w:ascii="宋体" w:hAnsi="宋体"/>
          <w:color w:val="auto"/>
          <w:u w:val="single"/>
        </w:rPr>
        <w:t>按通用合同条件执行</w:t>
      </w:r>
      <w:r>
        <w:rPr>
          <w:rFonts w:hint="eastAsia" w:ascii="宋体" w:hAnsi="宋体"/>
          <w:color w:val="auto"/>
        </w:rPr>
        <w:t>。</w:t>
      </w:r>
    </w:p>
    <w:p w14:paraId="75B2008A">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13.4 </w:t>
      </w:r>
      <w:r>
        <w:rPr>
          <w:rFonts w:hint="eastAsia" w:ascii="宋体" w:hAnsi="宋体"/>
          <w:color w:val="auto"/>
        </w:rPr>
        <w:t>暂估价</w:t>
      </w:r>
    </w:p>
    <w:p w14:paraId="16AC9628">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13.4.1 </w:t>
      </w:r>
      <w:r>
        <w:rPr>
          <w:rFonts w:hint="eastAsia" w:ascii="宋体" w:hAnsi="宋体"/>
          <w:color w:val="auto"/>
        </w:rPr>
        <w:t>依法必须招标的暂估价项目</w:t>
      </w:r>
    </w:p>
    <w:p w14:paraId="05F1CB6C">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承包人可以参与投标的暂估价项目范围：</w:t>
      </w:r>
      <w:r>
        <w:rPr>
          <w:rFonts w:ascii="宋体" w:hAnsi="宋体"/>
          <w:color w:val="auto"/>
          <w:u w:val="single"/>
        </w:rPr>
        <w:t xml:space="preserve"> / </w:t>
      </w:r>
      <w:r>
        <w:rPr>
          <w:rFonts w:hint="eastAsia" w:ascii="宋体" w:hAnsi="宋体"/>
          <w:color w:val="auto"/>
        </w:rPr>
        <w:t>。</w:t>
      </w:r>
    </w:p>
    <w:p w14:paraId="30A96437">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承包人不得参与投标的暂估价项目范围：</w:t>
      </w:r>
      <w:r>
        <w:rPr>
          <w:rFonts w:ascii="宋体" w:hAnsi="宋体"/>
          <w:color w:val="auto"/>
          <w:u w:val="single"/>
        </w:rPr>
        <w:t xml:space="preserve"> / </w:t>
      </w:r>
      <w:r>
        <w:rPr>
          <w:rFonts w:hint="eastAsia" w:ascii="宋体" w:hAnsi="宋体"/>
          <w:color w:val="auto"/>
        </w:rPr>
        <w:t>。</w:t>
      </w:r>
    </w:p>
    <w:p w14:paraId="6DF3DAD3">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招投标程序及其他约定：</w:t>
      </w:r>
      <w:r>
        <w:rPr>
          <w:rFonts w:ascii="宋体" w:hAnsi="宋体"/>
          <w:color w:val="auto"/>
          <w:u w:val="single"/>
        </w:rPr>
        <w:t xml:space="preserve"> / </w:t>
      </w:r>
      <w:r>
        <w:rPr>
          <w:rFonts w:hint="eastAsia" w:ascii="宋体" w:hAnsi="宋体"/>
          <w:color w:val="auto"/>
        </w:rPr>
        <w:t>。</w:t>
      </w:r>
    </w:p>
    <w:p w14:paraId="218C797B">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13.4.2 </w:t>
      </w:r>
      <w:r>
        <w:rPr>
          <w:rFonts w:hint="eastAsia" w:ascii="宋体" w:hAnsi="宋体"/>
          <w:color w:val="auto"/>
        </w:rPr>
        <w:t>不属于依法必须招标的暂估价项目</w:t>
      </w:r>
    </w:p>
    <w:p w14:paraId="18ECE45A">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不属于依法必须招标的暂估价项目的协商及估价的约定：</w:t>
      </w:r>
      <w:r>
        <w:rPr>
          <w:rFonts w:hint="eastAsia" w:ascii="宋体" w:hAnsi="宋体"/>
          <w:color w:val="auto"/>
          <w:u w:val="single"/>
        </w:rPr>
        <w:t>按通用合同条件执行</w:t>
      </w:r>
      <w:r>
        <w:rPr>
          <w:rFonts w:hint="eastAsia" w:ascii="宋体" w:hAnsi="宋体"/>
          <w:color w:val="auto"/>
        </w:rPr>
        <w:t>。</w:t>
      </w:r>
    </w:p>
    <w:p w14:paraId="31F3B4FE">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13.5 </w:t>
      </w:r>
      <w:r>
        <w:rPr>
          <w:rFonts w:hint="eastAsia" w:ascii="宋体" w:hAnsi="宋体"/>
          <w:color w:val="auto"/>
        </w:rPr>
        <w:t>暂列金额</w:t>
      </w:r>
    </w:p>
    <w:p w14:paraId="5BB0EF37">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其他关于暂列金额使用的约定：</w:t>
      </w:r>
      <w:r>
        <w:rPr>
          <w:rFonts w:hint="eastAsia" w:ascii="宋体" w:hAnsi="宋体"/>
          <w:color w:val="auto"/>
          <w:u w:val="single"/>
        </w:rPr>
        <w:t>按通用合同条件执行</w:t>
      </w:r>
      <w:r>
        <w:rPr>
          <w:rFonts w:hint="eastAsia" w:ascii="宋体" w:hAnsi="宋体"/>
          <w:color w:val="auto"/>
        </w:rPr>
        <w:t>。</w:t>
      </w:r>
    </w:p>
    <w:p w14:paraId="6BA7284E">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13.8 </w:t>
      </w:r>
      <w:r>
        <w:rPr>
          <w:rFonts w:hint="eastAsia" w:ascii="宋体" w:hAnsi="宋体"/>
          <w:color w:val="auto"/>
        </w:rPr>
        <w:t>市场价格波动引起的调整</w:t>
      </w:r>
    </w:p>
    <w:p w14:paraId="796F901E">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1</w:t>
      </w:r>
      <w:r>
        <w:rPr>
          <w:rFonts w:ascii="宋体" w:hAnsi="宋体"/>
          <w:color w:val="auto"/>
        </w:rPr>
        <w:t xml:space="preserve">3.8.2 </w:t>
      </w:r>
      <w:r>
        <w:rPr>
          <w:rFonts w:hint="eastAsia" w:ascii="宋体" w:hAnsi="宋体"/>
          <w:color w:val="auto"/>
        </w:rPr>
        <w:t>关于是否采用《价格指数权重表》的约定：</w:t>
      </w:r>
      <w:r>
        <w:rPr>
          <w:rFonts w:ascii="宋体" w:hAnsi="宋体"/>
          <w:color w:val="auto"/>
          <w:u w:val="single"/>
        </w:rPr>
        <w:t xml:space="preserve"> </w:t>
      </w:r>
      <w:r>
        <w:rPr>
          <w:rFonts w:hint="eastAsia" w:ascii="宋体" w:hAnsi="宋体"/>
          <w:color w:val="auto"/>
          <w:u w:val="single"/>
        </w:rPr>
        <w:t>否</w:t>
      </w:r>
      <w:r>
        <w:rPr>
          <w:rFonts w:ascii="宋体" w:hAnsi="宋体"/>
          <w:color w:val="auto"/>
          <w:u w:val="single"/>
        </w:rPr>
        <w:t xml:space="preserve"> </w:t>
      </w:r>
      <w:r>
        <w:rPr>
          <w:rFonts w:hint="eastAsia" w:ascii="宋体" w:hAnsi="宋体"/>
          <w:color w:val="auto"/>
        </w:rPr>
        <w:t>。</w:t>
      </w:r>
    </w:p>
    <w:p w14:paraId="30D6AE88">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hint="eastAsia" w:ascii="宋体" w:hAnsi="宋体"/>
          <w:b/>
          <w:bCs/>
          <w:color w:val="auto"/>
          <w:u w:val="single"/>
        </w:rPr>
      </w:pPr>
      <w:r>
        <w:rPr>
          <w:rFonts w:hint="eastAsia" w:ascii="宋体" w:hAnsi="宋体"/>
          <w:color w:val="auto"/>
        </w:rPr>
        <w:t>1</w:t>
      </w:r>
      <w:r>
        <w:rPr>
          <w:rFonts w:ascii="宋体" w:hAnsi="宋体"/>
          <w:color w:val="auto"/>
        </w:rPr>
        <w:t xml:space="preserve">3.8.3 </w:t>
      </w:r>
      <w:r>
        <w:rPr>
          <w:rFonts w:hint="eastAsia" w:ascii="宋体" w:hAnsi="宋体"/>
          <w:color w:val="auto"/>
        </w:rPr>
        <w:t>关于采用其他方式调整合同价款的约定：</w:t>
      </w:r>
      <w:r>
        <w:rPr>
          <w:rFonts w:hint="eastAsia" w:ascii="宋体" w:hAnsi="宋体"/>
          <w:b/>
          <w:bCs/>
          <w:color w:val="auto"/>
          <w:u w:val="single"/>
        </w:rPr>
        <w:t>在工程建设过程中钢材、混凝土、砂石料、砌筑材料、管（钢）材、水泥、燃油、电线电缆、沥青制品施工材料价格信息单价涨、跌超出合同签订当月其对应价格信息单价的±5%时，对超出部分费用据实进行调整。</w:t>
      </w:r>
    </w:p>
    <w:p w14:paraId="18329D38">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hint="eastAsia" w:ascii="宋体" w:hAnsi="宋体"/>
          <w:color w:val="auto"/>
        </w:rPr>
      </w:pPr>
      <w:bookmarkStart w:id="213" w:name="_Toc85451971"/>
      <w:r>
        <w:rPr>
          <w:rFonts w:hint="eastAsia" w:ascii="宋体" w:hAnsi="宋体"/>
          <w:color w:val="auto"/>
        </w:rPr>
        <w:t>第14条 合同价格与支付</w:t>
      </w:r>
      <w:bookmarkEnd w:id="213"/>
    </w:p>
    <w:p w14:paraId="4EE85AEF">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14.1 </w:t>
      </w:r>
      <w:r>
        <w:rPr>
          <w:rFonts w:hint="eastAsia" w:ascii="宋体" w:hAnsi="宋体"/>
          <w:color w:val="auto"/>
        </w:rPr>
        <w:t>合同价格形式</w:t>
      </w:r>
    </w:p>
    <w:p w14:paraId="774B33F1">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1</w:t>
      </w:r>
      <w:r>
        <w:rPr>
          <w:rFonts w:ascii="宋体" w:hAnsi="宋体"/>
          <w:color w:val="auto"/>
        </w:rPr>
        <w:t xml:space="preserve">4.1.1 </w:t>
      </w:r>
      <w:r>
        <w:rPr>
          <w:rFonts w:hint="eastAsia" w:ascii="宋体" w:hAnsi="宋体"/>
          <w:color w:val="auto"/>
        </w:rPr>
        <w:t>关于合同价格形式的约定：</w:t>
      </w:r>
      <w:r>
        <w:rPr>
          <w:rFonts w:hint="eastAsia" w:ascii="宋体" w:hAnsi="宋体"/>
          <w:color w:val="auto"/>
          <w:u w:val="single"/>
        </w:rPr>
        <w:t xml:space="preserve"> </w:t>
      </w:r>
      <w:r>
        <w:rPr>
          <w:rFonts w:ascii="宋体" w:hAnsi="宋体"/>
          <w:color w:val="auto"/>
          <w:u w:val="single"/>
        </w:rPr>
        <w:t xml:space="preserve">/ </w:t>
      </w:r>
      <w:r>
        <w:rPr>
          <w:rFonts w:hint="eastAsia" w:ascii="宋体" w:hAnsi="宋体"/>
          <w:color w:val="auto"/>
        </w:rPr>
        <w:t>。</w:t>
      </w:r>
    </w:p>
    <w:p w14:paraId="737D22B3">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1</w:t>
      </w:r>
      <w:r>
        <w:rPr>
          <w:rFonts w:ascii="宋体" w:hAnsi="宋体"/>
          <w:color w:val="auto"/>
        </w:rPr>
        <w:t xml:space="preserve">4.1.2 </w:t>
      </w:r>
      <w:r>
        <w:rPr>
          <w:rFonts w:hint="eastAsia" w:ascii="宋体" w:hAnsi="宋体"/>
          <w:color w:val="auto"/>
        </w:rPr>
        <w:t>关于合同价格调整的约定：</w:t>
      </w:r>
      <w:r>
        <w:rPr>
          <w:rFonts w:hint="eastAsia" w:ascii="宋体" w:hAnsi="宋体"/>
          <w:color w:val="auto"/>
          <w:u w:val="single"/>
        </w:rPr>
        <w:t>按通用合同条件执行</w:t>
      </w:r>
      <w:r>
        <w:rPr>
          <w:rFonts w:hint="eastAsia" w:ascii="宋体" w:hAnsi="宋体"/>
          <w:color w:val="auto"/>
        </w:rPr>
        <w:t>。</w:t>
      </w:r>
    </w:p>
    <w:p w14:paraId="3A6643F1">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1</w:t>
      </w:r>
      <w:r>
        <w:rPr>
          <w:rFonts w:ascii="宋体" w:hAnsi="宋体"/>
          <w:color w:val="auto"/>
        </w:rPr>
        <w:t xml:space="preserve">4.1.3 </w:t>
      </w:r>
      <w:r>
        <w:rPr>
          <w:rFonts w:hint="eastAsia" w:ascii="宋体" w:hAnsi="宋体"/>
          <w:color w:val="auto"/>
        </w:rPr>
        <w:t>按实际完成的工程量支付工程价款的计量方法、估价方法：</w:t>
      </w:r>
    </w:p>
    <w:p w14:paraId="501EE488">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u w:val="single"/>
        </w:rPr>
      </w:pPr>
      <w:r>
        <w:rPr>
          <w:rFonts w:hint="eastAsia" w:ascii="宋体" w:hAnsi="宋体"/>
          <w:color w:val="auto"/>
          <w:u w:val="single"/>
        </w:rPr>
        <w:t>（一）结算原则：</w:t>
      </w:r>
    </w:p>
    <w:p w14:paraId="43104FE4">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u w:val="single"/>
        </w:rPr>
      </w:pPr>
      <w:r>
        <w:rPr>
          <w:rFonts w:hint="eastAsia" w:ascii="宋体" w:hAnsi="宋体"/>
          <w:color w:val="auto"/>
          <w:u w:val="single"/>
        </w:rPr>
        <w:t>（1）设计费的结算：最终结算以镇雄县财政局投资评审中心全过程跟踪评审后，以最终评审价×中标费率。</w:t>
      </w:r>
    </w:p>
    <w:p w14:paraId="049CDC12">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u w:val="single"/>
        </w:rPr>
      </w:pPr>
      <w:r>
        <w:rPr>
          <w:rFonts w:hint="eastAsia" w:ascii="宋体" w:hAnsi="宋体"/>
          <w:color w:val="auto"/>
          <w:u w:val="single"/>
        </w:rPr>
        <w:t>（</w:t>
      </w:r>
      <w:r>
        <w:rPr>
          <w:rFonts w:hint="eastAsia" w:ascii="宋体" w:hAnsi="宋体"/>
          <w:color w:val="auto"/>
          <w:u w:val="single"/>
          <w:lang w:val="en-US" w:eastAsia="zh-CN"/>
        </w:rPr>
        <w:t>2</w:t>
      </w:r>
      <w:r>
        <w:rPr>
          <w:rFonts w:hint="eastAsia" w:ascii="宋体" w:hAnsi="宋体"/>
          <w:color w:val="auto"/>
          <w:u w:val="single"/>
        </w:rPr>
        <w:t>）</w:t>
      </w:r>
      <w:r>
        <w:rPr>
          <w:rFonts w:hint="eastAsia" w:ascii="宋体" w:hAnsi="宋体"/>
          <w:color w:val="auto"/>
          <w:u w:val="single"/>
          <w:lang w:val="en-US" w:eastAsia="zh-CN"/>
        </w:rPr>
        <w:t>勘察</w:t>
      </w:r>
      <w:r>
        <w:rPr>
          <w:rFonts w:hint="eastAsia" w:ascii="宋体" w:hAnsi="宋体"/>
          <w:color w:val="auto"/>
          <w:u w:val="single"/>
        </w:rPr>
        <w:t>费的结算：</w:t>
      </w:r>
      <w:r>
        <w:rPr>
          <w:rFonts w:hint="eastAsia" w:ascii="宋体" w:hAnsi="宋体"/>
          <w:color w:val="auto"/>
          <w:u w:val="single"/>
          <w:lang w:val="en-US" w:eastAsia="zh-CN"/>
        </w:rPr>
        <w:t xml:space="preserve">                    </w:t>
      </w:r>
      <w:r>
        <w:rPr>
          <w:rFonts w:hint="eastAsia" w:ascii="宋体" w:hAnsi="宋体"/>
          <w:color w:val="auto"/>
          <w:u w:val="single"/>
        </w:rPr>
        <w:t>。</w:t>
      </w:r>
    </w:p>
    <w:p w14:paraId="6F797382">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u w:val="single"/>
        </w:rPr>
      </w:pPr>
      <w:r>
        <w:rPr>
          <w:rFonts w:hint="eastAsia" w:ascii="宋体" w:hAnsi="宋体"/>
          <w:color w:val="auto"/>
          <w:u w:val="single"/>
        </w:rPr>
        <w:t>（</w:t>
      </w:r>
      <w:r>
        <w:rPr>
          <w:rFonts w:hint="eastAsia" w:ascii="宋体" w:hAnsi="宋体"/>
          <w:color w:val="auto"/>
          <w:u w:val="single"/>
          <w:lang w:val="en-US" w:eastAsia="zh-CN"/>
        </w:rPr>
        <w:t>3</w:t>
      </w:r>
      <w:r>
        <w:rPr>
          <w:rFonts w:hint="eastAsia" w:ascii="宋体" w:hAnsi="宋体"/>
          <w:color w:val="auto"/>
          <w:u w:val="single"/>
        </w:rPr>
        <w:t>）建安工程费的结算：</w:t>
      </w:r>
    </w:p>
    <w:p w14:paraId="51CA3522">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u w:val="single"/>
        </w:rPr>
      </w:pPr>
      <w:r>
        <w:rPr>
          <w:rFonts w:hint="eastAsia" w:ascii="宋体" w:hAnsi="宋体"/>
          <w:color w:val="auto"/>
          <w:u w:val="single"/>
        </w:rPr>
        <w:t>1.工程造价根据《建设工程工程量清单计价规范》（GB50500-2013）、云南省住房和城乡建设厅关于重新调整云南省建设工程造价计价依据中税金综合税率的通知（云建科函〔2019〕62号）、《云南省住房和城乡建设厅关于《云南省建设工程造价计价标准（2020版）》发布实施的通知》（云建科〔2021〕15号）及其配套文件等国家及省、市建设行政管理部门的相关规定及云南省现行计价调整文件执行。</w:t>
      </w:r>
    </w:p>
    <w:p w14:paraId="383A077B">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u w:val="single"/>
        </w:rPr>
      </w:pPr>
      <w:r>
        <w:rPr>
          <w:rFonts w:hint="eastAsia" w:ascii="宋体" w:hAnsi="宋体"/>
          <w:color w:val="auto"/>
          <w:u w:val="single"/>
        </w:rPr>
        <w:t>2.项目所有材料价格确定：承包人采购的主材、辅材、安装材料、型材等材料价格参照昭通市（合同签订当月作为计价依据）建设工程材料价格信息（镇雄县基价）并结合市场行情执行；昭通市价格信息（镇雄县基价）没有的参照昭通市价格信息（</w:t>
      </w:r>
      <w:r>
        <w:rPr>
          <w:rFonts w:hint="eastAsia" w:ascii="宋体" w:hAnsi="宋体"/>
          <w:color w:val="auto"/>
          <w:u w:val="single"/>
          <w:lang w:eastAsia="zh-CN"/>
        </w:rPr>
        <w:t>镇雄县基价</w:t>
      </w:r>
      <w:r>
        <w:rPr>
          <w:rFonts w:hint="eastAsia" w:ascii="宋体" w:hAnsi="宋体"/>
          <w:color w:val="auto"/>
          <w:u w:val="single"/>
        </w:rPr>
        <w:t>）执行；昭通市价格信息（</w:t>
      </w:r>
      <w:r>
        <w:rPr>
          <w:rFonts w:hint="eastAsia" w:ascii="宋体" w:hAnsi="宋体"/>
          <w:color w:val="auto"/>
          <w:u w:val="single"/>
          <w:lang w:eastAsia="zh-CN"/>
        </w:rPr>
        <w:t>镇雄县基价</w:t>
      </w:r>
      <w:r>
        <w:rPr>
          <w:rFonts w:hint="eastAsia" w:ascii="宋体" w:hAnsi="宋体"/>
          <w:color w:val="auto"/>
          <w:u w:val="single"/>
        </w:rPr>
        <w:t>）没有的参照云南省价格信息（云南省基价）执行，参照镇雄县基价不计运费和采保费，参照除镇雄县基价外其他地区基价计运费及采保费，以上价格信息没有的，建设前由建设、施工、监理、造价咨询等单位共同询价书面确定后再行实施。</w:t>
      </w:r>
    </w:p>
    <w:p w14:paraId="6A6E0236">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u w:val="single"/>
        </w:rPr>
      </w:pPr>
      <w:r>
        <w:rPr>
          <w:rFonts w:hint="eastAsia" w:ascii="宋体" w:hAnsi="宋体"/>
          <w:color w:val="auto"/>
          <w:u w:val="single"/>
        </w:rPr>
        <w:t>3.工程总承包单位依据建设单位确认的施工图，编制本项目工程量清单及施工图预算，经镇雄县财政局投资评审中心全过程跟踪评审以最终评审价作为竣工结算和工程款支付依据。</w:t>
      </w:r>
    </w:p>
    <w:p w14:paraId="034AC725">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u w:val="single"/>
        </w:rPr>
      </w:pPr>
      <w:r>
        <w:rPr>
          <w:rFonts w:hint="eastAsia" w:ascii="宋体" w:hAnsi="宋体"/>
          <w:color w:val="auto"/>
          <w:u w:val="single"/>
        </w:rPr>
        <w:t>4.工程完工后，由镇雄县财政局投资评审中心审定竣工结算后，按工程总承包单位中标优惠后费率作为最终的工程竣工结算价。即建安工程费最终结算价=（经审定后的建安工程费用-不可竞争费用）×中标优惠后费率+不可竞争费用，其中不可竞争</w:t>
      </w:r>
      <w:r>
        <w:rPr>
          <w:rFonts w:hint="eastAsia" w:ascii="宋体" w:hAnsi="宋体"/>
          <w:color w:val="auto"/>
          <w:u w:val="single"/>
          <w:lang w:eastAsia="zh-CN"/>
        </w:rPr>
        <w:t>费用</w:t>
      </w:r>
      <w:r>
        <w:rPr>
          <w:rFonts w:hint="eastAsia" w:ascii="宋体" w:hAnsi="宋体"/>
          <w:color w:val="auto"/>
          <w:u w:val="single"/>
        </w:rPr>
        <w:t xml:space="preserve">包括安全文明施工费、规费、税金。 </w:t>
      </w:r>
    </w:p>
    <w:p w14:paraId="0CA3E2BB">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u w:val="single"/>
        </w:rPr>
      </w:pPr>
      <w:r>
        <w:rPr>
          <w:rFonts w:hint="eastAsia" w:ascii="宋体" w:hAnsi="宋体"/>
          <w:color w:val="auto"/>
          <w:u w:val="single"/>
        </w:rPr>
        <w:t>（二）付款方式</w:t>
      </w:r>
    </w:p>
    <w:p w14:paraId="111C47FE">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u w:val="single"/>
        </w:rPr>
      </w:pPr>
      <w:r>
        <w:rPr>
          <w:rFonts w:hint="eastAsia" w:ascii="宋体" w:hAnsi="宋体"/>
          <w:color w:val="auto"/>
          <w:u w:val="single"/>
        </w:rPr>
        <w:t>（1）设计费： 合同签订时约定 。</w:t>
      </w:r>
    </w:p>
    <w:p w14:paraId="2ABDB494">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u w:val="single"/>
        </w:rPr>
      </w:pPr>
      <w:r>
        <w:rPr>
          <w:rFonts w:hint="eastAsia" w:ascii="宋体" w:hAnsi="宋体"/>
          <w:color w:val="auto"/>
          <w:u w:val="single"/>
        </w:rPr>
        <w:t>（</w:t>
      </w:r>
      <w:r>
        <w:rPr>
          <w:rFonts w:hint="eastAsia" w:ascii="宋体" w:hAnsi="宋体"/>
          <w:color w:val="auto"/>
          <w:u w:val="single"/>
          <w:lang w:val="en-US" w:eastAsia="zh-CN"/>
        </w:rPr>
        <w:t>2</w:t>
      </w:r>
      <w:r>
        <w:rPr>
          <w:rFonts w:hint="eastAsia" w:ascii="宋体" w:hAnsi="宋体"/>
          <w:color w:val="auto"/>
          <w:u w:val="single"/>
        </w:rPr>
        <w:t>）</w:t>
      </w:r>
      <w:r>
        <w:rPr>
          <w:rFonts w:hint="eastAsia" w:ascii="宋体" w:hAnsi="宋体"/>
          <w:color w:val="auto"/>
          <w:u w:val="single"/>
          <w:lang w:val="en-US" w:eastAsia="zh-CN"/>
        </w:rPr>
        <w:t>勘察</w:t>
      </w:r>
      <w:r>
        <w:rPr>
          <w:rFonts w:hint="eastAsia" w:ascii="宋体" w:hAnsi="宋体"/>
          <w:color w:val="auto"/>
          <w:u w:val="single"/>
        </w:rPr>
        <w:t>费： 合同签订时约定 。</w:t>
      </w:r>
    </w:p>
    <w:p w14:paraId="49525637">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u w:val="single"/>
        </w:rPr>
      </w:pPr>
      <w:r>
        <w:rPr>
          <w:rFonts w:hint="eastAsia" w:ascii="宋体" w:hAnsi="宋体"/>
          <w:color w:val="auto"/>
          <w:u w:val="single"/>
        </w:rPr>
        <w:t>（</w:t>
      </w:r>
      <w:r>
        <w:rPr>
          <w:rFonts w:hint="eastAsia" w:ascii="宋体" w:hAnsi="宋体"/>
          <w:color w:val="auto"/>
          <w:u w:val="single"/>
          <w:lang w:val="en-US" w:eastAsia="zh-CN"/>
        </w:rPr>
        <w:t>3</w:t>
      </w:r>
      <w:r>
        <w:rPr>
          <w:rFonts w:hint="eastAsia" w:ascii="宋体" w:hAnsi="宋体"/>
          <w:color w:val="auto"/>
          <w:u w:val="single"/>
        </w:rPr>
        <w:t>）建安工程费： 电汇或银行转账  。</w:t>
      </w:r>
    </w:p>
    <w:p w14:paraId="0FC42547">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u w:val="single"/>
        </w:rPr>
      </w:pPr>
      <w:r>
        <w:rPr>
          <w:rFonts w:hint="eastAsia" w:ascii="宋体" w:hAnsi="宋体"/>
          <w:color w:val="auto"/>
          <w:u w:val="single"/>
        </w:rPr>
        <w:t>（</w:t>
      </w:r>
      <w:r>
        <w:rPr>
          <w:rFonts w:hint="eastAsia" w:ascii="宋体" w:hAnsi="宋体"/>
          <w:color w:val="auto"/>
          <w:u w:val="single"/>
          <w:lang w:val="en-US" w:eastAsia="zh-CN"/>
        </w:rPr>
        <w:t>4</w:t>
      </w:r>
      <w:r>
        <w:rPr>
          <w:rFonts w:hint="eastAsia" w:ascii="宋体" w:hAnsi="宋体"/>
          <w:color w:val="auto"/>
          <w:u w:val="single"/>
        </w:rPr>
        <w:t>）工程总承包单位按建设单位要求提供相关支付依据，按照实际工程总承包单位已</w:t>
      </w:r>
      <w:r>
        <w:rPr>
          <w:rFonts w:hint="eastAsia" w:ascii="宋体" w:hAnsi="宋体"/>
          <w:color w:val="auto"/>
          <w:u w:val="single"/>
          <w:lang w:eastAsia="zh-CN"/>
        </w:rPr>
        <w:t>完成</w:t>
      </w:r>
      <w:r>
        <w:rPr>
          <w:rFonts w:hint="eastAsia" w:ascii="宋体" w:hAnsi="宋体"/>
          <w:color w:val="auto"/>
          <w:u w:val="single"/>
        </w:rPr>
        <w:t>工程量进行支付。</w:t>
      </w:r>
    </w:p>
    <w:p w14:paraId="274F00CF">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14.2 </w:t>
      </w:r>
      <w:r>
        <w:rPr>
          <w:rFonts w:hint="eastAsia" w:ascii="宋体" w:hAnsi="宋体"/>
          <w:color w:val="auto"/>
        </w:rPr>
        <w:t>预付款</w:t>
      </w:r>
    </w:p>
    <w:p w14:paraId="6D6D200A">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14.2.1 </w:t>
      </w:r>
      <w:r>
        <w:rPr>
          <w:rFonts w:hint="eastAsia" w:ascii="宋体" w:hAnsi="宋体"/>
          <w:color w:val="auto"/>
        </w:rPr>
        <w:t>预付款支付</w:t>
      </w:r>
    </w:p>
    <w:p w14:paraId="7E2F174F">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预付款的金额或比例为：施工预付款的金额为建安工程费估算金额的</w:t>
      </w:r>
      <w:r>
        <w:rPr>
          <w:rFonts w:hint="eastAsia" w:ascii="宋体" w:hAnsi="宋体"/>
          <w:color w:val="auto"/>
          <w:u w:val="single"/>
          <w:lang w:val="en-US" w:eastAsia="zh-CN"/>
        </w:rPr>
        <w:t xml:space="preserve">  </w:t>
      </w:r>
      <w:r>
        <w:rPr>
          <w:rFonts w:hint="eastAsia" w:ascii="宋体" w:hAnsi="宋体"/>
          <w:color w:val="auto"/>
          <w:u w:val="single"/>
        </w:rPr>
        <w:t>%</w:t>
      </w:r>
      <w:r>
        <w:rPr>
          <w:rFonts w:hint="eastAsia" w:ascii="宋体" w:hAnsi="宋体"/>
          <w:color w:val="auto"/>
        </w:rPr>
        <w:t>，预付款支付期限：相应设备进场并正常开工后10个工作日内支付，并作为工程进度款。</w:t>
      </w:r>
    </w:p>
    <w:p w14:paraId="3C5818FF">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预付款扣回的方式：</w:t>
      </w:r>
      <w:r>
        <w:rPr>
          <w:rFonts w:hint="eastAsia" w:ascii="宋体" w:hAnsi="宋体"/>
          <w:color w:val="auto"/>
          <w:u w:val="single"/>
        </w:rPr>
        <w:t xml:space="preserve"> /</w:t>
      </w:r>
      <w:r>
        <w:rPr>
          <w:rFonts w:ascii="宋体" w:hAnsi="宋体"/>
          <w:color w:val="auto"/>
          <w:u w:val="single"/>
        </w:rPr>
        <w:t xml:space="preserve"> </w:t>
      </w:r>
      <w:r>
        <w:rPr>
          <w:rFonts w:hint="eastAsia" w:ascii="宋体" w:hAnsi="宋体"/>
          <w:color w:val="auto"/>
        </w:rPr>
        <w:t>。</w:t>
      </w:r>
    </w:p>
    <w:p w14:paraId="3F817597">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1</w:t>
      </w:r>
      <w:r>
        <w:rPr>
          <w:rFonts w:ascii="宋体" w:hAnsi="宋体"/>
          <w:color w:val="auto"/>
        </w:rPr>
        <w:t>4.2.2预付款担保</w:t>
      </w:r>
    </w:p>
    <w:p w14:paraId="1946CA53">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提供预付款担保期限：</w:t>
      </w:r>
      <w:r>
        <w:rPr>
          <w:rFonts w:ascii="宋体" w:hAnsi="宋体"/>
          <w:color w:val="auto"/>
          <w:u w:val="single"/>
        </w:rPr>
        <w:t xml:space="preserve"> / </w:t>
      </w:r>
      <w:r>
        <w:rPr>
          <w:rFonts w:hint="eastAsia" w:ascii="宋体" w:hAnsi="宋体"/>
          <w:color w:val="auto"/>
        </w:rPr>
        <w:t>。</w:t>
      </w:r>
    </w:p>
    <w:p w14:paraId="3D06ADB1">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预付款担保形式：</w:t>
      </w:r>
      <w:r>
        <w:rPr>
          <w:rFonts w:hint="eastAsia" w:ascii="宋体" w:hAnsi="宋体"/>
          <w:color w:val="auto"/>
          <w:u w:val="single"/>
        </w:rPr>
        <w:t xml:space="preserve"> </w:t>
      </w:r>
      <w:r>
        <w:rPr>
          <w:rFonts w:ascii="宋体" w:hAnsi="宋体"/>
          <w:color w:val="auto"/>
          <w:u w:val="single"/>
        </w:rPr>
        <w:t xml:space="preserve">/ </w:t>
      </w:r>
      <w:r>
        <w:rPr>
          <w:rFonts w:hint="eastAsia" w:ascii="宋体" w:hAnsi="宋体"/>
          <w:color w:val="auto"/>
        </w:rPr>
        <w:t>。</w:t>
      </w:r>
    </w:p>
    <w:p w14:paraId="7B9C21ED">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14.3 </w:t>
      </w:r>
      <w:r>
        <w:rPr>
          <w:rFonts w:hint="eastAsia" w:ascii="宋体" w:hAnsi="宋体"/>
          <w:color w:val="auto"/>
        </w:rPr>
        <w:t>工程进度款</w:t>
      </w:r>
    </w:p>
    <w:p w14:paraId="43069B28">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14.3.1 </w:t>
      </w:r>
      <w:r>
        <w:rPr>
          <w:rFonts w:hint="eastAsia" w:ascii="宋体" w:hAnsi="宋体"/>
          <w:color w:val="auto"/>
        </w:rPr>
        <w:t>工程进度付款申请</w:t>
      </w:r>
    </w:p>
    <w:p w14:paraId="209DBDA2">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工程进度付款申请方式：</w:t>
      </w:r>
      <w:r>
        <w:rPr>
          <w:rFonts w:ascii="宋体" w:hAnsi="宋体"/>
          <w:color w:val="auto"/>
          <w:u w:val="single"/>
        </w:rPr>
        <w:t xml:space="preserve"> </w:t>
      </w:r>
      <w:r>
        <w:rPr>
          <w:rFonts w:hint="eastAsia" w:ascii="宋体" w:hAnsi="宋体"/>
          <w:color w:val="auto"/>
          <w:u w:val="single"/>
        </w:rPr>
        <w:t>双方协商确定</w:t>
      </w:r>
      <w:r>
        <w:rPr>
          <w:rFonts w:ascii="宋体" w:hAnsi="宋体"/>
          <w:color w:val="auto"/>
          <w:u w:val="single"/>
        </w:rPr>
        <w:t xml:space="preserve"> </w:t>
      </w:r>
      <w:r>
        <w:rPr>
          <w:rFonts w:hint="eastAsia" w:ascii="宋体" w:hAnsi="宋体"/>
          <w:color w:val="auto"/>
        </w:rPr>
        <w:t>。</w:t>
      </w:r>
    </w:p>
    <w:p w14:paraId="1BB0A361">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承包人提交进度付款申请单的格式、内容、份数和时间：</w:t>
      </w:r>
      <w:r>
        <w:rPr>
          <w:rFonts w:hint="eastAsia" w:ascii="宋体" w:hAnsi="宋体"/>
          <w:color w:val="auto"/>
          <w:u w:val="single"/>
        </w:rPr>
        <w:t>每月2</w:t>
      </w:r>
      <w:r>
        <w:rPr>
          <w:rFonts w:ascii="宋体" w:hAnsi="宋体"/>
          <w:color w:val="auto"/>
          <w:u w:val="single"/>
        </w:rPr>
        <w:t>5</w:t>
      </w:r>
      <w:r>
        <w:rPr>
          <w:rFonts w:hint="eastAsia" w:ascii="宋体" w:hAnsi="宋体"/>
          <w:color w:val="auto"/>
          <w:u w:val="single"/>
        </w:rPr>
        <w:t>日前，</w:t>
      </w:r>
      <w:r>
        <w:rPr>
          <w:rFonts w:hint="eastAsia" w:ascii="宋体" w:hAnsi="宋体"/>
          <w:color w:val="auto"/>
          <w:u w:val="single"/>
          <w:lang w:eastAsia="zh-CN"/>
        </w:rPr>
        <w:t>其他</w:t>
      </w:r>
      <w:r>
        <w:rPr>
          <w:rFonts w:hint="eastAsia" w:ascii="宋体" w:hAnsi="宋体"/>
          <w:color w:val="auto"/>
          <w:u w:val="single"/>
        </w:rPr>
        <w:t>按照通用条款或双方协商确定</w:t>
      </w:r>
      <w:r>
        <w:rPr>
          <w:rFonts w:hint="eastAsia" w:ascii="宋体" w:hAnsi="宋体"/>
          <w:color w:val="auto"/>
        </w:rPr>
        <w:t>。</w:t>
      </w:r>
    </w:p>
    <w:p w14:paraId="032317AD">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进度付款申请单应包括的内容：</w:t>
      </w:r>
      <w:r>
        <w:rPr>
          <w:rFonts w:ascii="宋体" w:hAnsi="宋体"/>
          <w:color w:val="auto"/>
          <w:u w:val="single"/>
        </w:rPr>
        <w:t xml:space="preserve"> </w:t>
      </w:r>
      <w:r>
        <w:rPr>
          <w:rFonts w:hint="eastAsia" w:ascii="宋体" w:hAnsi="宋体"/>
          <w:color w:val="auto"/>
          <w:u w:val="single"/>
        </w:rPr>
        <w:t>双方协商确定</w:t>
      </w:r>
      <w:r>
        <w:rPr>
          <w:rFonts w:ascii="宋体" w:hAnsi="宋体"/>
          <w:color w:val="auto"/>
          <w:u w:val="single"/>
        </w:rPr>
        <w:t xml:space="preserve"> </w:t>
      </w:r>
      <w:r>
        <w:rPr>
          <w:rFonts w:hint="eastAsia" w:ascii="宋体" w:hAnsi="宋体"/>
          <w:color w:val="auto"/>
        </w:rPr>
        <w:t>。</w:t>
      </w:r>
    </w:p>
    <w:p w14:paraId="6C39004B">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14.3.2 </w:t>
      </w:r>
      <w:r>
        <w:rPr>
          <w:rFonts w:hint="eastAsia" w:ascii="宋体" w:hAnsi="宋体"/>
          <w:color w:val="auto"/>
        </w:rPr>
        <w:t>进度付款审核和支付</w:t>
      </w:r>
    </w:p>
    <w:p w14:paraId="4CA8E624">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contextualSpacing/>
        <w:textAlignment w:val="auto"/>
        <w:rPr>
          <w:rFonts w:ascii="宋体" w:hAnsi="宋体"/>
          <w:b w:val="0"/>
          <w:bCs w:val="0"/>
          <w:color w:val="auto"/>
        </w:rPr>
      </w:pPr>
      <w:r>
        <w:rPr>
          <w:rFonts w:hint="eastAsia" w:ascii="宋体" w:hAnsi="宋体"/>
          <w:color w:val="auto"/>
        </w:rPr>
        <w:t>进度付款的审核方式和支付的约定：</w:t>
      </w:r>
      <w:r>
        <w:rPr>
          <w:rFonts w:hint="eastAsia" w:ascii="宋体" w:hAnsi="宋体"/>
          <w:b w:val="0"/>
          <w:bCs w:val="0"/>
          <w:color w:val="auto"/>
          <w:u w:val="single"/>
        </w:rPr>
        <w:t>支付方式为转账。支付条件为经承包人、现场监理及发包人三方确认，并经镇雄县财政局投资评审中心审定后方可支付。①施工单位机械、人工、材料进场支付</w:t>
      </w:r>
      <w:r>
        <w:rPr>
          <w:rFonts w:hint="eastAsia" w:ascii="宋体" w:hAnsi="宋体"/>
          <w:b w:val="0"/>
          <w:bCs w:val="0"/>
          <w:color w:val="auto"/>
          <w:u w:val="single"/>
          <w:lang w:val="en-US" w:eastAsia="zh-CN"/>
        </w:rPr>
        <w:t xml:space="preserve">  </w:t>
      </w:r>
      <w:r>
        <w:rPr>
          <w:rFonts w:hint="eastAsia" w:ascii="宋体" w:hAnsi="宋体"/>
          <w:b w:val="0"/>
          <w:bCs w:val="0"/>
          <w:color w:val="auto"/>
          <w:u w:val="single"/>
        </w:rPr>
        <w:t>%预付款，②进度款按月进度产值支付</w:t>
      </w:r>
      <w:r>
        <w:rPr>
          <w:rFonts w:hint="eastAsia" w:ascii="宋体" w:hAnsi="宋体"/>
          <w:b w:val="0"/>
          <w:bCs w:val="0"/>
          <w:color w:val="auto"/>
          <w:u w:val="single"/>
          <w:lang w:val="en-US" w:eastAsia="zh-CN"/>
        </w:rPr>
        <w:t xml:space="preserve">  </w:t>
      </w:r>
      <w:r>
        <w:rPr>
          <w:rFonts w:hint="eastAsia" w:ascii="宋体" w:hAnsi="宋体"/>
          <w:b w:val="0"/>
          <w:bCs w:val="0"/>
          <w:color w:val="auto"/>
          <w:u w:val="single"/>
        </w:rPr>
        <w:t>%，③预付款在第4期及第5期进度款支付时分两期扣完，每次扣除预付款50%，④竣工验收，镇雄县财政局投资评审中心评审结果报告出后支付至项目审核结算价款的97%，剩余3%作为质量保证金，质保期满后15日内无质量问题无息退还</w:t>
      </w:r>
      <w:r>
        <w:rPr>
          <w:rFonts w:hint="eastAsia" w:ascii="宋体" w:hAnsi="宋体"/>
          <w:b w:val="0"/>
          <w:bCs w:val="0"/>
          <w:color w:val="auto"/>
        </w:rPr>
        <w:t>。</w:t>
      </w:r>
    </w:p>
    <w:p w14:paraId="44F31157">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发包人应在进度款支付证书或临时进度款支付证书签发后的</w:t>
      </w:r>
      <w:r>
        <w:rPr>
          <w:rFonts w:hint="eastAsia" w:ascii="宋体" w:hAnsi="宋体"/>
          <w:color w:val="auto"/>
          <w:u w:val="single"/>
        </w:rPr>
        <w:t xml:space="preserve"> </w:t>
      </w:r>
      <w:r>
        <w:rPr>
          <w:rFonts w:ascii="宋体" w:hAnsi="宋体"/>
          <w:color w:val="auto"/>
          <w:u w:val="single"/>
        </w:rPr>
        <w:t xml:space="preserve">7 </w:t>
      </w:r>
      <w:r>
        <w:rPr>
          <w:rFonts w:hint="eastAsia" w:ascii="宋体" w:hAnsi="宋体"/>
          <w:color w:val="auto"/>
        </w:rPr>
        <w:t>天内完成支付，发包人逾期支付进度款的，应按照</w:t>
      </w:r>
      <w:r>
        <w:rPr>
          <w:rFonts w:hint="eastAsia" w:ascii="宋体" w:hAnsi="宋体"/>
          <w:color w:val="auto"/>
          <w:u w:val="single"/>
        </w:rPr>
        <w:t xml:space="preserve"> </w:t>
      </w:r>
      <w:r>
        <w:rPr>
          <w:rFonts w:ascii="宋体" w:hAnsi="宋体"/>
          <w:color w:val="auto"/>
          <w:u w:val="single"/>
        </w:rPr>
        <w:t xml:space="preserve"> /  </w:t>
      </w:r>
      <w:r>
        <w:rPr>
          <w:rFonts w:hint="eastAsia" w:ascii="宋体" w:hAnsi="宋体"/>
          <w:color w:val="auto"/>
        </w:rPr>
        <w:t>支付违约金。</w:t>
      </w:r>
    </w:p>
    <w:p w14:paraId="44FE0073">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14.4 </w:t>
      </w:r>
      <w:r>
        <w:rPr>
          <w:rFonts w:hint="eastAsia" w:ascii="宋体" w:hAnsi="宋体"/>
          <w:color w:val="auto"/>
        </w:rPr>
        <w:t>付款计划表</w:t>
      </w:r>
    </w:p>
    <w:p w14:paraId="0B0DA25F">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u w:val="single"/>
        </w:rPr>
      </w:pPr>
      <w:r>
        <w:rPr>
          <w:rFonts w:ascii="宋体" w:hAnsi="宋体"/>
          <w:color w:val="auto"/>
        </w:rPr>
        <w:t>14.4.1 付款计划表的编制要求</w:t>
      </w:r>
      <w:r>
        <w:rPr>
          <w:rFonts w:hint="eastAsia" w:ascii="宋体" w:hAnsi="宋体"/>
          <w:color w:val="auto"/>
        </w:rPr>
        <w:t>：</w:t>
      </w:r>
      <w:r>
        <w:rPr>
          <w:rFonts w:hint="eastAsia" w:ascii="宋体" w:hAnsi="宋体"/>
          <w:color w:val="auto"/>
          <w:u w:val="single"/>
        </w:rPr>
        <w:t>按通用合同条件执行。</w:t>
      </w:r>
    </w:p>
    <w:p w14:paraId="6470D18A">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14.4.2 </w:t>
      </w:r>
      <w:r>
        <w:rPr>
          <w:rFonts w:hint="eastAsia" w:ascii="宋体" w:hAnsi="宋体"/>
          <w:color w:val="auto"/>
        </w:rPr>
        <w:t>付款计划表的编制与审批</w:t>
      </w:r>
    </w:p>
    <w:p w14:paraId="02233B52">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付款计划表的编制：</w:t>
      </w:r>
      <w:r>
        <w:rPr>
          <w:rFonts w:hint="eastAsia" w:ascii="宋体" w:hAnsi="宋体"/>
          <w:color w:val="auto"/>
          <w:u w:val="single"/>
        </w:rPr>
        <w:t>按通用合同条件执行</w:t>
      </w:r>
      <w:r>
        <w:rPr>
          <w:rFonts w:hint="eastAsia" w:ascii="宋体" w:hAnsi="宋体"/>
          <w:color w:val="auto"/>
        </w:rPr>
        <w:t>。</w:t>
      </w:r>
    </w:p>
    <w:p w14:paraId="22E84D08">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14.5 </w:t>
      </w:r>
      <w:r>
        <w:rPr>
          <w:rFonts w:hint="eastAsia" w:ascii="宋体" w:hAnsi="宋体"/>
          <w:color w:val="auto"/>
        </w:rPr>
        <w:t>竣工结算</w:t>
      </w:r>
    </w:p>
    <w:p w14:paraId="24445CB9">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14.5.1 </w:t>
      </w:r>
      <w:r>
        <w:rPr>
          <w:rFonts w:hint="eastAsia" w:ascii="宋体" w:hAnsi="宋体"/>
          <w:color w:val="auto"/>
        </w:rPr>
        <w:t>竣工结算申请</w:t>
      </w:r>
    </w:p>
    <w:p w14:paraId="6158A3BC">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承包人提交竣工结算申请的时间：</w:t>
      </w:r>
      <w:r>
        <w:rPr>
          <w:rFonts w:hint="eastAsia" w:ascii="宋体" w:hAnsi="宋体"/>
          <w:color w:val="auto"/>
          <w:u w:val="single"/>
        </w:rPr>
        <w:t>按通用合同条件执行</w:t>
      </w:r>
      <w:r>
        <w:rPr>
          <w:rFonts w:hint="eastAsia" w:ascii="宋体" w:hAnsi="宋体"/>
          <w:color w:val="auto"/>
        </w:rPr>
        <w:t>。</w:t>
      </w:r>
    </w:p>
    <w:p w14:paraId="5A92D3D3">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竣工结算申请的资料清单和份数：</w:t>
      </w:r>
      <w:r>
        <w:rPr>
          <w:rFonts w:hint="eastAsia" w:ascii="宋体" w:hAnsi="宋体"/>
          <w:color w:val="auto"/>
          <w:u w:val="single"/>
        </w:rPr>
        <w:t>按国家相关规定执行</w:t>
      </w:r>
      <w:r>
        <w:rPr>
          <w:rFonts w:hint="eastAsia" w:ascii="宋体" w:hAnsi="宋体"/>
          <w:color w:val="auto"/>
        </w:rPr>
        <w:t>。</w:t>
      </w:r>
    </w:p>
    <w:p w14:paraId="0DD80972">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竣工结算申请单的内容应包括：</w:t>
      </w:r>
      <w:r>
        <w:rPr>
          <w:rFonts w:hint="eastAsia" w:ascii="宋体" w:hAnsi="宋体"/>
          <w:color w:val="auto"/>
          <w:u w:val="single"/>
        </w:rPr>
        <w:t>按通用合同条件执行</w:t>
      </w:r>
      <w:r>
        <w:rPr>
          <w:rFonts w:hint="eastAsia" w:ascii="宋体" w:hAnsi="宋体"/>
          <w:color w:val="auto"/>
        </w:rPr>
        <w:t>。</w:t>
      </w:r>
    </w:p>
    <w:p w14:paraId="14E68115">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14.5.2 </w:t>
      </w:r>
      <w:r>
        <w:rPr>
          <w:rFonts w:hint="eastAsia" w:ascii="宋体" w:hAnsi="宋体"/>
          <w:color w:val="auto"/>
        </w:rPr>
        <w:t>竣工结算审核</w:t>
      </w:r>
    </w:p>
    <w:p w14:paraId="71C2C0B0">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发包人审批竣工付款申请单的期限：</w:t>
      </w:r>
      <w:r>
        <w:rPr>
          <w:rFonts w:hint="eastAsia" w:ascii="宋体" w:hAnsi="宋体"/>
          <w:color w:val="auto"/>
          <w:u w:val="single"/>
        </w:rPr>
        <w:t>按通用合同条件执行</w:t>
      </w:r>
      <w:r>
        <w:rPr>
          <w:rFonts w:hint="eastAsia" w:ascii="宋体" w:hAnsi="宋体"/>
          <w:color w:val="auto"/>
        </w:rPr>
        <w:t>。</w:t>
      </w:r>
    </w:p>
    <w:p w14:paraId="1B25714D">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发包人完成竣工付款的期限：</w:t>
      </w:r>
      <w:r>
        <w:rPr>
          <w:rFonts w:hint="eastAsia" w:ascii="宋体" w:hAnsi="宋体"/>
          <w:color w:val="auto"/>
          <w:u w:val="single"/>
        </w:rPr>
        <w:t>按通用合同条件执行</w:t>
      </w:r>
      <w:r>
        <w:rPr>
          <w:rFonts w:hint="eastAsia" w:ascii="宋体" w:hAnsi="宋体"/>
          <w:color w:val="auto"/>
        </w:rPr>
        <w:t>。</w:t>
      </w:r>
    </w:p>
    <w:p w14:paraId="65F5E327">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关于竣工付款证书异议部分复核的方式和程序：</w:t>
      </w:r>
      <w:r>
        <w:rPr>
          <w:rFonts w:hint="eastAsia" w:ascii="宋体" w:hAnsi="宋体"/>
          <w:color w:val="auto"/>
          <w:u w:val="single"/>
        </w:rPr>
        <w:t>按通用合同条件执行</w:t>
      </w:r>
      <w:r>
        <w:rPr>
          <w:rFonts w:hint="eastAsia" w:ascii="宋体" w:hAnsi="宋体"/>
          <w:color w:val="auto"/>
        </w:rPr>
        <w:t>。</w:t>
      </w:r>
    </w:p>
    <w:p w14:paraId="441EF525">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14.6 </w:t>
      </w:r>
      <w:r>
        <w:rPr>
          <w:rFonts w:hint="eastAsia" w:ascii="宋体" w:hAnsi="宋体"/>
          <w:color w:val="auto"/>
        </w:rPr>
        <w:t>质量保证金</w:t>
      </w:r>
    </w:p>
    <w:p w14:paraId="73766ECD">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14.6.1 </w:t>
      </w:r>
      <w:r>
        <w:rPr>
          <w:rFonts w:hint="eastAsia" w:ascii="宋体" w:hAnsi="宋体"/>
          <w:color w:val="auto"/>
        </w:rPr>
        <w:t>承包人提供质量保证金的方式</w:t>
      </w:r>
    </w:p>
    <w:p w14:paraId="41F1CA3B">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质量</w:t>
      </w:r>
      <w:r>
        <w:rPr>
          <w:rFonts w:hint="eastAsia" w:ascii="宋体" w:hAnsi="宋体"/>
          <w:color w:val="auto"/>
        </w:rPr>
        <w:t>保证金</w:t>
      </w:r>
      <w:r>
        <w:rPr>
          <w:rFonts w:ascii="宋体" w:hAnsi="宋体"/>
          <w:color w:val="auto"/>
        </w:rPr>
        <w:t>采用以下</w:t>
      </w:r>
      <w:r>
        <w:rPr>
          <w:rFonts w:hint="eastAsia" w:ascii="宋体" w:hAnsi="宋体"/>
          <w:color w:val="auto"/>
        </w:rPr>
        <w:t>第</w:t>
      </w:r>
      <w:r>
        <w:rPr>
          <w:rFonts w:ascii="宋体" w:hAnsi="宋体"/>
          <w:color w:val="auto"/>
          <w:u w:val="single"/>
        </w:rPr>
        <w:t xml:space="preserve"> </w:t>
      </w:r>
      <w:r>
        <w:rPr>
          <w:rFonts w:hint="eastAsia" w:ascii="宋体" w:hAnsi="宋体"/>
          <w:color w:val="auto"/>
          <w:u w:val="single"/>
        </w:rPr>
        <w:t>（2）</w:t>
      </w:r>
      <w:r>
        <w:rPr>
          <w:rFonts w:ascii="宋体" w:hAnsi="宋体"/>
          <w:color w:val="auto"/>
          <w:u w:val="single"/>
        </w:rPr>
        <w:t xml:space="preserve"> </w:t>
      </w:r>
      <w:r>
        <w:rPr>
          <w:rFonts w:hint="eastAsia" w:ascii="宋体" w:hAnsi="宋体"/>
          <w:color w:val="auto"/>
        </w:rPr>
        <w:t>种</w:t>
      </w:r>
      <w:r>
        <w:rPr>
          <w:rFonts w:ascii="宋体" w:hAnsi="宋体"/>
          <w:color w:val="auto"/>
        </w:rPr>
        <w:t>方式：</w:t>
      </w:r>
    </w:p>
    <w:p w14:paraId="43283F9B">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lang w:eastAsia="zh-CN"/>
        </w:rPr>
        <w:t>（1）</w:t>
      </w:r>
      <w:r>
        <w:rPr>
          <w:rFonts w:ascii="宋体" w:hAnsi="宋体"/>
          <w:color w:val="auto"/>
        </w:rPr>
        <w:t xml:space="preserve"> </w:t>
      </w:r>
      <w:r>
        <w:rPr>
          <w:rFonts w:hint="eastAsia" w:ascii="宋体" w:hAnsi="宋体"/>
          <w:color w:val="auto"/>
        </w:rPr>
        <w:t>工程质量保证担保</w:t>
      </w:r>
      <w:r>
        <w:rPr>
          <w:rFonts w:ascii="宋体" w:hAnsi="宋体"/>
          <w:color w:val="auto"/>
        </w:rPr>
        <w:t>，保证金额为：</w:t>
      </w:r>
      <w:r>
        <w:rPr>
          <w:rFonts w:ascii="宋体" w:hAnsi="宋体"/>
          <w:color w:val="auto"/>
          <w:u w:val="single"/>
        </w:rPr>
        <w:t xml:space="preserve">        </w:t>
      </w:r>
      <w:r>
        <w:rPr>
          <w:rFonts w:hint="eastAsia" w:ascii="宋体" w:hAnsi="宋体"/>
          <w:color w:val="auto"/>
        </w:rPr>
        <w:t>；</w:t>
      </w:r>
    </w:p>
    <w:p w14:paraId="5BA36968">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lang w:eastAsia="zh-CN"/>
        </w:rPr>
        <w:t>（2）</w:t>
      </w:r>
      <w:r>
        <w:rPr>
          <w:rFonts w:ascii="宋体" w:hAnsi="宋体"/>
          <w:color w:val="auto"/>
        </w:rPr>
        <w:t xml:space="preserve"> </w:t>
      </w:r>
      <w:r>
        <w:rPr>
          <w:rFonts w:ascii="宋体" w:hAnsi="宋体"/>
          <w:color w:val="auto"/>
          <w:u w:val="single"/>
        </w:rPr>
        <w:t xml:space="preserve">  3  </w:t>
      </w:r>
      <w:r>
        <w:rPr>
          <w:rFonts w:ascii="宋体" w:hAnsi="宋体"/>
          <w:color w:val="auto"/>
        </w:rPr>
        <w:t>%的工程款；</w:t>
      </w:r>
    </w:p>
    <w:p w14:paraId="06AADA16">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lang w:eastAsia="zh-CN"/>
        </w:rPr>
        <w:t>（3）</w:t>
      </w:r>
      <w:r>
        <w:rPr>
          <w:rFonts w:ascii="宋体" w:hAnsi="宋体"/>
          <w:color w:val="auto"/>
        </w:rPr>
        <w:t xml:space="preserve"> </w:t>
      </w:r>
      <w:r>
        <w:rPr>
          <w:rFonts w:hint="eastAsia" w:ascii="宋体" w:hAnsi="宋体"/>
          <w:color w:val="auto"/>
        </w:rPr>
        <w:t>其他方式：</w:t>
      </w:r>
      <w:r>
        <w:rPr>
          <w:rFonts w:ascii="宋体" w:hAnsi="宋体"/>
          <w:color w:val="auto"/>
          <w:u w:val="single"/>
        </w:rPr>
        <w:t xml:space="preserve"> / </w:t>
      </w:r>
      <w:r>
        <w:rPr>
          <w:rFonts w:hint="eastAsia" w:ascii="宋体" w:hAnsi="宋体"/>
          <w:color w:val="auto"/>
        </w:rPr>
        <w:t>。</w:t>
      </w:r>
    </w:p>
    <w:p w14:paraId="3A3AFA23">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14.6.2 </w:t>
      </w:r>
      <w:r>
        <w:rPr>
          <w:rFonts w:hint="eastAsia" w:ascii="宋体" w:hAnsi="宋体"/>
          <w:color w:val="auto"/>
        </w:rPr>
        <w:t>质量保证金的预留</w:t>
      </w:r>
    </w:p>
    <w:p w14:paraId="071D8820">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质量</w:t>
      </w:r>
      <w:r>
        <w:rPr>
          <w:rFonts w:hint="eastAsia" w:ascii="宋体" w:hAnsi="宋体"/>
          <w:color w:val="auto"/>
        </w:rPr>
        <w:t>保证金</w:t>
      </w:r>
      <w:r>
        <w:rPr>
          <w:rFonts w:ascii="宋体" w:hAnsi="宋体"/>
          <w:color w:val="auto"/>
        </w:rPr>
        <w:t>的预留采取以下第</w:t>
      </w:r>
      <w:r>
        <w:rPr>
          <w:rFonts w:ascii="宋体" w:hAnsi="宋体"/>
          <w:color w:val="auto"/>
          <w:u w:val="single"/>
        </w:rPr>
        <w:t xml:space="preserve">  </w:t>
      </w:r>
      <w:r>
        <w:rPr>
          <w:rFonts w:hint="eastAsia" w:ascii="宋体" w:hAnsi="宋体"/>
          <w:color w:val="auto"/>
          <w:u w:val="single"/>
        </w:rPr>
        <w:t>（2）</w:t>
      </w:r>
      <w:r>
        <w:rPr>
          <w:rFonts w:ascii="宋体" w:hAnsi="宋体"/>
          <w:color w:val="auto"/>
          <w:u w:val="single"/>
        </w:rPr>
        <w:t xml:space="preserve">  </w:t>
      </w:r>
      <w:r>
        <w:rPr>
          <w:rFonts w:hint="eastAsia" w:ascii="宋体" w:hAnsi="宋体"/>
          <w:color w:val="auto"/>
        </w:rPr>
        <w:t>种</w:t>
      </w:r>
      <w:r>
        <w:rPr>
          <w:rFonts w:ascii="宋体" w:hAnsi="宋体"/>
          <w:color w:val="auto"/>
        </w:rPr>
        <w:t>方式：</w:t>
      </w:r>
    </w:p>
    <w:p w14:paraId="51D74F43">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lang w:eastAsia="zh-CN"/>
        </w:rPr>
        <w:t>（1）</w:t>
      </w:r>
      <w:r>
        <w:rPr>
          <w:rFonts w:ascii="宋体" w:hAnsi="宋体"/>
          <w:color w:val="auto"/>
        </w:rPr>
        <w:t xml:space="preserve"> 在支付工程进度款时逐次预留</w:t>
      </w:r>
      <w:r>
        <w:rPr>
          <w:rFonts w:hint="eastAsia" w:ascii="宋体" w:hAnsi="宋体"/>
          <w:color w:val="auto"/>
        </w:rPr>
        <w:t>的质量保证金的比例：</w:t>
      </w:r>
      <w:r>
        <w:rPr>
          <w:rFonts w:ascii="宋体" w:hAnsi="宋体"/>
          <w:color w:val="auto"/>
          <w:u w:val="single"/>
        </w:rPr>
        <w:t xml:space="preserve">        </w:t>
      </w:r>
      <w:r>
        <w:rPr>
          <w:rFonts w:ascii="宋体" w:hAnsi="宋体"/>
          <w:color w:val="auto"/>
        </w:rPr>
        <w:t>，在此情形下，质量</w:t>
      </w:r>
      <w:r>
        <w:rPr>
          <w:rFonts w:hint="eastAsia" w:ascii="宋体" w:hAnsi="宋体"/>
          <w:color w:val="auto"/>
        </w:rPr>
        <w:t>保证金</w:t>
      </w:r>
      <w:r>
        <w:rPr>
          <w:rFonts w:ascii="宋体" w:hAnsi="宋体"/>
          <w:color w:val="auto"/>
        </w:rPr>
        <w:t>的计算基数不包括预付款的支付、扣回以及价格调整的金额；</w:t>
      </w:r>
    </w:p>
    <w:p w14:paraId="49AE7A24">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lang w:eastAsia="zh-CN"/>
        </w:rPr>
        <w:t>（2）</w:t>
      </w:r>
      <w:r>
        <w:rPr>
          <w:rFonts w:ascii="宋体" w:hAnsi="宋体"/>
          <w:color w:val="auto"/>
        </w:rPr>
        <w:t xml:space="preserve"> 工程竣工结算时一次性预留</w:t>
      </w:r>
      <w:r>
        <w:rPr>
          <w:rFonts w:hint="eastAsia" w:ascii="宋体" w:hAnsi="宋体"/>
          <w:color w:val="auto"/>
        </w:rPr>
        <w:t>专用合同条件第</w:t>
      </w:r>
      <w:r>
        <w:rPr>
          <w:rFonts w:ascii="宋体" w:hAnsi="宋体"/>
          <w:color w:val="auto"/>
        </w:rPr>
        <w:t>14.6.1</w:t>
      </w:r>
      <w:r>
        <w:rPr>
          <w:rFonts w:hint="eastAsia" w:ascii="宋体" w:hAnsi="宋体"/>
          <w:color w:val="auto"/>
        </w:rPr>
        <w:t>项第</w:t>
      </w:r>
      <w:r>
        <w:rPr>
          <w:rFonts w:hint="eastAsia" w:ascii="宋体" w:hAnsi="宋体"/>
          <w:color w:val="auto"/>
          <w:lang w:eastAsia="zh-CN"/>
        </w:rPr>
        <w:t>（</w:t>
      </w:r>
      <w:r>
        <w:rPr>
          <w:rFonts w:ascii="宋体" w:hAnsi="宋体"/>
          <w:color w:val="auto"/>
        </w:rPr>
        <w:t>2</w:t>
      </w:r>
      <w:r>
        <w:rPr>
          <w:rFonts w:hint="eastAsia" w:ascii="宋体" w:hAnsi="宋体"/>
          <w:color w:val="auto"/>
          <w:lang w:eastAsia="zh-CN"/>
        </w:rPr>
        <w:t>）</w:t>
      </w:r>
      <w:r>
        <w:rPr>
          <w:rFonts w:hint="eastAsia" w:ascii="宋体" w:hAnsi="宋体"/>
          <w:color w:val="auto"/>
        </w:rPr>
        <w:t>目约定的工程款预留比例的</w:t>
      </w:r>
      <w:r>
        <w:rPr>
          <w:rFonts w:ascii="宋体" w:hAnsi="宋体"/>
          <w:color w:val="auto"/>
        </w:rPr>
        <w:t>质量</w:t>
      </w:r>
      <w:r>
        <w:rPr>
          <w:rFonts w:hint="eastAsia" w:ascii="宋体" w:hAnsi="宋体"/>
          <w:color w:val="auto"/>
        </w:rPr>
        <w:t>保证金</w:t>
      </w:r>
      <w:r>
        <w:rPr>
          <w:rFonts w:ascii="宋体" w:hAnsi="宋体"/>
          <w:color w:val="auto"/>
        </w:rPr>
        <w:t>；</w:t>
      </w:r>
    </w:p>
    <w:p w14:paraId="1EC1FB36">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lang w:eastAsia="zh-CN"/>
        </w:rPr>
        <w:t>（3）</w:t>
      </w:r>
      <w:r>
        <w:rPr>
          <w:rFonts w:ascii="宋体" w:hAnsi="宋体"/>
          <w:color w:val="auto"/>
        </w:rPr>
        <w:t xml:space="preserve"> 其他预留方式</w:t>
      </w:r>
      <w:r>
        <w:rPr>
          <w:rFonts w:hint="eastAsia" w:ascii="宋体" w:hAnsi="宋体"/>
          <w:color w:val="auto"/>
          <w:lang w:eastAsia="zh-CN"/>
        </w:rPr>
        <w:t>：</w:t>
      </w:r>
      <w:r>
        <w:rPr>
          <w:rFonts w:hint="eastAsia" w:ascii="宋体" w:hAnsi="宋体"/>
          <w:color w:val="auto"/>
        </w:rPr>
        <w:t xml:space="preserve"> </w:t>
      </w:r>
      <w:r>
        <w:rPr>
          <w:rFonts w:ascii="宋体" w:hAnsi="宋体"/>
          <w:color w:val="auto"/>
          <w:u w:val="single"/>
        </w:rPr>
        <w:t xml:space="preserve"> / </w:t>
      </w:r>
      <w:r>
        <w:rPr>
          <w:rFonts w:hint="eastAsia" w:ascii="宋体" w:hAnsi="宋体"/>
          <w:color w:val="auto"/>
        </w:rPr>
        <w:t>。</w:t>
      </w:r>
    </w:p>
    <w:p w14:paraId="5118A10C">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关于质量保证金的补充约定：</w:t>
      </w:r>
      <w:r>
        <w:rPr>
          <w:rFonts w:ascii="宋体" w:hAnsi="宋体"/>
          <w:color w:val="auto"/>
          <w:u w:val="single"/>
        </w:rPr>
        <w:t xml:space="preserve"> / </w:t>
      </w:r>
      <w:r>
        <w:rPr>
          <w:rFonts w:hint="eastAsia" w:ascii="宋体" w:hAnsi="宋体"/>
          <w:color w:val="auto"/>
        </w:rPr>
        <w:t>。</w:t>
      </w:r>
    </w:p>
    <w:p w14:paraId="355A444B">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14.7 </w:t>
      </w:r>
      <w:r>
        <w:rPr>
          <w:rFonts w:hint="eastAsia" w:ascii="宋体" w:hAnsi="宋体"/>
          <w:color w:val="auto"/>
        </w:rPr>
        <w:t>最终结清</w:t>
      </w:r>
    </w:p>
    <w:p w14:paraId="4A35C717">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14.7.1 </w:t>
      </w:r>
      <w:r>
        <w:rPr>
          <w:rFonts w:hint="eastAsia" w:ascii="宋体" w:hAnsi="宋体"/>
          <w:color w:val="auto"/>
        </w:rPr>
        <w:t>最终结清申请单</w:t>
      </w:r>
    </w:p>
    <w:p w14:paraId="15FCAC28">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当事人双方关于最终结清申请的其他约定：</w:t>
      </w:r>
      <w:r>
        <w:rPr>
          <w:rFonts w:hint="eastAsia" w:ascii="宋体" w:hAnsi="宋体"/>
          <w:color w:val="auto"/>
          <w:u w:val="single"/>
        </w:rPr>
        <w:t>按通用合同条件执行</w:t>
      </w:r>
      <w:r>
        <w:rPr>
          <w:rFonts w:hint="eastAsia" w:ascii="宋体" w:hAnsi="宋体"/>
          <w:color w:val="auto"/>
        </w:rPr>
        <w:t>。</w:t>
      </w:r>
    </w:p>
    <w:p w14:paraId="4B333286">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14.7.2 </w:t>
      </w:r>
      <w:r>
        <w:rPr>
          <w:rFonts w:hint="eastAsia" w:ascii="宋体" w:hAnsi="宋体"/>
          <w:color w:val="auto"/>
        </w:rPr>
        <w:t>最终结清证书和支付</w:t>
      </w:r>
    </w:p>
    <w:p w14:paraId="763E27A3">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当事人双方关于最终结清支付的其他约定：</w:t>
      </w:r>
      <w:r>
        <w:rPr>
          <w:rFonts w:hint="eastAsia" w:ascii="宋体" w:hAnsi="宋体"/>
          <w:color w:val="auto"/>
          <w:u w:val="single"/>
        </w:rPr>
        <w:t>按通用合同条件执行</w:t>
      </w:r>
      <w:r>
        <w:rPr>
          <w:rFonts w:hint="eastAsia" w:ascii="宋体" w:hAnsi="宋体"/>
          <w:color w:val="auto"/>
        </w:rPr>
        <w:t>。</w:t>
      </w:r>
    </w:p>
    <w:p w14:paraId="08F46E8A">
      <w:pPr>
        <w:keepNext w:val="0"/>
        <w:keepLines w:val="0"/>
        <w:pageBreakBefore w:val="0"/>
        <w:widowControl/>
        <w:tabs>
          <w:tab w:val="left" w:pos="993"/>
        </w:tabs>
        <w:wordWrap/>
        <w:overflowPunct/>
        <w:topLinePunct w:val="0"/>
        <w:autoSpaceDE/>
        <w:autoSpaceDN/>
        <w:bidi w:val="0"/>
        <w:adjustRightInd w:val="0"/>
        <w:snapToGrid w:val="0"/>
        <w:spacing w:line="360" w:lineRule="exact"/>
        <w:contextualSpacing/>
        <w:textAlignment w:val="auto"/>
        <w:outlineLvl w:val="2"/>
        <w:rPr>
          <w:rFonts w:ascii="宋体" w:hAnsi="宋体" w:cs="Times"/>
          <w:bCs/>
          <w:color w:val="auto"/>
          <w:kern w:val="0"/>
        </w:rPr>
      </w:pPr>
      <w:bookmarkStart w:id="214" w:name="_Toc85451972"/>
      <w:r>
        <w:rPr>
          <w:rFonts w:hint="eastAsia" w:ascii="宋体" w:hAnsi="宋体" w:cs="Times"/>
          <w:bCs/>
          <w:color w:val="auto"/>
          <w:kern w:val="0"/>
        </w:rPr>
        <w:t>第</w:t>
      </w:r>
      <w:r>
        <w:rPr>
          <w:rFonts w:ascii="宋体" w:hAnsi="宋体" w:cs="Times"/>
          <w:bCs/>
          <w:color w:val="auto"/>
          <w:kern w:val="0"/>
        </w:rPr>
        <w:t>15条</w:t>
      </w:r>
      <w:r>
        <w:rPr>
          <w:rFonts w:hint="eastAsia" w:ascii="宋体" w:hAnsi="宋体" w:cs="Times"/>
          <w:bCs/>
          <w:color w:val="auto"/>
          <w:kern w:val="0"/>
        </w:rPr>
        <w:t xml:space="preserve"> 违约</w:t>
      </w:r>
      <w:bookmarkEnd w:id="214"/>
    </w:p>
    <w:p w14:paraId="192445D7">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15.1 </w:t>
      </w:r>
      <w:r>
        <w:rPr>
          <w:rFonts w:hint="eastAsia" w:ascii="宋体" w:hAnsi="宋体"/>
          <w:color w:val="auto"/>
        </w:rPr>
        <w:t>发包人违约</w:t>
      </w:r>
    </w:p>
    <w:p w14:paraId="6D770E4E">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15.1.1 </w:t>
      </w:r>
      <w:r>
        <w:rPr>
          <w:rFonts w:hint="eastAsia" w:ascii="宋体" w:hAnsi="宋体"/>
          <w:color w:val="auto"/>
        </w:rPr>
        <w:t>发包人违约的情形</w:t>
      </w:r>
    </w:p>
    <w:p w14:paraId="31538A3C">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发包人违约的其他情形：</w:t>
      </w:r>
      <w:r>
        <w:rPr>
          <w:rFonts w:hint="eastAsia" w:ascii="宋体" w:hAnsi="宋体"/>
          <w:color w:val="auto"/>
          <w:u w:val="single"/>
        </w:rPr>
        <w:t>按通用合同条件执行</w:t>
      </w:r>
      <w:r>
        <w:rPr>
          <w:rFonts w:hint="eastAsia" w:ascii="宋体" w:hAnsi="宋体"/>
          <w:color w:val="auto"/>
        </w:rPr>
        <w:t>。</w:t>
      </w:r>
    </w:p>
    <w:p w14:paraId="33C88762">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15.1.3 </w:t>
      </w:r>
      <w:r>
        <w:rPr>
          <w:rFonts w:hint="eastAsia" w:ascii="宋体" w:hAnsi="宋体"/>
          <w:color w:val="auto"/>
        </w:rPr>
        <w:t>发包人违约的责任</w:t>
      </w:r>
    </w:p>
    <w:p w14:paraId="480B7709">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发包人违约</w:t>
      </w:r>
      <w:r>
        <w:rPr>
          <w:rFonts w:ascii="宋体" w:hAnsi="宋体"/>
          <w:color w:val="auto"/>
        </w:rPr>
        <w:t>责任</w:t>
      </w:r>
      <w:r>
        <w:rPr>
          <w:rFonts w:hint="eastAsia" w:ascii="宋体" w:hAnsi="宋体"/>
          <w:color w:val="auto"/>
        </w:rPr>
        <w:t>的</w:t>
      </w:r>
      <w:r>
        <w:rPr>
          <w:rFonts w:ascii="宋体" w:hAnsi="宋体"/>
          <w:color w:val="auto"/>
        </w:rPr>
        <w:t>承担方式</w:t>
      </w:r>
      <w:r>
        <w:rPr>
          <w:rFonts w:hint="eastAsia" w:ascii="宋体" w:hAnsi="宋体"/>
          <w:color w:val="auto"/>
        </w:rPr>
        <w:t>和</w:t>
      </w:r>
      <w:r>
        <w:rPr>
          <w:rFonts w:ascii="宋体" w:hAnsi="宋体"/>
          <w:color w:val="auto"/>
        </w:rPr>
        <w:t>计算方法</w:t>
      </w:r>
      <w:r>
        <w:rPr>
          <w:rFonts w:hint="eastAsia" w:ascii="宋体" w:hAnsi="宋体"/>
          <w:color w:val="auto"/>
        </w:rPr>
        <w:t>：</w:t>
      </w:r>
      <w:r>
        <w:rPr>
          <w:rFonts w:ascii="宋体" w:hAnsi="宋体"/>
          <w:color w:val="auto"/>
          <w:u w:val="single"/>
        </w:rPr>
        <w:t xml:space="preserve"> / </w:t>
      </w:r>
      <w:r>
        <w:rPr>
          <w:rFonts w:hint="eastAsia" w:ascii="宋体" w:hAnsi="宋体"/>
          <w:color w:val="auto"/>
        </w:rPr>
        <w:t>。</w:t>
      </w:r>
    </w:p>
    <w:p w14:paraId="5878045C">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15.2 </w:t>
      </w:r>
      <w:r>
        <w:rPr>
          <w:rFonts w:hint="eastAsia" w:ascii="宋体" w:hAnsi="宋体"/>
          <w:color w:val="auto"/>
        </w:rPr>
        <w:t>承包人违约</w:t>
      </w:r>
    </w:p>
    <w:p w14:paraId="15926BC0">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15.2.1 </w:t>
      </w:r>
      <w:r>
        <w:rPr>
          <w:rFonts w:hint="eastAsia" w:ascii="宋体" w:hAnsi="宋体"/>
          <w:color w:val="auto"/>
        </w:rPr>
        <w:t>承包人违约的情形</w:t>
      </w:r>
    </w:p>
    <w:p w14:paraId="3D8AF15C">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承包人违约的其他情形：</w:t>
      </w:r>
      <w:r>
        <w:rPr>
          <w:rFonts w:hint="eastAsia" w:ascii="宋体" w:hAnsi="宋体"/>
          <w:color w:val="auto"/>
          <w:u w:val="single"/>
        </w:rPr>
        <w:t>按通用合同条件执行</w:t>
      </w:r>
      <w:r>
        <w:rPr>
          <w:rFonts w:hint="eastAsia" w:ascii="宋体" w:hAnsi="宋体"/>
          <w:color w:val="auto"/>
        </w:rPr>
        <w:t>。</w:t>
      </w:r>
    </w:p>
    <w:p w14:paraId="7CBCD215">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15.2.2 </w:t>
      </w:r>
      <w:r>
        <w:rPr>
          <w:rFonts w:hint="eastAsia" w:ascii="宋体" w:hAnsi="宋体"/>
          <w:color w:val="auto"/>
        </w:rPr>
        <w:t>通知改正</w:t>
      </w:r>
    </w:p>
    <w:p w14:paraId="3F2606B9">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工程师通知承包人改正的合理期限是：</w:t>
      </w:r>
      <w:r>
        <w:rPr>
          <w:rFonts w:hint="eastAsia" w:ascii="宋体" w:hAnsi="宋体"/>
          <w:color w:val="auto"/>
          <w:u w:val="single"/>
        </w:rPr>
        <w:t>按发包人要求</w:t>
      </w:r>
      <w:r>
        <w:rPr>
          <w:rFonts w:hint="eastAsia" w:ascii="宋体" w:hAnsi="宋体"/>
          <w:color w:val="auto"/>
        </w:rPr>
        <w:t>。</w:t>
      </w:r>
    </w:p>
    <w:p w14:paraId="33F80409">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15.2.3 </w:t>
      </w:r>
      <w:r>
        <w:rPr>
          <w:rFonts w:hint="eastAsia" w:ascii="宋体" w:hAnsi="宋体"/>
          <w:color w:val="auto"/>
        </w:rPr>
        <w:t>承包人违约的责任</w:t>
      </w:r>
    </w:p>
    <w:p w14:paraId="564DF8FA">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u w:val="single"/>
        </w:rPr>
      </w:pPr>
      <w:r>
        <w:rPr>
          <w:rFonts w:hint="eastAsia" w:ascii="宋体" w:hAnsi="宋体"/>
          <w:color w:val="auto"/>
        </w:rPr>
        <w:t>（1）承包人违约</w:t>
      </w:r>
      <w:r>
        <w:rPr>
          <w:rFonts w:ascii="宋体" w:hAnsi="宋体"/>
          <w:color w:val="auto"/>
        </w:rPr>
        <w:t>责任</w:t>
      </w:r>
      <w:r>
        <w:rPr>
          <w:rFonts w:hint="eastAsia" w:ascii="宋体" w:hAnsi="宋体"/>
          <w:color w:val="auto"/>
        </w:rPr>
        <w:t>的</w:t>
      </w:r>
      <w:r>
        <w:rPr>
          <w:rFonts w:ascii="宋体" w:hAnsi="宋体"/>
          <w:color w:val="auto"/>
        </w:rPr>
        <w:t>承担方式</w:t>
      </w:r>
      <w:r>
        <w:rPr>
          <w:rFonts w:hint="eastAsia" w:ascii="宋体" w:hAnsi="宋体"/>
          <w:color w:val="auto"/>
        </w:rPr>
        <w:t>和</w:t>
      </w:r>
      <w:r>
        <w:rPr>
          <w:rFonts w:ascii="宋体" w:hAnsi="宋体"/>
          <w:color w:val="auto"/>
        </w:rPr>
        <w:t>计算方法</w:t>
      </w:r>
      <w:r>
        <w:rPr>
          <w:rFonts w:hint="eastAsia" w:ascii="宋体" w:hAnsi="宋体"/>
          <w:color w:val="auto"/>
        </w:rPr>
        <w:t>：</w:t>
      </w:r>
      <w:r>
        <w:rPr>
          <w:rFonts w:hint="eastAsia" w:ascii="宋体" w:hAnsi="宋体"/>
          <w:color w:val="auto"/>
          <w:u w:val="single"/>
        </w:rPr>
        <w:t>（1）承包</w:t>
      </w:r>
      <w:r>
        <w:rPr>
          <w:rFonts w:hint="eastAsia" w:ascii="宋体" w:hAnsi="宋体"/>
          <w:color w:val="auto"/>
          <w:u w:val="single"/>
          <w:lang w:eastAsia="zh-CN"/>
        </w:rPr>
        <w:t>人在</w:t>
      </w:r>
      <w:r>
        <w:rPr>
          <w:rFonts w:hint="eastAsia" w:ascii="宋体" w:hAnsi="宋体"/>
          <w:color w:val="auto"/>
          <w:u w:val="single"/>
        </w:rPr>
        <w:t>合同履行中要求变更投标承诺和变更建安工程费优惠费率等，按下列规定执行：</w:t>
      </w:r>
    </w:p>
    <w:p w14:paraId="24DC6E05">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u w:val="single"/>
        </w:rPr>
      </w:pPr>
      <w:r>
        <w:rPr>
          <w:rFonts w:hint="eastAsia" w:ascii="宋体" w:hAnsi="宋体"/>
          <w:color w:val="auto"/>
          <w:u w:val="single"/>
        </w:rPr>
        <w:t>①不严格和不全面履行合同的，发包人有权改变合同约定的发包范围另行委托其他单位完成该项工作，同时还应承担由此造成发包人的实际损失，由此造成的承包人损失由承包人自行承担。此外，发包人可将有关情况报建设行政主管部门，由建设行政主管部门依照有关</w:t>
      </w:r>
      <w:r>
        <w:rPr>
          <w:rFonts w:hint="eastAsia" w:ascii="宋体" w:hAnsi="宋体"/>
          <w:color w:val="auto"/>
          <w:u w:val="single"/>
          <w:lang w:eastAsia="zh-CN"/>
        </w:rPr>
        <w:t>法律法规</w:t>
      </w:r>
      <w:r>
        <w:rPr>
          <w:rFonts w:hint="eastAsia" w:ascii="宋体" w:hAnsi="宋体"/>
          <w:color w:val="auto"/>
          <w:u w:val="single"/>
        </w:rPr>
        <w:t>给予相应行政处罚，并作为不良市场行为记录。</w:t>
      </w:r>
    </w:p>
    <w:p w14:paraId="232E0D10">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u w:val="single"/>
        </w:rPr>
      </w:pPr>
      <w:r>
        <w:rPr>
          <w:rFonts w:hint="eastAsia" w:ascii="宋体" w:hAnsi="宋体"/>
          <w:color w:val="auto"/>
          <w:u w:val="single"/>
        </w:rPr>
        <w:t>②在合同履行中，承包人要求变更投标承诺和变更建安工程费优惠费率的，发包人不给予调整，可视情况终止合同，由此造成发包人的实际损失由承包人承担赔偿责任，由此造成的承包人损失由承包人自行承担。发包人可将有关情况报建设行政主管部门，由建设行政主管部门依照有关</w:t>
      </w:r>
      <w:r>
        <w:rPr>
          <w:rFonts w:hint="eastAsia" w:ascii="宋体" w:hAnsi="宋体"/>
          <w:color w:val="auto"/>
          <w:u w:val="single"/>
          <w:lang w:eastAsia="zh-CN"/>
        </w:rPr>
        <w:t>法律法规</w:t>
      </w:r>
      <w:r>
        <w:rPr>
          <w:rFonts w:hint="eastAsia" w:ascii="宋体" w:hAnsi="宋体"/>
          <w:color w:val="auto"/>
          <w:u w:val="single"/>
        </w:rPr>
        <w:t>给予相应行政处罚，并作为不良市场行为记录。</w:t>
      </w:r>
    </w:p>
    <w:p w14:paraId="6D413444">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u w:val="single"/>
        </w:rPr>
      </w:pPr>
      <w:r>
        <w:rPr>
          <w:rFonts w:hint="eastAsia" w:ascii="宋体" w:hAnsi="宋体"/>
          <w:color w:val="auto"/>
          <w:u w:val="single"/>
        </w:rPr>
        <w:t>（2）承包人必须保证资金专款专用，绝不挪作他用，在收到工程预付款和进度款前必须列出开支计划，确保民工工资的支付，并接受发包人的监督。若发生挪作他用或不按开支计划合理使用工程资金，发包人有权停止支付款项，并有权直接支付相应开支，且承包人不能因此而停止工程的施工。</w:t>
      </w:r>
    </w:p>
    <w:p w14:paraId="112650D0">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u w:val="single"/>
        </w:rPr>
      </w:pPr>
      <w:r>
        <w:rPr>
          <w:rFonts w:hint="eastAsia" w:ascii="宋体" w:hAnsi="宋体"/>
          <w:color w:val="auto"/>
          <w:u w:val="single"/>
        </w:rPr>
        <w:t>（3）承包人通过对现场考察，应结合本工程的实际情况，制定切实可行的施工组织计划，对施工现场</w:t>
      </w:r>
      <w:r>
        <w:rPr>
          <w:rFonts w:hint="eastAsia" w:ascii="宋体" w:hAnsi="宋体"/>
          <w:color w:val="auto"/>
          <w:u w:val="single"/>
          <w:lang w:eastAsia="zh-CN"/>
        </w:rPr>
        <w:t>做</w:t>
      </w:r>
      <w:r>
        <w:rPr>
          <w:rFonts w:hint="eastAsia" w:ascii="宋体" w:hAnsi="宋体"/>
          <w:color w:val="auto"/>
          <w:u w:val="single"/>
        </w:rPr>
        <w:t>周密布置，除充分考虑上述规定外，还应对现场施工用水的排放及排污做统一安排。若因排水、排污妨碍沿线居民正常生活或工农业生产，一切责任由承包人承担。</w:t>
      </w:r>
    </w:p>
    <w:p w14:paraId="0E05355F">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u w:val="single"/>
        </w:rPr>
      </w:pPr>
      <w:r>
        <w:rPr>
          <w:rFonts w:hint="eastAsia" w:ascii="宋体" w:hAnsi="宋体"/>
          <w:color w:val="auto"/>
          <w:u w:val="single"/>
        </w:rPr>
        <w:t>（4）如果项目负责人对承包人所用材料有疑虑，以质量技术监督局或其它专业资质机构鉴定结果为准，若检验不合格，检验费用由承包人承担；若检验合格，检验费用由发包人承担。</w:t>
      </w:r>
    </w:p>
    <w:p w14:paraId="6F28784E">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u w:val="single"/>
        </w:rPr>
      </w:pPr>
      <w:r>
        <w:rPr>
          <w:rFonts w:hint="eastAsia" w:ascii="宋体" w:hAnsi="宋体"/>
          <w:color w:val="auto"/>
          <w:u w:val="single"/>
        </w:rPr>
        <w:t>（5）本工程实行全过程跟踪审计，承包人应配合跟踪审计单位对工程过程结算审核和竣工结算的相关审核工作。</w:t>
      </w:r>
    </w:p>
    <w:p w14:paraId="6BCF46D3">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u w:val="single"/>
        </w:rPr>
      </w:pPr>
      <w:r>
        <w:rPr>
          <w:rFonts w:hint="eastAsia" w:ascii="宋体" w:hAnsi="宋体"/>
          <w:color w:val="auto"/>
          <w:u w:val="single"/>
        </w:rPr>
        <w:t>（</w:t>
      </w:r>
      <w:r>
        <w:rPr>
          <w:rFonts w:ascii="宋体" w:hAnsi="宋体"/>
          <w:color w:val="auto"/>
          <w:u w:val="single"/>
        </w:rPr>
        <w:t>6</w:t>
      </w:r>
      <w:r>
        <w:rPr>
          <w:rFonts w:hint="eastAsia" w:ascii="宋体" w:hAnsi="宋体"/>
          <w:color w:val="auto"/>
          <w:u w:val="single"/>
        </w:rPr>
        <w:t>）承包人负责编制工程结算，由发包人委托审计部门审核。</w:t>
      </w:r>
    </w:p>
    <w:p w14:paraId="4188358D">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u w:val="single"/>
        </w:rPr>
        <w:t>（</w:t>
      </w:r>
      <w:r>
        <w:rPr>
          <w:rFonts w:ascii="宋体" w:hAnsi="宋体"/>
          <w:color w:val="auto"/>
          <w:u w:val="single"/>
        </w:rPr>
        <w:t>7</w:t>
      </w:r>
      <w:r>
        <w:rPr>
          <w:rFonts w:hint="eastAsia" w:ascii="宋体" w:hAnsi="宋体"/>
          <w:color w:val="auto"/>
          <w:u w:val="single"/>
        </w:rPr>
        <w:t>）补充规定。1.承包</w:t>
      </w:r>
      <w:r>
        <w:rPr>
          <w:rFonts w:hint="eastAsia" w:ascii="宋体" w:hAnsi="宋体"/>
          <w:color w:val="auto"/>
          <w:u w:val="single"/>
          <w:lang w:eastAsia="zh-CN"/>
        </w:rPr>
        <w:t>方对</w:t>
      </w:r>
      <w:r>
        <w:rPr>
          <w:rFonts w:hint="eastAsia" w:ascii="宋体" w:hAnsi="宋体"/>
          <w:color w:val="auto"/>
          <w:u w:val="single"/>
        </w:rPr>
        <w:t>该项目工作人员出勤到岗的要求，项目经理及技术负责人在承接本项目后又在其他项目中担任项目经理或技术负责人的处以1万元的罚款。对于项目经理、技术负责人、施工员、安全员、质量员等人员无故缺席不到施工现场的，第一次</w:t>
      </w:r>
      <w:r>
        <w:rPr>
          <w:rFonts w:hint="eastAsia" w:ascii="宋体" w:hAnsi="宋体"/>
          <w:color w:val="auto"/>
          <w:u w:val="single"/>
          <w:lang w:eastAsia="zh-CN"/>
        </w:rPr>
        <w:t>处以</w:t>
      </w:r>
      <w:r>
        <w:rPr>
          <w:rFonts w:hint="eastAsia" w:ascii="宋体" w:hAnsi="宋体"/>
          <w:color w:val="auto"/>
          <w:u w:val="single"/>
        </w:rPr>
        <w:t>罚款1000元/人，第二次处以罚款2000元/人，第三次处以罚款3000元/人，未经同意缺席累计超过三次者，发包人有权要求更换人员。罚款在进度款中扣除，同时因项目经理及技术负责人在其他项目中担任项目经理或技术负责人，项目经理、技术负责人、施工员、安全员、质量员等人员无故缺席不到施工现场，给发包人项目建设造成损失的由承包人承担全部责任。</w:t>
      </w:r>
      <w:r>
        <w:rPr>
          <w:rFonts w:ascii="宋体" w:hAnsi="宋体"/>
          <w:color w:val="auto"/>
          <w:u w:val="single"/>
        </w:rPr>
        <w:t>2</w:t>
      </w:r>
      <w:r>
        <w:rPr>
          <w:rFonts w:hint="eastAsia" w:ascii="宋体" w:hAnsi="宋体"/>
          <w:color w:val="auto"/>
          <w:u w:val="single"/>
        </w:rPr>
        <w:t>.承包人必须按时支付工人工资，一旦出现拖欠工人工资并发生上访事件，发包人有权协助劳动监察部门在承包人尚未结算的工程款中予以扣除，并按每次5000元处以罚款</w:t>
      </w:r>
      <w:r>
        <w:rPr>
          <w:rFonts w:hint="eastAsia" w:ascii="宋体" w:hAnsi="宋体"/>
          <w:color w:val="auto"/>
        </w:rPr>
        <w:t>。</w:t>
      </w:r>
    </w:p>
    <w:p w14:paraId="60EE1F9B">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u w:val="single"/>
        </w:rPr>
      </w:pPr>
      <w:r>
        <w:rPr>
          <w:rFonts w:hint="eastAsia" w:ascii="宋体" w:hAnsi="宋体"/>
          <w:color w:val="auto"/>
          <w:u w:val="single"/>
        </w:rPr>
        <w:t>（11）承包人累计违约赔偿金额不超过各自签约合同价的5%。</w:t>
      </w:r>
    </w:p>
    <w:p w14:paraId="7DF1ED58">
      <w:pPr>
        <w:keepNext w:val="0"/>
        <w:keepLines w:val="0"/>
        <w:pageBreakBefore w:val="0"/>
        <w:widowControl/>
        <w:tabs>
          <w:tab w:val="left" w:pos="993"/>
        </w:tabs>
        <w:wordWrap/>
        <w:overflowPunct/>
        <w:topLinePunct w:val="0"/>
        <w:autoSpaceDE/>
        <w:autoSpaceDN/>
        <w:bidi w:val="0"/>
        <w:adjustRightInd w:val="0"/>
        <w:snapToGrid w:val="0"/>
        <w:spacing w:line="360" w:lineRule="exact"/>
        <w:contextualSpacing/>
        <w:textAlignment w:val="auto"/>
        <w:outlineLvl w:val="2"/>
        <w:rPr>
          <w:rFonts w:ascii="宋体" w:hAnsi="宋体" w:cs="Times"/>
          <w:bCs/>
          <w:color w:val="auto"/>
          <w:kern w:val="0"/>
        </w:rPr>
      </w:pPr>
      <w:bookmarkStart w:id="215" w:name="_Toc85451973"/>
      <w:r>
        <w:rPr>
          <w:rFonts w:hint="eastAsia" w:ascii="宋体" w:hAnsi="宋体" w:cs="Times"/>
          <w:bCs/>
          <w:color w:val="auto"/>
          <w:kern w:val="0"/>
        </w:rPr>
        <w:t>第</w:t>
      </w:r>
      <w:r>
        <w:rPr>
          <w:rFonts w:ascii="宋体" w:hAnsi="宋体" w:cs="Times"/>
          <w:bCs/>
          <w:color w:val="auto"/>
          <w:kern w:val="0"/>
        </w:rPr>
        <w:t>16条</w:t>
      </w:r>
      <w:r>
        <w:rPr>
          <w:rFonts w:hint="eastAsia" w:ascii="宋体" w:hAnsi="宋体" w:cs="Times"/>
          <w:bCs/>
          <w:color w:val="auto"/>
          <w:kern w:val="0"/>
        </w:rPr>
        <w:t xml:space="preserve"> 合同解除</w:t>
      </w:r>
      <w:bookmarkEnd w:id="215"/>
    </w:p>
    <w:p w14:paraId="1B21BF9F">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16.1 </w:t>
      </w:r>
      <w:r>
        <w:rPr>
          <w:rFonts w:hint="eastAsia" w:ascii="宋体" w:hAnsi="宋体"/>
          <w:color w:val="auto"/>
        </w:rPr>
        <w:t>由发包人解除合同</w:t>
      </w:r>
    </w:p>
    <w:p w14:paraId="2F360BCF">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16.1.1 </w:t>
      </w:r>
      <w:r>
        <w:rPr>
          <w:rFonts w:hint="eastAsia" w:ascii="宋体" w:hAnsi="宋体"/>
          <w:color w:val="auto"/>
        </w:rPr>
        <w:t>因承包人违约解除合同</w:t>
      </w:r>
    </w:p>
    <w:p w14:paraId="46F7FFAB">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双方约定可由发包人解除合同的其他事由：</w:t>
      </w:r>
      <w:r>
        <w:rPr>
          <w:rFonts w:hint="eastAsia" w:ascii="宋体" w:hAnsi="宋体"/>
          <w:color w:val="auto"/>
          <w:u w:val="single"/>
        </w:rPr>
        <w:t>按通用合同条件执行</w:t>
      </w:r>
      <w:r>
        <w:rPr>
          <w:rFonts w:hint="eastAsia" w:ascii="宋体" w:hAnsi="宋体"/>
          <w:color w:val="auto"/>
        </w:rPr>
        <w:t>。</w:t>
      </w:r>
    </w:p>
    <w:p w14:paraId="451EDA74">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16.2 </w:t>
      </w:r>
      <w:r>
        <w:rPr>
          <w:rFonts w:hint="eastAsia" w:ascii="宋体" w:hAnsi="宋体"/>
          <w:color w:val="auto"/>
        </w:rPr>
        <w:t>由承包人解除合同</w:t>
      </w:r>
    </w:p>
    <w:p w14:paraId="6E26757F">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16.2.1 </w:t>
      </w:r>
      <w:r>
        <w:rPr>
          <w:rFonts w:hint="eastAsia" w:ascii="宋体" w:hAnsi="宋体"/>
          <w:color w:val="auto"/>
        </w:rPr>
        <w:t>因发包人违约解除合同</w:t>
      </w:r>
    </w:p>
    <w:p w14:paraId="04688B15">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双方约定可由承包人解除合同的其他事由：</w:t>
      </w:r>
      <w:r>
        <w:rPr>
          <w:rFonts w:hint="eastAsia" w:ascii="宋体" w:hAnsi="宋体"/>
          <w:color w:val="auto"/>
          <w:u w:val="single"/>
        </w:rPr>
        <w:t>按通用合同条件执行</w:t>
      </w:r>
      <w:r>
        <w:rPr>
          <w:rFonts w:hint="eastAsia" w:ascii="宋体" w:hAnsi="宋体"/>
          <w:color w:val="auto"/>
        </w:rPr>
        <w:t>。</w:t>
      </w:r>
    </w:p>
    <w:p w14:paraId="6441C76E">
      <w:pPr>
        <w:keepNext w:val="0"/>
        <w:keepLines w:val="0"/>
        <w:pageBreakBefore w:val="0"/>
        <w:widowControl/>
        <w:tabs>
          <w:tab w:val="left" w:pos="993"/>
        </w:tabs>
        <w:wordWrap/>
        <w:overflowPunct/>
        <w:topLinePunct w:val="0"/>
        <w:autoSpaceDE/>
        <w:autoSpaceDN/>
        <w:bidi w:val="0"/>
        <w:adjustRightInd w:val="0"/>
        <w:snapToGrid w:val="0"/>
        <w:spacing w:line="360" w:lineRule="exact"/>
        <w:contextualSpacing/>
        <w:textAlignment w:val="auto"/>
        <w:outlineLvl w:val="2"/>
        <w:rPr>
          <w:rFonts w:ascii="宋体" w:hAnsi="宋体" w:cs="Times"/>
          <w:bCs/>
          <w:color w:val="auto"/>
          <w:kern w:val="0"/>
        </w:rPr>
      </w:pPr>
      <w:bookmarkStart w:id="216" w:name="_Toc85451974"/>
      <w:r>
        <w:rPr>
          <w:rFonts w:hint="eastAsia" w:ascii="宋体" w:hAnsi="宋体" w:cs="Times"/>
          <w:bCs/>
          <w:color w:val="auto"/>
          <w:kern w:val="0"/>
        </w:rPr>
        <w:t>第</w:t>
      </w:r>
      <w:r>
        <w:rPr>
          <w:rFonts w:ascii="宋体" w:hAnsi="宋体" w:cs="Times"/>
          <w:bCs/>
          <w:color w:val="auto"/>
          <w:kern w:val="0"/>
        </w:rPr>
        <w:t>17条</w:t>
      </w:r>
      <w:r>
        <w:rPr>
          <w:rFonts w:hint="eastAsia" w:ascii="宋体" w:hAnsi="宋体" w:cs="Times"/>
          <w:bCs/>
          <w:color w:val="auto"/>
          <w:kern w:val="0"/>
        </w:rPr>
        <w:t xml:space="preserve"> 不可抗力</w:t>
      </w:r>
      <w:bookmarkEnd w:id="216"/>
    </w:p>
    <w:p w14:paraId="0E4BEBDC">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17.1 </w:t>
      </w:r>
      <w:r>
        <w:rPr>
          <w:rFonts w:hint="eastAsia" w:ascii="宋体" w:hAnsi="宋体"/>
          <w:color w:val="auto"/>
        </w:rPr>
        <w:t>不可抗力的定义</w:t>
      </w:r>
    </w:p>
    <w:p w14:paraId="0ED1AF14">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除通用合同条件约定的不可抗力事件之外，视为不可抗力的其他情形：</w:t>
      </w:r>
      <w:r>
        <w:rPr>
          <w:rFonts w:hint="eastAsia" w:ascii="宋体" w:hAnsi="宋体"/>
          <w:color w:val="auto"/>
          <w:u w:val="single"/>
        </w:rPr>
        <w:t>（1）自然灾害，如台风、洪水、地震等；（2）政府行为，如征收、征用等；（3）社会异常事件，如罢工、骚乱、空中飞行物体坠落等（4）疫情</w:t>
      </w:r>
      <w:r>
        <w:rPr>
          <w:rFonts w:hint="eastAsia" w:ascii="宋体" w:hAnsi="宋体"/>
          <w:color w:val="auto"/>
        </w:rPr>
        <w:t>。</w:t>
      </w:r>
    </w:p>
    <w:p w14:paraId="6DBD9926">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17.6 </w:t>
      </w:r>
      <w:r>
        <w:rPr>
          <w:rFonts w:hint="eastAsia" w:ascii="宋体" w:hAnsi="宋体"/>
          <w:color w:val="auto"/>
        </w:rPr>
        <w:t>因不可抗力解除合同</w:t>
      </w:r>
    </w:p>
    <w:p w14:paraId="6B5105F6">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合同解除后，发包人应</w:t>
      </w:r>
      <w:r>
        <w:rPr>
          <w:rFonts w:hint="eastAsia" w:ascii="宋体" w:hAnsi="宋体"/>
          <w:color w:val="auto"/>
        </w:rPr>
        <w:t>当</w:t>
      </w:r>
      <w:r>
        <w:rPr>
          <w:rFonts w:ascii="宋体" w:hAnsi="宋体"/>
          <w:color w:val="auto"/>
        </w:rPr>
        <w:t>在商定或确定发包人应支付款项后</w:t>
      </w:r>
      <w:r>
        <w:rPr>
          <w:rFonts w:hint="eastAsia" w:ascii="宋体" w:hAnsi="宋体"/>
          <w:color w:val="auto"/>
        </w:rPr>
        <w:t>的</w:t>
      </w:r>
      <w:r>
        <w:rPr>
          <w:rFonts w:hint="eastAsia" w:ascii="宋体" w:hAnsi="宋体"/>
          <w:color w:val="auto"/>
          <w:u w:val="single"/>
        </w:rPr>
        <w:t xml:space="preserve"> </w:t>
      </w:r>
      <w:r>
        <w:rPr>
          <w:rFonts w:ascii="宋体" w:hAnsi="宋体"/>
          <w:color w:val="auto"/>
          <w:u w:val="single"/>
        </w:rPr>
        <w:t xml:space="preserve">28 </w:t>
      </w:r>
      <w:r>
        <w:rPr>
          <w:rFonts w:ascii="宋体" w:hAnsi="宋体"/>
          <w:color w:val="auto"/>
        </w:rPr>
        <w:t>天内完成款项的支付。</w:t>
      </w:r>
    </w:p>
    <w:p w14:paraId="4BA34864">
      <w:pPr>
        <w:keepNext w:val="0"/>
        <w:keepLines w:val="0"/>
        <w:pageBreakBefore w:val="0"/>
        <w:widowControl/>
        <w:tabs>
          <w:tab w:val="left" w:pos="993"/>
        </w:tabs>
        <w:wordWrap/>
        <w:overflowPunct/>
        <w:topLinePunct w:val="0"/>
        <w:autoSpaceDE/>
        <w:autoSpaceDN/>
        <w:bidi w:val="0"/>
        <w:adjustRightInd w:val="0"/>
        <w:snapToGrid w:val="0"/>
        <w:spacing w:line="360" w:lineRule="exact"/>
        <w:contextualSpacing/>
        <w:textAlignment w:val="auto"/>
        <w:outlineLvl w:val="2"/>
        <w:rPr>
          <w:rFonts w:ascii="宋体" w:hAnsi="宋体" w:cs="Times"/>
          <w:bCs/>
          <w:color w:val="auto"/>
          <w:kern w:val="0"/>
        </w:rPr>
      </w:pPr>
      <w:bookmarkStart w:id="217" w:name="_Toc85451975"/>
      <w:r>
        <w:rPr>
          <w:rFonts w:hint="eastAsia" w:ascii="宋体" w:hAnsi="宋体" w:cs="Times"/>
          <w:bCs/>
          <w:color w:val="auto"/>
          <w:kern w:val="0"/>
        </w:rPr>
        <w:t>第1</w:t>
      </w:r>
      <w:r>
        <w:rPr>
          <w:rFonts w:ascii="宋体" w:hAnsi="宋体" w:cs="Times"/>
          <w:bCs/>
          <w:color w:val="auto"/>
          <w:kern w:val="0"/>
        </w:rPr>
        <w:t>8</w:t>
      </w:r>
      <w:r>
        <w:rPr>
          <w:rFonts w:hint="eastAsia" w:ascii="宋体" w:hAnsi="宋体" w:cs="Times"/>
          <w:bCs/>
          <w:color w:val="auto"/>
          <w:kern w:val="0"/>
        </w:rPr>
        <w:t>条</w:t>
      </w:r>
      <w:r>
        <w:rPr>
          <w:rFonts w:ascii="宋体" w:hAnsi="宋体" w:cs="Times"/>
          <w:bCs/>
          <w:color w:val="auto"/>
          <w:kern w:val="0"/>
        </w:rPr>
        <w:t xml:space="preserve"> </w:t>
      </w:r>
      <w:r>
        <w:rPr>
          <w:rFonts w:hint="eastAsia" w:ascii="宋体" w:hAnsi="宋体" w:cs="Times"/>
          <w:bCs/>
          <w:color w:val="auto"/>
          <w:kern w:val="0"/>
        </w:rPr>
        <w:t>保险</w:t>
      </w:r>
      <w:bookmarkEnd w:id="217"/>
    </w:p>
    <w:p w14:paraId="6EE209C2">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18.1 </w:t>
      </w:r>
      <w:r>
        <w:rPr>
          <w:rFonts w:hint="eastAsia" w:ascii="宋体" w:hAnsi="宋体"/>
          <w:color w:val="auto"/>
        </w:rPr>
        <w:t>设计和工程保险</w:t>
      </w:r>
    </w:p>
    <w:p w14:paraId="7E4497A5">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1</w:t>
      </w:r>
      <w:r>
        <w:rPr>
          <w:rFonts w:ascii="宋体" w:hAnsi="宋体"/>
          <w:color w:val="auto"/>
        </w:rPr>
        <w:t xml:space="preserve">8.1.1 </w:t>
      </w:r>
      <w:r>
        <w:rPr>
          <w:rFonts w:hint="eastAsia" w:ascii="宋体" w:hAnsi="宋体"/>
          <w:color w:val="auto"/>
        </w:rPr>
        <w:t>双方当事人</w:t>
      </w:r>
      <w:r>
        <w:rPr>
          <w:rFonts w:ascii="宋体" w:hAnsi="宋体"/>
          <w:color w:val="auto"/>
        </w:rPr>
        <w:t>关于</w:t>
      </w:r>
      <w:r>
        <w:rPr>
          <w:rFonts w:hint="eastAsia" w:ascii="宋体" w:hAnsi="宋体"/>
          <w:color w:val="auto"/>
        </w:rPr>
        <w:t>设计和工程保险</w:t>
      </w:r>
      <w:r>
        <w:rPr>
          <w:rFonts w:ascii="宋体" w:hAnsi="宋体"/>
          <w:color w:val="auto"/>
        </w:rPr>
        <w:t>的特别</w:t>
      </w:r>
      <w:r>
        <w:rPr>
          <w:rFonts w:hint="eastAsia" w:ascii="宋体" w:hAnsi="宋体"/>
          <w:color w:val="auto"/>
        </w:rPr>
        <w:t>约</w:t>
      </w:r>
      <w:r>
        <w:rPr>
          <w:rFonts w:ascii="宋体" w:hAnsi="宋体"/>
          <w:color w:val="auto"/>
        </w:rPr>
        <w:t>定</w:t>
      </w:r>
      <w:r>
        <w:rPr>
          <w:rFonts w:hint="eastAsia" w:ascii="宋体" w:hAnsi="宋体"/>
          <w:color w:val="auto"/>
        </w:rPr>
        <w:t>：</w:t>
      </w:r>
      <w:r>
        <w:rPr>
          <w:rFonts w:hint="eastAsia" w:ascii="宋体" w:hAnsi="宋体"/>
          <w:color w:val="auto"/>
          <w:u w:val="single"/>
        </w:rPr>
        <w:t>按相关规定执行</w:t>
      </w:r>
      <w:r>
        <w:rPr>
          <w:rFonts w:hint="eastAsia" w:ascii="宋体" w:hAnsi="宋体"/>
          <w:color w:val="auto"/>
        </w:rPr>
        <w:t>。</w:t>
      </w:r>
    </w:p>
    <w:p w14:paraId="3F736AEE">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1</w:t>
      </w:r>
      <w:r>
        <w:rPr>
          <w:rFonts w:ascii="宋体" w:hAnsi="宋体"/>
          <w:color w:val="auto"/>
        </w:rPr>
        <w:t xml:space="preserve">8.1.2 </w:t>
      </w:r>
      <w:r>
        <w:rPr>
          <w:rFonts w:hint="eastAsia" w:ascii="宋体" w:hAnsi="宋体"/>
          <w:color w:val="auto"/>
        </w:rPr>
        <w:t>双方当事人</w:t>
      </w:r>
      <w:r>
        <w:rPr>
          <w:rFonts w:ascii="宋体" w:hAnsi="宋体"/>
          <w:color w:val="auto"/>
        </w:rPr>
        <w:t>关于</w:t>
      </w:r>
      <w:r>
        <w:rPr>
          <w:rFonts w:hint="eastAsia" w:ascii="宋体" w:hAnsi="宋体"/>
          <w:color w:val="auto"/>
        </w:rPr>
        <w:t>第三方责任险</w:t>
      </w:r>
      <w:r>
        <w:rPr>
          <w:rFonts w:ascii="宋体" w:hAnsi="宋体"/>
          <w:color w:val="auto"/>
        </w:rPr>
        <w:t>的特别</w:t>
      </w:r>
      <w:r>
        <w:rPr>
          <w:rFonts w:hint="eastAsia" w:ascii="宋体" w:hAnsi="宋体"/>
          <w:color w:val="auto"/>
        </w:rPr>
        <w:t>约</w:t>
      </w:r>
      <w:r>
        <w:rPr>
          <w:rFonts w:ascii="宋体" w:hAnsi="宋体"/>
          <w:color w:val="auto"/>
        </w:rPr>
        <w:t>定：</w:t>
      </w:r>
      <w:r>
        <w:rPr>
          <w:rFonts w:hint="eastAsia" w:ascii="宋体" w:hAnsi="宋体"/>
          <w:color w:val="auto"/>
          <w:u w:val="single"/>
        </w:rPr>
        <w:t>按相关规定执行</w:t>
      </w:r>
      <w:r>
        <w:rPr>
          <w:rFonts w:hint="eastAsia" w:ascii="宋体" w:hAnsi="宋体"/>
          <w:color w:val="auto"/>
        </w:rPr>
        <w:t>。</w:t>
      </w:r>
    </w:p>
    <w:p w14:paraId="768E52BC">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18.2 </w:t>
      </w:r>
      <w:r>
        <w:rPr>
          <w:rFonts w:hint="eastAsia" w:ascii="宋体" w:hAnsi="宋体"/>
          <w:color w:val="auto"/>
        </w:rPr>
        <w:t>工伤和意外伤害保险</w:t>
      </w:r>
    </w:p>
    <w:p w14:paraId="7274C9F1">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1</w:t>
      </w:r>
      <w:r>
        <w:rPr>
          <w:rFonts w:ascii="宋体" w:hAnsi="宋体"/>
          <w:color w:val="auto"/>
        </w:rPr>
        <w:t>8.2.3 关于</w:t>
      </w:r>
      <w:r>
        <w:rPr>
          <w:rFonts w:hint="eastAsia" w:ascii="宋体" w:hAnsi="宋体"/>
          <w:color w:val="auto"/>
        </w:rPr>
        <w:t>工伤保险和意外伤害保险</w:t>
      </w:r>
      <w:r>
        <w:rPr>
          <w:rFonts w:ascii="宋体" w:hAnsi="宋体"/>
          <w:color w:val="auto"/>
        </w:rPr>
        <w:t>的特别</w:t>
      </w:r>
      <w:r>
        <w:rPr>
          <w:rFonts w:hint="eastAsia" w:ascii="宋体" w:hAnsi="宋体"/>
          <w:color w:val="auto"/>
        </w:rPr>
        <w:t>约</w:t>
      </w:r>
      <w:r>
        <w:rPr>
          <w:rFonts w:ascii="宋体" w:hAnsi="宋体"/>
          <w:color w:val="auto"/>
        </w:rPr>
        <w:t>定：</w:t>
      </w:r>
      <w:r>
        <w:rPr>
          <w:rFonts w:hint="eastAsia" w:ascii="宋体" w:hAnsi="宋体"/>
          <w:color w:val="auto"/>
          <w:u w:val="single"/>
        </w:rPr>
        <w:t>按相关规定执行</w:t>
      </w:r>
      <w:r>
        <w:rPr>
          <w:rFonts w:hint="eastAsia" w:ascii="宋体" w:hAnsi="宋体"/>
          <w:color w:val="auto"/>
        </w:rPr>
        <w:t>。</w:t>
      </w:r>
    </w:p>
    <w:p w14:paraId="5481EDB7">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18.3 </w:t>
      </w:r>
      <w:r>
        <w:rPr>
          <w:rFonts w:hint="eastAsia" w:ascii="宋体" w:hAnsi="宋体"/>
          <w:color w:val="auto"/>
        </w:rPr>
        <w:t>货物保险</w:t>
      </w:r>
    </w:p>
    <w:p w14:paraId="3B9B7214">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关于承包人应为其施工设备、材料、工程设备和临时工程等办理财产</w:t>
      </w:r>
      <w:r>
        <w:rPr>
          <w:rFonts w:ascii="宋体" w:hAnsi="宋体"/>
          <w:color w:val="auto"/>
        </w:rPr>
        <w:t>保险的特别</w:t>
      </w:r>
      <w:r>
        <w:rPr>
          <w:rFonts w:hint="eastAsia" w:ascii="宋体" w:hAnsi="宋体"/>
          <w:color w:val="auto"/>
        </w:rPr>
        <w:t>约</w:t>
      </w:r>
      <w:r>
        <w:rPr>
          <w:rFonts w:ascii="宋体" w:hAnsi="宋体"/>
          <w:color w:val="auto"/>
        </w:rPr>
        <w:t>定：</w:t>
      </w:r>
      <w:r>
        <w:rPr>
          <w:rFonts w:hint="eastAsia" w:ascii="宋体" w:hAnsi="宋体"/>
          <w:color w:val="auto"/>
          <w:u w:val="single"/>
        </w:rPr>
        <w:t>按相关规定执行</w:t>
      </w:r>
      <w:r>
        <w:rPr>
          <w:rFonts w:hint="eastAsia" w:ascii="宋体" w:hAnsi="宋体"/>
          <w:color w:val="auto"/>
        </w:rPr>
        <w:t>。</w:t>
      </w:r>
    </w:p>
    <w:p w14:paraId="31077668">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18.4 </w:t>
      </w:r>
      <w:r>
        <w:rPr>
          <w:rFonts w:hint="eastAsia" w:ascii="宋体" w:hAnsi="宋体"/>
          <w:color w:val="auto"/>
        </w:rPr>
        <w:t>其他保险</w:t>
      </w:r>
    </w:p>
    <w:p w14:paraId="76AA63D2">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关于其他保险的约定：</w:t>
      </w:r>
      <w:r>
        <w:rPr>
          <w:rFonts w:hint="eastAsia" w:ascii="宋体" w:hAnsi="宋体"/>
          <w:color w:val="auto"/>
          <w:u w:val="single"/>
        </w:rPr>
        <w:t>按相关规定执行</w:t>
      </w:r>
      <w:r>
        <w:rPr>
          <w:rFonts w:hint="eastAsia" w:ascii="宋体" w:hAnsi="宋体"/>
          <w:color w:val="auto"/>
        </w:rPr>
        <w:t>。</w:t>
      </w:r>
    </w:p>
    <w:p w14:paraId="5E53861C">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18.5 </w:t>
      </w:r>
      <w:r>
        <w:rPr>
          <w:rFonts w:hint="eastAsia" w:ascii="宋体" w:hAnsi="宋体"/>
          <w:color w:val="auto"/>
        </w:rPr>
        <w:t>对各项保险的一般要求</w:t>
      </w:r>
    </w:p>
    <w:p w14:paraId="0913CDCC">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18.5.2 保险凭证</w:t>
      </w:r>
    </w:p>
    <w:p w14:paraId="5D4193A4">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保险单的条件：</w:t>
      </w:r>
      <w:r>
        <w:rPr>
          <w:rFonts w:hint="eastAsia" w:ascii="宋体" w:hAnsi="宋体"/>
          <w:color w:val="auto"/>
          <w:u w:val="single"/>
        </w:rPr>
        <w:t>按相关规定执行</w:t>
      </w:r>
      <w:r>
        <w:rPr>
          <w:rFonts w:hint="eastAsia" w:ascii="宋体" w:hAnsi="宋体"/>
          <w:color w:val="auto"/>
        </w:rPr>
        <w:t>。</w:t>
      </w:r>
    </w:p>
    <w:p w14:paraId="7006C47C">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18.5.4 通知义务</w:t>
      </w:r>
    </w:p>
    <w:p w14:paraId="437B2106">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关于变更保险合同时的通知义务的约定：</w:t>
      </w:r>
      <w:r>
        <w:rPr>
          <w:rFonts w:hint="eastAsia" w:ascii="宋体" w:hAnsi="宋体"/>
          <w:color w:val="auto"/>
          <w:u w:val="single"/>
        </w:rPr>
        <w:t>按通用合同条件执行</w:t>
      </w:r>
      <w:r>
        <w:rPr>
          <w:rFonts w:hint="eastAsia" w:ascii="宋体" w:hAnsi="宋体"/>
          <w:color w:val="auto"/>
        </w:rPr>
        <w:t>。</w:t>
      </w:r>
    </w:p>
    <w:p w14:paraId="35DAD801">
      <w:pPr>
        <w:keepNext w:val="0"/>
        <w:keepLines w:val="0"/>
        <w:pageBreakBefore w:val="0"/>
        <w:widowControl/>
        <w:tabs>
          <w:tab w:val="left" w:pos="993"/>
        </w:tabs>
        <w:wordWrap/>
        <w:overflowPunct/>
        <w:topLinePunct w:val="0"/>
        <w:autoSpaceDE/>
        <w:autoSpaceDN/>
        <w:bidi w:val="0"/>
        <w:adjustRightInd w:val="0"/>
        <w:snapToGrid w:val="0"/>
        <w:spacing w:line="360" w:lineRule="exact"/>
        <w:contextualSpacing/>
        <w:textAlignment w:val="auto"/>
        <w:outlineLvl w:val="2"/>
        <w:rPr>
          <w:rFonts w:ascii="宋体" w:hAnsi="宋体" w:cs="Times"/>
          <w:bCs/>
          <w:color w:val="auto"/>
          <w:kern w:val="0"/>
        </w:rPr>
      </w:pPr>
      <w:bookmarkStart w:id="218" w:name="_Toc85451976"/>
      <w:r>
        <w:rPr>
          <w:rFonts w:hint="eastAsia" w:ascii="宋体" w:hAnsi="宋体" w:cs="Times"/>
          <w:bCs/>
          <w:color w:val="auto"/>
          <w:kern w:val="0"/>
        </w:rPr>
        <w:t>第</w:t>
      </w:r>
      <w:r>
        <w:rPr>
          <w:rFonts w:ascii="宋体" w:hAnsi="宋体" w:cs="Times"/>
          <w:bCs/>
          <w:color w:val="auto"/>
          <w:kern w:val="0"/>
        </w:rPr>
        <w:t>20条</w:t>
      </w:r>
      <w:r>
        <w:rPr>
          <w:rFonts w:hint="eastAsia" w:ascii="宋体" w:hAnsi="宋体" w:cs="Times"/>
          <w:bCs/>
          <w:color w:val="auto"/>
          <w:kern w:val="0"/>
        </w:rPr>
        <w:t xml:space="preserve"> 争议解决</w:t>
      </w:r>
      <w:bookmarkEnd w:id="218"/>
    </w:p>
    <w:p w14:paraId="56EA3C28">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20.3 </w:t>
      </w:r>
      <w:r>
        <w:rPr>
          <w:rFonts w:hint="eastAsia" w:ascii="宋体" w:hAnsi="宋体"/>
          <w:color w:val="auto"/>
        </w:rPr>
        <w:t>争议评审</w:t>
      </w:r>
    </w:p>
    <w:p w14:paraId="36C09BEF">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 xml:space="preserve">合同当事人是否同意将工程争议提交争议评审小组决定： </w:t>
      </w:r>
      <w:r>
        <w:rPr>
          <w:rFonts w:ascii="宋体" w:hAnsi="宋体"/>
          <w:color w:val="auto"/>
          <w:u w:val="single"/>
        </w:rPr>
        <w:t xml:space="preserve"> </w:t>
      </w:r>
      <w:r>
        <w:rPr>
          <w:rFonts w:hint="eastAsia" w:ascii="宋体" w:hAnsi="宋体"/>
          <w:color w:val="auto"/>
          <w:u w:val="single"/>
        </w:rPr>
        <w:t>是</w:t>
      </w:r>
      <w:r>
        <w:rPr>
          <w:rFonts w:ascii="宋体" w:hAnsi="宋体"/>
          <w:color w:val="auto"/>
          <w:u w:val="single"/>
        </w:rPr>
        <w:t xml:space="preserve"> </w:t>
      </w:r>
      <w:r>
        <w:rPr>
          <w:rFonts w:hint="eastAsia" w:ascii="宋体" w:hAnsi="宋体"/>
          <w:color w:val="auto"/>
        </w:rPr>
        <w:t>。</w:t>
      </w:r>
    </w:p>
    <w:p w14:paraId="5ABF83D9">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20.3.1</w:t>
      </w:r>
      <w:r>
        <w:rPr>
          <w:rFonts w:hint="eastAsia" w:ascii="宋体" w:hAnsi="宋体"/>
          <w:color w:val="auto"/>
        </w:rPr>
        <w:t xml:space="preserve"> 争议评审小组</w:t>
      </w:r>
      <w:r>
        <w:rPr>
          <w:rFonts w:ascii="宋体" w:hAnsi="宋体"/>
          <w:color w:val="auto"/>
        </w:rPr>
        <w:t>的确定</w:t>
      </w:r>
    </w:p>
    <w:p w14:paraId="0599F558">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争议评审小组成员的人数：</w:t>
      </w:r>
      <w:r>
        <w:rPr>
          <w:rFonts w:ascii="宋体" w:hAnsi="宋体"/>
          <w:color w:val="auto"/>
          <w:u w:val="single"/>
        </w:rPr>
        <w:t xml:space="preserve"> </w:t>
      </w:r>
      <w:r>
        <w:rPr>
          <w:rFonts w:hint="eastAsia" w:ascii="宋体" w:hAnsi="宋体"/>
          <w:color w:val="auto"/>
          <w:u w:val="single"/>
        </w:rPr>
        <w:t>/</w:t>
      </w:r>
      <w:r>
        <w:rPr>
          <w:rFonts w:ascii="宋体" w:hAnsi="宋体"/>
          <w:color w:val="auto"/>
          <w:u w:val="single"/>
        </w:rPr>
        <w:t xml:space="preserve"> </w:t>
      </w:r>
      <w:r>
        <w:rPr>
          <w:rFonts w:ascii="宋体" w:hAnsi="宋体"/>
          <w:color w:val="auto"/>
        </w:rPr>
        <w:t>。</w:t>
      </w:r>
    </w:p>
    <w:p w14:paraId="7F4B050A">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争议评审小组成员的确定：</w:t>
      </w:r>
      <w:r>
        <w:rPr>
          <w:rFonts w:hint="eastAsia" w:ascii="宋体" w:hAnsi="宋体"/>
          <w:color w:val="auto"/>
          <w:u w:val="single"/>
        </w:rPr>
        <w:t xml:space="preserve"> </w:t>
      </w:r>
      <w:r>
        <w:rPr>
          <w:rFonts w:ascii="宋体" w:hAnsi="宋体"/>
          <w:color w:val="auto"/>
          <w:u w:val="single"/>
        </w:rPr>
        <w:t xml:space="preserve">/ </w:t>
      </w:r>
      <w:r>
        <w:rPr>
          <w:rFonts w:ascii="宋体" w:hAnsi="宋体"/>
          <w:color w:val="auto"/>
        </w:rPr>
        <w:t>。</w:t>
      </w:r>
    </w:p>
    <w:p w14:paraId="740AC990">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选定争议避免/评审组的期限：</w:t>
      </w:r>
      <w:r>
        <w:rPr>
          <w:rFonts w:hint="eastAsia" w:ascii="宋体" w:hAnsi="宋体"/>
          <w:color w:val="auto"/>
          <w:u w:val="single"/>
        </w:rPr>
        <w:t xml:space="preserve"> </w:t>
      </w:r>
      <w:r>
        <w:rPr>
          <w:rFonts w:ascii="宋体" w:hAnsi="宋体"/>
          <w:color w:val="auto"/>
          <w:u w:val="single"/>
        </w:rPr>
        <w:t xml:space="preserve">/ </w:t>
      </w:r>
      <w:r>
        <w:rPr>
          <w:rFonts w:ascii="宋体" w:hAnsi="宋体"/>
          <w:color w:val="auto"/>
        </w:rPr>
        <w:t>。</w:t>
      </w:r>
    </w:p>
    <w:p w14:paraId="36495064">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评审机构：</w:t>
      </w:r>
      <w:r>
        <w:rPr>
          <w:rFonts w:ascii="宋体" w:hAnsi="宋体"/>
          <w:color w:val="auto"/>
          <w:u w:val="single"/>
        </w:rPr>
        <w:t xml:space="preserve"> / </w:t>
      </w:r>
      <w:r>
        <w:rPr>
          <w:rFonts w:ascii="宋体" w:hAnsi="宋体"/>
          <w:color w:val="auto"/>
        </w:rPr>
        <w:t>。</w:t>
      </w:r>
    </w:p>
    <w:p w14:paraId="0ED11D12">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其他事项的约定：</w:t>
      </w:r>
      <w:r>
        <w:rPr>
          <w:rFonts w:ascii="宋体" w:hAnsi="宋体"/>
          <w:color w:val="auto"/>
          <w:u w:val="single"/>
        </w:rPr>
        <w:t xml:space="preserve"> / </w:t>
      </w:r>
      <w:r>
        <w:rPr>
          <w:rFonts w:ascii="宋体" w:hAnsi="宋体"/>
          <w:color w:val="auto"/>
        </w:rPr>
        <w:t>。</w:t>
      </w:r>
    </w:p>
    <w:p w14:paraId="7C775ED1">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争议评审员报酬</w:t>
      </w:r>
      <w:r>
        <w:rPr>
          <w:rFonts w:hint="eastAsia" w:ascii="宋体" w:hAnsi="宋体"/>
          <w:color w:val="auto"/>
        </w:rPr>
        <w:t>的承担人：</w:t>
      </w:r>
      <w:r>
        <w:rPr>
          <w:rFonts w:hint="eastAsia" w:ascii="宋体" w:hAnsi="宋体"/>
          <w:color w:val="auto"/>
          <w:u w:val="single"/>
        </w:rPr>
        <w:t xml:space="preserve"> </w:t>
      </w:r>
      <w:r>
        <w:rPr>
          <w:rFonts w:ascii="宋体" w:hAnsi="宋体"/>
          <w:color w:val="auto"/>
          <w:u w:val="single"/>
        </w:rPr>
        <w:t xml:space="preserve">/ </w:t>
      </w:r>
      <w:r>
        <w:rPr>
          <w:rFonts w:hint="eastAsia" w:ascii="宋体" w:hAnsi="宋体"/>
          <w:color w:val="auto"/>
        </w:rPr>
        <w:t>。</w:t>
      </w:r>
    </w:p>
    <w:p w14:paraId="579F57A5">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20.3.2 争议的避免</w:t>
      </w:r>
    </w:p>
    <w:p w14:paraId="06012CE2">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发包人和承包人是否均出席争议避免的非正式讨论：</w:t>
      </w:r>
      <w:r>
        <w:rPr>
          <w:rFonts w:hint="eastAsia" w:ascii="宋体" w:hAnsi="宋体"/>
          <w:color w:val="auto"/>
          <w:u w:val="single"/>
        </w:rPr>
        <w:t>按通用合同条件执行</w:t>
      </w:r>
      <w:r>
        <w:rPr>
          <w:rFonts w:ascii="宋体" w:hAnsi="宋体"/>
          <w:color w:val="auto"/>
        </w:rPr>
        <w:t>。</w:t>
      </w:r>
    </w:p>
    <w:p w14:paraId="1360FC72">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20.3.3</w:t>
      </w:r>
      <w:r>
        <w:rPr>
          <w:rFonts w:hint="eastAsia" w:ascii="宋体" w:hAnsi="宋体"/>
          <w:color w:val="auto"/>
        </w:rPr>
        <w:t xml:space="preserve"> 争议评审小组的决定</w:t>
      </w:r>
    </w:p>
    <w:p w14:paraId="135EC376">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关于争议评审小组的决定的特别约定：</w:t>
      </w:r>
      <w:r>
        <w:rPr>
          <w:rFonts w:hint="eastAsia" w:ascii="宋体" w:hAnsi="宋体"/>
          <w:color w:val="auto"/>
          <w:u w:val="single"/>
        </w:rPr>
        <w:t>按通用合同条件执行</w:t>
      </w:r>
      <w:r>
        <w:rPr>
          <w:rFonts w:ascii="宋体" w:hAnsi="宋体"/>
          <w:color w:val="auto"/>
        </w:rPr>
        <w:t>。</w:t>
      </w:r>
    </w:p>
    <w:p w14:paraId="26FF500F">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ascii="宋体" w:hAnsi="宋体"/>
          <w:color w:val="auto"/>
        </w:rPr>
        <w:t xml:space="preserve">20.4 </w:t>
      </w:r>
      <w:r>
        <w:rPr>
          <w:rFonts w:hint="eastAsia" w:ascii="宋体" w:hAnsi="宋体"/>
          <w:color w:val="auto"/>
        </w:rPr>
        <w:t>仲裁或诉讼</w:t>
      </w:r>
    </w:p>
    <w:p w14:paraId="2F6470CD">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因合同及合同有关事项发生的争议，按下列第</w:t>
      </w:r>
      <w:r>
        <w:rPr>
          <w:rFonts w:ascii="宋体" w:hAnsi="宋体"/>
          <w:color w:val="auto"/>
          <w:u w:val="single"/>
        </w:rPr>
        <w:t xml:space="preserve"> </w:t>
      </w:r>
      <w:r>
        <w:rPr>
          <w:rFonts w:hint="eastAsia" w:ascii="宋体" w:hAnsi="宋体"/>
          <w:color w:val="auto"/>
          <w:u w:val="single"/>
        </w:rPr>
        <w:t>（2）</w:t>
      </w:r>
      <w:r>
        <w:rPr>
          <w:rFonts w:ascii="宋体" w:hAnsi="宋体"/>
          <w:color w:val="auto"/>
          <w:u w:val="single"/>
        </w:rPr>
        <w:t xml:space="preserve"> </w:t>
      </w:r>
      <w:r>
        <w:rPr>
          <w:rFonts w:ascii="宋体" w:hAnsi="宋体"/>
          <w:color w:val="auto"/>
        </w:rPr>
        <w:t>种方式解决：</w:t>
      </w:r>
    </w:p>
    <w:p w14:paraId="077D0B5A">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w:t>
      </w:r>
      <w:r>
        <w:rPr>
          <w:rFonts w:ascii="宋体" w:hAnsi="宋体"/>
          <w:color w:val="auto"/>
        </w:rPr>
        <w:t>1）向</w:t>
      </w:r>
      <w:r>
        <w:rPr>
          <w:rFonts w:ascii="宋体" w:hAnsi="宋体"/>
          <w:color w:val="auto"/>
          <w:u w:val="single"/>
        </w:rPr>
        <w:t xml:space="preserve">            </w:t>
      </w:r>
      <w:r>
        <w:rPr>
          <w:rFonts w:ascii="宋体" w:hAnsi="宋体"/>
          <w:color w:val="auto"/>
        </w:rPr>
        <w:t>仲裁委员会申请仲裁；</w:t>
      </w:r>
    </w:p>
    <w:p w14:paraId="1C787CE9">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w:t>
      </w:r>
      <w:r>
        <w:rPr>
          <w:rFonts w:ascii="宋体" w:hAnsi="宋体"/>
          <w:color w:val="auto"/>
        </w:rPr>
        <w:t>2）向</w:t>
      </w:r>
      <w:r>
        <w:rPr>
          <w:rFonts w:ascii="宋体" w:hAnsi="宋体"/>
          <w:color w:val="auto"/>
          <w:u w:val="single"/>
        </w:rPr>
        <w:t xml:space="preserve"> </w:t>
      </w:r>
      <w:r>
        <w:rPr>
          <w:rFonts w:hint="eastAsia" w:ascii="宋体" w:hAnsi="宋体"/>
          <w:color w:val="auto"/>
          <w:u w:val="single"/>
        </w:rPr>
        <w:t>项目所在地</w:t>
      </w:r>
      <w:r>
        <w:rPr>
          <w:rFonts w:ascii="宋体" w:hAnsi="宋体"/>
          <w:color w:val="auto"/>
          <w:u w:val="single"/>
        </w:rPr>
        <w:t xml:space="preserve"> </w:t>
      </w:r>
      <w:r>
        <w:rPr>
          <w:rFonts w:ascii="宋体" w:hAnsi="宋体"/>
          <w:color w:val="auto"/>
        </w:rPr>
        <w:t>人民法院起诉。</w:t>
      </w:r>
    </w:p>
    <w:p w14:paraId="7AFDD3D2">
      <w:pPr>
        <w:keepNext w:val="0"/>
        <w:keepLines w:val="0"/>
        <w:pageBreakBefore w:val="0"/>
        <w:widowControl/>
        <w:tabs>
          <w:tab w:val="left" w:pos="993"/>
        </w:tabs>
        <w:wordWrap/>
        <w:overflowPunct/>
        <w:topLinePunct w:val="0"/>
        <w:autoSpaceDE/>
        <w:autoSpaceDN/>
        <w:bidi w:val="0"/>
        <w:adjustRightInd w:val="0"/>
        <w:snapToGrid w:val="0"/>
        <w:spacing w:line="360" w:lineRule="exact"/>
        <w:contextualSpacing/>
        <w:textAlignment w:val="auto"/>
        <w:outlineLvl w:val="2"/>
        <w:rPr>
          <w:rFonts w:ascii="宋体" w:hAnsi="宋体" w:cs="Times"/>
          <w:bCs/>
          <w:color w:val="auto"/>
          <w:kern w:val="0"/>
        </w:rPr>
      </w:pPr>
      <w:r>
        <w:rPr>
          <w:rFonts w:hint="eastAsia" w:ascii="宋体" w:hAnsi="宋体" w:cs="Times"/>
          <w:bCs/>
          <w:color w:val="auto"/>
          <w:kern w:val="0"/>
        </w:rPr>
        <w:t>第21条补充条款</w:t>
      </w:r>
    </w:p>
    <w:p w14:paraId="4BC36EBF">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rFonts w:ascii="宋体" w:hAnsi="宋体"/>
          <w:color w:val="auto"/>
        </w:rPr>
      </w:pPr>
      <w:r>
        <w:rPr>
          <w:rFonts w:hint="eastAsia" w:ascii="宋体" w:hAnsi="宋体"/>
          <w:color w:val="auto"/>
        </w:rPr>
        <w:t>（1）竣工验收20天内必须提供评审资料纸质版和电子版。</w:t>
      </w:r>
    </w:p>
    <w:p w14:paraId="7506E6C1">
      <w:pPr>
        <w:keepNext w:val="0"/>
        <w:keepLines w:val="0"/>
        <w:pageBreakBefore w:val="0"/>
        <w:wordWrap/>
        <w:overflowPunct/>
        <w:topLinePunct w:val="0"/>
        <w:autoSpaceDE/>
        <w:autoSpaceDN/>
        <w:bidi w:val="0"/>
        <w:adjustRightInd w:val="0"/>
        <w:snapToGrid w:val="0"/>
        <w:spacing w:line="360" w:lineRule="exact"/>
        <w:ind w:firstLine="420" w:firstLineChars="200"/>
        <w:contextualSpacing/>
        <w:textAlignment w:val="auto"/>
        <w:rPr>
          <w:color w:val="auto"/>
        </w:rPr>
      </w:pPr>
      <w:r>
        <w:rPr>
          <w:rFonts w:hint="eastAsia" w:ascii="宋体" w:hAnsi="宋体"/>
          <w:color w:val="auto"/>
        </w:rPr>
        <w:t>（2）施工单位有下列行为的上报行业主管部门：①安全责任；②农民工讨薪；③存在质量缺陷整改不及时；④延误工期；⑤评审资料提交不及时。</w:t>
      </w:r>
      <w:bookmarkEnd w:id="184"/>
    </w:p>
    <w:p w14:paraId="37952574">
      <w:pPr>
        <w:pStyle w:val="57"/>
        <w:outlineLvl w:val="9"/>
        <w:rPr>
          <w:rFonts w:hint="eastAsia" w:ascii="宋体" w:hAnsi="宋体" w:cs="宋体"/>
          <w:b/>
          <w:bCs/>
          <w:color w:val="auto"/>
          <w:lang w:val="zh-TW" w:eastAsia="zh-TW"/>
        </w:rPr>
      </w:pPr>
    </w:p>
    <w:p w14:paraId="6BE8257A">
      <w:pPr>
        <w:pStyle w:val="57"/>
        <w:outlineLvl w:val="9"/>
        <w:rPr>
          <w:rFonts w:hint="eastAsia" w:ascii="宋体" w:hAnsi="宋体" w:cs="宋体"/>
          <w:b/>
          <w:bCs/>
          <w:color w:val="auto"/>
          <w:lang w:val="zh-TW" w:eastAsia="zh-TW"/>
        </w:rPr>
      </w:pPr>
    </w:p>
    <w:p w14:paraId="487B6E96">
      <w:pPr>
        <w:pStyle w:val="57"/>
        <w:outlineLvl w:val="9"/>
        <w:rPr>
          <w:rFonts w:hint="eastAsia" w:ascii="宋体" w:hAnsi="宋体" w:cs="宋体"/>
          <w:b/>
          <w:bCs/>
          <w:color w:val="auto"/>
          <w:lang w:val="zh-TW" w:eastAsia="zh-TW"/>
        </w:rPr>
      </w:pPr>
    </w:p>
    <w:p w14:paraId="355B0A83">
      <w:pPr>
        <w:pStyle w:val="57"/>
        <w:outlineLvl w:val="9"/>
        <w:rPr>
          <w:rFonts w:hint="eastAsia" w:ascii="宋体" w:hAnsi="宋体" w:cs="宋体"/>
          <w:b/>
          <w:bCs/>
          <w:color w:val="auto"/>
          <w:lang w:val="zh-TW" w:eastAsia="zh-TW"/>
        </w:rPr>
      </w:pPr>
    </w:p>
    <w:p w14:paraId="01A994E4">
      <w:pPr>
        <w:pStyle w:val="57"/>
        <w:outlineLvl w:val="9"/>
        <w:rPr>
          <w:rFonts w:hint="eastAsia" w:ascii="宋体" w:hAnsi="宋体" w:cs="宋体"/>
          <w:b/>
          <w:bCs/>
          <w:color w:val="auto"/>
          <w:lang w:val="zh-TW" w:eastAsia="zh-TW"/>
        </w:rPr>
      </w:pPr>
    </w:p>
    <w:p w14:paraId="26B43886">
      <w:pPr>
        <w:pStyle w:val="57"/>
        <w:outlineLvl w:val="9"/>
        <w:rPr>
          <w:rFonts w:hint="eastAsia" w:ascii="宋体" w:hAnsi="宋体" w:cs="宋体"/>
          <w:b/>
          <w:bCs/>
          <w:color w:val="auto"/>
          <w:lang w:val="zh-TW" w:eastAsia="zh-TW"/>
        </w:rPr>
      </w:pPr>
    </w:p>
    <w:p w14:paraId="6E7223C9">
      <w:pPr>
        <w:pStyle w:val="57"/>
        <w:outlineLvl w:val="9"/>
        <w:rPr>
          <w:rFonts w:ascii="宋体" w:hAnsi="宋体" w:cs="宋体"/>
          <w:b/>
          <w:bCs/>
          <w:color w:val="auto"/>
          <w:lang w:val="zh-TW" w:eastAsia="zh-TW"/>
        </w:rPr>
      </w:pPr>
      <w:r>
        <w:rPr>
          <w:rFonts w:hint="eastAsia" w:ascii="宋体" w:hAnsi="宋体" w:cs="宋体"/>
          <w:b/>
          <w:bCs/>
          <w:color w:val="auto"/>
          <w:lang w:val="zh-TW" w:eastAsia="zh-TW"/>
        </w:rPr>
        <w:t>注：本合同为参照版本，实际以招标人和中标人签订的为准。</w:t>
      </w:r>
    </w:p>
    <w:p w14:paraId="644CE2C5">
      <w:pPr>
        <w:pStyle w:val="3"/>
        <w:spacing w:beforeLines="0" w:afterLines="0"/>
        <w:rPr>
          <w:rFonts w:hint="eastAsia" w:hAnsi="宋体"/>
          <w:bCs w:val="0"/>
          <w:color w:val="auto"/>
          <w:sz w:val="48"/>
        </w:rPr>
      </w:pPr>
    </w:p>
    <w:p w14:paraId="090EFF6C">
      <w:pPr>
        <w:pStyle w:val="3"/>
        <w:spacing w:beforeLines="0" w:afterLines="0"/>
        <w:rPr>
          <w:rFonts w:hint="eastAsia" w:hAnsi="宋体"/>
          <w:bCs w:val="0"/>
          <w:color w:val="auto"/>
          <w:sz w:val="48"/>
        </w:rPr>
      </w:pPr>
    </w:p>
    <w:p w14:paraId="455FBFBB">
      <w:pPr>
        <w:rPr>
          <w:rFonts w:hint="eastAsia" w:hAnsi="宋体"/>
          <w:bCs w:val="0"/>
          <w:color w:val="auto"/>
          <w:sz w:val="48"/>
        </w:rPr>
      </w:pPr>
      <w:bookmarkStart w:id="219" w:name="_Toc22912"/>
      <w:r>
        <w:rPr>
          <w:rFonts w:hint="eastAsia" w:hAnsi="宋体"/>
          <w:bCs w:val="0"/>
          <w:color w:val="auto"/>
          <w:sz w:val="48"/>
        </w:rPr>
        <w:br w:type="page"/>
      </w:r>
    </w:p>
    <w:p w14:paraId="5AAF0F9A">
      <w:pPr>
        <w:pStyle w:val="3"/>
        <w:spacing w:beforeLines="0" w:afterLines="0"/>
        <w:jc w:val="center"/>
        <w:rPr>
          <w:rFonts w:hAnsi="宋体"/>
          <w:bCs w:val="0"/>
          <w:color w:val="auto"/>
          <w:sz w:val="48"/>
        </w:rPr>
      </w:pPr>
      <w:r>
        <w:rPr>
          <w:rFonts w:hint="eastAsia" w:hAnsi="宋体"/>
          <w:bCs w:val="0"/>
          <w:color w:val="auto"/>
          <w:sz w:val="48"/>
          <w:lang w:val="en-US" w:eastAsia="zh-CN"/>
        </w:rPr>
        <w:t xml:space="preserve">   </w:t>
      </w:r>
      <w:r>
        <w:rPr>
          <w:rFonts w:hint="eastAsia" w:hAnsi="宋体"/>
          <w:bCs w:val="0"/>
          <w:color w:val="auto"/>
          <w:sz w:val="48"/>
        </w:rPr>
        <w:t>第五章 投标文件</w:t>
      </w:r>
      <w:r>
        <w:rPr>
          <w:rFonts w:hAnsi="宋体"/>
          <w:bCs w:val="0"/>
          <w:color w:val="auto"/>
          <w:sz w:val="48"/>
        </w:rPr>
        <w:t>格式</w:t>
      </w:r>
      <w:bookmarkEnd w:id="219"/>
    </w:p>
    <w:p w14:paraId="52037BFE">
      <w:pPr>
        <w:jc w:val="center"/>
        <w:rPr>
          <w:rFonts w:ascii="宋体" w:hAnsi="宋体"/>
          <w:color w:val="auto"/>
          <w:sz w:val="28"/>
          <w:szCs w:val="28"/>
        </w:rPr>
      </w:pPr>
    </w:p>
    <w:p w14:paraId="358970F3">
      <w:pPr>
        <w:jc w:val="center"/>
        <w:rPr>
          <w:rFonts w:ascii="宋体" w:hAnsi="宋体"/>
          <w:b w:val="0"/>
          <w:bCs w:val="0"/>
          <w:color w:val="auto"/>
          <w:sz w:val="36"/>
          <w:szCs w:val="36"/>
        </w:rPr>
      </w:pPr>
      <w:r>
        <w:rPr>
          <w:rFonts w:hint="eastAsia" w:ascii="宋体" w:hAnsi="宋体"/>
          <w:b w:val="0"/>
          <w:bCs w:val="0"/>
          <w:color w:val="auto"/>
          <w:sz w:val="36"/>
          <w:szCs w:val="36"/>
          <w:u w:val="single"/>
        </w:rPr>
        <w:t xml:space="preserve">                 </w:t>
      </w:r>
      <w:r>
        <w:rPr>
          <w:rFonts w:ascii="宋体" w:hAnsi="宋体"/>
          <w:b w:val="0"/>
          <w:bCs w:val="0"/>
          <w:color w:val="auto"/>
          <w:sz w:val="36"/>
          <w:szCs w:val="36"/>
        </w:rPr>
        <w:t>（项目名称）</w:t>
      </w:r>
    </w:p>
    <w:p w14:paraId="557E6C6C">
      <w:pPr>
        <w:rPr>
          <w:rFonts w:ascii="宋体" w:hAnsi="宋体"/>
          <w:color w:val="auto"/>
          <w:sz w:val="20"/>
        </w:rPr>
      </w:pPr>
    </w:p>
    <w:p w14:paraId="492C3B4D">
      <w:pPr>
        <w:rPr>
          <w:rFonts w:ascii="宋体" w:hAnsi="宋体"/>
          <w:color w:val="auto"/>
          <w:sz w:val="20"/>
        </w:rPr>
      </w:pPr>
    </w:p>
    <w:p w14:paraId="491C6B70">
      <w:pPr>
        <w:rPr>
          <w:rFonts w:ascii="宋体" w:hAnsi="宋体"/>
          <w:color w:val="auto"/>
          <w:sz w:val="20"/>
        </w:rPr>
      </w:pPr>
    </w:p>
    <w:p w14:paraId="0FA3A9F8">
      <w:pPr>
        <w:jc w:val="center"/>
        <w:rPr>
          <w:rFonts w:ascii="宋体" w:hAnsi="宋体"/>
          <w:color w:val="auto"/>
          <w:sz w:val="44"/>
          <w:szCs w:val="44"/>
        </w:rPr>
      </w:pPr>
      <w:r>
        <w:rPr>
          <w:rFonts w:ascii="宋体" w:hAnsi="宋体"/>
          <w:color w:val="auto"/>
          <w:sz w:val="44"/>
          <w:szCs w:val="44"/>
        </w:rPr>
        <w:t>投  标  文  件</w:t>
      </w:r>
    </w:p>
    <w:p w14:paraId="47B6A106">
      <w:pPr>
        <w:rPr>
          <w:rFonts w:ascii="宋体" w:hAnsi="宋体"/>
          <w:color w:val="auto"/>
          <w:sz w:val="28"/>
          <w:szCs w:val="28"/>
        </w:rPr>
      </w:pPr>
    </w:p>
    <w:p w14:paraId="769BBE5F">
      <w:pPr>
        <w:rPr>
          <w:rFonts w:ascii="宋体" w:hAnsi="宋体"/>
          <w:color w:val="auto"/>
          <w:sz w:val="28"/>
          <w:szCs w:val="28"/>
        </w:rPr>
      </w:pPr>
    </w:p>
    <w:p w14:paraId="693B74D6">
      <w:pPr>
        <w:rPr>
          <w:rFonts w:ascii="宋体" w:hAnsi="宋体"/>
          <w:color w:val="auto"/>
          <w:sz w:val="28"/>
          <w:szCs w:val="28"/>
        </w:rPr>
      </w:pPr>
    </w:p>
    <w:p w14:paraId="73A08770">
      <w:pPr>
        <w:rPr>
          <w:rFonts w:ascii="宋体" w:hAnsi="宋体"/>
          <w:color w:val="auto"/>
          <w:sz w:val="28"/>
          <w:szCs w:val="28"/>
        </w:rPr>
      </w:pPr>
    </w:p>
    <w:p w14:paraId="56A13D83">
      <w:pPr>
        <w:rPr>
          <w:rFonts w:ascii="宋体" w:hAnsi="宋体"/>
          <w:color w:val="auto"/>
          <w:sz w:val="28"/>
          <w:szCs w:val="28"/>
        </w:rPr>
      </w:pPr>
    </w:p>
    <w:p w14:paraId="0E7869EB">
      <w:pPr>
        <w:rPr>
          <w:rFonts w:ascii="宋体" w:hAnsi="宋体"/>
          <w:color w:val="auto"/>
          <w:sz w:val="28"/>
          <w:szCs w:val="28"/>
        </w:rPr>
      </w:pPr>
    </w:p>
    <w:p w14:paraId="004A1AA4">
      <w:pPr>
        <w:rPr>
          <w:rFonts w:ascii="宋体" w:hAnsi="宋体"/>
          <w:color w:val="auto"/>
          <w:sz w:val="28"/>
          <w:szCs w:val="28"/>
        </w:rPr>
      </w:pPr>
    </w:p>
    <w:p w14:paraId="137995D3">
      <w:pPr>
        <w:rPr>
          <w:rFonts w:ascii="宋体" w:hAnsi="宋体"/>
          <w:color w:val="auto"/>
          <w:sz w:val="28"/>
          <w:szCs w:val="28"/>
        </w:rPr>
      </w:pPr>
    </w:p>
    <w:p w14:paraId="548284A2">
      <w:pPr>
        <w:rPr>
          <w:rFonts w:ascii="宋体" w:hAnsi="宋体"/>
          <w:color w:val="auto"/>
          <w:sz w:val="28"/>
          <w:szCs w:val="28"/>
        </w:rPr>
      </w:pPr>
    </w:p>
    <w:p w14:paraId="5EC8BB18">
      <w:pPr>
        <w:jc w:val="center"/>
        <w:rPr>
          <w:rFonts w:ascii="宋体" w:hAnsi="宋体"/>
          <w:color w:val="auto"/>
          <w:sz w:val="28"/>
          <w:szCs w:val="28"/>
          <w:u w:val="single"/>
        </w:rPr>
      </w:pPr>
      <w:r>
        <w:rPr>
          <w:rFonts w:ascii="宋体" w:hAnsi="宋体"/>
          <w:color w:val="auto"/>
          <w:sz w:val="28"/>
          <w:szCs w:val="28"/>
        </w:rPr>
        <w:t>投标人：</w:t>
      </w:r>
      <w:r>
        <w:rPr>
          <w:rFonts w:ascii="宋体" w:hAnsi="宋体"/>
          <w:color w:val="auto"/>
          <w:sz w:val="28"/>
          <w:szCs w:val="28"/>
          <w:u w:val="single"/>
        </w:rPr>
        <w:t xml:space="preserve">                     </w:t>
      </w:r>
      <w:r>
        <w:rPr>
          <w:rFonts w:hint="eastAsia" w:ascii="宋体" w:hAnsi="宋体"/>
          <w:color w:val="auto"/>
          <w:sz w:val="28"/>
          <w:szCs w:val="28"/>
          <w:u w:val="single"/>
        </w:rPr>
        <w:t xml:space="preserve">  </w:t>
      </w:r>
      <w:r>
        <w:rPr>
          <w:rFonts w:ascii="宋体" w:hAnsi="宋体"/>
          <w:color w:val="auto"/>
          <w:sz w:val="28"/>
          <w:szCs w:val="28"/>
          <w:u w:val="single"/>
        </w:rPr>
        <w:t xml:space="preserve">       </w:t>
      </w:r>
      <w:r>
        <w:rPr>
          <w:rFonts w:ascii="宋体" w:hAnsi="宋体"/>
          <w:color w:val="auto"/>
          <w:sz w:val="28"/>
          <w:szCs w:val="28"/>
        </w:rPr>
        <w:t>（</w:t>
      </w:r>
      <w:r>
        <w:rPr>
          <w:rFonts w:hint="eastAsia" w:ascii="宋体" w:hAnsi="宋体"/>
          <w:color w:val="auto"/>
          <w:sz w:val="28"/>
          <w:szCs w:val="28"/>
        </w:rPr>
        <w:t>电子签章</w:t>
      </w:r>
      <w:r>
        <w:rPr>
          <w:rFonts w:ascii="宋体" w:hAnsi="宋体"/>
          <w:color w:val="auto"/>
          <w:sz w:val="28"/>
          <w:szCs w:val="28"/>
        </w:rPr>
        <w:t>）</w:t>
      </w:r>
    </w:p>
    <w:p w14:paraId="4E1633D3">
      <w:pPr>
        <w:jc w:val="center"/>
        <w:rPr>
          <w:rFonts w:ascii="宋体" w:hAnsi="宋体"/>
          <w:color w:val="auto"/>
          <w:sz w:val="28"/>
          <w:szCs w:val="28"/>
        </w:rPr>
      </w:pPr>
      <w:r>
        <w:rPr>
          <w:rFonts w:ascii="宋体" w:hAnsi="宋体"/>
          <w:color w:val="auto"/>
          <w:sz w:val="28"/>
          <w:szCs w:val="28"/>
        </w:rPr>
        <w:t>法定代表人或其委托代理人：</w:t>
      </w:r>
      <w:r>
        <w:rPr>
          <w:rFonts w:ascii="宋体" w:hAnsi="宋体"/>
          <w:color w:val="auto"/>
          <w:sz w:val="28"/>
          <w:szCs w:val="28"/>
          <w:u w:val="single"/>
        </w:rPr>
        <w:t xml:space="preserve">                </w:t>
      </w:r>
      <w:r>
        <w:rPr>
          <w:rFonts w:ascii="宋体" w:hAnsi="宋体"/>
          <w:color w:val="auto"/>
          <w:sz w:val="28"/>
          <w:szCs w:val="28"/>
        </w:rPr>
        <w:t>（</w:t>
      </w:r>
      <w:r>
        <w:rPr>
          <w:rFonts w:hint="eastAsia" w:ascii="宋体" w:hAnsi="宋体"/>
          <w:color w:val="auto"/>
          <w:sz w:val="28"/>
          <w:szCs w:val="28"/>
        </w:rPr>
        <w:t>电子签章</w:t>
      </w:r>
      <w:r>
        <w:rPr>
          <w:rFonts w:ascii="宋体" w:hAnsi="宋体"/>
          <w:color w:val="auto"/>
          <w:sz w:val="28"/>
          <w:szCs w:val="28"/>
        </w:rPr>
        <w:t>）</w:t>
      </w:r>
    </w:p>
    <w:p w14:paraId="089A3082">
      <w:pPr>
        <w:jc w:val="center"/>
        <w:rPr>
          <w:rFonts w:ascii="宋体" w:hAnsi="宋体"/>
          <w:color w:val="auto"/>
          <w:sz w:val="28"/>
          <w:szCs w:val="28"/>
        </w:rPr>
      </w:pPr>
      <w:r>
        <w:rPr>
          <w:rFonts w:ascii="宋体" w:hAnsi="宋体"/>
          <w:color w:val="auto"/>
          <w:sz w:val="28"/>
          <w:szCs w:val="28"/>
          <w:u w:val="single"/>
        </w:rPr>
        <w:t xml:space="preserve">        </w:t>
      </w:r>
      <w:r>
        <w:rPr>
          <w:rFonts w:ascii="宋体" w:hAnsi="宋体"/>
          <w:color w:val="auto"/>
          <w:sz w:val="28"/>
          <w:szCs w:val="28"/>
        </w:rPr>
        <w:t>年</w:t>
      </w:r>
      <w:r>
        <w:rPr>
          <w:rFonts w:ascii="宋体" w:hAnsi="宋体"/>
          <w:color w:val="auto"/>
          <w:sz w:val="28"/>
          <w:szCs w:val="28"/>
          <w:u w:val="single"/>
        </w:rPr>
        <w:t xml:space="preserve">        </w:t>
      </w:r>
      <w:r>
        <w:rPr>
          <w:rFonts w:ascii="宋体" w:hAnsi="宋体"/>
          <w:color w:val="auto"/>
          <w:sz w:val="28"/>
          <w:szCs w:val="28"/>
        </w:rPr>
        <w:t>月</w:t>
      </w:r>
      <w:r>
        <w:rPr>
          <w:rFonts w:ascii="宋体" w:hAnsi="宋体"/>
          <w:color w:val="auto"/>
          <w:sz w:val="28"/>
          <w:szCs w:val="28"/>
          <w:u w:val="single"/>
        </w:rPr>
        <w:t xml:space="preserve">         </w:t>
      </w:r>
      <w:r>
        <w:rPr>
          <w:rFonts w:ascii="宋体" w:hAnsi="宋体"/>
          <w:color w:val="auto"/>
          <w:sz w:val="28"/>
          <w:szCs w:val="28"/>
        </w:rPr>
        <w:t>日</w:t>
      </w:r>
    </w:p>
    <w:p w14:paraId="3BFB0615">
      <w:pPr>
        <w:jc w:val="center"/>
        <w:rPr>
          <w:rFonts w:hint="eastAsia"/>
          <w:b/>
          <w:bCs/>
          <w:color w:val="auto"/>
          <w:sz w:val="32"/>
          <w:szCs w:val="40"/>
        </w:rPr>
      </w:pPr>
      <w:bookmarkStart w:id="220" w:name="_Toc474179222"/>
      <w:bookmarkStart w:id="221" w:name="_Toc480918948"/>
      <w:bookmarkStart w:id="222" w:name="_Toc451244234"/>
      <w:bookmarkStart w:id="223" w:name="_Toc30884"/>
      <w:bookmarkStart w:id="224" w:name="_Toc152045787"/>
      <w:bookmarkStart w:id="225" w:name="_Toc474178986"/>
      <w:bookmarkStart w:id="226" w:name="_Toc85443498"/>
      <w:bookmarkStart w:id="227" w:name="_Toc300835209"/>
      <w:bookmarkStart w:id="228" w:name="_Toc144974856"/>
      <w:bookmarkStart w:id="229" w:name="_Toc247514246"/>
      <w:bookmarkStart w:id="230" w:name="_Toc85368307"/>
      <w:bookmarkStart w:id="231" w:name="_Toc247527827"/>
      <w:bookmarkStart w:id="232" w:name="_Toc97752034"/>
      <w:bookmarkStart w:id="233" w:name="_Toc152042576"/>
    </w:p>
    <w:p w14:paraId="4899539E">
      <w:pPr>
        <w:jc w:val="center"/>
        <w:rPr>
          <w:rFonts w:hint="eastAsia"/>
          <w:b/>
          <w:bCs/>
          <w:color w:val="auto"/>
          <w:sz w:val="32"/>
          <w:szCs w:val="40"/>
        </w:rPr>
      </w:pPr>
    </w:p>
    <w:p w14:paraId="6D956B6E">
      <w:pPr>
        <w:rPr>
          <w:rFonts w:hint="eastAsia"/>
          <w:b/>
          <w:bCs/>
          <w:color w:val="auto"/>
          <w:sz w:val="32"/>
          <w:szCs w:val="40"/>
        </w:rPr>
      </w:pPr>
      <w:r>
        <w:rPr>
          <w:rFonts w:hint="eastAsia"/>
          <w:b/>
          <w:bCs/>
          <w:color w:val="auto"/>
          <w:sz w:val="32"/>
          <w:szCs w:val="40"/>
        </w:rPr>
        <w:br w:type="page"/>
      </w:r>
    </w:p>
    <w:p w14:paraId="0116D23B">
      <w:pPr>
        <w:jc w:val="center"/>
        <w:rPr>
          <w:b/>
          <w:bCs/>
          <w:color w:val="auto"/>
          <w:sz w:val="32"/>
          <w:szCs w:val="40"/>
        </w:rPr>
      </w:pPr>
      <w:r>
        <w:rPr>
          <w:rFonts w:hint="eastAsia"/>
          <w:b/>
          <w:bCs/>
          <w:color w:val="auto"/>
          <w:sz w:val="32"/>
          <w:szCs w:val="40"/>
        </w:rPr>
        <w:t>目    录</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p>
    <w:p w14:paraId="712F1CC9">
      <w:pPr>
        <w:spacing w:line="360" w:lineRule="auto"/>
        <w:ind w:firstLine="420" w:firstLineChars="200"/>
        <w:rPr>
          <w:rFonts w:ascii="宋体" w:hAnsi="宋体"/>
          <w:color w:val="auto"/>
          <w:szCs w:val="21"/>
        </w:rPr>
      </w:pPr>
      <w:r>
        <w:rPr>
          <w:rFonts w:hint="eastAsia" w:ascii="宋体" w:hAnsi="宋体"/>
          <w:color w:val="auto"/>
          <w:szCs w:val="21"/>
        </w:rPr>
        <w:t>一、投标函及投标函附录</w:t>
      </w:r>
    </w:p>
    <w:p w14:paraId="1B37E03A">
      <w:pPr>
        <w:spacing w:line="360" w:lineRule="auto"/>
        <w:ind w:firstLine="420" w:firstLineChars="200"/>
        <w:rPr>
          <w:rFonts w:ascii="宋体" w:hAnsi="宋体"/>
          <w:color w:val="auto"/>
          <w:szCs w:val="21"/>
        </w:rPr>
      </w:pPr>
      <w:r>
        <w:rPr>
          <w:rFonts w:hint="eastAsia" w:ascii="宋体" w:hAnsi="宋体"/>
          <w:color w:val="auto"/>
          <w:szCs w:val="21"/>
        </w:rPr>
        <w:t>二、法定代表人身份证明</w:t>
      </w:r>
    </w:p>
    <w:p w14:paraId="5B20A9B7">
      <w:pPr>
        <w:spacing w:line="360" w:lineRule="auto"/>
        <w:ind w:firstLine="420" w:firstLineChars="200"/>
        <w:rPr>
          <w:rFonts w:ascii="宋体" w:hAnsi="宋体"/>
          <w:color w:val="auto"/>
          <w:szCs w:val="21"/>
        </w:rPr>
      </w:pPr>
      <w:r>
        <w:rPr>
          <w:rFonts w:hint="eastAsia" w:ascii="宋体" w:hAnsi="宋体"/>
          <w:color w:val="auto"/>
          <w:szCs w:val="21"/>
        </w:rPr>
        <w:t>三、法定代表人授权委托书</w:t>
      </w:r>
    </w:p>
    <w:p w14:paraId="14507FE5">
      <w:pPr>
        <w:spacing w:line="360" w:lineRule="auto"/>
        <w:ind w:firstLine="420" w:firstLineChars="200"/>
        <w:rPr>
          <w:rFonts w:ascii="宋体" w:hAnsi="宋体"/>
          <w:color w:val="auto"/>
          <w:szCs w:val="21"/>
        </w:rPr>
      </w:pPr>
      <w:r>
        <w:rPr>
          <w:rFonts w:hint="eastAsia" w:ascii="宋体" w:hAnsi="宋体"/>
          <w:color w:val="auto"/>
          <w:szCs w:val="21"/>
        </w:rPr>
        <w:t>四、联合体协议书</w:t>
      </w:r>
    </w:p>
    <w:p w14:paraId="0F4A7CF9">
      <w:pPr>
        <w:spacing w:line="360" w:lineRule="auto"/>
        <w:ind w:firstLine="420" w:firstLineChars="200"/>
        <w:rPr>
          <w:rFonts w:ascii="宋体" w:hAnsi="宋体"/>
          <w:color w:val="auto"/>
          <w:szCs w:val="21"/>
        </w:rPr>
      </w:pPr>
      <w:r>
        <w:rPr>
          <w:rFonts w:hint="eastAsia" w:ascii="宋体" w:hAnsi="宋体"/>
          <w:color w:val="auto"/>
          <w:szCs w:val="21"/>
        </w:rPr>
        <w:t>五、投标单位设计资质证书、勘察资质证书和施工资质证书</w:t>
      </w:r>
    </w:p>
    <w:p w14:paraId="4ABAEB81">
      <w:pPr>
        <w:spacing w:line="360" w:lineRule="auto"/>
        <w:ind w:firstLine="420" w:firstLineChars="200"/>
        <w:rPr>
          <w:rFonts w:ascii="宋体" w:hAnsi="宋体"/>
          <w:color w:val="auto"/>
          <w:szCs w:val="21"/>
        </w:rPr>
      </w:pPr>
      <w:r>
        <w:rPr>
          <w:rFonts w:hint="eastAsia" w:ascii="宋体" w:hAnsi="宋体"/>
          <w:color w:val="auto"/>
          <w:szCs w:val="21"/>
        </w:rPr>
        <w:t xml:space="preserve">六、投标保证金 </w:t>
      </w:r>
    </w:p>
    <w:p w14:paraId="059BA6F4">
      <w:pPr>
        <w:spacing w:line="360" w:lineRule="auto"/>
        <w:ind w:firstLine="420" w:firstLineChars="200"/>
        <w:rPr>
          <w:rFonts w:hint="eastAsia" w:ascii="宋体" w:hAnsi="宋体"/>
          <w:color w:val="auto"/>
          <w:szCs w:val="21"/>
        </w:rPr>
      </w:pPr>
      <w:r>
        <w:rPr>
          <w:rFonts w:hint="eastAsia" w:ascii="宋体" w:hAnsi="宋体"/>
          <w:color w:val="auto"/>
          <w:szCs w:val="21"/>
        </w:rPr>
        <w:t>七、施工实施方案</w:t>
      </w:r>
    </w:p>
    <w:p w14:paraId="4853C451">
      <w:pPr>
        <w:spacing w:line="360" w:lineRule="auto"/>
        <w:ind w:firstLine="420" w:firstLineChars="200"/>
        <w:rPr>
          <w:rFonts w:ascii="宋体" w:hAnsi="宋体"/>
          <w:color w:val="auto"/>
          <w:szCs w:val="21"/>
        </w:rPr>
      </w:pPr>
      <w:r>
        <w:rPr>
          <w:rFonts w:hint="eastAsia" w:ascii="宋体" w:hAnsi="宋体"/>
          <w:color w:val="auto"/>
          <w:szCs w:val="21"/>
        </w:rPr>
        <w:t>八、设计工作方案</w:t>
      </w:r>
    </w:p>
    <w:p w14:paraId="0636272D">
      <w:pPr>
        <w:spacing w:line="360" w:lineRule="auto"/>
        <w:ind w:firstLine="420" w:firstLineChars="200"/>
        <w:rPr>
          <w:rFonts w:ascii="宋体" w:hAnsi="宋体"/>
          <w:color w:val="auto"/>
          <w:szCs w:val="21"/>
        </w:rPr>
      </w:pPr>
      <w:r>
        <w:rPr>
          <w:rFonts w:hint="eastAsia" w:ascii="宋体" w:hAnsi="宋体"/>
          <w:color w:val="auto"/>
          <w:szCs w:val="21"/>
        </w:rPr>
        <w:t>九、勘察工作方案</w:t>
      </w:r>
    </w:p>
    <w:p w14:paraId="20002A5B">
      <w:pPr>
        <w:spacing w:line="360" w:lineRule="auto"/>
        <w:ind w:firstLine="420" w:firstLineChars="200"/>
        <w:rPr>
          <w:rFonts w:ascii="宋体" w:hAnsi="宋体"/>
          <w:color w:val="auto"/>
          <w:szCs w:val="21"/>
        </w:rPr>
      </w:pPr>
      <w:r>
        <w:rPr>
          <w:rFonts w:hint="eastAsia" w:ascii="宋体" w:hAnsi="宋体"/>
          <w:color w:val="auto"/>
          <w:szCs w:val="21"/>
        </w:rPr>
        <w:t>十、施工计划</w:t>
      </w:r>
    </w:p>
    <w:p w14:paraId="217C4930">
      <w:pPr>
        <w:spacing w:line="360" w:lineRule="auto"/>
        <w:ind w:firstLine="420" w:firstLineChars="200"/>
        <w:rPr>
          <w:rFonts w:ascii="宋体" w:hAnsi="宋体"/>
          <w:color w:val="auto"/>
          <w:szCs w:val="21"/>
        </w:rPr>
      </w:pPr>
      <w:r>
        <w:rPr>
          <w:rFonts w:hint="eastAsia" w:ascii="宋体" w:hAnsi="宋体"/>
          <w:color w:val="auto"/>
          <w:kern w:val="0"/>
        </w:rPr>
        <w:t>十一、</w:t>
      </w:r>
      <w:r>
        <w:rPr>
          <w:rFonts w:hint="eastAsia" w:ascii="宋体" w:hAnsi="宋体"/>
          <w:color w:val="auto"/>
          <w:kern w:val="0"/>
          <w:lang w:val="zh-TW" w:eastAsia="zh-TW"/>
        </w:rPr>
        <w:t>项目</w:t>
      </w:r>
      <w:r>
        <w:rPr>
          <w:rFonts w:hint="eastAsia" w:ascii="宋体" w:hAnsi="宋体"/>
          <w:color w:val="auto"/>
          <w:kern w:val="0"/>
        </w:rPr>
        <w:t>管理</w:t>
      </w:r>
      <w:r>
        <w:rPr>
          <w:rFonts w:hint="eastAsia" w:ascii="宋体" w:hAnsi="宋体"/>
          <w:color w:val="auto"/>
          <w:kern w:val="0"/>
          <w:lang w:val="zh-TW" w:eastAsia="zh-TW"/>
        </w:rPr>
        <w:t>组织机构及主要人员</w:t>
      </w:r>
    </w:p>
    <w:p w14:paraId="79AAC578">
      <w:pPr>
        <w:spacing w:line="360" w:lineRule="auto"/>
        <w:ind w:firstLine="420" w:firstLineChars="200"/>
        <w:rPr>
          <w:rFonts w:ascii="宋体" w:hAnsi="宋体"/>
          <w:color w:val="auto"/>
          <w:szCs w:val="21"/>
        </w:rPr>
      </w:pPr>
      <w:r>
        <w:rPr>
          <w:rFonts w:hint="eastAsia" w:ascii="宋体" w:hAnsi="宋体"/>
          <w:color w:val="auto"/>
          <w:szCs w:val="21"/>
        </w:rPr>
        <w:t>十二、安全文明施工保证措施</w:t>
      </w:r>
    </w:p>
    <w:p w14:paraId="7070D02B">
      <w:pPr>
        <w:spacing w:line="360" w:lineRule="auto"/>
        <w:ind w:firstLine="420" w:firstLineChars="200"/>
        <w:rPr>
          <w:rFonts w:ascii="宋体" w:hAnsi="宋体"/>
          <w:color w:val="auto"/>
          <w:szCs w:val="21"/>
        </w:rPr>
      </w:pPr>
      <w:r>
        <w:rPr>
          <w:rFonts w:hint="eastAsia" w:ascii="宋体" w:hAnsi="宋体"/>
          <w:color w:val="auto"/>
          <w:szCs w:val="21"/>
        </w:rPr>
        <w:t>十三、后续服务承诺及保证措施</w:t>
      </w:r>
    </w:p>
    <w:p w14:paraId="4C234FA2">
      <w:pPr>
        <w:spacing w:line="360" w:lineRule="auto"/>
        <w:ind w:firstLine="420" w:firstLineChars="200"/>
        <w:rPr>
          <w:rFonts w:ascii="宋体" w:hAnsi="宋体"/>
          <w:color w:val="auto"/>
          <w:szCs w:val="21"/>
        </w:rPr>
      </w:pPr>
      <w:r>
        <w:rPr>
          <w:rFonts w:hint="eastAsia" w:ascii="宋体" w:hAnsi="宋体"/>
          <w:color w:val="auto"/>
          <w:szCs w:val="21"/>
        </w:rPr>
        <w:t>十四、质量保证措施</w:t>
      </w:r>
    </w:p>
    <w:p w14:paraId="4135901A">
      <w:pPr>
        <w:spacing w:line="360" w:lineRule="auto"/>
        <w:ind w:firstLine="420" w:firstLineChars="200"/>
        <w:rPr>
          <w:rFonts w:ascii="宋体" w:hAnsi="宋体"/>
          <w:color w:val="auto"/>
          <w:szCs w:val="21"/>
        </w:rPr>
      </w:pPr>
      <w:r>
        <w:rPr>
          <w:rFonts w:hint="eastAsia" w:ascii="宋体" w:hAnsi="宋体"/>
          <w:color w:val="auto"/>
          <w:szCs w:val="21"/>
        </w:rPr>
        <w:t>十五、资格审查资料</w:t>
      </w:r>
    </w:p>
    <w:p w14:paraId="1FEACDDB">
      <w:pPr>
        <w:spacing w:line="360" w:lineRule="auto"/>
        <w:ind w:firstLine="420" w:firstLineChars="200"/>
        <w:rPr>
          <w:rFonts w:ascii="宋体" w:hAnsi="宋体"/>
          <w:color w:val="auto"/>
          <w:szCs w:val="21"/>
        </w:rPr>
      </w:pPr>
      <w:r>
        <w:rPr>
          <w:rFonts w:hint="eastAsia" w:ascii="宋体" w:hAnsi="宋体"/>
          <w:color w:val="auto"/>
          <w:szCs w:val="21"/>
        </w:rPr>
        <w:t xml:space="preserve">十六、其他资料 </w:t>
      </w:r>
    </w:p>
    <w:p w14:paraId="087A048A">
      <w:pPr>
        <w:pStyle w:val="3"/>
        <w:tabs>
          <w:tab w:val="left" w:pos="420"/>
        </w:tabs>
        <w:spacing w:before="314" w:after="314"/>
        <w:rPr>
          <w:rFonts w:hAnsi="宋体"/>
          <w:bCs w:val="0"/>
          <w:color w:val="auto"/>
          <w:sz w:val="44"/>
        </w:rPr>
      </w:pPr>
      <w:r>
        <w:rPr>
          <w:rFonts w:hAnsi="宋体"/>
          <w:color w:val="auto"/>
        </w:rPr>
        <w:br w:type="page"/>
      </w:r>
      <w:bookmarkStart w:id="234" w:name="_Toc14796"/>
      <w:bookmarkStart w:id="235" w:name="_Toc436734886"/>
      <w:bookmarkStart w:id="236" w:name="_Toc97752035"/>
      <w:bookmarkStart w:id="237" w:name="_Toc480918949"/>
      <w:bookmarkStart w:id="238" w:name="_Toc85443499"/>
      <w:bookmarkStart w:id="239" w:name="_Toc25834"/>
      <w:bookmarkStart w:id="240" w:name="_Toc318387187"/>
      <w:bookmarkStart w:id="241" w:name="_Toc476051554"/>
      <w:bookmarkStart w:id="242" w:name="_Toc467761402"/>
      <w:r>
        <w:rPr>
          <w:rFonts w:hAnsi="宋体"/>
          <w:color w:val="auto"/>
          <w:sz w:val="44"/>
        </w:rPr>
        <w:t>投标（唱标）一览表</w:t>
      </w:r>
      <w:bookmarkEnd w:id="234"/>
      <w:bookmarkEnd w:id="235"/>
      <w:bookmarkEnd w:id="236"/>
      <w:bookmarkEnd w:id="237"/>
      <w:bookmarkEnd w:id="238"/>
      <w:bookmarkEnd w:id="239"/>
      <w:bookmarkEnd w:id="240"/>
      <w:bookmarkEnd w:id="241"/>
      <w:bookmarkEnd w:id="242"/>
    </w:p>
    <w:p w14:paraId="39E4D3E0">
      <w:pPr>
        <w:rPr>
          <w:rFonts w:ascii="宋体" w:hAnsi="宋体"/>
          <w:color w:val="auto"/>
        </w:rPr>
      </w:pPr>
    </w:p>
    <w:p w14:paraId="23D87280">
      <w:pPr>
        <w:spacing w:line="360" w:lineRule="auto"/>
        <w:rPr>
          <w:rFonts w:ascii="宋体" w:hAnsi="宋体"/>
          <w:bCs/>
          <w:color w:val="auto"/>
          <w:sz w:val="24"/>
        </w:rPr>
      </w:pPr>
      <w:r>
        <w:rPr>
          <w:rFonts w:hint="eastAsia" w:ascii="宋体" w:hAnsi="宋体"/>
          <w:bCs/>
          <w:color w:val="auto"/>
          <w:sz w:val="24"/>
        </w:rPr>
        <w:t>项目</w:t>
      </w:r>
      <w:r>
        <w:rPr>
          <w:rFonts w:ascii="宋体" w:hAnsi="宋体"/>
          <w:bCs/>
          <w:color w:val="auto"/>
          <w:sz w:val="24"/>
        </w:rPr>
        <w:t xml:space="preserve">名称： </w:t>
      </w:r>
    </w:p>
    <w:p w14:paraId="476A2BB7">
      <w:pPr>
        <w:spacing w:after="78" w:afterLines="25" w:line="360" w:lineRule="auto"/>
        <w:rPr>
          <w:rFonts w:ascii="宋体" w:hAnsi="宋体"/>
          <w:bCs/>
          <w:color w:val="auto"/>
          <w:sz w:val="24"/>
        </w:rPr>
      </w:pPr>
      <w:r>
        <w:rPr>
          <w:rFonts w:ascii="宋体" w:hAnsi="宋体"/>
          <w:bCs/>
          <w:color w:val="auto"/>
          <w:sz w:val="24"/>
        </w:rPr>
        <w:t>招标编号：</w:t>
      </w:r>
    </w:p>
    <w:p w14:paraId="051F3F85">
      <w:pPr>
        <w:spacing w:after="78" w:afterLines="25" w:line="360" w:lineRule="auto"/>
        <w:rPr>
          <w:rFonts w:ascii="宋体" w:hAnsi="宋体"/>
          <w:bCs/>
          <w:color w:val="auto"/>
          <w:sz w:val="24"/>
        </w:rPr>
      </w:pPr>
      <w:r>
        <w:rPr>
          <w:rFonts w:hint="eastAsia" w:ascii="宋体" w:hAnsi="宋体"/>
          <w:bCs/>
          <w:color w:val="auto"/>
          <w:sz w:val="24"/>
        </w:rPr>
        <w:t>投标人名称：</w:t>
      </w:r>
    </w:p>
    <w:tbl>
      <w:tblPr>
        <w:tblStyle w:val="68"/>
        <w:tblW w:w="10581"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304"/>
        <w:gridCol w:w="3195"/>
        <w:gridCol w:w="1515"/>
        <w:gridCol w:w="1080"/>
        <w:gridCol w:w="1263"/>
        <w:gridCol w:w="1112"/>
        <w:gridCol w:w="1112"/>
      </w:tblGrid>
      <w:tr w14:paraId="0F621E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9" w:hRule="atLeast"/>
          <w:jc w:val="center"/>
        </w:trPr>
        <w:tc>
          <w:tcPr>
            <w:tcW w:w="1304" w:type="dxa"/>
            <w:vMerge w:val="restart"/>
            <w:vAlign w:val="center"/>
          </w:tcPr>
          <w:p w14:paraId="44F382E2">
            <w:pPr>
              <w:autoSpaceDE w:val="0"/>
              <w:autoSpaceDN w:val="0"/>
              <w:adjustRightInd w:val="0"/>
              <w:spacing w:line="360" w:lineRule="auto"/>
              <w:ind w:right="178" w:rightChars="85"/>
              <w:jc w:val="center"/>
              <w:rPr>
                <w:rFonts w:ascii="宋体" w:hAnsi="宋体" w:cs="TimesNewRomanPSMT"/>
                <w:b/>
                <w:bCs/>
                <w:color w:val="auto"/>
                <w:kern w:val="0"/>
                <w:sz w:val="24"/>
              </w:rPr>
            </w:pPr>
            <w:r>
              <w:rPr>
                <w:rFonts w:hint="eastAsia" w:ascii="宋体" w:hAnsi="宋体" w:cs="TimesNewRomanPSMT"/>
                <w:b/>
                <w:bCs/>
                <w:color w:val="auto"/>
                <w:kern w:val="0"/>
                <w:sz w:val="24"/>
              </w:rPr>
              <w:t>投标单位名称</w:t>
            </w:r>
          </w:p>
        </w:tc>
        <w:tc>
          <w:tcPr>
            <w:tcW w:w="3195" w:type="dxa"/>
            <w:vMerge w:val="restart"/>
            <w:vAlign w:val="center"/>
          </w:tcPr>
          <w:p w14:paraId="45455A5A">
            <w:pPr>
              <w:autoSpaceDE w:val="0"/>
              <w:autoSpaceDN w:val="0"/>
              <w:adjustRightInd w:val="0"/>
              <w:spacing w:line="360" w:lineRule="auto"/>
              <w:ind w:right="178" w:rightChars="85"/>
              <w:jc w:val="center"/>
              <w:rPr>
                <w:rFonts w:ascii="宋体" w:hAnsi="宋体" w:cs="TimesNewRomanPSMT"/>
                <w:b/>
                <w:bCs/>
                <w:color w:val="auto"/>
                <w:kern w:val="0"/>
                <w:sz w:val="24"/>
              </w:rPr>
            </w:pPr>
            <w:r>
              <w:rPr>
                <w:rFonts w:hint="eastAsia" w:ascii="宋体" w:hAnsi="宋体" w:cs="TimesNewRomanPSMT"/>
                <w:b/>
                <w:bCs/>
                <w:color w:val="auto"/>
                <w:kern w:val="0"/>
                <w:sz w:val="24"/>
              </w:rPr>
              <w:t>投标报价</w:t>
            </w:r>
          </w:p>
        </w:tc>
        <w:tc>
          <w:tcPr>
            <w:tcW w:w="1515" w:type="dxa"/>
            <w:vMerge w:val="restart"/>
            <w:vAlign w:val="center"/>
          </w:tcPr>
          <w:p w14:paraId="0CAEEEE5">
            <w:pPr>
              <w:autoSpaceDE w:val="0"/>
              <w:autoSpaceDN w:val="0"/>
              <w:adjustRightInd w:val="0"/>
              <w:spacing w:line="360" w:lineRule="auto"/>
              <w:ind w:right="178" w:rightChars="85"/>
              <w:jc w:val="center"/>
              <w:rPr>
                <w:rFonts w:ascii="宋体" w:hAnsi="宋体" w:cs="TimesNewRomanPSMT"/>
                <w:b/>
                <w:bCs/>
                <w:color w:val="auto"/>
                <w:kern w:val="0"/>
                <w:sz w:val="24"/>
              </w:rPr>
            </w:pPr>
            <w:r>
              <w:rPr>
                <w:rFonts w:hint="eastAsia" w:ascii="宋体" w:hAnsi="宋体" w:cs="TimesNewRomanPSMT"/>
                <w:b/>
                <w:bCs/>
                <w:color w:val="auto"/>
                <w:kern w:val="0"/>
                <w:sz w:val="24"/>
              </w:rPr>
              <w:t>质量</w:t>
            </w:r>
          </w:p>
          <w:p w14:paraId="00EC3B31">
            <w:pPr>
              <w:autoSpaceDE w:val="0"/>
              <w:autoSpaceDN w:val="0"/>
              <w:adjustRightInd w:val="0"/>
              <w:spacing w:line="360" w:lineRule="auto"/>
              <w:ind w:right="178" w:rightChars="85"/>
              <w:jc w:val="center"/>
              <w:rPr>
                <w:rFonts w:ascii="宋体" w:hAnsi="宋体" w:cs="TimesNewRomanPSMT"/>
                <w:b/>
                <w:bCs/>
                <w:color w:val="auto"/>
                <w:kern w:val="0"/>
                <w:sz w:val="24"/>
              </w:rPr>
            </w:pPr>
            <w:r>
              <w:rPr>
                <w:rFonts w:hint="eastAsia" w:ascii="宋体" w:hAnsi="宋体" w:cs="TimesNewRomanPSMT"/>
                <w:b/>
                <w:bCs/>
                <w:color w:val="auto"/>
                <w:kern w:val="0"/>
                <w:sz w:val="24"/>
              </w:rPr>
              <w:t>承诺</w:t>
            </w:r>
          </w:p>
        </w:tc>
        <w:tc>
          <w:tcPr>
            <w:tcW w:w="1080" w:type="dxa"/>
            <w:vMerge w:val="restart"/>
            <w:vAlign w:val="center"/>
          </w:tcPr>
          <w:p w14:paraId="11C4FC1F">
            <w:pPr>
              <w:autoSpaceDE w:val="0"/>
              <w:autoSpaceDN w:val="0"/>
              <w:adjustRightInd w:val="0"/>
              <w:spacing w:line="360" w:lineRule="auto"/>
              <w:ind w:right="178" w:rightChars="85"/>
              <w:jc w:val="center"/>
              <w:rPr>
                <w:rFonts w:ascii="宋体" w:hAnsi="宋体" w:cs="TimesNewRomanPSMT"/>
                <w:b/>
                <w:bCs/>
                <w:color w:val="auto"/>
                <w:kern w:val="0"/>
                <w:sz w:val="24"/>
              </w:rPr>
            </w:pPr>
            <w:r>
              <w:rPr>
                <w:rFonts w:hint="eastAsia" w:ascii="宋体" w:hAnsi="宋体" w:cs="TimesNewRomanPSMT"/>
                <w:b/>
                <w:bCs/>
                <w:color w:val="auto"/>
                <w:kern w:val="0"/>
                <w:sz w:val="24"/>
              </w:rPr>
              <w:t>工期</w:t>
            </w:r>
          </w:p>
          <w:p w14:paraId="15284F2B">
            <w:pPr>
              <w:autoSpaceDE w:val="0"/>
              <w:autoSpaceDN w:val="0"/>
              <w:adjustRightInd w:val="0"/>
              <w:spacing w:line="360" w:lineRule="auto"/>
              <w:ind w:right="178" w:rightChars="85"/>
              <w:jc w:val="center"/>
              <w:rPr>
                <w:rFonts w:ascii="宋体" w:hAnsi="宋体" w:cs="TimesNewRomanPSMT"/>
                <w:b/>
                <w:bCs/>
                <w:color w:val="auto"/>
                <w:kern w:val="0"/>
                <w:sz w:val="24"/>
              </w:rPr>
            </w:pPr>
          </w:p>
        </w:tc>
        <w:tc>
          <w:tcPr>
            <w:tcW w:w="1263" w:type="dxa"/>
            <w:vAlign w:val="center"/>
          </w:tcPr>
          <w:p w14:paraId="4C8ED4FA">
            <w:pPr>
              <w:autoSpaceDE w:val="0"/>
              <w:autoSpaceDN w:val="0"/>
              <w:adjustRightInd w:val="0"/>
              <w:spacing w:line="360" w:lineRule="auto"/>
              <w:ind w:right="178" w:rightChars="85"/>
              <w:jc w:val="center"/>
              <w:rPr>
                <w:rFonts w:ascii="宋体" w:hAnsi="宋体" w:cs="TimesNewRomanPSMT"/>
                <w:b/>
                <w:bCs/>
                <w:color w:val="auto"/>
                <w:kern w:val="0"/>
                <w:sz w:val="24"/>
              </w:rPr>
            </w:pPr>
            <w:r>
              <w:rPr>
                <w:rFonts w:hint="eastAsia" w:ascii="宋体" w:hAnsi="宋体" w:cs="TimesNewRomanPSMT"/>
                <w:b/>
                <w:bCs/>
                <w:color w:val="auto"/>
                <w:kern w:val="0"/>
                <w:sz w:val="24"/>
              </w:rPr>
              <w:t>投标保证金</w:t>
            </w:r>
          </w:p>
        </w:tc>
        <w:tc>
          <w:tcPr>
            <w:tcW w:w="1112" w:type="dxa"/>
            <w:vMerge w:val="restart"/>
            <w:vAlign w:val="center"/>
          </w:tcPr>
          <w:p w14:paraId="3CCDC59D">
            <w:pPr>
              <w:autoSpaceDE w:val="0"/>
              <w:autoSpaceDN w:val="0"/>
              <w:adjustRightInd w:val="0"/>
              <w:spacing w:line="360" w:lineRule="auto"/>
              <w:ind w:right="178" w:rightChars="85"/>
              <w:jc w:val="center"/>
              <w:rPr>
                <w:rFonts w:ascii="宋体" w:hAnsi="宋体" w:cs="TimesNewRomanPSMT"/>
                <w:b/>
                <w:bCs/>
                <w:color w:val="auto"/>
                <w:kern w:val="0"/>
                <w:sz w:val="24"/>
              </w:rPr>
            </w:pPr>
            <w:r>
              <w:rPr>
                <w:rFonts w:hint="eastAsia" w:ascii="宋体" w:hAnsi="宋体" w:cs="TimesNewRomanPSMT"/>
                <w:b/>
                <w:bCs/>
                <w:color w:val="auto"/>
                <w:kern w:val="0"/>
                <w:sz w:val="24"/>
              </w:rPr>
              <w:t>项目经理姓名及证书编号</w:t>
            </w:r>
          </w:p>
        </w:tc>
        <w:tc>
          <w:tcPr>
            <w:tcW w:w="1112" w:type="dxa"/>
            <w:vMerge w:val="restart"/>
            <w:vAlign w:val="center"/>
          </w:tcPr>
          <w:p w14:paraId="1FD6C8D0">
            <w:pPr>
              <w:autoSpaceDE w:val="0"/>
              <w:autoSpaceDN w:val="0"/>
              <w:adjustRightInd w:val="0"/>
              <w:spacing w:line="360" w:lineRule="auto"/>
              <w:ind w:right="178" w:rightChars="85"/>
              <w:jc w:val="center"/>
              <w:rPr>
                <w:rFonts w:ascii="宋体" w:hAnsi="宋体" w:cs="TimesNewRomanPSMT"/>
                <w:b/>
                <w:bCs/>
                <w:color w:val="auto"/>
                <w:kern w:val="0"/>
                <w:sz w:val="24"/>
              </w:rPr>
            </w:pPr>
            <w:r>
              <w:rPr>
                <w:rFonts w:hint="eastAsia" w:ascii="宋体" w:hAnsi="宋体" w:cs="TimesNewRomanPSMT"/>
                <w:b/>
                <w:bCs/>
                <w:color w:val="auto"/>
                <w:kern w:val="0"/>
                <w:sz w:val="24"/>
              </w:rPr>
              <w:t>备注</w:t>
            </w:r>
          </w:p>
        </w:tc>
      </w:tr>
      <w:tr w14:paraId="4EC1DD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9" w:hRule="atLeast"/>
          <w:jc w:val="center"/>
        </w:trPr>
        <w:tc>
          <w:tcPr>
            <w:tcW w:w="1304" w:type="dxa"/>
            <w:vMerge w:val="continue"/>
            <w:vAlign w:val="center"/>
          </w:tcPr>
          <w:p w14:paraId="59518B89">
            <w:pPr>
              <w:autoSpaceDE w:val="0"/>
              <w:autoSpaceDN w:val="0"/>
              <w:adjustRightInd w:val="0"/>
              <w:spacing w:line="360" w:lineRule="auto"/>
              <w:ind w:right="178" w:rightChars="85"/>
              <w:jc w:val="center"/>
              <w:rPr>
                <w:rFonts w:ascii="宋体" w:hAnsi="宋体" w:cs="TimesNewRomanPSMT"/>
                <w:b/>
                <w:bCs/>
                <w:color w:val="auto"/>
                <w:kern w:val="0"/>
                <w:sz w:val="24"/>
              </w:rPr>
            </w:pPr>
          </w:p>
        </w:tc>
        <w:tc>
          <w:tcPr>
            <w:tcW w:w="3195" w:type="dxa"/>
            <w:vMerge w:val="continue"/>
            <w:vAlign w:val="center"/>
          </w:tcPr>
          <w:p w14:paraId="7544B7DC">
            <w:pPr>
              <w:autoSpaceDE w:val="0"/>
              <w:autoSpaceDN w:val="0"/>
              <w:adjustRightInd w:val="0"/>
              <w:spacing w:line="360" w:lineRule="auto"/>
              <w:ind w:right="178" w:rightChars="85"/>
              <w:jc w:val="center"/>
              <w:rPr>
                <w:rFonts w:ascii="宋体" w:hAnsi="宋体" w:cs="TimesNewRomanPSMT"/>
                <w:b/>
                <w:bCs/>
                <w:color w:val="auto"/>
                <w:kern w:val="0"/>
                <w:sz w:val="24"/>
              </w:rPr>
            </w:pPr>
          </w:p>
        </w:tc>
        <w:tc>
          <w:tcPr>
            <w:tcW w:w="1515" w:type="dxa"/>
            <w:vMerge w:val="continue"/>
            <w:vAlign w:val="center"/>
          </w:tcPr>
          <w:p w14:paraId="7F20BE0C">
            <w:pPr>
              <w:autoSpaceDE w:val="0"/>
              <w:autoSpaceDN w:val="0"/>
              <w:adjustRightInd w:val="0"/>
              <w:spacing w:line="360" w:lineRule="auto"/>
              <w:ind w:right="178" w:rightChars="85"/>
              <w:jc w:val="center"/>
              <w:rPr>
                <w:rFonts w:ascii="宋体" w:hAnsi="宋体" w:cs="TimesNewRomanPSMT"/>
                <w:b/>
                <w:bCs/>
                <w:color w:val="auto"/>
                <w:kern w:val="0"/>
                <w:sz w:val="24"/>
              </w:rPr>
            </w:pPr>
          </w:p>
        </w:tc>
        <w:tc>
          <w:tcPr>
            <w:tcW w:w="1080" w:type="dxa"/>
            <w:vMerge w:val="continue"/>
            <w:vAlign w:val="center"/>
          </w:tcPr>
          <w:p w14:paraId="59C6CD8E">
            <w:pPr>
              <w:autoSpaceDE w:val="0"/>
              <w:autoSpaceDN w:val="0"/>
              <w:adjustRightInd w:val="0"/>
              <w:spacing w:line="360" w:lineRule="auto"/>
              <w:ind w:right="178" w:rightChars="85"/>
              <w:jc w:val="center"/>
              <w:rPr>
                <w:rFonts w:ascii="宋体" w:hAnsi="宋体" w:cs="TimesNewRomanPSMT"/>
                <w:b/>
                <w:bCs/>
                <w:color w:val="auto"/>
                <w:kern w:val="0"/>
                <w:sz w:val="24"/>
              </w:rPr>
            </w:pPr>
          </w:p>
        </w:tc>
        <w:tc>
          <w:tcPr>
            <w:tcW w:w="1263" w:type="dxa"/>
            <w:vAlign w:val="center"/>
          </w:tcPr>
          <w:p w14:paraId="4795A5BE">
            <w:pPr>
              <w:autoSpaceDE w:val="0"/>
              <w:autoSpaceDN w:val="0"/>
              <w:adjustRightInd w:val="0"/>
              <w:spacing w:line="360" w:lineRule="auto"/>
              <w:ind w:right="178" w:rightChars="85"/>
              <w:jc w:val="center"/>
              <w:rPr>
                <w:rFonts w:ascii="宋体" w:hAnsi="宋体" w:cs="TimesNewRomanPSMT"/>
                <w:b/>
                <w:bCs/>
                <w:color w:val="auto"/>
                <w:kern w:val="0"/>
                <w:sz w:val="24"/>
              </w:rPr>
            </w:pPr>
            <w:r>
              <w:rPr>
                <w:rFonts w:hint="eastAsia" w:ascii="宋体" w:hAnsi="宋体" w:cs="TimesNewRomanPSMT"/>
                <w:b/>
                <w:bCs/>
                <w:color w:val="auto"/>
                <w:kern w:val="0"/>
                <w:sz w:val="24"/>
              </w:rPr>
              <w:t>金额（元）</w:t>
            </w:r>
          </w:p>
        </w:tc>
        <w:tc>
          <w:tcPr>
            <w:tcW w:w="1112" w:type="dxa"/>
            <w:vMerge w:val="continue"/>
            <w:vAlign w:val="center"/>
          </w:tcPr>
          <w:p w14:paraId="0C44755F">
            <w:pPr>
              <w:autoSpaceDE w:val="0"/>
              <w:autoSpaceDN w:val="0"/>
              <w:adjustRightInd w:val="0"/>
              <w:spacing w:line="360" w:lineRule="auto"/>
              <w:ind w:right="178" w:rightChars="85"/>
              <w:jc w:val="center"/>
              <w:rPr>
                <w:rFonts w:ascii="宋体" w:hAnsi="宋体" w:cs="TimesNewRomanPSMT"/>
                <w:b/>
                <w:bCs/>
                <w:color w:val="auto"/>
                <w:kern w:val="0"/>
                <w:sz w:val="24"/>
              </w:rPr>
            </w:pPr>
          </w:p>
        </w:tc>
        <w:tc>
          <w:tcPr>
            <w:tcW w:w="1112" w:type="dxa"/>
            <w:vMerge w:val="continue"/>
            <w:vAlign w:val="center"/>
          </w:tcPr>
          <w:p w14:paraId="511B609C">
            <w:pPr>
              <w:autoSpaceDE w:val="0"/>
              <w:autoSpaceDN w:val="0"/>
              <w:adjustRightInd w:val="0"/>
              <w:spacing w:line="360" w:lineRule="auto"/>
              <w:ind w:right="178" w:rightChars="85"/>
              <w:jc w:val="center"/>
              <w:rPr>
                <w:rFonts w:ascii="宋体" w:hAnsi="宋体" w:cs="TimesNewRomanPSMT"/>
                <w:b/>
                <w:bCs/>
                <w:color w:val="auto"/>
                <w:kern w:val="0"/>
                <w:sz w:val="24"/>
              </w:rPr>
            </w:pPr>
          </w:p>
        </w:tc>
      </w:tr>
      <w:tr w14:paraId="5D8560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22" w:hRule="atLeast"/>
          <w:jc w:val="center"/>
        </w:trPr>
        <w:tc>
          <w:tcPr>
            <w:tcW w:w="1304" w:type="dxa"/>
            <w:vMerge w:val="restart"/>
            <w:vAlign w:val="center"/>
          </w:tcPr>
          <w:p w14:paraId="3977C043">
            <w:pPr>
              <w:autoSpaceDE w:val="0"/>
              <w:autoSpaceDN w:val="0"/>
              <w:adjustRightInd w:val="0"/>
              <w:spacing w:line="360" w:lineRule="auto"/>
              <w:ind w:right="178" w:rightChars="85"/>
              <w:jc w:val="left"/>
              <w:rPr>
                <w:color w:val="auto"/>
              </w:rPr>
            </w:pPr>
          </w:p>
          <w:p w14:paraId="008C39D6">
            <w:pPr>
              <w:pStyle w:val="4"/>
              <w:spacing w:before="157"/>
              <w:rPr>
                <w:rFonts w:ascii="Times New Roman" w:hAnsi="Times New Roman"/>
                <w:b w:val="0"/>
                <w:bCs w:val="0"/>
                <w:color w:val="auto"/>
                <w:sz w:val="21"/>
              </w:rPr>
            </w:pPr>
          </w:p>
        </w:tc>
        <w:tc>
          <w:tcPr>
            <w:tcW w:w="3195" w:type="dxa"/>
            <w:tcBorders>
              <w:bottom w:val="single" w:color="auto" w:sz="4" w:space="0"/>
            </w:tcBorders>
            <w:vAlign w:val="center"/>
          </w:tcPr>
          <w:p w14:paraId="1B41D4D4">
            <w:pPr>
              <w:autoSpaceDE w:val="0"/>
              <w:autoSpaceDN w:val="0"/>
              <w:adjustRightInd w:val="0"/>
              <w:spacing w:line="360" w:lineRule="auto"/>
              <w:ind w:right="178" w:rightChars="85"/>
              <w:jc w:val="center"/>
              <w:rPr>
                <w:color w:val="auto"/>
              </w:rPr>
            </w:pPr>
          </w:p>
          <w:p w14:paraId="7F2CB664">
            <w:pPr>
              <w:autoSpaceDE w:val="0"/>
              <w:autoSpaceDN w:val="0"/>
              <w:adjustRightInd w:val="0"/>
              <w:spacing w:line="360" w:lineRule="auto"/>
              <w:ind w:right="178" w:rightChars="85"/>
              <w:jc w:val="both"/>
              <w:rPr>
                <w:color w:val="auto"/>
              </w:rPr>
            </w:pPr>
            <w:r>
              <w:rPr>
                <w:rFonts w:hint="eastAsia"/>
                <w:color w:val="auto"/>
                <w:lang w:val="en-US" w:eastAsia="zh-CN"/>
              </w:rPr>
              <w:t>勘察部分报价</w:t>
            </w:r>
            <w:r>
              <w:rPr>
                <w:rFonts w:hint="eastAsia"/>
                <w:color w:val="auto"/>
              </w:rPr>
              <w:t>：</w:t>
            </w:r>
          </w:p>
          <w:p w14:paraId="3E7D1352">
            <w:pPr>
              <w:pStyle w:val="4"/>
              <w:spacing w:before="157"/>
              <w:ind w:left="0" w:firstLine="0"/>
              <w:jc w:val="left"/>
              <w:rPr>
                <w:rFonts w:hint="default" w:ascii="Times New Roman" w:hAnsi="Times New Roman" w:eastAsia="宋体"/>
                <w:b w:val="0"/>
                <w:bCs w:val="0"/>
                <w:color w:val="auto"/>
                <w:sz w:val="21"/>
                <w:lang w:val="en-US" w:eastAsia="zh-CN"/>
              </w:rPr>
            </w:pPr>
          </w:p>
        </w:tc>
        <w:tc>
          <w:tcPr>
            <w:tcW w:w="1515" w:type="dxa"/>
            <w:vMerge w:val="restart"/>
            <w:vAlign w:val="center"/>
          </w:tcPr>
          <w:p w14:paraId="65489008">
            <w:pPr>
              <w:autoSpaceDE w:val="0"/>
              <w:autoSpaceDN w:val="0"/>
              <w:adjustRightInd w:val="0"/>
              <w:spacing w:line="360" w:lineRule="auto"/>
              <w:ind w:right="178" w:rightChars="85"/>
              <w:jc w:val="center"/>
              <w:rPr>
                <w:rFonts w:ascii="宋体" w:hAnsi="宋体" w:cs="TimesNewRomanPSMT"/>
                <w:color w:val="auto"/>
                <w:kern w:val="0"/>
                <w:sz w:val="24"/>
              </w:rPr>
            </w:pPr>
          </w:p>
        </w:tc>
        <w:tc>
          <w:tcPr>
            <w:tcW w:w="1080" w:type="dxa"/>
            <w:vMerge w:val="restart"/>
            <w:vAlign w:val="center"/>
          </w:tcPr>
          <w:p w14:paraId="7C301552">
            <w:pPr>
              <w:autoSpaceDE w:val="0"/>
              <w:autoSpaceDN w:val="0"/>
              <w:adjustRightInd w:val="0"/>
              <w:spacing w:line="360" w:lineRule="auto"/>
              <w:ind w:right="178" w:rightChars="85"/>
              <w:jc w:val="left"/>
              <w:rPr>
                <w:rFonts w:ascii="宋体" w:hAnsi="宋体" w:cs="TimesNewRomanPSMT"/>
                <w:color w:val="auto"/>
                <w:kern w:val="0"/>
                <w:sz w:val="24"/>
              </w:rPr>
            </w:pPr>
          </w:p>
        </w:tc>
        <w:tc>
          <w:tcPr>
            <w:tcW w:w="1263" w:type="dxa"/>
            <w:vMerge w:val="restart"/>
            <w:vAlign w:val="center"/>
          </w:tcPr>
          <w:p w14:paraId="6EDAD562">
            <w:pPr>
              <w:autoSpaceDE w:val="0"/>
              <w:autoSpaceDN w:val="0"/>
              <w:adjustRightInd w:val="0"/>
              <w:spacing w:line="360" w:lineRule="auto"/>
              <w:ind w:right="178" w:rightChars="85"/>
              <w:jc w:val="left"/>
              <w:rPr>
                <w:rFonts w:ascii="宋体" w:hAnsi="宋体" w:cs="TimesNewRomanPSMT"/>
                <w:color w:val="auto"/>
                <w:kern w:val="0"/>
                <w:sz w:val="24"/>
              </w:rPr>
            </w:pPr>
          </w:p>
        </w:tc>
        <w:tc>
          <w:tcPr>
            <w:tcW w:w="1112" w:type="dxa"/>
            <w:vMerge w:val="restart"/>
            <w:vAlign w:val="center"/>
          </w:tcPr>
          <w:p w14:paraId="4A081A6E">
            <w:pPr>
              <w:autoSpaceDE w:val="0"/>
              <w:autoSpaceDN w:val="0"/>
              <w:adjustRightInd w:val="0"/>
              <w:spacing w:line="360" w:lineRule="auto"/>
              <w:ind w:right="178" w:rightChars="85"/>
              <w:jc w:val="left"/>
              <w:rPr>
                <w:rFonts w:ascii="宋体" w:hAnsi="宋体" w:cs="TimesNewRomanPSMT"/>
                <w:color w:val="auto"/>
                <w:kern w:val="0"/>
                <w:sz w:val="24"/>
              </w:rPr>
            </w:pPr>
          </w:p>
        </w:tc>
        <w:tc>
          <w:tcPr>
            <w:tcW w:w="1112" w:type="dxa"/>
            <w:vMerge w:val="restart"/>
            <w:vAlign w:val="center"/>
          </w:tcPr>
          <w:p w14:paraId="2E701497">
            <w:pPr>
              <w:autoSpaceDE w:val="0"/>
              <w:autoSpaceDN w:val="0"/>
              <w:adjustRightInd w:val="0"/>
              <w:spacing w:line="360" w:lineRule="auto"/>
              <w:ind w:right="178" w:rightChars="85"/>
              <w:jc w:val="left"/>
              <w:rPr>
                <w:rFonts w:ascii="宋体" w:hAnsi="宋体" w:cs="TimesNewRomanPSMT"/>
                <w:color w:val="auto"/>
                <w:kern w:val="0"/>
                <w:sz w:val="24"/>
              </w:rPr>
            </w:pPr>
          </w:p>
        </w:tc>
      </w:tr>
      <w:tr w14:paraId="1DBB93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90" w:hRule="atLeast"/>
          <w:jc w:val="center"/>
        </w:trPr>
        <w:tc>
          <w:tcPr>
            <w:tcW w:w="1304" w:type="dxa"/>
            <w:vMerge w:val="continue"/>
            <w:vAlign w:val="center"/>
          </w:tcPr>
          <w:p w14:paraId="0E46C8BA">
            <w:pPr>
              <w:pStyle w:val="4"/>
              <w:spacing w:before="157"/>
              <w:ind w:left="0" w:firstLine="0"/>
              <w:rPr>
                <w:rFonts w:ascii="Times New Roman" w:hAnsi="Times New Roman"/>
                <w:b w:val="0"/>
                <w:bCs w:val="0"/>
                <w:color w:val="auto"/>
                <w:sz w:val="21"/>
              </w:rPr>
            </w:pPr>
          </w:p>
        </w:tc>
        <w:tc>
          <w:tcPr>
            <w:tcW w:w="3195" w:type="dxa"/>
            <w:tcBorders>
              <w:top w:val="single" w:color="auto" w:sz="4" w:space="0"/>
            </w:tcBorders>
            <w:vAlign w:val="center"/>
          </w:tcPr>
          <w:p w14:paraId="22A9A58C">
            <w:pPr>
              <w:pStyle w:val="4"/>
              <w:spacing w:before="157"/>
              <w:ind w:left="0" w:firstLine="0"/>
              <w:rPr>
                <w:rFonts w:hint="eastAsia" w:ascii="Times New Roman" w:hAnsi="Times New Roman"/>
                <w:b w:val="0"/>
                <w:bCs w:val="0"/>
                <w:color w:val="auto"/>
                <w:sz w:val="21"/>
              </w:rPr>
            </w:pPr>
            <w:bookmarkStart w:id="243" w:name="_Toc12665"/>
            <w:bookmarkStart w:id="244" w:name="_Toc10776"/>
            <w:r>
              <w:rPr>
                <w:rFonts w:hint="eastAsia" w:ascii="Times New Roman" w:hAnsi="Times New Roman"/>
                <w:b w:val="0"/>
                <w:bCs w:val="0"/>
                <w:color w:val="auto"/>
                <w:sz w:val="21"/>
              </w:rPr>
              <w:t>设计部分</w:t>
            </w:r>
            <w:r>
              <w:rPr>
                <w:rFonts w:hint="eastAsia" w:ascii="Times New Roman" w:hAnsi="Times New Roman"/>
                <w:b w:val="0"/>
                <w:bCs w:val="0"/>
                <w:color w:val="auto"/>
                <w:sz w:val="21"/>
                <w:lang w:val="en-US" w:eastAsia="zh-CN"/>
              </w:rPr>
              <w:t>报价</w:t>
            </w:r>
            <w:r>
              <w:rPr>
                <w:rFonts w:hint="eastAsia" w:ascii="Times New Roman" w:hAnsi="Times New Roman"/>
                <w:b w:val="0"/>
                <w:bCs w:val="0"/>
                <w:color w:val="auto"/>
                <w:sz w:val="21"/>
              </w:rPr>
              <w:t>：</w:t>
            </w:r>
            <w:bookmarkEnd w:id="243"/>
            <w:bookmarkEnd w:id="244"/>
            <w:r>
              <w:rPr>
                <w:rFonts w:hint="eastAsia" w:ascii="Times New Roman" w:hAnsi="Times New Roman"/>
                <w:b w:val="0"/>
                <w:bCs w:val="0"/>
                <w:color w:val="auto"/>
                <w:sz w:val="21"/>
              </w:rPr>
              <w:t xml:space="preserve">     </w:t>
            </w:r>
          </w:p>
          <w:p w14:paraId="4A896A6D">
            <w:pPr>
              <w:pStyle w:val="4"/>
              <w:spacing w:before="157"/>
              <w:ind w:left="0" w:firstLine="0"/>
              <w:rPr>
                <w:rFonts w:ascii="Times New Roman" w:hAnsi="Times New Roman"/>
                <w:b w:val="0"/>
                <w:bCs w:val="0"/>
                <w:color w:val="auto"/>
                <w:sz w:val="21"/>
              </w:rPr>
            </w:pPr>
          </w:p>
        </w:tc>
        <w:tc>
          <w:tcPr>
            <w:tcW w:w="1515" w:type="dxa"/>
            <w:vMerge w:val="continue"/>
            <w:vAlign w:val="center"/>
          </w:tcPr>
          <w:p w14:paraId="66DCF916">
            <w:pPr>
              <w:autoSpaceDE w:val="0"/>
              <w:autoSpaceDN w:val="0"/>
              <w:adjustRightInd w:val="0"/>
              <w:spacing w:line="360" w:lineRule="auto"/>
              <w:ind w:right="178" w:rightChars="85"/>
              <w:jc w:val="left"/>
              <w:rPr>
                <w:rFonts w:ascii="宋体" w:hAnsi="宋体" w:cs="TimesNewRomanPSMT"/>
                <w:color w:val="auto"/>
                <w:kern w:val="0"/>
                <w:sz w:val="24"/>
              </w:rPr>
            </w:pPr>
          </w:p>
        </w:tc>
        <w:tc>
          <w:tcPr>
            <w:tcW w:w="1080" w:type="dxa"/>
            <w:vMerge w:val="continue"/>
            <w:vAlign w:val="center"/>
          </w:tcPr>
          <w:p w14:paraId="5EE26875">
            <w:pPr>
              <w:autoSpaceDE w:val="0"/>
              <w:autoSpaceDN w:val="0"/>
              <w:adjustRightInd w:val="0"/>
              <w:spacing w:line="360" w:lineRule="auto"/>
              <w:ind w:right="178" w:rightChars="85"/>
              <w:jc w:val="left"/>
              <w:rPr>
                <w:rFonts w:ascii="宋体" w:hAnsi="宋体" w:cs="TimesNewRomanPSMT"/>
                <w:color w:val="auto"/>
                <w:kern w:val="0"/>
                <w:sz w:val="24"/>
              </w:rPr>
            </w:pPr>
          </w:p>
        </w:tc>
        <w:tc>
          <w:tcPr>
            <w:tcW w:w="1263" w:type="dxa"/>
            <w:vMerge w:val="continue"/>
            <w:vAlign w:val="center"/>
          </w:tcPr>
          <w:p w14:paraId="0561AAEC">
            <w:pPr>
              <w:autoSpaceDE w:val="0"/>
              <w:autoSpaceDN w:val="0"/>
              <w:adjustRightInd w:val="0"/>
              <w:spacing w:line="360" w:lineRule="auto"/>
              <w:ind w:right="178" w:rightChars="85"/>
              <w:jc w:val="left"/>
              <w:rPr>
                <w:rFonts w:ascii="宋体" w:hAnsi="宋体" w:cs="TimesNewRomanPSMT"/>
                <w:color w:val="auto"/>
                <w:kern w:val="0"/>
                <w:sz w:val="24"/>
              </w:rPr>
            </w:pPr>
          </w:p>
        </w:tc>
        <w:tc>
          <w:tcPr>
            <w:tcW w:w="1112" w:type="dxa"/>
            <w:vMerge w:val="continue"/>
            <w:vAlign w:val="center"/>
          </w:tcPr>
          <w:p w14:paraId="0211794F">
            <w:pPr>
              <w:autoSpaceDE w:val="0"/>
              <w:autoSpaceDN w:val="0"/>
              <w:adjustRightInd w:val="0"/>
              <w:spacing w:line="360" w:lineRule="auto"/>
              <w:ind w:right="178" w:rightChars="85"/>
              <w:jc w:val="left"/>
              <w:rPr>
                <w:rFonts w:ascii="宋体" w:hAnsi="宋体" w:cs="TimesNewRomanPSMT"/>
                <w:color w:val="auto"/>
                <w:kern w:val="0"/>
                <w:sz w:val="24"/>
              </w:rPr>
            </w:pPr>
          </w:p>
        </w:tc>
        <w:tc>
          <w:tcPr>
            <w:tcW w:w="1112" w:type="dxa"/>
            <w:vMerge w:val="continue"/>
            <w:vAlign w:val="center"/>
          </w:tcPr>
          <w:p w14:paraId="56892552">
            <w:pPr>
              <w:autoSpaceDE w:val="0"/>
              <w:autoSpaceDN w:val="0"/>
              <w:adjustRightInd w:val="0"/>
              <w:spacing w:line="360" w:lineRule="auto"/>
              <w:ind w:right="178" w:rightChars="85"/>
              <w:jc w:val="left"/>
              <w:rPr>
                <w:rFonts w:ascii="宋体" w:hAnsi="宋体" w:cs="TimesNewRomanPSMT"/>
                <w:color w:val="auto"/>
                <w:kern w:val="0"/>
                <w:sz w:val="24"/>
              </w:rPr>
            </w:pPr>
          </w:p>
        </w:tc>
      </w:tr>
      <w:tr w14:paraId="69D07A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695" w:hRule="atLeast"/>
          <w:jc w:val="center"/>
        </w:trPr>
        <w:tc>
          <w:tcPr>
            <w:tcW w:w="1304" w:type="dxa"/>
            <w:vMerge w:val="continue"/>
            <w:vAlign w:val="center"/>
          </w:tcPr>
          <w:p w14:paraId="6799EC6C">
            <w:pPr>
              <w:autoSpaceDE w:val="0"/>
              <w:autoSpaceDN w:val="0"/>
              <w:adjustRightInd w:val="0"/>
              <w:spacing w:line="360" w:lineRule="auto"/>
              <w:ind w:right="178" w:rightChars="85"/>
              <w:jc w:val="left"/>
              <w:rPr>
                <w:color w:val="auto"/>
              </w:rPr>
            </w:pPr>
          </w:p>
        </w:tc>
        <w:tc>
          <w:tcPr>
            <w:tcW w:w="3195" w:type="dxa"/>
            <w:vAlign w:val="center"/>
          </w:tcPr>
          <w:p w14:paraId="15216108">
            <w:pPr>
              <w:autoSpaceDE w:val="0"/>
              <w:autoSpaceDN w:val="0"/>
              <w:adjustRightInd w:val="0"/>
              <w:spacing w:line="360" w:lineRule="auto"/>
              <w:ind w:right="178" w:rightChars="85"/>
              <w:jc w:val="left"/>
              <w:rPr>
                <w:rFonts w:hint="eastAsia"/>
                <w:color w:val="auto"/>
              </w:rPr>
            </w:pPr>
            <w:r>
              <w:rPr>
                <w:rFonts w:hint="eastAsia"/>
                <w:color w:val="auto"/>
              </w:rPr>
              <w:t>施工部分</w:t>
            </w:r>
            <w:r>
              <w:rPr>
                <w:rFonts w:hint="eastAsia"/>
                <w:color w:val="auto"/>
                <w:lang w:val="en-US" w:eastAsia="zh-CN"/>
              </w:rPr>
              <w:t>报价</w:t>
            </w:r>
            <w:r>
              <w:rPr>
                <w:rFonts w:hint="eastAsia"/>
                <w:color w:val="auto"/>
              </w:rPr>
              <w:t>：</w:t>
            </w:r>
          </w:p>
          <w:p w14:paraId="36AC54F3">
            <w:pPr>
              <w:autoSpaceDE w:val="0"/>
              <w:autoSpaceDN w:val="0"/>
              <w:adjustRightInd w:val="0"/>
              <w:spacing w:line="360" w:lineRule="auto"/>
              <w:ind w:right="178" w:rightChars="85"/>
              <w:jc w:val="left"/>
              <w:rPr>
                <w:color w:val="auto"/>
              </w:rPr>
            </w:pPr>
          </w:p>
        </w:tc>
        <w:tc>
          <w:tcPr>
            <w:tcW w:w="1515" w:type="dxa"/>
            <w:vMerge w:val="continue"/>
            <w:vAlign w:val="center"/>
          </w:tcPr>
          <w:p w14:paraId="278BBD26">
            <w:pPr>
              <w:autoSpaceDE w:val="0"/>
              <w:autoSpaceDN w:val="0"/>
              <w:adjustRightInd w:val="0"/>
              <w:spacing w:line="360" w:lineRule="auto"/>
              <w:ind w:right="178" w:rightChars="85"/>
              <w:jc w:val="left"/>
              <w:rPr>
                <w:rFonts w:ascii="宋体" w:hAnsi="宋体" w:cs="TimesNewRomanPSMT"/>
                <w:color w:val="auto"/>
                <w:kern w:val="0"/>
                <w:sz w:val="24"/>
              </w:rPr>
            </w:pPr>
          </w:p>
        </w:tc>
        <w:tc>
          <w:tcPr>
            <w:tcW w:w="1080" w:type="dxa"/>
            <w:vMerge w:val="continue"/>
            <w:vAlign w:val="center"/>
          </w:tcPr>
          <w:p w14:paraId="750F3573">
            <w:pPr>
              <w:autoSpaceDE w:val="0"/>
              <w:autoSpaceDN w:val="0"/>
              <w:adjustRightInd w:val="0"/>
              <w:spacing w:line="360" w:lineRule="auto"/>
              <w:ind w:right="178" w:rightChars="85"/>
              <w:jc w:val="left"/>
              <w:rPr>
                <w:rFonts w:ascii="宋体" w:hAnsi="宋体" w:cs="TimesNewRomanPSMT"/>
                <w:color w:val="auto"/>
                <w:kern w:val="0"/>
                <w:sz w:val="24"/>
              </w:rPr>
            </w:pPr>
          </w:p>
        </w:tc>
        <w:tc>
          <w:tcPr>
            <w:tcW w:w="1263" w:type="dxa"/>
            <w:vMerge w:val="continue"/>
            <w:vAlign w:val="center"/>
          </w:tcPr>
          <w:p w14:paraId="0E46007B">
            <w:pPr>
              <w:autoSpaceDE w:val="0"/>
              <w:autoSpaceDN w:val="0"/>
              <w:adjustRightInd w:val="0"/>
              <w:spacing w:line="360" w:lineRule="auto"/>
              <w:ind w:right="178" w:rightChars="85"/>
              <w:jc w:val="left"/>
              <w:rPr>
                <w:rFonts w:ascii="宋体" w:hAnsi="宋体" w:cs="TimesNewRomanPSMT"/>
                <w:color w:val="auto"/>
                <w:kern w:val="0"/>
                <w:sz w:val="24"/>
              </w:rPr>
            </w:pPr>
          </w:p>
        </w:tc>
        <w:tc>
          <w:tcPr>
            <w:tcW w:w="1112" w:type="dxa"/>
            <w:vMerge w:val="continue"/>
            <w:vAlign w:val="center"/>
          </w:tcPr>
          <w:p w14:paraId="152AC966">
            <w:pPr>
              <w:autoSpaceDE w:val="0"/>
              <w:autoSpaceDN w:val="0"/>
              <w:adjustRightInd w:val="0"/>
              <w:spacing w:line="360" w:lineRule="auto"/>
              <w:ind w:right="178" w:rightChars="85"/>
              <w:jc w:val="left"/>
              <w:rPr>
                <w:rFonts w:ascii="宋体" w:hAnsi="宋体" w:cs="TimesNewRomanPSMT"/>
                <w:color w:val="auto"/>
                <w:kern w:val="0"/>
                <w:sz w:val="24"/>
              </w:rPr>
            </w:pPr>
          </w:p>
        </w:tc>
        <w:tc>
          <w:tcPr>
            <w:tcW w:w="1112" w:type="dxa"/>
            <w:vMerge w:val="continue"/>
            <w:vAlign w:val="center"/>
          </w:tcPr>
          <w:p w14:paraId="4B3D105A">
            <w:pPr>
              <w:autoSpaceDE w:val="0"/>
              <w:autoSpaceDN w:val="0"/>
              <w:adjustRightInd w:val="0"/>
              <w:spacing w:line="360" w:lineRule="auto"/>
              <w:ind w:right="178" w:rightChars="85"/>
              <w:jc w:val="left"/>
              <w:rPr>
                <w:rFonts w:ascii="宋体" w:hAnsi="宋体" w:cs="TimesNewRomanPSMT"/>
                <w:color w:val="auto"/>
                <w:kern w:val="0"/>
                <w:sz w:val="24"/>
              </w:rPr>
            </w:pPr>
          </w:p>
        </w:tc>
      </w:tr>
      <w:tr w14:paraId="30AACA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225" w:hRule="atLeast"/>
          <w:jc w:val="center"/>
        </w:trPr>
        <w:tc>
          <w:tcPr>
            <w:tcW w:w="10581" w:type="dxa"/>
            <w:gridSpan w:val="7"/>
          </w:tcPr>
          <w:p w14:paraId="0EFA15B9">
            <w:pPr>
              <w:autoSpaceDE w:val="0"/>
              <w:autoSpaceDN w:val="0"/>
              <w:adjustRightInd w:val="0"/>
              <w:spacing w:line="360" w:lineRule="auto"/>
              <w:ind w:right="178" w:rightChars="85"/>
              <w:jc w:val="left"/>
              <w:rPr>
                <w:rFonts w:ascii="宋体" w:hAnsi="宋体" w:cs="TimesNewRomanPSMT"/>
                <w:b/>
                <w:bCs/>
                <w:color w:val="auto"/>
                <w:kern w:val="0"/>
                <w:sz w:val="24"/>
              </w:rPr>
            </w:pPr>
          </w:p>
          <w:p w14:paraId="6556563F">
            <w:pPr>
              <w:autoSpaceDE w:val="0"/>
              <w:autoSpaceDN w:val="0"/>
              <w:adjustRightInd w:val="0"/>
              <w:spacing w:line="360" w:lineRule="auto"/>
              <w:ind w:right="178" w:rightChars="85"/>
              <w:jc w:val="left"/>
              <w:rPr>
                <w:rFonts w:ascii="宋体" w:hAnsi="宋体" w:cs="TimesNewRomanPSMT"/>
                <w:b/>
                <w:bCs/>
                <w:color w:val="auto"/>
                <w:kern w:val="0"/>
                <w:sz w:val="24"/>
              </w:rPr>
            </w:pPr>
            <w:r>
              <w:rPr>
                <w:rFonts w:hint="eastAsia" w:ascii="宋体" w:hAnsi="宋体" w:cs="TimesNewRomanPSMT"/>
                <w:b/>
                <w:bCs/>
                <w:color w:val="auto"/>
                <w:kern w:val="0"/>
                <w:sz w:val="24"/>
              </w:rPr>
              <w:t>投标单位</w:t>
            </w:r>
            <w:r>
              <w:rPr>
                <w:rFonts w:ascii="宋体" w:hAnsi="宋体" w:cs="TimesNewRomanPSMT"/>
                <w:b/>
                <w:bCs/>
                <w:color w:val="auto"/>
                <w:kern w:val="0"/>
                <w:sz w:val="24"/>
              </w:rPr>
              <w:t>（</w:t>
            </w:r>
            <w:r>
              <w:rPr>
                <w:rFonts w:hint="eastAsia" w:ascii="宋体" w:hAnsi="宋体" w:cs="TimesNewRomanPSMT"/>
                <w:b/>
                <w:bCs/>
                <w:color w:val="auto"/>
                <w:kern w:val="0"/>
                <w:sz w:val="24"/>
              </w:rPr>
              <w:t>电子签章</w:t>
            </w:r>
            <w:r>
              <w:rPr>
                <w:rFonts w:ascii="宋体" w:hAnsi="宋体" w:cs="TimesNewRomanPSMT"/>
                <w:b/>
                <w:bCs/>
                <w:color w:val="auto"/>
                <w:kern w:val="0"/>
                <w:sz w:val="24"/>
              </w:rPr>
              <w:t>）</w:t>
            </w:r>
            <w:r>
              <w:rPr>
                <w:rFonts w:hint="eastAsia" w:ascii="宋体" w:hAnsi="宋体" w:cs="TimesNewRomanPSMT"/>
                <w:b/>
                <w:bCs/>
                <w:color w:val="auto"/>
                <w:kern w:val="0"/>
                <w:sz w:val="24"/>
              </w:rPr>
              <w:t>：</w:t>
            </w:r>
            <w:r>
              <w:rPr>
                <w:rFonts w:hint="eastAsia" w:ascii="宋体" w:hAnsi="宋体" w:cs="TimesNewRomanPSMT"/>
                <w:color w:val="auto"/>
                <w:kern w:val="0"/>
                <w:sz w:val="24"/>
              </w:rPr>
              <w:t xml:space="preserve">                </w:t>
            </w:r>
            <w:r>
              <w:rPr>
                <w:rFonts w:hint="eastAsia" w:ascii="宋体" w:hAnsi="宋体" w:cs="TimesNewRomanPSMT"/>
                <w:b/>
                <w:bCs/>
                <w:color w:val="auto"/>
                <w:kern w:val="0"/>
                <w:sz w:val="24"/>
              </w:rPr>
              <w:t xml:space="preserve"> </w:t>
            </w:r>
          </w:p>
          <w:p w14:paraId="62F0D354">
            <w:pPr>
              <w:autoSpaceDE w:val="0"/>
              <w:autoSpaceDN w:val="0"/>
              <w:adjustRightInd w:val="0"/>
              <w:spacing w:line="360" w:lineRule="auto"/>
              <w:ind w:right="178" w:rightChars="85"/>
              <w:jc w:val="left"/>
              <w:rPr>
                <w:rFonts w:ascii="宋体" w:hAnsi="宋体" w:cs="TimesNewRomanPSMT"/>
                <w:color w:val="auto"/>
                <w:kern w:val="0"/>
                <w:sz w:val="24"/>
              </w:rPr>
            </w:pPr>
            <w:r>
              <w:rPr>
                <w:rFonts w:hint="eastAsia" w:ascii="宋体" w:hAnsi="宋体" w:cs="TimesNewRomanPSMT"/>
                <w:b/>
                <w:bCs/>
                <w:color w:val="auto"/>
                <w:kern w:val="0"/>
                <w:sz w:val="24"/>
              </w:rPr>
              <w:t>法定代表人或其委托代理人</w:t>
            </w:r>
            <w:r>
              <w:rPr>
                <w:rFonts w:ascii="宋体" w:hAnsi="宋体" w:cs="TimesNewRomanPSMT"/>
                <w:b/>
                <w:bCs/>
                <w:color w:val="auto"/>
                <w:kern w:val="0"/>
                <w:sz w:val="24"/>
              </w:rPr>
              <w:t>（</w:t>
            </w:r>
            <w:r>
              <w:rPr>
                <w:rFonts w:hint="eastAsia" w:ascii="宋体" w:hAnsi="宋体" w:cs="TimesNewRomanPSMT"/>
                <w:b/>
                <w:bCs/>
                <w:color w:val="auto"/>
                <w:kern w:val="0"/>
                <w:sz w:val="24"/>
              </w:rPr>
              <w:t>电子签章</w:t>
            </w:r>
            <w:r>
              <w:rPr>
                <w:rFonts w:ascii="宋体" w:hAnsi="宋体" w:cs="TimesNewRomanPSMT"/>
                <w:b/>
                <w:bCs/>
                <w:color w:val="auto"/>
                <w:kern w:val="0"/>
                <w:sz w:val="24"/>
              </w:rPr>
              <w:t>）</w:t>
            </w:r>
            <w:r>
              <w:rPr>
                <w:rFonts w:hint="eastAsia" w:ascii="宋体" w:hAnsi="宋体" w:cs="TimesNewRomanPSMT"/>
                <w:b/>
                <w:bCs/>
                <w:color w:val="auto"/>
                <w:kern w:val="0"/>
                <w:sz w:val="24"/>
              </w:rPr>
              <w:t>：</w:t>
            </w:r>
            <w:r>
              <w:rPr>
                <w:rFonts w:hint="eastAsia" w:ascii="宋体" w:hAnsi="宋体" w:cs="TimesNewRomanPSMT"/>
                <w:color w:val="auto"/>
                <w:kern w:val="0"/>
                <w:sz w:val="24"/>
              </w:rPr>
              <w:t xml:space="preserve"> </w:t>
            </w:r>
          </w:p>
          <w:p w14:paraId="20F5D690">
            <w:pPr>
              <w:autoSpaceDE w:val="0"/>
              <w:autoSpaceDN w:val="0"/>
              <w:adjustRightInd w:val="0"/>
              <w:spacing w:line="360" w:lineRule="auto"/>
              <w:ind w:right="178" w:rightChars="85"/>
              <w:jc w:val="left"/>
              <w:rPr>
                <w:rFonts w:ascii="宋体" w:hAnsi="宋体" w:cs="TimesNewRomanPSMT"/>
                <w:color w:val="auto"/>
                <w:kern w:val="0"/>
                <w:sz w:val="24"/>
              </w:rPr>
            </w:pPr>
            <w:r>
              <w:rPr>
                <w:rFonts w:hint="eastAsia" w:ascii="宋体" w:hAnsi="宋体" w:cs="TimesNewRomanPSMT"/>
                <w:color w:val="auto"/>
                <w:kern w:val="0"/>
                <w:sz w:val="24"/>
              </w:rPr>
              <w:t xml:space="preserve">                       </w:t>
            </w:r>
          </w:p>
          <w:p w14:paraId="377EB4B2">
            <w:pPr>
              <w:autoSpaceDE w:val="0"/>
              <w:autoSpaceDN w:val="0"/>
              <w:adjustRightInd w:val="0"/>
              <w:spacing w:line="360" w:lineRule="auto"/>
              <w:ind w:right="178" w:rightChars="85"/>
              <w:jc w:val="left"/>
              <w:rPr>
                <w:rFonts w:ascii="宋体" w:hAnsi="宋体" w:cs="TimesNewRomanPSMT"/>
                <w:b/>
                <w:bCs/>
                <w:color w:val="auto"/>
                <w:kern w:val="0"/>
                <w:sz w:val="24"/>
              </w:rPr>
            </w:pPr>
            <w:r>
              <w:rPr>
                <w:rFonts w:hint="eastAsia" w:ascii="宋体" w:hAnsi="宋体" w:cs="TimesNewRomanPSMT"/>
                <w:b/>
                <w:bCs/>
                <w:color w:val="auto"/>
                <w:kern w:val="0"/>
                <w:sz w:val="24"/>
              </w:rPr>
              <w:t>日期：　年　　月　　日</w:t>
            </w:r>
          </w:p>
        </w:tc>
      </w:tr>
      <w:tr w14:paraId="4BD547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9" w:hRule="atLeast"/>
          <w:jc w:val="center"/>
        </w:trPr>
        <w:tc>
          <w:tcPr>
            <w:tcW w:w="10581" w:type="dxa"/>
            <w:gridSpan w:val="7"/>
            <w:vAlign w:val="center"/>
          </w:tcPr>
          <w:p w14:paraId="01F2B82C">
            <w:pPr>
              <w:autoSpaceDE w:val="0"/>
              <w:autoSpaceDN w:val="0"/>
              <w:adjustRightInd w:val="0"/>
              <w:spacing w:line="360" w:lineRule="auto"/>
              <w:ind w:right="178" w:rightChars="85"/>
              <w:jc w:val="left"/>
              <w:rPr>
                <w:rFonts w:ascii="宋体" w:hAnsi="宋体" w:cs="TimesNewRomanPSMT"/>
                <w:b/>
                <w:bCs/>
                <w:color w:val="auto"/>
                <w:kern w:val="0"/>
                <w:sz w:val="24"/>
              </w:rPr>
            </w:pPr>
            <w:r>
              <w:rPr>
                <w:rFonts w:hint="eastAsia" w:ascii="宋体" w:hAnsi="宋体" w:cs="TimesNewRomanPSMT"/>
                <w:b/>
                <w:bCs/>
                <w:color w:val="auto"/>
                <w:kern w:val="0"/>
                <w:sz w:val="24"/>
              </w:rPr>
              <w:t>备注：此投标报价（唱标）一览表，投标单位应放在投标书封面后。</w:t>
            </w:r>
          </w:p>
        </w:tc>
      </w:tr>
    </w:tbl>
    <w:p w14:paraId="509180A4">
      <w:pPr>
        <w:pStyle w:val="4"/>
        <w:spacing w:before="157"/>
        <w:ind w:left="0" w:firstLine="0"/>
        <w:jc w:val="center"/>
        <w:rPr>
          <w:color w:val="auto"/>
        </w:rPr>
      </w:pPr>
      <w:bookmarkStart w:id="245" w:name="_Toc152042577"/>
      <w:bookmarkStart w:id="246" w:name="_Toc247514247"/>
      <w:bookmarkStart w:id="247" w:name="_Toc300835210"/>
      <w:bookmarkStart w:id="248" w:name="_Toc6556"/>
      <w:bookmarkStart w:id="249" w:name="_Toc25963"/>
      <w:bookmarkStart w:id="250" w:name="_Toc152045788"/>
      <w:bookmarkStart w:id="251" w:name="_Toc247527828"/>
      <w:bookmarkStart w:id="252" w:name="_Toc144974857"/>
      <w:bookmarkStart w:id="253" w:name="_Toc451244237"/>
      <w:r>
        <w:rPr>
          <w:rFonts w:hint="eastAsia"/>
          <w:color w:val="auto"/>
        </w:rPr>
        <w:t>一、</w:t>
      </w:r>
      <w:r>
        <w:rPr>
          <w:color w:val="auto"/>
        </w:rPr>
        <w:t>投标函及投标函附录</w:t>
      </w:r>
      <w:bookmarkEnd w:id="245"/>
      <w:bookmarkEnd w:id="246"/>
      <w:bookmarkEnd w:id="247"/>
      <w:bookmarkEnd w:id="248"/>
      <w:bookmarkEnd w:id="249"/>
      <w:bookmarkEnd w:id="250"/>
      <w:bookmarkEnd w:id="251"/>
      <w:bookmarkEnd w:id="252"/>
      <w:bookmarkEnd w:id="253"/>
      <w:bookmarkStart w:id="254" w:name="_Toc496860858"/>
      <w:bookmarkStart w:id="255" w:name="_Toc388544443"/>
      <w:bookmarkStart w:id="256" w:name="_Toc390177825"/>
      <w:bookmarkStart w:id="257" w:name="_Toc307409951"/>
      <w:bookmarkStart w:id="258" w:name="_Toc477346469"/>
      <w:bookmarkStart w:id="259" w:name="_Toc470281857"/>
      <w:bookmarkStart w:id="260" w:name="_Toc333858647"/>
      <w:bookmarkStart w:id="261" w:name="_Toc363073455"/>
    </w:p>
    <w:p w14:paraId="0070979A">
      <w:pPr>
        <w:pStyle w:val="4"/>
        <w:spacing w:before="157"/>
        <w:ind w:left="-168" w:firstLine="3614" w:firstLineChars="1500"/>
        <w:rPr>
          <w:rFonts w:hAnsi="宋体"/>
          <w:color w:val="auto"/>
          <w:szCs w:val="28"/>
        </w:rPr>
      </w:pPr>
      <w:bookmarkStart w:id="262" w:name="_Toc85368310"/>
      <w:bookmarkStart w:id="263" w:name="_Toc16083"/>
      <w:bookmarkStart w:id="264" w:name="_Toc14029"/>
      <w:bookmarkStart w:id="265" w:name="_Toc85443501"/>
      <w:bookmarkStart w:id="266" w:name="_Toc97752037"/>
      <w:r>
        <w:rPr>
          <w:rFonts w:hint="eastAsia" w:hAnsi="宋体"/>
          <w:color w:val="auto"/>
          <w:szCs w:val="28"/>
          <w:lang w:eastAsia="zh-CN"/>
        </w:rPr>
        <w:t>1.</w:t>
      </w:r>
      <w:r>
        <w:rPr>
          <w:rFonts w:hint="eastAsia" w:hAnsi="宋体"/>
          <w:color w:val="auto"/>
          <w:szCs w:val="28"/>
        </w:rPr>
        <w:t>投标函及投标函附录</w:t>
      </w:r>
      <w:bookmarkEnd w:id="254"/>
      <w:bookmarkEnd w:id="255"/>
      <w:bookmarkEnd w:id="256"/>
      <w:bookmarkEnd w:id="257"/>
      <w:bookmarkEnd w:id="258"/>
      <w:bookmarkEnd w:id="259"/>
      <w:bookmarkEnd w:id="260"/>
      <w:bookmarkEnd w:id="261"/>
      <w:bookmarkEnd w:id="262"/>
      <w:bookmarkEnd w:id="263"/>
      <w:bookmarkEnd w:id="264"/>
      <w:bookmarkEnd w:id="265"/>
      <w:bookmarkEnd w:id="266"/>
      <w:bookmarkStart w:id="267" w:name="_Toc85368311"/>
      <w:bookmarkStart w:id="268" w:name="_Toc477346470"/>
      <w:bookmarkStart w:id="269" w:name="_Toc363073456"/>
      <w:bookmarkStart w:id="270" w:name="_Toc388544444"/>
      <w:bookmarkStart w:id="271" w:name="_Toc361767939"/>
      <w:bookmarkStart w:id="272" w:name="_Toc97752038"/>
      <w:bookmarkStart w:id="273" w:name="_Toc363119522"/>
      <w:bookmarkStart w:id="274" w:name="_Toc85443502"/>
      <w:bookmarkStart w:id="275" w:name="_Toc470281858"/>
      <w:bookmarkStart w:id="276" w:name="_Toc390177826"/>
      <w:bookmarkStart w:id="277" w:name="_Toc21812"/>
      <w:bookmarkStart w:id="278" w:name="_Toc496860859"/>
    </w:p>
    <w:p w14:paraId="16EAB6CC">
      <w:pPr>
        <w:pStyle w:val="4"/>
        <w:spacing w:before="157"/>
        <w:ind w:left="-168" w:firstLine="3614" w:firstLineChars="1500"/>
        <w:rPr>
          <w:color w:val="auto"/>
        </w:rPr>
      </w:pPr>
      <w:bookmarkStart w:id="279" w:name="_Toc1749"/>
      <w:r>
        <w:rPr>
          <w:rFonts w:hint="eastAsia"/>
          <w:color w:val="auto"/>
        </w:rPr>
        <w:t>（1）投 标 函</w:t>
      </w:r>
      <w:bookmarkEnd w:id="267"/>
      <w:bookmarkEnd w:id="268"/>
      <w:bookmarkEnd w:id="269"/>
      <w:bookmarkEnd w:id="270"/>
      <w:bookmarkEnd w:id="271"/>
      <w:bookmarkEnd w:id="272"/>
      <w:bookmarkEnd w:id="273"/>
      <w:bookmarkEnd w:id="274"/>
      <w:bookmarkEnd w:id="275"/>
      <w:bookmarkEnd w:id="276"/>
      <w:bookmarkEnd w:id="277"/>
      <w:bookmarkEnd w:id="278"/>
      <w:bookmarkEnd w:id="279"/>
    </w:p>
    <w:p w14:paraId="77B166A6">
      <w:pPr>
        <w:rPr>
          <w:color w:val="auto"/>
        </w:rPr>
      </w:pPr>
      <w:bookmarkStart w:id="280" w:name="_Toc85368312"/>
      <w:bookmarkStart w:id="281" w:name="_Toc363073457"/>
      <w:bookmarkStart w:id="282" w:name="_Toc85443503"/>
      <w:bookmarkStart w:id="283" w:name="_Toc496860860"/>
      <w:bookmarkStart w:id="284" w:name="_Toc470281859"/>
      <w:bookmarkStart w:id="285" w:name="_Toc97752039"/>
      <w:bookmarkStart w:id="286" w:name="_Toc477346471"/>
      <w:bookmarkStart w:id="287" w:name="_Toc388544445"/>
      <w:bookmarkStart w:id="288" w:name="_Toc390177827"/>
      <w:bookmarkStart w:id="289" w:name="_Toc363119523"/>
      <w:bookmarkStart w:id="290" w:name="_Toc11392"/>
      <w:bookmarkStart w:id="291" w:name="_Toc361767940"/>
      <w:r>
        <w:rPr>
          <w:rFonts w:hint="eastAsia"/>
          <w:color w:val="auto"/>
        </w:rPr>
        <w:t>（招标人名称）     ：</w:t>
      </w:r>
      <w:bookmarkEnd w:id="280"/>
      <w:bookmarkEnd w:id="281"/>
      <w:bookmarkEnd w:id="282"/>
      <w:bookmarkEnd w:id="283"/>
      <w:bookmarkEnd w:id="284"/>
      <w:bookmarkEnd w:id="285"/>
      <w:bookmarkEnd w:id="286"/>
      <w:bookmarkEnd w:id="287"/>
      <w:bookmarkEnd w:id="288"/>
      <w:bookmarkEnd w:id="289"/>
      <w:bookmarkEnd w:id="290"/>
      <w:bookmarkEnd w:id="291"/>
    </w:p>
    <w:p w14:paraId="356FFC41">
      <w:pPr>
        <w:spacing w:line="400" w:lineRule="exact"/>
        <w:ind w:firstLine="480" w:firstLineChars="200"/>
        <w:jc w:val="left"/>
        <w:rPr>
          <w:rFonts w:ascii="宋体" w:hAnsi="宋体"/>
          <w:color w:val="auto"/>
          <w:sz w:val="24"/>
        </w:rPr>
      </w:pPr>
      <w:r>
        <w:rPr>
          <w:rFonts w:hint="eastAsia" w:ascii="宋体" w:hAnsi="宋体"/>
          <w:color w:val="auto"/>
          <w:sz w:val="24"/>
          <w:lang w:eastAsia="zh-CN"/>
        </w:rPr>
        <w:t>1.</w:t>
      </w:r>
      <w:r>
        <w:rPr>
          <w:rFonts w:hint="eastAsia" w:ascii="宋体" w:hAnsi="宋体"/>
          <w:color w:val="auto"/>
          <w:sz w:val="24"/>
        </w:rPr>
        <w:t>根据已收到的</w:t>
      </w:r>
      <w:r>
        <w:rPr>
          <w:rFonts w:hint="eastAsia" w:ascii="宋体" w:hAnsi="宋体"/>
          <w:color w:val="auto"/>
          <w:sz w:val="24"/>
          <w:u w:val="single"/>
        </w:rPr>
        <w:t xml:space="preserve">                        （项目名称）</w:t>
      </w:r>
      <w:r>
        <w:rPr>
          <w:rFonts w:hint="eastAsia" w:ascii="宋体" w:hAnsi="宋体"/>
          <w:color w:val="auto"/>
          <w:sz w:val="24"/>
        </w:rPr>
        <w:t>招标文件，遵照《</w:t>
      </w:r>
      <w:r>
        <w:rPr>
          <w:rFonts w:hint="eastAsia" w:ascii="宋体" w:hAnsi="宋体"/>
          <w:color w:val="auto"/>
          <w:sz w:val="24"/>
          <w:lang w:eastAsia="zh-CN"/>
        </w:rPr>
        <w:t>中华人民共和国招标投标法实施条例》《</w:t>
      </w:r>
      <w:r>
        <w:rPr>
          <w:rFonts w:hint="eastAsia" w:ascii="宋体" w:hAnsi="宋体"/>
          <w:color w:val="auto"/>
          <w:sz w:val="24"/>
        </w:rPr>
        <w:t>中华人民共和国政府采购法》及《工程建设项目勘察设计招标投标办法》等有关</w:t>
      </w:r>
      <w:r>
        <w:rPr>
          <w:rFonts w:hint="eastAsia" w:ascii="宋体" w:hAnsi="宋体"/>
          <w:color w:val="auto"/>
          <w:sz w:val="24"/>
          <w:lang w:eastAsia="zh-CN"/>
        </w:rPr>
        <w:t>法律法规</w:t>
      </w:r>
      <w:r>
        <w:rPr>
          <w:rFonts w:hint="eastAsia" w:ascii="宋体" w:hAnsi="宋体"/>
          <w:color w:val="auto"/>
          <w:sz w:val="24"/>
        </w:rPr>
        <w:t>和规章，经踏勘项目现场和研究了招标文件的全部内容，</w:t>
      </w:r>
      <w:r>
        <w:rPr>
          <w:rFonts w:hint="eastAsia" w:ascii="宋体" w:hAnsi="宋体"/>
          <w:b/>
          <w:color w:val="auto"/>
          <w:sz w:val="24"/>
        </w:rPr>
        <w:t>针对项目勘察部分</w:t>
      </w:r>
      <w:r>
        <w:rPr>
          <w:rFonts w:hint="eastAsia" w:ascii="宋体" w:hAnsi="宋体"/>
          <w:color w:val="auto"/>
          <w:sz w:val="24"/>
        </w:rPr>
        <w:t>我方愿以</w:t>
      </w:r>
      <w:r>
        <w:rPr>
          <w:rFonts w:hint="eastAsia" w:ascii="宋体" w:hAnsi="宋体"/>
          <w:color w:val="auto"/>
          <w:sz w:val="24"/>
          <w:u w:val="single"/>
        </w:rPr>
        <w:t xml:space="preserve">         （保留小数点后两位）</w:t>
      </w:r>
      <w:r>
        <w:rPr>
          <w:rFonts w:hint="eastAsia" w:ascii="宋体" w:hAnsi="宋体"/>
          <w:color w:val="auto"/>
          <w:sz w:val="24"/>
        </w:rPr>
        <w:t>的</w:t>
      </w:r>
      <w:r>
        <w:rPr>
          <w:rFonts w:hint="eastAsia" w:ascii="宋体" w:hAnsi="宋体"/>
          <w:color w:val="auto"/>
          <w:sz w:val="24"/>
          <w:lang w:val="en-US" w:eastAsia="zh-CN"/>
        </w:rPr>
        <w:t>报价</w:t>
      </w:r>
      <w:r>
        <w:rPr>
          <w:rFonts w:hint="eastAsia" w:ascii="宋体" w:hAnsi="宋体"/>
          <w:color w:val="auto"/>
          <w:sz w:val="24"/>
        </w:rPr>
        <w:t>投标，</w:t>
      </w:r>
      <w:r>
        <w:rPr>
          <w:rFonts w:hint="eastAsia" w:ascii="宋体" w:hAnsi="宋体"/>
          <w:b/>
          <w:color w:val="auto"/>
          <w:sz w:val="24"/>
        </w:rPr>
        <w:t>针对项目设计部分</w:t>
      </w:r>
      <w:r>
        <w:rPr>
          <w:rFonts w:hint="eastAsia" w:ascii="宋体" w:hAnsi="宋体"/>
          <w:color w:val="auto"/>
          <w:sz w:val="24"/>
        </w:rPr>
        <w:t>我方愿以</w:t>
      </w:r>
      <w:r>
        <w:rPr>
          <w:rFonts w:hint="eastAsia" w:ascii="宋体" w:hAnsi="宋体"/>
          <w:color w:val="auto"/>
          <w:sz w:val="24"/>
          <w:u w:val="single"/>
        </w:rPr>
        <w:t xml:space="preserve">         （保留小数点后两位）</w:t>
      </w:r>
      <w:r>
        <w:rPr>
          <w:rFonts w:hint="eastAsia" w:ascii="宋体" w:hAnsi="宋体"/>
          <w:color w:val="auto"/>
          <w:sz w:val="24"/>
        </w:rPr>
        <w:t>的</w:t>
      </w:r>
      <w:r>
        <w:rPr>
          <w:rFonts w:hint="eastAsia" w:ascii="宋体" w:hAnsi="宋体"/>
          <w:color w:val="auto"/>
          <w:sz w:val="24"/>
          <w:lang w:val="en-US" w:eastAsia="zh-CN"/>
        </w:rPr>
        <w:t>报价</w:t>
      </w:r>
      <w:r>
        <w:rPr>
          <w:rFonts w:hint="eastAsia" w:ascii="宋体" w:hAnsi="宋体"/>
          <w:color w:val="auto"/>
          <w:sz w:val="24"/>
        </w:rPr>
        <w:t>投标，</w:t>
      </w:r>
      <w:r>
        <w:rPr>
          <w:rFonts w:hint="eastAsia" w:ascii="宋体" w:hAnsi="宋体"/>
          <w:b/>
          <w:color w:val="auto"/>
          <w:sz w:val="24"/>
        </w:rPr>
        <w:t>针对项目施工部分</w:t>
      </w:r>
      <w:r>
        <w:rPr>
          <w:rFonts w:hint="eastAsia" w:ascii="宋体" w:hAnsi="宋体"/>
          <w:color w:val="auto"/>
          <w:sz w:val="24"/>
        </w:rPr>
        <w:t>我方愿以</w:t>
      </w:r>
      <w:r>
        <w:rPr>
          <w:rFonts w:hint="eastAsia" w:ascii="宋体" w:hAnsi="宋体"/>
          <w:color w:val="auto"/>
          <w:sz w:val="24"/>
          <w:u w:val="single"/>
        </w:rPr>
        <w:t xml:space="preserve">         （保留小数点后两位）</w:t>
      </w:r>
      <w:r>
        <w:rPr>
          <w:rFonts w:hint="eastAsia" w:ascii="宋体" w:hAnsi="宋体"/>
          <w:color w:val="auto"/>
          <w:sz w:val="24"/>
        </w:rPr>
        <w:t>的优惠后费率投标，工期：</w:t>
      </w:r>
      <w:r>
        <w:rPr>
          <w:rFonts w:hint="eastAsia" w:ascii="宋体" w:hAnsi="宋体"/>
          <w:color w:val="auto"/>
          <w:sz w:val="24"/>
          <w:u w:val="single"/>
        </w:rPr>
        <w:t xml:space="preserve">           </w:t>
      </w:r>
      <w:r>
        <w:rPr>
          <w:rFonts w:hint="eastAsia" w:ascii="宋体" w:hAnsi="宋体"/>
          <w:color w:val="auto"/>
          <w:sz w:val="24"/>
        </w:rPr>
        <w:t xml:space="preserve"> 。我方愿按合同约定实施和完成承包工程，修补工程中的任何缺陷，质量：</w:t>
      </w:r>
      <w:r>
        <w:rPr>
          <w:rFonts w:hint="eastAsia" w:ascii="宋体" w:hAnsi="宋体"/>
          <w:color w:val="auto"/>
          <w:sz w:val="24"/>
          <w:u w:val="single"/>
        </w:rPr>
        <w:t xml:space="preserve">             </w:t>
      </w:r>
      <w:r>
        <w:rPr>
          <w:rFonts w:hint="eastAsia" w:ascii="宋体" w:hAnsi="宋体"/>
          <w:color w:val="auto"/>
          <w:sz w:val="24"/>
        </w:rPr>
        <w:t>。</w:t>
      </w:r>
    </w:p>
    <w:p w14:paraId="3B5EB0CB">
      <w:pPr>
        <w:spacing w:line="400" w:lineRule="exact"/>
        <w:ind w:firstLine="480" w:firstLineChars="200"/>
        <w:jc w:val="left"/>
        <w:rPr>
          <w:rFonts w:ascii="宋体" w:hAnsi="宋体"/>
          <w:color w:val="auto"/>
          <w:sz w:val="24"/>
        </w:rPr>
      </w:pPr>
      <w:r>
        <w:rPr>
          <w:rFonts w:hint="eastAsia" w:ascii="宋体" w:hAnsi="宋体"/>
          <w:color w:val="auto"/>
          <w:sz w:val="24"/>
          <w:lang w:eastAsia="zh-CN"/>
        </w:rPr>
        <w:t>2.</w:t>
      </w:r>
      <w:r>
        <w:rPr>
          <w:rFonts w:hint="eastAsia" w:ascii="宋体" w:hAnsi="宋体"/>
          <w:color w:val="auto"/>
          <w:sz w:val="24"/>
        </w:rPr>
        <w:t>我方承诺在投标有效期内不修改、撤销投标文件。</w:t>
      </w:r>
    </w:p>
    <w:p w14:paraId="677BE10D">
      <w:pPr>
        <w:spacing w:line="400" w:lineRule="exact"/>
        <w:ind w:firstLine="480" w:firstLineChars="200"/>
        <w:jc w:val="left"/>
        <w:rPr>
          <w:rFonts w:ascii="宋体" w:hAnsi="宋体"/>
          <w:color w:val="auto"/>
          <w:sz w:val="24"/>
        </w:rPr>
      </w:pPr>
      <w:r>
        <w:rPr>
          <w:rFonts w:hint="eastAsia" w:ascii="宋体" w:hAnsi="宋体"/>
          <w:color w:val="auto"/>
          <w:sz w:val="24"/>
          <w:lang w:eastAsia="zh-CN"/>
        </w:rPr>
        <w:t>3.</w:t>
      </w:r>
      <w:r>
        <w:rPr>
          <w:rFonts w:hint="eastAsia" w:ascii="宋体" w:hAnsi="宋体"/>
          <w:color w:val="auto"/>
          <w:sz w:val="24"/>
        </w:rPr>
        <w:t xml:space="preserve"> 随同本投标函提交投标保证金一份，金额为人民币</w:t>
      </w:r>
      <w:r>
        <w:rPr>
          <w:rFonts w:hint="eastAsia" w:ascii="宋体" w:hAnsi="宋体"/>
          <w:color w:val="auto"/>
          <w:sz w:val="24"/>
          <w:u w:val="single"/>
        </w:rPr>
        <w:t xml:space="preserve">（大写）       </w:t>
      </w:r>
      <w:r>
        <w:rPr>
          <w:rFonts w:hint="eastAsia" w:ascii="宋体" w:hAnsi="宋体"/>
          <w:color w:val="auto"/>
          <w:sz w:val="24"/>
        </w:rPr>
        <w:t>（￥</w:t>
      </w:r>
      <w:r>
        <w:rPr>
          <w:rFonts w:hint="eastAsia" w:ascii="宋体" w:hAnsi="宋体"/>
          <w:color w:val="auto"/>
          <w:sz w:val="24"/>
          <w:u w:val="single"/>
        </w:rPr>
        <w:t xml:space="preserve">        </w:t>
      </w:r>
      <w:r>
        <w:rPr>
          <w:rFonts w:hint="eastAsia" w:ascii="宋体" w:hAnsi="宋体"/>
          <w:color w:val="auto"/>
          <w:sz w:val="24"/>
        </w:rPr>
        <w:t>）。</w:t>
      </w:r>
    </w:p>
    <w:p w14:paraId="610F8276">
      <w:pPr>
        <w:spacing w:line="400" w:lineRule="exact"/>
        <w:ind w:firstLine="480" w:firstLineChars="200"/>
        <w:jc w:val="left"/>
        <w:rPr>
          <w:rFonts w:ascii="宋体" w:hAnsi="宋体"/>
          <w:color w:val="auto"/>
          <w:sz w:val="24"/>
        </w:rPr>
      </w:pPr>
      <w:r>
        <w:rPr>
          <w:rFonts w:hint="eastAsia" w:ascii="宋体" w:hAnsi="宋体"/>
          <w:color w:val="auto"/>
          <w:sz w:val="24"/>
          <w:lang w:eastAsia="zh-CN"/>
        </w:rPr>
        <w:t>4.</w:t>
      </w:r>
      <w:r>
        <w:rPr>
          <w:rFonts w:hint="eastAsia" w:ascii="宋体" w:hAnsi="宋体"/>
          <w:color w:val="auto"/>
          <w:sz w:val="24"/>
        </w:rPr>
        <w:t>如我方中标：</w:t>
      </w:r>
    </w:p>
    <w:p w14:paraId="54406BC1">
      <w:pPr>
        <w:spacing w:line="400" w:lineRule="exact"/>
        <w:ind w:firstLine="480" w:firstLineChars="200"/>
        <w:jc w:val="left"/>
        <w:rPr>
          <w:rFonts w:ascii="宋体" w:hAnsi="宋体"/>
          <w:color w:val="auto"/>
          <w:sz w:val="24"/>
        </w:rPr>
      </w:pPr>
      <w:r>
        <w:rPr>
          <w:rFonts w:hint="eastAsia" w:ascii="宋体" w:hAnsi="宋体"/>
          <w:color w:val="auto"/>
          <w:sz w:val="24"/>
        </w:rPr>
        <w:t>（1）我方承诺在收到中标通知书后，在中标通知书规定的期限内与你方签订合同。</w:t>
      </w:r>
    </w:p>
    <w:p w14:paraId="7C21E9BE">
      <w:pPr>
        <w:spacing w:line="400" w:lineRule="exact"/>
        <w:ind w:firstLine="480" w:firstLineChars="200"/>
        <w:jc w:val="left"/>
        <w:rPr>
          <w:rFonts w:ascii="宋体" w:hAnsi="宋体"/>
          <w:color w:val="auto"/>
          <w:sz w:val="24"/>
        </w:rPr>
      </w:pPr>
      <w:r>
        <w:rPr>
          <w:rFonts w:hint="eastAsia" w:ascii="宋体" w:hAnsi="宋体"/>
          <w:color w:val="auto"/>
          <w:sz w:val="24"/>
        </w:rPr>
        <w:t>（2）随同本投标函递交的投标函附录属于合同文件的组成部分。</w:t>
      </w:r>
    </w:p>
    <w:p w14:paraId="28AC6352">
      <w:pPr>
        <w:spacing w:line="400" w:lineRule="exact"/>
        <w:ind w:firstLine="480" w:firstLineChars="200"/>
        <w:jc w:val="left"/>
        <w:rPr>
          <w:rFonts w:ascii="宋体" w:hAnsi="宋体"/>
          <w:color w:val="auto"/>
          <w:sz w:val="24"/>
        </w:rPr>
      </w:pPr>
      <w:r>
        <w:rPr>
          <w:rFonts w:hint="eastAsia" w:ascii="宋体" w:hAnsi="宋体"/>
          <w:color w:val="auto"/>
          <w:sz w:val="24"/>
        </w:rPr>
        <w:t>（3）我方承诺按照招标文件规定向你方递交施工保证金。</w:t>
      </w:r>
    </w:p>
    <w:p w14:paraId="319FC4B0">
      <w:pPr>
        <w:spacing w:line="400" w:lineRule="exact"/>
        <w:ind w:firstLine="480" w:firstLineChars="200"/>
        <w:jc w:val="left"/>
        <w:rPr>
          <w:rFonts w:ascii="宋体" w:hAnsi="宋体"/>
          <w:color w:val="auto"/>
          <w:sz w:val="24"/>
        </w:rPr>
      </w:pPr>
      <w:r>
        <w:rPr>
          <w:rFonts w:hint="eastAsia" w:ascii="宋体" w:hAnsi="宋体"/>
          <w:color w:val="auto"/>
          <w:sz w:val="24"/>
        </w:rPr>
        <w:t>（4）我方承诺在合同约定的期限内完成并移交全部合同工程。</w:t>
      </w:r>
    </w:p>
    <w:p w14:paraId="2F6B590A">
      <w:pPr>
        <w:spacing w:line="400" w:lineRule="exact"/>
        <w:ind w:firstLine="480" w:firstLineChars="200"/>
        <w:jc w:val="left"/>
        <w:rPr>
          <w:rFonts w:ascii="宋体" w:hAnsi="宋体"/>
          <w:color w:val="auto"/>
          <w:sz w:val="24"/>
        </w:rPr>
      </w:pPr>
      <w:r>
        <w:rPr>
          <w:rFonts w:hint="eastAsia" w:ascii="宋体" w:hAnsi="宋体"/>
          <w:color w:val="auto"/>
          <w:sz w:val="24"/>
        </w:rPr>
        <w:t>（5）我方承诺，若我方中标，在施工时该项目经理必须保证80%以上时间（按日历日计）在施工现场，否则无条件接受施工合同约定的处罚。</w:t>
      </w:r>
    </w:p>
    <w:p w14:paraId="56252E78">
      <w:pPr>
        <w:spacing w:line="400" w:lineRule="exact"/>
        <w:ind w:firstLine="480" w:firstLineChars="200"/>
        <w:jc w:val="left"/>
        <w:rPr>
          <w:rFonts w:ascii="宋体" w:hAnsi="宋体"/>
          <w:color w:val="auto"/>
          <w:sz w:val="24"/>
        </w:rPr>
      </w:pPr>
      <w:r>
        <w:rPr>
          <w:rFonts w:hint="eastAsia" w:ascii="宋体" w:hAnsi="宋体"/>
          <w:color w:val="auto"/>
          <w:sz w:val="24"/>
        </w:rPr>
        <w:t>（6）我方保证无条件服从贵公司的设计任务分配，并在签订合同之日起2日内完成受托人员的组建并投入工作。</w:t>
      </w:r>
    </w:p>
    <w:p w14:paraId="429E61C7">
      <w:pPr>
        <w:spacing w:line="400" w:lineRule="exact"/>
        <w:ind w:firstLine="480" w:firstLineChars="200"/>
        <w:jc w:val="left"/>
        <w:rPr>
          <w:rFonts w:ascii="宋体" w:hAnsi="宋体"/>
          <w:color w:val="auto"/>
          <w:sz w:val="24"/>
        </w:rPr>
      </w:pPr>
      <w:r>
        <w:rPr>
          <w:rFonts w:hint="eastAsia" w:ascii="宋体" w:hAnsi="宋体"/>
          <w:color w:val="auto"/>
          <w:sz w:val="24"/>
        </w:rPr>
        <w:t>（7）我方保证在委托人规定的时间内完成设计任务并承诺在施工阶段至少派出1-2名助理工程师以上（含助理工程师）设计人员</w:t>
      </w:r>
      <w:r>
        <w:rPr>
          <w:rFonts w:hint="eastAsia" w:ascii="宋体" w:hAnsi="宋体"/>
          <w:color w:val="auto"/>
          <w:sz w:val="24"/>
          <w:lang w:eastAsia="zh-CN"/>
        </w:rPr>
        <w:t>常驻</w:t>
      </w:r>
      <w:r>
        <w:rPr>
          <w:rFonts w:hint="eastAsia" w:ascii="宋体" w:hAnsi="宋体"/>
          <w:color w:val="auto"/>
          <w:sz w:val="24"/>
        </w:rPr>
        <w:t>施工现场。</w:t>
      </w:r>
    </w:p>
    <w:p w14:paraId="1D2A6F27">
      <w:pPr>
        <w:spacing w:line="400" w:lineRule="exact"/>
        <w:ind w:firstLine="480" w:firstLineChars="200"/>
        <w:jc w:val="left"/>
        <w:rPr>
          <w:rFonts w:ascii="宋体" w:hAnsi="宋体"/>
          <w:color w:val="auto"/>
          <w:sz w:val="24"/>
        </w:rPr>
      </w:pPr>
      <w:r>
        <w:rPr>
          <w:rFonts w:hint="eastAsia" w:ascii="宋体" w:hAnsi="宋体"/>
          <w:color w:val="auto"/>
          <w:sz w:val="24"/>
          <w:lang w:eastAsia="zh-CN"/>
        </w:rPr>
        <w:t>5.</w:t>
      </w:r>
      <w:r>
        <w:rPr>
          <w:rFonts w:hint="eastAsia" w:ascii="宋体" w:hAnsi="宋体"/>
          <w:color w:val="auto"/>
          <w:sz w:val="24"/>
        </w:rPr>
        <w:t>我方承诺本项目的招标代理服务费按招标人与招标代理机构签订的招标代理合同执行。</w:t>
      </w:r>
    </w:p>
    <w:p w14:paraId="6C5C12AB">
      <w:pPr>
        <w:spacing w:line="400" w:lineRule="exact"/>
        <w:ind w:firstLine="480" w:firstLineChars="200"/>
        <w:jc w:val="left"/>
        <w:rPr>
          <w:rFonts w:ascii="宋体" w:hAnsi="宋体"/>
          <w:color w:val="auto"/>
          <w:sz w:val="24"/>
        </w:rPr>
      </w:pPr>
      <w:r>
        <w:rPr>
          <w:rFonts w:hint="eastAsia" w:ascii="宋体" w:hAnsi="宋体"/>
          <w:color w:val="auto"/>
          <w:sz w:val="24"/>
          <w:lang w:eastAsia="zh-CN"/>
        </w:rPr>
        <w:t>6.</w:t>
      </w:r>
      <w:r>
        <w:rPr>
          <w:rFonts w:hint="eastAsia" w:ascii="宋体" w:hAnsi="宋体"/>
          <w:color w:val="auto"/>
          <w:sz w:val="24"/>
        </w:rPr>
        <w:t>我方在此声明，所递交的投标文件及有关资料内容完整、真实和准确，且不存在第二章“投标人须知”第1.4.2项规定的任何一种情形。</w:t>
      </w:r>
    </w:p>
    <w:p w14:paraId="79FEE598">
      <w:pPr>
        <w:spacing w:line="400" w:lineRule="exact"/>
        <w:ind w:firstLine="480" w:firstLineChars="200"/>
        <w:jc w:val="left"/>
        <w:rPr>
          <w:rFonts w:ascii="宋体" w:hAnsi="宋体"/>
          <w:color w:val="auto"/>
          <w:sz w:val="24"/>
        </w:rPr>
      </w:pPr>
      <w:r>
        <w:rPr>
          <w:rFonts w:hint="eastAsia" w:ascii="宋体" w:hAnsi="宋体"/>
          <w:color w:val="auto"/>
          <w:sz w:val="24"/>
        </w:rPr>
        <w:t>7．</w:t>
      </w:r>
      <w:r>
        <w:rPr>
          <w:rFonts w:hint="eastAsia" w:ascii="宋体" w:hAnsi="宋体"/>
          <w:color w:val="auto"/>
          <w:sz w:val="24"/>
          <w:u w:val="single"/>
        </w:rPr>
        <w:t xml:space="preserve">                                          （其他补充说明）。</w:t>
      </w:r>
    </w:p>
    <w:p w14:paraId="511949BA">
      <w:pPr>
        <w:spacing w:line="380" w:lineRule="exact"/>
        <w:ind w:firstLine="4320" w:firstLineChars="1800"/>
        <w:rPr>
          <w:rFonts w:ascii="宋体" w:hAnsi="宋体"/>
          <w:color w:val="auto"/>
          <w:sz w:val="24"/>
          <w:u w:val="single"/>
        </w:rPr>
      </w:pPr>
      <w:r>
        <w:rPr>
          <w:rFonts w:hint="eastAsia" w:ascii="宋体" w:hAnsi="宋体"/>
          <w:color w:val="auto"/>
          <w:sz w:val="24"/>
        </w:rPr>
        <w:t>投 标 人：</w:t>
      </w:r>
      <w:r>
        <w:rPr>
          <w:rFonts w:hint="eastAsia" w:ascii="宋体" w:hAnsi="宋体"/>
          <w:color w:val="auto"/>
          <w:sz w:val="24"/>
          <w:u w:val="single"/>
        </w:rPr>
        <w:t xml:space="preserve">             （电子签章）</w:t>
      </w:r>
    </w:p>
    <w:p w14:paraId="3E2E8993">
      <w:pPr>
        <w:spacing w:line="380" w:lineRule="exact"/>
        <w:ind w:firstLine="4320" w:firstLineChars="1800"/>
        <w:rPr>
          <w:rFonts w:ascii="宋体" w:hAnsi="宋体"/>
          <w:color w:val="auto"/>
          <w:sz w:val="24"/>
        </w:rPr>
      </w:pPr>
      <w:r>
        <w:rPr>
          <w:rFonts w:hint="eastAsia" w:ascii="宋体" w:hAnsi="宋体"/>
          <w:color w:val="auto"/>
          <w:sz w:val="24"/>
        </w:rPr>
        <w:t>法定代表人：</w:t>
      </w:r>
      <w:r>
        <w:rPr>
          <w:rFonts w:hint="eastAsia" w:ascii="宋体" w:hAnsi="宋体"/>
          <w:color w:val="auto"/>
          <w:sz w:val="24"/>
          <w:u w:val="single"/>
        </w:rPr>
        <w:t xml:space="preserve">           （电子签章）</w:t>
      </w:r>
    </w:p>
    <w:p w14:paraId="7011FEF7">
      <w:pPr>
        <w:spacing w:line="380" w:lineRule="exact"/>
        <w:rPr>
          <w:rFonts w:ascii="宋体" w:hAnsi="宋体"/>
          <w:color w:val="auto"/>
          <w:sz w:val="24"/>
        </w:rPr>
      </w:pPr>
      <w:r>
        <w:rPr>
          <w:rFonts w:hint="eastAsia" w:ascii="宋体" w:hAnsi="宋体"/>
          <w:color w:val="auto"/>
          <w:sz w:val="24"/>
        </w:rPr>
        <w:t xml:space="preserve">                                    地    址： </w:t>
      </w:r>
      <w:r>
        <w:rPr>
          <w:rFonts w:hint="eastAsia" w:ascii="宋体" w:hAnsi="宋体"/>
          <w:color w:val="auto"/>
          <w:sz w:val="24"/>
          <w:u w:val="single"/>
        </w:rPr>
        <w:t xml:space="preserve">                         </w:t>
      </w:r>
    </w:p>
    <w:p w14:paraId="02EB77DF">
      <w:pPr>
        <w:spacing w:line="380" w:lineRule="exact"/>
        <w:rPr>
          <w:rFonts w:ascii="宋体" w:hAnsi="宋体"/>
          <w:color w:val="auto"/>
          <w:sz w:val="24"/>
          <w:u w:val="single"/>
        </w:rPr>
      </w:pPr>
      <w:r>
        <w:rPr>
          <w:rFonts w:hint="eastAsia" w:ascii="宋体" w:hAnsi="宋体"/>
          <w:color w:val="auto"/>
          <w:sz w:val="24"/>
        </w:rPr>
        <w:t xml:space="preserve">                                    邮政编码： </w:t>
      </w:r>
      <w:r>
        <w:rPr>
          <w:rFonts w:hint="eastAsia" w:ascii="宋体" w:hAnsi="宋体"/>
          <w:color w:val="auto"/>
          <w:sz w:val="24"/>
          <w:u w:val="single"/>
        </w:rPr>
        <w:t xml:space="preserve">                        </w:t>
      </w:r>
    </w:p>
    <w:p w14:paraId="5B1F4408">
      <w:pPr>
        <w:spacing w:line="380" w:lineRule="exact"/>
        <w:rPr>
          <w:rFonts w:ascii="宋体" w:hAnsi="宋体"/>
          <w:color w:val="auto"/>
          <w:szCs w:val="21"/>
        </w:rPr>
      </w:pPr>
      <w:r>
        <w:rPr>
          <w:rFonts w:hint="eastAsia" w:ascii="宋体" w:hAnsi="宋体"/>
          <w:color w:val="auto"/>
          <w:sz w:val="24"/>
        </w:rPr>
        <w:t xml:space="preserve">                                    电    话： </w:t>
      </w:r>
      <w:r>
        <w:rPr>
          <w:rFonts w:hint="eastAsia" w:ascii="宋体" w:hAnsi="宋体"/>
          <w:color w:val="auto"/>
          <w:sz w:val="24"/>
          <w:u w:val="single"/>
        </w:rPr>
        <w:t xml:space="preserve">                         </w:t>
      </w:r>
    </w:p>
    <w:p w14:paraId="3107B0CD">
      <w:pPr>
        <w:pStyle w:val="4"/>
        <w:spacing w:before="157"/>
        <w:ind w:left="0" w:firstLine="0"/>
        <w:rPr>
          <w:color w:val="auto"/>
        </w:rPr>
      </w:pPr>
      <w:bookmarkStart w:id="292" w:name="_Toc85443504"/>
      <w:bookmarkStart w:id="293" w:name="_Toc480918576"/>
      <w:bookmarkStart w:id="294" w:name="_Toc85368313"/>
      <w:bookmarkStart w:id="295" w:name="_Toc499310648"/>
      <w:bookmarkStart w:id="296" w:name="_Toc144974859"/>
      <w:bookmarkStart w:id="297" w:name="_Toc152042579"/>
      <w:bookmarkStart w:id="298" w:name="_Toc480918952"/>
      <w:bookmarkStart w:id="299" w:name="_Toc247514249"/>
      <w:bookmarkStart w:id="300" w:name="_Toc97752040"/>
      <w:bookmarkStart w:id="301" w:name="_Toc22093"/>
      <w:bookmarkStart w:id="302" w:name="_Toc247527830"/>
      <w:bookmarkStart w:id="303" w:name="_Toc300835212"/>
      <w:bookmarkStart w:id="304" w:name="_Toc474178990"/>
      <w:bookmarkStart w:id="305" w:name="_Toc474179226"/>
      <w:bookmarkStart w:id="306" w:name="_Toc451244239"/>
      <w:bookmarkStart w:id="307" w:name="_Toc152045790"/>
      <w:bookmarkStart w:id="308" w:name="_Toc499310078"/>
      <w:bookmarkStart w:id="309" w:name="_Toc4553"/>
      <w:r>
        <w:rPr>
          <w:color w:val="auto"/>
        </w:rPr>
        <w:t>（</w:t>
      </w:r>
      <w:r>
        <w:rPr>
          <w:rFonts w:hint="eastAsia"/>
          <w:color w:val="auto"/>
        </w:rPr>
        <w:t>2</w:t>
      </w:r>
      <w:r>
        <w:rPr>
          <w:color w:val="auto"/>
        </w:rPr>
        <w:t>）投标函附录</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tbl>
      <w:tblPr>
        <w:tblStyle w:val="6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1"/>
        <w:gridCol w:w="3298"/>
        <w:gridCol w:w="2808"/>
        <w:gridCol w:w="1530"/>
      </w:tblGrid>
      <w:tr w14:paraId="20F62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41" w:type="dxa"/>
            <w:vAlign w:val="center"/>
          </w:tcPr>
          <w:p w14:paraId="4FC449F7">
            <w:pPr>
              <w:adjustRightInd w:val="0"/>
              <w:snapToGrid w:val="0"/>
              <w:spacing w:line="360" w:lineRule="auto"/>
              <w:jc w:val="center"/>
              <w:rPr>
                <w:rFonts w:ascii="宋体" w:hAnsi="宋体" w:cs="宋体"/>
                <w:color w:val="auto"/>
                <w:szCs w:val="21"/>
              </w:rPr>
            </w:pPr>
            <w:r>
              <w:rPr>
                <w:rFonts w:hint="eastAsia" w:ascii="宋体" w:hAnsi="宋体" w:cs="宋体"/>
                <w:color w:val="auto"/>
                <w:szCs w:val="21"/>
              </w:rPr>
              <w:t>序 号</w:t>
            </w:r>
          </w:p>
        </w:tc>
        <w:tc>
          <w:tcPr>
            <w:tcW w:w="3298" w:type="dxa"/>
            <w:vAlign w:val="center"/>
          </w:tcPr>
          <w:p w14:paraId="39D0372B">
            <w:pPr>
              <w:adjustRightInd w:val="0"/>
              <w:snapToGrid w:val="0"/>
              <w:spacing w:line="360" w:lineRule="auto"/>
              <w:jc w:val="center"/>
              <w:rPr>
                <w:rFonts w:ascii="宋体" w:hAnsi="宋体" w:cs="宋体"/>
                <w:color w:val="auto"/>
                <w:szCs w:val="21"/>
              </w:rPr>
            </w:pPr>
            <w:r>
              <w:rPr>
                <w:rFonts w:hint="eastAsia" w:ascii="宋体" w:hAnsi="宋体" w:cs="宋体"/>
                <w:color w:val="auto"/>
                <w:szCs w:val="21"/>
              </w:rPr>
              <w:t>条款内容</w:t>
            </w:r>
          </w:p>
        </w:tc>
        <w:tc>
          <w:tcPr>
            <w:tcW w:w="2808" w:type="dxa"/>
            <w:vAlign w:val="center"/>
          </w:tcPr>
          <w:p w14:paraId="090A736C">
            <w:pPr>
              <w:adjustRightInd w:val="0"/>
              <w:snapToGrid w:val="0"/>
              <w:spacing w:line="360" w:lineRule="auto"/>
              <w:jc w:val="center"/>
              <w:rPr>
                <w:rFonts w:ascii="宋体" w:hAnsi="宋体" w:cs="宋体"/>
                <w:color w:val="auto"/>
                <w:szCs w:val="21"/>
              </w:rPr>
            </w:pPr>
            <w:r>
              <w:rPr>
                <w:rFonts w:hint="eastAsia" w:ascii="宋体" w:hAnsi="宋体" w:cs="宋体"/>
                <w:color w:val="auto"/>
                <w:szCs w:val="21"/>
              </w:rPr>
              <w:t>约定内容</w:t>
            </w:r>
          </w:p>
        </w:tc>
        <w:tc>
          <w:tcPr>
            <w:tcW w:w="1530" w:type="dxa"/>
            <w:vAlign w:val="center"/>
          </w:tcPr>
          <w:p w14:paraId="23A025BB">
            <w:pPr>
              <w:adjustRightInd w:val="0"/>
              <w:snapToGrid w:val="0"/>
              <w:spacing w:line="360" w:lineRule="auto"/>
              <w:jc w:val="center"/>
              <w:rPr>
                <w:rFonts w:ascii="宋体" w:hAnsi="宋体" w:cs="宋体"/>
                <w:color w:val="auto"/>
                <w:szCs w:val="21"/>
              </w:rPr>
            </w:pPr>
            <w:r>
              <w:rPr>
                <w:rFonts w:hint="eastAsia" w:ascii="宋体" w:hAnsi="宋体" w:cs="宋体"/>
                <w:color w:val="auto"/>
                <w:szCs w:val="21"/>
              </w:rPr>
              <w:t>备注</w:t>
            </w:r>
          </w:p>
        </w:tc>
      </w:tr>
      <w:tr w14:paraId="2B40C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41" w:type="dxa"/>
            <w:vAlign w:val="center"/>
          </w:tcPr>
          <w:p w14:paraId="1B7889DD">
            <w:pPr>
              <w:adjustRightInd w:val="0"/>
              <w:snapToGrid w:val="0"/>
              <w:spacing w:line="360" w:lineRule="auto"/>
              <w:jc w:val="center"/>
              <w:rPr>
                <w:rFonts w:ascii="宋体" w:hAnsi="宋体" w:cs="宋体"/>
                <w:color w:val="auto"/>
                <w:szCs w:val="21"/>
              </w:rPr>
            </w:pPr>
            <w:r>
              <w:rPr>
                <w:rFonts w:hint="eastAsia" w:ascii="宋体" w:hAnsi="宋体" w:cs="宋体"/>
                <w:color w:val="auto"/>
                <w:szCs w:val="21"/>
              </w:rPr>
              <w:t>1</w:t>
            </w:r>
          </w:p>
        </w:tc>
        <w:tc>
          <w:tcPr>
            <w:tcW w:w="3298" w:type="dxa"/>
            <w:vAlign w:val="center"/>
          </w:tcPr>
          <w:p w14:paraId="4C232039">
            <w:pPr>
              <w:spacing w:line="440" w:lineRule="exact"/>
              <w:jc w:val="center"/>
              <w:rPr>
                <w:rFonts w:ascii="宋体" w:hAnsi="宋体" w:cs="宋体"/>
                <w:color w:val="auto"/>
                <w:szCs w:val="21"/>
              </w:rPr>
            </w:pPr>
            <w:r>
              <w:rPr>
                <w:rFonts w:hint="eastAsia" w:ascii="宋体" w:hAnsi="宋体" w:cs="宋体"/>
                <w:color w:val="auto"/>
                <w:szCs w:val="21"/>
              </w:rPr>
              <w:t>项目经理</w:t>
            </w:r>
          </w:p>
        </w:tc>
        <w:tc>
          <w:tcPr>
            <w:tcW w:w="2808" w:type="dxa"/>
            <w:vAlign w:val="center"/>
          </w:tcPr>
          <w:p w14:paraId="7A1F2421">
            <w:pPr>
              <w:spacing w:line="440" w:lineRule="exact"/>
              <w:rPr>
                <w:rFonts w:ascii="宋体" w:hAnsi="宋体" w:cs="宋体"/>
                <w:color w:val="auto"/>
                <w:szCs w:val="21"/>
                <w:u w:val="single"/>
              </w:rPr>
            </w:pPr>
          </w:p>
        </w:tc>
        <w:tc>
          <w:tcPr>
            <w:tcW w:w="1530" w:type="dxa"/>
            <w:vAlign w:val="center"/>
          </w:tcPr>
          <w:p w14:paraId="1A7D55C4">
            <w:pPr>
              <w:adjustRightInd w:val="0"/>
              <w:snapToGrid w:val="0"/>
              <w:spacing w:line="360" w:lineRule="auto"/>
              <w:jc w:val="center"/>
              <w:rPr>
                <w:rFonts w:ascii="宋体" w:hAnsi="宋体" w:cs="宋体"/>
                <w:color w:val="auto"/>
                <w:szCs w:val="21"/>
              </w:rPr>
            </w:pPr>
          </w:p>
        </w:tc>
      </w:tr>
      <w:tr w14:paraId="4BDE5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41" w:type="dxa"/>
            <w:vAlign w:val="center"/>
          </w:tcPr>
          <w:p w14:paraId="36475BDD">
            <w:pPr>
              <w:adjustRightInd w:val="0"/>
              <w:snapToGrid w:val="0"/>
              <w:spacing w:line="360" w:lineRule="auto"/>
              <w:jc w:val="center"/>
              <w:rPr>
                <w:rFonts w:ascii="宋体" w:hAnsi="宋体" w:cs="宋体"/>
                <w:color w:val="auto"/>
                <w:szCs w:val="21"/>
              </w:rPr>
            </w:pPr>
            <w:r>
              <w:rPr>
                <w:rFonts w:hint="eastAsia" w:ascii="宋体" w:hAnsi="宋体" w:cs="宋体"/>
                <w:color w:val="auto"/>
                <w:szCs w:val="21"/>
              </w:rPr>
              <w:t>2</w:t>
            </w:r>
          </w:p>
        </w:tc>
        <w:tc>
          <w:tcPr>
            <w:tcW w:w="3298" w:type="dxa"/>
            <w:vAlign w:val="center"/>
          </w:tcPr>
          <w:p w14:paraId="32A70778">
            <w:pPr>
              <w:spacing w:line="440" w:lineRule="exact"/>
              <w:jc w:val="center"/>
              <w:rPr>
                <w:rFonts w:ascii="宋体" w:hAnsi="宋体" w:cs="宋体"/>
                <w:color w:val="auto"/>
                <w:szCs w:val="21"/>
              </w:rPr>
            </w:pPr>
            <w:r>
              <w:rPr>
                <w:rFonts w:hint="eastAsia" w:ascii="宋体" w:hAnsi="宋体" w:cs="宋体"/>
                <w:color w:val="auto"/>
                <w:szCs w:val="21"/>
              </w:rPr>
              <w:t>勘察负责人</w:t>
            </w:r>
          </w:p>
        </w:tc>
        <w:tc>
          <w:tcPr>
            <w:tcW w:w="2808" w:type="dxa"/>
            <w:vAlign w:val="center"/>
          </w:tcPr>
          <w:p w14:paraId="5D1372BF">
            <w:pPr>
              <w:spacing w:line="440" w:lineRule="exact"/>
              <w:rPr>
                <w:rFonts w:ascii="宋体" w:hAnsi="宋体" w:cs="宋体"/>
                <w:color w:val="auto"/>
                <w:szCs w:val="21"/>
                <w:u w:val="single"/>
              </w:rPr>
            </w:pPr>
          </w:p>
        </w:tc>
        <w:tc>
          <w:tcPr>
            <w:tcW w:w="1530" w:type="dxa"/>
            <w:vAlign w:val="center"/>
          </w:tcPr>
          <w:p w14:paraId="3C77FB6B">
            <w:pPr>
              <w:adjustRightInd w:val="0"/>
              <w:snapToGrid w:val="0"/>
              <w:spacing w:line="360" w:lineRule="auto"/>
              <w:jc w:val="center"/>
              <w:rPr>
                <w:rFonts w:ascii="宋体" w:hAnsi="宋体" w:cs="宋体"/>
                <w:color w:val="auto"/>
                <w:szCs w:val="21"/>
              </w:rPr>
            </w:pPr>
          </w:p>
        </w:tc>
      </w:tr>
      <w:tr w14:paraId="561FD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41" w:type="dxa"/>
            <w:vAlign w:val="center"/>
          </w:tcPr>
          <w:p w14:paraId="1447B756">
            <w:pPr>
              <w:adjustRightInd w:val="0"/>
              <w:snapToGrid w:val="0"/>
              <w:spacing w:line="360" w:lineRule="auto"/>
              <w:jc w:val="center"/>
              <w:rPr>
                <w:rFonts w:ascii="宋体" w:hAnsi="宋体" w:cs="宋体"/>
                <w:color w:val="auto"/>
                <w:szCs w:val="21"/>
              </w:rPr>
            </w:pPr>
            <w:r>
              <w:rPr>
                <w:rFonts w:hint="eastAsia" w:ascii="宋体" w:hAnsi="宋体" w:cs="宋体"/>
                <w:color w:val="auto"/>
                <w:szCs w:val="21"/>
              </w:rPr>
              <w:t>3</w:t>
            </w:r>
          </w:p>
        </w:tc>
        <w:tc>
          <w:tcPr>
            <w:tcW w:w="3298" w:type="dxa"/>
            <w:vAlign w:val="center"/>
          </w:tcPr>
          <w:p w14:paraId="0D67D6DA">
            <w:pPr>
              <w:spacing w:line="440" w:lineRule="exact"/>
              <w:jc w:val="center"/>
              <w:rPr>
                <w:rFonts w:ascii="宋体" w:hAnsi="宋体" w:cs="宋体"/>
                <w:color w:val="auto"/>
                <w:szCs w:val="21"/>
              </w:rPr>
            </w:pPr>
            <w:r>
              <w:rPr>
                <w:rFonts w:hint="eastAsia" w:ascii="宋体" w:hAnsi="宋体" w:cs="宋体"/>
                <w:color w:val="auto"/>
                <w:szCs w:val="21"/>
              </w:rPr>
              <w:t>设计项目负责人</w:t>
            </w:r>
          </w:p>
        </w:tc>
        <w:tc>
          <w:tcPr>
            <w:tcW w:w="2808" w:type="dxa"/>
            <w:vAlign w:val="center"/>
          </w:tcPr>
          <w:p w14:paraId="4EE5F4C7">
            <w:pPr>
              <w:spacing w:line="440" w:lineRule="exact"/>
              <w:rPr>
                <w:rFonts w:ascii="宋体" w:hAnsi="宋体" w:cs="宋体"/>
                <w:color w:val="auto"/>
                <w:szCs w:val="21"/>
                <w:u w:val="single"/>
              </w:rPr>
            </w:pPr>
          </w:p>
        </w:tc>
        <w:tc>
          <w:tcPr>
            <w:tcW w:w="1530" w:type="dxa"/>
            <w:vAlign w:val="center"/>
          </w:tcPr>
          <w:p w14:paraId="572D2157">
            <w:pPr>
              <w:adjustRightInd w:val="0"/>
              <w:snapToGrid w:val="0"/>
              <w:spacing w:line="360" w:lineRule="auto"/>
              <w:jc w:val="center"/>
              <w:rPr>
                <w:rFonts w:ascii="宋体" w:hAnsi="宋体" w:cs="宋体"/>
                <w:color w:val="auto"/>
                <w:szCs w:val="21"/>
              </w:rPr>
            </w:pPr>
          </w:p>
        </w:tc>
      </w:tr>
      <w:tr w14:paraId="10AC5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41" w:type="dxa"/>
            <w:vAlign w:val="center"/>
          </w:tcPr>
          <w:p w14:paraId="0F49BF87">
            <w:pPr>
              <w:adjustRightInd w:val="0"/>
              <w:snapToGrid w:val="0"/>
              <w:spacing w:line="360" w:lineRule="auto"/>
              <w:jc w:val="center"/>
              <w:rPr>
                <w:rFonts w:ascii="宋体" w:hAnsi="宋体" w:cs="宋体"/>
                <w:color w:val="auto"/>
                <w:szCs w:val="21"/>
              </w:rPr>
            </w:pPr>
            <w:r>
              <w:rPr>
                <w:rFonts w:hint="eastAsia" w:ascii="宋体" w:hAnsi="宋体" w:cs="宋体"/>
                <w:color w:val="auto"/>
                <w:szCs w:val="21"/>
              </w:rPr>
              <w:t>4</w:t>
            </w:r>
          </w:p>
        </w:tc>
        <w:tc>
          <w:tcPr>
            <w:tcW w:w="3298" w:type="dxa"/>
            <w:vAlign w:val="center"/>
          </w:tcPr>
          <w:p w14:paraId="265EDA50">
            <w:pPr>
              <w:spacing w:line="440" w:lineRule="exact"/>
              <w:jc w:val="center"/>
              <w:rPr>
                <w:rFonts w:ascii="宋体" w:hAnsi="宋体" w:cs="宋体"/>
                <w:color w:val="auto"/>
                <w:szCs w:val="21"/>
              </w:rPr>
            </w:pPr>
            <w:r>
              <w:rPr>
                <w:rFonts w:hint="eastAsia" w:ascii="宋体" w:hAnsi="宋体" w:cs="宋体"/>
                <w:color w:val="auto"/>
                <w:szCs w:val="21"/>
              </w:rPr>
              <w:t>工期</w:t>
            </w:r>
          </w:p>
        </w:tc>
        <w:tc>
          <w:tcPr>
            <w:tcW w:w="2808" w:type="dxa"/>
            <w:vAlign w:val="center"/>
          </w:tcPr>
          <w:p w14:paraId="6ADD985E">
            <w:pPr>
              <w:adjustRightInd w:val="0"/>
              <w:snapToGrid w:val="0"/>
              <w:spacing w:line="360" w:lineRule="auto"/>
              <w:jc w:val="center"/>
              <w:rPr>
                <w:rFonts w:ascii="宋体" w:hAnsi="宋体" w:cs="宋体"/>
                <w:color w:val="auto"/>
                <w:szCs w:val="21"/>
              </w:rPr>
            </w:pPr>
          </w:p>
        </w:tc>
        <w:tc>
          <w:tcPr>
            <w:tcW w:w="1530" w:type="dxa"/>
            <w:vAlign w:val="center"/>
          </w:tcPr>
          <w:p w14:paraId="08E5EA4D">
            <w:pPr>
              <w:adjustRightInd w:val="0"/>
              <w:snapToGrid w:val="0"/>
              <w:spacing w:line="360" w:lineRule="auto"/>
              <w:jc w:val="center"/>
              <w:rPr>
                <w:rFonts w:ascii="宋体" w:hAnsi="宋体" w:cs="宋体"/>
                <w:color w:val="auto"/>
                <w:szCs w:val="21"/>
              </w:rPr>
            </w:pPr>
          </w:p>
        </w:tc>
      </w:tr>
      <w:tr w14:paraId="2E09C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41" w:type="dxa"/>
            <w:vAlign w:val="center"/>
          </w:tcPr>
          <w:p w14:paraId="3F676B6C">
            <w:pPr>
              <w:adjustRightInd w:val="0"/>
              <w:snapToGrid w:val="0"/>
              <w:spacing w:line="360" w:lineRule="auto"/>
              <w:jc w:val="center"/>
              <w:rPr>
                <w:rFonts w:ascii="宋体" w:hAnsi="宋体" w:cs="宋体"/>
                <w:color w:val="auto"/>
                <w:szCs w:val="21"/>
              </w:rPr>
            </w:pPr>
            <w:r>
              <w:rPr>
                <w:rFonts w:hint="eastAsia" w:ascii="宋体" w:hAnsi="宋体" w:cs="宋体"/>
                <w:color w:val="auto"/>
                <w:szCs w:val="21"/>
              </w:rPr>
              <w:t>5</w:t>
            </w:r>
          </w:p>
        </w:tc>
        <w:tc>
          <w:tcPr>
            <w:tcW w:w="3298" w:type="dxa"/>
            <w:vAlign w:val="center"/>
          </w:tcPr>
          <w:p w14:paraId="6F3984C2">
            <w:pPr>
              <w:spacing w:line="440" w:lineRule="exact"/>
              <w:jc w:val="center"/>
              <w:rPr>
                <w:rFonts w:ascii="宋体" w:hAnsi="宋体" w:cs="宋体"/>
                <w:color w:val="auto"/>
                <w:szCs w:val="21"/>
              </w:rPr>
            </w:pPr>
            <w:r>
              <w:rPr>
                <w:rFonts w:hint="eastAsia" w:ascii="宋体" w:hAnsi="宋体" w:cs="宋体"/>
                <w:color w:val="auto"/>
                <w:szCs w:val="21"/>
              </w:rPr>
              <w:t>质量标准</w:t>
            </w:r>
          </w:p>
        </w:tc>
        <w:tc>
          <w:tcPr>
            <w:tcW w:w="2808" w:type="dxa"/>
            <w:vAlign w:val="center"/>
          </w:tcPr>
          <w:p w14:paraId="3D565878">
            <w:pPr>
              <w:adjustRightInd w:val="0"/>
              <w:snapToGrid w:val="0"/>
              <w:spacing w:line="360" w:lineRule="auto"/>
              <w:jc w:val="center"/>
              <w:rPr>
                <w:rFonts w:ascii="宋体" w:hAnsi="宋体" w:cs="宋体"/>
                <w:color w:val="auto"/>
                <w:szCs w:val="21"/>
              </w:rPr>
            </w:pPr>
          </w:p>
        </w:tc>
        <w:tc>
          <w:tcPr>
            <w:tcW w:w="1530" w:type="dxa"/>
            <w:vAlign w:val="center"/>
          </w:tcPr>
          <w:p w14:paraId="1756EC07">
            <w:pPr>
              <w:adjustRightInd w:val="0"/>
              <w:snapToGrid w:val="0"/>
              <w:spacing w:line="360" w:lineRule="auto"/>
              <w:jc w:val="center"/>
              <w:rPr>
                <w:rFonts w:ascii="宋体" w:hAnsi="宋体" w:cs="宋体"/>
                <w:color w:val="auto"/>
                <w:szCs w:val="21"/>
              </w:rPr>
            </w:pPr>
          </w:p>
        </w:tc>
      </w:tr>
      <w:tr w14:paraId="5EA1A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41" w:type="dxa"/>
            <w:vAlign w:val="center"/>
          </w:tcPr>
          <w:p w14:paraId="59D53A9E">
            <w:pPr>
              <w:adjustRightInd w:val="0"/>
              <w:snapToGrid w:val="0"/>
              <w:spacing w:line="360" w:lineRule="auto"/>
              <w:jc w:val="center"/>
              <w:rPr>
                <w:rFonts w:ascii="宋体" w:hAnsi="宋体" w:cs="宋体"/>
                <w:color w:val="auto"/>
                <w:szCs w:val="21"/>
              </w:rPr>
            </w:pPr>
            <w:r>
              <w:rPr>
                <w:rFonts w:hint="eastAsia" w:ascii="宋体" w:hAnsi="宋体" w:cs="宋体"/>
                <w:color w:val="auto"/>
                <w:szCs w:val="21"/>
              </w:rPr>
              <w:t>……</w:t>
            </w:r>
          </w:p>
        </w:tc>
        <w:tc>
          <w:tcPr>
            <w:tcW w:w="3298" w:type="dxa"/>
            <w:vAlign w:val="center"/>
          </w:tcPr>
          <w:p w14:paraId="13DF9129">
            <w:pPr>
              <w:adjustRightInd w:val="0"/>
              <w:snapToGrid w:val="0"/>
              <w:spacing w:line="360" w:lineRule="auto"/>
              <w:jc w:val="center"/>
              <w:rPr>
                <w:rFonts w:ascii="宋体" w:hAnsi="宋体" w:cs="宋体"/>
                <w:color w:val="auto"/>
                <w:szCs w:val="21"/>
              </w:rPr>
            </w:pPr>
            <w:r>
              <w:rPr>
                <w:rFonts w:hint="eastAsia" w:ascii="宋体" w:hAnsi="宋体" w:cs="宋体"/>
                <w:color w:val="auto"/>
                <w:szCs w:val="21"/>
              </w:rPr>
              <w:t>……</w:t>
            </w:r>
          </w:p>
        </w:tc>
        <w:tc>
          <w:tcPr>
            <w:tcW w:w="2808" w:type="dxa"/>
            <w:vAlign w:val="center"/>
          </w:tcPr>
          <w:p w14:paraId="0C015EF8">
            <w:pPr>
              <w:adjustRightInd w:val="0"/>
              <w:snapToGrid w:val="0"/>
              <w:spacing w:line="360" w:lineRule="auto"/>
              <w:jc w:val="center"/>
              <w:rPr>
                <w:rFonts w:ascii="宋体" w:hAnsi="宋体" w:cs="宋体"/>
                <w:color w:val="auto"/>
                <w:szCs w:val="21"/>
              </w:rPr>
            </w:pPr>
            <w:r>
              <w:rPr>
                <w:rFonts w:hint="eastAsia" w:ascii="宋体" w:hAnsi="宋体" w:cs="宋体"/>
                <w:color w:val="auto"/>
                <w:szCs w:val="21"/>
                <w:lang w:eastAsia="zh-CN"/>
              </w:rPr>
              <w:t>……</w:t>
            </w:r>
          </w:p>
        </w:tc>
        <w:tc>
          <w:tcPr>
            <w:tcW w:w="1530" w:type="dxa"/>
            <w:vAlign w:val="center"/>
          </w:tcPr>
          <w:p w14:paraId="184DF2AD">
            <w:pPr>
              <w:adjustRightInd w:val="0"/>
              <w:snapToGrid w:val="0"/>
              <w:spacing w:line="360" w:lineRule="auto"/>
              <w:jc w:val="center"/>
              <w:rPr>
                <w:rFonts w:ascii="宋体" w:hAnsi="宋体" w:cs="宋体"/>
                <w:color w:val="auto"/>
                <w:szCs w:val="21"/>
              </w:rPr>
            </w:pPr>
          </w:p>
        </w:tc>
      </w:tr>
    </w:tbl>
    <w:p w14:paraId="3D8B990B">
      <w:pPr>
        <w:spacing w:line="440" w:lineRule="exact"/>
        <w:ind w:left="3040"/>
        <w:rPr>
          <w:rFonts w:ascii="宋体" w:hAnsi="宋体"/>
          <w:color w:val="auto"/>
          <w:sz w:val="20"/>
        </w:rPr>
      </w:pPr>
    </w:p>
    <w:p w14:paraId="55E9235D">
      <w:pPr>
        <w:spacing w:line="440" w:lineRule="exact"/>
        <w:rPr>
          <w:rFonts w:ascii="宋体" w:hAnsi="宋体"/>
          <w:color w:val="auto"/>
          <w:sz w:val="20"/>
        </w:rPr>
      </w:pPr>
    </w:p>
    <w:p w14:paraId="327556D9">
      <w:pPr>
        <w:spacing w:line="440" w:lineRule="exact"/>
        <w:rPr>
          <w:rFonts w:ascii="宋体" w:hAnsi="宋体"/>
          <w:color w:val="auto"/>
          <w:sz w:val="20"/>
        </w:rPr>
      </w:pPr>
    </w:p>
    <w:p w14:paraId="0BA58867">
      <w:pPr>
        <w:jc w:val="center"/>
        <w:rPr>
          <w:rFonts w:ascii="宋体" w:hAnsi="宋体"/>
          <w:color w:val="auto"/>
          <w:szCs w:val="21"/>
        </w:rPr>
      </w:pPr>
    </w:p>
    <w:p w14:paraId="1F8E1B7B">
      <w:pPr>
        <w:spacing w:line="440" w:lineRule="exact"/>
        <w:rPr>
          <w:rFonts w:ascii="宋体" w:hAnsi="宋体"/>
          <w:color w:val="auto"/>
          <w:szCs w:val="21"/>
        </w:rPr>
      </w:pPr>
    </w:p>
    <w:p w14:paraId="07F71145">
      <w:pPr>
        <w:spacing w:line="440" w:lineRule="exact"/>
        <w:rPr>
          <w:rFonts w:ascii="宋体" w:hAnsi="宋体"/>
          <w:color w:val="auto"/>
          <w:szCs w:val="21"/>
        </w:rPr>
      </w:pPr>
    </w:p>
    <w:p w14:paraId="037F302C">
      <w:pPr>
        <w:spacing w:line="440" w:lineRule="exact"/>
        <w:rPr>
          <w:rFonts w:ascii="宋体" w:hAnsi="宋体"/>
          <w:color w:val="auto"/>
          <w:szCs w:val="21"/>
        </w:rPr>
      </w:pPr>
    </w:p>
    <w:p w14:paraId="08492E9D">
      <w:pPr>
        <w:spacing w:line="440" w:lineRule="exact"/>
        <w:rPr>
          <w:rFonts w:ascii="宋体" w:hAnsi="宋体"/>
          <w:color w:val="auto"/>
          <w:szCs w:val="21"/>
        </w:rPr>
      </w:pPr>
    </w:p>
    <w:p w14:paraId="072341F6">
      <w:pPr>
        <w:spacing w:line="440" w:lineRule="exact"/>
        <w:rPr>
          <w:rFonts w:ascii="宋体" w:hAnsi="宋体"/>
          <w:color w:val="auto"/>
          <w:szCs w:val="21"/>
        </w:rPr>
      </w:pPr>
    </w:p>
    <w:p w14:paraId="3085D213">
      <w:pPr>
        <w:spacing w:line="440" w:lineRule="exact"/>
        <w:rPr>
          <w:rFonts w:ascii="宋体" w:hAnsi="宋体"/>
          <w:color w:val="auto"/>
          <w:szCs w:val="21"/>
        </w:rPr>
      </w:pPr>
    </w:p>
    <w:p w14:paraId="5A25566E">
      <w:pPr>
        <w:spacing w:line="440" w:lineRule="exact"/>
        <w:rPr>
          <w:rFonts w:ascii="宋体" w:hAnsi="宋体"/>
          <w:color w:val="auto"/>
          <w:szCs w:val="21"/>
        </w:rPr>
      </w:pPr>
    </w:p>
    <w:p w14:paraId="40F83E0B">
      <w:pPr>
        <w:spacing w:line="440" w:lineRule="exact"/>
        <w:rPr>
          <w:rFonts w:ascii="宋体" w:hAnsi="宋体"/>
          <w:color w:val="auto"/>
          <w:szCs w:val="21"/>
        </w:rPr>
      </w:pPr>
    </w:p>
    <w:p w14:paraId="3A0D9550">
      <w:pPr>
        <w:spacing w:line="440" w:lineRule="exact"/>
        <w:rPr>
          <w:rFonts w:ascii="宋体" w:hAnsi="宋体"/>
          <w:color w:val="auto"/>
          <w:szCs w:val="21"/>
        </w:rPr>
      </w:pPr>
    </w:p>
    <w:p w14:paraId="619FD111">
      <w:pPr>
        <w:spacing w:line="440" w:lineRule="exact"/>
        <w:rPr>
          <w:rFonts w:ascii="宋体" w:hAnsi="宋体"/>
          <w:color w:val="auto"/>
          <w:szCs w:val="21"/>
        </w:rPr>
      </w:pPr>
    </w:p>
    <w:p w14:paraId="174775C5">
      <w:pPr>
        <w:spacing w:line="440" w:lineRule="exact"/>
        <w:rPr>
          <w:rFonts w:ascii="宋体" w:hAnsi="宋体"/>
          <w:color w:val="auto"/>
          <w:szCs w:val="21"/>
        </w:rPr>
      </w:pPr>
    </w:p>
    <w:p w14:paraId="7B1E34C0">
      <w:pPr>
        <w:spacing w:line="440" w:lineRule="exact"/>
        <w:rPr>
          <w:rFonts w:ascii="宋体" w:hAnsi="宋体"/>
          <w:color w:val="auto"/>
          <w:szCs w:val="21"/>
        </w:rPr>
      </w:pPr>
    </w:p>
    <w:p w14:paraId="3EDCB93D">
      <w:pPr>
        <w:spacing w:line="440" w:lineRule="exact"/>
        <w:rPr>
          <w:rFonts w:ascii="宋体" w:hAnsi="宋体"/>
          <w:color w:val="auto"/>
          <w:szCs w:val="21"/>
        </w:rPr>
      </w:pPr>
    </w:p>
    <w:p w14:paraId="0B642F38">
      <w:pPr>
        <w:spacing w:line="440" w:lineRule="exact"/>
        <w:rPr>
          <w:rFonts w:ascii="宋体" w:hAnsi="宋体"/>
          <w:color w:val="auto"/>
          <w:szCs w:val="21"/>
        </w:rPr>
      </w:pPr>
    </w:p>
    <w:p w14:paraId="22696D31">
      <w:pPr>
        <w:spacing w:line="440" w:lineRule="exact"/>
        <w:rPr>
          <w:rFonts w:ascii="宋体" w:hAnsi="宋体"/>
          <w:color w:val="auto"/>
          <w:szCs w:val="21"/>
        </w:rPr>
      </w:pPr>
    </w:p>
    <w:p w14:paraId="7FD56770">
      <w:pPr>
        <w:spacing w:line="440" w:lineRule="exact"/>
        <w:rPr>
          <w:rFonts w:ascii="宋体" w:hAnsi="宋体"/>
          <w:color w:val="auto"/>
          <w:szCs w:val="21"/>
        </w:rPr>
      </w:pPr>
    </w:p>
    <w:p w14:paraId="18B38BD1">
      <w:pPr>
        <w:pStyle w:val="57"/>
        <w:rPr>
          <w:color w:val="auto"/>
        </w:rPr>
      </w:pPr>
    </w:p>
    <w:p w14:paraId="609B31A8">
      <w:pPr>
        <w:spacing w:line="440" w:lineRule="exact"/>
        <w:rPr>
          <w:rFonts w:ascii="宋体" w:hAnsi="宋体"/>
          <w:color w:val="auto"/>
          <w:szCs w:val="21"/>
        </w:rPr>
      </w:pPr>
    </w:p>
    <w:p w14:paraId="7DB213E1">
      <w:pPr>
        <w:spacing w:line="440" w:lineRule="exact"/>
        <w:rPr>
          <w:rFonts w:ascii="宋体" w:hAnsi="宋体"/>
          <w:color w:val="auto"/>
          <w:sz w:val="20"/>
        </w:rPr>
      </w:pPr>
    </w:p>
    <w:p w14:paraId="66EB0620">
      <w:pPr>
        <w:pStyle w:val="4"/>
        <w:spacing w:before="157"/>
        <w:ind w:left="0" w:firstLine="0"/>
        <w:jc w:val="center"/>
        <w:rPr>
          <w:rFonts w:hAnsi="宋体"/>
          <w:color w:val="auto"/>
        </w:rPr>
      </w:pPr>
      <w:bookmarkStart w:id="310" w:name="_Toc247514283"/>
      <w:bookmarkStart w:id="311" w:name="_Toc451244240"/>
      <w:bookmarkStart w:id="312" w:name="_Toc300835213"/>
      <w:bookmarkStart w:id="313" w:name="_Toc247527831"/>
      <w:bookmarkStart w:id="314" w:name="_Toc152042580"/>
      <w:bookmarkStart w:id="315" w:name="_Toc152045791"/>
      <w:bookmarkStart w:id="316" w:name="_Toc144974860"/>
      <w:bookmarkStart w:id="317" w:name="_Toc22614"/>
    </w:p>
    <w:p w14:paraId="7E1E8EC1">
      <w:pPr>
        <w:pStyle w:val="4"/>
        <w:spacing w:before="157"/>
        <w:ind w:left="0" w:firstLine="0"/>
        <w:jc w:val="center"/>
        <w:rPr>
          <w:rFonts w:hAnsi="宋体"/>
          <w:color w:val="auto"/>
        </w:rPr>
      </w:pPr>
      <w:bookmarkStart w:id="318" w:name="_Toc17628"/>
      <w:r>
        <w:rPr>
          <w:rFonts w:hAnsi="宋体"/>
          <w:color w:val="auto"/>
        </w:rPr>
        <w:t>二、法定代表人身份证明</w:t>
      </w:r>
      <w:bookmarkEnd w:id="310"/>
      <w:bookmarkEnd w:id="311"/>
      <w:bookmarkEnd w:id="312"/>
      <w:bookmarkEnd w:id="313"/>
      <w:bookmarkEnd w:id="314"/>
      <w:bookmarkEnd w:id="315"/>
      <w:bookmarkEnd w:id="316"/>
      <w:bookmarkEnd w:id="317"/>
      <w:bookmarkEnd w:id="318"/>
    </w:p>
    <w:p w14:paraId="2AD4D1B3">
      <w:pPr>
        <w:spacing w:line="440" w:lineRule="exact"/>
        <w:rPr>
          <w:rFonts w:ascii="宋体" w:hAnsi="宋体"/>
          <w:color w:val="auto"/>
          <w:sz w:val="20"/>
        </w:rPr>
      </w:pPr>
    </w:p>
    <w:p w14:paraId="62744B37">
      <w:pPr>
        <w:spacing w:line="440" w:lineRule="exact"/>
        <w:rPr>
          <w:rFonts w:ascii="宋体" w:hAnsi="宋体"/>
          <w:color w:val="auto"/>
          <w:szCs w:val="21"/>
        </w:rPr>
      </w:pPr>
    </w:p>
    <w:p w14:paraId="707F5CD2">
      <w:pPr>
        <w:spacing w:line="440" w:lineRule="exact"/>
        <w:rPr>
          <w:rFonts w:ascii="宋体" w:hAnsi="宋体"/>
          <w:color w:val="auto"/>
          <w:szCs w:val="21"/>
        </w:rPr>
      </w:pPr>
      <w:r>
        <w:rPr>
          <w:rFonts w:ascii="宋体" w:hAnsi="宋体"/>
          <w:color w:val="auto"/>
          <w:szCs w:val="21"/>
        </w:rPr>
        <w:t>投标人名称：</w:t>
      </w:r>
      <w:r>
        <w:rPr>
          <w:rFonts w:ascii="宋体" w:hAnsi="宋体"/>
          <w:color w:val="auto"/>
          <w:szCs w:val="21"/>
          <w:u w:val="single"/>
        </w:rPr>
        <w:t xml:space="preserve">                             </w:t>
      </w:r>
      <w:r>
        <w:rPr>
          <w:rFonts w:ascii="宋体" w:hAnsi="宋体"/>
          <w:color w:val="auto"/>
          <w:szCs w:val="21"/>
        </w:rPr>
        <w:t xml:space="preserve"> </w:t>
      </w:r>
    </w:p>
    <w:p w14:paraId="6AB75E20">
      <w:pPr>
        <w:spacing w:line="440" w:lineRule="exact"/>
        <w:rPr>
          <w:rFonts w:ascii="宋体" w:hAnsi="宋体"/>
          <w:color w:val="auto"/>
          <w:szCs w:val="21"/>
        </w:rPr>
      </w:pPr>
      <w:r>
        <w:rPr>
          <w:rFonts w:ascii="宋体" w:hAnsi="宋体"/>
          <w:color w:val="auto"/>
          <w:szCs w:val="21"/>
        </w:rPr>
        <w:t>单位性质：</w:t>
      </w:r>
      <w:r>
        <w:rPr>
          <w:rFonts w:ascii="宋体" w:hAnsi="宋体"/>
          <w:color w:val="auto"/>
          <w:szCs w:val="21"/>
          <w:u w:val="single"/>
        </w:rPr>
        <w:t xml:space="preserve">                               </w:t>
      </w:r>
      <w:r>
        <w:rPr>
          <w:rFonts w:ascii="宋体" w:hAnsi="宋体"/>
          <w:color w:val="auto"/>
          <w:szCs w:val="21"/>
        </w:rPr>
        <w:t xml:space="preserve"> </w:t>
      </w:r>
    </w:p>
    <w:p w14:paraId="55C78FB5">
      <w:pPr>
        <w:spacing w:line="440" w:lineRule="exact"/>
        <w:rPr>
          <w:rFonts w:ascii="宋体" w:hAnsi="宋体"/>
          <w:color w:val="auto"/>
          <w:szCs w:val="21"/>
        </w:rPr>
      </w:pPr>
      <w:r>
        <w:rPr>
          <w:rFonts w:ascii="宋体" w:hAnsi="宋体"/>
          <w:color w:val="auto"/>
          <w:szCs w:val="21"/>
        </w:rPr>
        <w:t>地址：</w:t>
      </w:r>
      <w:r>
        <w:rPr>
          <w:rFonts w:ascii="宋体" w:hAnsi="宋体"/>
          <w:color w:val="auto"/>
          <w:szCs w:val="21"/>
          <w:u w:val="single"/>
        </w:rPr>
        <w:t xml:space="preserve">                                   </w:t>
      </w:r>
    </w:p>
    <w:p w14:paraId="06E35E31">
      <w:pPr>
        <w:spacing w:line="440" w:lineRule="exact"/>
        <w:rPr>
          <w:rFonts w:ascii="宋体" w:hAnsi="宋体"/>
          <w:color w:val="auto"/>
          <w:szCs w:val="21"/>
        </w:rPr>
      </w:pPr>
      <w:r>
        <w:rPr>
          <w:rFonts w:ascii="宋体" w:hAnsi="宋体"/>
          <w:color w:val="auto"/>
          <w:szCs w:val="21"/>
        </w:rPr>
        <w:t>成立时间：</w:t>
      </w:r>
      <w:r>
        <w:rPr>
          <w:rFonts w:ascii="宋体" w:hAnsi="宋体"/>
          <w:color w:val="auto"/>
          <w:szCs w:val="21"/>
          <w:u w:val="single"/>
        </w:rPr>
        <w:t xml:space="preserve">         </w:t>
      </w:r>
      <w:r>
        <w:rPr>
          <w:rFonts w:ascii="宋体" w:hAnsi="宋体"/>
          <w:color w:val="auto"/>
          <w:szCs w:val="21"/>
        </w:rPr>
        <w:t>年</w:t>
      </w:r>
      <w:r>
        <w:rPr>
          <w:rFonts w:ascii="宋体" w:hAnsi="宋体"/>
          <w:color w:val="auto"/>
          <w:szCs w:val="21"/>
          <w:u w:val="single"/>
        </w:rPr>
        <w:t xml:space="preserve">       </w:t>
      </w:r>
      <w:r>
        <w:rPr>
          <w:rFonts w:ascii="宋体" w:hAnsi="宋体"/>
          <w:color w:val="auto"/>
          <w:szCs w:val="21"/>
        </w:rPr>
        <w:t>月</w:t>
      </w:r>
      <w:r>
        <w:rPr>
          <w:rFonts w:ascii="宋体" w:hAnsi="宋体"/>
          <w:color w:val="auto"/>
          <w:szCs w:val="21"/>
          <w:u w:val="single"/>
        </w:rPr>
        <w:t xml:space="preserve">       </w:t>
      </w:r>
      <w:r>
        <w:rPr>
          <w:rFonts w:ascii="宋体" w:hAnsi="宋体"/>
          <w:color w:val="auto"/>
          <w:szCs w:val="21"/>
        </w:rPr>
        <w:t>日</w:t>
      </w:r>
    </w:p>
    <w:p w14:paraId="3322C101">
      <w:pPr>
        <w:spacing w:line="440" w:lineRule="exact"/>
        <w:rPr>
          <w:rFonts w:ascii="宋体" w:hAnsi="宋体"/>
          <w:color w:val="auto"/>
          <w:szCs w:val="21"/>
        </w:rPr>
      </w:pPr>
      <w:r>
        <w:rPr>
          <w:rFonts w:ascii="宋体" w:hAnsi="宋体"/>
          <w:color w:val="auto"/>
          <w:szCs w:val="21"/>
        </w:rPr>
        <w:t>经营期限：</w:t>
      </w:r>
      <w:r>
        <w:rPr>
          <w:rFonts w:ascii="宋体" w:hAnsi="宋体"/>
          <w:color w:val="auto"/>
          <w:szCs w:val="21"/>
          <w:u w:val="single"/>
        </w:rPr>
        <w:t xml:space="preserve">                               </w:t>
      </w:r>
    </w:p>
    <w:p w14:paraId="215F53D9">
      <w:pPr>
        <w:spacing w:line="440" w:lineRule="exact"/>
        <w:rPr>
          <w:rFonts w:ascii="宋体" w:hAnsi="宋体"/>
          <w:color w:val="auto"/>
          <w:szCs w:val="21"/>
        </w:rPr>
      </w:pPr>
      <w:r>
        <w:rPr>
          <w:rFonts w:ascii="宋体" w:hAnsi="宋体"/>
          <w:color w:val="auto"/>
          <w:szCs w:val="21"/>
        </w:rPr>
        <w:t>姓名：</w:t>
      </w:r>
      <w:r>
        <w:rPr>
          <w:rFonts w:ascii="宋体" w:hAnsi="宋体"/>
          <w:color w:val="auto"/>
          <w:szCs w:val="21"/>
          <w:u w:val="single"/>
        </w:rPr>
        <w:t xml:space="preserve">        </w:t>
      </w:r>
      <w:r>
        <w:rPr>
          <w:rFonts w:ascii="宋体" w:hAnsi="宋体"/>
          <w:color w:val="auto"/>
          <w:szCs w:val="21"/>
        </w:rPr>
        <w:t xml:space="preserve"> 性别：</w:t>
      </w:r>
      <w:r>
        <w:rPr>
          <w:rFonts w:ascii="宋体" w:hAnsi="宋体"/>
          <w:color w:val="auto"/>
          <w:szCs w:val="21"/>
          <w:u w:val="single"/>
        </w:rPr>
        <w:t xml:space="preserve">         </w:t>
      </w:r>
      <w:r>
        <w:rPr>
          <w:rFonts w:ascii="宋体" w:hAnsi="宋体"/>
          <w:color w:val="auto"/>
          <w:szCs w:val="21"/>
        </w:rPr>
        <w:t xml:space="preserve"> 年龄：</w:t>
      </w:r>
      <w:r>
        <w:rPr>
          <w:rFonts w:ascii="宋体" w:hAnsi="宋体"/>
          <w:color w:val="auto"/>
          <w:szCs w:val="21"/>
          <w:u w:val="single"/>
        </w:rPr>
        <w:t xml:space="preserve">        </w:t>
      </w:r>
      <w:r>
        <w:rPr>
          <w:rFonts w:ascii="宋体" w:hAnsi="宋体"/>
          <w:color w:val="auto"/>
          <w:szCs w:val="21"/>
        </w:rPr>
        <w:t>职务：</w:t>
      </w:r>
      <w:r>
        <w:rPr>
          <w:rFonts w:ascii="宋体" w:hAnsi="宋体"/>
          <w:color w:val="auto"/>
          <w:szCs w:val="21"/>
          <w:u w:val="single"/>
        </w:rPr>
        <w:t xml:space="preserve">        </w:t>
      </w:r>
    </w:p>
    <w:p w14:paraId="245EF6FE">
      <w:pPr>
        <w:spacing w:line="440" w:lineRule="exact"/>
        <w:rPr>
          <w:rFonts w:ascii="宋体" w:hAnsi="宋体"/>
          <w:color w:val="auto"/>
          <w:szCs w:val="21"/>
        </w:rPr>
      </w:pPr>
      <w:r>
        <w:rPr>
          <w:rFonts w:ascii="宋体" w:hAnsi="宋体"/>
          <w:color w:val="auto"/>
          <w:szCs w:val="21"/>
        </w:rPr>
        <w:t>系</w:t>
      </w:r>
      <w:r>
        <w:rPr>
          <w:rFonts w:ascii="宋体" w:hAnsi="宋体"/>
          <w:color w:val="auto"/>
          <w:szCs w:val="21"/>
          <w:u w:val="single"/>
        </w:rPr>
        <w:t xml:space="preserve">                             </w:t>
      </w:r>
      <w:r>
        <w:rPr>
          <w:rFonts w:ascii="宋体" w:hAnsi="宋体"/>
          <w:color w:val="auto"/>
          <w:szCs w:val="21"/>
        </w:rPr>
        <w:t xml:space="preserve"> </w:t>
      </w:r>
      <w:r>
        <w:rPr>
          <w:rFonts w:hint="eastAsia" w:ascii="宋体" w:hAnsi="宋体"/>
          <w:color w:val="auto"/>
          <w:szCs w:val="21"/>
        </w:rPr>
        <w:t>（</w:t>
      </w:r>
      <w:r>
        <w:rPr>
          <w:rFonts w:ascii="宋体" w:hAnsi="宋体"/>
          <w:color w:val="auto"/>
          <w:szCs w:val="21"/>
        </w:rPr>
        <w:t>投标人名称</w:t>
      </w:r>
      <w:r>
        <w:rPr>
          <w:rFonts w:hint="eastAsia" w:ascii="宋体" w:hAnsi="宋体"/>
          <w:color w:val="auto"/>
          <w:szCs w:val="21"/>
        </w:rPr>
        <w:t>）</w:t>
      </w:r>
      <w:r>
        <w:rPr>
          <w:rFonts w:ascii="宋体" w:hAnsi="宋体"/>
          <w:color w:val="auto"/>
          <w:szCs w:val="21"/>
        </w:rPr>
        <w:t>的法定代表人。</w:t>
      </w:r>
    </w:p>
    <w:p w14:paraId="3716857D">
      <w:pPr>
        <w:spacing w:line="440" w:lineRule="exact"/>
        <w:ind w:left="420"/>
        <w:rPr>
          <w:rFonts w:ascii="宋体" w:hAnsi="宋体"/>
          <w:color w:val="auto"/>
          <w:szCs w:val="21"/>
        </w:rPr>
      </w:pPr>
      <w:r>
        <w:rPr>
          <w:rFonts w:ascii="宋体" w:hAnsi="宋体"/>
          <w:color w:val="auto"/>
          <w:szCs w:val="21"/>
        </w:rPr>
        <w:t>特此证明。</w:t>
      </w:r>
    </w:p>
    <w:p w14:paraId="7BA19419">
      <w:pPr>
        <w:spacing w:line="440" w:lineRule="exact"/>
        <w:rPr>
          <w:rFonts w:ascii="宋体" w:hAnsi="宋体"/>
          <w:color w:val="auto"/>
          <w:szCs w:val="21"/>
        </w:rPr>
      </w:pPr>
    </w:p>
    <w:p w14:paraId="510976E6">
      <w:pPr>
        <w:spacing w:line="440" w:lineRule="exact"/>
        <w:rPr>
          <w:rFonts w:ascii="宋体" w:hAnsi="宋体"/>
          <w:color w:val="auto"/>
          <w:szCs w:val="21"/>
        </w:rPr>
      </w:pPr>
      <w:r>
        <w:rPr>
          <w:rFonts w:hint="eastAsia" w:ascii="宋体" w:hAnsi="宋体"/>
          <w:color w:val="auto"/>
          <w:szCs w:val="21"/>
        </w:rPr>
        <w:t>附：法定代表人身份证复印件。</w:t>
      </w:r>
    </w:p>
    <w:p w14:paraId="43F3FAB3">
      <w:pPr>
        <w:spacing w:line="440" w:lineRule="exact"/>
        <w:rPr>
          <w:rFonts w:ascii="宋体" w:hAnsi="宋体"/>
          <w:color w:val="auto"/>
          <w:szCs w:val="21"/>
        </w:rPr>
      </w:pPr>
    </w:p>
    <w:p w14:paraId="207F53D2">
      <w:pPr>
        <w:spacing w:line="440" w:lineRule="exact"/>
        <w:rPr>
          <w:rFonts w:ascii="宋体" w:hAnsi="宋体"/>
          <w:color w:val="auto"/>
          <w:szCs w:val="21"/>
        </w:rPr>
      </w:pPr>
      <w:r>
        <w:rPr>
          <w:rFonts w:ascii="宋体" w:hAnsi="宋体"/>
          <w:color w:val="auto"/>
          <w:szCs w:val="21"/>
        </w:rPr>
        <w:t xml:space="preserve">                          投标人：</w:t>
      </w:r>
      <w:r>
        <w:rPr>
          <w:rFonts w:ascii="宋体" w:hAnsi="宋体"/>
          <w:color w:val="auto"/>
          <w:szCs w:val="21"/>
          <w:u w:val="single"/>
        </w:rPr>
        <w:t xml:space="preserve">                 </w:t>
      </w:r>
      <w:r>
        <w:rPr>
          <w:rFonts w:ascii="宋体" w:hAnsi="宋体"/>
          <w:color w:val="auto"/>
          <w:szCs w:val="21"/>
        </w:rPr>
        <w:t>（</w:t>
      </w:r>
      <w:r>
        <w:rPr>
          <w:rFonts w:hint="eastAsia" w:ascii="宋体" w:hAnsi="宋体"/>
          <w:color w:val="auto"/>
          <w:szCs w:val="21"/>
        </w:rPr>
        <w:t>电子签章</w:t>
      </w:r>
      <w:r>
        <w:rPr>
          <w:rFonts w:ascii="宋体" w:hAnsi="宋体"/>
          <w:color w:val="auto"/>
          <w:szCs w:val="21"/>
        </w:rPr>
        <w:t>）</w:t>
      </w:r>
    </w:p>
    <w:p w14:paraId="5323A4B5">
      <w:pPr>
        <w:spacing w:line="440" w:lineRule="exact"/>
        <w:rPr>
          <w:rFonts w:ascii="宋体" w:hAnsi="宋体"/>
          <w:color w:val="auto"/>
          <w:szCs w:val="21"/>
        </w:rPr>
      </w:pPr>
      <w:r>
        <w:rPr>
          <w:rFonts w:ascii="宋体" w:hAnsi="宋体"/>
          <w:color w:val="auto"/>
          <w:szCs w:val="21"/>
        </w:rPr>
        <w:t xml:space="preserve">                                </w:t>
      </w:r>
      <w:r>
        <w:rPr>
          <w:rFonts w:ascii="宋体" w:hAnsi="宋体"/>
          <w:color w:val="auto"/>
          <w:szCs w:val="21"/>
          <w:u w:val="single"/>
        </w:rPr>
        <w:t xml:space="preserve">         </w:t>
      </w:r>
      <w:r>
        <w:rPr>
          <w:rFonts w:ascii="宋体" w:hAnsi="宋体"/>
          <w:color w:val="auto"/>
          <w:szCs w:val="21"/>
        </w:rPr>
        <w:t>年</w:t>
      </w:r>
      <w:r>
        <w:rPr>
          <w:rFonts w:ascii="宋体" w:hAnsi="宋体"/>
          <w:color w:val="auto"/>
          <w:szCs w:val="21"/>
          <w:u w:val="single"/>
        </w:rPr>
        <w:t xml:space="preserve">      </w:t>
      </w:r>
      <w:r>
        <w:rPr>
          <w:rFonts w:ascii="宋体" w:hAnsi="宋体"/>
          <w:color w:val="auto"/>
          <w:szCs w:val="21"/>
        </w:rPr>
        <w:t>月</w:t>
      </w:r>
      <w:r>
        <w:rPr>
          <w:rFonts w:ascii="宋体" w:hAnsi="宋体"/>
          <w:color w:val="auto"/>
          <w:szCs w:val="21"/>
          <w:u w:val="single"/>
        </w:rPr>
        <w:t xml:space="preserve">   </w:t>
      </w:r>
      <w:r>
        <w:rPr>
          <w:rFonts w:ascii="宋体" w:hAnsi="宋体"/>
          <w:color w:val="auto"/>
          <w:szCs w:val="21"/>
        </w:rPr>
        <w:t xml:space="preserve"> 日           </w:t>
      </w:r>
    </w:p>
    <w:p w14:paraId="7C6283B7">
      <w:pPr>
        <w:spacing w:line="360" w:lineRule="auto"/>
        <w:ind w:firstLine="3720" w:firstLineChars="1550"/>
        <w:rPr>
          <w:rFonts w:ascii="宋体" w:hAnsi="宋体"/>
          <w:color w:val="auto"/>
          <w:sz w:val="24"/>
        </w:rPr>
      </w:pPr>
      <w:r>
        <w:rPr>
          <w:rFonts w:hint="eastAsia" w:ascii="宋体" w:hAnsi="宋体"/>
          <w:color w:val="auto"/>
          <w:sz w:val="24"/>
        </w:rPr>
        <w:t>身份证</w:t>
      </w:r>
    </w:p>
    <w:tbl>
      <w:tblPr>
        <w:tblStyle w:val="68"/>
        <w:tblW w:w="8430" w:type="dxa"/>
        <w:jc w:val="center"/>
        <w:tblBorders>
          <w:top w:val="dotDotDash" w:color="auto" w:sz="4" w:space="0"/>
          <w:left w:val="dotDotDash" w:color="auto" w:sz="4" w:space="0"/>
          <w:bottom w:val="dotDotDash" w:color="auto" w:sz="4" w:space="0"/>
          <w:right w:val="dotDotDash"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8430"/>
      </w:tblGrid>
      <w:tr w14:paraId="62B09605">
        <w:tblPrEx>
          <w:tblBorders>
            <w:top w:val="dotDotDash" w:color="auto" w:sz="4" w:space="0"/>
            <w:left w:val="dotDotDash" w:color="auto" w:sz="4" w:space="0"/>
            <w:bottom w:val="dotDotDash" w:color="auto" w:sz="4" w:space="0"/>
            <w:right w:val="dotDotDash" w:color="auto" w:sz="4" w:space="0"/>
            <w:insideH w:val="single" w:color="auto" w:sz="6" w:space="0"/>
            <w:insideV w:val="single" w:color="auto" w:sz="6" w:space="0"/>
          </w:tblBorders>
          <w:tblCellMar>
            <w:top w:w="0" w:type="dxa"/>
            <w:left w:w="108" w:type="dxa"/>
            <w:bottom w:w="0" w:type="dxa"/>
            <w:right w:w="108" w:type="dxa"/>
          </w:tblCellMar>
        </w:tblPrEx>
        <w:trPr>
          <w:trHeight w:val="4080" w:hRule="atLeast"/>
          <w:jc w:val="center"/>
        </w:trPr>
        <w:tc>
          <w:tcPr>
            <w:tcW w:w="8430" w:type="dxa"/>
            <w:vAlign w:val="center"/>
          </w:tcPr>
          <w:p w14:paraId="29B28A56">
            <w:pPr>
              <w:tabs>
                <w:tab w:val="left" w:pos="-840"/>
                <w:tab w:val="left" w:pos="3444"/>
              </w:tabs>
              <w:ind w:right="399"/>
              <w:jc w:val="center"/>
              <w:rPr>
                <w:rFonts w:ascii="宋体" w:hAnsi="宋体"/>
                <w:color w:val="auto"/>
                <w:sz w:val="18"/>
                <w:szCs w:val="18"/>
              </w:rPr>
            </w:pPr>
            <w:r>
              <w:rPr>
                <w:rFonts w:hint="eastAsia" w:ascii="宋体" w:hAnsi="宋体"/>
                <w:color w:val="auto"/>
                <w:sz w:val="18"/>
                <w:szCs w:val="18"/>
              </w:rPr>
              <w:t>法定代表人身份证双面复印件</w:t>
            </w:r>
          </w:p>
        </w:tc>
      </w:tr>
    </w:tbl>
    <w:p w14:paraId="6B9A739C">
      <w:pPr>
        <w:spacing w:line="440" w:lineRule="exact"/>
        <w:rPr>
          <w:rFonts w:ascii="宋体" w:hAnsi="宋体"/>
          <w:b/>
          <w:color w:val="auto"/>
          <w:szCs w:val="21"/>
        </w:rPr>
      </w:pPr>
      <w:r>
        <w:rPr>
          <w:rFonts w:hint="eastAsia" w:ascii="宋体" w:hAnsi="宋体"/>
          <w:b/>
          <w:color w:val="auto"/>
          <w:szCs w:val="21"/>
        </w:rPr>
        <w:t>注：以联合体形式投标的由牵头单位出具。</w:t>
      </w:r>
    </w:p>
    <w:p w14:paraId="47881055">
      <w:pPr>
        <w:spacing w:line="440" w:lineRule="exact"/>
        <w:rPr>
          <w:rFonts w:ascii="宋体" w:hAnsi="宋体"/>
          <w:color w:val="auto"/>
          <w:sz w:val="20"/>
        </w:rPr>
      </w:pPr>
    </w:p>
    <w:p w14:paraId="25F1F3DD">
      <w:pPr>
        <w:spacing w:line="440" w:lineRule="exact"/>
        <w:rPr>
          <w:rFonts w:ascii="宋体" w:hAnsi="宋体"/>
          <w:color w:val="auto"/>
          <w:sz w:val="20"/>
        </w:rPr>
      </w:pPr>
    </w:p>
    <w:p w14:paraId="635E7400">
      <w:pPr>
        <w:spacing w:line="440" w:lineRule="exact"/>
        <w:rPr>
          <w:rFonts w:ascii="宋体" w:hAnsi="宋体"/>
          <w:color w:val="auto"/>
          <w:sz w:val="20"/>
        </w:rPr>
      </w:pPr>
    </w:p>
    <w:p w14:paraId="36A18A4C">
      <w:pPr>
        <w:pStyle w:val="4"/>
        <w:spacing w:before="157"/>
        <w:ind w:left="0" w:firstLine="0"/>
        <w:jc w:val="center"/>
        <w:rPr>
          <w:rFonts w:hAnsi="宋体"/>
          <w:color w:val="auto"/>
        </w:rPr>
      </w:pPr>
      <w:bookmarkStart w:id="319" w:name="_Toc144974861"/>
      <w:bookmarkStart w:id="320" w:name="_Toc152042581"/>
      <w:bookmarkStart w:id="321" w:name="_Toc247514284"/>
      <w:bookmarkStart w:id="322" w:name="_Toc14757"/>
      <w:bookmarkStart w:id="323" w:name="_Toc10238"/>
      <w:bookmarkStart w:id="324" w:name="_Toc152045792"/>
      <w:bookmarkStart w:id="325" w:name="_Toc300835214"/>
      <w:bookmarkStart w:id="326" w:name="_Toc451244241"/>
      <w:bookmarkStart w:id="327" w:name="_Toc247527832"/>
      <w:r>
        <w:rPr>
          <w:rFonts w:hint="eastAsia" w:hAnsi="宋体"/>
          <w:color w:val="auto"/>
        </w:rPr>
        <w:t>三</w:t>
      </w:r>
      <w:r>
        <w:rPr>
          <w:rFonts w:hAnsi="宋体"/>
          <w:color w:val="auto"/>
        </w:rPr>
        <w:t>、法定代表人授权委托书</w:t>
      </w:r>
      <w:bookmarkEnd w:id="319"/>
      <w:bookmarkEnd w:id="320"/>
      <w:bookmarkEnd w:id="321"/>
      <w:bookmarkEnd w:id="322"/>
      <w:bookmarkEnd w:id="323"/>
      <w:bookmarkEnd w:id="324"/>
      <w:bookmarkEnd w:id="325"/>
      <w:bookmarkEnd w:id="326"/>
      <w:bookmarkEnd w:id="327"/>
    </w:p>
    <w:p w14:paraId="6E825D39">
      <w:pPr>
        <w:spacing w:line="440" w:lineRule="exact"/>
        <w:rPr>
          <w:rFonts w:ascii="宋体" w:hAnsi="宋体"/>
          <w:color w:val="auto"/>
          <w:szCs w:val="21"/>
        </w:rPr>
      </w:pPr>
    </w:p>
    <w:p w14:paraId="26F1BDAB">
      <w:pPr>
        <w:topLinePunct/>
        <w:spacing w:line="440" w:lineRule="exact"/>
        <w:ind w:firstLine="420" w:firstLineChars="200"/>
        <w:rPr>
          <w:rFonts w:ascii="宋体" w:hAnsi="宋体"/>
          <w:color w:val="auto"/>
          <w:szCs w:val="21"/>
        </w:rPr>
      </w:pPr>
      <w:r>
        <w:rPr>
          <w:rFonts w:ascii="宋体" w:hAnsi="宋体"/>
          <w:color w:val="auto"/>
          <w:szCs w:val="21"/>
        </w:rPr>
        <w:t>本人</w:t>
      </w:r>
      <w:r>
        <w:rPr>
          <w:rFonts w:ascii="宋体" w:hAnsi="宋体"/>
          <w:color w:val="auto"/>
          <w:szCs w:val="21"/>
          <w:u w:val="single"/>
        </w:rPr>
        <w:t xml:space="preserve">       </w:t>
      </w:r>
      <w:r>
        <w:rPr>
          <w:rFonts w:ascii="宋体" w:hAnsi="宋体"/>
          <w:color w:val="auto"/>
          <w:szCs w:val="21"/>
        </w:rPr>
        <w:t>（姓名）系</w:t>
      </w:r>
      <w:r>
        <w:rPr>
          <w:rFonts w:ascii="宋体" w:hAnsi="宋体"/>
          <w:color w:val="auto"/>
          <w:szCs w:val="21"/>
          <w:u w:val="single"/>
        </w:rPr>
        <w:t xml:space="preserve">        </w:t>
      </w:r>
      <w:r>
        <w:rPr>
          <w:rFonts w:ascii="宋体" w:hAnsi="宋体"/>
          <w:color w:val="auto"/>
          <w:szCs w:val="21"/>
        </w:rPr>
        <w:t>（投标人名称）的法定代表人，现委托</w:t>
      </w:r>
      <w:r>
        <w:rPr>
          <w:rFonts w:ascii="宋体" w:hAnsi="宋体"/>
          <w:color w:val="auto"/>
          <w:szCs w:val="21"/>
          <w:u w:val="single"/>
        </w:rPr>
        <w:t xml:space="preserve">        </w:t>
      </w:r>
      <w:r>
        <w:rPr>
          <w:rFonts w:ascii="宋体" w:hAnsi="宋体"/>
          <w:color w:val="auto"/>
          <w:szCs w:val="21"/>
        </w:rPr>
        <w:t>（姓名）为我方代理人。代理人根据授权，以我方名义签署、澄清</w:t>
      </w:r>
      <w:r>
        <w:rPr>
          <w:rFonts w:hint="eastAsia" w:ascii="宋体" w:hAnsi="宋体"/>
          <w:color w:val="auto"/>
          <w:szCs w:val="21"/>
        </w:rPr>
        <w:t>、说明、补正</w:t>
      </w:r>
      <w:r>
        <w:rPr>
          <w:rFonts w:ascii="宋体" w:hAnsi="宋体"/>
          <w:color w:val="auto"/>
          <w:szCs w:val="21"/>
        </w:rPr>
        <w:t>、递交、撤回、修改</w:t>
      </w:r>
      <w:r>
        <w:rPr>
          <w:rFonts w:ascii="宋体" w:hAnsi="宋体"/>
          <w:color w:val="auto"/>
          <w:szCs w:val="21"/>
          <w:u w:val="single"/>
        </w:rPr>
        <w:t xml:space="preserve">           </w:t>
      </w:r>
      <w:r>
        <w:rPr>
          <w:rFonts w:ascii="宋体" w:hAnsi="宋体"/>
          <w:color w:val="auto"/>
          <w:szCs w:val="21"/>
        </w:rPr>
        <w:t>（项目名称）投标文件、签订合同和处理有关事宜，其法律后果由我方承担。</w:t>
      </w:r>
    </w:p>
    <w:p w14:paraId="51BCB3BA">
      <w:pPr>
        <w:spacing w:line="440" w:lineRule="exact"/>
        <w:rPr>
          <w:rFonts w:ascii="宋体" w:hAnsi="宋体"/>
          <w:color w:val="auto"/>
          <w:szCs w:val="21"/>
        </w:rPr>
      </w:pPr>
      <w:r>
        <w:rPr>
          <w:rFonts w:ascii="宋体" w:hAnsi="宋体"/>
          <w:color w:val="auto"/>
          <w:szCs w:val="21"/>
        </w:rPr>
        <w:t xml:space="preserve">    委托期限：</w:t>
      </w:r>
      <w:r>
        <w:rPr>
          <w:rFonts w:ascii="宋体" w:hAnsi="宋体"/>
          <w:color w:val="auto"/>
          <w:szCs w:val="21"/>
          <w:u w:val="single"/>
        </w:rPr>
        <w:t xml:space="preserve">             </w:t>
      </w:r>
      <w:r>
        <w:rPr>
          <w:rFonts w:hint="eastAsia" w:ascii="宋体" w:hAnsi="宋体"/>
          <w:color w:val="auto"/>
          <w:szCs w:val="21"/>
        </w:rPr>
        <w:t>。</w:t>
      </w:r>
    </w:p>
    <w:p w14:paraId="0BEBC086">
      <w:pPr>
        <w:spacing w:line="440" w:lineRule="exact"/>
        <w:ind w:left="420"/>
        <w:rPr>
          <w:rFonts w:ascii="宋体" w:hAnsi="宋体"/>
          <w:color w:val="auto"/>
          <w:szCs w:val="21"/>
        </w:rPr>
      </w:pPr>
      <w:r>
        <w:rPr>
          <w:rFonts w:ascii="宋体" w:hAnsi="宋体"/>
          <w:color w:val="auto"/>
          <w:szCs w:val="21"/>
        </w:rPr>
        <w:t>代理人无转委托权。</w:t>
      </w:r>
    </w:p>
    <w:p w14:paraId="396C805C">
      <w:pPr>
        <w:spacing w:line="440" w:lineRule="exact"/>
        <w:ind w:left="420"/>
        <w:rPr>
          <w:rFonts w:ascii="宋体" w:hAnsi="宋体"/>
          <w:color w:val="auto"/>
          <w:szCs w:val="21"/>
        </w:rPr>
      </w:pPr>
    </w:p>
    <w:p w14:paraId="38BA004E">
      <w:pPr>
        <w:spacing w:line="440" w:lineRule="exact"/>
        <w:rPr>
          <w:rFonts w:ascii="宋体" w:hAnsi="宋体"/>
          <w:color w:val="auto"/>
          <w:szCs w:val="21"/>
        </w:rPr>
      </w:pPr>
    </w:p>
    <w:p w14:paraId="0E1480D1">
      <w:pPr>
        <w:spacing w:line="440" w:lineRule="exact"/>
        <w:rPr>
          <w:rFonts w:ascii="宋体" w:hAnsi="宋体"/>
          <w:color w:val="auto"/>
          <w:szCs w:val="21"/>
        </w:rPr>
      </w:pPr>
    </w:p>
    <w:p w14:paraId="715ED786">
      <w:pPr>
        <w:spacing w:line="440" w:lineRule="exact"/>
        <w:rPr>
          <w:rFonts w:ascii="宋体" w:hAnsi="宋体"/>
          <w:color w:val="auto"/>
          <w:szCs w:val="21"/>
        </w:rPr>
      </w:pPr>
      <w:r>
        <w:rPr>
          <w:rFonts w:ascii="宋体" w:hAnsi="宋体"/>
          <w:color w:val="auto"/>
          <w:szCs w:val="21"/>
        </w:rPr>
        <w:t>投标人：</w:t>
      </w:r>
      <w:r>
        <w:rPr>
          <w:rFonts w:ascii="宋体" w:hAnsi="宋体"/>
          <w:color w:val="auto"/>
          <w:szCs w:val="21"/>
          <w:u w:val="single"/>
        </w:rPr>
        <w:t xml:space="preserve">                               </w:t>
      </w:r>
      <w:r>
        <w:rPr>
          <w:rFonts w:ascii="宋体" w:hAnsi="宋体"/>
          <w:color w:val="auto"/>
          <w:szCs w:val="21"/>
        </w:rPr>
        <w:t>（</w:t>
      </w:r>
      <w:r>
        <w:rPr>
          <w:rFonts w:hint="eastAsia" w:ascii="宋体" w:hAnsi="宋体"/>
          <w:color w:val="auto"/>
          <w:szCs w:val="21"/>
        </w:rPr>
        <w:t>电子签章</w:t>
      </w:r>
      <w:r>
        <w:rPr>
          <w:rFonts w:ascii="宋体" w:hAnsi="宋体"/>
          <w:color w:val="auto"/>
          <w:szCs w:val="21"/>
        </w:rPr>
        <w:t>）</w:t>
      </w:r>
    </w:p>
    <w:p w14:paraId="07B331B2">
      <w:pPr>
        <w:spacing w:line="440" w:lineRule="exact"/>
        <w:rPr>
          <w:rFonts w:ascii="宋体" w:hAnsi="宋体"/>
          <w:color w:val="auto"/>
          <w:szCs w:val="21"/>
        </w:rPr>
      </w:pPr>
    </w:p>
    <w:p w14:paraId="3B85B425">
      <w:pPr>
        <w:spacing w:line="440" w:lineRule="exact"/>
        <w:rPr>
          <w:rFonts w:ascii="宋体" w:hAnsi="宋体"/>
          <w:color w:val="auto"/>
          <w:szCs w:val="21"/>
        </w:rPr>
      </w:pPr>
      <w:r>
        <w:rPr>
          <w:rFonts w:ascii="宋体" w:hAnsi="宋体"/>
          <w:color w:val="auto"/>
          <w:szCs w:val="21"/>
        </w:rPr>
        <w:t>法定代表人：</w:t>
      </w:r>
      <w:r>
        <w:rPr>
          <w:rFonts w:ascii="宋体" w:hAnsi="宋体"/>
          <w:color w:val="auto"/>
          <w:szCs w:val="21"/>
          <w:u w:val="single"/>
        </w:rPr>
        <w:t xml:space="preserve">                               </w:t>
      </w:r>
      <w:r>
        <w:rPr>
          <w:rFonts w:ascii="宋体" w:hAnsi="宋体"/>
          <w:color w:val="auto"/>
          <w:szCs w:val="21"/>
        </w:rPr>
        <w:t>（</w:t>
      </w:r>
      <w:r>
        <w:rPr>
          <w:rFonts w:hint="eastAsia" w:ascii="宋体" w:hAnsi="宋体"/>
          <w:color w:val="auto"/>
          <w:szCs w:val="21"/>
        </w:rPr>
        <w:t>电子签章</w:t>
      </w:r>
      <w:r>
        <w:rPr>
          <w:rFonts w:ascii="宋体" w:hAnsi="宋体"/>
          <w:color w:val="auto"/>
          <w:szCs w:val="21"/>
        </w:rPr>
        <w:t>）</w:t>
      </w:r>
    </w:p>
    <w:p w14:paraId="7FF21C63">
      <w:pPr>
        <w:spacing w:line="440" w:lineRule="exact"/>
        <w:rPr>
          <w:rFonts w:ascii="宋体" w:hAnsi="宋体"/>
          <w:color w:val="auto"/>
          <w:szCs w:val="21"/>
        </w:rPr>
      </w:pPr>
    </w:p>
    <w:p w14:paraId="6A0974B9">
      <w:pPr>
        <w:spacing w:line="440" w:lineRule="exact"/>
        <w:rPr>
          <w:rFonts w:ascii="宋体" w:hAnsi="宋体"/>
          <w:color w:val="auto"/>
          <w:szCs w:val="21"/>
        </w:rPr>
      </w:pPr>
      <w:r>
        <w:rPr>
          <w:rFonts w:ascii="宋体" w:hAnsi="宋体"/>
          <w:color w:val="auto"/>
          <w:szCs w:val="21"/>
        </w:rPr>
        <w:t>身份证号码：</w:t>
      </w:r>
      <w:r>
        <w:rPr>
          <w:rFonts w:ascii="宋体" w:hAnsi="宋体"/>
          <w:color w:val="auto"/>
          <w:szCs w:val="21"/>
          <w:u w:val="single"/>
        </w:rPr>
        <w:t xml:space="preserve">                                     </w:t>
      </w:r>
    </w:p>
    <w:p w14:paraId="074B03B7">
      <w:pPr>
        <w:spacing w:line="440" w:lineRule="exact"/>
        <w:rPr>
          <w:rFonts w:ascii="宋体" w:hAnsi="宋体"/>
          <w:color w:val="auto"/>
          <w:szCs w:val="21"/>
        </w:rPr>
      </w:pPr>
    </w:p>
    <w:p w14:paraId="6F769A8B">
      <w:pPr>
        <w:spacing w:line="440" w:lineRule="exact"/>
        <w:rPr>
          <w:rFonts w:ascii="宋体" w:hAnsi="宋体"/>
          <w:b/>
          <w:bCs/>
          <w:color w:val="auto"/>
          <w:szCs w:val="21"/>
        </w:rPr>
      </w:pPr>
      <w:r>
        <w:rPr>
          <w:rFonts w:ascii="宋体" w:hAnsi="宋体"/>
          <w:b/>
          <w:bCs/>
          <w:color w:val="auto"/>
          <w:szCs w:val="21"/>
        </w:rPr>
        <w:t>委托代理人：</w:t>
      </w:r>
      <w:r>
        <w:rPr>
          <w:rFonts w:ascii="宋体" w:hAnsi="宋体"/>
          <w:b/>
          <w:bCs/>
          <w:color w:val="auto"/>
          <w:szCs w:val="21"/>
          <w:u w:val="single"/>
        </w:rPr>
        <w:t xml:space="preserve">                                   </w:t>
      </w:r>
      <w:r>
        <w:rPr>
          <w:rFonts w:ascii="宋体" w:hAnsi="宋体"/>
          <w:b/>
          <w:bCs/>
          <w:color w:val="auto"/>
          <w:szCs w:val="21"/>
        </w:rPr>
        <w:t xml:space="preserve">（签字） </w:t>
      </w:r>
    </w:p>
    <w:p w14:paraId="2360BCE4">
      <w:pPr>
        <w:spacing w:line="440" w:lineRule="exact"/>
        <w:rPr>
          <w:rFonts w:ascii="宋体" w:hAnsi="宋体"/>
          <w:color w:val="auto"/>
          <w:szCs w:val="21"/>
        </w:rPr>
      </w:pPr>
    </w:p>
    <w:p w14:paraId="6F5B3F15">
      <w:pPr>
        <w:spacing w:line="440" w:lineRule="exact"/>
        <w:rPr>
          <w:rFonts w:ascii="宋体" w:hAnsi="宋体"/>
          <w:color w:val="auto"/>
          <w:szCs w:val="21"/>
          <w:u w:val="single"/>
        </w:rPr>
      </w:pPr>
      <w:r>
        <w:rPr>
          <w:rFonts w:ascii="宋体" w:hAnsi="宋体"/>
          <w:color w:val="auto"/>
          <w:szCs w:val="21"/>
        </w:rPr>
        <w:t>身份证号码：</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p>
    <w:p w14:paraId="784501C7">
      <w:pPr>
        <w:spacing w:line="440" w:lineRule="exact"/>
        <w:rPr>
          <w:rFonts w:ascii="宋体" w:hAnsi="宋体"/>
          <w:color w:val="auto"/>
          <w:szCs w:val="21"/>
        </w:rPr>
      </w:pPr>
      <w:r>
        <w:rPr>
          <w:rFonts w:hint="eastAsia" w:ascii="宋体" w:hAnsi="宋体"/>
          <w:color w:val="auto"/>
          <w:szCs w:val="21"/>
        </w:rPr>
        <w:t>附身份证复印件</w:t>
      </w:r>
    </w:p>
    <w:p w14:paraId="350060ED">
      <w:pPr>
        <w:spacing w:line="440" w:lineRule="exact"/>
        <w:rPr>
          <w:rFonts w:ascii="宋体" w:hAnsi="宋体"/>
          <w:color w:val="auto"/>
          <w:szCs w:val="21"/>
        </w:rPr>
      </w:pPr>
    </w:p>
    <w:p w14:paraId="3D318E06">
      <w:pPr>
        <w:spacing w:line="440" w:lineRule="exact"/>
        <w:rPr>
          <w:rFonts w:ascii="宋体" w:hAnsi="宋体"/>
          <w:color w:val="auto"/>
          <w:szCs w:val="21"/>
        </w:rPr>
      </w:pPr>
    </w:p>
    <w:p w14:paraId="406F156C">
      <w:pPr>
        <w:spacing w:line="440" w:lineRule="exact"/>
        <w:ind w:left="1575"/>
        <w:rPr>
          <w:rFonts w:ascii="宋体" w:hAnsi="宋体"/>
          <w:color w:val="auto"/>
          <w:szCs w:val="21"/>
        </w:rPr>
      </w:pPr>
      <w:r>
        <w:rPr>
          <w:rFonts w:ascii="宋体" w:hAnsi="宋体"/>
          <w:color w:val="auto"/>
          <w:szCs w:val="21"/>
          <w:u w:val="single"/>
        </w:rPr>
        <w:t xml:space="preserve">       </w:t>
      </w:r>
      <w:r>
        <w:rPr>
          <w:rFonts w:ascii="宋体" w:hAnsi="宋体"/>
          <w:color w:val="auto"/>
          <w:szCs w:val="21"/>
        </w:rPr>
        <w:t>年</w:t>
      </w:r>
      <w:r>
        <w:rPr>
          <w:rFonts w:ascii="宋体" w:hAnsi="宋体"/>
          <w:color w:val="auto"/>
          <w:szCs w:val="21"/>
          <w:u w:val="single"/>
        </w:rPr>
        <w:t xml:space="preserve">       </w:t>
      </w:r>
      <w:r>
        <w:rPr>
          <w:rFonts w:ascii="宋体" w:hAnsi="宋体"/>
          <w:color w:val="auto"/>
          <w:szCs w:val="21"/>
        </w:rPr>
        <w:t>月</w:t>
      </w:r>
      <w:r>
        <w:rPr>
          <w:rFonts w:ascii="宋体" w:hAnsi="宋体"/>
          <w:color w:val="auto"/>
          <w:szCs w:val="21"/>
          <w:u w:val="single"/>
        </w:rPr>
        <w:t xml:space="preserve">       </w:t>
      </w:r>
      <w:r>
        <w:rPr>
          <w:rFonts w:ascii="宋体" w:hAnsi="宋体"/>
          <w:color w:val="auto"/>
          <w:szCs w:val="21"/>
        </w:rPr>
        <w:t>日</w:t>
      </w:r>
    </w:p>
    <w:p w14:paraId="3C33EDDF">
      <w:pPr>
        <w:spacing w:line="360" w:lineRule="auto"/>
        <w:jc w:val="center"/>
        <w:rPr>
          <w:rFonts w:ascii="宋体" w:hAnsi="宋体"/>
          <w:color w:val="auto"/>
          <w:sz w:val="24"/>
        </w:rPr>
      </w:pPr>
      <w:r>
        <w:rPr>
          <w:rFonts w:hint="eastAsia" w:ascii="宋体" w:hAnsi="宋体"/>
          <w:color w:val="auto"/>
          <w:sz w:val="24"/>
        </w:rPr>
        <w:t>身份证</w:t>
      </w:r>
    </w:p>
    <w:tbl>
      <w:tblPr>
        <w:tblStyle w:val="68"/>
        <w:tblW w:w="8430" w:type="dxa"/>
        <w:jc w:val="center"/>
        <w:tblBorders>
          <w:top w:val="dotDotDash" w:color="auto" w:sz="4" w:space="0"/>
          <w:left w:val="dotDotDash" w:color="auto" w:sz="4" w:space="0"/>
          <w:bottom w:val="dotDotDash" w:color="auto" w:sz="4" w:space="0"/>
          <w:right w:val="dotDotDash"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8430"/>
      </w:tblGrid>
      <w:tr w14:paraId="5EB164DD">
        <w:tblPrEx>
          <w:tblBorders>
            <w:top w:val="dotDotDash" w:color="auto" w:sz="4" w:space="0"/>
            <w:left w:val="dotDotDash" w:color="auto" w:sz="4" w:space="0"/>
            <w:bottom w:val="dotDotDash" w:color="auto" w:sz="4" w:space="0"/>
            <w:right w:val="dotDotDash" w:color="auto" w:sz="4" w:space="0"/>
            <w:insideH w:val="single" w:color="auto" w:sz="6" w:space="0"/>
            <w:insideV w:val="single" w:color="auto" w:sz="6" w:space="0"/>
          </w:tblBorders>
          <w:tblCellMar>
            <w:top w:w="0" w:type="dxa"/>
            <w:left w:w="108" w:type="dxa"/>
            <w:bottom w:w="0" w:type="dxa"/>
            <w:right w:w="108" w:type="dxa"/>
          </w:tblCellMar>
        </w:tblPrEx>
        <w:trPr>
          <w:trHeight w:val="2808" w:hRule="atLeast"/>
          <w:jc w:val="center"/>
        </w:trPr>
        <w:tc>
          <w:tcPr>
            <w:tcW w:w="8430" w:type="dxa"/>
            <w:vAlign w:val="center"/>
          </w:tcPr>
          <w:p w14:paraId="31F3D643">
            <w:pPr>
              <w:tabs>
                <w:tab w:val="left" w:pos="-840"/>
                <w:tab w:val="left" w:pos="3444"/>
              </w:tabs>
              <w:ind w:right="399"/>
              <w:jc w:val="center"/>
              <w:rPr>
                <w:rFonts w:ascii="宋体" w:hAnsi="宋体"/>
                <w:color w:val="auto"/>
                <w:sz w:val="18"/>
                <w:szCs w:val="18"/>
              </w:rPr>
            </w:pPr>
            <w:r>
              <w:rPr>
                <w:rFonts w:hint="eastAsia" w:ascii="宋体" w:hAnsi="宋体"/>
                <w:color w:val="auto"/>
                <w:sz w:val="18"/>
                <w:szCs w:val="18"/>
              </w:rPr>
              <w:t>法定代表人身份证双面复印件及被授权代理人身份证双面复印件</w:t>
            </w:r>
          </w:p>
        </w:tc>
      </w:tr>
    </w:tbl>
    <w:p w14:paraId="01BE92C7">
      <w:pPr>
        <w:spacing w:line="440" w:lineRule="exact"/>
        <w:rPr>
          <w:rFonts w:ascii="宋体" w:hAnsi="宋体"/>
          <w:b/>
          <w:color w:val="auto"/>
          <w:szCs w:val="21"/>
        </w:rPr>
      </w:pPr>
      <w:r>
        <w:rPr>
          <w:rFonts w:hint="eastAsia" w:ascii="宋体" w:hAnsi="宋体"/>
          <w:b/>
          <w:color w:val="auto"/>
          <w:szCs w:val="21"/>
        </w:rPr>
        <w:t>注：以联合体形式投标的由牵头单位出具。</w:t>
      </w:r>
    </w:p>
    <w:p w14:paraId="35BD006E">
      <w:pPr>
        <w:spacing w:line="400" w:lineRule="exact"/>
        <w:rPr>
          <w:rFonts w:ascii="宋体" w:hAnsi="宋体"/>
          <w:color w:val="auto"/>
          <w:sz w:val="20"/>
        </w:rPr>
      </w:pPr>
    </w:p>
    <w:p w14:paraId="4A54059B">
      <w:pPr>
        <w:pStyle w:val="4"/>
        <w:spacing w:before="157"/>
        <w:ind w:left="0" w:firstLine="0"/>
        <w:jc w:val="center"/>
        <w:rPr>
          <w:rFonts w:hAnsi="宋体"/>
          <w:color w:val="auto"/>
        </w:rPr>
      </w:pPr>
      <w:bookmarkStart w:id="328" w:name="_Toc24859"/>
      <w:bookmarkStart w:id="329" w:name="_Toc28226"/>
      <w:r>
        <w:rPr>
          <w:rFonts w:hint="eastAsia" w:hAnsi="宋体"/>
          <w:color w:val="auto"/>
        </w:rPr>
        <w:t>四、联合体协议书</w:t>
      </w:r>
      <w:bookmarkEnd w:id="328"/>
      <w:bookmarkEnd w:id="329"/>
    </w:p>
    <w:p w14:paraId="6C12AC1E">
      <w:pPr>
        <w:spacing w:line="400" w:lineRule="exact"/>
        <w:rPr>
          <w:rFonts w:ascii="宋体" w:hAnsi="宋体"/>
          <w:color w:val="auto"/>
          <w:szCs w:val="21"/>
        </w:rPr>
      </w:pPr>
    </w:p>
    <w:p w14:paraId="0B148F30">
      <w:pPr>
        <w:topLinePunct/>
        <w:spacing w:line="440" w:lineRule="exact"/>
        <w:ind w:firstLine="420" w:firstLineChars="200"/>
        <w:rPr>
          <w:rFonts w:ascii="宋体" w:hAnsi="宋体"/>
          <w:color w:val="auto"/>
          <w:szCs w:val="21"/>
        </w:rPr>
      </w:pPr>
      <w:r>
        <w:rPr>
          <w:rFonts w:ascii="宋体" w:hAnsi="宋体"/>
          <w:color w:val="auto"/>
          <w:szCs w:val="21"/>
          <w:u w:val="single"/>
        </w:rPr>
        <w:t xml:space="preserve">          </w:t>
      </w:r>
      <w:r>
        <w:rPr>
          <w:rFonts w:ascii="宋体" w:hAnsi="宋体"/>
          <w:color w:val="auto"/>
          <w:szCs w:val="21"/>
        </w:rPr>
        <w:t>（所有成员单位名称）自愿组成</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ascii="宋体" w:hAnsi="宋体"/>
          <w:color w:val="auto"/>
          <w:szCs w:val="21"/>
        </w:rPr>
        <w:t>（联合体名称）</w:t>
      </w:r>
      <w:r>
        <w:rPr>
          <w:rFonts w:hint="eastAsia" w:ascii="宋体" w:hAnsi="宋体"/>
          <w:color w:val="auto"/>
          <w:szCs w:val="21"/>
        </w:rPr>
        <w:t>联合体</w:t>
      </w:r>
      <w:r>
        <w:rPr>
          <w:rFonts w:ascii="宋体" w:hAnsi="宋体"/>
          <w:color w:val="auto"/>
          <w:szCs w:val="21"/>
        </w:rPr>
        <w:t>，共同参加</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ascii="宋体" w:hAnsi="宋体"/>
          <w:color w:val="auto"/>
          <w:szCs w:val="21"/>
        </w:rPr>
        <w:t>（项目名称）投标。现就联合体投标事宜订立如下协议。</w:t>
      </w:r>
    </w:p>
    <w:p w14:paraId="1E09D0C9">
      <w:pPr>
        <w:topLinePunct/>
        <w:spacing w:line="440" w:lineRule="exact"/>
        <w:ind w:firstLine="420" w:firstLineChars="200"/>
        <w:rPr>
          <w:rFonts w:ascii="宋体" w:hAnsi="宋体"/>
          <w:color w:val="auto"/>
          <w:szCs w:val="21"/>
        </w:rPr>
      </w:pPr>
      <w:r>
        <w:rPr>
          <w:rFonts w:hint="eastAsia" w:ascii="宋体" w:hAnsi="宋体"/>
          <w:color w:val="auto"/>
          <w:szCs w:val="21"/>
          <w:lang w:eastAsia="zh-CN"/>
        </w:rPr>
        <w:t>1.</w:t>
      </w:r>
      <w:r>
        <w:rPr>
          <w:rFonts w:ascii="宋体" w:hAnsi="宋体"/>
          <w:color w:val="auto"/>
          <w:szCs w:val="21"/>
          <w:u w:val="single"/>
        </w:rPr>
        <w:t xml:space="preserve">       </w:t>
      </w:r>
      <w:r>
        <w:rPr>
          <w:rFonts w:ascii="宋体" w:hAnsi="宋体"/>
          <w:color w:val="auto"/>
          <w:szCs w:val="21"/>
        </w:rPr>
        <w:t>（某成员单位名称）为</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ascii="宋体" w:hAnsi="宋体"/>
          <w:color w:val="auto"/>
          <w:szCs w:val="21"/>
        </w:rPr>
        <w:t>（联合体名称）牵头人。</w:t>
      </w:r>
    </w:p>
    <w:p w14:paraId="12FF2B4A">
      <w:pPr>
        <w:topLinePunct/>
        <w:spacing w:line="440" w:lineRule="exact"/>
        <w:ind w:firstLine="420" w:firstLineChars="200"/>
        <w:rPr>
          <w:rFonts w:ascii="宋体" w:hAnsi="宋体"/>
          <w:color w:val="auto"/>
          <w:szCs w:val="21"/>
        </w:rPr>
      </w:pPr>
      <w:r>
        <w:rPr>
          <w:rFonts w:hint="eastAsia" w:ascii="宋体" w:hAnsi="宋体"/>
          <w:color w:val="auto"/>
          <w:szCs w:val="21"/>
          <w:lang w:eastAsia="zh-CN"/>
        </w:rPr>
        <w:t>2.</w:t>
      </w:r>
      <w:r>
        <w:rPr>
          <w:rFonts w:ascii="宋体" w:hAnsi="宋体"/>
          <w:color w:val="auto"/>
          <w:szCs w:val="21"/>
        </w:rPr>
        <w:t>联合体牵头人</w:t>
      </w:r>
      <w:r>
        <w:rPr>
          <w:rFonts w:hint="eastAsia" w:ascii="宋体" w:hAnsi="宋体"/>
          <w:color w:val="auto"/>
          <w:szCs w:val="21"/>
        </w:rPr>
        <w:t>合法代表联合体各成员负责本招标项目投标文件编制和合同谈判活动，并代表联合体提交和接收相关的资料、信息及指示，并处理与之有关的一切事务，</w:t>
      </w:r>
      <w:r>
        <w:rPr>
          <w:rFonts w:ascii="宋体" w:hAnsi="宋体"/>
          <w:color w:val="auto"/>
          <w:szCs w:val="21"/>
        </w:rPr>
        <w:t>负责合同实施阶段的主办、组织和协调工作。</w:t>
      </w:r>
    </w:p>
    <w:p w14:paraId="4F8501BE">
      <w:pPr>
        <w:topLinePunct/>
        <w:spacing w:line="440" w:lineRule="exact"/>
        <w:ind w:firstLine="420" w:firstLineChars="200"/>
        <w:rPr>
          <w:rFonts w:ascii="宋体" w:hAnsi="宋体"/>
          <w:color w:val="auto"/>
          <w:szCs w:val="21"/>
        </w:rPr>
      </w:pPr>
      <w:r>
        <w:rPr>
          <w:rFonts w:hint="eastAsia" w:ascii="宋体" w:hAnsi="宋体"/>
          <w:color w:val="auto"/>
          <w:szCs w:val="21"/>
          <w:lang w:eastAsia="zh-CN"/>
        </w:rPr>
        <w:t>3.</w:t>
      </w:r>
      <w:r>
        <w:rPr>
          <w:rFonts w:ascii="宋体" w:hAnsi="宋体"/>
          <w:color w:val="auto"/>
          <w:szCs w:val="21"/>
        </w:rPr>
        <w:t>联合体将严格按照招标文件的各项要求，递交投标文件，履行合同，并对外承担连带责任。</w:t>
      </w:r>
    </w:p>
    <w:p w14:paraId="19AD2918">
      <w:pPr>
        <w:topLinePunct/>
        <w:spacing w:line="440" w:lineRule="exact"/>
        <w:ind w:firstLine="420" w:firstLineChars="200"/>
        <w:rPr>
          <w:rFonts w:ascii="宋体" w:hAnsi="宋体"/>
          <w:color w:val="auto"/>
          <w:szCs w:val="21"/>
        </w:rPr>
      </w:pPr>
      <w:r>
        <w:rPr>
          <w:rFonts w:hint="eastAsia" w:ascii="宋体" w:hAnsi="宋体"/>
          <w:color w:val="auto"/>
          <w:szCs w:val="21"/>
          <w:lang w:eastAsia="zh-CN"/>
        </w:rPr>
        <w:t>4.</w:t>
      </w:r>
      <w:r>
        <w:rPr>
          <w:rFonts w:ascii="宋体" w:hAnsi="宋体"/>
          <w:color w:val="auto"/>
          <w:szCs w:val="21"/>
        </w:rPr>
        <w:t>联合体各成员单位内部的职责分工如下：</w:t>
      </w:r>
      <w:r>
        <w:rPr>
          <w:rFonts w:ascii="宋体" w:hAnsi="宋体"/>
          <w:color w:val="auto"/>
          <w:szCs w:val="21"/>
          <w:u w:val="single"/>
        </w:rPr>
        <w:t xml:space="preserve">                 </w:t>
      </w:r>
      <w:r>
        <w:rPr>
          <w:rFonts w:ascii="宋体" w:hAnsi="宋体"/>
          <w:color w:val="auto"/>
          <w:szCs w:val="21"/>
        </w:rPr>
        <w:t xml:space="preserve"> 。</w:t>
      </w:r>
    </w:p>
    <w:p w14:paraId="7D725CF4">
      <w:pPr>
        <w:topLinePunct/>
        <w:spacing w:line="440" w:lineRule="exact"/>
        <w:ind w:firstLine="420" w:firstLineChars="200"/>
        <w:rPr>
          <w:rFonts w:ascii="宋体" w:hAnsi="宋体"/>
          <w:color w:val="auto"/>
          <w:szCs w:val="21"/>
        </w:rPr>
      </w:pPr>
      <w:r>
        <w:rPr>
          <w:rFonts w:hint="eastAsia" w:ascii="宋体" w:hAnsi="宋体"/>
          <w:color w:val="auto"/>
          <w:szCs w:val="21"/>
          <w:lang w:eastAsia="zh-CN"/>
        </w:rPr>
        <w:t>5.</w:t>
      </w:r>
      <w:r>
        <w:rPr>
          <w:rFonts w:ascii="宋体" w:hAnsi="宋体"/>
          <w:color w:val="auto"/>
          <w:szCs w:val="21"/>
        </w:rPr>
        <w:t xml:space="preserve">本协议书自签署之日起生效，合同履行完毕后自动失效。 </w:t>
      </w:r>
    </w:p>
    <w:p w14:paraId="136572EC">
      <w:pPr>
        <w:topLinePunct/>
        <w:spacing w:line="440" w:lineRule="exact"/>
        <w:ind w:firstLine="420" w:firstLineChars="200"/>
        <w:rPr>
          <w:rFonts w:ascii="宋体" w:hAnsi="宋体"/>
          <w:color w:val="auto"/>
          <w:szCs w:val="21"/>
        </w:rPr>
      </w:pPr>
      <w:r>
        <w:rPr>
          <w:rFonts w:hint="eastAsia" w:ascii="宋体" w:hAnsi="宋体"/>
          <w:color w:val="auto"/>
          <w:szCs w:val="21"/>
          <w:lang w:eastAsia="zh-CN"/>
        </w:rPr>
        <w:t>6.</w:t>
      </w:r>
      <w:r>
        <w:rPr>
          <w:rFonts w:ascii="宋体" w:hAnsi="宋体"/>
          <w:color w:val="auto"/>
          <w:szCs w:val="21"/>
        </w:rPr>
        <w:t>本协议书一式</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ascii="宋体" w:hAnsi="宋体"/>
          <w:color w:val="auto"/>
          <w:szCs w:val="21"/>
        </w:rPr>
        <w:t>份，联合体成员和招标人各执一份。</w:t>
      </w:r>
    </w:p>
    <w:p w14:paraId="4D5CC637">
      <w:pPr>
        <w:topLinePunct/>
        <w:spacing w:line="440" w:lineRule="exact"/>
        <w:rPr>
          <w:rFonts w:ascii="宋体" w:hAnsi="宋体"/>
          <w:color w:val="auto"/>
          <w:szCs w:val="21"/>
        </w:rPr>
      </w:pPr>
    </w:p>
    <w:p w14:paraId="3D7E0A38">
      <w:pPr>
        <w:topLinePunct/>
        <w:spacing w:line="440" w:lineRule="exact"/>
        <w:ind w:firstLine="420" w:firstLineChars="200"/>
        <w:rPr>
          <w:rFonts w:ascii="宋体" w:hAnsi="宋体"/>
          <w:color w:val="auto"/>
          <w:szCs w:val="21"/>
        </w:rPr>
      </w:pPr>
      <w:r>
        <w:rPr>
          <w:rFonts w:hint="eastAsia" w:ascii="宋体" w:hAnsi="宋体"/>
          <w:color w:val="auto"/>
          <w:szCs w:val="21"/>
        </w:rPr>
        <w:t>注：本协议书由委托代理人签字的，应附法定代表人签字的授权委托书。</w:t>
      </w:r>
    </w:p>
    <w:p w14:paraId="4A25CD10">
      <w:pPr>
        <w:topLinePunct/>
        <w:spacing w:line="440" w:lineRule="exact"/>
        <w:rPr>
          <w:rFonts w:ascii="宋体" w:hAnsi="宋体"/>
          <w:color w:val="auto"/>
          <w:szCs w:val="21"/>
        </w:rPr>
      </w:pPr>
    </w:p>
    <w:p w14:paraId="677D3CE4">
      <w:pPr>
        <w:topLinePunct/>
        <w:spacing w:line="440" w:lineRule="exact"/>
        <w:rPr>
          <w:rFonts w:ascii="宋体" w:hAnsi="宋体"/>
          <w:color w:val="auto"/>
          <w:szCs w:val="21"/>
        </w:rPr>
      </w:pPr>
      <w:r>
        <w:rPr>
          <w:rFonts w:ascii="宋体" w:hAnsi="宋体"/>
          <w:color w:val="auto"/>
          <w:szCs w:val="21"/>
        </w:rPr>
        <w:t>牵头人名称：</w:t>
      </w:r>
      <w:r>
        <w:rPr>
          <w:rFonts w:ascii="宋体" w:hAnsi="宋体"/>
          <w:color w:val="auto"/>
          <w:szCs w:val="21"/>
          <w:u w:val="single"/>
        </w:rPr>
        <w:t xml:space="preserve">                                 </w:t>
      </w:r>
      <w:r>
        <w:rPr>
          <w:rFonts w:ascii="宋体" w:hAnsi="宋体"/>
          <w:color w:val="auto"/>
          <w:szCs w:val="21"/>
        </w:rPr>
        <w:t>（</w:t>
      </w:r>
      <w:r>
        <w:rPr>
          <w:rFonts w:hint="eastAsia" w:ascii="宋体" w:hAnsi="宋体"/>
          <w:color w:val="auto"/>
          <w:szCs w:val="21"/>
        </w:rPr>
        <w:t>盖章</w:t>
      </w:r>
      <w:r>
        <w:rPr>
          <w:rFonts w:ascii="宋体" w:hAnsi="宋体"/>
          <w:color w:val="auto"/>
          <w:szCs w:val="21"/>
        </w:rPr>
        <w:t>）</w:t>
      </w:r>
    </w:p>
    <w:p w14:paraId="6A107E03">
      <w:pPr>
        <w:topLinePunct/>
        <w:spacing w:line="440" w:lineRule="exact"/>
        <w:rPr>
          <w:rFonts w:ascii="宋体" w:hAnsi="宋体"/>
          <w:color w:val="auto"/>
          <w:szCs w:val="21"/>
        </w:rPr>
      </w:pPr>
      <w:r>
        <w:rPr>
          <w:rFonts w:ascii="宋体" w:hAnsi="宋体"/>
          <w:color w:val="auto"/>
          <w:szCs w:val="21"/>
        </w:rPr>
        <w:t>法定代表人或其委托代理人：</w:t>
      </w:r>
      <w:r>
        <w:rPr>
          <w:rFonts w:ascii="宋体" w:hAnsi="宋体"/>
          <w:color w:val="auto"/>
          <w:szCs w:val="21"/>
          <w:u w:val="single"/>
        </w:rPr>
        <w:t xml:space="preserve">                       </w:t>
      </w:r>
      <w:r>
        <w:rPr>
          <w:rFonts w:ascii="宋体" w:hAnsi="宋体"/>
          <w:color w:val="auto"/>
          <w:szCs w:val="21"/>
        </w:rPr>
        <w:t>（签字）</w:t>
      </w:r>
    </w:p>
    <w:p w14:paraId="60C3CEA8">
      <w:pPr>
        <w:topLinePunct/>
        <w:spacing w:line="440" w:lineRule="exact"/>
        <w:rPr>
          <w:rFonts w:ascii="宋体" w:hAnsi="宋体"/>
          <w:color w:val="auto"/>
          <w:szCs w:val="21"/>
        </w:rPr>
      </w:pPr>
    </w:p>
    <w:p w14:paraId="1C1E1B43">
      <w:pPr>
        <w:topLinePunct/>
        <w:spacing w:line="440" w:lineRule="exact"/>
        <w:rPr>
          <w:rFonts w:ascii="宋体" w:hAnsi="宋体"/>
          <w:color w:val="auto"/>
          <w:szCs w:val="21"/>
        </w:rPr>
      </w:pPr>
      <w:r>
        <w:rPr>
          <w:rFonts w:ascii="宋体" w:hAnsi="宋体"/>
          <w:color w:val="auto"/>
          <w:szCs w:val="21"/>
        </w:rPr>
        <w:t>成员一名称：</w:t>
      </w:r>
      <w:r>
        <w:rPr>
          <w:rFonts w:ascii="宋体" w:hAnsi="宋体"/>
          <w:color w:val="auto"/>
          <w:szCs w:val="21"/>
          <w:u w:val="single"/>
        </w:rPr>
        <w:t xml:space="preserve">                                 </w:t>
      </w:r>
      <w:r>
        <w:rPr>
          <w:rFonts w:ascii="宋体" w:hAnsi="宋体"/>
          <w:color w:val="auto"/>
          <w:szCs w:val="21"/>
        </w:rPr>
        <w:t>（</w:t>
      </w:r>
      <w:r>
        <w:rPr>
          <w:rFonts w:hint="eastAsia" w:ascii="宋体" w:hAnsi="宋体"/>
          <w:color w:val="auto"/>
          <w:szCs w:val="21"/>
        </w:rPr>
        <w:t>盖章</w:t>
      </w:r>
      <w:r>
        <w:rPr>
          <w:rFonts w:ascii="宋体" w:hAnsi="宋体"/>
          <w:color w:val="auto"/>
          <w:szCs w:val="21"/>
        </w:rPr>
        <w:t>）</w:t>
      </w:r>
    </w:p>
    <w:p w14:paraId="092EA94C">
      <w:pPr>
        <w:topLinePunct/>
        <w:spacing w:line="440" w:lineRule="exact"/>
        <w:rPr>
          <w:rFonts w:ascii="宋体" w:hAnsi="宋体"/>
          <w:color w:val="auto"/>
          <w:szCs w:val="21"/>
        </w:rPr>
      </w:pPr>
      <w:r>
        <w:rPr>
          <w:rFonts w:ascii="宋体" w:hAnsi="宋体"/>
          <w:color w:val="auto"/>
          <w:szCs w:val="21"/>
        </w:rPr>
        <w:t>法定代表人或其委托代理人：</w:t>
      </w:r>
      <w:r>
        <w:rPr>
          <w:rFonts w:ascii="宋体" w:hAnsi="宋体"/>
          <w:color w:val="auto"/>
          <w:szCs w:val="21"/>
          <w:u w:val="single"/>
        </w:rPr>
        <w:t xml:space="preserve">                       </w:t>
      </w:r>
      <w:r>
        <w:rPr>
          <w:rFonts w:ascii="宋体" w:hAnsi="宋体"/>
          <w:color w:val="auto"/>
          <w:szCs w:val="21"/>
        </w:rPr>
        <w:t>（签字）</w:t>
      </w:r>
    </w:p>
    <w:p w14:paraId="1827807E">
      <w:pPr>
        <w:topLinePunct/>
        <w:spacing w:line="440" w:lineRule="exact"/>
        <w:rPr>
          <w:rFonts w:ascii="宋体" w:hAnsi="宋体"/>
          <w:color w:val="auto"/>
          <w:szCs w:val="21"/>
        </w:rPr>
      </w:pPr>
      <w:r>
        <w:rPr>
          <w:rFonts w:ascii="宋体" w:hAnsi="宋体"/>
          <w:color w:val="auto"/>
          <w:szCs w:val="21"/>
        </w:rPr>
        <w:t xml:space="preserve"> </w:t>
      </w:r>
    </w:p>
    <w:p w14:paraId="1A1A91BA">
      <w:pPr>
        <w:topLinePunct/>
        <w:spacing w:line="440" w:lineRule="exact"/>
        <w:rPr>
          <w:rFonts w:ascii="宋体" w:hAnsi="宋体"/>
          <w:color w:val="auto"/>
          <w:szCs w:val="21"/>
        </w:rPr>
      </w:pPr>
      <w:r>
        <w:rPr>
          <w:rFonts w:ascii="宋体" w:hAnsi="宋体"/>
          <w:color w:val="auto"/>
          <w:szCs w:val="21"/>
        </w:rPr>
        <w:t>成员二名称：</w:t>
      </w:r>
      <w:r>
        <w:rPr>
          <w:rFonts w:ascii="宋体" w:hAnsi="宋体"/>
          <w:color w:val="auto"/>
          <w:szCs w:val="21"/>
          <w:u w:val="single"/>
        </w:rPr>
        <w:t xml:space="preserve">                                 </w:t>
      </w:r>
      <w:r>
        <w:rPr>
          <w:rFonts w:ascii="宋体" w:hAnsi="宋体"/>
          <w:color w:val="auto"/>
          <w:szCs w:val="21"/>
        </w:rPr>
        <w:t>（</w:t>
      </w:r>
      <w:r>
        <w:rPr>
          <w:rFonts w:hint="eastAsia" w:ascii="宋体" w:hAnsi="宋体"/>
          <w:color w:val="auto"/>
          <w:szCs w:val="21"/>
        </w:rPr>
        <w:t>盖章</w:t>
      </w:r>
      <w:r>
        <w:rPr>
          <w:rFonts w:ascii="宋体" w:hAnsi="宋体"/>
          <w:color w:val="auto"/>
          <w:szCs w:val="21"/>
        </w:rPr>
        <w:t>）</w:t>
      </w:r>
    </w:p>
    <w:p w14:paraId="68007793">
      <w:pPr>
        <w:topLinePunct/>
        <w:spacing w:line="440" w:lineRule="exact"/>
        <w:rPr>
          <w:rFonts w:ascii="宋体" w:hAnsi="宋体"/>
          <w:color w:val="auto"/>
          <w:szCs w:val="21"/>
        </w:rPr>
      </w:pPr>
      <w:r>
        <w:rPr>
          <w:rFonts w:ascii="宋体" w:hAnsi="宋体"/>
          <w:color w:val="auto"/>
          <w:szCs w:val="21"/>
        </w:rPr>
        <w:t>法定代表人或其委托代理人：</w:t>
      </w:r>
      <w:r>
        <w:rPr>
          <w:rFonts w:ascii="宋体" w:hAnsi="宋体"/>
          <w:color w:val="auto"/>
          <w:szCs w:val="21"/>
          <w:u w:val="single"/>
        </w:rPr>
        <w:t xml:space="preserve">                       </w:t>
      </w:r>
      <w:r>
        <w:rPr>
          <w:rFonts w:ascii="宋体" w:hAnsi="宋体"/>
          <w:color w:val="auto"/>
          <w:szCs w:val="21"/>
        </w:rPr>
        <w:t>（签字）</w:t>
      </w:r>
    </w:p>
    <w:p w14:paraId="32FE3B51">
      <w:pPr>
        <w:topLinePunct/>
        <w:spacing w:line="440" w:lineRule="exact"/>
        <w:rPr>
          <w:rFonts w:ascii="宋体" w:hAnsi="宋体"/>
          <w:color w:val="auto"/>
          <w:szCs w:val="21"/>
        </w:rPr>
      </w:pPr>
      <w:r>
        <w:rPr>
          <w:rFonts w:ascii="宋体" w:hAnsi="宋体"/>
          <w:color w:val="auto"/>
          <w:szCs w:val="21"/>
        </w:rPr>
        <w:t xml:space="preserve">…… </w:t>
      </w:r>
    </w:p>
    <w:p w14:paraId="1C995067">
      <w:pPr>
        <w:topLinePunct/>
        <w:spacing w:line="440" w:lineRule="exact"/>
        <w:rPr>
          <w:rFonts w:ascii="宋体" w:hAnsi="宋体"/>
          <w:color w:val="auto"/>
          <w:szCs w:val="21"/>
        </w:rPr>
      </w:pPr>
    </w:p>
    <w:p w14:paraId="07067595">
      <w:pPr>
        <w:ind w:firstLine="2879" w:firstLineChars="1371"/>
        <w:rPr>
          <w:rFonts w:ascii="宋体" w:hAnsi="宋体"/>
          <w:color w:val="auto"/>
        </w:rPr>
      </w:pPr>
      <w:r>
        <w:rPr>
          <w:rFonts w:ascii="宋体" w:hAnsi="宋体"/>
          <w:color w:val="auto"/>
          <w:u w:val="single"/>
        </w:rPr>
        <w:t xml:space="preserve">        </w:t>
      </w:r>
      <w:r>
        <w:rPr>
          <w:rFonts w:ascii="宋体" w:hAnsi="宋体"/>
          <w:color w:val="auto"/>
        </w:rPr>
        <w:t>年</w:t>
      </w:r>
      <w:r>
        <w:rPr>
          <w:rFonts w:ascii="宋体" w:hAnsi="宋体"/>
          <w:color w:val="auto"/>
          <w:u w:val="single"/>
        </w:rPr>
        <w:t xml:space="preserve">   </w:t>
      </w:r>
      <w:r>
        <w:rPr>
          <w:rFonts w:hint="eastAsia" w:ascii="宋体" w:hAnsi="宋体"/>
          <w:color w:val="auto"/>
          <w:u w:val="single"/>
        </w:rPr>
        <w:t xml:space="preserve">   </w:t>
      </w:r>
      <w:r>
        <w:rPr>
          <w:rFonts w:ascii="宋体" w:hAnsi="宋体"/>
          <w:color w:val="auto"/>
          <w:u w:val="single"/>
        </w:rPr>
        <w:t xml:space="preserve"> </w:t>
      </w:r>
      <w:r>
        <w:rPr>
          <w:rFonts w:ascii="宋体" w:hAnsi="宋体"/>
          <w:color w:val="auto"/>
        </w:rPr>
        <w:t>月</w:t>
      </w:r>
      <w:r>
        <w:rPr>
          <w:rFonts w:ascii="宋体" w:hAnsi="宋体"/>
          <w:color w:val="auto"/>
          <w:u w:val="single"/>
        </w:rPr>
        <w:t xml:space="preserve"> </w:t>
      </w:r>
      <w:r>
        <w:rPr>
          <w:rFonts w:hint="eastAsia" w:ascii="宋体" w:hAnsi="宋体"/>
          <w:color w:val="auto"/>
          <w:u w:val="single"/>
        </w:rPr>
        <w:t xml:space="preserve">   </w:t>
      </w:r>
      <w:r>
        <w:rPr>
          <w:rFonts w:ascii="宋体" w:hAnsi="宋体"/>
          <w:color w:val="auto"/>
          <w:u w:val="single"/>
        </w:rPr>
        <w:t xml:space="preserve">   </w:t>
      </w:r>
      <w:r>
        <w:rPr>
          <w:rFonts w:ascii="宋体" w:hAnsi="宋体"/>
          <w:color w:val="auto"/>
        </w:rPr>
        <w:t>日</w:t>
      </w:r>
    </w:p>
    <w:p w14:paraId="6F2CE488">
      <w:pPr>
        <w:spacing w:line="400" w:lineRule="exact"/>
        <w:rPr>
          <w:rFonts w:ascii="宋体" w:hAnsi="宋体"/>
          <w:color w:val="auto"/>
          <w:sz w:val="20"/>
        </w:rPr>
      </w:pPr>
    </w:p>
    <w:p w14:paraId="66C99C0C">
      <w:pPr>
        <w:spacing w:line="400" w:lineRule="exact"/>
        <w:rPr>
          <w:rFonts w:ascii="宋体" w:hAnsi="宋体"/>
          <w:color w:val="auto"/>
        </w:rPr>
      </w:pPr>
    </w:p>
    <w:p w14:paraId="041C9A11">
      <w:pPr>
        <w:spacing w:line="400" w:lineRule="exact"/>
        <w:rPr>
          <w:rFonts w:ascii="宋体" w:hAnsi="宋体"/>
          <w:color w:val="auto"/>
        </w:rPr>
      </w:pPr>
    </w:p>
    <w:p w14:paraId="1C0571AB">
      <w:pPr>
        <w:spacing w:line="400" w:lineRule="exact"/>
        <w:rPr>
          <w:rFonts w:ascii="宋体" w:hAnsi="宋体"/>
          <w:color w:val="auto"/>
        </w:rPr>
      </w:pPr>
    </w:p>
    <w:p w14:paraId="58A4FB5F">
      <w:pPr>
        <w:spacing w:line="400" w:lineRule="exact"/>
        <w:rPr>
          <w:rFonts w:ascii="宋体" w:hAnsi="宋体"/>
          <w:color w:val="auto"/>
        </w:rPr>
      </w:pPr>
    </w:p>
    <w:p w14:paraId="770A6E1F">
      <w:pPr>
        <w:spacing w:line="400" w:lineRule="exact"/>
        <w:rPr>
          <w:rFonts w:ascii="宋体" w:hAnsi="宋体"/>
          <w:color w:val="auto"/>
        </w:rPr>
      </w:pPr>
    </w:p>
    <w:p w14:paraId="78F474C8">
      <w:pPr>
        <w:spacing w:line="400" w:lineRule="exact"/>
        <w:rPr>
          <w:rFonts w:ascii="宋体" w:hAnsi="宋体"/>
          <w:color w:val="auto"/>
        </w:rPr>
      </w:pPr>
    </w:p>
    <w:p w14:paraId="6A7EC20B">
      <w:pPr>
        <w:pStyle w:val="4"/>
        <w:spacing w:before="157"/>
        <w:ind w:left="0" w:firstLine="0"/>
        <w:jc w:val="center"/>
        <w:rPr>
          <w:rFonts w:hAnsi="宋体"/>
          <w:color w:val="auto"/>
          <w:szCs w:val="21"/>
        </w:rPr>
      </w:pPr>
      <w:bookmarkStart w:id="330" w:name="_Toc300835215"/>
      <w:bookmarkStart w:id="331" w:name="_Toc152042582"/>
      <w:bookmarkStart w:id="332" w:name="_Toc247527833"/>
      <w:bookmarkStart w:id="333" w:name="_Toc247514285"/>
      <w:bookmarkStart w:id="334" w:name="_Toc152045793"/>
      <w:bookmarkStart w:id="335" w:name="_Toc361"/>
      <w:bookmarkStart w:id="336" w:name="_Toc451244242"/>
      <w:bookmarkStart w:id="337" w:name="_Toc8316"/>
      <w:r>
        <w:rPr>
          <w:rFonts w:hint="eastAsia" w:hAnsi="宋体"/>
          <w:color w:val="auto"/>
        </w:rPr>
        <w:t>五、</w:t>
      </w:r>
      <w:bookmarkEnd w:id="330"/>
      <w:bookmarkEnd w:id="331"/>
      <w:bookmarkEnd w:id="332"/>
      <w:bookmarkEnd w:id="333"/>
      <w:bookmarkEnd w:id="334"/>
      <w:r>
        <w:rPr>
          <w:rFonts w:hint="eastAsia" w:hAnsi="宋体"/>
          <w:color w:val="auto"/>
        </w:rPr>
        <w:t>投标单位勘察资质证书、设计资质证书、施工资质证书</w:t>
      </w:r>
      <w:bookmarkEnd w:id="335"/>
      <w:bookmarkEnd w:id="336"/>
      <w:bookmarkEnd w:id="337"/>
    </w:p>
    <w:p w14:paraId="36090903">
      <w:pPr>
        <w:ind w:left="2879"/>
        <w:rPr>
          <w:rFonts w:ascii="宋体" w:hAnsi="宋体"/>
          <w:color w:val="auto"/>
        </w:rPr>
      </w:pPr>
    </w:p>
    <w:p w14:paraId="68165E10">
      <w:pPr>
        <w:ind w:left="2879"/>
        <w:rPr>
          <w:rFonts w:ascii="宋体" w:hAnsi="宋体"/>
          <w:color w:val="auto"/>
        </w:rPr>
      </w:pPr>
      <w:r>
        <w:rPr>
          <w:rFonts w:hint="eastAsia" w:ascii="宋体" w:hAnsi="宋体"/>
          <w:color w:val="auto"/>
          <w:szCs w:val="21"/>
        </w:rPr>
        <w:t xml:space="preserve">         附相关证明材料</w:t>
      </w:r>
    </w:p>
    <w:p w14:paraId="0EB04213">
      <w:pPr>
        <w:spacing w:line="440" w:lineRule="exact"/>
        <w:rPr>
          <w:rFonts w:ascii="宋体" w:hAnsi="宋体"/>
          <w:color w:val="auto"/>
          <w:szCs w:val="21"/>
        </w:rPr>
      </w:pPr>
      <w:bookmarkStart w:id="338" w:name="_Toc300835216"/>
      <w:bookmarkStart w:id="339" w:name="_Toc247527834"/>
      <w:bookmarkStart w:id="340" w:name="_Toc152042583"/>
      <w:bookmarkStart w:id="341" w:name="_Toc247514286"/>
      <w:bookmarkStart w:id="342" w:name="_Toc144974862"/>
      <w:bookmarkStart w:id="343" w:name="_Toc152045794"/>
      <w:r>
        <w:rPr>
          <w:rFonts w:hint="eastAsia" w:ascii="宋体" w:hAnsi="宋体"/>
          <w:color w:val="auto"/>
          <w:szCs w:val="21"/>
        </w:rPr>
        <w:t xml:space="preserve">    </w:t>
      </w:r>
    </w:p>
    <w:p w14:paraId="16027582">
      <w:pPr>
        <w:spacing w:line="440" w:lineRule="exact"/>
        <w:rPr>
          <w:rFonts w:ascii="宋体" w:hAnsi="宋体"/>
          <w:color w:val="auto"/>
          <w:szCs w:val="21"/>
        </w:rPr>
      </w:pPr>
    </w:p>
    <w:p w14:paraId="6827DF61">
      <w:pPr>
        <w:spacing w:line="440" w:lineRule="exact"/>
        <w:rPr>
          <w:rFonts w:ascii="宋体" w:hAnsi="宋体"/>
          <w:color w:val="auto"/>
          <w:szCs w:val="21"/>
        </w:rPr>
      </w:pPr>
    </w:p>
    <w:p w14:paraId="2060A7DB">
      <w:pPr>
        <w:spacing w:line="440" w:lineRule="exact"/>
        <w:rPr>
          <w:rFonts w:ascii="宋体" w:hAnsi="宋体"/>
          <w:color w:val="auto"/>
          <w:szCs w:val="21"/>
        </w:rPr>
      </w:pPr>
    </w:p>
    <w:p w14:paraId="106C31B7">
      <w:pPr>
        <w:spacing w:line="440" w:lineRule="exact"/>
        <w:rPr>
          <w:rFonts w:ascii="宋体" w:hAnsi="宋体"/>
          <w:color w:val="auto"/>
          <w:szCs w:val="21"/>
        </w:rPr>
      </w:pPr>
    </w:p>
    <w:p w14:paraId="7F15BFD8">
      <w:pPr>
        <w:spacing w:line="440" w:lineRule="exact"/>
        <w:rPr>
          <w:rFonts w:ascii="宋体" w:hAnsi="宋体"/>
          <w:color w:val="auto"/>
          <w:szCs w:val="21"/>
        </w:rPr>
      </w:pPr>
    </w:p>
    <w:p w14:paraId="467A83C2">
      <w:pPr>
        <w:spacing w:line="440" w:lineRule="exact"/>
        <w:rPr>
          <w:rFonts w:ascii="宋体" w:hAnsi="宋体"/>
          <w:color w:val="auto"/>
          <w:szCs w:val="21"/>
        </w:rPr>
      </w:pPr>
    </w:p>
    <w:p w14:paraId="433E0260">
      <w:pPr>
        <w:spacing w:line="440" w:lineRule="exact"/>
        <w:rPr>
          <w:rFonts w:ascii="宋体" w:hAnsi="宋体"/>
          <w:color w:val="auto"/>
          <w:szCs w:val="21"/>
        </w:rPr>
      </w:pPr>
    </w:p>
    <w:p w14:paraId="2BBED7AC">
      <w:pPr>
        <w:spacing w:line="440" w:lineRule="exact"/>
        <w:rPr>
          <w:rFonts w:ascii="宋体" w:hAnsi="宋体"/>
          <w:color w:val="auto"/>
          <w:szCs w:val="21"/>
        </w:rPr>
      </w:pPr>
    </w:p>
    <w:p w14:paraId="73290D58">
      <w:pPr>
        <w:spacing w:line="440" w:lineRule="exact"/>
        <w:rPr>
          <w:rFonts w:ascii="宋体" w:hAnsi="宋体"/>
          <w:color w:val="auto"/>
          <w:szCs w:val="21"/>
        </w:rPr>
      </w:pPr>
    </w:p>
    <w:p w14:paraId="6877D324">
      <w:pPr>
        <w:spacing w:line="440" w:lineRule="exact"/>
        <w:rPr>
          <w:rFonts w:ascii="宋体" w:hAnsi="宋体"/>
          <w:color w:val="auto"/>
          <w:szCs w:val="21"/>
        </w:rPr>
      </w:pPr>
    </w:p>
    <w:p w14:paraId="3CF167E7">
      <w:pPr>
        <w:spacing w:line="440" w:lineRule="exact"/>
        <w:rPr>
          <w:rFonts w:ascii="宋体" w:hAnsi="宋体"/>
          <w:color w:val="auto"/>
          <w:szCs w:val="21"/>
        </w:rPr>
      </w:pPr>
    </w:p>
    <w:p w14:paraId="7CBA74A6">
      <w:pPr>
        <w:spacing w:line="440" w:lineRule="exact"/>
        <w:rPr>
          <w:rFonts w:ascii="宋体" w:hAnsi="宋体"/>
          <w:color w:val="auto"/>
          <w:szCs w:val="21"/>
        </w:rPr>
      </w:pPr>
    </w:p>
    <w:p w14:paraId="33B1A3FF">
      <w:pPr>
        <w:spacing w:line="440" w:lineRule="exact"/>
        <w:rPr>
          <w:rFonts w:ascii="宋体" w:hAnsi="宋体"/>
          <w:color w:val="auto"/>
          <w:szCs w:val="21"/>
        </w:rPr>
      </w:pPr>
    </w:p>
    <w:p w14:paraId="20E037E6">
      <w:pPr>
        <w:spacing w:line="440" w:lineRule="exact"/>
        <w:rPr>
          <w:rFonts w:ascii="宋体" w:hAnsi="宋体"/>
          <w:color w:val="auto"/>
          <w:szCs w:val="21"/>
        </w:rPr>
      </w:pPr>
    </w:p>
    <w:p w14:paraId="1FD282E8">
      <w:pPr>
        <w:spacing w:line="440" w:lineRule="exact"/>
        <w:rPr>
          <w:rFonts w:ascii="宋体" w:hAnsi="宋体"/>
          <w:color w:val="auto"/>
          <w:szCs w:val="21"/>
        </w:rPr>
      </w:pPr>
    </w:p>
    <w:p w14:paraId="0A925BEA">
      <w:pPr>
        <w:spacing w:line="440" w:lineRule="exact"/>
        <w:rPr>
          <w:rFonts w:ascii="宋体" w:hAnsi="宋体"/>
          <w:color w:val="auto"/>
          <w:szCs w:val="21"/>
        </w:rPr>
      </w:pPr>
    </w:p>
    <w:p w14:paraId="39D59D9F">
      <w:pPr>
        <w:spacing w:line="440" w:lineRule="exact"/>
        <w:rPr>
          <w:rFonts w:ascii="宋体" w:hAnsi="宋体"/>
          <w:color w:val="auto"/>
          <w:szCs w:val="21"/>
        </w:rPr>
      </w:pPr>
    </w:p>
    <w:p w14:paraId="431B9FDC">
      <w:pPr>
        <w:spacing w:line="440" w:lineRule="exact"/>
        <w:rPr>
          <w:rFonts w:ascii="宋体" w:hAnsi="宋体"/>
          <w:color w:val="auto"/>
          <w:szCs w:val="21"/>
        </w:rPr>
      </w:pPr>
    </w:p>
    <w:p w14:paraId="3EDF8D6D">
      <w:pPr>
        <w:spacing w:line="440" w:lineRule="exact"/>
        <w:rPr>
          <w:rFonts w:ascii="宋体" w:hAnsi="宋体"/>
          <w:color w:val="auto"/>
          <w:szCs w:val="21"/>
        </w:rPr>
      </w:pPr>
    </w:p>
    <w:p w14:paraId="3AF97109">
      <w:pPr>
        <w:spacing w:line="440" w:lineRule="exact"/>
        <w:rPr>
          <w:rFonts w:ascii="宋体" w:hAnsi="宋体"/>
          <w:color w:val="auto"/>
          <w:szCs w:val="21"/>
        </w:rPr>
      </w:pPr>
    </w:p>
    <w:p w14:paraId="0E11CD4D">
      <w:pPr>
        <w:spacing w:line="440" w:lineRule="exact"/>
        <w:rPr>
          <w:rFonts w:ascii="宋体" w:hAnsi="宋体"/>
          <w:color w:val="auto"/>
          <w:szCs w:val="21"/>
        </w:rPr>
      </w:pPr>
    </w:p>
    <w:p w14:paraId="70243FFB">
      <w:pPr>
        <w:spacing w:line="440" w:lineRule="exact"/>
        <w:rPr>
          <w:rFonts w:ascii="宋体" w:hAnsi="宋体"/>
          <w:color w:val="auto"/>
          <w:szCs w:val="21"/>
        </w:rPr>
      </w:pPr>
    </w:p>
    <w:p w14:paraId="0D09B5E8">
      <w:pPr>
        <w:rPr>
          <w:rFonts w:ascii="宋体" w:hAnsi="宋体"/>
          <w:color w:val="auto"/>
        </w:rPr>
      </w:pPr>
      <w:bookmarkStart w:id="344" w:name="_Toc451244243"/>
    </w:p>
    <w:p w14:paraId="04903D21">
      <w:pPr>
        <w:rPr>
          <w:rFonts w:ascii="宋体" w:hAnsi="宋体"/>
          <w:color w:val="auto"/>
        </w:rPr>
      </w:pPr>
    </w:p>
    <w:p w14:paraId="56DD9B42">
      <w:pPr>
        <w:rPr>
          <w:rFonts w:ascii="宋体" w:hAnsi="宋体"/>
          <w:color w:val="auto"/>
        </w:rPr>
      </w:pPr>
    </w:p>
    <w:p w14:paraId="751BD0D1">
      <w:pPr>
        <w:rPr>
          <w:rFonts w:ascii="宋体" w:hAnsi="宋体"/>
          <w:color w:val="auto"/>
        </w:rPr>
      </w:pPr>
    </w:p>
    <w:p w14:paraId="1B93E50E">
      <w:pPr>
        <w:rPr>
          <w:rFonts w:ascii="宋体" w:hAnsi="宋体"/>
          <w:color w:val="auto"/>
        </w:rPr>
      </w:pPr>
    </w:p>
    <w:p w14:paraId="0FF8BAE1">
      <w:pPr>
        <w:rPr>
          <w:rFonts w:ascii="宋体" w:hAnsi="宋体"/>
          <w:color w:val="auto"/>
        </w:rPr>
      </w:pPr>
    </w:p>
    <w:p w14:paraId="25444C6C">
      <w:pPr>
        <w:rPr>
          <w:rFonts w:ascii="宋体" w:hAnsi="宋体"/>
          <w:color w:val="auto"/>
        </w:rPr>
      </w:pPr>
    </w:p>
    <w:p w14:paraId="0220F1C4">
      <w:pPr>
        <w:rPr>
          <w:rFonts w:ascii="宋体" w:hAnsi="宋体"/>
          <w:color w:val="auto"/>
        </w:rPr>
      </w:pPr>
    </w:p>
    <w:p w14:paraId="03D90D3A">
      <w:pPr>
        <w:pStyle w:val="4"/>
        <w:spacing w:before="157"/>
        <w:ind w:left="0" w:firstLine="0"/>
        <w:jc w:val="center"/>
        <w:rPr>
          <w:rFonts w:hAnsi="宋体"/>
          <w:color w:val="auto"/>
        </w:rPr>
      </w:pPr>
      <w:bookmarkStart w:id="345" w:name="_Toc9211"/>
      <w:bookmarkStart w:id="346" w:name="_Toc19596"/>
      <w:r>
        <w:rPr>
          <w:rFonts w:hint="eastAsia" w:hAnsi="宋体"/>
          <w:color w:val="auto"/>
        </w:rPr>
        <w:t>六</w:t>
      </w:r>
      <w:r>
        <w:rPr>
          <w:rFonts w:hAnsi="宋体"/>
          <w:color w:val="auto"/>
        </w:rPr>
        <w:t>、投标保证金</w:t>
      </w:r>
      <w:bookmarkEnd w:id="344"/>
      <w:bookmarkEnd w:id="345"/>
      <w:bookmarkEnd w:id="346"/>
    </w:p>
    <w:p w14:paraId="5AB8C653">
      <w:pPr>
        <w:spacing w:line="440" w:lineRule="exact"/>
        <w:rPr>
          <w:rFonts w:ascii="宋体" w:hAnsi="宋体"/>
          <w:color w:val="auto"/>
          <w:szCs w:val="21"/>
        </w:rPr>
      </w:pPr>
      <w:r>
        <w:rPr>
          <w:rFonts w:hint="eastAsia" w:ascii="宋体" w:hAnsi="宋体"/>
          <w:color w:val="auto"/>
          <w:szCs w:val="21"/>
        </w:rPr>
        <w:t xml:space="preserve">                      </w:t>
      </w:r>
    </w:p>
    <w:p w14:paraId="6A968F36">
      <w:pPr>
        <w:spacing w:line="440" w:lineRule="exact"/>
        <w:jc w:val="center"/>
        <w:rPr>
          <w:rFonts w:ascii="宋体" w:hAnsi="宋体"/>
          <w:b/>
          <w:bCs/>
          <w:color w:val="auto"/>
        </w:rPr>
      </w:pPr>
      <w:r>
        <w:rPr>
          <w:rFonts w:hint="eastAsia" w:ascii="宋体" w:hAnsi="宋体"/>
          <w:color w:val="auto"/>
          <w:szCs w:val="21"/>
        </w:rPr>
        <w:t>附保证金缴纳证明材料</w:t>
      </w:r>
      <w:bookmarkEnd w:id="338"/>
      <w:bookmarkEnd w:id="339"/>
      <w:bookmarkEnd w:id="340"/>
      <w:bookmarkEnd w:id="341"/>
      <w:bookmarkEnd w:id="342"/>
      <w:bookmarkEnd w:id="343"/>
      <w:bookmarkStart w:id="347" w:name="_Toc474179232"/>
      <w:bookmarkStart w:id="348" w:name="_Toc300835219"/>
      <w:bookmarkStart w:id="349" w:name="_Toc474178528"/>
      <w:bookmarkStart w:id="350" w:name="_Toc474178996"/>
      <w:bookmarkStart w:id="351" w:name="_Toc451244244"/>
    </w:p>
    <w:p w14:paraId="4C53A3DF">
      <w:pPr>
        <w:spacing w:line="440" w:lineRule="exact"/>
        <w:jc w:val="center"/>
        <w:rPr>
          <w:rFonts w:ascii="宋体" w:hAnsi="宋体"/>
          <w:b/>
          <w:bCs/>
          <w:color w:val="auto"/>
        </w:rPr>
      </w:pPr>
    </w:p>
    <w:p w14:paraId="1AB5F39F">
      <w:pPr>
        <w:spacing w:line="440" w:lineRule="exact"/>
        <w:jc w:val="center"/>
        <w:rPr>
          <w:rFonts w:ascii="宋体" w:hAnsi="宋体"/>
          <w:b/>
          <w:bCs/>
          <w:color w:val="auto"/>
        </w:rPr>
      </w:pPr>
    </w:p>
    <w:p w14:paraId="3C806777">
      <w:pPr>
        <w:spacing w:line="440" w:lineRule="exact"/>
        <w:jc w:val="center"/>
        <w:rPr>
          <w:rFonts w:ascii="宋体" w:hAnsi="宋体"/>
          <w:b/>
          <w:bCs/>
          <w:color w:val="auto"/>
        </w:rPr>
      </w:pPr>
    </w:p>
    <w:p w14:paraId="465801CD">
      <w:pPr>
        <w:spacing w:line="440" w:lineRule="exact"/>
        <w:jc w:val="center"/>
        <w:rPr>
          <w:rFonts w:ascii="宋体" w:hAnsi="宋体"/>
          <w:b/>
          <w:bCs/>
          <w:color w:val="auto"/>
        </w:rPr>
      </w:pPr>
    </w:p>
    <w:p w14:paraId="68CDD6E7">
      <w:pPr>
        <w:spacing w:line="440" w:lineRule="exact"/>
        <w:jc w:val="center"/>
        <w:rPr>
          <w:rFonts w:ascii="宋体" w:hAnsi="宋体"/>
          <w:b/>
          <w:bCs/>
          <w:color w:val="auto"/>
        </w:rPr>
      </w:pPr>
    </w:p>
    <w:p w14:paraId="0A1174B3">
      <w:pPr>
        <w:spacing w:line="440" w:lineRule="exact"/>
        <w:jc w:val="center"/>
        <w:rPr>
          <w:rFonts w:ascii="宋体" w:hAnsi="宋体"/>
          <w:b/>
          <w:bCs/>
          <w:color w:val="auto"/>
        </w:rPr>
      </w:pPr>
    </w:p>
    <w:p w14:paraId="1D1ED49E">
      <w:pPr>
        <w:spacing w:line="440" w:lineRule="exact"/>
        <w:jc w:val="center"/>
        <w:rPr>
          <w:rFonts w:ascii="宋体" w:hAnsi="宋体"/>
          <w:b/>
          <w:bCs/>
          <w:color w:val="auto"/>
        </w:rPr>
      </w:pPr>
    </w:p>
    <w:p w14:paraId="62A720B6">
      <w:pPr>
        <w:spacing w:line="440" w:lineRule="exact"/>
        <w:jc w:val="center"/>
        <w:rPr>
          <w:rFonts w:ascii="宋体" w:hAnsi="宋体"/>
          <w:b/>
          <w:bCs/>
          <w:color w:val="auto"/>
        </w:rPr>
      </w:pPr>
    </w:p>
    <w:p w14:paraId="52DA002C">
      <w:pPr>
        <w:spacing w:line="440" w:lineRule="exact"/>
        <w:jc w:val="center"/>
        <w:rPr>
          <w:rFonts w:ascii="宋体" w:hAnsi="宋体"/>
          <w:b/>
          <w:bCs/>
          <w:color w:val="auto"/>
        </w:rPr>
      </w:pPr>
    </w:p>
    <w:p w14:paraId="056EE248">
      <w:pPr>
        <w:spacing w:line="440" w:lineRule="exact"/>
        <w:jc w:val="center"/>
        <w:rPr>
          <w:rFonts w:ascii="宋体" w:hAnsi="宋体"/>
          <w:b/>
          <w:bCs/>
          <w:color w:val="auto"/>
        </w:rPr>
      </w:pPr>
    </w:p>
    <w:p w14:paraId="545D1D3A">
      <w:pPr>
        <w:spacing w:line="440" w:lineRule="exact"/>
        <w:jc w:val="center"/>
        <w:rPr>
          <w:rFonts w:ascii="宋体" w:hAnsi="宋体"/>
          <w:b/>
          <w:bCs/>
          <w:color w:val="auto"/>
        </w:rPr>
      </w:pPr>
    </w:p>
    <w:p w14:paraId="4C8875C9">
      <w:pPr>
        <w:spacing w:line="440" w:lineRule="exact"/>
        <w:jc w:val="center"/>
        <w:rPr>
          <w:rFonts w:ascii="宋体" w:hAnsi="宋体"/>
          <w:b/>
          <w:bCs/>
          <w:color w:val="auto"/>
        </w:rPr>
      </w:pPr>
    </w:p>
    <w:p w14:paraId="5C94402C">
      <w:pPr>
        <w:spacing w:line="440" w:lineRule="exact"/>
        <w:jc w:val="center"/>
        <w:rPr>
          <w:rFonts w:ascii="宋体" w:hAnsi="宋体"/>
          <w:b/>
          <w:bCs/>
          <w:color w:val="auto"/>
        </w:rPr>
      </w:pPr>
    </w:p>
    <w:p w14:paraId="45FE0245">
      <w:pPr>
        <w:spacing w:line="440" w:lineRule="exact"/>
        <w:jc w:val="center"/>
        <w:rPr>
          <w:rFonts w:ascii="宋体" w:hAnsi="宋体"/>
          <w:b/>
          <w:bCs/>
          <w:color w:val="auto"/>
        </w:rPr>
      </w:pPr>
    </w:p>
    <w:p w14:paraId="6446F91C">
      <w:pPr>
        <w:spacing w:line="440" w:lineRule="exact"/>
        <w:jc w:val="center"/>
        <w:rPr>
          <w:rFonts w:ascii="宋体" w:hAnsi="宋体"/>
          <w:b/>
          <w:bCs/>
          <w:color w:val="auto"/>
        </w:rPr>
      </w:pPr>
    </w:p>
    <w:p w14:paraId="40D26F36">
      <w:pPr>
        <w:spacing w:line="440" w:lineRule="exact"/>
        <w:jc w:val="center"/>
        <w:rPr>
          <w:rFonts w:ascii="宋体" w:hAnsi="宋体"/>
          <w:b/>
          <w:bCs/>
          <w:color w:val="auto"/>
        </w:rPr>
      </w:pPr>
    </w:p>
    <w:p w14:paraId="5CA31A9F">
      <w:pPr>
        <w:spacing w:line="440" w:lineRule="exact"/>
        <w:jc w:val="center"/>
        <w:rPr>
          <w:rFonts w:ascii="宋体" w:hAnsi="宋体"/>
          <w:b/>
          <w:bCs/>
          <w:color w:val="auto"/>
        </w:rPr>
      </w:pPr>
    </w:p>
    <w:p w14:paraId="6B55FB60">
      <w:pPr>
        <w:spacing w:line="440" w:lineRule="exact"/>
        <w:jc w:val="center"/>
        <w:rPr>
          <w:rFonts w:ascii="宋体" w:hAnsi="宋体"/>
          <w:b/>
          <w:bCs/>
          <w:color w:val="auto"/>
        </w:rPr>
      </w:pPr>
    </w:p>
    <w:p w14:paraId="632DE3D4">
      <w:pPr>
        <w:spacing w:line="440" w:lineRule="exact"/>
        <w:jc w:val="center"/>
        <w:rPr>
          <w:rFonts w:ascii="宋体" w:hAnsi="宋体"/>
          <w:b/>
          <w:bCs/>
          <w:color w:val="auto"/>
        </w:rPr>
      </w:pPr>
    </w:p>
    <w:p w14:paraId="311F6029">
      <w:pPr>
        <w:spacing w:line="440" w:lineRule="exact"/>
        <w:jc w:val="center"/>
        <w:rPr>
          <w:rFonts w:ascii="宋体" w:hAnsi="宋体"/>
          <w:b/>
          <w:bCs/>
          <w:color w:val="auto"/>
        </w:rPr>
      </w:pPr>
    </w:p>
    <w:p w14:paraId="7474067C">
      <w:pPr>
        <w:spacing w:line="440" w:lineRule="exact"/>
        <w:jc w:val="center"/>
        <w:rPr>
          <w:rFonts w:ascii="宋体" w:hAnsi="宋体"/>
          <w:b/>
          <w:bCs/>
          <w:color w:val="auto"/>
        </w:rPr>
      </w:pPr>
    </w:p>
    <w:p w14:paraId="1B1787AC">
      <w:pPr>
        <w:spacing w:line="440" w:lineRule="exact"/>
        <w:jc w:val="center"/>
        <w:rPr>
          <w:rFonts w:ascii="宋体" w:hAnsi="宋体"/>
          <w:b/>
          <w:bCs/>
          <w:color w:val="auto"/>
        </w:rPr>
      </w:pPr>
    </w:p>
    <w:p w14:paraId="366A9178">
      <w:pPr>
        <w:spacing w:line="440" w:lineRule="exact"/>
        <w:jc w:val="center"/>
        <w:rPr>
          <w:rFonts w:ascii="宋体" w:hAnsi="宋体"/>
          <w:b/>
          <w:bCs/>
          <w:color w:val="auto"/>
        </w:rPr>
      </w:pPr>
    </w:p>
    <w:p w14:paraId="711F1EDF">
      <w:pPr>
        <w:spacing w:line="440" w:lineRule="exact"/>
        <w:jc w:val="center"/>
        <w:rPr>
          <w:rFonts w:ascii="宋体" w:hAnsi="宋体"/>
          <w:b/>
          <w:bCs/>
          <w:color w:val="auto"/>
        </w:rPr>
      </w:pPr>
    </w:p>
    <w:p w14:paraId="3F4CDC11">
      <w:pPr>
        <w:spacing w:line="440" w:lineRule="exact"/>
        <w:jc w:val="center"/>
        <w:rPr>
          <w:rFonts w:ascii="宋体" w:hAnsi="宋体"/>
          <w:b/>
          <w:bCs/>
          <w:color w:val="auto"/>
        </w:rPr>
      </w:pPr>
    </w:p>
    <w:p w14:paraId="5B175B1B">
      <w:pPr>
        <w:spacing w:line="440" w:lineRule="exact"/>
        <w:jc w:val="center"/>
        <w:rPr>
          <w:rFonts w:ascii="宋体" w:hAnsi="宋体"/>
          <w:b/>
          <w:bCs/>
          <w:color w:val="auto"/>
        </w:rPr>
      </w:pPr>
    </w:p>
    <w:p w14:paraId="49399F78">
      <w:pPr>
        <w:spacing w:line="440" w:lineRule="exact"/>
        <w:jc w:val="center"/>
        <w:rPr>
          <w:rFonts w:ascii="宋体" w:hAnsi="宋体"/>
          <w:b/>
          <w:bCs/>
          <w:color w:val="auto"/>
        </w:rPr>
      </w:pPr>
    </w:p>
    <w:p w14:paraId="4988D2B9">
      <w:pPr>
        <w:spacing w:line="440" w:lineRule="exact"/>
        <w:jc w:val="center"/>
        <w:rPr>
          <w:rFonts w:ascii="宋体" w:hAnsi="宋体"/>
          <w:b/>
          <w:bCs/>
          <w:color w:val="auto"/>
        </w:rPr>
      </w:pPr>
    </w:p>
    <w:p w14:paraId="161F8193">
      <w:pPr>
        <w:spacing w:line="440" w:lineRule="exact"/>
        <w:jc w:val="center"/>
        <w:rPr>
          <w:rFonts w:ascii="宋体" w:hAnsi="宋体"/>
          <w:b/>
          <w:bCs/>
          <w:color w:val="auto"/>
        </w:rPr>
      </w:pPr>
    </w:p>
    <w:p w14:paraId="359131A4">
      <w:pPr>
        <w:pStyle w:val="4"/>
        <w:spacing w:before="157"/>
        <w:ind w:left="0" w:firstLine="0"/>
        <w:jc w:val="center"/>
        <w:rPr>
          <w:rFonts w:hAnsi="宋体"/>
          <w:color w:val="auto"/>
        </w:rPr>
      </w:pPr>
      <w:bookmarkStart w:id="352" w:name="_Toc16004"/>
      <w:bookmarkStart w:id="353" w:name="_Toc10061"/>
      <w:r>
        <w:rPr>
          <w:rFonts w:hint="eastAsia" w:hAnsi="宋体"/>
          <w:color w:val="auto"/>
        </w:rPr>
        <w:t>七、施工实施方案</w:t>
      </w:r>
      <w:bookmarkEnd w:id="352"/>
    </w:p>
    <w:bookmarkEnd w:id="347"/>
    <w:bookmarkEnd w:id="348"/>
    <w:bookmarkEnd w:id="349"/>
    <w:bookmarkEnd w:id="350"/>
    <w:bookmarkEnd w:id="351"/>
    <w:bookmarkEnd w:id="353"/>
    <w:p w14:paraId="4677C694">
      <w:pPr>
        <w:pStyle w:val="4"/>
        <w:spacing w:before="157"/>
        <w:ind w:left="0" w:firstLine="0"/>
        <w:jc w:val="center"/>
        <w:rPr>
          <w:rFonts w:hAnsi="宋体"/>
          <w:color w:val="auto"/>
        </w:rPr>
      </w:pPr>
      <w:bookmarkStart w:id="354" w:name="_Toc17580"/>
      <w:bookmarkStart w:id="355" w:name="_Toc544"/>
      <w:r>
        <w:rPr>
          <w:rFonts w:hint="eastAsia" w:hAnsi="宋体"/>
          <w:color w:val="auto"/>
        </w:rPr>
        <w:t>八、</w:t>
      </w:r>
      <w:bookmarkEnd w:id="354"/>
      <w:bookmarkStart w:id="356" w:name="_Toc17500"/>
      <w:r>
        <w:rPr>
          <w:rFonts w:hint="eastAsia" w:hAnsi="宋体"/>
          <w:color w:val="auto"/>
        </w:rPr>
        <w:t>设计工作方案</w:t>
      </w:r>
      <w:bookmarkEnd w:id="355"/>
    </w:p>
    <w:p w14:paraId="713E784C">
      <w:pPr>
        <w:pStyle w:val="4"/>
        <w:spacing w:before="157"/>
        <w:ind w:left="0" w:firstLine="0"/>
        <w:jc w:val="center"/>
        <w:rPr>
          <w:rFonts w:hAnsi="宋体"/>
          <w:color w:val="auto"/>
        </w:rPr>
      </w:pPr>
      <w:bookmarkStart w:id="357" w:name="_Toc28631"/>
      <w:r>
        <w:rPr>
          <w:rFonts w:hint="eastAsia" w:hAnsi="宋体"/>
          <w:color w:val="auto"/>
        </w:rPr>
        <w:t>九、</w:t>
      </w:r>
      <w:bookmarkEnd w:id="356"/>
      <w:bookmarkStart w:id="358" w:name="_Toc23506"/>
      <w:r>
        <w:rPr>
          <w:rFonts w:hint="eastAsia" w:hAnsi="宋体"/>
          <w:color w:val="auto"/>
        </w:rPr>
        <w:t>勘察工作方案</w:t>
      </w:r>
      <w:bookmarkEnd w:id="357"/>
    </w:p>
    <w:p w14:paraId="75B3E2DB">
      <w:pPr>
        <w:pStyle w:val="4"/>
        <w:spacing w:before="157"/>
        <w:ind w:left="0" w:firstLine="0"/>
        <w:jc w:val="center"/>
        <w:rPr>
          <w:rFonts w:hAnsi="宋体"/>
          <w:color w:val="auto"/>
        </w:rPr>
      </w:pPr>
      <w:bookmarkStart w:id="359" w:name="_Toc26238"/>
      <w:r>
        <w:rPr>
          <w:rFonts w:hint="eastAsia" w:hAnsi="宋体"/>
          <w:color w:val="auto"/>
        </w:rPr>
        <w:t>十、施工计划</w:t>
      </w:r>
      <w:bookmarkEnd w:id="358"/>
      <w:bookmarkEnd w:id="359"/>
    </w:p>
    <w:p w14:paraId="3BC1F449">
      <w:pPr>
        <w:pStyle w:val="4"/>
        <w:spacing w:before="157"/>
        <w:ind w:left="0" w:firstLine="0"/>
        <w:jc w:val="center"/>
        <w:rPr>
          <w:rFonts w:hAnsi="宋体"/>
          <w:color w:val="auto"/>
        </w:rPr>
      </w:pPr>
      <w:bookmarkStart w:id="360" w:name="_Toc14357"/>
      <w:bookmarkStart w:id="361" w:name="_Toc18129"/>
      <w:bookmarkStart w:id="362" w:name="_Toc451244248"/>
      <w:bookmarkStart w:id="363" w:name="_Toc300835223"/>
      <w:r>
        <w:rPr>
          <w:rFonts w:hint="eastAsia" w:hAnsi="宋体"/>
          <w:color w:val="auto"/>
        </w:rPr>
        <w:t>十一、</w:t>
      </w:r>
      <w:bookmarkEnd w:id="360"/>
      <w:bookmarkStart w:id="364" w:name="_Toc18637"/>
      <w:bookmarkStart w:id="365" w:name="_Toc247514299"/>
      <w:bookmarkStart w:id="366" w:name="_Toc152045807"/>
      <w:bookmarkStart w:id="367" w:name="_Toc152042596"/>
      <w:bookmarkStart w:id="368" w:name="_Toc144974875"/>
      <w:bookmarkStart w:id="369" w:name="_Toc247527847"/>
      <w:r>
        <w:rPr>
          <w:rFonts w:hint="eastAsia" w:hAnsi="宋体"/>
          <w:color w:val="auto"/>
        </w:rPr>
        <w:t>项目管理组织机构及主要人员</w:t>
      </w:r>
      <w:bookmarkEnd w:id="361"/>
    </w:p>
    <w:p w14:paraId="08844007">
      <w:pPr>
        <w:pStyle w:val="4"/>
        <w:spacing w:before="157"/>
        <w:ind w:left="0" w:firstLine="0"/>
        <w:jc w:val="center"/>
        <w:rPr>
          <w:rFonts w:hAnsi="宋体"/>
          <w:color w:val="auto"/>
        </w:rPr>
      </w:pPr>
      <w:bookmarkStart w:id="370" w:name="_Toc3567"/>
      <w:r>
        <w:rPr>
          <w:rFonts w:hint="eastAsia" w:hAnsi="宋体"/>
          <w:color w:val="auto"/>
        </w:rPr>
        <w:t>十二、安全文明施工保证措施</w:t>
      </w:r>
      <w:bookmarkEnd w:id="364"/>
      <w:bookmarkEnd w:id="370"/>
    </w:p>
    <w:p w14:paraId="62E36814">
      <w:pPr>
        <w:pStyle w:val="4"/>
        <w:spacing w:before="157"/>
        <w:ind w:left="0" w:firstLine="0"/>
        <w:jc w:val="center"/>
        <w:rPr>
          <w:rFonts w:hAnsi="宋体"/>
          <w:color w:val="auto"/>
        </w:rPr>
      </w:pPr>
      <w:bookmarkStart w:id="371" w:name="_Toc15821"/>
      <w:bookmarkStart w:id="372" w:name="_Toc8579"/>
      <w:r>
        <w:rPr>
          <w:rFonts w:hint="eastAsia" w:hAnsi="宋体"/>
          <w:color w:val="auto"/>
        </w:rPr>
        <w:t>十三、后续服务承诺及保证措施</w:t>
      </w:r>
      <w:bookmarkEnd w:id="371"/>
      <w:bookmarkEnd w:id="372"/>
    </w:p>
    <w:p w14:paraId="40AB9699">
      <w:pPr>
        <w:pStyle w:val="4"/>
        <w:spacing w:before="157"/>
        <w:ind w:left="0" w:firstLine="0"/>
        <w:jc w:val="center"/>
        <w:rPr>
          <w:rFonts w:hAnsi="宋体"/>
          <w:color w:val="auto"/>
        </w:rPr>
      </w:pPr>
      <w:bookmarkStart w:id="373" w:name="_Toc2160"/>
      <w:r>
        <w:rPr>
          <w:rFonts w:hint="eastAsia" w:hAnsi="宋体"/>
          <w:color w:val="auto"/>
        </w:rPr>
        <w:t>十四、质量保证措施</w:t>
      </w:r>
      <w:bookmarkEnd w:id="373"/>
    </w:p>
    <w:p w14:paraId="20FD733B">
      <w:pPr>
        <w:pStyle w:val="4"/>
        <w:spacing w:before="157"/>
        <w:ind w:left="0" w:firstLine="0"/>
        <w:jc w:val="center"/>
        <w:rPr>
          <w:rFonts w:hAnsi="宋体"/>
          <w:color w:val="auto"/>
        </w:rPr>
      </w:pPr>
    </w:p>
    <w:p w14:paraId="270A7BEE">
      <w:pPr>
        <w:rPr>
          <w:color w:val="auto"/>
        </w:rPr>
      </w:pPr>
    </w:p>
    <w:p w14:paraId="401852EA">
      <w:pPr>
        <w:rPr>
          <w:color w:val="auto"/>
        </w:rPr>
      </w:pPr>
    </w:p>
    <w:p w14:paraId="0B6D9D57">
      <w:pPr>
        <w:rPr>
          <w:rFonts w:ascii="宋体" w:hAnsi="宋体"/>
          <w:color w:val="auto"/>
        </w:rPr>
      </w:pPr>
    </w:p>
    <w:p w14:paraId="29D9F203">
      <w:pPr>
        <w:pStyle w:val="57"/>
        <w:rPr>
          <w:rFonts w:ascii="宋体" w:hAnsi="宋体"/>
          <w:color w:val="auto"/>
        </w:rPr>
      </w:pPr>
    </w:p>
    <w:p w14:paraId="5EA1EAAB">
      <w:pPr>
        <w:rPr>
          <w:rFonts w:ascii="宋体" w:hAnsi="宋体"/>
          <w:color w:val="auto"/>
        </w:rPr>
      </w:pPr>
    </w:p>
    <w:p w14:paraId="2BF56E51">
      <w:pPr>
        <w:pStyle w:val="57"/>
        <w:rPr>
          <w:rFonts w:ascii="宋体" w:hAnsi="宋体"/>
          <w:color w:val="auto"/>
        </w:rPr>
      </w:pPr>
    </w:p>
    <w:p w14:paraId="5D7F3FE6">
      <w:pPr>
        <w:rPr>
          <w:rFonts w:ascii="宋体" w:hAnsi="宋体"/>
          <w:color w:val="auto"/>
        </w:rPr>
      </w:pPr>
    </w:p>
    <w:p w14:paraId="6DACC662">
      <w:pPr>
        <w:pStyle w:val="57"/>
        <w:rPr>
          <w:rFonts w:ascii="宋体" w:hAnsi="宋体"/>
          <w:color w:val="auto"/>
        </w:rPr>
      </w:pPr>
    </w:p>
    <w:p w14:paraId="48FCBDC5">
      <w:pPr>
        <w:rPr>
          <w:rFonts w:ascii="宋体" w:hAnsi="宋体"/>
          <w:color w:val="auto"/>
        </w:rPr>
      </w:pPr>
    </w:p>
    <w:p w14:paraId="7EB18276">
      <w:pPr>
        <w:pStyle w:val="57"/>
        <w:rPr>
          <w:rFonts w:ascii="宋体" w:hAnsi="宋体"/>
          <w:color w:val="auto"/>
        </w:rPr>
      </w:pPr>
    </w:p>
    <w:p w14:paraId="25191F5B">
      <w:pPr>
        <w:rPr>
          <w:rFonts w:ascii="宋体" w:hAnsi="宋体"/>
          <w:color w:val="auto"/>
        </w:rPr>
      </w:pPr>
    </w:p>
    <w:p w14:paraId="2C11A519">
      <w:pPr>
        <w:pStyle w:val="57"/>
        <w:rPr>
          <w:rFonts w:ascii="宋体" w:hAnsi="宋体"/>
          <w:color w:val="auto"/>
        </w:rPr>
      </w:pPr>
    </w:p>
    <w:p w14:paraId="0A0B15CE">
      <w:pPr>
        <w:rPr>
          <w:rFonts w:ascii="宋体" w:hAnsi="宋体"/>
          <w:color w:val="auto"/>
        </w:rPr>
      </w:pPr>
    </w:p>
    <w:p w14:paraId="3598BF75">
      <w:pPr>
        <w:pStyle w:val="57"/>
        <w:rPr>
          <w:rFonts w:ascii="宋体" w:hAnsi="宋体"/>
          <w:color w:val="auto"/>
        </w:rPr>
      </w:pPr>
    </w:p>
    <w:p w14:paraId="5CCFA8A4">
      <w:pPr>
        <w:rPr>
          <w:rFonts w:ascii="宋体" w:hAnsi="宋体"/>
          <w:color w:val="auto"/>
        </w:rPr>
      </w:pPr>
    </w:p>
    <w:p w14:paraId="518DF90C">
      <w:pPr>
        <w:pStyle w:val="57"/>
        <w:rPr>
          <w:rFonts w:ascii="宋体" w:hAnsi="宋体"/>
          <w:color w:val="auto"/>
        </w:rPr>
      </w:pPr>
    </w:p>
    <w:p w14:paraId="6CA50BC1">
      <w:pPr>
        <w:rPr>
          <w:rFonts w:ascii="宋体" w:hAnsi="宋体"/>
          <w:color w:val="auto"/>
        </w:rPr>
      </w:pPr>
    </w:p>
    <w:p w14:paraId="54DBE146">
      <w:pPr>
        <w:pStyle w:val="57"/>
        <w:rPr>
          <w:rFonts w:ascii="宋体" w:hAnsi="宋体"/>
          <w:color w:val="auto"/>
        </w:rPr>
      </w:pPr>
    </w:p>
    <w:p w14:paraId="54FCBD1C">
      <w:pPr>
        <w:rPr>
          <w:rFonts w:ascii="宋体" w:hAnsi="宋体"/>
          <w:color w:val="auto"/>
        </w:rPr>
      </w:pPr>
    </w:p>
    <w:p w14:paraId="3B9C147D">
      <w:pPr>
        <w:pStyle w:val="57"/>
        <w:rPr>
          <w:rFonts w:ascii="宋体" w:hAnsi="宋体"/>
          <w:color w:val="auto"/>
        </w:rPr>
      </w:pPr>
    </w:p>
    <w:p w14:paraId="574F25BE">
      <w:pPr>
        <w:rPr>
          <w:rFonts w:ascii="宋体" w:hAnsi="宋体"/>
          <w:color w:val="auto"/>
        </w:rPr>
      </w:pPr>
    </w:p>
    <w:p w14:paraId="04605A18">
      <w:pPr>
        <w:rPr>
          <w:rFonts w:hAnsi="宋体"/>
          <w:color w:val="auto"/>
        </w:rPr>
      </w:pPr>
      <w:bookmarkStart w:id="374" w:name="_Toc25152"/>
      <w:r>
        <w:rPr>
          <w:rFonts w:hint="eastAsia" w:hAnsi="宋体"/>
          <w:color w:val="auto"/>
        </w:rPr>
        <w:br w:type="page"/>
      </w:r>
    </w:p>
    <w:p w14:paraId="167480D6">
      <w:pPr>
        <w:pStyle w:val="4"/>
        <w:spacing w:before="157"/>
        <w:ind w:left="0" w:firstLine="3855" w:firstLineChars="1600"/>
        <w:rPr>
          <w:rFonts w:hAnsi="宋体"/>
          <w:color w:val="auto"/>
        </w:rPr>
      </w:pPr>
      <w:bookmarkStart w:id="375" w:name="_Toc6489"/>
      <w:r>
        <w:rPr>
          <w:rFonts w:hint="eastAsia" w:hAnsi="宋体"/>
          <w:color w:val="auto"/>
        </w:rPr>
        <w:t>十五、</w:t>
      </w:r>
      <w:r>
        <w:rPr>
          <w:rFonts w:hAnsi="宋体"/>
          <w:color w:val="auto"/>
        </w:rPr>
        <w:t>资格审查资料</w:t>
      </w:r>
      <w:bookmarkEnd w:id="362"/>
      <w:bookmarkEnd w:id="363"/>
      <w:bookmarkEnd w:id="365"/>
      <w:bookmarkEnd w:id="366"/>
      <w:bookmarkEnd w:id="367"/>
      <w:bookmarkEnd w:id="368"/>
      <w:bookmarkEnd w:id="369"/>
      <w:bookmarkEnd w:id="374"/>
      <w:bookmarkEnd w:id="375"/>
    </w:p>
    <w:p w14:paraId="63B9DC7D">
      <w:pPr>
        <w:pStyle w:val="5"/>
        <w:spacing w:before="157"/>
        <w:rPr>
          <w:color w:val="auto"/>
        </w:rPr>
      </w:pPr>
      <w:bookmarkStart w:id="376" w:name="_Toc480918583"/>
      <w:bookmarkStart w:id="377" w:name="_Toc97752053"/>
      <w:bookmarkStart w:id="378" w:name="_Toc480918815"/>
      <w:bookmarkStart w:id="379" w:name="_Toc152045808"/>
      <w:bookmarkStart w:id="380" w:name="_Toc85443518"/>
      <w:bookmarkStart w:id="381" w:name="_Toc480918960"/>
      <w:bookmarkStart w:id="382" w:name="_Toc499310657"/>
      <w:bookmarkStart w:id="383" w:name="_Toc152042597"/>
      <w:bookmarkStart w:id="384" w:name="_Toc144974876"/>
      <w:bookmarkStart w:id="385" w:name="_Toc451244249"/>
      <w:bookmarkStart w:id="386" w:name="_Toc16318"/>
      <w:bookmarkStart w:id="387" w:name="_Toc247514300"/>
      <w:bookmarkStart w:id="388" w:name="_Toc474178533"/>
      <w:bookmarkStart w:id="389" w:name="_Toc499310087"/>
      <w:bookmarkStart w:id="390" w:name="_Toc527485327"/>
      <w:bookmarkStart w:id="391" w:name="_Toc474179001"/>
      <w:bookmarkStart w:id="392" w:name="_Toc21889"/>
      <w:bookmarkStart w:id="393" w:name="_Toc300835224"/>
      <w:bookmarkStart w:id="394" w:name="_Toc247527848"/>
      <w:bookmarkStart w:id="395" w:name="_Toc474179237"/>
      <w:r>
        <w:rPr>
          <w:color w:val="auto"/>
        </w:rPr>
        <w:t>（一）投标人基本情况表</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p>
    <w:p w14:paraId="61117A9C">
      <w:pPr>
        <w:topLinePunct/>
        <w:spacing w:line="440" w:lineRule="exact"/>
        <w:rPr>
          <w:rFonts w:ascii="宋体" w:hAnsi="宋体"/>
          <w:color w:val="auto"/>
          <w:sz w:val="23"/>
          <w:szCs w:val="23"/>
        </w:rPr>
      </w:pPr>
    </w:p>
    <w:tbl>
      <w:tblPr>
        <w:tblStyle w:val="68"/>
        <w:tblW w:w="856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8"/>
        <w:gridCol w:w="898"/>
        <w:gridCol w:w="951"/>
        <w:gridCol w:w="840"/>
        <w:gridCol w:w="420"/>
        <w:gridCol w:w="311"/>
        <w:gridCol w:w="1078"/>
        <w:gridCol w:w="490"/>
        <w:gridCol w:w="860"/>
        <w:gridCol w:w="992"/>
      </w:tblGrid>
      <w:tr w14:paraId="366D05B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611944C9">
            <w:pPr>
              <w:topLinePunct/>
              <w:spacing w:line="440" w:lineRule="exact"/>
              <w:jc w:val="center"/>
              <w:rPr>
                <w:rFonts w:ascii="宋体" w:hAnsi="宋体"/>
                <w:color w:val="auto"/>
                <w:szCs w:val="21"/>
              </w:rPr>
            </w:pPr>
            <w:r>
              <w:rPr>
                <w:rFonts w:ascii="宋体" w:hAnsi="宋体"/>
                <w:color w:val="auto"/>
                <w:szCs w:val="21"/>
              </w:rPr>
              <w:t>投标人名称</w:t>
            </w:r>
          </w:p>
        </w:tc>
        <w:tc>
          <w:tcPr>
            <w:tcW w:w="6840" w:type="dxa"/>
            <w:gridSpan w:val="9"/>
            <w:tcBorders>
              <w:top w:val="single" w:color="auto" w:sz="4" w:space="0"/>
              <w:left w:val="single" w:color="auto" w:sz="4" w:space="0"/>
              <w:bottom w:val="single" w:color="auto" w:sz="4" w:space="0"/>
              <w:right w:val="single" w:color="auto" w:sz="4" w:space="0"/>
            </w:tcBorders>
            <w:vAlign w:val="center"/>
          </w:tcPr>
          <w:p w14:paraId="46F8510A">
            <w:pPr>
              <w:topLinePunct/>
              <w:spacing w:line="440" w:lineRule="exact"/>
              <w:jc w:val="center"/>
              <w:rPr>
                <w:rFonts w:ascii="宋体" w:hAnsi="宋体"/>
                <w:color w:val="auto"/>
                <w:szCs w:val="21"/>
              </w:rPr>
            </w:pPr>
          </w:p>
        </w:tc>
      </w:tr>
      <w:tr w14:paraId="7A9D4D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11781272">
            <w:pPr>
              <w:topLinePunct/>
              <w:spacing w:line="440" w:lineRule="exact"/>
              <w:jc w:val="center"/>
              <w:rPr>
                <w:rFonts w:ascii="宋体" w:hAnsi="宋体"/>
                <w:color w:val="auto"/>
                <w:szCs w:val="21"/>
              </w:rPr>
            </w:pPr>
            <w:r>
              <w:rPr>
                <w:rFonts w:ascii="宋体" w:hAnsi="宋体"/>
                <w:color w:val="auto"/>
                <w:szCs w:val="21"/>
              </w:rPr>
              <w:t>注册地址</w:t>
            </w:r>
          </w:p>
        </w:tc>
        <w:tc>
          <w:tcPr>
            <w:tcW w:w="3420" w:type="dxa"/>
            <w:gridSpan w:val="5"/>
            <w:tcBorders>
              <w:top w:val="single" w:color="auto" w:sz="4" w:space="0"/>
              <w:left w:val="single" w:color="auto" w:sz="4" w:space="0"/>
              <w:bottom w:val="single" w:color="auto" w:sz="4" w:space="0"/>
              <w:right w:val="single" w:color="auto" w:sz="4" w:space="0"/>
            </w:tcBorders>
            <w:vAlign w:val="center"/>
          </w:tcPr>
          <w:p w14:paraId="595D455D">
            <w:pPr>
              <w:topLinePunct/>
              <w:spacing w:line="440" w:lineRule="exact"/>
              <w:jc w:val="center"/>
              <w:rPr>
                <w:rFonts w:ascii="宋体" w:hAnsi="宋体"/>
                <w:color w:val="auto"/>
                <w:szCs w:val="21"/>
              </w:rPr>
            </w:pPr>
          </w:p>
        </w:tc>
        <w:tc>
          <w:tcPr>
            <w:tcW w:w="1078" w:type="dxa"/>
            <w:tcBorders>
              <w:top w:val="single" w:color="auto" w:sz="4" w:space="0"/>
              <w:left w:val="single" w:color="auto" w:sz="4" w:space="0"/>
              <w:bottom w:val="single" w:color="auto" w:sz="4" w:space="0"/>
              <w:right w:val="single" w:color="auto" w:sz="4" w:space="0"/>
            </w:tcBorders>
            <w:vAlign w:val="center"/>
          </w:tcPr>
          <w:p w14:paraId="089065D2">
            <w:pPr>
              <w:topLinePunct/>
              <w:spacing w:line="440" w:lineRule="exact"/>
              <w:jc w:val="center"/>
              <w:rPr>
                <w:rFonts w:ascii="宋体" w:hAnsi="宋体"/>
                <w:color w:val="auto"/>
                <w:szCs w:val="21"/>
              </w:rPr>
            </w:pPr>
            <w:r>
              <w:rPr>
                <w:rFonts w:ascii="宋体" w:hAnsi="宋体"/>
                <w:color w:val="auto"/>
                <w:szCs w:val="21"/>
              </w:rPr>
              <w:t>邮政编码</w:t>
            </w:r>
          </w:p>
        </w:tc>
        <w:tc>
          <w:tcPr>
            <w:tcW w:w="2342" w:type="dxa"/>
            <w:gridSpan w:val="3"/>
            <w:tcBorders>
              <w:top w:val="single" w:color="auto" w:sz="4" w:space="0"/>
              <w:left w:val="single" w:color="auto" w:sz="4" w:space="0"/>
              <w:bottom w:val="single" w:color="auto" w:sz="4" w:space="0"/>
              <w:right w:val="single" w:color="auto" w:sz="4" w:space="0"/>
            </w:tcBorders>
            <w:vAlign w:val="center"/>
          </w:tcPr>
          <w:p w14:paraId="39441FE3">
            <w:pPr>
              <w:topLinePunct/>
              <w:spacing w:line="440" w:lineRule="exact"/>
              <w:jc w:val="center"/>
              <w:rPr>
                <w:rFonts w:ascii="宋体" w:hAnsi="宋体"/>
                <w:color w:val="auto"/>
                <w:szCs w:val="21"/>
              </w:rPr>
            </w:pPr>
          </w:p>
        </w:tc>
      </w:tr>
      <w:tr w14:paraId="0A2C6D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jc w:val="center"/>
        </w:trPr>
        <w:tc>
          <w:tcPr>
            <w:tcW w:w="1728" w:type="dxa"/>
            <w:vMerge w:val="restart"/>
            <w:tcBorders>
              <w:top w:val="single" w:color="auto" w:sz="4" w:space="0"/>
              <w:left w:val="single" w:color="auto" w:sz="4" w:space="0"/>
              <w:bottom w:val="single" w:color="auto" w:sz="4" w:space="0"/>
              <w:right w:val="single" w:color="auto" w:sz="4" w:space="0"/>
            </w:tcBorders>
            <w:vAlign w:val="center"/>
          </w:tcPr>
          <w:p w14:paraId="7F341DF4">
            <w:pPr>
              <w:topLinePunct/>
              <w:spacing w:line="440" w:lineRule="exact"/>
              <w:jc w:val="center"/>
              <w:rPr>
                <w:rFonts w:ascii="宋体" w:hAnsi="宋体"/>
                <w:color w:val="auto"/>
                <w:szCs w:val="21"/>
              </w:rPr>
            </w:pPr>
            <w:r>
              <w:rPr>
                <w:rFonts w:ascii="宋体" w:hAnsi="宋体"/>
                <w:color w:val="auto"/>
                <w:szCs w:val="21"/>
              </w:rPr>
              <w:t>联系方式</w:t>
            </w:r>
          </w:p>
        </w:tc>
        <w:tc>
          <w:tcPr>
            <w:tcW w:w="898" w:type="dxa"/>
            <w:tcBorders>
              <w:top w:val="single" w:color="auto" w:sz="4" w:space="0"/>
              <w:left w:val="single" w:color="auto" w:sz="4" w:space="0"/>
              <w:bottom w:val="single" w:color="auto" w:sz="4" w:space="0"/>
              <w:right w:val="single" w:color="auto" w:sz="4" w:space="0"/>
            </w:tcBorders>
            <w:vAlign w:val="center"/>
          </w:tcPr>
          <w:p w14:paraId="51167F1E">
            <w:pPr>
              <w:topLinePunct/>
              <w:spacing w:line="440" w:lineRule="exact"/>
              <w:jc w:val="center"/>
              <w:rPr>
                <w:rFonts w:ascii="宋体" w:hAnsi="宋体"/>
                <w:color w:val="auto"/>
                <w:szCs w:val="21"/>
              </w:rPr>
            </w:pPr>
            <w:r>
              <w:rPr>
                <w:rFonts w:ascii="宋体" w:hAnsi="宋体"/>
                <w:color w:val="auto"/>
                <w:szCs w:val="21"/>
              </w:rPr>
              <w:t>联系人</w:t>
            </w:r>
          </w:p>
        </w:tc>
        <w:tc>
          <w:tcPr>
            <w:tcW w:w="2522" w:type="dxa"/>
            <w:gridSpan w:val="4"/>
            <w:tcBorders>
              <w:top w:val="single" w:color="auto" w:sz="4" w:space="0"/>
              <w:left w:val="single" w:color="auto" w:sz="4" w:space="0"/>
              <w:bottom w:val="single" w:color="auto" w:sz="4" w:space="0"/>
              <w:right w:val="single" w:color="auto" w:sz="4" w:space="0"/>
            </w:tcBorders>
            <w:vAlign w:val="center"/>
          </w:tcPr>
          <w:p w14:paraId="15CD13EF">
            <w:pPr>
              <w:topLinePunct/>
              <w:spacing w:line="440" w:lineRule="exact"/>
              <w:jc w:val="center"/>
              <w:rPr>
                <w:rFonts w:ascii="宋体" w:hAnsi="宋体"/>
                <w:color w:val="auto"/>
                <w:szCs w:val="21"/>
              </w:rPr>
            </w:pPr>
          </w:p>
        </w:tc>
        <w:tc>
          <w:tcPr>
            <w:tcW w:w="1078" w:type="dxa"/>
            <w:tcBorders>
              <w:top w:val="single" w:color="auto" w:sz="4" w:space="0"/>
              <w:left w:val="single" w:color="auto" w:sz="4" w:space="0"/>
              <w:bottom w:val="single" w:color="auto" w:sz="4" w:space="0"/>
              <w:right w:val="single" w:color="auto" w:sz="4" w:space="0"/>
            </w:tcBorders>
            <w:vAlign w:val="center"/>
          </w:tcPr>
          <w:p w14:paraId="55552B08">
            <w:pPr>
              <w:topLinePunct/>
              <w:spacing w:line="440" w:lineRule="exact"/>
              <w:jc w:val="center"/>
              <w:rPr>
                <w:rFonts w:ascii="宋体" w:hAnsi="宋体"/>
                <w:color w:val="auto"/>
                <w:szCs w:val="21"/>
              </w:rPr>
            </w:pPr>
            <w:r>
              <w:rPr>
                <w:rFonts w:ascii="宋体" w:hAnsi="宋体"/>
                <w:color w:val="auto"/>
                <w:szCs w:val="21"/>
              </w:rPr>
              <w:t>电 话</w:t>
            </w:r>
          </w:p>
        </w:tc>
        <w:tc>
          <w:tcPr>
            <w:tcW w:w="2342" w:type="dxa"/>
            <w:gridSpan w:val="3"/>
            <w:tcBorders>
              <w:top w:val="single" w:color="auto" w:sz="4" w:space="0"/>
              <w:left w:val="single" w:color="auto" w:sz="4" w:space="0"/>
              <w:bottom w:val="single" w:color="auto" w:sz="4" w:space="0"/>
              <w:right w:val="single" w:color="auto" w:sz="4" w:space="0"/>
            </w:tcBorders>
            <w:vAlign w:val="center"/>
          </w:tcPr>
          <w:p w14:paraId="5B461B44">
            <w:pPr>
              <w:topLinePunct/>
              <w:spacing w:line="440" w:lineRule="exact"/>
              <w:jc w:val="center"/>
              <w:rPr>
                <w:rFonts w:ascii="宋体" w:hAnsi="宋体"/>
                <w:color w:val="auto"/>
                <w:szCs w:val="21"/>
              </w:rPr>
            </w:pPr>
          </w:p>
        </w:tc>
      </w:tr>
      <w:tr w14:paraId="031869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3" w:hRule="atLeast"/>
          <w:jc w:val="center"/>
        </w:trPr>
        <w:tc>
          <w:tcPr>
            <w:tcW w:w="1728" w:type="dxa"/>
            <w:vMerge w:val="continue"/>
            <w:tcBorders>
              <w:top w:val="single" w:color="auto" w:sz="4" w:space="0"/>
              <w:left w:val="single" w:color="auto" w:sz="4" w:space="0"/>
              <w:bottom w:val="single" w:color="auto" w:sz="4" w:space="0"/>
              <w:right w:val="single" w:color="auto" w:sz="4" w:space="0"/>
            </w:tcBorders>
            <w:vAlign w:val="center"/>
          </w:tcPr>
          <w:p w14:paraId="483D56AD">
            <w:pPr>
              <w:topLinePunct/>
              <w:spacing w:line="440" w:lineRule="exact"/>
              <w:jc w:val="center"/>
              <w:rPr>
                <w:rFonts w:ascii="宋体" w:hAnsi="宋体"/>
                <w:color w:val="auto"/>
                <w:szCs w:val="21"/>
              </w:rPr>
            </w:pPr>
          </w:p>
        </w:tc>
        <w:tc>
          <w:tcPr>
            <w:tcW w:w="898" w:type="dxa"/>
            <w:tcBorders>
              <w:top w:val="single" w:color="auto" w:sz="4" w:space="0"/>
              <w:left w:val="single" w:color="auto" w:sz="4" w:space="0"/>
              <w:bottom w:val="single" w:color="auto" w:sz="4" w:space="0"/>
              <w:right w:val="single" w:color="auto" w:sz="4" w:space="0"/>
            </w:tcBorders>
            <w:vAlign w:val="center"/>
          </w:tcPr>
          <w:p w14:paraId="15D7A690">
            <w:pPr>
              <w:topLinePunct/>
              <w:spacing w:line="440" w:lineRule="exact"/>
              <w:jc w:val="center"/>
              <w:rPr>
                <w:rFonts w:ascii="宋体" w:hAnsi="宋体"/>
                <w:color w:val="auto"/>
                <w:szCs w:val="21"/>
              </w:rPr>
            </w:pPr>
            <w:r>
              <w:rPr>
                <w:rFonts w:ascii="宋体" w:hAnsi="宋体"/>
                <w:color w:val="auto"/>
                <w:szCs w:val="21"/>
              </w:rPr>
              <w:t>传  真</w:t>
            </w:r>
          </w:p>
        </w:tc>
        <w:tc>
          <w:tcPr>
            <w:tcW w:w="2522" w:type="dxa"/>
            <w:gridSpan w:val="4"/>
            <w:tcBorders>
              <w:top w:val="single" w:color="auto" w:sz="4" w:space="0"/>
              <w:left w:val="single" w:color="auto" w:sz="4" w:space="0"/>
              <w:bottom w:val="single" w:color="auto" w:sz="4" w:space="0"/>
              <w:right w:val="single" w:color="auto" w:sz="4" w:space="0"/>
            </w:tcBorders>
            <w:vAlign w:val="center"/>
          </w:tcPr>
          <w:p w14:paraId="3A616E2B">
            <w:pPr>
              <w:topLinePunct/>
              <w:spacing w:line="440" w:lineRule="exact"/>
              <w:jc w:val="center"/>
              <w:rPr>
                <w:rFonts w:ascii="宋体" w:hAnsi="宋体"/>
                <w:color w:val="auto"/>
                <w:szCs w:val="21"/>
              </w:rPr>
            </w:pPr>
          </w:p>
        </w:tc>
        <w:tc>
          <w:tcPr>
            <w:tcW w:w="1078" w:type="dxa"/>
            <w:tcBorders>
              <w:top w:val="single" w:color="auto" w:sz="4" w:space="0"/>
              <w:left w:val="single" w:color="auto" w:sz="4" w:space="0"/>
              <w:bottom w:val="single" w:color="auto" w:sz="4" w:space="0"/>
              <w:right w:val="single" w:color="auto" w:sz="4" w:space="0"/>
            </w:tcBorders>
            <w:vAlign w:val="center"/>
          </w:tcPr>
          <w:p w14:paraId="1A1A4060">
            <w:pPr>
              <w:topLinePunct/>
              <w:spacing w:line="440" w:lineRule="exact"/>
              <w:jc w:val="center"/>
              <w:rPr>
                <w:rFonts w:ascii="宋体" w:hAnsi="宋体"/>
                <w:color w:val="auto"/>
                <w:szCs w:val="21"/>
              </w:rPr>
            </w:pPr>
            <w:r>
              <w:rPr>
                <w:rFonts w:ascii="宋体" w:hAnsi="宋体"/>
                <w:color w:val="auto"/>
                <w:szCs w:val="21"/>
              </w:rPr>
              <w:t>网 址</w:t>
            </w:r>
          </w:p>
        </w:tc>
        <w:tc>
          <w:tcPr>
            <w:tcW w:w="2342" w:type="dxa"/>
            <w:gridSpan w:val="3"/>
            <w:tcBorders>
              <w:top w:val="single" w:color="auto" w:sz="4" w:space="0"/>
              <w:left w:val="single" w:color="auto" w:sz="4" w:space="0"/>
              <w:bottom w:val="single" w:color="auto" w:sz="4" w:space="0"/>
              <w:right w:val="single" w:color="auto" w:sz="4" w:space="0"/>
            </w:tcBorders>
            <w:vAlign w:val="center"/>
          </w:tcPr>
          <w:p w14:paraId="2FCBEE78">
            <w:pPr>
              <w:topLinePunct/>
              <w:spacing w:line="440" w:lineRule="exact"/>
              <w:jc w:val="center"/>
              <w:rPr>
                <w:rFonts w:ascii="宋体" w:hAnsi="宋体"/>
                <w:color w:val="auto"/>
                <w:szCs w:val="21"/>
              </w:rPr>
            </w:pPr>
          </w:p>
        </w:tc>
      </w:tr>
      <w:tr w14:paraId="4A5F7B6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432A8D8F">
            <w:pPr>
              <w:topLinePunct/>
              <w:spacing w:line="440" w:lineRule="exact"/>
              <w:jc w:val="center"/>
              <w:rPr>
                <w:rFonts w:ascii="宋体" w:hAnsi="宋体"/>
                <w:color w:val="auto"/>
                <w:szCs w:val="21"/>
              </w:rPr>
            </w:pPr>
            <w:r>
              <w:rPr>
                <w:rFonts w:hint="eastAsia" w:ascii="宋体" w:hAnsi="宋体"/>
                <w:color w:val="auto"/>
                <w:szCs w:val="21"/>
              </w:rPr>
              <w:t>类型</w:t>
            </w:r>
          </w:p>
        </w:tc>
        <w:tc>
          <w:tcPr>
            <w:tcW w:w="6840" w:type="dxa"/>
            <w:gridSpan w:val="9"/>
            <w:tcBorders>
              <w:top w:val="single" w:color="auto" w:sz="4" w:space="0"/>
              <w:left w:val="single" w:color="auto" w:sz="4" w:space="0"/>
              <w:bottom w:val="single" w:color="auto" w:sz="4" w:space="0"/>
              <w:right w:val="single" w:color="auto" w:sz="4" w:space="0"/>
            </w:tcBorders>
            <w:vAlign w:val="center"/>
          </w:tcPr>
          <w:p w14:paraId="529B9C9A">
            <w:pPr>
              <w:topLinePunct/>
              <w:spacing w:line="440" w:lineRule="exact"/>
              <w:jc w:val="center"/>
              <w:rPr>
                <w:rFonts w:ascii="宋体" w:hAnsi="宋体"/>
                <w:color w:val="auto"/>
                <w:szCs w:val="21"/>
              </w:rPr>
            </w:pPr>
          </w:p>
        </w:tc>
      </w:tr>
      <w:tr w14:paraId="25857E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8"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2BBE4263">
            <w:pPr>
              <w:topLinePunct/>
              <w:spacing w:line="440" w:lineRule="exact"/>
              <w:jc w:val="center"/>
              <w:rPr>
                <w:rFonts w:ascii="宋体" w:hAnsi="宋体"/>
                <w:color w:val="auto"/>
                <w:szCs w:val="21"/>
              </w:rPr>
            </w:pPr>
            <w:r>
              <w:rPr>
                <w:rFonts w:ascii="宋体" w:hAnsi="宋体"/>
                <w:color w:val="auto"/>
                <w:szCs w:val="21"/>
              </w:rPr>
              <w:t>法定代表人</w:t>
            </w:r>
          </w:p>
        </w:tc>
        <w:tc>
          <w:tcPr>
            <w:tcW w:w="898" w:type="dxa"/>
            <w:tcBorders>
              <w:top w:val="single" w:color="auto" w:sz="4" w:space="0"/>
              <w:left w:val="single" w:color="auto" w:sz="4" w:space="0"/>
              <w:bottom w:val="single" w:color="auto" w:sz="4" w:space="0"/>
              <w:right w:val="single" w:color="auto" w:sz="4" w:space="0"/>
            </w:tcBorders>
            <w:vAlign w:val="center"/>
          </w:tcPr>
          <w:p w14:paraId="206CD983">
            <w:pPr>
              <w:topLinePunct/>
              <w:spacing w:line="440" w:lineRule="exact"/>
              <w:jc w:val="center"/>
              <w:rPr>
                <w:rFonts w:ascii="宋体" w:hAnsi="宋体"/>
                <w:color w:val="auto"/>
                <w:szCs w:val="21"/>
              </w:rPr>
            </w:pPr>
            <w:r>
              <w:rPr>
                <w:rFonts w:ascii="宋体" w:hAnsi="宋体"/>
                <w:color w:val="auto"/>
                <w:szCs w:val="21"/>
              </w:rPr>
              <w:t>姓名</w:t>
            </w:r>
          </w:p>
        </w:tc>
        <w:tc>
          <w:tcPr>
            <w:tcW w:w="951" w:type="dxa"/>
            <w:tcBorders>
              <w:top w:val="single" w:color="auto" w:sz="4" w:space="0"/>
              <w:left w:val="single" w:color="auto" w:sz="4" w:space="0"/>
              <w:bottom w:val="single" w:color="auto" w:sz="4" w:space="0"/>
              <w:right w:val="single" w:color="auto" w:sz="4" w:space="0"/>
            </w:tcBorders>
            <w:vAlign w:val="center"/>
          </w:tcPr>
          <w:p w14:paraId="481154DC">
            <w:pPr>
              <w:topLinePunct/>
              <w:spacing w:line="440" w:lineRule="exact"/>
              <w:jc w:val="center"/>
              <w:rPr>
                <w:rFonts w:ascii="宋体" w:hAnsi="宋体"/>
                <w:color w:val="auto"/>
                <w:szCs w:val="21"/>
              </w:rPr>
            </w:pPr>
          </w:p>
        </w:tc>
        <w:tc>
          <w:tcPr>
            <w:tcW w:w="1260" w:type="dxa"/>
            <w:gridSpan w:val="2"/>
            <w:tcBorders>
              <w:top w:val="single" w:color="auto" w:sz="4" w:space="0"/>
              <w:left w:val="single" w:color="auto" w:sz="4" w:space="0"/>
              <w:bottom w:val="single" w:color="auto" w:sz="4" w:space="0"/>
              <w:right w:val="single" w:color="auto" w:sz="4" w:space="0"/>
            </w:tcBorders>
            <w:vAlign w:val="center"/>
          </w:tcPr>
          <w:p w14:paraId="47018478">
            <w:pPr>
              <w:topLinePunct/>
              <w:spacing w:line="440" w:lineRule="exact"/>
              <w:jc w:val="center"/>
              <w:rPr>
                <w:rFonts w:ascii="宋体" w:hAnsi="宋体"/>
                <w:color w:val="auto"/>
                <w:szCs w:val="21"/>
              </w:rPr>
            </w:pPr>
            <w:r>
              <w:rPr>
                <w:rFonts w:ascii="宋体" w:hAnsi="宋体"/>
                <w:color w:val="auto"/>
                <w:szCs w:val="21"/>
              </w:rPr>
              <w:t>技术职称</w:t>
            </w:r>
          </w:p>
        </w:tc>
        <w:tc>
          <w:tcPr>
            <w:tcW w:w="1879" w:type="dxa"/>
            <w:gridSpan w:val="3"/>
            <w:tcBorders>
              <w:top w:val="single" w:color="auto" w:sz="4" w:space="0"/>
              <w:left w:val="single" w:color="auto" w:sz="4" w:space="0"/>
              <w:bottom w:val="single" w:color="auto" w:sz="4" w:space="0"/>
              <w:right w:val="single" w:color="auto" w:sz="4" w:space="0"/>
            </w:tcBorders>
            <w:vAlign w:val="center"/>
          </w:tcPr>
          <w:p w14:paraId="58AFCAA8">
            <w:pPr>
              <w:topLinePunct/>
              <w:spacing w:line="440" w:lineRule="exact"/>
              <w:jc w:val="center"/>
              <w:rPr>
                <w:rFonts w:ascii="宋体" w:hAnsi="宋体"/>
                <w:color w:val="auto"/>
                <w:szCs w:val="21"/>
              </w:rPr>
            </w:pPr>
          </w:p>
        </w:tc>
        <w:tc>
          <w:tcPr>
            <w:tcW w:w="860" w:type="dxa"/>
            <w:tcBorders>
              <w:top w:val="single" w:color="auto" w:sz="4" w:space="0"/>
              <w:left w:val="single" w:color="auto" w:sz="4" w:space="0"/>
              <w:bottom w:val="single" w:color="auto" w:sz="4" w:space="0"/>
              <w:right w:val="single" w:color="auto" w:sz="4" w:space="0"/>
            </w:tcBorders>
            <w:vAlign w:val="center"/>
          </w:tcPr>
          <w:p w14:paraId="051648E8">
            <w:pPr>
              <w:topLinePunct/>
              <w:spacing w:line="440" w:lineRule="exact"/>
              <w:jc w:val="center"/>
              <w:rPr>
                <w:rFonts w:ascii="宋体" w:hAnsi="宋体"/>
                <w:color w:val="auto"/>
                <w:szCs w:val="21"/>
              </w:rPr>
            </w:pPr>
            <w:r>
              <w:rPr>
                <w:rFonts w:ascii="宋体" w:hAnsi="宋体"/>
                <w:color w:val="auto"/>
                <w:szCs w:val="21"/>
              </w:rPr>
              <w:t>电话</w:t>
            </w:r>
          </w:p>
        </w:tc>
        <w:tc>
          <w:tcPr>
            <w:tcW w:w="992" w:type="dxa"/>
            <w:tcBorders>
              <w:top w:val="single" w:color="auto" w:sz="4" w:space="0"/>
              <w:left w:val="single" w:color="auto" w:sz="4" w:space="0"/>
              <w:bottom w:val="single" w:color="auto" w:sz="4" w:space="0"/>
              <w:right w:val="single" w:color="auto" w:sz="4" w:space="0"/>
            </w:tcBorders>
            <w:vAlign w:val="center"/>
          </w:tcPr>
          <w:p w14:paraId="1AFE7EEC">
            <w:pPr>
              <w:topLinePunct/>
              <w:spacing w:line="440" w:lineRule="exact"/>
              <w:jc w:val="center"/>
              <w:rPr>
                <w:rFonts w:ascii="宋体" w:hAnsi="宋体"/>
                <w:color w:val="auto"/>
                <w:szCs w:val="21"/>
              </w:rPr>
            </w:pPr>
          </w:p>
        </w:tc>
      </w:tr>
      <w:tr w14:paraId="638E67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2"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61B3855F">
            <w:pPr>
              <w:topLinePunct/>
              <w:spacing w:line="440" w:lineRule="exact"/>
              <w:jc w:val="center"/>
              <w:rPr>
                <w:rFonts w:ascii="宋体" w:hAnsi="宋体"/>
                <w:color w:val="auto"/>
                <w:szCs w:val="21"/>
              </w:rPr>
            </w:pPr>
            <w:r>
              <w:rPr>
                <w:rFonts w:ascii="宋体" w:hAnsi="宋体"/>
                <w:color w:val="auto"/>
                <w:szCs w:val="21"/>
              </w:rPr>
              <w:t>技术负责人</w:t>
            </w:r>
          </w:p>
        </w:tc>
        <w:tc>
          <w:tcPr>
            <w:tcW w:w="898" w:type="dxa"/>
            <w:tcBorders>
              <w:top w:val="single" w:color="auto" w:sz="4" w:space="0"/>
              <w:left w:val="single" w:color="auto" w:sz="4" w:space="0"/>
              <w:bottom w:val="single" w:color="auto" w:sz="4" w:space="0"/>
              <w:right w:val="single" w:color="auto" w:sz="4" w:space="0"/>
            </w:tcBorders>
            <w:vAlign w:val="center"/>
          </w:tcPr>
          <w:p w14:paraId="3AE8AC5E">
            <w:pPr>
              <w:topLinePunct/>
              <w:spacing w:line="440" w:lineRule="exact"/>
              <w:jc w:val="center"/>
              <w:rPr>
                <w:rFonts w:ascii="宋体" w:hAnsi="宋体"/>
                <w:color w:val="auto"/>
                <w:szCs w:val="21"/>
              </w:rPr>
            </w:pPr>
            <w:r>
              <w:rPr>
                <w:rFonts w:ascii="宋体" w:hAnsi="宋体"/>
                <w:color w:val="auto"/>
                <w:szCs w:val="21"/>
              </w:rPr>
              <w:t>姓名</w:t>
            </w:r>
          </w:p>
        </w:tc>
        <w:tc>
          <w:tcPr>
            <w:tcW w:w="951" w:type="dxa"/>
            <w:tcBorders>
              <w:top w:val="single" w:color="auto" w:sz="4" w:space="0"/>
              <w:left w:val="single" w:color="auto" w:sz="4" w:space="0"/>
              <w:bottom w:val="single" w:color="auto" w:sz="4" w:space="0"/>
              <w:right w:val="single" w:color="auto" w:sz="4" w:space="0"/>
            </w:tcBorders>
            <w:vAlign w:val="center"/>
          </w:tcPr>
          <w:p w14:paraId="126319BD">
            <w:pPr>
              <w:topLinePunct/>
              <w:spacing w:line="440" w:lineRule="exact"/>
              <w:jc w:val="center"/>
              <w:rPr>
                <w:rFonts w:ascii="宋体" w:hAnsi="宋体"/>
                <w:color w:val="auto"/>
                <w:szCs w:val="21"/>
              </w:rPr>
            </w:pPr>
          </w:p>
        </w:tc>
        <w:tc>
          <w:tcPr>
            <w:tcW w:w="1260" w:type="dxa"/>
            <w:gridSpan w:val="2"/>
            <w:tcBorders>
              <w:top w:val="single" w:color="auto" w:sz="4" w:space="0"/>
              <w:left w:val="single" w:color="auto" w:sz="4" w:space="0"/>
              <w:bottom w:val="single" w:color="auto" w:sz="4" w:space="0"/>
              <w:right w:val="single" w:color="auto" w:sz="4" w:space="0"/>
            </w:tcBorders>
            <w:vAlign w:val="center"/>
          </w:tcPr>
          <w:p w14:paraId="771796B8">
            <w:pPr>
              <w:topLinePunct/>
              <w:spacing w:line="440" w:lineRule="exact"/>
              <w:jc w:val="center"/>
              <w:rPr>
                <w:rFonts w:ascii="宋体" w:hAnsi="宋体"/>
                <w:color w:val="auto"/>
                <w:szCs w:val="21"/>
              </w:rPr>
            </w:pPr>
            <w:r>
              <w:rPr>
                <w:rFonts w:ascii="宋体" w:hAnsi="宋体"/>
                <w:color w:val="auto"/>
                <w:szCs w:val="21"/>
              </w:rPr>
              <w:t>技术职称</w:t>
            </w:r>
          </w:p>
        </w:tc>
        <w:tc>
          <w:tcPr>
            <w:tcW w:w="1879" w:type="dxa"/>
            <w:gridSpan w:val="3"/>
            <w:tcBorders>
              <w:top w:val="single" w:color="auto" w:sz="4" w:space="0"/>
              <w:left w:val="single" w:color="auto" w:sz="4" w:space="0"/>
              <w:bottom w:val="single" w:color="auto" w:sz="4" w:space="0"/>
              <w:right w:val="single" w:color="auto" w:sz="4" w:space="0"/>
            </w:tcBorders>
            <w:vAlign w:val="center"/>
          </w:tcPr>
          <w:p w14:paraId="41FAB372">
            <w:pPr>
              <w:topLinePunct/>
              <w:spacing w:line="440" w:lineRule="exact"/>
              <w:jc w:val="center"/>
              <w:rPr>
                <w:rFonts w:ascii="宋体" w:hAnsi="宋体"/>
                <w:color w:val="auto"/>
                <w:szCs w:val="21"/>
              </w:rPr>
            </w:pPr>
          </w:p>
        </w:tc>
        <w:tc>
          <w:tcPr>
            <w:tcW w:w="860" w:type="dxa"/>
            <w:tcBorders>
              <w:top w:val="single" w:color="auto" w:sz="4" w:space="0"/>
              <w:left w:val="single" w:color="auto" w:sz="4" w:space="0"/>
              <w:bottom w:val="single" w:color="auto" w:sz="4" w:space="0"/>
              <w:right w:val="single" w:color="auto" w:sz="4" w:space="0"/>
            </w:tcBorders>
            <w:vAlign w:val="center"/>
          </w:tcPr>
          <w:p w14:paraId="3FEC8B64">
            <w:pPr>
              <w:topLinePunct/>
              <w:spacing w:line="440" w:lineRule="exact"/>
              <w:jc w:val="center"/>
              <w:rPr>
                <w:rFonts w:ascii="宋体" w:hAnsi="宋体"/>
                <w:color w:val="auto"/>
                <w:szCs w:val="21"/>
              </w:rPr>
            </w:pPr>
            <w:r>
              <w:rPr>
                <w:rFonts w:ascii="宋体" w:hAnsi="宋体"/>
                <w:color w:val="auto"/>
                <w:szCs w:val="21"/>
              </w:rPr>
              <w:t>电话</w:t>
            </w:r>
          </w:p>
        </w:tc>
        <w:tc>
          <w:tcPr>
            <w:tcW w:w="992" w:type="dxa"/>
            <w:tcBorders>
              <w:top w:val="single" w:color="auto" w:sz="4" w:space="0"/>
              <w:left w:val="single" w:color="auto" w:sz="4" w:space="0"/>
              <w:bottom w:val="single" w:color="auto" w:sz="4" w:space="0"/>
              <w:right w:val="single" w:color="auto" w:sz="4" w:space="0"/>
            </w:tcBorders>
            <w:vAlign w:val="center"/>
          </w:tcPr>
          <w:p w14:paraId="71BC879B">
            <w:pPr>
              <w:topLinePunct/>
              <w:spacing w:line="440" w:lineRule="exact"/>
              <w:jc w:val="center"/>
              <w:rPr>
                <w:rFonts w:ascii="宋体" w:hAnsi="宋体"/>
                <w:color w:val="auto"/>
                <w:szCs w:val="21"/>
              </w:rPr>
            </w:pPr>
          </w:p>
        </w:tc>
      </w:tr>
      <w:tr w14:paraId="79055E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3082B837">
            <w:pPr>
              <w:topLinePunct/>
              <w:spacing w:line="440" w:lineRule="exact"/>
              <w:jc w:val="center"/>
              <w:rPr>
                <w:rFonts w:ascii="宋体" w:hAnsi="宋体"/>
                <w:color w:val="auto"/>
                <w:szCs w:val="21"/>
              </w:rPr>
            </w:pPr>
            <w:r>
              <w:rPr>
                <w:rFonts w:ascii="宋体" w:hAnsi="宋体"/>
                <w:color w:val="auto"/>
                <w:szCs w:val="21"/>
              </w:rPr>
              <w:t>成立时间</w:t>
            </w:r>
          </w:p>
        </w:tc>
        <w:tc>
          <w:tcPr>
            <w:tcW w:w="1849" w:type="dxa"/>
            <w:gridSpan w:val="2"/>
            <w:tcBorders>
              <w:top w:val="single" w:color="auto" w:sz="4" w:space="0"/>
              <w:left w:val="single" w:color="auto" w:sz="4" w:space="0"/>
              <w:bottom w:val="single" w:color="auto" w:sz="4" w:space="0"/>
              <w:right w:val="single" w:color="auto" w:sz="4" w:space="0"/>
            </w:tcBorders>
            <w:vAlign w:val="center"/>
          </w:tcPr>
          <w:p w14:paraId="32837EF5">
            <w:pPr>
              <w:topLinePunct/>
              <w:spacing w:line="440" w:lineRule="exact"/>
              <w:jc w:val="center"/>
              <w:rPr>
                <w:rFonts w:ascii="宋体" w:hAnsi="宋体"/>
                <w:color w:val="auto"/>
                <w:szCs w:val="21"/>
              </w:rPr>
            </w:pPr>
          </w:p>
        </w:tc>
        <w:tc>
          <w:tcPr>
            <w:tcW w:w="4991" w:type="dxa"/>
            <w:gridSpan w:val="7"/>
            <w:tcBorders>
              <w:top w:val="single" w:color="auto" w:sz="4" w:space="0"/>
              <w:left w:val="single" w:color="auto" w:sz="4" w:space="0"/>
              <w:bottom w:val="single" w:color="auto" w:sz="4" w:space="0"/>
              <w:right w:val="single" w:color="auto" w:sz="4" w:space="0"/>
            </w:tcBorders>
            <w:vAlign w:val="center"/>
          </w:tcPr>
          <w:p w14:paraId="4657BD79">
            <w:pPr>
              <w:topLinePunct/>
              <w:spacing w:line="440" w:lineRule="exact"/>
              <w:ind w:left="105"/>
              <w:jc w:val="center"/>
              <w:rPr>
                <w:rFonts w:ascii="宋体" w:hAnsi="宋体"/>
                <w:color w:val="auto"/>
                <w:szCs w:val="21"/>
              </w:rPr>
            </w:pPr>
            <w:r>
              <w:rPr>
                <w:rFonts w:ascii="宋体" w:hAnsi="宋体"/>
                <w:color w:val="auto"/>
                <w:szCs w:val="21"/>
              </w:rPr>
              <w:t>员工总人数：</w:t>
            </w:r>
          </w:p>
        </w:tc>
      </w:tr>
      <w:tr w14:paraId="73C9F0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58E04395">
            <w:pPr>
              <w:topLinePunct/>
              <w:spacing w:line="440" w:lineRule="exact"/>
              <w:jc w:val="center"/>
              <w:rPr>
                <w:rFonts w:ascii="宋体" w:hAnsi="宋体"/>
                <w:color w:val="auto"/>
                <w:szCs w:val="21"/>
              </w:rPr>
            </w:pPr>
            <w:r>
              <w:rPr>
                <w:rFonts w:ascii="宋体" w:hAnsi="宋体"/>
                <w:color w:val="auto"/>
                <w:szCs w:val="21"/>
              </w:rPr>
              <w:t>企业资质等级</w:t>
            </w:r>
          </w:p>
        </w:tc>
        <w:tc>
          <w:tcPr>
            <w:tcW w:w="1849" w:type="dxa"/>
            <w:gridSpan w:val="2"/>
            <w:tcBorders>
              <w:top w:val="single" w:color="auto" w:sz="4" w:space="0"/>
              <w:left w:val="single" w:color="auto" w:sz="4" w:space="0"/>
              <w:bottom w:val="single" w:color="auto" w:sz="4" w:space="0"/>
              <w:right w:val="single" w:color="auto" w:sz="4" w:space="0"/>
            </w:tcBorders>
            <w:vAlign w:val="center"/>
          </w:tcPr>
          <w:p w14:paraId="0B90D75C">
            <w:pPr>
              <w:topLinePunct/>
              <w:spacing w:line="440" w:lineRule="exact"/>
              <w:jc w:val="center"/>
              <w:rPr>
                <w:rFonts w:ascii="宋体" w:hAnsi="宋体"/>
                <w:color w:val="auto"/>
                <w:szCs w:val="21"/>
              </w:rPr>
            </w:pPr>
          </w:p>
        </w:tc>
        <w:tc>
          <w:tcPr>
            <w:tcW w:w="840" w:type="dxa"/>
            <w:vMerge w:val="restart"/>
            <w:tcBorders>
              <w:top w:val="single" w:color="auto" w:sz="4" w:space="0"/>
              <w:left w:val="single" w:color="auto" w:sz="4" w:space="0"/>
              <w:bottom w:val="single" w:color="auto" w:sz="4" w:space="0"/>
              <w:right w:val="single" w:color="auto" w:sz="4" w:space="0"/>
            </w:tcBorders>
            <w:vAlign w:val="center"/>
          </w:tcPr>
          <w:p w14:paraId="4B97B09E">
            <w:pPr>
              <w:topLinePunct/>
              <w:spacing w:line="440" w:lineRule="exact"/>
              <w:jc w:val="center"/>
              <w:rPr>
                <w:rFonts w:ascii="宋体" w:hAnsi="宋体"/>
                <w:color w:val="auto"/>
                <w:szCs w:val="21"/>
              </w:rPr>
            </w:pPr>
            <w:r>
              <w:rPr>
                <w:rFonts w:ascii="宋体" w:hAnsi="宋体"/>
                <w:color w:val="auto"/>
                <w:szCs w:val="21"/>
              </w:rPr>
              <w:t>其中</w:t>
            </w:r>
          </w:p>
        </w:tc>
        <w:tc>
          <w:tcPr>
            <w:tcW w:w="2299" w:type="dxa"/>
            <w:gridSpan w:val="4"/>
            <w:tcBorders>
              <w:top w:val="single" w:color="auto" w:sz="4" w:space="0"/>
              <w:left w:val="single" w:color="auto" w:sz="4" w:space="0"/>
              <w:bottom w:val="single" w:color="auto" w:sz="4" w:space="0"/>
              <w:right w:val="single" w:color="auto" w:sz="4" w:space="0"/>
            </w:tcBorders>
            <w:vAlign w:val="center"/>
          </w:tcPr>
          <w:p w14:paraId="2FB9C0F2">
            <w:pPr>
              <w:topLinePunct/>
              <w:spacing w:line="440" w:lineRule="exact"/>
              <w:jc w:val="center"/>
              <w:rPr>
                <w:rFonts w:ascii="宋体" w:hAnsi="宋体"/>
                <w:color w:val="auto"/>
                <w:szCs w:val="21"/>
              </w:rPr>
            </w:pPr>
            <w:r>
              <w:rPr>
                <w:rFonts w:ascii="宋体" w:hAnsi="宋体"/>
                <w:color w:val="auto"/>
                <w:szCs w:val="21"/>
              </w:rPr>
              <w:t>项目经理</w:t>
            </w:r>
          </w:p>
        </w:tc>
        <w:tc>
          <w:tcPr>
            <w:tcW w:w="1852" w:type="dxa"/>
            <w:gridSpan w:val="2"/>
            <w:tcBorders>
              <w:top w:val="single" w:color="auto" w:sz="4" w:space="0"/>
              <w:left w:val="single" w:color="auto" w:sz="4" w:space="0"/>
              <w:bottom w:val="single" w:color="auto" w:sz="4" w:space="0"/>
              <w:right w:val="single" w:color="auto" w:sz="4" w:space="0"/>
            </w:tcBorders>
            <w:vAlign w:val="center"/>
          </w:tcPr>
          <w:p w14:paraId="74BFA72C">
            <w:pPr>
              <w:topLinePunct/>
              <w:spacing w:line="440" w:lineRule="exact"/>
              <w:jc w:val="center"/>
              <w:rPr>
                <w:rFonts w:ascii="宋体" w:hAnsi="宋体"/>
                <w:color w:val="auto"/>
                <w:szCs w:val="21"/>
              </w:rPr>
            </w:pPr>
          </w:p>
        </w:tc>
      </w:tr>
      <w:tr w14:paraId="795A20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0"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55E8492C">
            <w:pPr>
              <w:topLinePunct/>
              <w:spacing w:line="440" w:lineRule="exact"/>
              <w:jc w:val="center"/>
              <w:rPr>
                <w:rFonts w:ascii="宋体" w:hAnsi="宋体"/>
                <w:color w:val="auto"/>
                <w:szCs w:val="21"/>
              </w:rPr>
            </w:pPr>
            <w:r>
              <w:rPr>
                <w:rFonts w:ascii="宋体" w:hAnsi="宋体"/>
                <w:color w:val="auto"/>
                <w:szCs w:val="21"/>
              </w:rPr>
              <w:t>营业执照号</w:t>
            </w:r>
          </w:p>
        </w:tc>
        <w:tc>
          <w:tcPr>
            <w:tcW w:w="1849" w:type="dxa"/>
            <w:gridSpan w:val="2"/>
            <w:tcBorders>
              <w:top w:val="single" w:color="auto" w:sz="4" w:space="0"/>
              <w:left w:val="single" w:color="auto" w:sz="4" w:space="0"/>
              <w:bottom w:val="single" w:color="auto" w:sz="4" w:space="0"/>
              <w:right w:val="single" w:color="auto" w:sz="4" w:space="0"/>
            </w:tcBorders>
            <w:vAlign w:val="center"/>
          </w:tcPr>
          <w:p w14:paraId="3B365966">
            <w:pPr>
              <w:topLinePunct/>
              <w:spacing w:line="440" w:lineRule="exact"/>
              <w:jc w:val="center"/>
              <w:rPr>
                <w:rFonts w:ascii="宋体" w:hAnsi="宋体"/>
                <w:color w:val="auto"/>
                <w:szCs w:val="21"/>
              </w:rPr>
            </w:pPr>
          </w:p>
        </w:tc>
        <w:tc>
          <w:tcPr>
            <w:tcW w:w="840" w:type="dxa"/>
            <w:vMerge w:val="continue"/>
            <w:tcBorders>
              <w:top w:val="single" w:color="auto" w:sz="4" w:space="0"/>
              <w:left w:val="single" w:color="auto" w:sz="4" w:space="0"/>
              <w:bottom w:val="single" w:color="auto" w:sz="4" w:space="0"/>
              <w:right w:val="single" w:color="auto" w:sz="4" w:space="0"/>
            </w:tcBorders>
            <w:vAlign w:val="center"/>
          </w:tcPr>
          <w:p w14:paraId="4359EA8C">
            <w:pPr>
              <w:topLinePunct/>
              <w:spacing w:line="440" w:lineRule="exact"/>
              <w:jc w:val="center"/>
              <w:rPr>
                <w:rFonts w:ascii="宋体" w:hAnsi="宋体"/>
                <w:color w:val="auto"/>
                <w:szCs w:val="21"/>
              </w:rPr>
            </w:pPr>
          </w:p>
        </w:tc>
        <w:tc>
          <w:tcPr>
            <w:tcW w:w="2299" w:type="dxa"/>
            <w:gridSpan w:val="4"/>
            <w:tcBorders>
              <w:top w:val="single" w:color="auto" w:sz="4" w:space="0"/>
              <w:left w:val="single" w:color="auto" w:sz="4" w:space="0"/>
              <w:bottom w:val="single" w:color="auto" w:sz="4" w:space="0"/>
              <w:right w:val="single" w:color="auto" w:sz="4" w:space="0"/>
            </w:tcBorders>
            <w:vAlign w:val="center"/>
          </w:tcPr>
          <w:p w14:paraId="2DB615D0">
            <w:pPr>
              <w:topLinePunct/>
              <w:spacing w:line="440" w:lineRule="exact"/>
              <w:jc w:val="center"/>
              <w:rPr>
                <w:rFonts w:ascii="宋体" w:hAnsi="宋体"/>
                <w:color w:val="auto"/>
                <w:szCs w:val="21"/>
              </w:rPr>
            </w:pPr>
            <w:r>
              <w:rPr>
                <w:rFonts w:ascii="宋体" w:hAnsi="宋体"/>
                <w:color w:val="auto"/>
                <w:szCs w:val="21"/>
              </w:rPr>
              <w:t>高级职称人员</w:t>
            </w:r>
          </w:p>
        </w:tc>
        <w:tc>
          <w:tcPr>
            <w:tcW w:w="1852" w:type="dxa"/>
            <w:gridSpan w:val="2"/>
            <w:tcBorders>
              <w:top w:val="single" w:color="auto" w:sz="4" w:space="0"/>
              <w:left w:val="single" w:color="auto" w:sz="4" w:space="0"/>
              <w:bottom w:val="single" w:color="auto" w:sz="4" w:space="0"/>
              <w:right w:val="single" w:color="auto" w:sz="4" w:space="0"/>
            </w:tcBorders>
            <w:vAlign w:val="center"/>
          </w:tcPr>
          <w:p w14:paraId="5BB28F81">
            <w:pPr>
              <w:topLinePunct/>
              <w:spacing w:line="440" w:lineRule="exact"/>
              <w:jc w:val="center"/>
              <w:rPr>
                <w:rFonts w:ascii="宋体" w:hAnsi="宋体"/>
                <w:color w:val="auto"/>
                <w:szCs w:val="21"/>
              </w:rPr>
            </w:pPr>
          </w:p>
        </w:tc>
      </w:tr>
      <w:tr w14:paraId="0AD01B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4"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55B4330D">
            <w:pPr>
              <w:topLinePunct/>
              <w:spacing w:line="440" w:lineRule="exact"/>
              <w:jc w:val="center"/>
              <w:rPr>
                <w:rFonts w:ascii="宋体" w:hAnsi="宋体"/>
                <w:color w:val="auto"/>
                <w:szCs w:val="21"/>
              </w:rPr>
            </w:pPr>
            <w:r>
              <w:rPr>
                <w:rFonts w:ascii="宋体" w:hAnsi="宋体"/>
                <w:color w:val="auto"/>
                <w:szCs w:val="21"/>
              </w:rPr>
              <w:t>注册资金</w:t>
            </w:r>
          </w:p>
        </w:tc>
        <w:tc>
          <w:tcPr>
            <w:tcW w:w="1849" w:type="dxa"/>
            <w:gridSpan w:val="2"/>
            <w:tcBorders>
              <w:top w:val="single" w:color="auto" w:sz="4" w:space="0"/>
              <w:left w:val="single" w:color="auto" w:sz="4" w:space="0"/>
              <w:bottom w:val="single" w:color="auto" w:sz="4" w:space="0"/>
              <w:right w:val="single" w:color="auto" w:sz="4" w:space="0"/>
            </w:tcBorders>
            <w:vAlign w:val="center"/>
          </w:tcPr>
          <w:p w14:paraId="605595A9">
            <w:pPr>
              <w:topLinePunct/>
              <w:spacing w:line="440" w:lineRule="exact"/>
              <w:jc w:val="center"/>
              <w:rPr>
                <w:rFonts w:ascii="宋体" w:hAnsi="宋体"/>
                <w:color w:val="auto"/>
                <w:szCs w:val="21"/>
              </w:rPr>
            </w:pPr>
          </w:p>
        </w:tc>
        <w:tc>
          <w:tcPr>
            <w:tcW w:w="840" w:type="dxa"/>
            <w:vMerge w:val="continue"/>
            <w:tcBorders>
              <w:top w:val="single" w:color="auto" w:sz="4" w:space="0"/>
              <w:left w:val="single" w:color="auto" w:sz="4" w:space="0"/>
              <w:bottom w:val="single" w:color="auto" w:sz="4" w:space="0"/>
              <w:right w:val="single" w:color="auto" w:sz="4" w:space="0"/>
            </w:tcBorders>
            <w:vAlign w:val="center"/>
          </w:tcPr>
          <w:p w14:paraId="0DE8621C">
            <w:pPr>
              <w:topLinePunct/>
              <w:spacing w:line="440" w:lineRule="exact"/>
              <w:jc w:val="center"/>
              <w:rPr>
                <w:rFonts w:ascii="宋体" w:hAnsi="宋体"/>
                <w:color w:val="auto"/>
                <w:szCs w:val="21"/>
              </w:rPr>
            </w:pPr>
          </w:p>
        </w:tc>
        <w:tc>
          <w:tcPr>
            <w:tcW w:w="2299" w:type="dxa"/>
            <w:gridSpan w:val="4"/>
            <w:tcBorders>
              <w:top w:val="single" w:color="auto" w:sz="4" w:space="0"/>
              <w:left w:val="single" w:color="auto" w:sz="4" w:space="0"/>
              <w:bottom w:val="single" w:color="auto" w:sz="4" w:space="0"/>
              <w:right w:val="single" w:color="auto" w:sz="4" w:space="0"/>
            </w:tcBorders>
            <w:vAlign w:val="center"/>
          </w:tcPr>
          <w:p w14:paraId="2018D6A7">
            <w:pPr>
              <w:topLinePunct/>
              <w:spacing w:line="440" w:lineRule="exact"/>
              <w:jc w:val="center"/>
              <w:rPr>
                <w:rFonts w:ascii="宋体" w:hAnsi="宋体"/>
                <w:color w:val="auto"/>
                <w:szCs w:val="21"/>
              </w:rPr>
            </w:pPr>
            <w:r>
              <w:rPr>
                <w:rFonts w:ascii="宋体" w:hAnsi="宋体"/>
                <w:color w:val="auto"/>
                <w:szCs w:val="21"/>
              </w:rPr>
              <w:t>中级职称人员</w:t>
            </w:r>
          </w:p>
        </w:tc>
        <w:tc>
          <w:tcPr>
            <w:tcW w:w="1852" w:type="dxa"/>
            <w:gridSpan w:val="2"/>
            <w:tcBorders>
              <w:top w:val="single" w:color="auto" w:sz="4" w:space="0"/>
              <w:left w:val="single" w:color="auto" w:sz="4" w:space="0"/>
              <w:bottom w:val="single" w:color="auto" w:sz="4" w:space="0"/>
              <w:right w:val="single" w:color="auto" w:sz="4" w:space="0"/>
            </w:tcBorders>
            <w:vAlign w:val="center"/>
          </w:tcPr>
          <w:p w14:paraId="5E13FFA7">
            <w:pPr>
              <w:topLinePunct/>
              <w:spacing w:line="440" w:lineRule="exact"/>
              <w:jc w:val="center"/>
              <w:rPr>
                <w:rFonts w:ascii="宋体" w:hAnsi="宋体"/>
                <w:color w:val="auto"/>
                <w:szCs w:val="21"/>
              </w:rPr>
            </w:pPr>
          </w:p>
        </w:tc>
      </w:tr>
      <w:tr w14:paraId="01D807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54324291">
            <w:pPr>
              <w:topLinePunct/>
              <w:spacing w:line="440" w:lineRule="exact"/>
              <w:jc w:val="center"/>
              <w:rPr>
                <w:rFonts w:ascii="宋体" w:hAnsi="宋体"/>
                <w:color w:val="auto"/>
                <w:szCs w:val="21"/>
              </w:rPr>
            </w:pPr>
            <w:r>
              <w:rPr>
                <w:rFonts w:ascii="宋体" w:hAnsi="宋体"/>
                <w:color w:val="auto"/>
                <w:szCs w:val="21"/>
              </w:rPr>
              <w:t>开户银行</w:t>
            </w:r>
          </w:p>
        </w:tc>
        <w:tc>
          <w:tcPr>
            <w:tcW w:w="1849" w:type="dxa"/>
            <w:gridSpan w:val="2"/>
            <w:tcBorders>
              <w:top w:val="single" w:color="auto" w:sz="4" w:space="0"/>
              <w:left w:val="single" w:color="auto" w:sz="4" w:space="0"/>
              <w:bottom w:val="single" w:color="auto" w:sz="4" w:space="0"/>
              <w:right w:val="single" w:color="auto" w:sz="4" w:space="0"/>
            </w:tcBorders>
            <w:vAlign w:val="center"/>
          </w:tcPr>
          <w:p w14:paraId="20D26885">
            <w:pPr>
              <w:topLinePunct/>
              <w:spacing w:line="440" w:lineRule="exact"/>
              <w:jc w:val="center"/>
              <w:rPr>
                <w:rFonts w:ascii="宋体" w:hAnsi="宋体"/>
                <w:color w:val="auto"/>
                <w:szCs w:val="21"/>
              </w:rPr>
            </w:pPr>
          </w:p>
        </w:tc>
        <w:tc>
          <w:tcPr>
            <w:tcW w:w="840" w:type="dxa"/>
            <w:vMerge w:val="continue"/>
            <w:tcBorders>
              <w:top w:val="single" w:color="auto" w:sz="4" w:space="0"/>
              <w:left w:val="single" w:color="auto" w:sz="4" w:space="0"/>
              <w:bottom w:val="single" w:color="auto" w:sz="4" w:space="0"/>
              <w:right w:val="single" w:color="auto" w:sz="4" w:space="0"/>
            </w:tcBorders>
            <w:vAlign w:val="center"/>
          </w:tcPr>
          <w:p w14:paraId="61FCBD97">
            <w:pPr>
              <w:topLinePunct/>
              <w:spacing w:line="440" w:lineRule="exact"/>
              <w:jc w:val="center"/>
              <w:rPr>
                <w:rFonts w:ascii="宋体" w:hAnsi="宋体"/>
                <w:color w:val="auto"/>
                <w:szCs w:val="21"/>
              </w:rPr>
            </w:pPr>
          </w:p>
        </w:tc>
        <w:tc>
          <w:tcPr>
            <w:tcW w:w="2299" w:type="dxa"/>
            <w:gridSpan w:val="4"/>
            <w:tcBorders>
              <w:top w:val="single" w:color="auto" w:sz="4" w:space="0"/>
              <w:left w:val="single" w:color="auto" w:sz="4" w:space="0"/>
              <w:bottom w:val="single" w:color="auto" w:sz="4" w:space="0"/>
              <w:right w:val="single" w:color="auto" w:sz="4" w:space="0"/>
            </w:tcBorders>
            <w:vAlign w:val="center"/>
          </w:tcPr>
          <w:p w14:paraId="60ABB8A9">
            <w:pPr>
              <w:topLinePunct/>
              <w:spacing w:line="440" w:lineRule="exact"/>
              <w:jc w:val="center"/>
              <w:rPr>
                <w:rFonts w:ascii="宋体" w:hAnsi="宋体"/>
                <w:color w:val="auto"/>
                <w:szCs w:val="21"/>
              </w:rPr>
            </w:pPr>
            <w:r>
              <w:rPr>
                <w:rFonts w:ascii="宋体" w:hAnsi="宋体"/>
                <w:color w:val="auto"/>
                <w:szCs w:val="21"/>
              </w:rPr>
              <w:t>初级职称人员</w:t>
            </w:r>
          </w:p>
        </w:tc>
        <w:tc>
          <w:tcPr>
            <w:tcW w:w="1852" w:type="dxa"/>
            <w:gridSpan w:val="2"/>
            <w:tcBorders>
              <w:top w:val="single" w:color="auto" w:sz="4" w:space="0"/>
              <w:left w:val="single" w:color="auto" w:sz="4" w:space="0"/>
              <w:bottom w:val="single" w:color="auto" w:sz="4" w:space="0"/>
              <w:right w:val="single" w:color="auto" w:sz="4" w:space="0"/>
            </w:tcBorders>
            <w:vAlign w:val="center"/>
          </w:tcPr>
          <w:p w14:paraId="42C32B47">
            <w:pPr>
              <w:topLinePunct/>
              <w:spacing w:line="440" w:lineRule="exact"/>
              <w:jc w:val="center"/>
              <w:rPr>
                <w:rFonts w:ascii="宋体" w:hAnsi="宋体"/>
                <w:color w:val="auto"/>
                <w:szCs w:val="21"/>
              </w:rPr>
            </w:pPr>
          </w:p>
        </w:tc>
      </w:tr>
      <w:tr w14:paraId="2C5AB4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6"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14AC9904">
            <w:pPr>
              <w:topLinePunct/>
              <w:spacing w:line="440" w:lineRule="exact"/>
              <w:jc w:val="center"/>
              <w:rPr>
                <w:rFonts w:ascii="宋体" w:hAnsi="宋体"/>
                <w:color w:val="auto"/>
                <w:szCs w:val="21"/>
              </w:rPr>
            </w:pPr>
            <w:r>
              <w:rPr>
                <w:rFonts w:ascii="宋体" w:hAnsi="宋体"/>
                <w:color w:val="auto"/>
                <w:szCs w:val="21"/>
              </w:rPr>
              <w:t>账号</w:t>
            </w:r>
          </w:p>
        </w:tc>
        <w:tc>
          <w:tcPr>
            <w:tcW w:w="1849" w:type="dxa"/>
            <w:gridSpan w:val="2"/>
            <w:tcBorders>
              <w:top w:val="single" w:color="auto" w:sz="4" w:space="0"/>
              <w:left w:val="single" w:color="auto" w:sz="4" w:space="0"/>
              <w:bottom w:val="single" w:color="auto" w:sz="4" w:space="0"/>
              <w:right w:val="single" w:color="auto" w:sz="4" w:space="0"/>
            </w:tcBorders>
            <w:vAlign w:val="center"/>
          </w:tcPr>
          <w:p w14:paraId="2EB52209">
            <w:pPr>
              <w:topLinePunct/>
              <w:spacing w:line="440" w:lineRule="exact"/>
              <w:jc w:val="center"/>
              <w:rPr>
                <w:rFonts w:ascii="宋体" w:hAnsi="宋体"/>
                <w:color w:val="auto"/>
                <w:szCs w:val="21"/>
              </w:rPr>
            </w:pPr>
          </w:p>
        </w:tc>
        <w:tc>
          <w:tcPr>
            <w:tcW w:w="840" w:type="dxa"/>
            <w:vMerge w:val="continue"/>
            <w:tcBorders>
              <w:top w:val="single" w:color="auto" w:sz="4" w:space="0"/>
              <w:left w:val="single" w:color="auto" w:sz="4" w:space="0"/>
              <w:bottom w:val="single" w:color="auto" w:sz="4" w:space="0"/>
              <w:right w:val="single" w:color="auto" w:sz="4" w:space="0"/>
            </w:tcBorders>
            <w:vAlign w:val="center"/>
          </w:tcPr>
          <w:p w14:paraId="6A7FD46D">
            <w:pPr>
              <w:topLinePunct/>
              <w:spacing w:line="440" w:lineRule="exact"/>
              <w:jc w:val="center"/>
              <w:rPr>
                <w:rFonts w:ascii="宋体" w:hAnsi="宋体"/>
                <w:color w:val="auto"/>
                <w:szCs w:val="21"/>
              </w:rPr>
            </w:pPr>
          </w:p>
        </w:tc>
        <w:tc>
          <w:tcPr>
            <w:tcW w:w="2299" w:type="dxa"/>
            <w:gridSpan w:val="4"/>
            <w:tcBorders>
              <w:top w:val="single" w:color="auto" w:sz="4" w:space="0"/>
              <w:left w:val="single" w:color="auto" w:sz="4" w:space="0"/>
              <w:bottom w:val="single" w:color="auto" w:sz="4" w:space="0"/>
              <w:right w:val="single" w:color="auto" w:sz="4" w:space="0"/>
            </w:tcBorders>
            <w:vAlign w:val="center"/>
          </w:tcPr>
          <w:p w14:paraId="67A1C304">
            <w:pPr>
              <w:topLinePunct/>
              <w:spacing w:line="440" w:lineRule="exact"/>
              <w:jc w:val="center"/>
              <w:rPr>
                <w:rFonts w:ascii="宋体" w:hAnsi="宋体"/>
                <w:color w:val="auto"/>
              </w:rPr>
            </w:pPr>
            <w:r>
              <w:rPr>
                <w:rFonts w:ascii="宋体" w:hAnsi="宋体"/>
                <w:color w:val="auto"/>
                <w:szCs w:val="21"/>
              </w:rPr>
              <w:t>技工</w:t>
            </w:r>
          </w:p>
        </w:tc>
        <w:tc>
          <w:tcPr>
            <w:tcW w:w="1852" w:type="dxa"/>
            <w:gridSpan w:val="2"/>
            <w:tcBorders>
              <w:top w:val="single" w:color="auto" w:sz="4" w:space="0"/>
              <w:left w:val="single" w:color="auto" w:sz="4" w:space="0"/>
              <w:bottom w:val="single" w:color="auto" w:sz="4" w:space="0"/>
              <w:right w:val="single" w:color="auto" w:sz="4" w:space="0"/>
            </w:tcBorders>
            <w:vAlign w:val="center"/>
          </w:tcPr>
          <w:p w14:paraId="29A8B535">
            <w:pPr>
              <w:topLinePunct/>
              <w:spacing w:line="440" w:lineRule="exact"/>
              <w:jc w:val="center"/>
              <w:rPr>
                <w:rFonts w:ascii="宋体" w:hAnsi="宋体"/>
                <w:color w:val="auto"/>
                <w:szCs w:val="21"/>
              </w:rPr>
            </w:pPr>
          </w:p>
        </w:tc>
      </w:tr>
      <w:tr w14:paraId="639344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43" w:hRule="atLeast"/>
          <w:jc w:val="center"/>
        </w:trPr>
        <w:tc>
          <w:tcPr>
            <w:tcW w:w="1728" w:type="dxa"/>
            <w:tcBorders>
              <w:top w:val="single" w:color="auto" w:sz="4" w:space="0"/>
              <w:left w:val="single" w:color="auto" w:sz="4" w:space="0"/>
              <w:right w:val="single" w:color="auto" w:sz="4" w:space="0"/>
            </w:tcBorders>
            <w:vAlign w:val="center"/>
          </w:tcPr>
          <w:p w14:paraId="4E4A72A2">
            <w:pPr>
              <w:topLinePunct/>
              <w:spacing w:line="440" w:lineRule="exact"/>
              <w:ind w:left="210"/>
              <w:jc w:val="center"/>
              <w:rPr>
                <w:rFonts w:ascii="宋体" w:hAnsi="宋体"/>
                <w:color w:val="auto"/>
                <w:szCs w:val="21"/>
              </w:rPr>
            </w:pPr>
            <w:r>
              <w:rPr>
                <w:rFonts w:ascii="宋体" w:hAnsi="宋体"/>
                <w:color w:val="auto"/>
                <w:szCs w:val="21"/>
              </w:rPr>
              <w:t>经营范围</w:t>
            </w:r>
          </w:p>
        </w:tc>
        <w:tc>
          <w:tcPr>
            <w:tcW w:w="6840" w:type="dxa"/>
            <w:gridSpan w:val="9"/>
            <w:tcBorders>
              <w:top w:val="single" w:color="auto" w:sz="4" w:space="0"/>
              <w:left w:val="single" w:color="auto" w:sz="4" w:space="0"/>
              <w:right w:val="single" w:color="auto" w:sz="4" w:space="0"/>
            </w:tcBorders>
            <w:vAlign w:val="center"/>
          </w:tcPr>
          <w:p w14:paraId="45FC18B4">
            <w:pPr>
              <w:topLinePunct/>
              <w:spacing w:line="440" w:lineRule="exact"/>
              <w:rPr>
                <w:rFonts w:ascii="宋体" w:hAnsi="宋体"/>
                <w:color w:val="auto"/>
                <w:szCs w:val="21"/>
              </w:rPr>
            </w:pPr>
          </w:p>
        </w:tc>
      </w:tr>
      <w:tr w14:paraId="37D4E5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3D34134A">
            <w:pPr>
              <w:topLinePunct/>
              <w:spacing w:line="440" w:lineRule="exact"/>
              <w:jc w:val="center"/>
              <w:rPr>
                <w:rFonts w:ascii="宋体" w:hAnsi="宋体"/>
                <w:color w:val="auto"/>
                <w:szCs w:val="21"/>
              </w:rPr>
            </w:pPr>
            <w:r>
              <w:rPr>
                <w:rFonts w:ascii="宋体" w:hAnsi="宋体"/>
                <w:color w:val="auto"/>
                <w:szCs w:val="21"/>
              </w:rPr>
              <w:t>备注</w:t>
            </w:r>
          </w:p>
        </w:tc>
        <w:tc>
          <w:tcPr>
            <w:tcW w:w="6840" w:type="dxa"/>
            <w:gridSpan w:val="9"/>
            <w:tcBorders>
              <w:top w:val="single" w:color="auto" w:sz="4" w:space="0"/>
              <w:left w:val="single" w:color="auto" w:sz="4" w:space="0"/>
              <w:bottom w:val="single" w:color="auto" w:sz="4" w:space="0"/>
              <w:right w:val="single" w:color="auto" w:sz="4" w:space="0"/>
            </w:tcBorders>
            <w:vAlign w:val="center"/>
          </w:tcPr>
          <w:p w14:paraId="5B442AE3">
            <w:pPr>
              <w:topLinePunct/>
              <w:spacing w:line="440" w:lineRule="exact"/>
              <w:jc w:val="center"/>
              <w:rPr>
                <w:rFonts w:ascii="宋体" w:hAnsi="宋体"/>
                <w:color w:val="auto"/>
                <w:szCs w:val="21"/>
              </w:rPr>
            </w:pPr>
          </w:p>
        </w:tc>
      </w:tr>
    </w:tbl>
    <w:p w14:paraId="2B4C577E">
      <w:pPr>
        <w:topLinePunct/>
        <w:spacing w:line="440" w:lineRule="exact"/>
        <w:rPr>
          <w:rFonts w:ascii="宋体" w:hAnsi="宋体"/>
          <w:color w:val="auto"/>
          <w:sz w:val="20"/>
        </w:rPr>
      </w:pPr>
    </w:p>
    <w:p w14:paraId="0DE01083">
      <w:pPr>
        <w:spacing w:line="360" w:lineRule="auto"/>
        <w:rPr>
          <w:rFonts w:ascii="宋体" w:hAnsi="宋体"/>
          <w:color w:val="auto"/>
          <w:kern w:val="0"/>
        </w:rPr>
      </w:pPr>
      <w:r>
        <w:rPr>
          <w:rFonts w:hint="eastAsia" w:ascii="宋体" w:hAnsi="宋体" w:cs="宋体"/>
          <w:color w:val="auto"/>
          <w:lang w:eastAsia="zh-CN"/>
        </w:rPr>
        <w:t>1.</w:t>
      </w:r>
      <w:r>
        <w:rPr>
          <w:rFonts w:hint="eastAsia" w:ascii="宋体" w:hAnsi="宋体" w:cs="宋体"/>
          <w:color w:val="auto"/>
        </w:rPr>
        <w:t>本表内容如需扩展，投标人可自行扩展填写，但不得减少本表要求，表后应附投标人营业执照副本、资质证书副本和安全生产许可证副本等。2、如为联合体投标时，联合体各方均须填写此表</w:t>
      </w:r>
      <w:r>
        <w:rPr>
          <w:rFonts w:hint="eastAsia" w:ascii="宋体" w:hAnsi="宋体" w:cs="宋体"/>
          <w:color w:val="auto"/>
          <w:kern w:val="0"/>
        </w:rPr>
        <w:t>。</w:t>
      </w:r>
    </w:p>
    <w:p w14:paraId="51C7A1A6">
      <w:pPr>
        <w:topLinePunct/>
        <w:spacing w:line="440" w:lineRule="exact"/>
        <w:rPr>
          <w:rFonts w:ascii="宋体" w:hAnsi="宋体"/>
          <w:color w:val="auto"/>
          <w:sz w:val="20"/>
        </w:rPr>
      </w:pPr>
    </w:p>
    <w:p w14:paraId="0939BD41">
      <w:pPr>
        <w:topLinePunct/>
        <w:spacing w:line="440" w:lineRule="exact"/>
        <w:rPr>
          <w:rFonts w:ascii="宋体" w:hAnsi="宋体"/>
          <w:color w:val="auto"/>
          <w:sz w:val="20"/>
        </w:rPr>
      </w:pPr>
    </w:p>
    <w:p w14:paraId="20059E56">
      <w:pPr>
        <w:pStyle w:val="5"/>
        <w:spacing w:before="157"/>
        <w:rPr>
          <w:color w:val="auto"/>
        </w:rPr>
      </w:pPr>
      <w:bookmarkStart w:id="396" w:name="_Toc480918584"/>
      <w:bookmarkStart w:id="397" w:name="_Toc21651"/>
      <w:bookmarkStart w:id="398" w:name="_Toc499310658"/>
      <w:bookmarkStart w:id="399" w:name="_Toc480918816"/>
      <w:bookmarkStart w:id="400" w:name="_Toc1845"/>
      <w:bookmarkStart w:id="401" w:name="_Toc474179002"/>
      <w:bookmarkStart w:id="402" w:name="_Toc499310088"/>
      <w:bookmarkStart w:id="403" w:name="_Toc474179238"/>
      <w:bookmarkStart w:id="404" w:name="_Toc97752054"/>
      <w:bookmarkStart w:id="405" w:name="_Toc85443519"/>
      <w:bookmarkStart w:id="406" w:name="_Toc527485328"/>
      <w:bookmarkStart w:id="407" w:name="_Toc480918961"/>
      <w:r>
        <w:rPr>
          <w:rFonts w:hint="eastAsia"/>
          <w:color w:val="auto"/>
        </w:rPr>
        <w:t>（二）近年财务状况表</w:t>
      </w:r>
      <w:bookmarkEnd w:id="396"/>
      <w:bookmarkEnd w:id="397"/>
      <w:bookmarkEnd w:id="398"/>
      <w:bookmarkEnd w:id="399"/>
      <w:bookmarkEnd w:id="400"/>
      <w:bookmarkEnd w:id="401"/>
      <w:bookmarkEnd w:id="402"/>
      <w:bookmarkEnd w:id="403"/>
      <w:bookmarkEnd w:id="404"/>
      <w:bookmarkEnd w:id="405"/>
      <w:bookmarkEnd w:id="406"/>
      <w:bookmarkEnd w:id="407"/>
    </w:p>
    <w:p w14:paraId="2A9A4D71">
      <w:pPr>
        <w:spacing w:line="440" w:lineRule="exact"/>
        <w:rPr>
          <w:rFonts w:ascii="宋体" w:hAnsi="宋体"/>
          <w:color w:val="auto"/>
          <w:szCs w:val="21"/>
        </w:rPr>
      </w:pPr>
      <w:r>
        <w:rPr>
          <w:rFonts w:hint="eastAsia" w:ascii="宋体" w:hAnsi="宋体"/>
          <w:color w:val="auto"/>
          <w:szCs w:val="21"/>
        </w:rPr>
        <w:t>备注：在此附经会计师事务所或审计机构审计的财务会计报表，包括资产负债表、现金流量表、利润表的复印件，具体要求见第二章“投标人须知”的规定。</w:t>
      </w:r>
    </w:p>
    <w:p w14:paraId="5D30BA9F">
      <w:pPr>
        <w:pStyle w:val="57"/>
        <w:ind w:left="0"/>
        <w:rPr>
          <w:rFonts w:ascii="宋体" w:hAnsi="宋体"/>
          <w:color w:val="auto"/>
        </w:rPr>
      </w:pPr>
    </w:p>
    <w:p w14:paraId="2760D8A7">
      <w:pPr>
        <w:pStyle w:val="5"/>
        <w:spacing w:before="157"/>
        <w:rPr>
          <w:color w:val="auto"/>
          <w:szCs w:val="21"/>
        </w:rPr>
      </w:pPr>
      <w:bookmarkStart w:id="408" w:name="_Toc300835228"/>
      <w:bookmarkStart w:id="409" w:name="_Toc474178536"/>
      <w:bookmarkStart w:id="410" w:name="_Toc480918964"/>
      <w:bookmarkStart w:id="411" w:name="_Toc474179005"/>
      <w:bookmarkStart w:id="412" w:name="_Toc527485329"/>
      <w:bookmarkStart w:id="413" w:name="_Toc499310661"/>
      <w:bookmarkStart w:id="414" w:name="_Toc499310091"/>
      <w:bookmarkStart w:id="415" w:name="_Toc85443520"/>
      <w:bookmarkStart w:id="416" w:name="_Toc474179241"/>
      <w:bookmarkStart w:id="417" w:name="_Toc451244252"/>
      <w:bookmarkStart w:id="418" w:name="_Toc480918587"/>
      <w:bookmarkStart w:id="419" w:name="_Toc480918819"/>
      <w:bookmarkStart w:id="420" w:name="_Toc97752055"/>
      <w:bookmarkStart w:id="421" w:name="_Toc4015"/>
      <w:bookmarkStart w:id="422" w:name="_Toc31793"/>
      <w:r>
        <w:rPr>
          <w:rFonts w:hint="eastAsia"/>
          <w:color w:val="auto"/>
        </w:rPr>
        <w:t>（三）</w:t>
      </w:r>
      <w:bookmarkEnd w:id="408"/>
      <w:r>
        <w:rPr>
          <w:rFonts w:hint="eastAsia"/>
          <w:color w:val="auto"/>
        </w:rPr>
        <w:t>信誉</w:t>
      </w:r>
      <w:bookmarkEnd w:id="409"/>
      <w:bookmarkEnd w:id="410"/>
      <w:bookmarkEnd w:id="411"/>
      <w:bookmarkEnd w:id="412"/>
      <w:bookmarkEnd w:id="413"/>
      <w:bookmarkEnd w:id="414"/>
      <w:bookmarkEnd w:id="415"/>
      <w:bookmarkEnd w:id="416"/>
      <w:bookmarkEnd w:id="417"/>
      <w:bookmarkEnd w:id="418"/>
      <w:bookmarkEnd w:id="419"/>
      <w:bookmarkEnd w:id="420"/>
      <w:bookmarkEnd w:id="421"/>
      <w:r>
        <w:rPr>
          <w:rFonts w:hint="eastAsia"/>
          <w:color w:val="auto"/>
        </w:rPr>
        <w:t>要求：</w:t>
      </w:r>
      <w:r>
        <w:rPr>
          <w:rFonts w:hint="eastAsia"/>
          <w:color w:val="auto"/>
          <w:sz w:val="21"/>
          <w:szCs w:val="21"/>
        </w:rPr>
        <w:t>具体要求见第二章“投标人须知”的规定。</w:t>
      </w:r>
      <w:bookmarkEnd w:id="422"/>
    </w:p>
    <w:p w14:paraId="58A8944F">
      <w:pPr>
        <w:rPr>
          <w:color w:val="auto"/>
        </w:rPr>
      </w:pPr>
    </w:p>
    <w:p w14:paraId="3DE97271">
      <w:pPr>
        <w:rPr>
          <w:rFonts w:ascii="宋体" w:hAnsi="宋体"/>
          <w:color w:val="auto"/>
        </w:rPr>
      </w:pPr>
    </w:p>
    <w:p w14:paraId="4F157EEA">
      <w:pPr>
        <w:spacing w:line="440" w:lineRule="exact"/>
        <w:rPr>
          <w:rFonts w:ascii="宋体" w:hAnsi="宋体"/>
          <w:color w:val="auto"/>
        </w:rPr>
      </w:pPr>
      <w:bookmarkStart w:id="423" w:name="_Toc152042602"/>
      <w:bookmarkStart w:id="424" w:name="_Toc152045813"/>
      <w:bookmarkStart w:id="425" w:name="_Toc144974881"/>
      <w:bookmarkStart w:id="426" w:name="_Toc247514305"/>
      <w:bookmarkStart w:id="427" w:name="_Toc247530162"/>
      <w:bookmarkStart w:id="428" w:name="_Toc247527853"/>
    </w:p>
    <w:p w14:paraId="59BF67B9">
      <w:pPr>
        <w:spacing w:line="440" w:lineRule="exact"/>
        <w:rPr>
          <w:rFonts w:ascii="宋体" w:hAnsi="宋体"/>
          <w:color w:val="auto"/>
        </w:rPr>
      </w:pPr>
    </w:p>
    <w:p w14:paraId="4C48A59A">
      <w:pPr>
        <w:spacing w:line="440" w:lineRule="exact"/>
        <w:rPr>
          <w:rFonts w:ascii="宋体" w:hAnsi="宋体"/>
          <w:color w:val="auto"/>
        </w:rPr>
      </w:pPr>
    </w:p>
    <w:p w14:paraId="2190FE07">
      <w:pPr>
        <w:spacing w:line="440" w:lineRule="exact"/>
        <w:rPr>
          <w:rFonts w:ascii="宋体" w:hAnsi="宋体"/>
          <w:color w:val="auto"/>
        </w:rPr>
      </w:pPr>
    </w:p>
    <w:p w14:paraId="0F00048B">
      <w:pPr>
        <w:spacing w:line="440" w:lineRule="exact"/>
        <w:rPr>
          <w:rFonts w:ascii="宋体" w:hAnsi="宋体"/>
          <w:color w:val="auto"/>
        </w:rPr>
      </w:pPr>
    </w:p>
    <w:p w14:paraId="2E17404D">
      <w:pPr>
        <w:spacing w:line="440" w:lineRule="exact"/>
        <w:rPr>
          <w:rFonts w:ascii="宋体" w:hAnsi="宋体"/>
          <w:color w:val="auto"/>
        </w:rPr>
      </w:pPr>
    </w:p>
    <w:p w14:paraId="3760F270">
      <w:pPr>
        <w:spacing w:line="440" w:lineRule="exact"/>
        <w:rPr>
          <w:rFonts w:ascii="宋体" w:hAnsi="宋体"/>
          <w:color w:val="auto"/>
        </w:rPr>
      </w:pPr>
    </w:p>
    <w:p w14:paraId="6285E3D0">
      <w:pPr>
        <w:spacing w:line="440" w:lineRule="exact"/>
        <w:rPr>
          <w:rFonts w:ascii="宋体" w:hAnsi="宋体"/>
          <w:color w:val="auto"/>
        </w:rPr>
      </w:pPr>
    </w:p>
    <w:p w14:paraId="4FDEC733">
      <w:pPr>
        <w:spacing w:line="440" w:lineRule="exact"/>
        <w:rPr>
          <w:rFonts w:ascii="宋体" w:hAnsi="宋体"/>
          <w:color w:val="auto"/>
        </w:rPr>
      </w:pPr>
    </w:p>
    <w:p w14:paraId="69CA59D8">
      <w:pPr>
        <w:spacing w:line="440" w:lineRule="exact"/>
        <w:rPr>
          <w:rFonts w:ascii="宋体" w:hAnsi="宋体"/>
          <w:color w:val="auto"/>
        </w:rPr>
      </w:pPr>
    </w:p>
    <w:p w14:paraId="09580768">
      <w:pPr>
        <w:spacing w:line="440" w:lineRule="exact"/>
        <w:rPr>
          <w:rFonts w:ascii="宋体" w:hAnsi="宋体"/>
          <w:color w:val="auto"/>
        </w:rPr>
      </w:pPr>
    </w:p>
    <w:p w14:paraId="383920BE">
      <w:pPr>
        <w:spacing w:line="440" w:lineRule="exact"/>
        <w:rPr>
          <w:rFonts w:ascii="宋体" w:hAnsi="宋体"/>
          <w:color w:val="auto"/>
        </w:rPr>
      </w:pPr>
    </w:p>
    <w:p w14:paraId="19CF3234">
      <w:pPr>
        <w:spacing w:line="440" w:lineRule="exact"/>
        <w:rPr>
          <w:rFonts w:ascii="宋体" w:hAnsi="宋体"/>
          <w:color w:val="auto"/>
        </w:rPr>
      </w:pPr>
    </w:p>
    <w:p w14:paraId="7C70B2D7">
      <w:pPr>
        <w:spacing w:line="440" w:lineRule="exact"/>
        <w:rPr>
          <w:rFonts w:ascii="宋体" w:hAnsi="宋体"/>
          <w:color w:val="auto"/>
        </w:rPr>
      </w:pPr>
    </w:p>
    <w:p w14:paraId="47548DA3">
      <w:pPr>
        <w:spacing w:line="440" w:lineRule="exact"/>
        <w:rPr>
          <w:rFonts w:ascii="宋体" w:hAnsi="宋体"/>
          <w:color w:val="auto"/>
        </w:rPr>
      </w:pPr>
    </w:p>
    <w:p w14:paraId="5E6D9FBE">
      <w:pPr>
        <w:spacing w:line="440" w:lineRule="exact"/>
        <w:rPr>
          <w:rFonts w:ascii="宋体" w:hAnsi="宋体"/>
          <w:color w:val="auto"/>
        </w:rPr>
      </w:pPr>
    </w:p>
    <w:p w14:paraId="645D74AC">
      <w:pPr>
        <w:spacing w:line="440" w:lineRule="exact"/>
        <w:rPr>
          <w:rFonts w:ascii="宋体" w:hAnsi="宋体"/>
          <w:color w:val="auto"/>
        </w:rPr>
      </w:pPr>
    </w:p>
    <w:p w14:paraId="13FF1EA2">
      <w:pPr>
        <w:spacing w:line="440" w:lineRule="exact"/>
        <w:rPr>
          <w:rFonts w:ascii="宋体" w:hAnsi="宋体"/>
          <w:color w:val="auto"/>
        </w:rPr>
      </w:pPr>
    </w:p>
    <w:p w14:paraId="22E0FA2D">
      <w:pPr>
        <w:spacing w:line="440" w:lineRule="exact"/>
        <w:rPr>
          <w:rFonts w:ascii="宋体" w:hAnsi="宋体"/>
          <w:color w:val="auto"/>
        </w:rPr>
      </w:pPr>
    </w:p>
    <w:p w14:paraId="4276DD7C">
      <w:pPr>
        <w:spacing w:line="440" w:lineRule="exact"/>
        <w:rPr>
          <w:rFonts w:ascii="宋体" w:hAnsi="宋体"/>
          <w:color w:val="auto"/>
        </w:rPr>
      </w:pPr>
    </w:p>
    <w:p w14:paraId="52AA086D">
      <w:pPr>
        <w:spacing w:line="440" w:lineRule="exact"/>
        <w:rPr>
          <w:rFonts w:ascii="宋体" w:hAnsi="宋体"/>
          <w:color w:val="auto"/>
        </w:rPr>
      </w:pPr>
    </w:p>
    <w:p w14:paraId="745B78A1">
      <w:pPr>
        <w:spacing w:line="440" w:lineRule="exact"/>
        <w:rPr>
          <w:rFonts w:ascii="宋体" w:hAnsi="宋体"/>
          <w:color w:val="auto"/>
        </w:rPr>
      </w:pPr>
    </w:p>
    <w:p w14:paraId="4B4B91A1">
      <w:pPr>
        <w:spacing w:line="440" w:lineRule="exact"/>
        <w:rPr>
          <w:rFonts w:ascii="宋体" w:hAnsi="宋体"/>
          <w:color w:val="auto"/>
        </w:rPr>
      </w:pPr>
    </w:p>
    <w:p w14:paraId="41EACA48">
      <w:pPr>
        <w:spacing w:line="440" w:lineRule="exact"/>
        <w:rPr>
          <w:rFonts w:ascii="宋体" w:hAnsi="宋体"/>
          <w:color w:val="auto"/>
        </w:rPr>
      </w:pPr>
    </w:p>
    <w:p w14:paraId="13DD395E">
      <w:pPr>
        <w:spacing w:line="440" w:lineRule="exact"/>
        <w:rPr>
          <w:rFonts w:ascii="宋体" w:hAnsi="宋体"/>
          <w:color w:val="auto"/>
        </w:rPr>
      </w:pPr>
    </w:p>
    <w:p w14:paraId="240D9228">
      <w:pPr>
        <w:spacing w:line="440" w:lineRule="exact"/>
        <w:rPr>
          <w:rFonts w:ascii="宋体" w:hAnsi="宋体"/>
          <w:color w:val="auto"/>
        </w:rPr>
      </w:pPr>
    </w:p>
    <w:p w14:paraId="73252F8E">
      <w:pPr>
        <w:pStyle w:val="5"/>
        <w:spacing w:before="157"/>
        <w:rPr>
          <w:color w:val="auto"/>
        </w:rPr>
      </w:pPr>
      <w:bookmarkStart w:id="429" w:name="_Toc499310092"/>
      <w:bookmarkStart w:id="430" w:name="_Toc474179242"/>
      <w:bookmarkStart w:id="431" w:name="_Toc527485330"/>
      <w:bookmarkStart w:id="432" w:name="_Toc85443521"/>
      <w:bookmarkStart w:id="433" w:name="_Toc6279"/>
      <w:bookmarkStart w:id="434" w:name="_Toc480918588"/>
      <w:bookmarkStart w:id="435" w:name="_Toc480918965"/>
      <w:bookmarkStart w:id="436" w:name="_Toc7568"/>
      <w:bookmarkStart w:id="437" w:name="_Toc474178537"/>
      <w:bookmarkStart w:id="438" w:name="_Toc499310662"/>
      <w:bookmarkStart w:id="439" w:name="_Toc480918820"/>
      <w:bookmarkStart w:id="440" w:name="_Toc97752056"/>
      <w:bookmarkStart w:id="441" w:name="_Toc474179006"/>
      <w:bookmarkStart w:id="442" w:name="_Toc451244253"/>
      <w:bookmarkStart w:id="443" w:name="_Toc300835229"/>
      <w:r>
        <w:rPr>
          <w:rFonts w:hint="eastAsia"/>
          <w:color w:val="auto"/>
        </w:rPr>
        <w:t>（四）拟投入本项目的主要施工设备表</w:t>
      </w:r>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p>
    <w:p w14:paraId="51053322">
      <w:pPr>
        <w:spacing w:line="440" w:lineRule="exact"/>
        <w:rPr>
          <w:rFonts w:ascii="宋体" w:hAnsi="宋体"/>
          <w:color w:val="auto"/>
          <w:sz w:val="20"/>
        </w:rPr>
      </w:pPr>
    </w:p>
    <w:tbl>
      <w:tblPr>
        <w:tblStyle w:val="68"/>
        <w:tblW w:w="87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5"/>
        <w:gridCol w:w="1086"/>
        <w:gridCol w:w="761"/>
        <w:gridCol w:w="990"/>
        <w:gridCol w:w="672"/>
        <w:gridCol w:w="738"/>
        <w:gridCol w:w="1212"/>
        <w:gridCol w:w="874"/>
        <w:gridCol w:w="1055"/>
        <w:gridCol w:w="691"/>
      </w:tblGrid>
      <w:tr w14:paraId="57B16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vAlign w:val="center"/>
          </w:tcPr>
          <w:p w14:paraId="48A362AA">
            <w:pPr>
              <w:spacing w:line="440" w:lineRule="exact"/>
              <w:rPr>
                <w:rFonts w:ascii="宋体" w:hAnsi="宋体"/>
                <w:color w:val="auto"/>
                <w:szCs w:val="21"/>
              </w:rPr>
            </w:pPr>
            <w:r>
              <w:rPr>
                <w:rFonts w:ascii="宋体" w:hAnsi="宋体"/>
                <w:color w:val="auto"/>
                <w:szCs w:val="21"/>
              </w:rPr>
              <w:t>序号</w:t>
            </w:r>
          </w:p>
        </w:tc>
        <w:tc>
          <w:tcPr>
            <w:tcW w:w="1086" w:type="dxa"/>
            <w:vAlign w:val="center"/>
          </w:tcPr>
          <w:p w14:paraId="1EE287A4">
            <w:pPr>
              <w:spacing w:line="440" w:lineRule="exact"/>
              <w:jc w:val="center"/>
              <w:rPr>
                <w:rFonts w:ascii="宋体" w:hAnsi="宋体"/>
                <w:color w:val="auto"/>
                <w:szCs w:val="21"/>
              </w:rPr>
            </w:pPr>
            <w:r>
              <w:rPr>
                <w:rFonts w:ascii="宋体" w:hAnsi="宋体"/>
                <w:color w:val="auto"/>
                <w:szCs w:val="21"/>
              </w:rPr>
              <w:t>设备名称</w:t>
            </w:r>
          </w:p>
        </w:tc>
        <w:tc>
          <w:tcPr>
            <w:tcW w:w="761" w:type="dxa"/>
            <w:vAlign w:val="center"/>
          </w:tcPr>
          <w:p w14:paraId="146F847D">
            <w:pPr>
              <w:spacing w:line="440" w:lineRule="exact"/>
              <w:jc w:val="center"/>
              <w:rPr>
                <w:rFonts w:ascii="宋体" w:hAnsi="宋体"/>
                <w:color w:val="auto"/>
                <w:szCs w:val="21"/>
              </w:rPr>
            </w:pPr>
            <w:r>
              <w:rPr>
                <w:rFonts w:ascii="宋体" w:hAnsi="宋体"/>
                <w:color w:val="auto"/>
                <w:szCs w:val="21"/>
              </w:rPr>
              <w:t>型号</w:t>
            </w:r>
          </w:p>
          <w:p w14:paraId="435F2ED0">
            <w:pPr>
              <w:spacing w:line="440" w:lineRule="exact"/>
              <w:jc w:val="center"/>
              <w:rPr>
                <w:rFonts w:ascii="宋体" w:hAnsi="宋体"/>
                <w:color w:val="auto"/>
                <w:szCs w:val="21"/>
              </w:rPr>
            </w:pPr>
            <w:r>
              <w:rPr>
                <w:rFonts w:ascii="宋体" w:hAnsi="宋体"/>
                <w:color w:val="auto"/>
                <w:szCs w:val="21"/>
              </w:rPr>
              <w:t>规格</w:t>
            </w:r>
          </w:p>
        </w:tc>
        <w:tc>
          <w:tcPr>
            <w:tcW w:w="990" w:type="dxa"/>
            <w:vAlign w:val="center"/>
          </w:tcPr>
          <w:p w14:paraId="5312BA2E">
            <w:pPr>
              <w:spacing w:line="440" w:lineRule="exact"/>
              <w:jc w:val="center"/>
              <w:rPr>
                <w:rFonts w:ascii="宋体" w:hAnsi="宋体"/>
                <w:color w:val="auto"/>
                <w:szCs w:val="21"/>
              </w:rPr>
            </w:pPr>
            <w:r>
              <w:rPr>
                <w:rFonts w:ascii="宋体" w:hAnsi="宋体"/>
                <w:color w:val="auto"/>
                <w:szCs w:val="21"/>
              </w:rPr>
              <w:t>数量</w:t>
            </w:r>
          </w:p>
        </w:tc>
        <w:tc>
          <w:tcPr>
            <w:tcW w:w="672" w:type="dxa"/>
            <w:vAlign w:val="center"/>
          </w:tcPr>
          <w:p w14:paraId="2CD53402">
            <w:pPr>
              <w:spacing w:line="440" w:lineRule="exact"/>
              <w:jc w:val="center"/>
              <w:rPr>
                <w:rFonts w:ascii="宋体" w:hAnsi="宋体"/>
                <w:color w:val="auto"/>
                <w:szCs w:val="21"/>
              </w:rPr>
            </w:pPr>
            <w:r>
              <w:rPr>
                <w:rFonts w:ascii="宋体" w:hAnsi="宋体"/>
                <w:color w:val="auto"/>
                <w:szCs w:val="21"/>
              </w:rPr>
              <w:t>国别</w:t>
            </w:r>
          </w:p>
          <w:p w14:paraId="3A296411">
            <w:pPr>
              <w:spacing w:line="440" w:lineRule="exact"/>
              <w:jc w:val="center"/>
              <w:rPr>
                <w:rFonts w:ascii="宋体" w:hAnsi="宋体"/>
                <w:color w:val="auto"/>
                <w:szCs w:val="21"/>
              </w:rPr>
            </w:pPr>
            <w:r>
              <w:rPr>
                <w:rFonts w:ascii="宋体" w:hAnsi="宋体"/>
                <w:color w:val="auto"/>
                <w:szCs w:val="21"/>
              </w:rPr>
              <w:t>产地</w:t>
            </w:r>
          </w:p>
        </w:tc>
        <w:tc>
          <w:tcPr>
            <w:tcW w:w="738" w:type="dxa"/>
            <w:vAlign w:val="center"/>
          </w:tcPr>
          <w:p w14:paraId="6DEAE255">
            <w:pPr>
              <w:spacing w:line="440" w:lineRule="exact"/>
              <w:jc w:val="center"/>
              <w:rPr>
                <w:rFonts w:ascii="宋体" w:hAnsi="宋体"/>
                <w:color w:val="auto"/>
                <w:szCs w:val="21"/>
              </w:rPr>
            </w:pPr>
            <w:r>
              <w:rPr>
                <w:rFonts w:ascii="宋体" w:hAnsi="宋体"/>
                <w:color w:val="auto"/>
                <w:szCs w:val="21"/>
              </w:rPr>
              <w:t>制造</w:t>
            </w:r>
          </w:p>
          <w:p w14:paraId="3EDC9F09">
            <w:pPr>
              <w:spacing w:line="440" w:lineRule="exact"/>
              <w:jc w:val="center"/>
              <w:rPr>
                <w:rFonts w:ascii="宋体" w:hAnsi="宋体"/>
                <w:color w:val="auto"/>
                <w:szCs w:val="21"/>
              </w:rPr>
            </w:pPr>
            <w:r>
              <w:rPr>
                <w:rFonts w:ascii="宋体" w:hAnsi="宋体"/>
                <w:color w:val="auto"/>
                <w:szCs w:val="21"/>
              </w:rPr>
              <w:t>年份</w:t>
            </w:r>
          </w:p>
        </w:tc>
        <w:tc>
          <w:tcPr>
            <w:tcW w:w="1212" w:type="dxa"/>
            <w:vAlign w:val="center"/>
          </w:tcPr>
          <w:p w14:paraId="7AA86142">
            <w:pPr>
              <w:spacing w:line="440" w:lineRule="exact"/>
              <w:jc w:val="center"/>
              <w:rPr>
                <w:rFonts w:ascii="宋体" w:hAnsi="宋体"/>
                <w:color w:val="auto"/>
                <w:szCs w:val="21"/>
              </w:rPr>
            </w:pPr>
            <w:r>
              <w:rPr>
                <w:rFonts w:ascii="宋体" w:hAnsi="宋体"/>
                <w:color w:val="auto"/>
                <w:szCs w:val="21"/>
              </w:rPr>
              <w:t>额定功率（</w:t>
            </w:r>
            <w:r>
              <w:rPr>
                <w:rFonts w:hint="eastAsia" w:ascii="宋体" w:hAnsi="宋体"/>
                <w:color w:val="auto"/>
                <w:szCs w:val="21"/>
              </w:rPr>
              <w:t>k</w:t>
            </w:r>
            <w:r>
              <w:rPr>
                <w:rFonts w:ascii="宋体" w:hAnsi="宋体"/>
                <w:color w:val="auto"/>
                <w:szCs w:val="21"/>
              </w:rPr>
              <w:t>W）</w:t>
            </w:r>
          </w:p>
        </w:tc>
        <w:tc>
          <w:tcPr>
            <w:tcW w:w="874" w:type="dxa"/>
            <w:vAlign w:val="center"/>
          </w:tcPr>
          <w:p w14:paraId="1308A8CD">
            <w:pPr>
              <w:spacing w:line="440" w:lineRule="exact"/>
              <w:jc w:val="center"/>
              <w:rPr>
                <w:rFonts w:ascii="宋体" w:hAnsi="宋体"/>
                <w:color w:val="auto"/>
                <w:szCs w:val="21"/>
              </w:rPr>
            </w:pPr>
            <w:r>
              <w:rPr>
                <w:rFonts w:ascii="宋体" w:hAnsi="宋体"/>
                <w:color w:val="auto"/>
                <w:szCs w:val="21"/>
              </w:rPr>
              <w:t>生产</w:t>
            </w:r>
          </w:p>
          <w:p w14:paraId="7F816984">
            <w:pPr>
              <w:spacing w:line="440" w:lineRule="exact"/>
              <w:jc w:val="center"/>
              <w:rPr>
                <w:rFonts w:ascii="宋体" w:hAnsi="宋体"/>
                <w:color w:val="auto"/>
                <w:szCs w:val="21"/>
              </w:rPr>
            </w:pPr>
            <w:r>
              <w:rPr>
                <w:rFonts w:ascii="宋体" w:hAnsi="宋体"/>
                <w:color w:val="auto"/>
                <w:szCs w:val="21"/>
              </w:rPr>
              <w:t>能力</w:t>
            </w:r>
          </w:p>
        </w:tc>
        <w:tc>
          <w:tcPr>
            <w:tcW w:w="1055" w:type="dxa"/>
            <w:vAlign w:val="center"/>
          </w:tcPr>
          <w:p w14:paraId="77B2B0C1">
            <w:pPr>
              <w:spacing w:line="440" w:lineRule="exact"/>
              <w:jc w:val="center"/>
              <w:rPr>
                <w:rFonts w:ascii="宋体" w:hAnsi="宋体"/>
                <w:color w:val="auto"/>
                <w:szCs w:val="21"/>
              </w:rPr>
            </w:pPr>
            <w:r>
              <w:rPr>
                <w:rFonts w:ascii="宋体" w:hAnsi="宋体"/>
                <w:color w:val="auto"/>
                <w:szCs w:val="21"/>
              </w:rPr>
              <w:t>用于施工部位</w:t>
            </w:r>
          </w:p>
        </w:tc>
        <w:tc>
          <w:tcPr>
            <w:tcW w:w="691" w:type="dxa"/>
            <w:vAlign w:val="center"/>
          </w:tcPr>
          <w:p w14:paraId="1A14BFBC">
            <w:pPr>
              <w:spacing w:line="440" w:lineRule="exact"/>
              <w:jc w:val="center"/>
              <w:rPr>
                <w:rFonts w:ascii="宋体" w:hAnsi="宋体"/>
                <w:color w:val="auto"/>
                <w:szCs w:val="21"/>
              </w:rPr>
            </w:pPr>
            <w:r>
              <w:rPr>
                <w:rFonts w:ascii="宋体" w:hAnsi="宋体"/>
                <w:color w:val="auto"/>
                <w:szCs w:val="21"/>
              </w:rPr>
              <w:t>备注</w:t>
            </w:r>
          </w:p>
        </w:tc>
      </w:tr>
      <w:tr w14:paraId="3711F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vAlign w:val="center"/>
          </w:tcPr>
          <w:p w14:paraId="0F51795E">
            <w:pPr>
              <w:spacing w:line="440" w:lineRule="exact"/>
              <w:jc w:val="center"/>
              <w:rPr>
                <w:rFonts w:ascii="宋体" w:hAnsi="宋体"/>
                <w:color w:val="auto"/>
                <w:szCs w:val="21"/>
              </w:rPr>
            </w:pPr>
          </w:p>
        </w:tc>
        <w:tc>
          <w:tcPr>
            <w:tcW w:w="1086" w:type="dxa"/>
            <w:vAlign w:val="center"/>
          </w:tcPr>
          <w:p w14:paraId="65C028E8">
            <w:pPr>
              <w:spacing w:line="440" w:lineRule="exact"/>
              <w:jc w:val="center"/>
              <w:rPr>
                <w:rFonts w:ascii="宋体" w:hAnsi="宋体"/>
                <w:color w:val="auto"/>
                <w:szCs w:val="21"/>
              </w:rPr>
            </w:pPr>
          </w:p>
        </w:tc>
        <w:tc>
          <w:tcPr>
            <w:tcW w:w="761" w:type="dxa"/>
            <w:vAlign w:val="center"/>
          </w:tcPr>
          <w:p w14:paraId="2D1B961A">
            <w:pPr>
              <w:spacing w:line="440" w:lineRule="exact"/>
              <w:jc w:val="center"/>
              <w:rPr>
                <w:rFonts w:ascii="宋体" w:hAnsi="宋体"/>
                <w:color w:val="auto"/>
                <w:szCs w:val="21"/>
              </w:rPr>
            </w:pPr>
          </w:p>
        </w:tc>
        <w:tc>
          <w:tcPr>
            <w:tcW w:w="990" w:type="dxa"/>
            <w:vAlign w:val="center"/>
          </w:tcPr>
          <w:p w14:paraId="75C81C8B">
            <w:pPr>
              <w:spacing w:line="440" w:lineRule="exact"/>
              <w:jc w:val="center"/>
              <w:rPr>
                <w:rFonts w:ascii="宋体" w:hAnsi="宋体"/>
                <w:color w:val="auto"/>
                <w:szCs w:val="21"/>
              </w:rPr>
            </w:pPr>
          </w:p>
        </w:tc>
        <w:tc>
          <w:tcPr>
            <w:tcW w:w="672" w:type="dxa"/>
            <w:vAlign w:val="center"/>
          </w:tcPr>
          <w:p w14:paraId="64E38A45">
            <w:pPr>
              <w:spacing w:line="440" w:lineRule="exact"/>
              <w:jc w:val="center"/>
              <w:rPr>
                <w:rFonts w:ascii="宋体" w:hAnsi="宋体"/>
                <w:color w:val="auto"/>
                <w:szCs w:val="21"/>
              </w:rPr>
            </w:pPr>
          </w:p>
        </w:tc>
        <w:tc>
          <w:tcPr>
            <w:tcW w:w="738" w:type="dxa"/>
            <w:vAlign w:val="center"/>
          </w:tcPr>
          <w:p w14:paraId="255E5035">
            <w:pPr>
              <w:spacing w:line="440" w:lineRule="exact"/>
              <w:jc w:val="center"/>
              <w:rPr>
                <w:rFonts w:ascii="宋体" w:hAnsi="宋体"/>
                <w:color w:val="auto"/>
                <w:szCs w:val="21"/>
              </w:rPr>
            </w:pPr>
          </w:p>
        </w:tc>
        <w:tc>
          <w:tcPr>
            <w:tcW w:w="1212" w:type="dxa"/>
            <w:vAlign w:val="center"/>
          </w:tcPr>
          <w:p w14:paraId="4199DE12">
            <w:pPr>
              <w:spacing w:line="440" w:lineRule="exact"/>
              <w:jc w:val="center"/>
              <w:rPr>
                <w:rFonts w:ascii="宋体" w:hAnsi="宋体"/>
                <w:color w:val="auto"/>
                <w:szCs w:val="21"/>
              </w:rPr>
            </w:pPr>
          </w:p>
        </w:tc>
        <w:tc>
          <w:tcPr>
            <w:tcW w:w="874" w:type="dxa"/>
            <w:vAlign w:val="center"/>
          </w:tcPr>
          <w:p w14:paraId="27921198">
            <w:pPr>
              <w:spacing w:line="440" w:lineRule="exact"/>
              <w:jc w:val="center"/>
              <w:rPr>
                <w:rFonts w:ascii="宋体" w:hAnsi="宋体"/>
                <w:color w:val="auto"/>
                <w:szCs w:val="21"/>
              </w:rPr>
            </w:pPr>
          </w:p>
        </w:tc>
        <w:tc>
          <w:tcPr>
            <w:tcW w:w="1055" w:type="dxa"/>
            <w:vAlign w:val="center"/>
          </w:tcPr>
          <w:p w14:paraId="30E591CF">
            <w:pPr>
              <w:spacing w:line="440" w:lineRule="exact"/>
              <w:jc w:val="center"/>
              <w:rPr>
                <w:rFonts w:ascii="宋体" w:hAnsi="宋体"/>
                <w:color w:val="auto"/>
                <w:szCs w:val="21"/>
              </w:rPr>
            </w:pPr>
          </w:p>
        </w:tc>
        <w:tc>
          <w:tcPr>
            <w:tcW w:w="691" w:type="dxa"/>
            <w:vAlign w:val="center"/>
          </w:tcPr>
          <w:p w14:paraId="23FF72C2">
            <w:pPr>
              <w:spacing w:line="440" w:lineRule="exact"/>
              <w:jc w:val="center"/>
              <w:rPr>
                <w:rFonts w:ascii="宋体" w:hAnsi="宋体"/>
                <w:color w:val="auto"/>
                <w:szCs w:val="21"/>
              </w:rPr>
            </w:pPr>
          </w:p>
        </w:tc>
      </w:tr>
      <w:tr w14:paraId="49953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vAlign w:val="center"/>
          </w:tcPr>
          <w:p w14:paraId="3E1A9961">
            <w:pPr>
              <w:spacing w:line="440" w:lineRule="exact"/>
              <w:jc w:val="center"/>
              <w:rPr>
                <w:rFonts w:ascii="宋体" w:hAnsi="宋体"/>
                <w:color w:val="auto"/>
                <w:szCs w:val="21"/>
              </w:rPr>
            </w:pPr>
          </w:p>
        </w:tc>
        <w:tc>
          <w:tcPr>
            <w:tcW w:w="1086" w:type="dxa"/>
            <w:vAlign w:val="center"/>
          </w:tcPr>
          <w:p w14:paraId="60AC2559">
            <w:pPr>
              <w:spacing w:line="440" w:lineRule="exact"/>
              <w:jc w:val="center"/>
              <w:rPr>
                <w:rFonts w:ascii="宋体" w:hAnsi="宋体"/>
                <w:color w:val="auto"/>
                <w:szCs w:val="21"/>
              </w:rPr>
            </w:pPr>
          </w:p>
        </w:tc>
        <w:tc>
          <w:tcPr>
            <w:tcW w:w="761" w:type="dxa"/>
            <w:vAlign w:val="center"/>
          </w:tcPr>
          <w:p w14:paraId="0AD5A809">
            <w:pPr>
              <w:spacing w:line="440" w:lineRule="exact"/>
              <w:jc w:val="center"/>
              <w:rPr>
                <w:rFonts w:ascii="宋体" w:hAnsi="宋体"/>
                <w:color w:val="auto"/>
                <w:szCs w:val="21"/>
              </w:rPr>
            </w:pPr>
          </w:p>
        </w:tc>
        <w:tc>
          <w:tcPr>
            <w:tcW w:w="990" w:type="dxa"/>
            <w:vAlign w:val="center"/>
          </w:tcPr>
          <w:p w14:paraId="28B00818">
            <w:pPr>
              <w:spacing w:line="440" w:lineRule="exact"/>
              <w:jc w:val="center"/>
              <w:rPr>
                <w:rFonts w:ascii="宋体" w:hAnsi="宋体"/>
                <w:color w:val="auto"/>
                <w:szCs w:val="21"/>
              </w:rPr>
            </w:pPr>
          </w:p>
        </w:tc>
        <w:tc>
          <w:tcPr>
            <w:tcW w:w="672" w:type="dxa"/>
            <w:vAlign w:val="center"/>
          </w:tcPr>
          <w:p w14:paraId="568D466B">
            <w:pPr>
              <w:spacing w:line="440" w:lineRule="exact"/>
              <w:jc w:val="center"/>
              <w:rPr>
                <w:rFonts w:ascii="宋体" w:hAnsi="宋体"/>
                <w:color w:val="auto"/>
                <w:szCs w:val="21"/>
              </w:rPr>
            </w:pPr>
          </w:p>
        </w:tc>
        <w:tc>
          <w:tcPr>
            <w:tcW w:w="738" w:type="dxa"/>
            <w:vAlign w:val="center"/>
          </w:tcPr>
          <w:p w14:paraId="6B5B6D39">
            <w:pPr>
              <w:spacing w:line="440" w:lineRule="exact"/>
              <w:jc w:val="center"/>
              <w:rPr>
                <w:rFonts w:ascii="宋体" w:hAnsi="宋体"/>
                <w:color w:val="auto"/>
                <w:szCs w:val="21"/>
              </w:rPr>
            </w:pPr>
          </w:p>
        </w:tc>
        <w:tc>
          <w:tcPr>
            <w:tcW w:w="1212" w:type="dxa"/>
            <w:vAlign w:val="center"/>
          </w:tcPr>
          <w:p w14:paraId="45E05A68">
            <w:pPr>
              <w:spacing w:line="440" w:lineRule="exact"/>
              <w:jc w:val="center"/>
              <w:rPr>
                <w:rFonts w:ascii="宋体" w:hAnsi="宋体"/>
                <w:color w:val="auto"/>
                <w:szCs w:val="21"/>
              </w:rPr>
            </w:pPr>
          </w:p>
        </w:tc>
        <w:tc>
          <w:tcPr>
            <w:tcW w:w="874" w:type="dxa"/>
            <w:vAlign w:val="center"/>
          </w:tcPr>
          <w:p w14:paraId="1B926AF4">
            <w:pPr>
              <w:spacing w:line="440" w:lineRule="exact"/>
              <w:jc w:val="center"/>
              <w:rPr>
                <w:rFonts w:ascii="宋体" w:hAnsi="宋体"/>
                <w:color w:val="auto"/>
                <w:szCs w:val="21"/>
              </w:rPr>
            </w:pPr>
          </w:p>
        </w:tc>
        <w:tc>
          <w:tcPr>
            <w:tcW w:w="1055" w:type="dxa"/>
            <w:vAlign w:val="center"/>
          </w:tcPr>
          <w:p w14:paraId="49E74DB6">
            <w:pPr>
              <w:spacing w:line="440" w:lineRule="exact"/>
              <w:jc w:val="center"/>
              <w:rPr>
                <w:rFonts w:ascii="宋体" w:hAnsi="宋体"/>
                <w:color w:val="auto"/>
                <w:szCs w:val="21"/>
              </w:rPr>
            </w:pPr>
          </w:p>
        </w:tc>
        <w:tc>
          <w:tcPr>
            <w:tcW w:w="691" w:type="dxa"/>
            <w:vAlign w:val="center"/>
          </w:tcPr>
          <w:p w14:paraId="065018A1">
            <w:pPr>
              <w:spacing w:line="440" w:lineRule="exact"/>
              <w:jc w:val="center"/>
              <w:rPr>
                <w:rFonts w:ascii="宋体" w:hAnsi="宋体"/>
                <w:color w:val="auto"/>
                <w:szCs w:val="21"/>
              </w:rPr>
            </w:pPr>
          </w:p>
        </w:tc>
      </w:tr>
      <w:tr w14:paraId="42E14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Pr>
          <w:p w14:paraId="085662F5">
            <w:pPr>
              <w:spacing w:line="440" w:lineRule="exact"/>
              <w:jc w:val="center"/>
              <w:rPr>
                <w:rFonts w:ascii="宋体" w:hAnsi="宋体"/>
                <w:color w:val="auto"/>
                <w:szCs w:val="21"/>
              </w:rPr>
            </w:pPr>
          </w:p>
        </w:tc>
        <w:tc>
          <w:tcPr>
            <w:tcW w:w="1086" w:type="dxa"/>
          </w:tcPr>
          <w:p w14:paraId="35D2A7C9">
            <w:pPr>
              <w:spacing w:line="440" w:lineRule="exact"/>
              <w:jc w:val="center"/>
              <w:rPr>
                <w:rFonts w:ascii="宋体" w:hAnsi="宋体"/>
                <w:color w:val="auto"/>
                <w:szCs w:val="21"/>
              </w:rPr>
            </w:pPr>
          </w:p>
        </w:tc>
        <w:tc>
          <w:tcPr>
            <w:tcW w:w="761" w:type="dxa"/>
          </w:tcPr>
          <w:p w14:paraId="5BC0CD02">
            <w:pPr>
              <w:spacing w:line="440" w:lineRule="exact"/>
              <w:jc w:val="center"/>
              <w:rPr>
                <w:rFonts w:ascii="宋体" w:hAnsi="宋体"/>
                <w:color w:val="auto"/>
                <w:szCs w:val="21"/>
              </w:rPr>
            </w:pPr>
          </w:p>
        </w:tc>
        <w:tc>
          <w:tcPr>
            <w:tcW w:w="990" w:type="dxa"/>
          </w:tcPr>
          <w:p w14:paraId="76BC3E88">
            <w:pPr>
              <w:spacing w:line="440" w:lineRule="exact"/>
              <w:jc w:val="center"/>
              <w:rPr>
                <w:rFonts w:ascii="宋体" w:hAnsi="宋体"/>
                <w:color w:val="auto"/>
                <w:szCs w:val="21"/>
              </w:rPr>
            </w:pPr>
          </w:p>
        </w:tc>
        <w:tc>
          <w:tcPr>
            <w:tcW w:w="672" w:type="dxa"/>
          </w:tcPr>
          <w:p w14:paraId="7AD19CA8">
            <w:pPr>
              <w:spacing w:line="440" w:lineRule="exact"/>
              <w:jc w:val="center"/>
              <w:rPr>
                <w:rFonts w:ascii="宋体" w:hAnsi="宋体"/>
                <w:color w:val="auto"/>
                <w:szCs w:val="21"/>
              </w:rPr>
            </w:pPr>
          </w:p>
        </w:tc>
        <w:tc>
          <w:tcPr>
            <w:tcW w:w="738" w:type="dxa"/>
          </w:tcPr>
          <w:p w14:paraId="10095128">
            <w:pPr>
              <w:spacing w:line="440" w:lineRule="exact"/>
              <w:jc w:val="center"/>
              <w:rPr>
                <w:rFonts w:ascii="宋体" w:hAnsi="宋体"/>
                <w:color w:val="auto"/>
                <w:szCs w:val="21"/>
              </w:rPr>
            </w:pPr>
          </w:p>
        </w:tc>
        <w:tc>
          <w:tcPr>
            <w:tcW w:w="1212" w:type="dxa"/>
          </w:tcPr>
          <w:p w14:paraId="208EBFB3">
            <w:pPr>
              <w:spacing w:line="440" w:lineRule="exact"/>
              <w:jc w:val="center"/>
              <w:rPr>
                <w:rFonts w:ascii="宋体" w:hAnsi="宋体"/>
                <w:color w:val="auto"/>
                <w:szCs w:val="21"/>
              </w:rPr>
            </w:pPr>
          </w:p>
        </w:tc>
        <w:tc>
          <w:tcPr>
            <w:tcW w:w="874" w:type="dxa"/>
          </w:tcPr>
          <w:p w14:paraId="5B4BCAA0">
            <w:pPr>
              <w:spacing w:line="440" w:lineRule="exact"/>
              <w:jc w:val="center"/>
              <w:rPr>
                <w:rFonts w:ascii="宋体" w:hAnsi="宋体"/>
                <w:color w:val="auto"/>
                <w:szCs w:val="21"/>
              </w:rPr>
            </w:pPr>
          </w:p>
        </w:tc>
        <w:tc>
          <w:tcPr>
            <w:tcW w:w="1055" w:type="dxa"/>
          </w:tcPr>
          <w:p w14:paraId="360E5822">
            <w:pPr>
              <w:spacing w:line="440" w:lineRule="exact"/>
              <w:jc w:val="center"/>
              <w:rPr>
                <w:rFonts w:ascii="宋体" w:hAnsi="宋体"/>
                <w:color w:val="auto"/>
                <w:szCs w:val="21"/>
              </w:rPr>
            </w:pPr>
          </w:p>
        </w:tc>
        <w:tc>
          <w:tcPr>
            <w:tcW w:w="691" w:type="dxa"/>
          </w:tcPr>
          <w:p w14:paraId="6DB8D68C">
            <w:pPr>
              <w:spacing w:line="440" w:lineRule="exact"/>
              <w:jc w:val="center"/>
              <w:rPr>
                <w:rFonts w:ascii="宋体" w:hAnsi="宋体"/>
                <w:color w:val="auto"/>
                <w:szCs w:val="21"/>
              </w:rPr>
            </w:pPr>
          </w:p>
        </w:tc>
      </w:tr>
      <w:tr w14:paraId="28DF0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Pr>
          <w:p w14:paraId="6E775D0B">
            <w:pPr>
              <w:spacing w:line="440" w:lineRule="exact"/>
              <w:jc w:val="center"/>
              <w:rPr>
                <w:rFonts w:ascii="宋体" w:hAnsi="宋体"/>
                <w:color w:val="auto"/>
                <w:szCs w:val="21"/>
              </w:rPr>
            </w:pPr>
          </w:p>
        </w:tc>
        <w:tc>
          <w:tcPr>
            <w:tcW w:w="1086" w:type="dxa"/>
          </w:tcPr>
          <w:p w14:paraId="3366A22C">
            <w:pPr>
              <w:spacing w:line="440" w:lineRule="exact"/>
              <w:jc w:val="center"/>
              <w:rPr>
                <w:rFonts w:ascii="宋体" w:hAnsi="宋体"/>
                <w:color w:val="auto"/>
                <w:szCs w:val="21"/>
              </w:rPr>
            </w:pPr>
          </w:p>
        </w:tc>
        <w:tc>
          <w:tcPr>
            <w:tcW w:w="761" w:type="dxa"/>
          </w:tcPr>
          <w:p w14:paraId="6BA12CCF">
            <w:pPr>
              <w:spacing w:line="440" w:lineRule="exact"/>
              <w:jc w:val="center"/>
              <w:rPr>
                <w:rFonts w:ascii="宋体" w:hAnsi="宋体"/>
                <w:color w:val="auto"/>
                <w:szCs w:val="21"/>
              </w:rPr>
            </w:pPr>
          </w:p>
        </w:tc>
        <w:tc>
          <w:tcPr>
            <w:tcW w:w="990" w:type="dxa"/>
          </w:tcPr>
          <w:p w14:paraId="033B6E68">
            <w:pPr>
              <w:spacing w:line="440" w:lineRule="exact"/>
              <w:jc w:val="center"/>
              <w:rPr>
                <w:rFonts w:ascii="宋体" w:hAnsi="宋体"/>
                <w:color w:val="auto"/>
                <w:szCs w:val="21"/>
              </w:rPr>
            </w:pPr>
          </w:p>
        </w:tc>
        <w:tc>
          <w:tcPr>
            <w:tcW w:w="672" w:type="dxa"/>
          </w:tcPr>
          <w:p w14:paraId="08BF9A54">
            <w:pPr>
              <w:spacing w:line="440" w:lineRule="exact"/>
              <w:jc w:val="center"/>
              <w:rPr>
                <w:rFonts w:ascii="宋体" w:hAnsi="宋体"/>
                <w:color w:val="auto"/>
                <w:szCs w:val="21"/>
              </w:rPr>
            </w:pPr>
          </w:p>
        </w:tc>
        <w:tc>
          <w:tcPr>
            <w:tcW w:w="738" w:type="dxa"/>
          </w:tcPr>
          <w:p w14:paraId="221F79A4">
            <w:pPr>
              <w:spacing w:line="440" w:lineRule="exact"/>
              <w:jc w:val="center"/>
              <w:rPr>
                <w:rFonts w:ascii="宋体" w:hAnsi="宋体"/>
                <w:color w:val="auto"/>
                <w:szCs w:val="21"/>
              </w:rPr>
            </w:pPr>
          </w:p>
        </w:tc>
        <w:tc>
          <w:tcPr>
            <w:tcW w:w="1212" w:type="dxa"/>
          </w:tcPr>
          <w:p w14:paraId="7713E652">
            <w:pPr>
              <w:spacing w:line="440" w:lineRule="exact"/>
              <w:jc w:val="center"/>
              <w:rPr>
                <w:rFonts w:ascii="宋体" w:hAnsi="宋体"/>
                <w:color w:val="auto"/>
                <w:szCs w:val="21"/>
              </w:rPr>
            </w:pPr>
          </w:p>
        </w:tc>
        <w:tc>
          <w:tcPr>
            <w:tcW w:w="874" w:type="dxa"/>
          </w:tcPr>
          <w:p w14:paraId="1609D524">
            <w:pPr>
              <w:spacing w:line="440" w:lineRule="exact"/>
              <w:jc w:val="center"/>
              <w:rPr>
                <w:rFonts w:ascii="宋体" w:hAnsi="宋体"/>
                <w:color w:val="auto"/>
                <w:szCs w:val="21"/>
              </w:rPr>
            </w:pPr>
          </w:p>
        </w:tc>
        <w:tc>
          <w:tcPr>
            <w:tcW w:w="1055" w:type="dxa"/>
          </w:tcPr>
          <w:p w14:paraId="545FFB78">
            <w:pPr>
              <w:spacing w:line="440" w:lineRule="exact"/>
              <w:jc w:val="center"/>
              <w:rPr>
                <w:rFonts w:ascii="宋体" w:hAnsi="宋体"/>
                <w:color w:val="auto"/>
                <w:szCs w:val="21"/>
              </w:rPr>
            </w:pPr>
          </w:p>
        </w:tc>
        <w:tc>
          <w:tcPr>
            <w:tcW w:w="691" w:type="dxa"/>
          </w:tcPr>
          <w:p w14:paraId="6E0B965E">
            <w:pPr>
              <w:spacing w:line="440" w:lineRule="exact"/>
              <w:jc w:val="center"/>
              <w:rPr>
                <w:rFonts w:ascii="宋体" w:hAnsi="宋体"/>
                <w:color w:val="auto"/>
                <w:szCs w:val="21"/>
              </w:rPr>
            </w:pPr>
          </w:p>
        </w:tc>
      </w:tr>
      <w:tr w14:paraId="360DD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Pr>
          <w:p w14:paraId="05076681">
            <w:pPr>
              <w:spacing w:line="440" w:lineRule="exact"/>
              <w:jc w:val="center"/>
              <w:rPr>
                <w:rFonts w:ascii="宋体" w:hAnsi="宋体"/>
                <w:color w:val="auto"/>
                <w:szCs w:val="21"/>
              </w:rPr>
            </w:pPr>
          </w:p>
        </w:tc>
        <w:tc>
          <w:tcPr>
            <w:tcW w:w="1086" w:type="dxa"/>
          </w:tcPr>
          <w:p w14:paraId="6380736E">
            <w:pPr>
              <w:spacing w:line="440" w:lineRule="exact"/>
              <w:jc w:val="center"/>
              <w:rPr>
                <w:rFonts w:ascii="宋体" w:hAnsi="宋体"/>
                <w:color w:val="auto"/>
                <w:szCs w:val="21"/>
              </w:rPr>
            </w:pPr>
          </w:p>
        </w:tc>
        <w:tc>
          <w:tcPr>
            <w:tcW w:w="761" w:type="dxa"/>
          </w:tcPr>
          <w:p w14:paraId="19827255">
            <w:pPr>
              <w:spacing w:line="440" w:lineRule="exact"/>
              <w:jc w:val="center"/>
              <w:rPr>
                <w:rFonts w:ascii="宋体" w:hAnsi="宋体"/>
                <w:color w:val="auto"/>
                <w:szCs w:val="21"/>
              </w:rPr>
            </w:pPr>
          </w:p>
        </w:tc>
        <w:tc>
          <w:tcPr>
            <w:tcW w:w="990" w:type="dxa"/>
          </w:tcPr>
          <w:p w14:paraId="1C642FEE">
            <w:pPr>
              <w:spacing w:line="440" w:lineRule="exact"/>
              <w:jc w:val="center"/>
              <w:rPr>
                <w:rFonts w:ascii="宋体" w:hAnsi="宋体"/>
                <w:color w:val="auto"/>
                <w:szCs w:val="21"/>
              </w:rPr>
            </w:pPr>
          </w:p>
        </w:tc>
        <w:tc>
          <w:tcPr>
            <w:tcW w:w="672" w:type="dxa"/>
          </w:tcPr>
          <w:p w14:paraId="1E20F792">
            <w:pPr>
              <w:spacing w:line="440" w:lineRule="exact"/>
              <w:jc w:val="center"/>
              <w:rPr>
                <w:rFonts w:ascii="宋体" w:hAnsi="宋体"/>
                <w:color w:val="auto"/>
                <w:szCs w:val="21"/>
              </w:rPr>
            </w:pPr>
          </w:p>
        </w:tc>
        <w:tc>
          <w:tcPr>
            <w:tcW w:w="738" w:type="dxa"/>
          </w:tcPr>
          <w:p w14:paraId="45A24FED">
            <w:pPr>
              <w:spacing w:line="440" w:lineRule="exact"/>
              <w:jc w:val="center"/>
              <w:rPr>
                <w:rFonts w:ascii="宋体" w:hAnsi="宋体"/>
                <w:color w:val="auto"/>
                <w:szCs w:val="21"/>
              </w:rPr>
            </w:pPr>
          </w:p>
        </w:tc>
        <w:tc>
          <w:tcPr>
            <w:tcW w:w="1212" w:type="dxa"/>
          </w:tcPr>
          <w:p w14:paraId="2393F21E">
            <w:pPr>
              <w:spacing w:line="440" w:lineRule="exact"/>
              <w:jc w:val="center"/>
              <w:rPr>
                <w:rFonts w:ascii="宋体" w:hAnsi="宋体"/>
                <w:color w:val="auto"/>
                <w:szCs w:val="21"/>
              </w:rPr>
            </w:pPr>
          </w:p>
        </w:tc>
        <w:tc>
          <w:tcPr>
            <w:tcW w:w="874" w:type="dxa"/>
          </w:tcPr>
          <w:p w14:paraId="789A6B9A">
            <w:pPr>
              <w:spacing w:line="440" w:lineRule="exact"/>
              <w:jc w:val="center"/>
              <w:rPr>
                <w:rFonts w:ascii="宋体" w:hAnsi="宋体"/>
                <w:color w:val="auto"/>
                <w:szCs w:val="21"/>
              </w:rPr>
            </w:pPr>
          </w:p>
        </w:tc>
        <w:tc>
          <w:tcPr>
            <w:tcW w:w="1055" w:type="dxa"/>
          </w:tcPr>
          <w:p w14:paraId="48F189BB">
            <w:pPr>
              <w:spacing w:line="440" w:lineRule="exact"/>
              <w:jc w:val="center"/>
              <w:rPr>
                <w:rFonts w:ascii="宋体" w:hAnsi="宋体"/>
                <w:color w:val="auto"/>
                <w:szCs w:val="21"/>
              </w:rPr>
            </w:pPr>
          </w:p>
        </w:tc>
        <w:tc>
          <w:tcPr>
            <w:tcW w:w="691" w:type="dxa"/>
          </w:tcPr>
          <w:p w14:paraId="7FB27361">
            <w:pPr>
              <w:spacing w:line="440" w:lineRule="exact"/>
              <w:jc w:val="center"/>
              <w:rPr>
                <w:rFonts w:ascii="宋体" w:hAnsi="宋体"/>
                <w:color w:val="auto"/>
                <w:szCs w:val="21"/>
              </w:rPr>
            </w:pPr>
          </w:p>
        </w:tc>
      </w:tr>
      <w:tr w14:paraId="0E177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Pr>
          <w:p w14:paraId="14C014CF">
            <w:pPr>
              <w:spacing w:line="440" w:lineRule="exact"/>
              <w:jc w:val="center"/>
              <w:rPr>
                <w:rFonts w:ascii="宋体" w:hAnsi="宋体"/>
                <w:color w:val="auto"/>
                <w:szCs w:val="21"/>
              </w:rPr>
            </w:pPr>
          </w:p>
        </w:tc>
        <w:tc>
          <w:tcPr>
            <w:tcW w:w="1086" w:type="dxa"/>
          </w:tcPr>
          <w:p w14:paraId="3ECA936B">
            <w:pPr>
              <w:spacing w:line="440" w:lineRule="exact"/>
              <w:jc w:val="center"/>
              <w:rPr>
                <w:rFonts w:ascii="宋体" w:hAnsi="宋体"/>
                <w:color w:val="auto"/>
                <w:szCs w:val="21"/>
              </w:rPr>
            </w:pPr>
          </w:p>
        </w:tc>
        <w:tc>
          <w:tcPr>
            <w:tcW w:w="761" w:type="dxa"/>
          </w:tcPr>
          <w:p w14:paraId="2D24403F">
            <w:pPr>
              <w:spacing w:line="440" w:lineRule="exact"/>
              <w:jc w:val="center"/>
              <w:rPr>
                <w:rFonts w:ascii="宋体" w:hAnsi="宋体"/>
                <w:color w:val="auto"/>
                <w:szCs w:val="21"/>
              </w:rPr>
            </w:pPr>
          </w:p>
        </w:tc>
        <w:tc>
          <w:tcPr>
            <w:tcW w:w="990" w:type="dxa"/>
          </w:tcPr>
          <w:p w14:paraId="6D109038">
            <w:pPr>
              <w:spacing w:line="440" w:lineRule="exact"/>
              <w:jc w:val="center"/>
              <w:rPr>
                <w:rFonts w:ascii="宋体" w:hAnsi="宋体"/>
                <w:color w:val="auto"/>
                <w:szCs w:val="21"/>
              </w:rPr>
            </w:pPr>
          </w:p>
        </w:tc>
        <w:tc>
          <w:tcPr>
            <w:tcW w:w="672" w:type="dxa"/>
          </w:tcPr>
          <w:p w14:paraId="5F7F699A">
            <w:pPr>
              <w:spacing w:line="440" w:lineRule="exact"/>
              <w:jc w:val="center"/>
              <w:rPr>
                <w:rFonts w:ascii="宋体" w:hAnsi="宋体"/>
                <w:color w:val="auto"/>
                <w:szCs w:val="21"/>
              </w:rPr>
            </w:pPr>
          </w:p>
        </w:tc>
        <w:tc>
          <w:tcPr>
            <w:tcW w:w="738" w:type="dxa"/>
          </w:tcPr>
          <w:p w14:paraId="287EA0AA">
            <w:pPr>
              <w:spacing w:line="440" w:lineRule="exact"/>
              <w:jc w:val="center"/>
              <w:rPr>
                <w:rFonts w:ascii="宋体" w:hAnsi="宋体"/>
                <w:color w:val="auto"/>
                <w:szCs w:val="21"/>
              </w:rPr>
            </w:pPr>
          </w:p>
        </w:tc>
        <w:tc>
          <w:tcPr>
            <w:tcW w:w="1212" w:type="dxa"/>
          </w:tcPr>
          <w:p w14:paraId="5BDB4BF7">
            <w:pPr>
              <w:spacing w:line="440" w:lineRule="exact"/>
              <w:jc w:val="center"/>
              <w:rPr>
                <w:rFonts w:ascii="宋体" w:hAnsi="宋体"/>
                <w:color w:val="auto"/>
                <w:szCs w:val="21"/>
              </w:rPr>
            </w:pPr>
          </w:p>
        </w:tc>
        <w:tc>
          <w:tcPr>
            <w:tcW w:w="874" w:type="dxa"/>
          </w:tcPr>
          <w:p w14:paraId="155F91CA">
            <w:pPr>
              <w:spacing w:line="440" w:lineRule="exact"/>
              <w:jc w:val="center"/>
              <w:rPr>
                <w:rFonts w:ascii="宋体" w:hAnsi="宋体"/>
                <w:color w:val="auto"/>
                <w:szCs w:val="21"/>
              </w:rPr>
            </w:pPr>
          </w:p>
        </w:tc>
        <w:tc>
          <w:tcPr>
            <w:tcW w:w="1055" w:type="dxa"/>
          </w:tcPr>
          <w:p w14:paraId="427A5AFE">
            <w:pPr>
              <w:spacing w:line="440" w:lineRule="exact"/>
              <w:jc w:val="center"/>
              <w:rPr>
                <w:rFonts w:ascii="宋体" w:hAnsi="宋体"/>
                <w:color w:val="auto"/>
                <w:szCs w:val="21"/>
              </w:rPr>
            </w:pPr>
          </w:p>
        </w:tc>
        <w:tc>
          <w:tcPr>
            <w:tcW w:w="691" w:type="dxa"/>
          </w:tcPr>
          <w:p w14:paraId="0504461F">
            <w:pPr>
              <w:spacing w:line="440" w:lineRule="exact"/>
              <w:jc w:val="center"/>
              <w:rPr>
                <w:rFonts w:ascii="宋体" w:hAnsi="宋体"/>
                <w:color w:val="auto"/>
                <w:szCs w:val="21"/>
              </w:rPr>
            </w:pPr>
          </w:p>
        </w:tc>
      </w:tr>
      <w:tr w14:paraId="21A22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Pr>
          <w:p w14:paraId="21DFB436">
            <w:pPr>
              <w:spacing w:line="440" w:lineRule="exact"/>
              <w:jc w:val="center"/>
              <w:rPr>
                <w:rFonts w:ascii="宋体" w:hAnsi="宋体"/>
                <w:color w:val="auto"/>
                <w:szCs w:val="21"/>
              </w:rPr>
            </w:pPr>
          </w:p>
        </w:tc>
        <w:tc>
          <w:tcPr>
            <w:tcW w:w="1086" w:type="dxa"/>
          </w:tcPr>
          <w:p w14:paraId="4D17BF9E">
            <w:pPr>
              <w:spacing w:line="440" w:lineRule="exact"/>
              <w:jc w:val="center"/>
              <w:rPr>
                <w:rFonts w:ascii="宋体" w:hAnsi="宋体"/>
                <w:color w:val="auto"/>
                <w:szCs w:val="21"/>
              </w:rPr>
            </w:pPr>
          </w:p>
        </w:tc>
        <w:tc>
          <w:tcPr>
            <w:tcW w:w="761" w:type="dxa"/>
          </w:tcPr>
          <w:p w14:paraId="15D9C414">
            <w:pPr>
              <w:spacing w:line="440" w:lineRule="exact"/>
              <w:jc w:val="center"/>
              <w:rPr>
                <w:rFonts w:ascii="宋体" w:hAnsi="宋体"/>
                <w:color w:val="auto"/>
                <w:szCs w:val="21"/>
              </w:rPr>
            </w:pPr>
          </w:p>
        </w:tc>
        <w:tc>
          <w:tcPr>
            <w:tcW w:w="990" w:type="dxa"/>
          </w:tcPr>
          <w:p w14:paraId="505A88C0">
            <w:pPr>
              <w:spacing w:line="440" w:lineRule="exact"/>
              <w:jc w:val="center"/>
              <w:rPr>
                <w:rFonts w:ascii="宋体" w:hAnsi="宋体"/>
                <w:color w:val="auto"/>
                <w:szCs w:val="21"/>
              </w:rPr>
            </w:pPr>
          </w:p>
        </w:tc>
        <w:tc>
          <w:tcPr>
            <w:tcW w:w="672" w:type="dxa"/>
          </w:tcPr>
          <w:p w14:paraId="2EE7A2B2">
            <w:pPr>
              <w:spacing w:line="440" w:lineRule="exact"/>
              <w:jc w:val="center"/>
              <w:rPr>
                <w:rFonts w:ascii="宋体" w:hAnsi="宋体"/>
                <w:color w:val="auto"/>
                <w:szCs w:val="21"/>
              </w:rPr>
            </w:pPr>
          </w:p>
        </w:tc>
        <w:tc>
          <w:tcPr>
            <w:tcW w:w="738" w:type="dxa"/>
          </w:tcPr>
          <w:p w14:paraId="63A31F3B">
            <w:pPr>
              <w:spacing w:line="440" w:lineRule="exact"/>
              <w:jc w:val="center"/>
              <w:rPr>
                <w:rFonts w:ascii="宋体" w:hAnsi="宋体"/>
                <w:color w:val="auto"/>
                <w:szCs w:val="21"/>
              </w:rPr>
            </w:pPr>
          </w:p>
        </w:tc>
        <w:tc>
          <w:tcPr>
            <w:tcW w:w="1212" w:type="dxa"/>
          </w:tcPr>
          <w:p w14:paraId="42315CC1">
            <w:pPr>
              <w:spacing w:line="440" w:lineRule="exact"/>
              <w:jc w:val="center"/>
              <w:rPr>
                <w:rFonts w:ascii="宋体" w:hAnsi="宋体"/>
                <w:color w:val="auto"/>
                <w:szCs w:val="21"/>
              </w:rPr>
            </w:pPr>
          </w:p>
        </w:tc>
        <w:tc>
          <w:tcPr>
            <w:tcW w:w="874" w:type="dxa"/>
          </w:tcPr>
          <w:p w14:paraId="1817A966">
            <w:pPr>
              <w:spacing w:line="440" w:lineRule="exact"/>
              <w:jc w:val="center"/>
              <w:rPr>
                <w:rFonts w:ascii="宋体" w:hAnsi="宋体"/>
                <w:color w:val="auto"/>
                <w:szCs w:val="21"/>
              </w:rPr>
            </w:pPr>
          </w:p>
        </w:tc>
        <w:tc>
          <w:tcPr>
            <w:tcW w:w="1055" w:type="dxa"/>
          </w:tcPr>
          <w:p w14:paraId="1A34E7A0">
            <w:pPr>
              <w:spacing w:line="440" w:lineRule="exact"/>
              <w:jc w:val="center"/>
              <w:rPr>
                <w:rFonts w:ascii="宋体" w:hAnsi="宋体"/>
                <w:color w:val="auto"/>
                <w:szCs w:val="21"/>
              </w:rPr>
            </w:pPr>
          </w:p>
        </w:tc>
        <w:tc>
          <w:tcPr>
            <w:tcW w:w="691" w:type="dxa"/>
          </w:tcPr>
          <w:p w14:paraId="5F325618">
            <w:pPr>
              <w:spacing w:line="440" w:lineRule="exact"/>
              <w:jc w:val="center"/>
              <w:rPr>
                <w:rFonts w:ascii="宋体" w:hAnsi="宋体"/>
                <w:color w:val="auto"/>
                <w:szCs w:val="21"/>
              </w:rPr>
            </w:pPr>
          </w:p>
        </w:tc>
      </w:tr>
      <w:tr w14:paraId="330D9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Pr>
          <w:p w14:paraId="07BA3521">
            <w:pPr>
              <w:spacing w:line="440" w:lineRule="exact"/>
              <w:jc w:val="center"/>
              <w:rPr>
                <w:rFonts w:ascii="宋体" w:hAnsi="宋体"/>
                <w:color w:val="auto"/>
                <w:szCs w:val="21"/>
              </w:rPr>
            </w:pPr>
          </w:p>
        </w:tc>
        <w:tc>
          <w:tcPr>
            <w:tcW w:w="1086" w:type="dxa"/>
          </w:tcPr>
          <w:p w14:paraId="12C3CD4A">
            <w:pPr>
              <w:spacing w:line="440" w:lineRule="exact"/>
              <w:jc w:val="center"/>
              <w:rPr>
                <w:rFonts w:ascii="宋体" w:hAnsi="宋体"/>
                <w:color w:val="auto"/>
                <w:szCs w:val="21"/>
              </w:rPr>
            </w:pPr>
          </w:p>
        </w:tc>
        <w:tc>
          <w:tcPr>
            <w:tcW w:w="761" w:type="dxa"/>
          </w:tcPr>
          <w:p w14:paraId="21B7C276">
            <w:pPr>
              <w:spacing w:line="440" w:lineRule="exact"/>
              <w:jc w:val="center"/>
              <w:rPr>
                <w:rFonts w:ascii="宋体" w:hAnsi="宋体"/>
                <w:color w:val="auto"/>
                <w:szCs w:val="21"/>
              </w:rPr>
            </w:pPr>
          </w:p>
        </w:tc>
        <w:tc>
          <w:tcPr>
            <w:tcW w:w="990" w:type="dxa"/>
          </w:tcPr>
          <w:p w14:paraId="08918A4A">
            <w:pPr>
              <w:spacing w:line="440" w:lineRule="exact"/>
              <w:jc w:val="center"/>
              <w:rPr>
                <w:rFonts w:ascii="宋体" w:hAnsi="宋体"/>
                <w:color w:val="auto"/>
                <w:szCs w:val="21"/>
              </w:rPr>
            </w:pPr>
          </w:p>
        </w:tc>
        <w:tc>
          <w:tcPr>
            <w:tcW w:w="672" w:type="dxa"/>
          </w:tcPr>
          <w:p w14:paraId="19060891">
            <w:pPr>
              <w:spacing w:line="440" w:lineRule="exact"/>
              <w:jc w:val="center"/>
              <w:rPr>
                <w:rFonts w:ascii="宋体" w:hAnsi="宋体"/>
                <w:color w:val="auto"/>
                <w:szCs w:val="21"/>
              </w:rPr>
            </w:pPr>
          </w:p>
        </w:tc>
        <w:tc>
          <w:tcPr>
            <w:tcW w:w="738" w:type="dxa"/>
          </w:tcPr>
          <w:p w14:paraId="6FC80147">
            <w:pPr>
              <w:spacing w:line="440" w:lineRule="exact"/>
              <w:jc w:val="center"/>
              <w:rPr>
                <w:rFonts w:ascii="宋体" w:hAnsi="宋体"/>
                <w:color w:val="auto"/>
                <w:szCs w:val="21"/>
              </w:rPr>
            </w:pPr>
          </w:p>
        </w:tc>
        <w:tc>
          <w:tcPr>
            <w:tcW w:w="1212" w:type="dxa"/>
          </w:tcPr>
          <w:p w14:paraId="0E8A483B">
            <w:pPr>
              <w:spacing w:line="440" w:lineRule="exact"/>
              <w:jc w:val="center"/>
              <w:rPr>
                <w:rFonts w:ascii="宋体" w:hAnsi="宋体"/>
                <w:color w:val="auto"/>
                <w:szCs w:val="21"/>
              </w:rPr>
            </w:pPr>
          </w:p>
        </w:tc>
        <w:tc>
          <w:tcPr>
            <w:tcW w:w="874" w:type="dxa"/>
          </w:tcPr>
          <w:p w14:paraId="7833AE1D">
            <w:pPr>
              <w:spacing w:line="440" w:lineRule="exact"/>
              <w:jc w:val="center"/>
              <w:rPr>
                <w:rFonts w:ascii="宋体" w:hAnsi="宋体"/>
                <w:color w:val="auto"/>
                <w:szCs w:val="21"/>
              </w:rPr>
            </w:pPr>
          </w:p>
        </w:tc>
        <w:tc>
          <w:tcPr>
            <w:tcW w:w="1055" w:type="dxa"/>
          </w:tcPr>
          <w:p w14:paraId="7208DD14">
            <w:pPr>
              <w:spacing w:line="440" w:lineRule="exact"/>
              <w:jc w:val="center"/>
              <w:rPr>
                <w:rFonts w:ascii="宋体" w:hAnsi="宋体"/>
                <w:color w:val="auto"/>
                <w:szCs w:val="21"/>
              </w:rPr>
            </w:pPr>
          </w:p>
        </w:tc>
        <w:tc>
          <w:tcPr>
            <w:tcW w:w="691" w:type="dxa"/>
          </w:tcPr>
          <w:p w14:paraId="077ABCA1">
            <w:pPr>
              <w:spacing w:line="440" w:lineRule="exact"/>
              <w:jc w:val="center"/>
              <w:rPr>
                <w:rFonts w:ascii="宋体" w:hAnsi="宋体"/>
                <w:color w:val="auto"/>
                <w:szCs w:val="21"/>
              </w:rPr>
            </w:pPr>
          </w:p>
        </w:tc>
      </w:tr>
      <w:tr w14:paraId="0170F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Pr>
          <w:p w14:paraId="153EA2AD">
            <w:pPr>
              <w:spacing w:line="440" w:lineRule="exact"/>
              <w:jc w:val="center"/>
              <w:rPr>
                <w:rFonts w:ascii="宋体" w:hAnsi="宋体"/>
                <w:color w:val="auto"/>
                <w:szCs w:val="21"/>
              </w:rPr>
            </w:pPr>
          </w:p>
        </w:tc>
        <w:tc>
          <w:tcPr>
            <w:tcW w:w="1086" w:type="dxa"/>
          </w:tcPr>
          <w:p w14:paraId="1F3FA2D1">
            <w:pPr>
              <w:spacing w:line="440" w:lineRule="exact"/>
              <w:jc w:val="center"/>
              <w:rPr>
                <w:rFonts w:ascii="宋体" w:hAnsi="宋体"/>
                <w:color w:val="auto"/>
                <w:szCs w:val="21"/>
              </w:rPr>
            </w:pPr>
          </w:p>
        </w:tc>
        <w:tc>
          <w:tcPr>
            <w:tcW w:w="761" w:type="dxa"/>
          </w:tcPr>
          <w:p w14:paraId="3ED709D6">
            <w:pPr>
              <w:spacing w:line="440" w:lineRule="exact"/>
              <w:jc w:val="center"/>
              <w:rPr>
                <w:rFonts w:ascii="宋体" w:hAnsi="宋体"/>
                <w:color w:val="auto"/>
                <w:szCs w:val="21"/>
              </w:rPr>
            </w:pPr>
          </w:p>
        </w:tc>
        <w:tc>
          <w:tcPr>
            <w:tcW w:w="990" w:type="dxa"/>
          </w:tcPr>
          <w:p w14:paraId="45C39488">
            <w:pPr>
              <w:spacing w:line="440" w:lineRule="exact"/>
              <w:jc w:val="center"/>
              <w:rPr>
                <w:rFonts w:ascii="宋体" w:hAnsi="宋体"/>
                <w:color w:val="auto"/>
                <w:szCs w:val="21"/>
              </w:rPr>
            </w:pPr>
          </w:p>
        </w:tc>
        <w:tc>
          <w:tcPr>
            <w:tcW w:w="672" w:type="dxa"/>
          </w:tcPr>
          <w:p w14:paraId="6E2DCA02">
            <w:pPr>
              <w:spacing w:line="440" w:lineRule="exact"/>
              <w:jc w:val="center"/>
              <w:rPr>
                <w:rFonts w:ascii="宋体" w:hAnsi="宋体"/>
                <w:color w:val="auto"/>
                <w:szCs w:val="21"/>
              </w:rPr>
            </w:pPr>
          </w:p>
        </w:tc>
        <w:tc>
          <w:tcPr>
            <w:tcW w:w="738" w:type="dxa"/>
          </w:tcPr>
          <w:p w14:paraId="25522A03">
            <w:pPr>
              <w:spacing w:line="440" w:lineRule="exact"/>
              <w:jc w:val="center"/>
              <w:rPr>
                <w:rFonts w:ascii="宋体" w:hAnsi="宋体"/>
                <w:color w:val="auto"/>
                <w:szCs w:val="21"/>
              </w:rPr>
            </w:pPr>
          </w:p>
        </w:tc>
        <w:tc>
          <w:tcPr>
            <w:tcW w:w="1212" w:type="dxa"/>
          </w:tcPr>
          <w:p w14:paraId="3E7BA2D0">
            <w:pPr>
              <w:spacing w:line="440" w:lineRule="exact"/>
              <w:jc w:val="center"/>
              <w:rPr>
                <w:rFonts w:ascii="宋体" w:hAnsi="宋体"/>
                <w:color w:val="auto"/>
                <w:szCs w:val="21"/>
              </w:rPr>
            </w:pPr>
          </w:p>
        </w:tc>
        <w:tc>
          <w:tcPr>
            <w:tcW w:w="874" w:type="dxa"/>
          </w:tcPr>
          <w:p w14:paraId="1706DE60">
            <w:pPr>
              <w:spacing w:line="440" w:lineRule="exact"/>
              <w:jc w:val="center"/>
              <w:rPr>
                <w:rFonts w:ascii="宋体" w:hAnsi="宋体"/>
                <w:color w:val="auto"/>
                <w:szCs w:val="21"/>
              </w:rPr>
            </w:pPr>
          </w:p>
        </w:tc>
        <w:tc>
          <w:tcPr>
            <w:tcW w:w="1055" w:type="dxa"/>
          </w:tcPr>
          <w:p w14:paraId="5367846A">
            <w:pPr>
              <w:spacing w:line="440" w:lineRule="exact"/>
              <w:jc w:val="center"/>
              <w:rPr>
                <w:rFonts w:ascii="宋体" w:hAnsi="宋体"/>
                <w:color w:val="auto"/>
                <w:szCs w:val="21"/>
              </w:rPr>
            </w:pPr>
          </w:p>
        </w:tc>
        <w:tc>
          <w:tcPr>
            <w:tcW w:w="691" w:type="dxa"/>
          </w:tcPr>
          <w:p w14:paraId="020901A8">
            <w:pPr>
              <w:spacing w:line="440" w:lineRule="exact"/>
              <w:jc w:val="center"/>
              <w:rPr>
                <w:rFonts w:ascii="宋体" w:hAnsi="宋体"/>
                <w:color w:val="auto"/>
                <w:szCs w:val="21"/>
              </w:rPr>
            </w:pPr>
          </w:p>
        </w:tc>
      </w:tr>
      <w:tr w14:paraId="2EAF9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Pr>
          <w:p w14:paraId="2E289DD4">
            <w:pPr>
              <w:spacing w:line="440" w:lineRule="exact"/>
              <w:jc w:val="center"/>
              <w:rPr>
                <w:rFonts w:ascii="宋体" w:hAnsi="宋体"/>
                <w:color w:val="auto"/>
                <w:szCs w:val="21"/>
              </w:rPr>
            </w:pPr>
          </w:p>
        </w:tc>
        <w:tc>
          <w:tcPr>
            <w:tcW w:w="1086" w:type="dxa"/>
          </w:tcPr>
          <w:p w14:paraId="088DF1BC">
            <w:pPr>
              <w:spacing w:line="440" w:lineRule="exact"/>
              <w:jc w:val="center"/>
              <w:rPr>
                <w:rFonts w:ascii="宋体" w:hAnsi="宋体"/>
                <w:color w:val="auto"/>
                <w:szCs w:val="21"/>
              </w:rPr>
            </w:pPr>
          </w:p>
        </w:tc>
        <w:tc>
          <w:tcPr>
            <w:tcW w:w="761" w:type="dxa"/>
          </w:tcPr>
          <w:p w14:paraId="694276DC">
            <w:pPr>
              <w:spacing w:line="440" w:lineRule="exact"/>
              <w:jc w:val="center"/>
              <w:rPr>
                <w:rFonts w:ascii="宋体" w:hAnsi="宋体"/>
                <w:color w:val="auto"/>
                <w:szCs w:val="21"/>
              </w:rPr>
            </w:pPr>
          </w:p>
        </w:tc>
        <w:tc>
          <w:tcPr>
            <w:tcW w:w="990" w:type="dxa"/>
          </w:tcPr>
          <w:p w14:paraId="22D8D973">
            <w:pPr>
              <w:spacing w:line="440" w:lineRule="exact"/>
              <w:jc w:val="center"/>
              <w:rPr>
                <w:rFonts w:ascii="宋体" w:hAnsi="宋体"/>
                <w:color w:val="auto"/>
                <w:szCs w:val="21"/>
              </w:rPr>
            </w:pPr>
          </w:p>
        </w:tc>
        <w:tc>
          <w:tcPr>
            <w:tcW w:w="672" w:type="dxa"/>
          </w:tcPr>
          <w:p w14:paraId="01ABD6C8">
            <w:pPr>
              <w:spacing w:line="440" w:lineRule="exact"/>
              <w:jc w:val="center"/>
              <w:rPr>
                <w:rFonts w:ascii="宋体" w:hAnsi="宋体"/>
                <w:color w:val="auto"/>
                <w:szCs w:val="21"/>
              </w:rPr>
            </w:pPr>
          </w:p>
        </w:tc>
        <w:tc>
          <w:tcPr>
            <w:tcW w:w="738" w:type="dxa"/>
          </w:tcPr>
          <w:p w14:paraId="59344D75">
            <w:pPr>
              <w:spacing w:line="440" w:lineRule="exact"/>
              <w:jc w:val="center"/>
              <w:rPr>
                <w:rFonts w:ascii="宋体" w:hAnsi="宋体"/>
                <w:color w:val="auto"/>
                <w:szCs w:val="21"/>
              </w:rPr>
            </w:pPr>
          </w:p>
        </w:tc>
        <w:tc>
          <w:tcPr>
            <w:tcW w:w="1212" w:type="dxa"/>
          </w:tcPr>
          <w:p w14:paraId="5E0E755B">
            <w:pPr>
              <w:spacing w:line="440" w:lineRule="exact"/>
              <w:jc w:val="center"/>
              <w:rPr>
                <w:rFonts w:ascii="宋体" w:hAnsi="宋体"/>
                <w:color w:val="auto"/>
                <w:szCs w:val="21"/>
              </w:rPr>
            </w:pPr>
          </w:p>
        </w:tc>
        <w:tc>
          <w:tcPr>
            <w:tcW w:w="874" w:type="dxa"/>
          </w:tcPr>
          <w:p w14:paraId="041C74AE">
            <w:pPr>
              <w:spacing w:line="440" w:lineRule="exact"/>
              <w:jc w:val="center"/>
              <w:rPr>
                <w:rFonts w:ascii="宋体" w:hAnsi="宋体"/>
                <w:color w:val="auto"/>
                <w:szCs w:val="21"/>
              </w:rPr>
            </w:pPr>
          </w:p>
        </w:tc>
        <w:tc>
          <w:tcPr>
            <w:tcW w:w="1055" w:type="dxa"/>
          </w:tcPr>
          <w:p w14:paraId="183A689D">
            <w:pPr>
              <w:spacing w:line="440" w:lineRule="exact"/>
              <w:jc w:val="center"/>
              <w:rPr>
                <w:rFonts w:ascii="宋体" w:hAnsi="宋体"/>
                <w:color w:val="auto"/>
                <w:szCs w:val="21"/>
              </w:rPr>
            </w:pPr>
          </w:p>
        </w:tc>
        <w:tc>
          <w:tcPr>
            <w:tcW w:w="691" w:type="dxa"/>
          </w:tcPr>
          <w:p w14:paraId="6AE13A90">
            <w:pPr>
              <w:spacing w:line="440" w:lineRule="exact"/>
              <w:jc w:val="center"/>
              <w:rPr>
                <w:rFonts w:ascii="宋体" w:hAnsi="宋体"/>
                <w:color w:val="auto"/>
                <w:szCs w:val="21"/>
              </w:rPr>
            </w:pPr>
          </w:p>
        </w:tc>
      </w:tr>
      <w:tr w14:paraId="36547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Pr>
          <w:p w14:paraId="4359A472">
            <w:pPr>
              <w:spacing w:line="440" w:lineRule="exact"/>
              <w:jc w:val="center"/>
              <w:rPr>
                <w:rFonts w:ascii="宋体" w:hAnsi="宋体"/>
                <w:color w:val="auto"/>
                <w:szCs w:val="21"/>
              </w:rPr>
            </w:pPr>
          </w:p>
        </w:tc>
        <w:tc>
          <w:tcPr>
            <w:tcW w:w="1086" w:type="dxa"/>
          </w:tcPr>
          <w:p w14:paraId="32DACC04">
            <w:pPr>
              <w:spacing w:line="440" w:lineRule="exact"/>
              <w:jc w:val="center"/>
              <w:rPr>
                <w:rFonts w:ascii="宋体" w:hAnsi="宋体"/>
                <w:color w:val="auto"/>
                <w:szCs w:val="21"/>
              </w:rPr>
            </w:pPr>
          </w:p>
        </w:tc>
        <w:tc>
          <w:tcPr>
            <w:tcW w:w="761" w:type="dxa"/>
          </w:tcPr>
          <w:p w14:paraId="7FDCD71C">
            <w:pPr>
              <w:spacing w:line="440" w:lineRule="exact"/>
              <w:jc w:val="center"/>
              <w:rPr>
                <w:rFonts w:ascii="宋体" w:hAnsi="宋体"/>
                <w:color w:val="auto"/>
                <w:szCs w:val="21"/>
              </w:rPr>
            </w:pPr>
          </w:p>
        </w:tc>
        <w:tc>
          <w:tcPr>
            <w:tcW w:w="990" w:type="dxa"/>
          </w:tcPr>
          <w:p w14:paraId="05A5A9C7">
            <w:pPr>
              <w:spacing w:line="440" w:lineRule="exact"/>
              <w:jc w:val="center"/>
              <w:rPr>
                <w:rFonts w:ascii="宋体" w:hAnsi="宋体"/>
                <w:color w:val="auto"/>
                <w:szCs w:val="21"/>
              </w:rPr>
            </w:pPr>
          </w:p>
        </w:tc>
        <w:tc>
          <w:tcPr>
            <w:tcW w:w="672" w:type="dxa"/>
          </w:tcPr>
          <w:p w14:paraId="41FF9D2F">
            <w:pPr>
              <w:spacing w:line="440" w:lineRule="exact"/>
              <w:jc w:val="center"/>
              <w:rPr>
                <w:rFonts w:ascii="宋体" w:hAnsi="宋体"/>
                <w:color w:val="auto"/>
                <w:szCs w:val="21"/>
              </w:rPr>
            </w:pPr>
          </w:p>
        </w:tc>
        <w:tc>
          <w:tcPr>
            <w:tcW w:w="738" w:type="dxa"/>
          </w:tcPr>
          <w:p w14:paraId="2E45D482">
            <w:pPr>
              <w:spacing w:line="440" w:lineRule="exact"/>
              <w:jc w:val="center"/>
              <w:rPr>
                <w:rFonts w:ascii="宋体" w:hAnsi="宋体"/>
                <w:color w:val="auto"/>
                <w:szCs w:val="21"/>
              </w:rPr>
            </w:pPr>
          </w:p>
        </w:tc>
        <w:tc>
          <w:tcPr>
            <w:tcW w:w="1212" w:type="dxa"/>
          </w:tcPr>
          <w:p w14:paraId="79270210">
            <w:pPr>
              <w:spacing w:line="440" w:lineRule="exact"/>
              <w:jc w:val="center"/>
              <w:rPr>
                <w:rFonts w:ascii="宋体" w:hAnsi="宋体"/>
                <w:color w:val="auto"/>
                <w:szCs w:val="21"/>
              </w:rPr>
            </w:pPr>
          </w:p>
        </w:tc>
        <w:tc>
          <w:tcPr>
            <w:tcW w:w="874" w:type="dxa"/>
          </w:tcPr>
          <w:p w14:paraId="3AFB2A4C">
            <w:pPr>
              <w:spacing w:line="440" w:lineRule="exact"/>
              <w:jc w:val="center"/>
              <w:rPr>
                <w:rFonts w:ascii="宋体" w:hAnsi="宋体"/>
                <w:color w:val="auto"/>
                <w:szCs w:val="21"/>
              </w:rPr>
            </w:pPr>
          </w:p>
        </w:tc>
        <w:tc>
          <w:tcPr>
            <w:tcW w:w="1055" w:type="dxa"/>
          </w:tcPr>
          <w:p w14:paraId="39367B7F">
            <w:pPr>
              <w:spacing w:line="440" w:lineRule="exact"/>
              <w:jc w:val="center"/>
              <w:rPr>
                <w:rFonts w:ascii="宋体" w:hAnsi="宋体"/>
                <w:color w:val="auto"/>
                <w:szCs w:val="21"/>
              </w:rPr>
            </w:pPr>
          </w:p>
        </w:tc>
        <w:tc>
          <w:tcPr>
            <w:tcW w:w="691" w:type="dxa"/>
          </w:tcPr>
          <w:p w14:paraId="1F0C6B67">
            <w:pPr>
              <w:spacing w:line="440" w:lineRule="exact"/>
              <w:jc w:val="center"/>
              <w:rPr>
                <w:rFonts w:ascii="宋体" w:hAnsi="宋体"/>
                <w:color w:val="auto"/>
                <w:szCs w:val="21"/>
              </w:rPr>
            </w:pPr>
          </w:p>
        </w:tc>
      </w:tr>
      <w:tr w14:paraId="5CED1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Pr>
          <w:p w14:paraId="12C721D5">
            <w:pPr>
              <w:spacing w:line="440" w:lineRule="exact"/>
              <w:jc w:val="center"/>
              <w:rPr>
                <w:rFonts w:ascii="宋体" w:hAnsi="宋体"/>
                <w:color w:val="auto"/>
                <w:szCs w:val="21"/>
              </w:rPr>
            </w:pPr>
          </w:p>
        </w:tc>
        <w:tc>
          <w:tcPr>
            <w:tcW w:w="1086" w:type="dxa"/>
          </w:tcPr>
          <w:p w14:paraId="71F0BA74">
            <w:pPr>
              <w:spacing w:line="440" w:lineRule="exact"/>
              <w:jc w:val="center"/>
              <w:rPr>
                <w:rFonts w:ascii="宋体" w:hAnsi="宋体"/>
                <w:color w:val="auto"/>
                <w:szCs w:val="21"/>
              </w:rPr>
            </w:pPr>
          </w:p>
        </w:tc>
        <w:tc>
          <w:tcPr>
            <w:tcW w:w="761" w:type="dxa"/>
          </w:tcPr>
          <w:p w14:paraId="3090C0AE">
            <w:pPr>
              <w:spacing w:line="440" w:lineRule="exact"/>
              <w:jc w:val="center"/>
              <w:rPr>
                <w:rFonts w:ascii="宋体" w:hAnsi="宋体"/>
                <w:color w:val="auto"/>
                <w:szCs w:val="21"/>
              </w:rPr>
            </w:pPr>
          </w:p>
        </w:tc>
        <w:tc>
          <w:tcPr>
            <w:tcW w:w="990" w:type="dxa"/>
          </w:tcPr>
          <w:p w14:paraId="7BC21FDC">
            <w:pPr>
              <w:spacing w:line="440" w:lineRule="exact"/>
              <w:jc w:val="center"/>
              <w:rPr>
                <w:rFonts w:ascii="宋体" w:hAnsi="宋体"/>
                <w:color w:val="auto"/>
                <w:szCs w:val="21"/>
              </w:rPr>
            </w:pPr>
          </w:p>
        </w:tc>
        <w:tc>
          <w:tcPr>
            <w:tcW w:w="672" w:type="dxa"/>
          </w:tcPr>
          <w:p w14:paraId="461B9D38">
            <w:pPr>
              <w:spacing w:line="440" w:lineRule="exact"/>
              <w:jc w:val="center"/>
              <w:rPr>
                <w:rFonts w:ascii="宋体" w:hAnsi="宋体"/>
                <w:color w:val="auto"/>
                <w:szCs w:val="21"/>
              </w:rPr>
            </w:pPr>
          </w:p>
        </w:tc>
        <w:tc>
          <w:tcPr>
            <w:tcW w:w="738" w:type="dxa"/>
          </w:tcPr>
          <w:p w14:paraId="6D61ED9C">
            <w:pPr>
              <w:spacing w:line="440" w:lineRule="exact"/>
              <w:jc w:val="center"/>
              <w:rPr>
                <w:rFonts w:ascii="宋体" w:hAnsi="宋体"/>
                <w:color w:val="auto"/>
                <w:szCs w:val="21"/>
              </w:rPr>
            </w:pPr>
          </w:p>
        </w:tc>
        <w:tc>
          <w:tcPr>
            <w:tcW w:w="1212" w:type="dxa"/>
          </w:tcPr>
          <w:p w14:paraId="34EC10A6">
            <w:pPr>
              <w:spacing w:line="440" w:lineRule="exact"/>
              <w:jc w:val="center"/>
              <w:rPr>
                <w:rFonts w:ascii="宋体" w:hAnsi="宋体"/>
                <w:color w:val="auto"/>
                <w:szCs w:val="21"/>
              </w:rPr>
            </w:pPr>
          </w:p>
        </w:tc>
        <w:tc>
          <w:tcPr>
            <w:tcW w:w="874" w:type="dxa"/>
          </w:tcPr>
          <w:p w14:paraId="3BC6CD92">
            <w:pPr>
              <w:spacing w:line="440" w:lineRule="exact"/>
              <w:jc w:val="center"/>
              <w:rPr>
                <w:rFonts w:ascii="宋体" w:hAnsi="宋体"/>
                <w:color w:val="auto"/>
                <w:szCs w:val="21"/>
              </w:rPr>
            </w:pPr>
          </w:p>
        </w:tc>
        <w:tc>
          <w:tcPr>
            <w:tcW w:w="1055" w:type="dxa"/>
          </w:tcPr>
          <w:p w14:paraId="73B634D7">
            <w:pPr>
              <w:spacing w:line="440" w:lineRule="exact"/>
              <w:jc w:val="center"/>
              <w:rPr>
                <w:rFonts w:ascii="宋体" w:hAnsi="宋体"/>
                <w:color w:val="auto"/>
                <w:szCs w:val="21"/>
              </w:rPr>
            </w:pPr>
          </w:p>
        </w:tc>
        <w:tc>
          <w:tcPr>
            <w:tcW w:w="691" w:type="dxa"/>
          </w:tcPr>
          <w:p w14:paraId="70E7B643">
            <w:pPr>
              <w:spacing w:line="440" w:lineRule="exact"/>
              <w:jc w:val="center"/>
              <w:rPr>
                <w:rFonts w:ascii="宋体" w:hAnsi="宋体"/>
                <w:color w:val="auto"/>
                <w:szCs w:val="21"/>
              </w:rPr>
            </w:pPr>
          </w:p>
        </w:tc>
      </w:tr>
      <w:tr w14:paraId="19F79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Pr>
          <w:p w14:paraId="2657019E">
            <w:pPr>
              <w:spacing w:line="440" w:lineRule="exact"/>
              <w:jc w:val="center"/>
              <w:rPr>
                <w:rFonts w:ascii="宋体" w:hAnsi="宋体"/>
                <w:color w:val="auto"/>
                <w:szCs w:val="21"/>
              </w:rPr>
            </w:pPr>
          </w:p>
        </w:tc>
        <w:tc>
          <w:tcPr>
            <w:tcW w:w="1086" w:type="dxa"/>
          </w:tcPr>
          <w:p w14:paraId="44DECCAF">
            <w:pPr>
              <w:spacing w:line="440" w:lineRule="exact"/>
              <w:jc w:val="center"/>
              <w:rPr>
                <w:rFonts w:ascii="宋体" w:hAnsi="宋体"/>
                <w:color w:val="auto"/>
                <w:szCs w:val="21"/>
              </w:rPr>
            </w:pPr>
          </w:p>
        </w:tc>
        <w:tc>
          <w:tcPr>
            <w:tcW w:w="761" w:type="dxa"/>
          </w:tcPr>
          <w:p w14:paraId="77F3AB1A">
            <w:pPr>
              <w:spacing w:line="440" w:lineRule="exact"/>
              <w:jc w:val="center"/>
              <w:rPr>
                <w:rFonts w:ascii="宋体" w:hAnsi="宋体"/>
                <w:color w:val="auto"/>
                <w:szCs w:val="21"/>
              </w:rPr>
            </w:pPr>
          </w:p>
        </w:tc>
        <w:tc>
          <w:tcPr>
            <w:tcW w:w="990" w:type="dxa"/>
          </w:tcPr>
          <w:p w14:paraId="00A9F7B5">
            <w:pPr>
              <w:spacing w:line="440" w:lineRule="exact"/>
              <w:jc w:val="center"/>
              <w:rPr>
                <w:rFonts w:ascii="宋体" w:hAnsi="宋体"/>
                <w:color w:val="auto"/>
                <w:szCs w:val="21"/>
              </w:rPr>
            </w:pPr>
          </w:p>
        </w:tc>
        <w:tc>
          <w:tcPr>
            <w:tcW w:w="672" w:type="dxa"/>
          </w:tcPr>
          <w:p w14:paraId="548A69C0">
            <w:pPr>
              <w:spacing w:line="440" w:lineRule="exact"/>
              <w:jc w:val="center"/>
              <w:rPr>
                <w:rFonts w:ascii="宋体" w:hAnsi="宋体"/>
                <w:color w:val="auto"/>
                <w:szCs w:val="21"/>
              </w:rPr>
            </w:pPr>
          </w:p>
        </w:tc>
        <w:tc>
          <w:tcPr>
            <w:tcW w:w="738" w:type="dxa"/>
          </w:tcPr>
          <w:p w14:paraId="29C301D2">
            <w:pPr>
              <w:spacing w:line="440" w:lineRule="exact"/>
              <w:jc w:val="center"/>
              <w:rPr>
                <w:rFonts w:ascii="宋体" w:hAnsi="宋体"/>
                <w:color w:val="auto"/>
                <w:szCs w:val="21"/>
              </w:rPr>
            </w:pPr>
          </w:p>
        </w:tc>
        <w:tc>
          <w:tcPr>
            <w:tcW w:w="1212" w:type="dxa"/>
          </w:tcPr>
          <w:p w14:paraId="72B08582">
            <w:pPr>
              <w:spacing w:line="440" w:lineRule="exact"/>
              <w:jc w:val="center"/>
              <w:rPr>
                <w:rFonts w:ascii="宋体" w:hAnsi="宋体"/>
                <w:color w:val="auto"/>
                <w:szCs w:val="21"/>
              </w:rPr>
            </w:pPr>
          </w:p>
        </w:tc>
        <w:tc>
          <w:tcPr>
            <w:tcW w:w="874" w:type="dxa"/>
          </w:tcPr>
          <w:p w14:paraId="679C02D4">
            <w:pPr>
              <w:spacing w:line="440" w:lineRule="exact"/>
              <w:jc w:val="center"/>
              <w:rPr>
                <w:rFonts w:ascii="宋体" w:hAnsi="宋体"/>
                <w:color w:val="auto"/>
                <w:szCs w:val="21"/>
              </w:rPr>
            </w:pPr>
          </w:p>
        </w:tc>
        <w:tc>
          <w:tcPr>
            <w:tcW w:w="1055" w:type="dxa"/>
          </w:tcPr>
          <w:p w14:paraId="38C5ABD1">
            <w:pPr>
              <w:spacing w:line="440" w:lineRule="exact"/>
              <w:jc w:val="center"/>
              <w:rPr>
                <w:rFonts w:ascii="宋体" w:hAnsi="宋体"/>
                <w:color w:val="auto"/>
                <w:szCs w:val="21"/>
              </w:rPr>
            </w:pPr>
          </w:p>
        </w:tc>
        <w:tc>
          <w:tcPr>
            <w:tcW w:w="691" w:type="dxa"/>
          </w:tcPr>
          <w:p w14:paraId="3626318E">
            <w:pPr>
              <w:spacing w:line="440" w:lineRule="exact"/>
              <w:jc w:val="center"/>
              <w:rPr>
                <w:rFonts w:ascii="宋体" w:hAnsi="宋体"/>
                <w:color w:val="auto"/>
                <w:szCs w:val="21"/>
              </w:rPr>
            </w:pPr>
          </w:p>
        </w:tc>
      </w:tr>
      <w:tr w14:paraId="20E8E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Pr>
          <w:p w14:paraId="7B0DDBDF">
            <w:pPr>
              <w:spacing w:line="440" w:lineRule="exact"/>
              <w:jc w:val="center"/>
              <w:rPr>
                <w:rFonts w:ascii="宋体" w:hAnsi="宋体"/>
                <w:color w:val="auto"/>
                <w:szCs w:val="21"/>
              </w:rPr>
            </w:pPr>
          </w:p>
        </w:tc>
        <w:tc>
          <w:tcPr>
            <w:tcW w:w="1086" w:type="dxa"/>
          </w:tcPr>
          <w:p w14:paraId="76DD2BC5">
            <w:pPr>
              <w:spacing w:line="440" w:lineRule="exact"/>
              <w:jc w:val="center"/>
              <w:rPr>
                <w:rFonts w:ascii="宋体" w:hAnsi="宋体"/>
                <w:color w:val="auto"/>
                <w:szCs w:val="21"/>
              </w:rPr>
            </w:pPr>
          </w:p>
        </w:tc>
        <w:tc>
          <w:tcPr>
            <w:tcW w:w="761" w:type="dxa"/>
          </w:tcPr>
          <w:p w14:paraId="30380008">
            <w:pPr>
              <w:spacing w:line="440" w:lineRule="exact"/>
              <w:jc w:val="center"/>
              <w:rPr>
                <w:rFonts w:ascii="宋体" w:hAnsi="宋体"/>
                <w:color w:val="auto"/>
                <w:szCs w:val="21"/>
              </w:rPr>
            </w:pPr>
          </w:p>
        </w:tc>
        <w:tc>
          <w:tcPr>
            <w:tcW w:w="990" w:type="dxa"/>
          </w:tcPr>
          <w:p w14:paraId="76AE4096">
            <w:pPr>
              <w:spacing w:line="440" w:lineRule="exact"/>
              <w:jc w:val="center"/>
              <w:rPr>
                <w:rFonts w:ascii="宋体" w:hAnsi="宋体"/>
                <w:color w:val="auto"/>
                <w:szCs w:val="21"/>
              </w:rPr>
            </w:pPr>
          </w:p>
        </w:tc>
        <w:tc>
          <w:tcPr>
            <w:tcW w:w="672" w:type="dxa"/>
          </w:tcPr>
          <w:p w14:paraId="53DE9BE3">
            <w:pPr>
              <w:spacing w:line="440" w:lineRule="exact"/>
              <w:jc w:val="center"/>
              <w:rPr>
                <w:rFonts w:ascii="宋体" w:hAnsi="宋体"/>
                <w:color w:val="auto"/>
                <w:szCs w:val="21"/>
              </w:rPr>
            </w:pPr>
          </w:p>
        </w:tc>
        <w:tc>
          <w:tcPr>
            <w:tcW w:w="738" w:type="dxa"/>
          </w:tcPr>
          <w:p w14:paraId="463294E8">
            <w:pPr>
              <w:spacing w:line="440" w:lineRule="exact"/>
              <w:jc w:val="center"/>
              <w:rPr>
                <w:rFonts w:ascii="宋体" w:hAnsi="宋体"/>
                <w:color w:val="auto"/>
                <w:szCs w:val="21"/>
              </w:rPr>
            </w:pPr>
          </w:p>
        </w:tc>
        <w:tc>
          <w:tcPr>
            <w:tcW w:w="1212" w:type="dxa"/>
          </w:tcPr>
          <w:p w14:paraId="48366901">
            <w:pPr>
              <w:spacing w:line="440" w:lineRule="exact"/>
              <w:jc w:val="center"/>
              <w:rPr>
                <w:rFonts w:ascii="宋体" w:hAnsi="宋体"/>
                <w:color w:val="auto"/>
                <w:szCs w:val="21"/>
              </w:rPr>
            </w:pPr>
          </w:p>
        </w:tc>
        <w:tc>
          <w:tcPr>
            <w:tcW w:w="874" w:type="dxa"/>
          </w:tcPr>
          <w:p w14:paraId="28C2B791">
            <w:pPr>
              <w:spacing w:line="440" w:lineRule="exact"/>
              <w:jc w:val="center"/>
              <w:rPr>
                <w:rFonts w:ascii="宋体" w:hAnsi="宋体"/>
                <w:color w:val="auto"/>
                <w:szCs w:val="21"/>
              </w:rPr>
            </w:pPr>
          </w:p>
        </w:tc>
        <w:tc>
          <w:tcPr>
            <w:tcW w:w="1055" w:type="dxa"/>
          </w:tcPr>
          <w:p w14:paraId="1B447280">
            <w:pPr>
              <w:spacing w:line="440" w:lineRule="exact"/>
              <w:jc w:val="center"/>
              <w:rPr>
                <w:rFonts w:ascii="宋体" w:hAnsi="宋体"/>
                <w:color w:val="auto"/>
                <w:szCs w:val="21"/>
              </w:rPr>
            </w:pPr>
          </w:p>
        </w:tc>
        <w:tc>
          <w:tcPr>
            <w:tcW w:w="691" w:type="dxa"/>
          </w:tcPr>
          <w:p w14:paraId="52E3FD78">
            <w:pPr>
              <w:spacing w:line="440" w:lineRule="exact"/>
              <w:jc w:val="center"/>
              <w:rPr>
                <w:rFonts w:ascii="宋体" w:hAnsi="宋体"/>
                <w:color w:val="auto"/>
                <w:szCs w:val="21"/>
              </w:rPr>
            </w:pPr>
          </w:p>
        </w:tc>
      </w:tr>
      <w:tr w14:paraId="42278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Pr>
          <w:p w14:paraId="5016A277">
            <w:pPr>
              <w:spacing w:line="440" w:lineRule="exact"/>
              <w:jc w:val="center"/>
              <w:rPr>
                <w:rFonts w:ascii="宋体" w:hAnsi="宋体"/>
                <w:color w:val="auto"/>
                <w:szCs w:val="21"/>
              </w:rPr>
            </w:pPr>
          </w:p>
        </w:tc>
        <w:tc>
          <w:tcPr>
            <w:tcW w:w="1086" w:type="dxa"/>
          </w:tcPr>
          <w:p w14:paraId="475822A3">
            <w:pPr>
              <w:spacing w:line="440" w:lineRule="exact"/>
              <w:jc w:val="center"/>
              <w:rPr>
                <w:rFonts w:ascii="宋体" w:hAnsi="宋体"/>
                <w:color w:val="auto"/>
                <w:szCs w:val="21"/>
              </w:rPr>
            </w:pPr>
          </w:p>
        </w:tc>
        <w:tc>
          <w:tcPr>
            <w:tcW w:w="761" w:type="dxa"/>
          </w:tcPr>
          <w:p w14:paraId="57BC29CB">
            <w:pPr>
              <w:spacing w:line="440" w:lineRule="exact"/>
              <w:jc w:val="center"/>
              <w:rPr>
                <w:rFonts w:ascii="宋体" w:hAnsi="宋体"/>
                <w:color w:val="auto"/>
                <w:szCs w:val="21"/>
              </w:rPr>
            </w:pPr>
          </w:p>
        </w:tc>
        <w:tc>
          <w:tcPr>
            <w:tcW w:w="990" w:type="dxa"/>
          </w:tcPr>
          <w:p w14:paraId="3C3A1330">
            <w:pPr>
              <w:spacing w:line="440" w:lineRule="exact"/>
              <w:jc w:val="center"/>
              <w:rPr>
                <w:rFonts w:ascii="宋体" w:hAnsi="宋体"/>
                <w:color w:val="auto"/>
                <w:szCs w:val="21"/>
              </w:rPr>
            </w:pPr>
          </w:p>
        </w:tc>
        <w:tc>
          <w:tcPr>
            <w:tcW w:w="672" w:type="dxa"/>
          </w:tcPr>
          <w:p w14:paraId="15C469E8">
            <w:pPr>
              <w:spacing w:line="440" w:lineRule="exact"/>
              <w:jc w:val="center"/>
              <w:rPr>
                <w:rFonts w:ascii="宋体" w:hAnsi="宋体"/>
                <w:color w:val="auto"/>
                <w:szCs w:val="21"/>
              </w:rPr>
            </w:pPr>
          </w:p>
        </w:tc>
        <w:tc>
          <w:tcPr>
            <w:tcW w:w="738" w:type="dxa"/>
          </w:tcPr>
          <w:p w14:paraId="712B6A5F">
            <w:pPr>
              <w:spacing w:line="440" w:lineRule="exact"/>
              <w:jc w:val="center"/>
              <w:rPr>
                <w:rFonts w:ascii="宋体" w:hAnsi="宋体"/>
                <w:color w:val="auto"/>
                <w:szCs w:val="21"/>
              </w:rPr>
            </w:pPr>
          </w:p>
        </w:tc>
        <w:tc>
          <w:tcPr>
            <w:tcW w:w="1212" w:type="dxa"/>
          </w:tcPr>
          <w:p w14:paraId="35E73658">
            <w:pPr>
              <w:spacing w:line="440" w:lineRule="exact"/>
              <w:jc w:val="center"/>
              <w:rPr>
                <w:rFonts w:ascii="宋体" w:hAnsi="宋体"/>
                <w:color w:val="auto"/>
                <w:szCs w:val="21"/>
              </w:rPr>
            </w:pPr>
          </w:p>
        </w:tc>
        <w:tc>
          <w:tcPr>
            <w:tcW w:w="874" w:type="dxa"/>
          </w:tcPr>
          <w:p w14:paraId="6BD66496">
            <w:pPr>
              <w:spacing w:line="440" w:lineRule="exact"/>
              <w:jc w:val="center"/>
              <w:rPr>
                <w:rFonts w:ascii="宋体" w:hAnsi="宋体"/>
                <w:color w:val="auto"/>
                <w:szCs w:val="21"/>
              </w:rPr>
            </w:pPr>
          </w:p>
        </w:tc>
        <w:tc>
          <w:tcPr>
            <w:tcW w:w="1055" w:type="dxa"/>
          </w:tcPr>
          <w:p w14:paraId="34CBFF91">
            <w:pPr>
              <w:spacing w:line="440" w:lineRule="exact"/>
              <w:jc w:val="center"/>
              <w:rPr>
                <w:rFonts w:ascii="宋体" w:hAnsi="宋体"/>
                <w:color w:val="auto"/>
                <w:szCs w:val="21"/>
              </w:rPr>
            </w:pPr>
          </w:p>
        </w:tc>
        <w:tc>
          <w:tcPr>
            <w:tcW w:w="691" w:type="dxa"/>
          </w:tcPr>
          <w:p w14:paraId="310AE620">
            <w:pPr>
              <w:spacing w:line="440" w:lineRule="exact"/>
              <w:jc w:val="center"/>
              <w:rPr>
                <w:rFonts w:ascii="宋体" w:hAnsi="宋体"/>
                <w:color w:val="auto"/>
                <w:szCs w:val="21"/>
              </w:rPr>
            </w:pPr>
          </w:p>
        </w:tc>
      </w:tr>
      <w:tr w14:paraId="296E8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Pr>
          <w:p w14:paraId="06A58D21">
            <w:pPr>
              <w:spacing w:line="440" w:lineRule="exact"/>
              <w:jc w:val="center"/>
              <w:rPr>
                <w:rFonts w:ascii="宋体" w:hAnsi="宋体"/>
                <w:color w:val="auto"/>
                <w:szCs w:val="21"/>
              </w:rPr>
            </w:pPr>
          </w:p>
        </w:tc>
        <w:tc>
          <w:tcPr>
            <w:tcW w:w="1086" w:type="dxa"/>
          </w:tcPr>
          <w:p w14:paraId="21A14B6F">
            <w:pPr>
              <w:spacing w:line="440" w:lineRule="exact"/>
              <w:jc w:val="center"/>
              <w:rPr>
                <w:rFonts w:ascii="宋体" w:hAnsi="宋体"/>
                <w:color w:val="auto"/>
                <w:szCs w:val="21"/>
              </w:rPr>
            </w:pPr>
          </w:p>
        </w:tc>
        <w:tc>
          <w:tcPr>
            <w:tcW w:w="761" w:type="dxa"/>
          </w:tcPr>
          <w:p w14:paraId="489F1840">
            <w:pPr>
              <w:spacing w:line="440" w:lineRule="exact"/>
              <w:jc w:val="center"/>
              <w:rPr>
                <w:rFonts w:ascii="宋体" w:hAnsi="宋体"/>
                <w:color w:val="auto"/>
                <w:szCs w:val="21"/>
              </w:rPr>
            </w:pPr>
          </w:p>
        </w:tc>
        <w:tc>
          <w:tcPr>
            <w:tcW w:w="990" w:type="dxa"/>
          </w:tcPr>
          <w:p w14:paraId="7AF63A01">
            <w:pPr>
              <w:spacing w:line="440" w:lineRule="exact"/>
              <w:jc w:val="center"/>
              <w:rPr>
                <w:rFonts w:ascii="宋体" w:hAnsi="宋体"/>
                <w:color w:val="auto"/>
                <w:szCs w:val="21"/>
              </w:rPr>
            </w:pPr>
          </w:p>
        </w:tc>
        <w:tc>
          <w:tcPr>
            <w:tcW w:w="672" w:type="dxa"/>
          </w:tcPr>
          <w:p w14:paraId="0CC661BF">
            <w:pPr>
              <w:spacing w:line="440" w:lineRule="exact"/>
              <w:jc w:val="center"/>
              <w:rPr>
                <w:rFonts w:ascii="宋体" w:hAnsi="宋体"/>
                <w:color w:val="auto"/>
                <w:szCs w:val="21"/>
              </w:rPr>
            </w:pPr>
          </w:p>
        </w:tc>
        <w:tc>
          <w:tcPr>
            <w:tcW w:w="738" w:type="dxa"/>
          </w:tcPr>
          <w:p w14:paraId="60CCE79E">
            <w:pPr>
              <w:spacing w:line="440" w:lineRule="exact"/>
              <w:jc w:val="center"/>
              <w:rPr>
                <w:rFonts w:ascii="宋体" w:hAnsi="宋体"/>
                <w:color w:val="auto"/>
                <w:szCs w:val="21"/>
              </w:rPr>
            </w:pPr>
          </w:p>
        </w:tc>
        <w:tc>
          <w:tcPr>
            <w:tcW w:w="1212" w:type="dxa"/>
          </w:tcPr>
          <w:p w14:paraId="23684DB0">
            <w:pPr>
              <w:spacing w:line="440" w:lineRule="exact"/>
              <w:jc w:val="center"/>
              <w:rPr>
                <w:rFonts w:ascii="宋体" w:hAnsi="宋体"/>
                <w:color w:val="auto"/>
                <w:szCs w:val="21"/>
              </w:rPr>
            </w:pPr>
          </w:p>
        </w:tc>
        <w:tc>
          <w:tcPr>
            <w:tcW w:w="874" w:type="dxa"/>
          </w:tcPr>
          <w:p w14:paraId="0D75F218">
            <w:pPr>
              <w:spacing w:line="440" w:lineRule="exact"/>
              <w:jc w:val="center"/>
              <w:rPr>
                <w:rFonts w:ascii="宋体" w:hAnsi="宋体"/>
                <w:color w:val="auto"/>
                <w:szCs w:val="21"/>
              </w:rPr>
            </w:pPr>
          </w:p>
        </w:tc>
        <w:tc>
          <w:tcPr>
            <w:tcW w:w="1055" w:type="dxa"/>
          </w:tcPr>
          <w:p w14:paraId="130FAE6C">
            <w:pPr>
              <w:spacing w:line="440" w:lineRule="exact"/>
              <w:jc w:val="center"/>
              <w:rPr>
                <w:rFonts w:ascii="宋体" w:hAnsi="宋体"/>
                <w:color w:val="auto"/>
                <w:szCs w:val="21"/>
              </w:rPr>
            </w:pPr>
          </w:p>
        </w:tc>
        <w:tc>
          <w:tcPr>
            <w:tcW w:w="691" w:type="dxa"/>
          </w:tcPr>
          <w:p w14:paraId="673B0B00">
            <w:pPr>
              <w:spacing w:line="440" w:lineRule="exact"/>
              <w:jc w:val="center"/>
              <w:rPr>
                <w:rFonts w:ascii="宋体" w:hAnsi="宋体"/>
                <w:color w:val="auto"/>
                <w:szCs w:val="21"/>
              </w:rPr>
            </w:pPr>
          </w:p>
        </w:tc>
      </w:tr>
      <w:tr w14:paraId="46E8E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Pr>
          <w:p w14:paraId="3F6CE514">
            <w:pPr>
              <w:spacing w:line="440" w:lineRule="exact"/>
              <w:jc w:val="center"/>
              <w:rPr>
                <w:rFonts w:ascii="宋体" w:hAnsi="宋体"/>
                <w:color w:val="auto"/>
                <w:szCs w:val="21"/>
              </w:rPr>
            </w:pPr>
          </w:p>
        </w:tc>
        <w:tc>
          <w:tcPr>
            <w:tcW w:w="1086" w:type="dxa"/>
          </w:tcPr>
          <w:p w14:paraId="6F3165DA">
            <w:pPr>
              <w:spacing w:line="440" w:lineRule="exact"/>
              <w:jc w:val="center"/>
              <w:rPr>
                <w:rFonts w:ascii="宋体" w:hAnsi="宋体"/>
                <w:color w:val="auto"/>
                <w:szCs w:val="21"/>
              </w:rPr>
            </w:pPr>
          </w:p>
        </w:tc>
        <w:tc>
          <w:tcPr>
            <w:tcW w:w="761" w:type="dxa"/>
          </w:tcPr>
          <w:p w14:paraId="64195B89">
            <w:pPr>
              <w:spacing w:line="440" w:lineRule="exact"/>
              <w:jc w:val="center"/>
              <w:rPr>
                <w:rFonts w:ascii="宋体" w:hAnsi="宋体"/>
                <w:color w:val="auto"/>
                <w:szCs w:val="21"/>
              </w:rPr>
            </w:pPr>
          </w:p>
        </w:tc>
        <w:tc>
          <w:tcPr>
            <w:tcW w:w="990" w:type="dxa"/>
          </w:tcPr>
          <w:p w14:paraId="07987D7C">
            <w:pPr>
              <w:spacing w:line="440" w:lineRule="exact"/>
              <w:jc w:val="center"/>
              <w:rPr>
                <w:rFonts w:ascii="宋体" w:hAnsi="宋体"/>
                <w:color w:val="auto"/>
                <w:szCs w:val="21"/>
              </w:rPr>
            </w:pPr>
          </w:p>
        </w:tc>
        <w:tc>
          <w:tcPr>
            <w:tcW w:w="672" w:type="dxa"/>
          </w:tcPr>
          <w:p w14:paraId="06155933">
            <w:pPr>
              <w:spacing w:line="440" w:lineRule="exact"/>
              <w:jc w:val="center"/>
              <w:rPr>
                <w:rFonts w:ascii="宋体" w:hAnsi="宋体"/>
                <w:color w:val="auto"/>
                <w:szCs w:val="21"/>
              </w:rPr>
            </w:pPr>
          </w:p>
        </w:tc>
        <w:tc>
          <w:tcPr>
            <w:tcW w:w="738" w:type="dxa"/>
          </w:tcPr>
          <w:p w14:paraId="6C658BFF">
            <w:pPr>
              <w:spacing w:line="440" w:lineRule="exact"/>
              <w:jc w:val="center"/>
              <w:rPr>
                <w:rFonts w:ascii="宋体" w:hAnsi="宋体"/>
                <w:color w:val="auto"/>
                <w:szCs w:val="21"/>
              </w:rPr>
            </w:pPr>
          </w:p>
        </w:tc>
        <w:tc>
          <w:tcPr>
            <w:tcW w:w="1212" w:type="dxa"/>
          </w:tcPr>
          <w:p w14:paraId="4A3ECDC2">
            <w:pPr>
              <w:spacing w:line="440" w:lineRule="exact"/>
              <w:jc w:val="center"/>
              <w:rPr>
                <w:rFonts w:ascii="宋体" w:hAnsi="宋体"/>
                <w:color w:val="auto"/>
                <w:szCs w:val="21"/>
              </w:rPr>
            </w:pPr>
          </w:p>
        </w:tc>
        <w:tc>
          <w:tcPr>
            <w:tcW w:w="874" w:type="dxa"/>
          </w:tcPr>
          <w:p w14:paraId="4274E867">
            <w:pPr>
              <w:spacing w:line="440" w:lineRule="exact"/>
              <w:jc w:val="center"/>
              <w:rPr>
                <w:rFonts w:ascii="宋体" w:hAnsi="宋体"/>
                <w:color w:val="auto"/>
                <w:szCs w:val="21"/>
              </w:rPr>
            </w:pPr>
          </w:p>
        </w:tc>
        <w:tc>
          <w:tcPr>
            <w:tcW w:w="1055" w:type="dxa"/>
          </w:tcPr>
          <w:p w14:paraId="6B8E7D93">
            <w:pPr>
              <w:spacing w:line="440" w:lineRule="exact"/>
              <w:jc w:val="center"/>
              <w:rPr>
                <w:rFonts w:ascii="宋体" w:hAnsi="宋体"/>
                <w:color w:val="auto"/>
                <w:szCs w:val="21"/>
              </w:rPr>
            </w:pPr>
          </w:p>
        </w:tc>
        <w:tc>
          <w:tcPr>
            <w:tcW w:w="691" w:type="dxa"/>
          </w:tcPr>
          <w:p w14:paraId="052F2067">
            <w:pPr>
              <w:spacing w:line="440" w:lineRule="exact"/>
              <w:jc w:val="center"/>
              <w:rPr>
                <w:rFonts w:ascii="宋体" w:hAnsi="宋体"/>
                <w:color w:val="auto"/>
                <w:szCs w:val="21"/>
              </w:rPr>
            </w:pPr>
          </w:p>
        </w:tc>
      </w:tr>
      <w:tr w14:paraId="2A52B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Pr>
          <w:p w14:paraId="2EE4DF01">
            <w:pPr>
              <w:spacing w:line="440" w:lineRule="exact"/>
              <w:jc w:val="center"/>
              <w:rPr>
                <w:rFonts w:ascii="宋体" w:hAnsi="宋体"/>
                <w:color w:val="auto"/>
                <w:szCs w:val="21"/>
              </w:rPr>
            </w:pPr>
          </w:p>
        </w:tc>
        <w:tc>
          <w:tcPr>
            <w:tcW w:w="1086" w:type="dxa"/>
          </w:tcPr>
          <w:p w14:paraId="0E96C6E8">
            <w:pPr>
              <w:spacing w:line="440" w:lineRule="exact"/>
              <w:jc w:val="center"/>
              <w:rPr>
                <w:rFonts w:ascii="宋体" w:hAnsi="宋体"/>
                <w:color w:val="auto"/>
                <w:szCs w:val="21"/>
              </w:rPr>
            </w:pPr>
          </w:p>
        </w:tc>
        <w:tc>
          <w:tcPr>
            <w:tcW w:w="761" w:type="dxa"/>
          </w:tcPr>
          <w:p w14:paraId="031B1FA2">
            <w:pPr>
              <w:spacing w:line="440" w:lineRule="exact"/>
              <w:jc w:val="center"/>
              <w:rPr>
                <w:rFonts w:ascii="宋体" w:hAnsi="宋体"/>
                <w:color w:val="auto"/>
                <w:szCs w:val="21"/>
              </w:rPr>
            </w:pPr>
          </w:p>
        </w:tc>
        <w:tc>
          <w:tcPr>
            <w:tcW w:w="990" w:type="dxa"/>
          </w:tcPr>
          <w:p w14:paraId="7445A508">
            <w:pPr>
              <w:spacing w:line="440" w:lineRule="exact"/>
              <w:jc w:val="center"/>
              <w:rPr>
                <w:rFonts w:ascii="宋体" w:hAnsi="宋体"/>
                <w:color w:val="auto"/>
                <w:szCs w:val="21"/>
              </w:rPr>
            </w:pPr>
          </w:p>
        </w:tc>
        <w:tc>
          <w:tcPr>
            <w:tcW w:w="672" w:type="dxa"/>
          </w:tcPr>
          <w:p w14:paraId="478A1304">
            <w:pPr>
              <w:spacing w:line="440" w:lineRule="exact"/>
              <w:jc w:val="center"/>
              <w:rPr>
                <w:rFonts w:ascii="宋体" w:hAnsi="宋体"/>
                <w:color w:val="auto"/>
                <w:szCs w:val="21"/>
              </w:rPr>
            </w:pPr>
          </w:p>
        </w:tc>
        <w:tc>
          <w:tcPr>
            <w:tcW w:w="738" w:type="dxa"/>
          </w:tcPr>
          <w:p w14:paraId="1E0ADD50">
            <w:pPr>
              <w:spacing w:line="440" w:lineRule="exact"/>
              <w:jc w:val="center"/>
              <w:rPr>
                <w:rFonts w:ascii="宋体" w:hAnsi="宋体"/>
                <w:color w:val="auto"/>
                <w:szCs w:val="21"/>
              </w:rPr>
            </w:pPr>
          </w:p>
        </w:tc>
        <w:tc>
          <w:tcPr>
            <w:tcW w:w="1212" w:type="dxa"/>
          </w:tcPr>
          <w:p w14:paraId="333872CB">
            <w:pPr>
              <w:spacing w:line="440" w:lineRule="exact"/>
              <w:jc w:val="center"/>
              <w:rPr>
                <w:rFonts w:ascii="宋体" w:hAnsi="宋体"/>
                <w:color w:val="auto"/>
                <w:szCs w:val="21"/>
              </w:rPr>
            </w:pPr>
          </w:p>
        </w:tc>
        <w:tc>
          <w:tcPr>
            <w:tcW w:w="874" w:type="dxa"/>
          </w:tcPr>
          <w:p w14:paraId="0947ADF6">
            <w:pPr>
              <w:spacing w:line="440" w:lineRule="exact"/>
              <w:jc w:val="center"/>
              <w:rPr>
                <w:rFonts w:ascii="宋体" w:hAnsi="宋体"/>
                <w:color w:val="auto"/>
                <w:szCs w:val="21"/>
              </w:rPr>
            </w:pPr>
          </w:p>
        </w:tc>
        <w:tc>
          <w:tcPr>
            <w:tcW w:w="1055" w:type="dxa"/>
          </w:tcPr>
          <w:p w14:paraId="0924A919">
            <w:pPr>
              <w:spacing w:line="440" w:lineRule="exact"/>
              <w:jc w:val="center"/>
              <w:rPr>
                <w:rFonts w:ascii="宋体" w:hAnsi="宋体"/>
                <w:color w:val="auto"/>
                <w:szCs w:val="21"/>
              </w:rPr>
            </w:pPr>
          </w:p>
        </w:tc>
        <w:tc>
          <w:tcPr>
            <w:tcW w:w="691" w:type="dxa"/>
          </w:tcPr>
          <w:p w14:paraId="0AE2361F">
            <w:pPr>
              <w:spacing w:line="440" w:lineRule="exact"/>
              <w:jc w:val="center"/>
              <w:rPr>
                <w:rFonts w:ascii="宋体" w:hAnsi="宋体"/>
                <w:color w:val="auto"/>
                <w:szCs w:val="21"/>
              </w:rPr>
            </w:pPr>
          </w:p>
        </w:tc>
      </w:tr>
      <w:tr w14:paraId="71FB8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Pr>
          <w:p w14:paraId="78639CAC">
            <w:pPr>
              <w:spacing w:line="440" w:lineRule="exact"/>
              <w:jc w:val="center"/>
              <w:rPr>
                <w:rFonts w:ascii="宋体" w:hAnsi="宋体"/>
                <w:color w:val="auto"/>
                <w:szCs w:val="21"/>
              </w:rPr>
            </w:pPr>
          </w:p>
        </w:tc>
        <w:tc>
          <w:tcPr>
            <w:tcW w:w="1086" w:type="dxa"/>
          </w:tcPr>
          <w:p w14:paraId="55FE265C">
            <w:pPr>
              <w:spacing w:line="440" w:lineRule="exact"/>
              <w:jc w:val="center"/>
              <w:rPr>
                <w:rFonts w:ascii="宋体" w:hAnsi="宋体"/>
                <w:color w:val="auto"/>
                <w:szCs w:val="21"/>
              </w:rPr>
            </w:pPr>
          </w:p>
        </w:tc>
        <w:tc>
          <w:tcPr>
            <w:tcW w:w="761" w:type="dxa"/>
          </w:tcPr>
          <w:p w14:paraId="471AFFFD">
            <w:pPr>
              <w:spacing w:line="440" w:lineRule="exact"/>
              <w:jc w:val="center"/>
              <w:rPr>
                <w:rFonts w:ascii="宋体" w:hAnsi="宋体"/>
                <w:color w:val="auto"/>
                <w:szCs w:val="21"/>
              </w:rPr>
            </w:pPr>
          </w:p>
        </w:tc>
        <w:tc>
          <w:tcPr>
            <w:tcW w:w="990" w:type="dxa"/>
          </w:tcPr>
          <w:p w14:paraId="32612922">
            <w:pPr>
              <w:spacing w:line="440" w:lineRule="exact"/>
              <w:jc w:val="center"/>
              <w:rPr>
                <w:rFonts w:ascii="宋体" w:hAnsi="宋体"/>
                <w:color w:val="auto"/>
                <w:szCs w:val="21"/>
              </w:rPr>
            </w:pPr>
          </w:p>
        </w:tc>
        <w:tc>
          <w:tcPr>
            <w:tcW w:w="672" w:type="dxa"/>
          </w:tcPr>
          <w:p w14:paraId="463B4475">
            <w:pPr>
              <w:spacing w:line="440" w:lineRule="exact"/>
              <w:jc w:val="center"/>
              <w:rPr>
                <w:rFonts w:ascii="宋体" w:hAnsi="宋体"/>
                <w:color w:val="auto"/>
                <w:szCs w:val="21"/>
              </w:rPr>
            </w:pPr>
          </w:p>
        </w:tc>
        <w:tc>
          <w:tcPr>
            <w:tcW w:w="738" w:type="dxa"/>
          </w:tcPr>
          <w:p w14:paraId="51BA76E3">
            <w:pPr>
              <w:spacing w:line="440" w:lineRule="exact"/>
              <w:jc w:val="center"/>
              <w:rPr>
                <w:rFonts w:ascii="宋体" w:hAnsi="宋体"/>
                <w:color w:val="auto"/>
                <w:szCs w:val="21"/>
              </w:rPr>
            </w:pPr>
          </w:p>
        </w:tc>
        <w:tc>
          <w:tcPr>
            <w:tcW w:w="1212" w:type="dxa"/>
          </w:tcPr>
          <w:p w14:paraId="6C150490">
            <w:pPr>
              <w:spacing w:line="440" w:lineRule="exact"/>
              <w:jc w:val="center"/>
              <w:rPr>
                <w:rFonts w:ascii="宋体" w:hAnsi="宋体"/>
                <w:color w:val="auto"/>
                <w:szCs w:val="21"/>
              </w:rPr>
            </w:pPr>
          </w:p>
        </w:tc>
        <w:tc>
          <w:tcPr>
            <w:tcW w:w="874" w:type="dxa"/>
          </w:tcPr>
          <w:p w14:paraId="6B9CD6B7">
            <w:pPr>
              <w:spacing w:line="440" w:lineRule="exact"/>
              <w:jc w:val="center"/>
              <w:rPr>
                <w:rFonts w:ascii="宋体" w:hAnsi="宋体"/>
                <w:color w:val="auto"/>
                <w:szCs w:val="21"/>
              </w:rPr>
            </w:pPr>
          </w:p>
        </w:tc>
        <w:tc>
          <w:tcPr>
            <w:tcW w:w="1055" w:type="dxa"/>
          </w:tcPr>
          <w:p w14:paraId="67917C06">
            <w:pPr>
              <w:spacing w:line="440" w:lineRule="exact"/>
              <w:jc w:val="center"/>
              <w:rPr>
                <w:rFonts w:ascii="宋体" w:hAnsi="宋体"/>
                <w:color w:val="auto"/>
                <w:szCs w:val="21"/>
              </w:rPr>
            </w:pPr>
          </w:p>
        </w:tc>
        <w:tc>
          <w:tcPr>
            <w:tcW w:w="691" w:type="dxa"/>
          </w:tcPr>
          <w:p w14:paraId="2DE07D1E">
            <w:pPr>
              <w:spacing w:line="440" w:lineRule="exact"/>
              <w:jc w:val="center"/>
              <w:rPr>
                <w:rFonts w:ascii="宋体" w:hAnsi="宋体"/>
                <w:color w:val="auto"/>
                <w:szCs w:val="21"/>
              </w:rPr>
            </w:pPr>
          </w:p>
        </w:tc>
      </w:tr>
      <w:tr w14:paraId="7810C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665" w:type="dxa"/>
          </w:tcPr>
          <w:p w14:paraId="78582563">
            <w:pPr>
              <w:spacing w:line="440" w:lineRule="exact"/>
              <w:jc w:val="center"/>
              <w:rPr>
                <w:rFonts w:ascii="宋体" w:hAnsi="宋体"/>
                <w:color w:val="auto"/>
                <w:szCs w:val="21"/>
              </w:rPr>
            </w:pPr>
          </w:p>
        </w:tc>
        <w:tc>
          <w:tcPr>
            <w:tcW w:w="1086" w:type="dxa"/>
          </w:tcPr>
          <w:p w14:paraId="2C661077">
            <w:pPr>
              <w:spacing w:line="440" w:lineRule="exact"/>
              <w:jc w:val="center"/>
              <w:rPr>
                <w:rFonts w:ascii="宋体" w:hAnsi="宋体"/>
                <w:color w:val="auto"/>
                <w:szCs w:val="21"/>
              </w:rPr>
            </w:pPr>
          </w:p>
        </w:tc>
        <w:tc>
          <w:tcPr>
            <w:tcW w:w="761" w:type="dxa"/>
          </w:tcPr>
          <w:p w14:paraId="2D833CD4">
            <w:pPr>
              <w:spacing w:line="440" w:lineRule="exact"/>
              <w:jc w:val="center"/>
              <w:rPr>
                <w:rFonts w:ascii="宋体" w:hAnsi="宋体"/>
                <w:color w:val="auto"/>
                <w:szCs w:val="21"/>
              </w:rPr>
            </w:pPr>
          </w:p>
        </w:tc>
        <w:tc>
          <w:tcPr>
            <w:tcW w:w="990" w:type="dxa"/>
          </w:tcPr>
          <w:p w14:paraId="119261C6">
            <w:pPr>
              <w:spacing w:line="440" w:lineRule="exact"/>
              <w:jc w:val="center"/>
              <w:rPr>
                <w:rFonts w:ascii="宋体" w:hAnsi="宋体"/>
                <w:color w:val="auto"/>
                <w:szCs w:val="21"/>
              </w:rPr>
            </w:pPr>
          </w:p>
        </w:tc>
        <w:tc>
          <w:tcPr>
            <w:tcW w:w="672" w:type="dxa"/>
          </w:tcPr>
          <w:p w14:paraId="4342BE02">
            <w:pPr>
              <w:spacing w:line="440" w:lineRule="exact"/>
              <w:jc w:val="center"/>
              <w:rPr>
                <w:rFonts w:ascii="宋体" w:hAnsi="宋体"/>
                <w:color w:val="auto"/>
                <w:szCs w:val="21"/>
              </w:rPr>
            </w:pPr>
          </w:p>
        </w:tc>
        <w:tc>
          <w:tcPr>
            <w:tcW w:w="738" w:type="dxa"/>
          </w:tcPr>
          <w:p w14:paraId="307D5418">
            <w:pPr>
              <w:spacing w:line="440" w:lineRule="exact"/>
              <w:jc w:val="center"/>
              <w:rPr>
                <w:rFonts w:ascii="宋体" w:hAnsi="宋体"/>
                <w:color w:val="auto"/>
                <w:szCs w:val="21"/>
              </w:rPr>
            </w:pPr>
          </w:p>
        </w:tc>
        <w:tc>
          <w:tcPr>
            <w:tcW w:w="1212" w:type="dxa"/>
          </w:tcPr>
          <w:p w14:paraId="396345BB">
            <w:pPr>
              <w:spacing w:line="440" w:lineRule="exact"/>
              <w:jc w:val="center"/>
              <w:rPr>
                <w:rFonts w:ascii="宋体" w:hAnsi="宋体"/>
                <w:color w:val="auto"/>
                <w:szCs w:val="21"/>
              </w:rPr>
            </w:pPr>
          </w:p>
        </w:tc>
        <w:tc>
          <w:tcPr>
            <w:tcW w:w="874" w:type="dxa"/>
          </w:tcPr>
          <w:p w14:paraId="59E44C4D">
            <w:pPr>
              <w:spacing w:line="440" w:lineRule="exact"/>
              <w:jc w:val="center"/>
              <w:rPr>
                <w:rFonts w:ascii="宋体" w:hAnsi="宋体"/>
                <w:color w:val="auto"/>
                <w:szCs w:val="21"/>
              </w:rPr>
            </w:pPr>
          </w:p>
        </w:tc>
        <w:tc>
          <w:tcPr>
            <w:tcW w:w="1055" w:type="dxa"/>
          </w:tcPr>
          <w:p w14:paraId="7DBFE4AF">
            <w:pPr>
              <w:spacing w:line="440" w:lineRule="exact"/>
              <w:jc w:val="center"/>
              <w:rPr>
                <w:rFonts w:ascii="宋体" w:hAnsi="宋体"/>
                <w:color w:val="auto"/>
                <w:szCs w:val="21"/>
              </w:rPr>
            </w:pPr>
          </w:p>
        </w:tc>
        <w:tc>
          <w:tcPr>
            <w:tcW w:w="691" w:type="dxa"/>
          </w:tcPr>
          <w:p w14:paraId="5F314663">
            <w:pPr>
              <w:spacing w:line="440" w:lineRule="exact"/>
              <w:jc w:val="center"/>
              <w:rPr>
                <w:rFonts w:ascii="宋体" w:hAnsi="宋体"/>
                <w:color w:val="auto"/>
                <w:szCs w:val="21"/>
              </w:rPr>
            </w:pPr>
          </w:p>
        </w:tc>
      </w:tr>
      <w:tr w14:paraId="5DD7D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Pr>
          <w:p w14:paraId="76904718">
            <w:pPr>
              <w:spacing w:line="440" w:lineRule="exact"/>
              <w:jc w:val="center"/>
              <w:rPr>
                <w:rFonts w:ascii="宋体" w:hAnsi="宋体"/>
                <w:color w:val="auto"/>
                <w:szCs w:val="21"/>
              </w:rPr>
            </w:pPr>
          </w:p>
        </w:tc>
        <w:tc>
          <w:tcPr>
            <w:tcW w:w="1086" w:type="dxa"/>
          </w:tcPr>
          <w:p w14:paraId="3B2CC4DF">
            <w:pPr>
              <w:spacing w:line="440" w:lineRule="exact"/>
              <w:jc w:val="center"/>
              <w:rPr>
                <w:rFonts w:ascii="宋体" w:hAnsi="宋体"/>
                <w:color w:val="auto"/>
                <w:szCs w:val="21"/>
              </w:rPr>
            </w:pPr>
          </w:p>
        </w:tc>
        <w:tc>
          <w:tcPr>
            <w:tcW w:w="761" w:type="dxa"/>
          </w:tcPr>
          <w:p w14:paraId="6F98D631">
            <w:pPr>
              <w:spacing w:line="440" w:lineRule="exact"/>
              <w:jc w:val="center"/>
              <w:rPr>
                <w:rFonts w:ascii="宋体" w:hAnsi="宋体"/>
                <w:color w:val="auto"/>
                <w:szCs w:val="21"/>
              </w:rPr>
            </w:pPr>
          </w:p>
        </w:tc>
        <w:tc>
          <w:tcPr>
            <w:tcW w:w="990" w:type="dxa"/>
          </w:tcPr>
          <w:p w14:paraId="04D10750">
            <w:pPr>
              <w:spacing w:line="440" w:lineRule="exact"/>
              <w:jc w:val="center"/>
              <w:rPr>
                <w:rFonts w:ascii="宋体" w:hAnsi="宋体"/>
                <w:color w:val="auto"/>
                <w:szCs w:val="21"/>
              </w:rPr>
            </w:pPr>
          </w:p>
        </w:tc>
        <w:tc>
          <w:tcPr>
            <w:tcW w:w="672" w:type="dxa"/>
          </w:tcPr>
          <w:p w14:paraId="4B30EDBB">
            <w:pPr>
              <w:spacing w:line="440" w:lineRule="exact"/>
              <w:jc w:val="center"/>
              <w:rPr>
                <w:rFonts w:ascii="宋体" w:hAnsi="宋体"/>
                <w:color w:val="auto"/>
                <w:szCs w:val="21"/>
              </w:rPr>
            </w:pPr>
          </w:p>
        </w:tc>
        <w:tc>
          <w:tcPr>
            <w:tcW w:w="738" w:type="dxa"/>
          </w:tcPr>
          <w:p w14:paraId="22FBBA50">
            <w:pPr>
              <w:spacing w:line="440" w:lineRule="exact"/>
              <w:jc w:val="center"/>
              <w:rPr>
                <w:rFonts w:ascii="宋体" w:hAnsi="宋体"/>
                <w:color w:val="auto"/>
                <w:szCs w:val="21"/>
              </w:rPr>
            </w:pPr>
          </w:p>
        </w:tc>
        <w:tc>
          <w:tcPr>
            <w:tcW w:w="1212" w:type="dxa"/>
          </w:tcPr>
          <w:p w14:paraId="487949E3">
            <w:pPr>
              <w:spacing w:line="440" w:lineRule="exact"/>
              <w:jc w:val="center"/>
              <w:rPr>
                <w:rFonts w:ascii="宋体" w:hAnsi="宋体"/>
                <w:color w:val="auto"/>
                <w:szCs w:val="21"/>
              </w:rPr>
            </w:pPr>
          </w:p>
        </w:tc>
        <w:tc>
          <w:tcPr>
            <w:tcW w:w="874" w:type="dxa"/>
          </w:tcPr>
          <w:p w14:paraId="59318A3F">
            <w:pPr>
              <w:spacing w:line="440" w:lineRule="exact"/>
              <w:jc w:val="center"/>
              <w:rPr>
                <w:rFonts w:ascii="宋体" w:hAnsi="宋体"/>
                <w:color w:val="auto"/>
                <w:szCs w:val="21"/>
              </w:rPr>
            </w:pPr>
          </w:p>
        </w:tc>
        <w:tc>
          <w:tcPr>
            <w:tcW w:w="1055" w:type="dxa"/>
          </w:tcPr>
          <w:p w14:paraId="4F3FCF08">
            <w:pPr>
              <w:spacing w:line="440" w:lineRule="exact"/>
              <w:jc w:val="center"/>
              <w:rPr>
                <w:rFonts w:ascii="宋体" w:hAnsi="宋体"/>
                <w:color w:val="auto"/>
                <w:szCs w:val="21"/>
              </w:rPr>
            </w:pPr>
          </w:p>
        </w:tc>
        <w:tc>
          <w:tcPr>
            <w:tcW w:w="691" w:type="dxa"/>
          </w:tcPr>
          <w:p w14:paraId="1AC56030">
            <w:pPr>
              <w:spacing w:line="440" w:lineRule="exact"/>
              <w:jc w:val="center"/>
              <w:rPr>
                <w:rFonts w:ascii="宋体" w:hAnsi="宋体"/>
                <w:color w:val="auto"/>
                <w:szCs w:val="21"/>
              </w:rPr>
            </w:pPr>
          </w:p>
        </w:tc>
      </w:tr>
      <w:tr w14:paraId="007E8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Pr>
          <w:p w14:paraId="76BE54E0">
            <w:pPr>
              <w:spacing w:line="440" w:lineRule="exact"/>
              <w:jc w:val="center"/>
              <w:rPr>
                <w:rFonts w:ascii="宋体" w:hAnsi="宋体"/>
                <w:color w:val="auto"/>
                <w:szCs w:val="21"/>
              </w:rPr>
            </w:pPr>
          </w:p>
        </w:tc>
        <w:tc>
          <w:tcPr>
            <w:tcW w:w="1086" w:type="dxa"/>
          </w:tcPr>
          <w:p w14:paraId="017563D5">
            <w:pPr>
              <w:spacing w:line="440" w:lineRule="exact"/>
              <w:jc w:val="center"/>
              <w:rPr>
                <w:rFonts w:ascii="宋体" w:hAnsi="宋体"/>
                <w:color w:val="auto"/>
                <w:szCs w:val="21"/>
              </w:rPr>
            </w:pPr>
          </w:p>
        </w:tc>
        <w:tc>
          <w:tcPr>
            <w:tcW w:w="761" w:type="dxa"/>
          </w:tcPr>
          <w:p w14:paraId="3E2BC04E">
            <w:pPr>
              <w:spacing w:line="440" w:lineRule="exact"/>
              <w:jc w:val="center"/>
              <w:rPr>
                <w:rFonts w:ascii="宋体" w:hAnsi="宋体"/>
                <w:color w:val="auto"/>
                <w:szCs w:val="21"/>
              </w:rPr>
            </w:pPr>
          </w:p>
        </w:tc>
        <w:tc>
          <w:tcPr>
            <w:tcW w:w="990" w:type="dxa"/>
          </w:tcPr>
          <w:p w14:paraId="656F576A">
            <w:pPr>
              <w:spacing w:line="440" w:lineRule="exact"/>
              <w:jc w:val="center"/>
              <w:rPr>
                <w:rFonts w:ascii="宋体" w:hAnsi="宋体"/>
                <w:color w:val="auto"/>
                <w:szCs w:val="21"/>
              </w:rPr>
            </w:pPr>
          </w:p>
        </w:tc>
        <w:tc>
          <w:tcPr>
            <w:tcW w:w="672" w:type="dxa"/>
          </w:tcPr>
          <w:p w14:paraId="2BF441FC">
            <w:pPr>
              <w:spacing w:line="440" w:lineRule="exact"/>
              <w:jc w:val="center"/>
              <w:rPr>
                <w:rFonts w:ascii="宋体" w:hAnsi="宋体"/>
                <w:color w:val="auto"/>
                <w:szCs w:val="21"/>
              </w:rPr>
            </w:pPr>
          </w:p>
        </w:tc>
        <w:tc>
          <w:tcPr>
            <w:tcW w:w="738" w:type="dxa"/>
          </w:tcPr>
          <w:p w14:paraId="27D0ECAB">
            <w:pPr>
              <w:spacing w:line="440" w:lineRule="exact"/>
              <w:jc w:val="center"/>
              <w:rPr>
                <w:rFonts w:ascii="宋体" w:hAnsi="宋体"/>
                <w:color w:val="auto"/>
                <w:szCs w:val="21"/>
              </w:rPr>
            </w:pPr>
          </w:p>
        </w:tc>
        <w:tc>
          <w:tcPr>
            <w:tcW w:w="1212" w:type="dxa"/>
          </w:tcPr>
          <w:p w14:paraId="15521DDC">
            <w:pPr>
              <w:spacing w:line="440" w:lineRule="exact"/>
              <w:jc w:val="center"/>
              <w:rPr>
                <w:rFonts w:ascii="宋体" w:hAnsi="宋体"/>
                <w:color w:val="auto"/>
                <w:szCs w:val="21"/>
              </w:rPr>
            </w:pPr>
          </w:p>
        </w:tc>
        <w:tc>
          <w:tcPr>
            <w:tcW w:w="874" w:type="dxa"/>
          </w:tcPr>
          <w:p w14:paraId="6B0DB51E">
            <w:pPr>
              <w:spacing w:line="440" w:lineRule="exact"/>
              <w:jc w:val="center"/>
              <w:rPr>
                <w:rFonts w:ascii="宋体" w:hAnsi="宋体"/>
                <w:color w:val="auto"/>
                <w:szCs w:val="21"/>
              </w:rPr>
            </w:pPr>
          </w:p>
        </w:tc>
        <w:tc>
          <w:tcPr>
            <w:tcW w:w="1055" w:type="dxa"/>
          </w:tcPr>
          <w:p w14:paraId="022301CB">
            <w:pPr>
              <w:spacing w:line="440" w:lineRule="exact"/>
              <w:jc w:val="center"/>
              <w:rPr>
                <w:rFonts w:ascii="宋体" w:hAnsi="宋体"/>
                <w:color w:val="auto"/>
                <w:szCs w:val="21"/>
              </w:rPr>
            </w:pPr>
          </w:p>
        </w:tc>
        <w:tc>
          <w:tcPr>
            <w:tcW w:w="691" w:type="dxa"/>
          </w:tcPr>
          <w:p w14:paraId="2F7C2561">
            <w:pPr>
              <w:spacing w:line="440" w:lineRule="exact"/>
              <w:jc w:val="center"/>
              <w:rPr>
                <w:rFonts w:ascii="宋体" w:hAnsi="宋体"/>
                <w:color w:val="auto"/>
                <w:szCs w:val="21"/>
              </w:rPr>
            </w:pPr>
          </w:p>
        </w:tc>
      </w:tr>
      <w:tr w14:paraId="50EC8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Pr>
          <w:p w14:paraId="7A455FE0">
            <w:pPr>
              <w:spacing w:line="440" w:lineRule="exact"/>
              <w:jc w:val="center"/>
              <w:rPr>
                <w:rFonts w:ascii="宋体" w:hAnsi="宋体"/>
                <w:color w:val="auto"/>
                <w:szCs w:val="21"/>
              </w:rPr>
            </w:pPr>
          </w:p>
        </w:tc>
        <w:tc>
          <w:tcPr>
            <w:tcW w:w="1086" w:type="dxa"/>
          </w:tcPr>
          <w:p w14:paraId="6BCA4CEF">
            <w:pPr>
              <w:spacing w:line="440" w:lineRule="exact"/>
              <w:jc w:val="center"/>
              <w:rPr>
                <w:rFonts w:ascii="宋体" w:hAnsi="宋体"/>
                <w:color w:val="auto"/>
                <w:szCs w:val="21"/>
              </w:rPr>
            </w:pPr>
          </w:p>
        </w:tc>
        <w:tc>
          <w:tcPr>
            <w:tcW w:w="761" w:type="dxa"/>
          </w:tcPr>
          <w:p w14:paraId="45280806">
            <w:pPr>
              <w:spacing w:line="440" w:lineRule="exact"/>
              <w:jc w:val="center"/>
              <w:rPr>
                <w:rFonts w:ascii="宋体" w:hAnsi="宋体"/>
                <w:color w:val="auto"/>
                <w:szCs w:val="21"/>
              </w:rPr>
            </w:pPr>
          </w:p>
        </w:tc>
        <w:tc>
          <w:tcPr>
            <w:tcW w:w="990" w:type="dxa"/>
          </w:tcPr>
          <w:p w14:paraId="4E5BAF2C">
            <w:pPr>
              <w:spacing w:line="440" w:lineRule="exact"/>
              <w:jc w:val="center"/>
              <w:rPr>
                <w:rFonts w:ascii="宋体" w:hAnsi="宋体"/>
                <w:color w:val="auto"/>
                <w:szCs w:val="21"/>
              </w:rPr>
            </w:pPr>
          </w:p>
        </w:tc>
        <w:tc>
          <w:tcPr>
            <w:tcW w:w="672" w:type="dxa"/>
          </w:tcPr>
          <w:p w14:paraId="3E5E75C2">
            <w:pPr>
              <w:spacing w:line="440" w:lineRule="exact"/>
              <w:jc w:val="center"/>
              <w:rPr>
                <w:rFonts w:ascii="宋体" w:hAnsi="宋体"/>
                <w:color w:val="auto"/>
                <w:szCs w:val="21"/>
              </w:rPr>
            </w:pPr>
          </w:p>
        </w:tc>
        <w:tc>
          <w:tcPr>
            <w:tcW w:w="738" w:type="dxa"/>
          </w:tcPr>
          <w:p w14:paraId="01E99F16">
            <w:pPr>
              <w:spacing w:line="440" w:lineRule="exact"/>
              <w:jc w:val="center"/>
              <w:rPr>
                <w:rFonts w:ascii="宋体" w:hAnsi="宋体"/>
                <w:color w:val="auto"/>
                <w:szCs w:val="21"/>
              </w:rPr>
            </w:pPr>
          </w:p>
        </w:tc>
        <w:tc>
          <w:tcPr>
            <w:tcW w:w="1212" w:type="dxa"/>
          </w:tcPr>
          <w:p w14:paraId="01940244">
            <w:pPr>
              <w:spacing w:line="440" w:lineRule="exact"/>
              <w:jc w:val="center"/>
              <w:rPr>
                <w:rFonts w:ascii="宋体" w:hAnsi="宋体"/>
                <w:color w:val="auto"/>
                <w:szCs w:val="21"/>
              </w:rPr>
            </w:pPr>
          </w:p>
        </w:tc>
        <w:tc>
          <w:tcPr>
            <w:tcW w:w="874" w:type="dxa"/>
          </w:tcPr>
          <w:p w14:paraId="52E3120F">
            <w:pPr>
              <w:spacing w:line="440" w:lineRule="exact"/>
              <w:jc w:val="center"/>
              <w:rPr>
                <w:rFonts w:ascii="宋体" w:hAnsi="宋体"/>
                <w:color w:val="auto"/>
                <w:szCs w:val="21"/>
              </w:rPr>
            </w:pPr>
          </w:p>
        </w:tc>
        <w:tc>
          <w:tcPr>
            <w:tcW w:w="1055" w:type="dxa"/>
          </w:tcPr>
          <w:p w14:paraId="3366F0E4">
            <w:pPr>
              <w:spacing w:line="440" w:lineRule="exact"/>
              <w:jc w:val="center"/>
              <w:rPr>
                <w:rFonts w:ascii="宋体" w:hAnsi="宋体"/>
                <w:color w:val="auto"/>
                <w:szCs w:val="21"/>
              </w:rPr>
            </w:pPr>
          </w:p>
        </w:tc>
        <w:tc>
          <w:tcPr>
            <w:tcW w:w="691" w:type="dxa"/>
          </w:tcPr>
          <w:p w14:paraId="4B480178">
            <w:pPr>
              <w:spacing w:line="440" w:lineRule="exact"/>
              <w:jc w:val="center"/>
              <w:rPr>
                <w:rFonts w:ascii="宋体" w:hAnsi="宋体"/>
                <w:color w:val="auto"/>
                <w:szCs w:val="21"/>
              </w:rPr>
            </w:pPr>
          </w:p>
        </w:tc>
      </w:tr>
    </w:tbl>
    <w:p w14:paraId="40FD1046">
      <w:pPr>
        <w:spacing w:line="440" w:lineRule="exact"/>
        <w:rPr>
          <w:rFonts w:ascii="宋体" w:hAnsi="宋体"/>
          <w:color w:val="auto"/>
          <w:sz w:val="20"/>
        </w:rPr>
      </w:pPr>
    </w:p>
    <w:p w14:paraId="280FC0CE">
      <w:pPr>
        <w:spacing w:line="440" w:lineRule="exact"/>
        <w:rPr>
          <w:rFonts w:ascii="宋体" w:hAnsi="宋体"/>
          <w:color w:val="auto"/>
          <w:sz w:val="20"/>
        </w:rPr>
      </w:pPr>
    </w:p>
    <w:p w14:paraId="2B3E1380">
      <w:pPr>
        <w:spacing w:line="440" w:lineRule="exact"/>
        <w:rPr>
          <w:rFonts w:ascii="宋体" w:hAnsi="宋体"/>
          <w:color w:val="auto"/>
          <w:sz w:val="20"/>
        </w:rPr>
      </w:pPr>
    </w:p>
    <w:p w14:paraId="7213FDD4">
      <w:pPr>
        <w:pStyle w:val="5"/>
        <w:spacing w:before="157"/>
        <w:rPr>
          <w:color w:val="auto"/>
        </w:rPr>
      </w:pPr>
      <w:bookmarkStart w:id="444" w:name="_Toc474179007"/>
      <w:bookmarkStart w:id="445" w:name="_Toc451244254"/>
      <w:bookmarkStart w:id="446" w:name="_Toc480918821"/>
      <w:bookmarkStart w:id="447" w:name="_Toc144974866"/>
      <w:bookmarkStart w:id="448" w:name="_Toc152042587"/>
      <w:bookmarkStart w:id="449" w:name="_Toc499310093"/>
      <w:bookmarkStart w:id="450" w:name="_Toc97752057"/>
      <w:bookmarkStart w:id="451" w:name="_Toc17632"/>
      <w:bookmarkStart w:id="452" w:name="_Toc152045798"/>
      <w:bookmarkStart w:id="453" w:name="_Toc480918966"/>
      <w:bookmarkStart w:id="454" w:name="_Toc179632818"/>
      <w:bookmarkStart w:id="455" w:name="_Toc474179243"/>
      <w:bookmarkStart w:id="456" w:name="_Toc29231"/>
      <w:bookmarkStart w:id="457" w:name="_Toc480918589"/>
      <w:bookmarkStart w:id="458" w:name="_Toc499310663"/>
      <w:bookmarkStart w:id="459" w:name="_Toc300835230"/>
      <w:bookmarkStart w:id="460" w:name="_Toc474178538"/>
      <w:bookmarkStart w:id="461" w:name="_Toc85443522"/>
      <w:bookmarkStart w:id="462" w:name="_Toc527485331"/>
      <w:r>
        <w:rPr>
          <w:rFonts w:hint="eastAsia"/>
          <w:color w:val="auto"/>
        </w:rPr>
        <w:t>（五）拟配备本项目的试验和检测仪器设备表</w:t>
      </w:r>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p>
    <w:p w14:paraId="5DD483A7">
      <w:pPr>
        <w:spacing w:line="440" w:lineRule="exact"/>
        <w:rPr>
          <w:rFonts w:ascii="宋体" w:hAnsi="宋体"/>
          <w:color w:val="auto"/>
          <w:sz w:val="20"/>
        </w:rPr>
      </w:pPr>
    </w:p>
    <w:tbl>
      <w:tblPr>
        <w:tblStyle w:val="68"/>
        <w:tblW w:w="84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
        <w:gridCol w:w="1087"/>
        <w:gridCol w:w="760"/>
        <w:gridCol w:w="991"/>
        <w:gridCol w:w="672"/>
        <w:gridCol w:w="738"/>
        <w:gridCol w:w="1212"/>
        <w:gridCol w:w="1653"/>
        <w:gridCol w:w="688"/>
      </w:tblGrid>
      <w:tr w14:paraId="765A7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vAlign w:val="center"/>
          </w:tcPr>
          <w:p w14:paraId="52DC86F1">
            <w:pPr>
              <w:spacing w:line="440" w:lineRule="exact"/>
              <w:rPr>
                <w:rFonts w:ascii="宋体" w:hAnsi="宋体"/>
                <w:color w:val="auto"/>
                <w:szCs w:val="21"/>
              </w:rPr>
            </w:pPr>
            <w:r>
              <w:rPr>
                <w:rFonts w:ascii="宋体" w:hAnsi="宋体"/>
                <w:color w:val="auto"/>
                <w:szCs w:val="21"/>
              </w:rPr>
              <w:t>序号</w:t>
            </w:r>
          </w:p>
        </w:tc>
        <w:tc>
          <w:tcPr>
            <w:tcW w:w="1087" w:type="dxa"/>
            <w:vAlign w:val="center"/>
          </w:tcPr>
          <w:p w14:paraId="33E7F2D2">
            <w:pPr>
              <w:spacing w:line="440" w:lineRule="exact"/>
              <w:jc w:val="center"/>
              <w:rPr>
                <w:rFonts w:ascii="宋体" w:hAnsi="宋体"/>
                <w:color w:val="auto"/>
                <w:szCs w:val="21"/>
              </w:rPr>
            </w:pPr>
            <w:r>
              <w:rPr>
                <w:rFonts w:ascii="宋体" w:hAnsi="宋体"/>
                <w:color w:val="auto"/>
                <w:szCs w:val="21"/>
              </w:rPr>
              <w:t>仪器设备名称</w:t>
            </w:r>
          </w:p>
        </w:tc>
        <w:tc>
          <w:tcPr>
            <w:tcW w:w="760" w:type="dxa"/>
            <w:vAlign w:val="center"/>
          </w:tcPr>
          <w:p w14:paraId="2FE6D8FF">
            <w:pPr>
              <w:spacing w:line="440" w:lineRule="exact"/>
              <w:jc w:val="center"/>
              <w:rPr>
                <w:rFonts w:ascii="宋体" w:hAnsi="宋体"/>
                <w:color w:val="auto"/>
                <w:szCs w:val="21"/>
              </w:rPr>
            </w:pPr>
            <w:r>
              <w:rPr>
                <w:rFonts w:ascii="宋体" w:hAnsi="宋体"/>
                <w:color w:val="auto"/>
                <w:szCs w:val="21"/>
              </w:rPr>
              <w:t>型号</w:t>
            </w:r>
          </w:p>
          <w:p w14:paraId="3BD03802">
            <w:pPr>
              <w:spacing w:line="440" w:lineRule="exact"/>
              <w:jc w:val="center"/>
              <w:rPr>
                <w:rFonts w:ascii="宋体" w:hAnsi="宋体"/>
                <w:color w:val="auto"/>
                <w:szCs w:val="21"/>
              </w:rPr>
            </w:pPr>
            <w:r>
              <w:rPr>
                <w:rFonts w:ascii="宋体" w:hAnsi="宋体"/>
                <w:color w:val="auto"/>
                <w:szCs w:val="21"/>
              </w:rPr>
              <w:t>规格</w:t>
            </w:r>
          </w:p>
        </w:tc>
        <w:tc>
          <w:tcPr>
            <w:tcW w:w="991" w:type="dxa"/>
            <w:vAlign w:val="center"/>
          </w:tcPr>
          <w:p w14:paraId="2F2121F3">
            <w:pPr>
              <w:spacing w:line="440" w:lineRule="exact"/>
              <w:jc w:val="center"/>
              <w:rPr>
                <w:rFonts w:ascii="宋体" w:hAnsi="宋体"/>
                <w:color w:val="auto"/>
                <w:szCs w:val="21"/>
              </w:rPr>
            </w:pPr>
            <w:r>
              <w:rPr>
                <w:rFonts w:ascii="宋体" w:hAnsi="宋体"/>
                <w:color w:val="auto"/>
                <w:szCs w:val="21"/>
              </w:rPr>
              <w:t>数量</w:t>
            </w:r>
          </w:p>
        </w:tc>
        <w:tc>
          <w:tcPr>
            <w:tcW w:w="672" w:type="dxa"/>
            <w:vAlign w:val="center"/>
          </w:tcPr>
          <w:p w14:paraId="0D9ED1FB">
            <w:pPr>
              <w:spacing w:line="440" w:lineRule="exact"/>
              <w:jc w:val="center"/>
              <w:rPr>
                <w:rFonts w:ascii="宋体" w:hAnsi="宋体"/>
                <w:color w:val="auto"/>
                <w:szCs w:val="21"/>
              </w:rPr>
            </w:pPr>
            <w:r>
              <w:rPr>
                <w:rFonts w:ascii="宋体" w:hAnsi="宋体"/>
                <w:color w:val="auto"/>
                <w:szCs w:val="21"/>
              </w:rPr>
              <w:t>国别</w:t>
            </w:r>
          </w:p>
          <w:p w14:paraId="29A4EBB4">
            <w:pPr>
              <w:spacing w:line="440" w:lineRule="exact"/>
              <w:jc w:val="center"/>
              <w:rPr>
                <w:rFonts w:ascii="宋体" w:hAnsi="宋体"/>
                <w:color w:val="auto"/>
                <w:szCs w:val="21"/>
              </w:rPr>
            </w:pPr>
            <w:r>
              <w:rPr>
                <w:rFonts w:ascii="宋体" w:hAnsi="宋体"/>
                <w:color w:val="auto"/>
                <w:szCs w:val="21"/>
              </w:rPr>
              <w:t>产地</w:t>
            </w:r>
          </w:p>
        </w:tc>
        <w:tc>
          <w:tcPr>
            <w:tcW w:w="738" w:type="dxa"/>
            <w:vAlign w:val="center"/>
          </w:tcPr>
          <w:p w14:paraId="157092C9">
            <w:pPr>
              <w:spacing w:line="440" w:lineRule="exact"/>
              <w:jc w:val="center"/>
              <w:rPr>
                <w:rFonts w:ascii="宋体" w:hAnsi="宋体"/>
                <w:color w:val="auto"/>
                <w:szCs w:val="21"/>
              </w:rPr>
            </w:pPr>
            <w:r>
              <w:rPr>
                <w:rFonts w:ascii="宋体" w:hAnsi="宋体"/>
                <w:color w:val="auto"/>
                <w:szCs w:val="21"/>
              </w:rPr>
              <w:t>制造</w:t>
            </w:r>
          </w:p>
          <w:p w14:paraId="32BA9960">
            <w:pPr>
              <w:spacing w:line="440" w:lineRule="exact"/>
              <w:jc w:val="center"/>
              <w:rPr>
                <w:rFonts w:ascii="宋体" w:hAnsi="宋体"/>
                <w:color w:val="auto"/>
                <w:szCs w:val="21"/>
              </w:rPr>
            </w:pPr>
            <w:r>
              <w:rPr>
                <w:rFonts w:ascii="宋体" w:hAnsi="宋体"/>
                <w:color w:val="auto"/>
                <w:szCs w:val="21"/>
              </w:rPr>
              <w:t>年份</w:t>
            </w:r>
          </w:p>
        </w:tc>
        <w:tc>
          <w:tcPr>
            <w:tcW w:w="1212" w:type="dxa"/>
            <w:vAlign w:val="center"/>
          </w:tcPr>
          <w:p w14:paraId="17482886">
            <w:pPr>
              <w:spacing w:line="440" w:lineRule="exact"/>
              <w:jc w:val="center"/>
              <w:rPr>
                <w:rFonts w:ascii="宋体" w:hAnsi="宋体"/>
                <w:color w:val="auto"/>
                <w:szCs w:val="21"/>
              </w:rPr>
            </w:pPr>
            <w:r>
              <w:rPr>
                <w:rFonts w:ascii="宋体" w:hAnsi="宋体"/>
                <w:color w:val="auto"/>
                <w:szCs w:val="21"/>
              </w:rPr>
              <w:t>已使用台时数</w:t>
            </w:r>
          </w:p>
        </w:tc>
        <w:tc>
          <w:tcPr>
            <w:tcW w:w="1653" w:type="dxa"/>
            <w:vAlign w:val="center"/>
          </w:tcPr>
          <w:p w14:paraId="197DE7FF">
            <w:pPr>
              <w:spacing w:line="440" w:lineRule="exact"/>
              <w:jc w:val="center"/>
              <w:rPr>
                <w:rFonts w:ascii="宋体" w:hAnsi="宋体"/>
                <w:color w:val="auto"/>
                <w:szCs w:val="21"/>
              </w:rPr>
            </w:pPr>
            <w:r>
              <w:rPr>
                <w:rFonts w:ascii="宋体" w:hAnsi="宋体"/>
                <w:color w:val="auto"/>
                <w:szCs w:val="21"/>
              </w:rPr>
              <w:t>用途</w:t>
            </w:r>
          </w:p>
        </w:tc>
        <w:tc>
          <w:tcPr>
            <w:tcW w:w="688" w:type="dxa"/>
            <w:vAlign w:val="center"/>
          </w:tcPr>
          <w:p w14:paraId="14651B87">
            <w:pPr>
              <w:spacing w:line="440" w:lineRule="exact"/>
              <w:jc w:val="center"/>
              <w:rPr>
                <w:rFonts w:ascii="宋体" w:hAnsi="宋体"/>
                <w:color w:val="auto"/>
                <w:szCs w:val="21"/>
              </w:rPr>
            </w:pPr>
            <w:r>
              <w:rPr>
                <w:rFonts w:ascii="宋体" w:hAnsi="宋体"/>
                <w:color w:val="auto"/>
                <w:szCs w:val="21"/>
              </w:rPr>
              <w:t>备注</w:t>
            </w:r>
          </w:p>
        </w:tc>
      </w:tr>
      <w:tr w14:paraId="21E47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vAlign w:val="center"/>
          </w:tcPr>
          <w:p w14:paraId="59DC2E97">
            <w:pPr>
              <w:spacing w:line="440" w:lineRule="exact"/>
              <w:jc w:val="center"/>
              <w:rPr>
                <w:rFonts w:ascii="宋体" w:hAnsi="宋体"/>
                <w:color w:val="auto"/>
                <w:szCs w:val="21"/>
              </w:rPr>
            </w:pPr>
          </w:p>
        </w:tc>
        <w:tc>
          <w:tcPr>
            <w:tcW w:w="1087" w:type="dxa"/>
            <w:vAlign w:val="center"/>
          </w:tcPr>
          <w:p w14:paraId="010ED63E">
            <w:pPr>
              <w:spacing w:line="440" w:lineRule="exact"/>
              <w:jc w:val="center"/>
              <w:rPr>
                <w:rFonts w:ascii="宋体" w:hAnsi="宋体"/>
                <w:color w:val="auto"/>
                <w:szCs w:val="21"/>
              </w:rPr>
            </w:pPr>
          </w:p>
        </w:tc>
        <w:tc>
          <w:tcPr>
            <w:tcW w:w="760" w:type="dxa"/>
            <w:vAlign w:val="center"/>
          </w:tcPr>
          <w:p w14:paraId="30924F13">
            <w:pPr>
              <w:spacing w:line="440" w:lineRule="exact"/>
              <w:jc w:val="center"/>
              <w:rPr>
                <w:rFonts w:ascii="宋体" w:hAnsi="宋体"/>
                <w:color w:val="auto"/>
                <w:szCs w:val="21"/>
              </w:rPr>
            </w:pPr>
          </w:p>
        </w:tc>
        <w:tc>
          <w:tcPr>
            <w:tcW w:w="991" w:type="dxa"/>
            <w:vAlign w:val="center"/>
          </w:tcPr>
          <w:p w14:paraId="06243134">
            <w:pPr>
              <w:spacing w:line="440" w:lineRule="exact"/>
              <w:jc w:val="center"/>
              <w:rPr>
                <w:rFonts w:ascii="宋体" w:hAnsi="宋体"/>
                <w:color w:val="auto"/>
                <w:szCs w:val="21"/>
              </w:rPr>
            </w:pPr>
          </w:p>
        </w:tc>
        <w:tc>
          <w:tcPr>
            <w:tcW w:w="672" w:type="dxa"/>
            <w:vAlign w:val="center"/>
          </w:tcPr>
          <w:p w14:paraId="0D1B99F9">
            <w:pPr>
              <w:spacing w:line="440" w:lineRule="exact"/>
              <w:jc w:val="center"/>
              <w:rPr>
                <w:rFonts w:ascii="宋体" w:hAnsi="宋体"/>
                <w:color w:val="auto"/>
                <w:szCs w:val="21"/>
              </w:rPr>
            </w:pPr>
          </w:p>
        </w:tc>
        <w:tc>
          <w:tcPr>
            <w:tcW w:w="738" w:type="dxa"/>
            <w:vAlign w:val="center"/>
          </w:tcPr>
          <w:p w14:paraId="28664C01">
            <w:pPr>
              <w:spacing w:line="440" w:lineRule="exact"/>
              <w:jc w:val="center"/>
              <w:rPr>
                <w:rFonts w:ascii="宋体" w:hAnsi="宋体"/>
                <w:color w:val="auto"/>
                <w:szCs w:val="21"/>
              </w:rPr>
            </w:pPr>
          </w:p>
        </w:tc>
        <w:tc>
          <w:tcPr>
            <w:tcW w:w="1212" w:type="dxa"/>
            <w:vAlign w:val="center"/>
          </w:tcPr>
          <w:p w14:paraId="2864146A">
            <w:pPr>
              <w:spacing w:line="440" w:lineRule="exact"/>
              <w:jc w:val="center"/>
              <w:rPr>
                <w:rFonts w:ascii="宋体" w:hAnsi="宋体"/>
                <w:color w:val="auto"/>
                <w:szCs w:val="21"/>
              </w:rPr>
            </w:pPr>
          </w:p>
        </w:tc>
        <w:tc>
          <w:tcPr>
            <w:tcW w:w="1653" w:type="dxa"/>
            <w:vAlign w:val="center"/>
          </w:tcPr>
          <w:p w14:paraId="4ED64DB7">
            <w:pPr>
              <w:spacing w:line="440" w:lineRule="exact"/>
              <w:jc w:val="center"/>
              <w:rPr>
                <w:rFonts w:ascii="宋体" w:hAnsi="宋体"/>
                <w:color w:val="auto"/>
                <w:szCs w:val="21"/>
              </w:rPr>
            </w:pPr>
          </w:p>
        </w:tc>
        <w:tc>
          <w:tcPr>
            <w:tcW w:w="688" w:type="dxa"/>
            <w:vAlign w:val="center"/>
          </w:tcPr>
          <w:p w14:paraId="17320F46">
            <w:pPr>
              <w:spacing w:line="440" w:lineRule="exact"/>
              <w:jc w:val="center"/>
              <w:rPr>
                <w:rFonts w:ascii="宋体" w:hAnsi="宋体"/>
                <w:color w:val="auto"/>
                <w:szCs w:val="21"/>
              </w:rPr>
            </w:pPr>
          </w:p>
        </w:tc>
      </w:tr>
      <w:tr w14:paraId="11F8F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vAlign w:val="center"/>
          </w:tcPr>
          <w:p w14:paraId="03B203A4">
            <w:pPr>
              <w:spacing w:line="440" w:lineRule="exact"/>
              <w:jc w:val="center"/>
              <w:rPr>
                <w:rFonts w:ascii="宋体" w:hAnsi="宋体"/>
                <w:color w:val="auto"/>
                <w:szCs w:val="21"/>
              </w:rPr>
            </w:pPr>
          </w:p>
        </w:tc>
        <w:tc>
          <w:tcPr>
            <w:tcW w:w="1087" w:type="dxa"/>
            <w:vAlign w:val="center"/>
          </w:tcPr>
          <w:p w14:paraId="25361C72">
            <w:pPr>
              <w:spacing w:line="440" w:lineRule="exact"/>
              <w:jc w:val="center"/>
              <w:rPr>
                <w:rFonts w:ascii="宋体" w:hAnsi="宋体"/>
                <w:color w:val="auto"/>
                <w:szCs w:val="21"/>
              </w:rPr>
            </w:pPr>
          </w:p>
        </w:tc>
        <w:tc>
          <w:tcPr>
            <w:tcW w:w="760" w:type="dxa"/>
            <w:vAlign w:val="center"/>
          </w:tcPr>
          <w:p w14:paraId="6F44AE4E">
            <w:pPr>
              <w:spacing w:line="440" w:lineRule="exact"/>
              <w:jc w:val="center"/>
              <w:rPr>
                <w:rFonts w:ascii="宋体" w:hAnsi="宋体"/>
                <w:color w:val="auto"/>
                <w:szCs w:val="21"/>
              </w:rPr>
            </w:pPr>
          </w:p>
        </w:tc>
        <w:tc>
          <w:tcPr>
            <w:tcW w:w="991" w:type="dxa"/>
            <w:vAlign w:val="center"/>
          </w:tcPr>
          <w:p w14:paraId="1503618F">
            <w:pPr>
              <w:spacing w:line="440" w:lineRule="exact"/>
              <w:jc w:val="center"/>
              <w:rPr>
                <w:rFonts w:ascii="宋体" w:hAnsi="宋体"/>
                <w:color w:val="auto"/>
                <w:szCs w:val="21"/>
              </w:rPr>
            </w:pPr>
          </w:p>
        </w:tc>
        <w:tc>
          <w:tcPr>
            <w:tcW w:w="672" w:type="dxa"/>
            <w:vAlign w:val="center"/>
          </w:tcPr>
          <w:p w14:paraId="14AD144D">
            <w:pPr>
              <w:spacing w:line="440" w:lineRule="exact"/>
              <w:jc w:val="center"/>
              <w:rPr>
                <w:rFonts w:ascii="宋体" w:hAnsi="宋体"/>
                <w:color w:val="auto"/>
                <w:szCs w:val="21"/>
              </w:rPr>
            </w:pPr>
          </w:p>
        </w:tc>
        <w:tc>
          <w:tcPr>
            <w:tcW w:w="738" w:type="dxa"/>
            <w:vAlign w:val="center"/>
          </w:tcPr>
          <w:p w14:paraId="54F2EB30">
            <w:pPr>
              <w:spacing w:line="440" w:lineRule="exact"/>
              <w:jc w:val="center"/>
              <w:rPr>
                <w:rFonts w:ascii="宋体" w:hAnsi="宋体"/>
                <w:color w:val="auto"/>
                <w:szCs w:val="21"/>
              </w:rPr>
            </w:pPr>
          </w:p>
        </w:tc>
        <w:tc>
          <w:tcPr>
            <w:tcW w:w="1212" w:type="dxa"/>
            <w:vAlign w:val="center"/>
          </w:tcPr>
          <w:p w14:paraId="2686E0E0">
            <w:pPr>
              <w:spacing w:line="440" w:lineRule="exact"/>
              <w:jc w:val="center"/>
              <w:rPr>
                <w:rFonts w:ascii="宋体" w:hAnsi="宋体"/>
                <w:color w:val="auto"/>
                <w:szCs w:val="21"/>
              </w:rPr>
            </w:pPr>
          </w:p>
        </w:tc>
        <w:tc>
          <w:tcPr>
            <w:tcW w:w="1653" w:type="dxa"/>
            <w:vAlign w:val="center"/>
          </w:tcPr>
          <w:p w14:paraId="70A70BBA">
            <w:pPr>
              <w:spacing w:line="440" w:lineRule="exact"/>
              <w:jc w:val="center"/>
              <w:rPr>
                <w:rFonts w:ascii="宋体" w:hAnsi="宋体"/>
                <w:color w:val="auto"/>
                <w:szCs w:val="21"/>
              </w:rPr>
            </w:pPr>
          </w:p>
        </w:tc>
        <w:tc>
          <w:tcPr>
            <w:tcW w:w="688" w:type="dxa"/>
            <w:vAlign w:val="center"/>
          </w:tcPr>
          <w:p w14:paraId="0C872BB1">
            <w:pPr>
              <w:spacing w:line="440" w:lineRule="exact"/>
              <w:jc w:val="center"/>
              <w:rPr>
                <w:rFonts w:ascii="宋体" w:hAnsi="宋体"/>
                <w:color w:val="auto"/>
                <w:szCs w:val="21"/>
              </w:rPr>
            </w:pPr>
          </w:p>
        </w:tc>
      </w:tr>
      <w:tr w14:paraId="207F5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0E823F0E">
            <w:pPr>
              <w:spacing w:line="440" w:lineRule="exact"/>
              <w:jc w:val="center"/>
              <w:rPr>
                <w:rFonts w:ascii="宋体" w:hAnsi="宋体"/>
                <w:color w:val="auto"/>
                <w:szCs w:val="21"/>
              </w:rPr>
            </w:pPr>
          </w:p>
        </w:tc>
        <w:tc>
          <w:tcPr>
            <w:tcW w:w="1087" w:type="dxa"/>
          </w:tcPr>
          <w:p w14:paraId="6F60245C">
            <w:pPr>
              <w:spacing w:line="440" w:lineRule="exact"/>
              <w:jc w:val="center"/>
              <w:rPr>
                <w:rFonts w:ascii="宋体" w:hAnsi="宋体"/>
                <w:color w:val="auto"/>
                <w:szCs w:val="21"/>
              </w:rPr>
            </w:pPr>
          </w:p>
        </w:tc>
        <w:tc>
          <w:tcPr>
            <w:tcW w:w="760" w:type="dxa"/>
          </w:tcPr>
          <w:p w14:paraId="68FCE2BF">
            <w:pPr>
              <w:spacing w:line="440" w:lineRule="exact"/>
              <w:jc w:val="center"/>
              <w:rPr>
                <w:rFonts w:ascii="宋体" w:hAnsi="宋体"/>
                <w:color w:val="auto"/>
                <w:szCs w:val="21"/>
              </w:rPr>
            </w:pPr>
          </w:p>
        </w:tc>
        <w:tc>
          <w:tcPr>
            <w:tcW w:w="991" w:type="dxa"/>
          </w:tcPr>
          <w:p w14:paraId="544463BF">
            <w:pPr>
              <w:spacing w:line="440" w:lineRule="exact"/>
              <w:jc w:val="center"/>
              <w:rPr>
                <w:rFonts w:ascii="宋体" w:hAnsi="宋体"/>
                <w:color w:val="auto"/>
                <w:szCs w:val="21"/>
              </w:rPr>
            </w:pPr>
          </w:p>
        </w:tc>
        <w:tc>
          <w:tcPr>
            <w:tcW w:w="672" w:type="dxa"/>
          </w:tcPr>
          <w:p w14:paraId="20E62A19">
            <w:pPr>
              <w:spacing w:line="440" w:lineRule="exact"/>
              <w:jc w:val="center"/>
              <w:rPr>
                <w:rFonts w:ascii="宋体" w:hAnsi="宋体"/>
                <w:color w:val="auto"/>
                <w:szCs w:val="21"/>
              </w:rPr>
            </w:pPr>
          </w:p>
        </w:tc>
        <w:tc>
          <w:tcPr>
            <w:tcW w:w="738" w:type="dxa"/>
          </w:tcPr>
          <w:p w14:paraId="7354F637">
            <w:pPr>
              <w:spacing w:line="440" w:lineRule="exact"/>
              <w:jc w:val="center"/>
              <w:rPr>
                <w:rFonts w:ascii="宋体" w:hAnsi="宋体"/>
                <w:color w:val="auto"/>
                <w:szCs w:val="21"/>
              </w:rPr>
            </w:pPr>
          </w:p>
        </w:tc>
        <w:tc>
          <w:tcPr>
            <w:tcW w:w="1212" w:type="dxa"/>
          </w:tcPr>
          <w:p w14:paraId="587B247A">
            <w:pPr>
              <w:spacing w:line="440" w:lineRule="exact"/>
              <w:jc w:val="center"/>
              <w:rPr>
                <w:rFonts w:ascii="宋体" w:hAnsi="宋体"/>
                <w:color w:val="auto"/>
                <w:szCs w:val="21"/>
              </w:rPr>
            </w:pPr>
          </w:p>
        </w:tc>
        <w:tc>
          <w:tcPr>
            <w:tcW w:w="1653" w:type="dxa"/>
          </w:tcPr>
          <w:p w14:paraId="298905A0">
            <w:pPr>
              <w:spacing w:line="440" w:lineRule="exact"/>
              <w:jc w:val="center"/>
              <w:rPr>
                <w:rFonts w:ascii="宋体" w:hAnsi="宋体"/>
                <w:color w:val="auto"/>
                <w:szCs w:val="21"/>
              </w:rPr>
            </w:pPr>
          </w:p>
        </w:tc>
        <w:tc>
          <w:tcPr>
            <w:tcW w:w="688" w:type="dxa"/>
          </w:tcPr>
          <w:p w14:paraId="0C14C770">
            <w:pPr>
              <w:spacing w:line="440" w:lineRule="exact"/>
              <w:jc w:val="center"/>
              <w:rPr>
                <w:rFonts w:ascii="宋体" w:hAnsi="宋体"/>
                <w:color w:val="auto"/>
                <w:szCs w:val="21"/>
              </w:rPr>
            </w:pPr>
          </w:p>
        </w:tc>
      </w:tr>
      <w:tr w14:paraId="70B07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4D4B76D4">
            <w:pPr>
              <w:spacing w:line="440" w:lineRule="exact"/>
              <w:jc w:val="center"/>
              <w:rPr>
                <w:rFonts w:ascii="宋体" w:hAnsi="宋体"/>
                <w:color w:val="auto"/>
                <w:szCs w:val="21"/>
              </w:rPr>
            </w:pPr>
          </w:p>
        </w:tc>
        <w:tc>
          <w:tcPr>
            <w:tcW w:w="1087" w:type="dxa"/>
          </w:tcPr>
          <w:p w14:paraId="3FEC9A6A">
            <w:pPr>
              <w:spacing w:line="440" w:lineRule="exact"/>
              <w:jc w:val="center"/>
              <w:rPr>
                <w:rFonts w:ascii="宋体" w:hAnsi="宋体"/>
                <w:color w:val="auto"/>
                <w:szCs w:val="21"/>
              </w:rPr>
            </w:pPr>
          </w:p>
        </w:tc>
        <w:tc>
          <w:tcPr>
            <w:tcW w:w="760" w:type="dxa"/>
          </w:tcPr>
          <w:p w14:paraId="024E5E55">
            <w:pPr>
              <w:spacing w:line="440" w:lineRule="exact"/>
              <w:jc w:val="center"/>
              <w:rPr>
                <w:rFonts w:ascii="宋体" w:hAnsi="宋体"/>
                <w:color w:val="auto"/>
                <w:szCs w:val="21"/>
              </w:rPr>
            </w:pPr>
          </w:p>
        </w:tc>
        <w:tc>
          <w:tcPr>
            <w:tcW w:w="991" w:type="dxa"/>
          </w:tcPr>
          <w:p w14:paraId="6E9E7448">
            <w:pPr>
              <w:spacing w:line="440" w:lineRule="exact"/>
              <w:jc w:val="center"/>
              <w:rPr>
                <w:rFonts w:ascii="宋体" w:hAnsi="宋体"/>
                <w:color w:val="auto"/>
                <w:szCs w:val="21"/>
              </w:rPr>
            </w:pPr>
          </w:p>
        </w:tc>
        <w:tc>
          <w:tcPr>
            <w:tcW w:w="672" w:type="dxa"/>
          </w:tcPr>
          <w:p w14:paraId="4A710F5E">
            <w:pPr>
              <w:spacing w:line="440" w:lineRule="exact"/>
              <w:jc w:val="center"/>
              <w:rPr>
                <w:rFonts w:ascii="宋体" w:hAnsi="宋体"/>
                <w:color w:val="auto"/>
                <w:szCs w:val="21"/>
              </w:rPr>
            </w:pPr>
          </w:p>
        </w:tc>
        <w:tc>
          <w:tcPr>
            <w:tcW w:w="738" w:type="dxa"/>
          </w:tcPr>
          <w:p w14:paraId="6051FE1E">
            <w:pPr>
              <w:spacing w:line="440" w:lineRule="exact"/>
              <w:jc w:val="center"/>
              <w:rPr>
                <w:rFonts w:ascii="宋体" w:hAnsi="宋体"/>
                <w:color w:val="auto"/>
                <w:szCs w:val="21"/>
              </w:rPr>
            </w:pPr>
          </w:p>
        </w:tc>
        <w:tc>
          <w:tcPr>
            <w:tcW w:w="1212" w:type="dxa"/>
          </w:tcPr>
          <w:p w14:paraId="00B96128">
            <w:pPr>
              <w:spacing w:line="440" w:lineRule="exact"/>
              <w:jc w:val="center"/>
              <w:rPr>
                <w:rFonts w:ascii="宋体" w:hAnsi="宋体"/>
                <w:color w:val="auto"/>
                <w:szCs w:val="21"/>
              </w:rPr>
            </w:pPr>
          </w:p>
        </w:tc>
        <w:tc>
          <w:tcPr>
            <w:tcW w:w="1653" w:type="dxa"/>
          </w:tcPr>
          <w:p w14:paraId="3561FE40">
            <w:pPr>
              <w:spacing w:line="440" w:lineRule="exact"/>
              <w:jc w:val="center"/>
              <w:rPr>
                <w:rFonts w:ascii="宋体" w:hAnsi="宋体"/>
                <w:color w:val="auto"/>
                <w:szCs w:val="21"/>
              </w:rPr>
            </w:pPr>
          </w:p>
        </w:tc>
        <w:tc>
          <w:tcPr>
            <w:tcW w:w="688" w:type="dxa"/>
          </w:tcPr>
          <w:p w14:paraId="22AC8E31">
            <w:pPr>
              <w:spacing w:line="440" w:lineRule="exact"/>
              <w:jc w:val="center"/>
              <w:rPr>
                <w:rFonts w:ascii="宋体" w:hAnsi="宋体"/>
                <w:color w:val="auto"/>
                <w:szCs w:val="21"/>
              </w:rPr>
            </w:pPr>
          </w:p>
        </w:tc>
      </w:tr>
      <w:tr w14:paraId="75FAC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4C13B0DD">
            <w:pPr>
              <w:spacing w:line="440" w:lineRule="exact"/>
              <w:jc w:val="center"/>
              <w:rPr>
                <w:rFonts w:ascii="宋体" w:hAnsi="宋体"/>
                <w:color w:val="auto"/>
                <w:szCs w:val="21"/>
              </w:rPr>
            </w:pPr>
          </w:p>
        </w:tc>
        <w:tc>
          <w:tcPr>
            <w:tcW w:w="1087" w:type="dxa"/>
          </w:tcPr>
          <w:p w14:paraId="7AC2D36F">
            <w:pPr>
              <w:spacing w:line="440" w:lineRule="exact"/>
              <w:jc w:val="center"/>
              <w:rPr>
                <w:rFonts w:ascii="宋体" w:hAnsi="宋体"/>
                <w:color w:val="auto"/>
                <w:szCs w:val="21"/>
              </w:rPr>
            </w:pPr>
          </w:p>
        </w:tc>
        <w:tc>
          <w:tcPr>
            <w:tcW w:w="760" w:type="dxa"/>
          </w:tcPr>
          <w:p w14:paraId="35FC3D30">
            <w:pPr>
              <w:spacing w:line="440" w:lineRule="exact"/>
              <w:jc w:val="center"/>
              <w:rPr>
                <w:rFonts w:ascii="宋体" w:hAnsi="宋体"/>
                <w:color w:val="auto"/>
                <w:szCs w:val="21"/>
              </w:rPr>
            </w:pPr>
          </w:p>
        </w:tc>
        <w:tc>
          <w:tcPr>
            <w:tcW w:w="991" w:type="dxa"/>
          </w:tcPr>
          <w:p w14:paraId="52F152F8">
            <w:pPr>
              <w:spacing w:line="440" w:lineRule="exact"/>
              <w:jc w:val="center"/>
              <w:rPr>
                <w:rFonts w:ascii="宋体" w:hAnsi="宋体"/>
                <w:color w:val="auto"/>
                <w:szCs w:val="21"/>
              </w:rPr>
            </w:pPr>
          </w:p>
        </w:tc>
        <w:tc>
          <w:tcPr>
            <w:tcW w:w="672" w:type="dxa"/>
          </w:tcPr>
          <w:p w14:paraId="74A36CC4">
            <w:pPr>
              <w:spacing w:line="440" w:lineRule="exact"/>
              <w:jc w:val="center"/>
              <w:rPr>
                <w:rFonts w:ascii="宋体" w:hAnsi="宋体"/>
                <w:color w:val="auto"/>
                <w:szCs w:val="21"/>
              </w:rPr>
            </w:pPr>
          </w:p>
        </w:tc>
        <w:tc>
          <w:tcPr>
            <w:tcW w:w="738" w:type="dxa"/>
          </w:tcPr>
          <w:p w14:paraId="0BFC3F00">
            <w:pPr>
              <w:spacing w:line="440" w:lineRule="exact"/>
              <w:jc w:val="center"/>
              <w:rPr>
                <w:rFonts w:ascii="宋体" w:hAnsi="宋体"/>
                <w:color w:val="auto"/>
                <w:szCs w:val="21"/>
              </w:rPr>
            </w:pPr>
          </w:p>
        </w:tc>
        <w:tc>
          <w:tcPr>
            <w:tcW w:w="1212" w:type="dxa"/>
          </w:tcPr>
          <w:p w14:paraId="6CC20193">
            <w:pPr>
              <w:spacing w:line="440" w:lineRule="exact"/>
              <w:jc w:val="center"/>
              <w:rPr>
                <w:rFonts w:ascii="宋体" w:hAnsi="宋体"/>
                <w:color w:val="auto"/>
                <w:szCs w:val="21"/>
              </w:rPr>
            </w:pPr>
          </w:p>
        </w:tc>
        <w:tc>
          <w:tcPr>
            <w:tcW w:w="1653" w:type="dxa"/>
          </w:tcPr>
          <w:p w14:paraId="21F8818A">
            <w:pPr>
              <w:spacing w:line="440" w:lineRule="exact"/>
              <w:jc w:val="center"/>
              <w:rPr>
                <w:rFonts w:ascii="宋体" w:hAnsi="宋体"/>
                <w:color w:val="auto"/>
                <w:szCs w:val="21"/>
              </w:rPr>
            </w:pPr>
          </w:p>
        </w:tc>
        <w:tc>
          <w:tcPr>
            <w:tcW w:w="688" w:type="dxa"/>
          </w:tcPr>
          <w:p w14:paraId="0A96F890">
            <w:pPr>
              <w:spacing w:line="440" w:lineRule="exact"/>
              <w:jc w:val="center"/>
              <w:rPr>
                <w:rFonts w:ascii="宋体" w:hAnsi="宋体"/>
                <w:color w:val="auto"/>
                <w:szCs w:val="21"/>
              </w:rPr>
            </w:pPr>
          </w:p>
        </w:tc>
      </w:tr>
      <w:tr w14:paraId="05114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5343F680">
            <w:pPr>
              <w:spacing w:line="440" w:lineRule="exact"/>
              <w:jc w:val="center"/>
              <w:rPr>
                <w:rFonts w:ascii="宋体" w:hAnsi="宋体"/>
                <w:color w:val="auto"/>
                <w:szCs w:val="21"/>
              </w:rPr>
            </w:pPr>
          </w:p>
        </w:tc>
        <w:tc>
          <w:tcPr>
            <w:tcW w:w="1087" w:type="dxa"/>
          </w:tcPr>
          <w:p w14:paraId="5107017D">
            <w:pPr>
              <w:spacing w:line="440" w:lineRule="exact"/>
              <w:jc w:val="center"/>
              <w:rPr>
                <w:rFonts w:ascii="宋体" w:hAnsi="宋体"/>
                <w:color w:val="auto"/>
                <w:szCs w:val="21"/>
              </w:rPr>
            </w:pPr>
          </w:p>
        </w:tc>
        <w:tc>
          <w:tcPr>
            <w:tcW w:w="760" w:type="dxa"/>
          </w:tcPr>
          <w:p w14:paraId="2156AFDB">
            <w:pPr>
              <w:spacing w:line="440" w:lineRule="exact"/>
              <w:jc w:val="center"/>
              <w:rPr>
                <w:rFonts w:ascii="宋体" w:hAnsi="宋体"/>
                <w:color w:val="auto"/>
                <w:szCs w:val="21"/>
              </w:rPr>
            </w:pPr>
          </w:p>
        </w:tc>
        <w:tc>
          <w:tcPr>
            <w:tcW w:w="991" w:type="dxa"/>
          </w:tcPr>
          <w:p w14:paraId="70A13047">
            <w:pPr>
              <w:spacing w:line="440" w:lineRule="exact"/>
              <w:jc w:val="center"/>
              <w:rPr>
                <w:rFonts w:ascii="宋体" w:hAnsi="宋体"/>
                <w:color w:val="auto"/>
                <w:szCs w:val="21"/>
              </w:rPr>
            </w:pPr>
          </w:p>
        </w:tc>
        <w:tc>
          <w:tcPr>
            <w:tcW w:w="672" w:type="dxa"/>
          </w:tcPr>
          <w:p w14:paraId="605B1601">
            <w:pPr>
              <w:spacing w:line="440" w:lineRule="exact"/>
              <w:jc w:val="center"/>
              <w:rPr>
                <w:rFonts w:ascii="宋体" w:hAnsi="宋体"/>
                <w:color w:val="auto"/>
                <w:szCs w:val="21"/>
              </w:rPr>
            </w:pPr>
          </w:p>
        </w:tc>
        <w:tc>
          <w:tcPr>
            <w:tcW w:w="738" w:type="dxa"/>
          </w:tcPr>
          <w:p w14:paraId="0E5A7DD9">
            <w:pPr>
              <w:spacing w:line="440" w:lineRule="exact"/>
              <w:jc w:val="center"/>
              <w:rPr>
                <w:rFonts w:ascii="宋体" w:hAnsi="宋体"/>
                <w:color w:val="auto"/>
                <w:szCs w:val="21"/>
              </w:rPr>
            </w:pPr>
          </w:p>
        </w:tc>
        <w:tc>
          <w:tcPr>
            <w:tcW w:w="1212" w:type="dxa"/>
          </w:tcPr>
          <w:p w14:paraId="111C7007">
            <w:pPr>
              <w:spacing w:line="440" w:lineRule="exact"/>
              <w:jc w:val="center"/>
              <w:rPr>
                <w:rFonts w:ascii="宋体" w:hAnsi="宋体"/>
                <w:color w:val="auto"/>
                <w:szCs w:val="21"/>
              </w:rPr>
            </w:pPr>
          </w:p>
        </w:tc>
        <w:tc>
          <w:tcPr>
            <w:tcW w:w="1653" w:type="dxa"/>
          </w:tcPr>
          <w:p w14:paraId="7A646268">
            <w:pPr>
              <w:spacing w:line="440" w:lineRule="exact"/>
              <w:jc w:val="center"/>
              <w:rPr>
                <w:rFonts w:ascii="宋体" w:hAnsi="宋体"/>
                <w:color w:val="auto"/>
                <w:szCs w:val="21"/>
              </w:rPr>
            </w:pPr>
          </w:p>
        </w:tc>
        <w:tc>
          <w:tcPr>
            <w:tcW w:w="688" w:type="dxa"/>
          </w:tcPr>
          <w:p w14:paraId="3A6F3AF5">
            <w:pPr>
              <w:spacing w:line="440" w:lineRule="exact"/>
              <w:jc w:val="center"/>
              <w:rPr>
                <w:rFonts w:ascii="宋体" w:hAnsi="宋体"/>
                <w:color w:val="auto"/>
                <w:szCs w:val="21"/>
              </w:rPr>
            </w:pPr>
          </w:p>
        </w:tc>
      </w:tr>
      <w:tr w14:paraId="04825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2B1A5151">
            <w:pPr>
              <w:spacing w:line="440" w:lineRule="exact"/>
              <w:jc w:val="center"/>
              <w:rPr>
                <w:rFonts w:ascii="宋体" w:hAnsi="宋体"/>
                <w:color w:val="auto"/>
                <w:szCs w:val="21"/>
              </w:rPr>
            </w:pPr>
          </w:p>
        </w:tc>
        <w:tc>
          <w:tcPr>
            <w:tcW w:w="1087" w:type="dxa"/>
          </w:tcPr>
          <w:p w14:paraId="1F61083D">
            <w:pPr>
              <w:spacing w:line="440" w:lineRule="exact"/>
              <w:jc w:val="center"/>
              <w:rPr>
                <w:rFonts w:ascii="宋体" w:hAnsi="宋体"/>
                <w:color w:val="auto"/>
                <w:szCs w:val="21"/>
              </w:rPr>
            </w:pPr>
          </w:p>
        </w:tc>
        <w:tc>
          <w:tcPr>
            <w:tcW w:w="760" w:type="dxa"/>
          </w:tcPr>
          <w:p w14:paraId="532E7D7D">
            <w:pPr>
              <w:spacing w:line="440" w:lineRule="exact"/>
              <w:jc w:val="center"/>
              <w:rPr>
                <w:rFonts w:ascii="宋体" w:hAnsi="宋体"/>
                <w:color w:val="auto"/>
                <w:szCs w:val="21"/>
              </w:rPr>
            </w:pPr>
          </w:p>
        </w:tc>
        <w:tc>
          <w:tcPr>
            <w:tcW w:w="991" w:type="dxa"/>
          </w:tcPr>
          <w:p w14:paraId="0AC47A09">
            <w:pPr>
              <w:spacing w:line="440" w:lineRule="exact"/>
              <w:jc w:val="center"/>
              <w:rPr>
                <w:rFonts w:ascii="宋体" w:hAnsi="宋体"/>
                <w:color w:val="auto"/>
                <w:szCs w:val="21"/>
              </w:rPr>
            </w:pPr>
          </w:p>
        </w:tc>
        <w:tc>
          <w:tcPr>
            <w:tcW w:w="672" w:type="dxa"/>
          </w:tcPr>
          <w:p w14:paraId="039AABAD">
            <w:pPr>
              <w:spacing w:line="440" w:lineRule="exact"/>
              <w:jc w:val="center"/>
              <w:rPr>
                <w:rFonts w:ascii="宋体" w:hAnsi="宋体"/>
                <w:color w:val="auto"/>
                <w:szCs w:val="21"/>
              </w:rPr>
            </w:pPr>
          </w:p>
        </w:tc>
        <w:tc>
          <w:tcPr>
            <w:tcW w:w="738" w:type="dxa"/>
          </w:tcPr>
          <w:p w14:paraId="75AE3A56">
            <w:pPr>
              <w:spacing w:line="440" w:lineRule="exact"/>
              <w:jc w:val="center"/>
              <w:rPr>
                <w:rFonts w:ascii="宋体" w:hAnsi="宋体"/>
                <w:color w:val="auto"/>
                <w:szCs w:val="21"/>
              </w:rPr>
            </w:pPr>
          </w:p>
        </w:tc>
        <w:tc>
          <w:tcPr>
            <w:tcW w:w="1212" w:type="dxa"/>
          </w:tcPr>
          <w:p w14:paraId="59A47D2C">
            <w:pPr>
              <w:spacing w:line="440" w:lineRule="exact"/>
              <w:jc w:val="center"/>
              <w:rPr>
                <w:rFonts w:ascii="宋体" w:hAnsi="宋体"/>
                <w:color w:val="auto"/>
                <w:szCs w:val="21"/>
              </w:rPr>
            </w:pPr>
          </w:p>
        </w:tc>
        <w:tc>
          <w:tcPr>
            <w:tcW w:w="1653" w:type="dxa"/>
          </w:tcPr>
          <w:p w14:paraId="13B72EDE">
            <w:pPr>
              <w:spacing w:line="440" w:lineRule="exact"/>
              <w:jc w:val="center"/>
              <w:rPr>
                <w:rFonts w:ascii="宋体" w:hAnsi="宋体"/>
                <w:color w:val="auto"/>
                <w:szCs w:val="21"/>
              </w:rPr>
            </w:pPr>
          </w:p>
        </w:tc>
        <w:tc>
          <w:tcPr>
            <w:tcW w:w="688" w:type="dxa"/>
          </w:tcPr>
          <w:p w14:paraId="07686B5D">
            <w:pPr>
              <w:spacing w:line="440" w:lineRule="exact"/>
              <w:jc w:val="center"/>
              <w:rPr>
                <w:rFonts w:ascii="宋体" w:hAnsi="宋体"/>
                <w:color w:val="auto"/>
                <w:szCs w:val="21"/>
              </w:rPr>
            </w:pPr>
          </w:p>
        </w:tc>
      </w:tr>
      <w:tr w14:paraId="0959D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3DEAAE75">
            <w:pPr>
              <w:spacing w:line="440" w:lineRule="exact"/>
              <w:jc w:val="center"/>
              <w:rPr>
                <w:rFonts w:ascii="宋体" w:hAnsi="宋体"/>
                <w:color w:val="auto"/>
                <w:szCs w:val="21"/>
              </w:rPr>
            </w:pPr>
          </w:p>
        </w:tc>
        <w:tc>
          <w:tcPr>
            <w:tcW w:w="1087" w:type="dxa"/>
          </w:tcPr>
          <w:p w14:paraId="3286042C">
            <w:pPr>
              <w:spacing w:line="440" w:lineRule="exact"/>
              <w:jc w:val="center"/>
              <w:rPr>
                <w:rFonts w:ascii="宋体" w:hAnsi="宋体"/>
                <w:color w:val="auto"/>
                <w:szCs w:val="21"/>
              </w:rPr>
            </w:pPr>
          </w:p>
        </w:tc>
        <w:tc>
          <w:tcPr>
            <w:tcW w:w="760" w:type="dxa"/>
          </w:tcPr>
          <w:p w14:paraId="2FC14444">
            <w:pPr>
              <w:spacing w:line="440" w:lineRule="exact"/>
              <w:jc w:val="center"/>
              <w:rPr>
                <w:rFonts w:ascii="宋体" w:hAnsi="宋体"/>
                <w:color w:val="auto"/>
                <w:szCs w:val="21"/>
              </w:rPr>
            </w:pPr>
          </w:p>
        </w:tc>
        <w:tc>
          <w:tcPr>
            <w:tcW w:w="991" w:type="dxa"/>
          </w:tcPr>
          <w:p w14:paraId="1E3AAF51">
            <w:pPr>
              <w:spacing w:line="440" w:lineRule="exact"/>
              <w:jc w:val="center"/>
              <w:rPr>
                <w:rFonts w:ascii="宋体" w:hAnsi="宋体"/>
                <w:color w:val="auto"/>
                <w:szCs w:val="21"/>
              </w:rPr>
            </w:pPr>
          </w:p>
        </w:tc>
        <w:tc>
          <w:tcPr>
            <w:tcW w:w="672" w:type="dxa"/>
          </w:tcPr>
          <w:p w14:paraId="051D3AFA">
            <w:pPr>
              <w:spacing w:line="440" w:lineRule="exact"/>
              <w:jc w:val="center"/>
              <w:rPr>
                <w:rFonts w:ascii="宋体" w:hAnsi="宋体"/>
                <w:color w:val="auto"/>
                <w:szCs w:val="21"/>
              </w:rPr>
            </w:pPr>
          </w:p>
        </w:tc>
        <w:tc>
          <w:tcPr>
            <w:tcW w:w="738" w:type="dxa"/>
          </w:tcPr>
          <w:p w14:paraId="0A560353">
            <w:pPr>
              <w:spacing w:line="440" w:lineRule="exact"/>
              <w:jc w:val="center"/>
              <w:rPr>
                <w:rFonts w:ascii="宋体" w:hAnsi="宋体"/>
                <w:color w:val="auto"/>
                <w:szCs w:val="21"/>
              </w:rPr>
            </w:pPr>
          </w:p>
        </w:tc>
        <w:tc>
          <w:tcPr>
            <w:tcW w:w="1212" w:type="dxa"/>
          </w:tcPr>
          <w:p w14:paraId="3D81631A">
            <w:pPr>
              <w:spacing w:line="440" w:lineRule="exact"/>
              <w:jc w:val="center"/>
              <w:rPr>
                <w:rFonts w:ascii="宋体" w:hAnsi="宋体"/>
                <w:color w:val="auto"/>
                <w:szCs w:val="21"/>
              </w:rPr>
            </w:pPr>
          </w:p>
        </w:tc>
        <w:tc>
          <w:tcPr>
            <w:tcW w:w="1653" w:type="dxa"/>
          </w:tcPr>
          <w:p w14:paraId="26D89FDB">
            <w:pPr>
              <w:spacing w:line="440" w:lineRule="exact"/>
              <w:jc w:val="center"/>
              <w:rPr>
                <w:rFonts w:ascii="宋体" w:hAnsi="宋体"/>
                <w:color w:val="auto"/>
                <w:szCs w:val="21"/>
              </w:rPr>
            </w:pPr>
          </w:p>
        </w:tc>
        <w:tc>
          <w:tcPr>
            <w:tcW w:w="688" w:type="dxa"/>
          </w:tcPr>
          <w:p w14:paraId="39F435B7">
            <w:pPr>
              <w:spacing w:line="440" w:lineRule="exact"/>
              <w:jc w:val="center"/>
              <w:rPr>
                <w:rFonts w:ascii="宋体" w:hAnsi="宋体"/>
                <w:color w:val="auto"/>
                <w:szCs w:val="21"/>
              </w:rPr>
            </w:pPr>
          </w:p>
        </w:tc>
      </w:tr>
      <w:tr w14:paraId="3F25F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2BFCF589">
            <w:pPr>
              <w:spacing w:line="440" w:lineRule="exact"/>
              <w:jc w:val="center"/>
              <w:rPr>
                <w:rFonts w:ascii="宋体" w:hAnsi="宋体"/>
                <w:color w:val="auto"/>
                <w:szCs w:val="21"/>
              </w:rPr>
            </w:pPr>
          </w:p>
        </w:tc>
        <w:tc>
          <w:tcPr>
            <w:tcW w:w="1087" w:type="dxa"/>
          </w:tcPr>
          <w:p w14:paraId="2B99C2B4">
            <w:pPr>
              <w:spacing w:line="440" w:lineRule="exact"/>
              <w:jc w:val="center"/>
              <w:rPr>
                <w:rFonts w:ascii="宋体" w:hAnsi="宋体"/>
                <w:color w:val="auto"/>
                <w:szCs w:val="21"/>
              </w:rPr>
            </w:pPr>
          </w:p>
        </w:tc>
        <w:tc>
          <w:tcPr>
            <w:tcW w:w="760" w:type="dxa"/>
          </w:tcPr>
          <w:p w14:paraId="7475455E">
            <w:pPr>
              <w:spacing w:line="440" w:lineRule="exact"/>
              <w:jc w:val="center"/>
              <w:rPr>
                <w:rFonts w:ascii="宋体" w:hAnsi="宋体"/>
                <w:color w:val="auto"/>
                <w:szCs w:val="21"/>
              </w:rPr>
            </w:pPr>
          </w:p>
        </w:tc>
        <w:tc>
          <w:tcPr>
            <w:tcW w:w="991" w:type="dxa"/>
          </w:tcPr>
          <w:p w14:paraId="793A43BB">
            <w:pPr>
              <w:spacing w:line="440" w:lineRule="exact"/>
              <w:jc w:val="center"/>
              <w:rPr>
                <w:rFonts w:ascii="宋体" w:hAnsi="宋体"/>
                <w:color w:val="auto"/>
                <w:szCs w:val="21"/>
              </w:rPr>
            </w:pPr>
          </w:p>
        </w:tc>
        <w:tc>
          <w:tcPr>
            <w:tcW w:w="672" w:type="dxa"/>
          </w:tcPr>
          <w:p w14:paraId="14BD44BB">
            <w:pPr>
              <w:spacing w:line="440" w:lineRule="exact"/>
              <w:jc w:val="center"/>
              <w:rPr>
                <w:rFonts w:ascii="宋体" w:hAnsi="宋体"/>
                <w:color w:val="auto"/>
                <w:szCs w:val="21"/>
              </w:rPr>
            </w:pPr>
          </w:p>
        </w:tc>
        <w:tc>
          <w:tcPr>
            <w:tcW w:w="738" w:type="dxa"/>
          </w:tcPr>
          <w:p w14:paraId="00E7368E">
            <w:pPr>
              <w:spacing w:line="440" w:lineRule="exact"/>
              <w:jc w:val="center"/>
              <w:rPr>
                <w:rFonts w:ascii="宋体" w:hAnsi="宋体"/>
                <w:color w:val="auto"/>
                <w:szCs w:val="21"/>
              </w:rPr>
            </w:pPr>
          </w:p>
        </w:tc>
        <w:tc>
          <w:tcPr>
            <w:tcW w:w="1212" w:type="dxa"/>
          </w:tcPr>
          <w:p w14:paraId="2CA55ADD">
            <w:pPr>
              <w:spacing w:line="440" w:lineRule="exact"/>
              <w:jc w:val="center"/>
              <w:rPr>
                <w:rFonts w:ascii="宋体" w:hAnsi="宋体"/>
                <w:color w:val="auto"/>
                <w:szCs w:val="21"/>
              </w:rPr>
            </w:pPr>
          </w:p>
        </w:tc>
        <w:tc>
          <w:tcPr>
            <w:tcW w:w="1653" w:type="dxa"/>
          </w:tcPr>
          <w:p w14:paraId="1D8BD125">
            <w:pPr>
              <w:spacing w:line="440" w:lineRule="exact"/>
              <w:jc w:val="center"/>
              <w:rPr>
                <w:rFonts w:ascii="宋体" w:hAnsi="宋体"/>
                <w:color w:val="auto"/>
                <w:szCs w:val="21"/>
              </w:rPr>
            </w:pPr>
          </w:p>
        </w:tc>
        <w:tc>
          <w:tcPr>
            <w:tcW w:w="688" w:type="dxa"/>
          </w:tcPr>
          <w:p w14:paraId="40258165">
            <w:pPr>
              <w:spacing w:line="440" w:lineRule="exact"/>
              <w:jc w:val="center"/>
              <w:rPr>
                <w:rFonts w:ascii="宋体" w:hAnsi="宋体"/>
                <w:color w:val="auto"/>
                <w:szCs w:val="21"/>
              </w:rPr>
            </w:pPr>
          </w:p>
        </w:tc>
      </w:tr>
      <w:tr w14:paraId="52799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2C6B8652">
            <w:pPr>
              <w:spacing w:line="440" w:lineRule="exact"/>
              <w:jc w:val="center"/>
              <w:rPr>
                <w:rFonts w:ascii="宋体" w:hAnsi="宋体"/>
                <w:color w:val="auto"/>
                <w:szCs w:val="21"/>
              </w:rPr>
            </w:pPr>
          </w:p>
        </w:tc>
        <w:tc>
          <w:tcPr>
            <w:tcW w:w="1087" w:type="dxa"/>
          </w:tcPr>
          <w:p w14:paraId="03DA7DED">
            <w:pPr>
              <w:spacing w:line="440" w:lineRule="exact"/>
              <w:jc w:val="center"/>
              <w:rPr>
                <w:rFonts w:ascii="宋体" w:hAnsi="宋体"/>
                <w:color w:val="auto"/>
                <w:szCs w:val="21"/>
              </w:rPr>
            </w:pPr>
          </w:p>
        </w:tc>
        <w:tc>
          <w:tcPr>
            <w:tcW w:w="760" w:type="dxa"/>
          </w:tcPr>
          <w:p w14:paraId="273E0E5C">
            <w:pPr>
              <w:spacing w:line="440" w:lineRule="exact"/>
              <w:jc w:val="center"/>
              <w:rPr>
                <w:rFonts w:ascii="宋体" w:hAnsi="宋体"/>
                <w:color w:val="auto"/>
                <w:szCs w:val="21"/>
              </w:rPr>
            </w:pPr>
          </w:p>
        </w:tc>
        <w:tc>
          <w:tcPr>
            <w:tcW w:w="991" w:type="dxa"/>
          </w:tcPr>
          <w:p w14:paraId="1242EF89">
            <w:pPr>
              <w:spacing w:line="440" w:lineRule="exact"/>
              <w:jc w:val="center"/>
              <w:rPr>
                <w:rFonts w:ascii="宋体" w:hAnsi="宋体"/>
                <w:color w:val="auto"/>
                <w:szCs w:val="21"/>
              </w:rPr>
            </w:pPr>
          </w:p>
        </w:tc>
        <w:tc>
          <w:tcPr>
            <w:tcW w:w="672" w:type="dxa"/>
          </w:tcPr>
          <w:p w14:paraId="27EB1130">
            <w:pPr>
              <w:spacing w:line="440" w:lineRule="exact"/>
              <w:jc w:val="center"/>
              <w:rPr>
                <w:rFonts w:ascii="宋体" w:hAnsi="宋体"/>
                <w:color w:val="auto"/>
                <w:szCs w:val="21"/>
              </w:rPr>
            </w:pPr>
          </w:p>
        </w:tc>
        <w:tc>
          <w:tcPr>
            <w:tcW w:w="738" w:type="dxa"/>
          </w:tcPr>
          <w:p w14:paraId="68FA5337">
            <w:pPr>
              <w:spacing w:line="440" w:lineRule="exact"/>
              <w:jc w:val="center"/>
              <w:rPr>
                <w:rFonts w:ascii="宋体" w:hAnsi="宋体"/>
                <w:color w:val="auto"/>
                <w:szCs w:val="21"/>
              </w:rPr>
            </w:pPr>
          </w:p>
        </w:tc>
        <w:tc>
          <w:tcPr>
            <w:tcW w:w="1212" w:type="dxa"/>
          </w:tcPr>
          <w:p w14:paraId="321FD39E">
            <w:pPr>
              <w:spacing w:line="440" w:lineRule="exact"/>
              <w:jc w:val="center"/>
              <w:rPr>
                <w:rFonts w:ascii="宋体" w:hAnsi="宋体"/>
                <w:color w:val="auto"/>
                <w:szCs w:val="21"/>
              </w:rPr>
            </w:pPr>
          </w:p>
        </w:tc>
        <w:tc>
          <w:tcPr>
            <w:tcW w:w="1653" w:type="dxa"/>
          </w:tcPr>
          <w:p w14:paraId="3833EE4A">
            <w:pPr>
              <w:spacing w:line="440" w:lineRule="exact"/>
              <w:jc w:val="center"/>
              <w:rPr>
                <w:rFonts w:ascii="宋体" w:hAnsi="宋体"/>
                <w:color w:val="auto"/>
                <w:szCs w:val="21"/>
              </w:rPr>
            </w:pPr>
          </w:p>
        </w:tc>
        <w:tc>
          <w:tcPr>
            <w:tcW w:w="688" w:type="dxa"/>
          </w:tcPr>
          <w:p w14:paraId="697A0B46">
            <w:pPr>
              <w:spacing w:line="440" w:lineRule="exact"/>
              <w:jc w:val="center"/>
              <w:rPr>
                <w:rFonts w:ascii="宋体" w:hAnsi="宋体"/>
                <w:color w:val="auto"/>
                <w:szCs w:val="21"/>
              </w:rPr>
            </w:pPr>
          </w:p>
        </w:tc>
      </w:tr>
      <w:tr w14:paraId="6E36B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49ABEDBC">
            <w:pPr>
              <w:spacing w:line="440" w:lineRule="exact"/>
              <w:jc w:val="center"/>
              <w:rPr>
                <w:rFonts w:ascii="宋体" w:hAnsi="宋体"/>
                <w:color w:val="auto"/>
                <w:szCs w:val="21"/>
              </w:rPr>
            </w:pPr>
          </w:p>
        </w:tc>
        <w:tc>
          <w:tcPr>
            <w:tcW w:w="1087" w:type="dxa"/>
          </w:tcPr>
          <w:p w14:paraId="174B21AB">
            <w:pPr>
              <w:spacing w:line="440" w:lineRule="exact"/>
              <w:jc w:val="center"/>
              <w:rPr>
                <w:rFonts w:ascii="宋体" w:hAnsi="宋体"/>
                <w:color w:val="auto"/>
                <w:szCs w:val="21"/>
              </w:rPr>
            </w:pPr>
          </w:p>
        </w:tc>
        <w:tc>
          <w:tcPr>
            <w:tcW w:w="760" w:type="dxa"/>
          </w:tcPr>
          <w:p w14:paraId="557B5719">
            <w:pPr>
              <w:spacing w:line="440" w:lineRule="exact"/>
              <w:jc w:val="center"/>
              <w:rPr>
                <w:rFonts w:ascii="宋体" w:hAnsi="宋体"/>
                <w:color w:val="auto"/>
                <w:szCs w:val="21"/>
              </w:rPr>
            </w:pPr>
          </w:p>
        </w:tc>
        <w:tc>
          <w:tcPr>
            <w:tcW w:w="991" w:type="dxa"/>
          </w:tcPr>
          <w:p w14:paraId="29EF64CC">
            <w:pPr>
              <w:spacing w:line="440" w:lineRule="exact"/>
              <w:jc w:val="center"/>
              <w:rPr>
                <w:rFonts w:ascii="宋体" w:hAnsi="宋体"/>
                <w:color w:val="auto"/>
                <w:szCs w:val="21"/>
              </w:rPr>
            </w:pPr>
          </w:p>
        </w:tc>
        <w:tc>
          <w:tcPr>
            <w:tcW w:w="672" w:type="dxa"/>
          </w:tcPr>
          <w:p w14:paraId="380B946A">
            <w:pPr>
              <w:spacing w:line="440" w:lineRule="exact"/>
              <w:jc w:val="center"/>
              <w:rPr>
                <w:rFonts w:ascii="宋体" w:hAnsi="宋体"/>
                <w:color w:val="auto"/>
                <w:szCs w:val="21"/>
              </w:rPr>
            </w:pPr>
          </w:p>
        </w:tc>
        <w:tc>
          <w:tcPr>
            <w:tcW w:w="738" w:type="dxa"/>
          </w:tcPr>
          <w:p w14:paraId="24CA2DF1">
            <w:pPr>
              <w:spacing w:line="440" w:lineRule="exact"/>
              <w:jc w:val="center"/>
              <w:rPr>
                <w:rFonts w:ascii="宋体" w:hAnsi="宋体"/>
                <w:color w:val="auto"/>
                <w:szCs w:val="21"/>
              </w:rPr>
            </w:pPr>
          </w:p>
        </w:tc>
        <w:tc>
          <w:tcPr>
            <w:tcW w:w="1212" w:type="dxa"/>
          </w:tcPr>
          <w:p w14:paraId="2E0EB911">
            <w:pPr>
              <w:spacing w:line="440" w:lineRule="exact"/>
              <w:jc w:val="center"/>
              <w:rPr>
                <w:rFonts w:ascii="宋体" w:hAnsi="宋体"/>
                <w:color w:val="auto"/>
                <w:szCs w:val="21"/>
              </w:rPr>
            </w:pPr>
          </w:p>
        </w:tc>
        <w:tc>
          <w:tcPr>
            <w:tcW w:w="1653" w:type="dxa"/>
          </w:tcPr>
          <w:p w14:paraId="02EF7C21">
            <w:pPr>
              <w:spacing w:line="440" w:lineRule="exact"/>
              <w:jc w:val="center"/>
              <w:rPr>
                <w:rFonts w:ascii="宋体" w:hAnsi="宋体"/>
                <w:color w:val="auto"/>
                <w:szCs w:val="21"/>
              </w:rPr>
            </w:pPr>
          </w:p>
        </w:tc>
        <w:tc>
          <w:tcPr>
            <w:tcW w:w="688" w:type="dxa"/>
          </w:tcPr>
          <w:p w14:paraId="38EDFB65">
            <w:pPr>
              <w:spacing w:line="440" w:lineRule="exact"/>
              <w:jc w:val="center"/>
              <w:rPr>
                <w:rFonts w:ascii="宋体" w:hAnsi="宋体"/>
                <w:color w:val="auto"/>
                <w:szCs w:val="21"/>
              </w:rPr>
            </w:pPr>
          </w:p>
        </w:tc>
      </w:tr>
      <w:tr w14:paraId="7A4A7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06DB52B1">
            <w:pPr>
              <w:spacing w:line="440" w:lineRule="exact"/>
              <w:jc w:val="center"/>
              <w:rPr>
                <w:rFonts w:ascii="宋体" w:hAnsi="宋体"/>
                <w:color w:val="auto"/>
                <w:szCs w:val="21"/>
              </w:rPr>
            </w:pPr>
          </w:p>
        </w:tc>
        <w:tc>
          <w:tcPr>
            <w:tcW w:w="1087" w:type="dxa"/>
          </w:tcPr>
          <w:p w14:paraId="747CBC89">
            <w:pPr>
              <w:spacing w:line="440" w:lineRule="exact"/>
              <w:jc w:val="center"/>
              <w:rPr>
                <w:rFonts w:ascii="宋体" w:hAnsi="宋体"/>
                <w:color w:val="auto"/>
                <w:szCs w:val="21"/>
              </w:rPr>
            </w:pPr>
          </w:p>
        </w:tc>
        <w:tc>
          <w:tcPr>
            <w:tcW w:w="760" w:type="dxa"/>
          </w:tcPr>
          <w:p w14:paraId="5DCDF2E7">
            <w:pPr>
              <w:spacing w:line="440" w:lineRule="exact"/>
              <w:jc w:val="center"/>
              <w:rPr>
                <w:rFonts w:ascii="宋体" w:hAnsi="宋体"/>
                <w:color w:val="auto"/>
                <w:szCs w:val="21"/>
              </w:rPr>
            </w:pPr>
          </w:p>
        </w:tc>
        <w:tc>
          <w:tcPr>
            <w:tcW w:w="991" w:type="dxa"/>
          </w:tcPr>
          <w:p w14:paraId="0C3A3401">
            <w:pPr>
              <w:spacing w:line="440" w:lineRule="exact"/>
              <w:jc w:val="center"/>
              <w:rPr>
                <w:rFonts w:ascii="宋体" w:hAnsi="宋体"/>
                <w:color w:val="auto"/>
                <w:szCs w:val="21"/>
              </w:rPr>
            </w:pPr>
          </w:p>
        </w:tc>
        <w:tc>
          <w:tcPr>
            <w:tcW w:w="672" w:type="dxa"/>
          </w:tcPr>
          <w:p w14:paraId="3227B6A2">
            <w:pPr>
              <w:spacing w:line="440" w:lineRule="exact"/>
              <w:jc w:val="center"/>
              <w:rPr>
                <w:rFonts w:ascii="宋体" w:hAnsi="宋体"/>
                <w:color w:val="auto"/>
                <w:szCs w:val="21"/>
              </w:rPr>
            </w:pPr>
          </w:p>
        </w:tc>
        <w:tc>
          <w:tcPr>
            <w:tcW w:w="738" w:type="dxa"/>
          </w:tcPr>
          <w:p w14:paraId="5447E8F7">
            <w:pPr>
              <w:spacing w:line="440" w:lineRule="exact"/>
              <w:jc w:val="center"/>
              <w:rPr>
                <w:rFonts w:ascii="宋体" w:hAnsi="宋体"/>
                <w:color w:val="auto"/>
                <w:szCs w:val="21"/>
              </w:rPr>
            </w:pPr>
          </w:p>
        </w:tc>
        <w:tc>
          <w:tcPr>
            <w:tcW w:w="1212" w:type="dxa"/>
          </w:tcPr>
          <w:p w14:paraId="1B51271E">
            <w:pPr>
              <w:spacing w:line="440" w:lineRule="exact"/>
              <w:jc w:val="center"/>
              <w:rPr>
                <w:rFonts w:ascii="宋体" w:hAnsi="宋体"/>
                <w:color w:val="auto"/>
                <w:szCs w:val="21"/>
              </w:rPr>
            </w:pPr>
          </w:p>
        </w:tc>
        <w:tc>
          <w:tcPr>
            <w:tcW w:w="1653" w:type="dxa"/>
          </w:tcPr>
          <w:p w14:paraId="11C18477">
            <w:pPr>
              <w:spacing w:line="440" w:lineRule="exact"/>
              <w:jc w:val="center"/>
              <w:rPr>
                <w:rFonts w:ascii="宋体" w:hAnsi="宋体"/>
                <w:color w:val="auto"/>
                <w:szCs w:val="21"/>
              </w:rPr>
            </w:pPr>
          </w:p>
        </w:tc>
        <w:tc>
          <w:tcPr>
            <w:tcW w:w="688" w:type="dxa"/>
          </w:tcPr>
          <w:p w14:paraId="626A4F1A">
            <w:pPr>
              <w:spacing w:line="440" w:lineRule="exact"/>
              <w:jc w:val="center"/>
              <w:rPr>
                <w:rFonts w:ascii="宋体" w:hAnsi="宋体"/>
                <w:color w:val="auto"/>
                <w:szCs w:val="21"/>
              </w:rPr>
            </w:pPr>
          </w:p>
        </w:tc>
      </w:tr>
      <w:tr w14:paraId="74C15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243575FC">
            <w:pPr>
              <w:spacing w:line="440" w:lineRule="exact"/>
              <w:jc w:val="center"/>
              <w:rPr>
                <w:rFonts w:ascii="宋体" w:hAnsi="宋体"/>
                <w:color w:val="auto"/>
                <w:szCs w:val="21"/>
              </w:rPr>
            </w:pPr>
          </w:p>
        </w:tc>
        <w:tc>
          <w:tcPr>
            <w:tcW w:w="1087" w:type="dxa"/>
          </w:tcPr>
          <w:p w14:paraId="22189FAE">
            <w:pPr>
              <w:spacing w:line="440" w:lineRule="exact"/>
              <w:jc w:val="center"/>
              <w:rPr>
                <w:rFonts w:ascii="宋体" w:hAnsi="宋体"/>
                <w:color w:val="auto"/>
                <w:szCs w:val="21"/>
              </w:rPr>
            </w:pPr>
          </w:p>
        </w:tc>
        <w:tc>
          <w:tcPr>
            <w:tcW w:w="760" w:type="dxa"/>
          </w:tcPr>
          <w:p w14:paraId="4E923E8D">
            <w:pPr>
              <w:spacing w:line="440" w:lineRule="exact"/>
              <w:jc w:val="center"/>
              <w:rPr>
                <w:rFonts w:ascii="宋体" w:hAnsi="宋体"/>
                <w:color w:val="auto"/>
                <w:szCs w:val="21"/>
              </w:rPr>
            </w:pPr>
          </w:p>
        </w:tc>
        <w:tc>
          <w:tcPr>
            <w:tcW w:w="991" w:type="dxa"/>
          </w:tcPr>
          <w:p w14:paraId="299B37E2">
            <w:pPr>
              <w:spacing w:line="440" w:lineRule="exact"/>
              <w:jc w:val="center"/>
              <w:rPr>
                <w:rFonts w:ascii="宋体" w:hAnsi="宋体"/>
                <w:color w:val="auto"/>
                <w:szCs w:val="21"/>
              </w:rPr>
            </w:pPr>
          </w:p>
        </w:tc>
        <w:tc>
          <w:tcPr>
            <w:tcW w:w="672" w:type="dxa"/>
          </w:tcPr>
          <w:p w14:paraId="18B9A36D">
            <w:pPr>
              <w:spacing w:line="440" w:lineRule="exact"/>
              <w:jc w:val="center"/>
              <w:rPr>
                <w:rFonts w:ascii="宋体" w:hAnsi="宋体"/>
                <w:color w:val="auto"/>
                <w:szCs w:val="21"/>
              </w:rPr>
            </w:pPr>
          </w:p>
        </w:tc>
        <w:tc>
          <w:tcPr>
            <w:tcW w:w="738" w:type="dxa"/>
          </w:tcPr>
          <w:p w14:paraId="3B48F4CD">
            <w:pPr>
              <w:spacing w:line="440" w:lineRule="exact"/>
              <w:jc w:val="center"/>
              <w:rPr>
                <w:rFonts w:ascii="宋体" w:hAnsi="宋体"/>
                <w:color w:val="auto"/>
                <w:szCs w:val="21"/>
              </w:rPr>
            </w:pPr>
          </w:p>
        </w:tc>
        <w:tc>
          <w:tcPr>
            <w:tcW w:w="1212" w:type="dxa"/>
          </w:tcPr>
          <w:p w14:paraId="3098AC0E">
            <w:pPr>
              <w:spacing w:line="440" w:lineRule="exact"/>
              <w:jc w:val="center"/>
              <w:rPr>
                <w:rFonts w:ascii="宋体" w:hAnsi="宋体"/>
                <w:color w:val="auto"/>
                <w:szCs w:val="21"/>
              </w:rPr>
            </w:pPr>
          </w:p>
        </w:tc>
        <w:tc>
          <w:tcPr>
            <w:tcW w:w="1653" w:type="dxa"/>
          </w:tcPr>
          <w:p w14:paraId="5BF47E6F">
            <w:pPr>
              <w:spacing w:line="440" w:lineRule="exact"/>
              <w:jc w:val="center"/>
              <w:rPr>
                <w:rFonts w:ascii="宋体" w:hAnsi="宋体"/>
                <w:color w:val="auto"/>
                <w:szCs w:val="21"/>
              </w:rPr>
            </w:pPr>
          </w:p>
        </w:tc>
        <w:tc>
          <w:tcPr>
            <w:tcW w:w="688" w:type="dxa"/>
          </w:tcPr>
          <w:p w14:paraId="4B8DBA8C">
            <w:pPr>
              <w:spacing w:line="440" w:lineRule="exact"/>
              <w:jc w:val="center"/>
              <w:rPr>
                <w:rFonts w:ascii="宋体" w:hAnsi="宋体"/>
                <w:color w:val="auto"/>
                <w:szCs w:val="21"/>
              </w:rPr>
            </w:pPr>
          </w:p>
        </w:tc>
      </w:tr>
      <w:tr w14:paraId="27C09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175DCBF8">
            <w:pPr>
              <w:spacing w:line="440" w:lineRule="exact"/>
              <w:jc w:val="center"/>
              <w:rPr>
                <w:rFonts w:ascii="宋体" w:hAnsi="宋体"/>
                <w:color w:val="auto"/>
                <w:szCs w:val="21"/>
              </w:rPr>
            </w:pPr>
          </w:p>
        </w:tc>
        <w:tc>
          <w:tcPr>
            <w:tcW w:w="1087" w:type="dxa"/>
          </w:tcPr>
          <w:p w14:paraId="547568C7">
            <w:pPr>
              <w:spacing w:line="440" w:lineRule="exact"/>
              <w:jc w:val="center"/>
              <w:rPr>
                <w:rFonts w:ascii="宋体" w:hAnsi="宋体"/>
                <w:color w:val="auto"/>
                <w:szCs w:val="21"/>
              </w:rPr>
            </w:pPr>
          </w:p>
        </w:tc>
        <w:tc>
          <w:tcPr>
            <w:tcW w:w="760" w:type="dxa"/>
          </w:tcPr>
          <w:p w14:paraId="1EB5E097">
            <w:pPr>
              <w:spacing w:line="440" w:lineRule="exact"/>
              <w:jc w:val="center"/>
              <w:rPr>
                <w:rFonts w:ascii="宋体" w:hAnsi="宋体"/>
                <w:color w:val="auto"/>
                <w:szCs w:val="21"/>
              </w:rPr>
            </w:pPr>
          </w:p>
        </w:tc>
        <w:tc>
          <w:tcPr>
            <w:tcW w:w="991" w:type="dxa"/>
          </w:tcPr>
          <w:p w14:paraId="4D907306">
            <w:pPr>
              <w:spacing w:line="440" w:lineRule="exact"/>
              <w:jc w:val="center"/>
              <w:rPr>
                <w:rFonts w:ascii="宋体" w:hAnsi="宋体"/>
                <w:color w:val="auto"/>
                <w:szCs w:val="21"/>
              </w:rPr>
            </w:pPr>
          </w:p>
        </w:tc>
        <w:tc>
          <w:tcPr>
            <w:tcW w:w="672" w:type="dxa"/>
          </w:tcPr>
          <w:p w14:paraId="5D19AD75">
            <w:pPr>
              <w:spacing w:line="440" w:lineRule="exact"/>
              <w:jc w:val="center"/>
              <w:rPr>
                <w:rFonts w:ascii="宋体" w:hAnsi="宋体"/>
                <w:color w:val="auto"/>
                <w:szCs w:val="21"/>
              </w:rPr>
            </w:pPr>
          </w:p>
        </w:tc>
        <w:tc>
          <w:tcPr>
            <w:tcW w:w="738" w:type="dxa"/>
          </w:tcPr>
          <w:p w14:paraId="37FDEE90">
            <w:pPr>
              <w:spacing w:line="440" w:lineRule="exact"/>
              <w:jc w:val="center"/>
              <w:rPr>
                <w:rFonts w:ascii="宋体" w:hAnsi="宋体"/>
                <w:color w:val="auto"/>
                <w:szCs w:val="21"/>
              </w:rPr>
            </w:pPr>
          </w:p>
        </w:tc>
        <w:tc>
          <w:tcPr>
            <w:tcW w:w="1212" w:type="dxa"/>
          </w:tcPr>
          <w:p w14:paraId="7138021C">
            <w:pPr>
              <w:spacing w:line="440" w:lineRule="exact"/>
              <w:jc w:val="center"/>
              <w:rPr>
                <w:rFonts w:ascii="宋体" w:hAnsi="宋体"/>
                <w:color w:val="auto"/>
                <w:szCs w:val="21"/>
              </w:rPr>
            </w:pPr>
          </w:p>
        </w:tc>
        <w:tc>
          <w:tcPr>
            <w:tcW w:w="1653" w:type="dxa"/>
          </w:tcPr>
          <w:p w14:paraId="1E755C51">
            <w:pPr>
              <w:spacing w:line="440" w:lineRule="exact"/>
              <w:jc w:val="center"/>
              <w:rPr>
                <w:rFonts w:ascii="宋体" w:hAnsi="宋体"/>
                <w:color w:val="auto"/>
                <w:szCs w:val="21"/>
              </w:rPr>
            </w:pPr>
          </w:p>
        </w:tc>
        <w:tc>
          <w:tcPr>
            <w:tcW w:w="688" w:type="dxa"/>
          </w:tcPr>
          <w:p w14:paraId="30C78209">
            <w:pPr>
              <w:spacing w:line="440" w:lineRule="exact"/>
              <w:jc w:val="center"/>
              <w:rPr>
                <w:rFonts w:ascii="宋体" w:hAnsi="宋体"/>
                <w:color w:val="auto"/>
                <w:szCs w:val="21"/>
              </w:rPr>
            </w:pPr>
          </w:p>
        </w:tc>
      </w:tr>
      <w:tr w14:paraId="3BC60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149E0DA3">
            <w:pPr>
              <w:spacing w:line="440" w:lineRule="exact"/>
              <w:jc w:val="center"/>
              <w:rPr>
                <w:rFonts w:ascii="宋体" w:hAnsi="宋体"/>
                <w:color w:val="auto"/>
                <w:szCs w:val="21"/>
              </w:rPr>
            </w:pPr>
          </w:p>
        </w:tc>
        <w:tc>
          <w:tcPr>
            <w:tcW w:w="1087" w:type="dxa"/>
          </w:tcPr>
          <w:p w14:paraId="0C63434C">
            <w:pPr>
              <w:spacing w:line="440" w:lineRule="exact"/>
              <w:jc w:val="center"/>
              <w:rPr>
                <w:rFonts w:ascii="宋体" w:hAnsi="宋体"/>
                <w:color w:val="auto"/>
                <w:szCs w:val="21"/>
              </w:rPr>
            </w:pPr>
          </w:p>
        </w:tc>
        <w:tc>
          <w:tcPr>
            <w:tcW w:w="760" w:type="dxa"/>
          </w:tcPr>
          <w:p w14:paraId="3B744CA0">
            <w:pPr>
              <w:spacing w:line="440" w:lineRule="exact"/>
              <w:jc w:val="center"/>
              <w:rPr>
                <w:rFonts w:ascii="宋体" w:hAnsi="宋体"/>
                <w:color w:val="auto"/>
                <w:szCs w:val="21"/>
              </w:rPr>
            </w:pPr>
          </w:p>
        </w:tc>
        <w:tc>
          <w:tcPr>
            <w:tcW w:w="991" w:type="dxa"/>
          </w:tcPr>
          <w:p w14:paraId="32555449">
            <w:pPr>
              <w:spacing w:line="440" w:lineRule="exact"/>
              <w:jc w:val="center"/>
              <w:rPr>
                <w:rFonts w:ascii="宋体" w:hAnsi="宋体"/>
                <w:color w:val="auto"/>
                <w:szCs w:val="21"/>
              </w:rPr>
            </w:pPr>
          </w:p>
        </w:tc>
        <w:tc>
          <w:tcPr>
            <w:tcW w:w="672" w:type="dxa"/>
          </w:tcPr>
          <w:p w14:paraId="674C14C3">
            <w:pPr>
              <w:spacing w:line="440" w:lineRule="exact"/>
              <w:jc w:val="center"/>
              <w:rPr>
                <w:rFonts w:ascii="宋体" w:hAnsi="宋体"/>
                <w:color w:val="auto"/>
                <w:szCs w:val="21"/>
              </w:rPr>
            </w:pPr>
          </w:p>
        </w:tc>
        <w:tc>
          <w:tcPr>
            <w:tcW w:w="738" w:type="dxa"/>
          </w:tcPr>
          <w:p w14:paraId="2E2106F0">
            <w:pPr>
              <w:spacing w:line="440" w:lineRule="exact"/>
              <w:jc w:val="center"/>
              <w:rPr>
                <w:rFonts w:ascii="宋体" w:hAnsi="宋体"/>
                <w:color w:val="auto"/>
                <w:szCs w:val="21"/>
              </w:rPr>
            </w:pPr>
          </w:p>
        </w:tc>
        <w:tc>
          <w:tcPr>
            <w:tcW w:w="1212" w:type="dxa"/>
          </w:tcPr>
          <w:p w14:paraId="6A0EF00A">
            <w:pPr>
              <w:spacing w:line="440" w:lineRule="exact"/>
              <w:jc w:val="center"/>
              <w:rPr>
                <w:rFonts w:ascii="宋体" w:hAnsi="宋体"/>
                <w:color w:val="auto"/>
                <w:szCs w:val="21"/>
              </w:rPr>
            </w:pPr>
          </w:p>
        </w:tc>
        <w:tc>
          <w:tcPr>
            <w:tcW w:w="1653" w:type="dxa"/>
          </w:tcPr>
          <w:p w14:paraId="68C58B05">
            <w:pPr>
              <w:spacing w:line="440" w:lineRule="exact"/>
              <w:jc w:val="center"/>
              <w:rPr>
                <w:rFonts w:ascii="宋体" w:hAnsi="宋体"/>
                <w:color w:val="auto"/>
                <w:szCs w:val="21"/>
              </w:rPr>
            </w:pPr>
          </w:p>
        </w:tc>
        <w:tc>
          <w:tcPr>
            <w:tcW w:w="688" w:type="dxa"/>
          </w:tcPr>
          <w:p w14:paraId="4EEFABD8">
            <w:pPr>
              <w:spacing w:line="440" w:lineRule="exact"/>
              <w:jc w:val="center"/>
              <w:rPr>
                <w:rFonts w:ascii="宋体" w:hAnsi="宋体"/>
                <w:color w:val="auto"/>
                <w:szCs w:val="21"/>
              </w:rPr>
            </w:pPr>
          </w:p>
        </w:tc>
      </w:tr>
      <w:tr w14:paraId="01A36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1C133CB4">
            <w:pPr>
              <w:spacing w:line="440" w:lineRule="exact"/>
              <w:jc w:val="center"/>
              <w:rPr>
                <w:rFonts w:ascii="宋体" w:hAnsi="宋体"/>
                <w:color w:val="auto"/>
                <w:szCs w:val="21"/>
              </w:rPr>
            </w:pPr>
          </w:p>
        </w:tc>
        <w:tc>
          <w:tcPr>
            <w:tcW w:w="1087" w:type="dxa"/>
          </w:tcPr>
          <w:p w14:paraId="5B2E3DD0">
            <w:pPr>
              <w:spacing w:line="440" w:lineRule="exact"/>
              <w:jc w:val="center"/>
              <w:rPr>
                <w:rFonts w:ascii="宋体" w:hAnsi="宋体"/>
                <w:color w:val="auto"/>
                <w:szCs w:val="21"/>
              </w:rPr>
            </w:pPr>
          </w:p>
        </w:tc>
        <w:tc>
          <w:tcPr>
            <w:tcW w:w="760" w:type="dxa"/>
          </w:tcPr>
          <w:p w14:paraId="50AA024E">
            <w:pPr>
              <w:spacing w:line="440" w:lineRule="exact"/>
              <w:jc w:val="center"/>
              <w:rPr>
                <w:rFonts w:ascii="宋体" w:hAnsi="宋体"/>
                <w:color w:val="auto"/>
                <w:szCs w:val="21"/>
              </w:rPr>
            </w:pPr>
          </w:p>
        </w:tc>
        <w:tc>
          <w:tcPr>
            <w:tcW w:w="991" w:type="dxa"/>
          </w:tcPr>
          <w:p w14:paraId="40491144">
            <w:pPr>
              <w:spacing w:line="440" w:lineRule="exact"/>
              <w:jc w:val="center"/>
              <w:rPr>
                <w:rFonts w:ascii="宋体" w:hAnsi="宋体"/>
                <w:color w:val="auto"/>
                <w:szCs w:val="21"/>
              </w:rPr>
            </w:pPr>
          </w:p>
        </w:tc>
        <w:tc>
          <w:tcPr>
            <w:tcW w:w="672" w:type="dxa"/>
          </w:tcPr>
          <w:p w14:paraId="62B7D57E">
            <w:pPr>
              <w:spacing w:line="440" w:lineRule="exact"/>
              <w:jc w:val="center"/>
              <w:rPr>
                <w:rFonts w:ascii="宋体" w:hAnsi="宋体"/>
                <w:color w:val="auto"/>
                <w:szCs w:val="21"/>
              </w:rPr>
            </w:pPr>
          </w:p>
        </w:tc>
        <w:tc>
          <w:tcPr>
            <w:tcW w:w="738" w:type="dxa"/>
          </w:tcPr>
          <w:p w14:paraId="4F934C9B">
            <w:pPr>
              <w:spacing w:line="440" w:lineRule="exact"/>
              <w:jc w:val="center"/>
              <w:rPr>
                <w:rFonts w:ascii="宋体" w:hAnsi="宋体"/>
                <w:color w:val="auto"/>
                <w:szCs w:val="21"/>
              </w:rPr>
            </w:pPr>
          </w:p>
        </w:tc>
        <w:tc>
          <w:tcPr>
            <w:tcW w:w="1212" w:type="dxa"/>
          </w:tcPr>
          <w:p w14:paraId="735EB103">
            <w:pPr>
              <w:spacing w:line="440" w:lineRule="exact"/>
              <w:jc w:val="center"/>
              <w:rPr>
                <w:rFonts w:ascii="宋体" w:hAnsi="宋体"/>
                <w:color w:val="auto"/>
                <w:szCs w:val="21"/>
              </w:rPr>
            </w:pPr>
          </w:p>
        </w:tc>
        <w:tc>
          <w:tcPr>
            <w:tcW w:w="1653" w:type="dxa"/>
          </w:tcPr>
          <w:p w14:paraId="5207D53D">
            <w:pPr>
              <w:spacing w:line="440" w:lineRule="exact"/>
              <w:jc w:val="center"/>
              <w:rPr>
                <w:rFonts w:ascii="宋体" w:hAnsi="宋体"/>
                <w:color w:val="auto"/>
                <w:szCs w:val="21"/>
              </w:rPr>
            </w:pPr>
          </w:p>
        </w:tc>
        <w:tc>
          <w:tcPr>
            <w:tcW w:w="688" w:type="dxa"/>
          </w:tcPr>
          <w:p w14:paraId="7E2BB7DF">
            <w:pPr>
              <w:spacing w:line="440" w:lineRule="exact"/>
              <w:jc w:val="center"/>
              <w:rPr>
                <w:rFonts w:ascii="宋体" w:hAnsi="宋体"/>
                <w:color w:val="auto"/>
                <w:szCs w:val="21"/>
              </w:rPr>
            </w:pPr>
          </w:p>
        </w:tc>
      </w:tr>
      <w:tr w14:paraId="67EB4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6C3AB7CB">
            <w:pPr>
              <w:spacing w:line="440" w:lineRule="exact"/>
              <w:jc w:val="center"/>
              <w:rPr>
                <w:rFonts w:ascii="宋体" w:hAnsi="宋体"/>
                <w:color w:val="auto"/>
                <w:szCs w:val="21"/>
              </w:rPr>
            </w:pPr>
          </w:p>
        </w:tc>
        <w:tc>
          <w:tcPr>
            <w:tcW w:w="1087" w:type="dxa"/>
          </w:tcPr>
          <w:p w14:paraId="4787D7F9">
            <w:pPr>
              <w:spacing w:line="440" w:lineRule="exact"/>
              <w:jc w:val="center"/>
              <w:rPr>
                <w:rFonts w:ascii="宋体" w:hAnsi="宋体"/>
                <w:color w:val="auto"/>
                <w:szCs w:val="21"/>
              </w:rPr>
            </w:pPr>
          </w:p>
        </w:tc>
        <w:tc>
          <w:tcPr>
            <w:tcW w:w="760" w:type="dxa"/>
          </w:tcPr>
          <w:p w14:paraId="503CA1AE">
            <w:pPr>
              <w:spacing w:line="440" w:lineRule="exact"/>
              <w:jc w:val="center"/>
              <w:rPr>
                <w:rFonts w:ascii="宋体" w:hAnsi="宋体"/>
                <w:color w:val="auto"/>
                <w:szCs w:val="21"/>
              </w:rPr>
            </w:pPr>
          </w:p>
        </w:tc>
        <w:tc>
          <w:tcPr>
            <w:tcW w:w="991" w:type="dxa"/>
          </w:tcPr>
          <w:p w14:paraId="701024A3">
            <w:pPr>
              <w:spacing w:line="440" w:lineRule="exact"/>
              <w:jc w:val="center"/>
              <w:rPr>
                <w:rFonts w:ascii="宋体" w:hAnsi="宋体"/>
                <w:color w:val="auto"/>
                <w:szCs w:val="21"/>
              </w:rPr>
            </w:pPr>
          </w:p>
        </w:tc>
        <w:tc>
          <w:tcPr>
            <w:tcW w:w="672" w:type="dxa"/>
          </w:tcPr>
          <w:p w14:paraId="1FDF1C7E">
            <w:pPr>
              <w:spacing w:line="440" w:lineRule="exact"/>
              <w:jc w:val="center"/>
              <w:rPr>
                <w:rFonts w:ascii="宋体" w:hAnsi="宋体"/>
                <w:color w:val="auto"/>
                <w:szCs w:val="21"/>
              </w:rPr>
            </w:pPr>
          </w:p>
        </w:tc>
        <w:tc>
          <w:tcPr>
            <w:tcW w:w="738" w:type="dxa"/>
          </w:tcPr>
          <w:p w14:paraId="38D9F8A1">
            <w:pPr>
              <w:spacing w:line="440" w:lineRule="exact"/>
              <w:jc w:val="center"/>
              <w:rPr>
                <w:rFonts w:ascii="宋体" w:hAnsi="宋体"/>
                <w:color w:val="auto"/>
                <w:szCs w:val="21"/>
              </w:rPr>
            </w:pPr>
          </w:p>
        </w:tc>
        <w:tc>
          <w:tcPr>
            <w:tcW w:w="1212" w:type="dxa"/>
          </w:tcPr>
          <w:p w14:paraId="421E09E5">
            <w:pPr>
              <w:spacing w:line="440" w:lineRule="exact"/>
              <w:jc w:val="center"/>
              <w:rPr>
                <w:rFonts w:ascii="宋体" w:hAnsi="宋体"/>
                <w:color w:val="auto"/>
                <w:szCs w:val="21"/>
              </w:rPr>
            </w:pPr>
          </w:p>
        </w:tc>
        <w:tc>
          <w:tcPr>
            <w:tcW w:w="1653" w:type="dxa"/>
          </w:tcPr>
          <w:p w14:paraId="6309BDCD">
            <w:pPr>
              <w:spacing w:line="440" w:lineRule="exact"/>
              <w:jc w:val="center"/>
              <w:rPr>
                <w:rFonts w:ascii="宋体" w:hAnsi="宋体"/>
                <w:color w:val="auto"/>
                <w:szCs w:val="21"/>
              </w:rPr>
            </w:pPr>
          </w:p>
        </w:tc>
        <w:tc>
          <w:tcPr>
            <w:tcW w:w="688" w:type="dxa"/>
          </w:tcPr>
          <w:p w14:paraId="0D918E70">
            <w:pPr>
              <w:spacing w:line="440" w:lineRule="exact"/>
              <w:jc w:val="center"/>
              <w:rPr>
                <w:rFonts w:ascii="宋体" w:hAnsi="宋体"/>
                <w:color w:val="auto"/>
                <w:szCs w:val="21"/>
              </w:rPr>
            </w:pPr>
          </w:p>
        </w:tc>
      </w:tr>
      <w:tr w14:paraId="3830D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6DE479B1">
            <w:pPr>
              <w:spacing w:line="440" w:lineRule="exact"/>
              <w:jc w:val="center"/>
              <w:rPr>
                <w:rFonts w:ascii="宋体" w:hAnsi="宋体"/>
                <w:color w:val="auto"/>
                <w:szCs w:val="21"/>
              </w:rPr>
            </w:pPr>
          </w:p>
        </w:tc>
        <w:tc>
          <w:tcPr>
            <w:tcW w:w="1087" w:type="dxa"/>
          </w:tcPr>
          <w:p w14:paraId="6095CC11">
            <w:pPr>
              <w:spacing w:line="440" w:lineRule="exact"/>
              <w:jc w:val="center"/>
              <w:rPr>
                <w:rFonts w:ascii="宋体" w:hAnsi="宋体"/>
                <w:color w:val="auto"/>
                <w:szCs w:val="21"/>
              </w:rPr>
            </w:pPr>
          </w:p>
        </w:tc>
        <w:tc>
          <w:tcPr>
            <w:tcW w:w="760" w:type="dxa"/>
          </w:tcPr>
          <w:p w14:paraId="41F150B5">
            <w:pPr>
              <w:spacing w:line="440" w:lineRule="exact"/>
              <w:jc w:val="center"/>
              <w:rPr>
                <w:rFonts w:ascii="宋体" w:hAnsi="宋体"/>
                <w:color w:val="auto"/>
                <w:szCs w:val="21"/>
              </w:rPr>
            </w:pPr>
          </w:p>
        </w:tc>
        <w:tc>
          <w:tcPr>
            <w:tcW w:w="991" w:type="dxa"/>
          </w:tcPr>
          <w:p w14:paraId="7DB9AE74">
            <w:pPr>
              <w:spacing w:line="440" w:lineRule="exact"/>
              <w:jc w:val="center"/>
              <w:rPr>
                <w:rFonts w:ascii="宋体" w:hAnsi="宋体"/>
                <w:color w:val="auto"/>
                <w:szCs w:val="21"/>
              </w:rPr>
            </w:pPr>
          </w:p>
        </w:tc>
        <w:tc>
          <w:tcPr>
            <w:tcW w:w="672" w:type="dxa"/>
          </w:tcPr>
          <w:p w14:paraId="6281F791">
            <w:pPr>
              <w:spacing w:line="440" w:lineRule="exact"/>
              <w:jc w:val="center"/>
              <w:rPr>
                <w:rFonts w:ascii="宋体" w:hAnsi="宋体"/>
                <w:color w:val="auto"/>
                <w:szCs w:val="21"/>
              </w:rPr>
            </w:pPr>
          </w:p>
        </w:tc>
        <w:tc>
          <w:tcPr>
            <w:tcW w:w="738" w:type="dxa"/>
          </w:tcPr>
          <w:p w14:paraId="53920F44">
            <w:pPr>
              <w:spacing w:line="440" w:lineRule="exact"/>
              <w:jc w:val="center"/>
              <w:rPr>
                <w:rFonts w:ascii="宋体" w:hAnsi="宋体"/>
                <w:color w:val="auto"/>
                <w:szCs w:val="21"/>
              </w:rPr>
            </w:pPr>
          </w:p>
        </w:tc>
        <w:tc>
          <w:tcPr>
            <w:tcW w:w="1212" w:type="dxa"/>
          </w:tcPr>
          <w:p w14:paraId="4718FEC6">
            <w:pPr>
              <w:spacing w:line="440" w:lineRule="exact"/>
              <w:jc w:val="center"/>
              <w:rPr>
                <w:rFonts w:ascii="宋体" w:hAnsi="宋体"/>
                <w:color w:val="auto"/>
                <w:szCs w:val="21"/>
              </w:rPr>
            </w:pPr>
          </w:p>
        </w:tc>
        <w:tc>
          <w:tcPr>
            <w:tcW w:w="1653" w:type="dxa"/>
          </w:tcPr>
          <w:p w14:paraId="296D559E">
            <w:pPr>
              <w:spacing w:line="440" w:lineRule="exact"/>
              <w:jc w:val="center"/>
              <w:rPr>
                <w:rFonts w:ascii="宋体" w:hAnsi="宋体"/>
                <w:color w:val="auto"/>
                <w:szCs w:val="21"/>
              </w:rPr>
            </w:pPr>
          </w:p>
        </w:tc>
        <w:tc>
          <w:tcPr>
            <w:tcW w:w="688" w:type="dxa"/>
          </w:tcPr>
          <w:p w14:paraId="018E60A7">
            <w:pPr>
              <w:spacing w:line="440" w:lineRule="exact"/>
              <w:jc w:val="center"/>
              <w:rPr>
                <w:rFonts w:ascii="宋体" w:hAnsi="宋体"/>
                <w:color w:val="auto"/>
                <w:szCs w:val="21"/>
              </w:rPr>
            </w:pPr>
          </w:p>
        </w:tc>
      </w:tr>
      <w:tr w14:paraId="3D22D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23A231C9">
            <w:pPr>
              <w:spacing w:line="440" w:lineRule="exact"/>
              <w:jc w:val="center"/>
              <w:rPr>
                <w:rFonts w:ascii="宋体" w:hAnsi="宋体"/>
                <w:color w:val="auto"/>
                <w:szCs w:val="21"/>
              </w:rPr>
            </w:pPr>
          </w:p>
        </w:tc>
        <w:tc>
          <w:tcPr>
            <w:tcW w:w="1087" w:type="dxa"/>
          </w:tcPr>
          <w:p w14:paraId="7B918043">
            <w:pPr>
              <w:spacing w:line="440" w:lineRule="exact"/>
              <w:jc w:val="center"/>
              <w:rPr>
                <w:rFonts w:ascii="宋体" w:hAnsi="宋体"/>
                <w:color w:val="auto"/>
                <w:szCs w:val="21"/>
              </w:rPr>
            </w:pPr>
          </w:p>
        </w:tc>
        <w:tc>
          <w:tcPr>
            <w:tcW w:w="760" w:type="dxa"/>
          </w:tcPr>
          <w:p w14:paraId="2D3AA8B7">
            <w:pPr>
              <w:spacing w:line="440" w:lineRule="exact"/>
              <w:jc w:val="center"/>
              <w:rPr>
                <w:rFonts w:ascii="宋体" w:hAnsi="宋体"/>
                <w:color w:val="auto"/>
                <w:szCs w:val="21"/>
              </w:rPr>
            </w:pPr>
          </w:p>
        </w:tc>
        <w:tc>
          <w:tcPr>
            <w:tcW w:w="991" w:type="dxa"/>
          </w:tcPr>
          <w:p w14:paraId="5B535957">
            <w:pPr>
              <w:spacing w:line="440" w:lineRule="exact"/>
              <w:jc w:val="center"/>
              <w:rPr>
                <w:rFonts w:ascii="宋体" w:hAnsi="宋体"/>
                <w:color w:val="auto"/>
                <w:szCs w:val="21"/>
              </w:rPr>
            </w:pPr>
          </w:p>
        </w:tc>
        <w:tc>
          <w:tcPr>
            <w:tcW w:w="672" w:type="dxa"/>
          </w:tcPr>
          <w:p w14:paraId="42E0EA0C">
            <w:pPr>
              <w:spacing w:line="440" w:lineRule="exact"/>
              <w:jc w:val="center"/>
              <w:rPr>
                <w:rFonts w:ascii="宋体" w:hAnsi="宋体"/>
                <w:color w:val="auto"/>
                <w:szCs w:val="21"/>
              </w:rPr>
            </w:pPr>
          </w:p>
        </w:tc>
        <w:tc>
          <w:tcPr>
            <w:tcW w:w="738" w:type="dxa"/>
          </w:tcPr>
          <w:p w14:paraId="344FFBA3">
            <w:pPr>
              <w:spacing w:line="440" w:lineRule="exact"/>
              <w:jc w:val="center"/>
              <w:rPr>
                <w:rFonts w:ascii="宋体" w:hAnsi="宋体"/>
                <w:color w:val="auto"/>
                <w:szCs w:val="21"/>
              </w:rPr>
            </w:pPr>
          </w:p>
        </w:tc>
        <w:tc>
          <w:tcPr>
            <w:tcW w:w="1212" w:type="dxa"/>
          </w:tcPr>
          <w:p w14:paraId="116B3AE4">
            <w:pPr>
              <w:spacing w:line="440" w:lineRule="exact"/>
              <w:jc w:val="center"/>
              <w:rPr>
                <w:rFonts w:ascii="宋体" w:hAnsi="宋体"/>
                <w:color w:val="auto"/>
                <w:szCs w:val="21"/>
              </w:rPr>
            </w:pPr>
          </w:p>
        </w:tc>
        <w:tc>
          <w:tcPr>
            <w:tcW w:w="1653" w:type="dxa"/>
          </w:tcPr>
          <w:p w14:paraId="551008DF">
            <w:pPr>
              <w:spacing w:line="440" w:lineRule="exact"/>
              <w:jc w:val="center"/>
              <w:rPr>
                <w:rFonts w:ascii="宋体" w:hAnsi="宋体"/>
                <w:color w:val="auto"/>
                <w:szCs w:val="21"/>
              </w:rPr>
            </w:pPr>
          </w:p>
        </w:tc>
        <w:tc>
          <w:tcPr>
            <w:tcW w:w="688" w:type="dxa"/>
          </w:tcPr>
          <w:p w14:paraId="058EA21C">
            <w:pPr>
              <w:spacing w:line="440" w:lineRule="exact"/>
              <w:jc w:val="center"/>
              <w:rPr>
                <w:rFonts w:ascii="宋体" w:hAnsi="宋体"/>
                <w:color w:val="auto"/>
                <w:szCs w:val="21"/>
              </w:rPr>
            </w:pPr>
          </w:p>
        </w:tc>
      </w:tr>
      <w:tr w14:paraId="32236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5BE62F64">
            <w:pPr>
              <w:spacing w:line="440" w:lineRule="exact"/>
              <w:jc w:val="center"/>
              <w:rPr>
                <w:rFonts w:ascii="宋体" w:hAnsi="宋体"/>
                <w:color w:val="auto"/>
                <w:szCs w:val="21"/>
              </w:rPr>
            </w:pPr>
          </w:p>
        </w:tc>
        <w:tc>
          <w:tcPr>
            <w:tcW w:w="1087" w:type="dxa"/>
          </w:tcPr>
          <w:p w14:paraId="4FA383DA">
            <w:pPr>
              <w:spacing w:line="440" w:lineRule="exact"/>
              <w:jc w:val="center"/>
              <w:rPr>
                <w:rFonts w:ascii="宋体" w:hAnsi="宋体"/>
                <w:color w:val="auto"/>
                <w:szCs w:val="21"/>
              </w:rPr>
            </w:pPr>
          </w:p>
        </w:tc>
        <w:tc>
          <w:tcPr>
            <w:tcW w:w="760" w:type="dxa"/>
          </w:tcPr>
          <w:p w14:paraId="0DF556F4">
            <w:pPr>
              <w:spacing w:line="440" w:lineRule="exact"/>
              <w:jc w:val="center"/>
              <w:rPr>
                <w:rFonts w:ascii="宋体" w:hAnsi="宋体"/>
                <w:color w:val="auto"/>
                <w:szCs w:val="21"/>
              </w:rPr>
            </w:pPr>
          </w:p>
        </w:tc>
        <w:tc>
          <w:tcPr>
            <w:tcW w:w="991" w:type="dxa"/>
          </w:tcPr>
          <w:p w14:paraId="79F3F647">
            <w:pPr>
              <w:spacing w:line="440" w:lineRule="exact"/>
              <w:jc w:val="center"/>
              <w:rPr>
                <w:rFonts w:ascii="宋体" w:hAnsi="宋体"/>
                <w:color w:val="auto"/>
                <w:szCs w:val="21"/>
              </w:rPr>
            </w:pPr>
          </w:p>
        </w:tc>
        <w:tc>
          <w:tcPr>
            <w:tcW w:w="672" w:type="dxa"/>
          </w:tcPr>
          <w:p w14:paraId="07DB2EAC">
            <w:pPr>
              <w:spacing w:line="440" w:lineRule="exact"/>
              <w:jc w:val="center"/>
              <w:rPr>
                <w:rFonts w:ascii="宋体" w:hAnsi="宋体"/>
                <w:color w:val="auto"/>
                <w:szCs w:val="21"/>
              </w:rPr>
            </w:pPr>
          </w:p>
        </w:tc>
        <w:tc>
          <w:tcPr>
            <w:tcW w:w="738" w:type="dxa"/>
          </w:tcPr>
          <w:p w14:paraId="55867240">
            <w:pPr>
              <w:spacing w:line="440" w:lineRule="exact"/>
              <w:jc w:val="center"/>
              <w:rPr>
                <w:rFonts w:ascii="宋体" w:hAnsi="宋体"/>
                <w:color w:val="auto"/>
                <w:szCs w:val="21"/>
              </w:rPr>
            </w:pPr>
          </w:p>
        </w:tc>
        <w:tc>
          <w:tcPr>
            <w:tcW w:w="1212" w:type="dxa"/>
          </w:tcPr>
          <w:p w14:paraId="78226562">
            <w:pPr>
              <w:spacing w:line="440" w:lineRule="exact"/>
              <w:jc w:val="center"/>
              <w:rPr>
                <w:rFonts w:ascii="宋体" w:hAnsi="宋体"/>
                <w:color w:val="auto"/>
                <w:szCs w:val="21"/>
              </w:rPr>
            </w:pPr>
          </w:p>
        </w:tc>
        <w:tc>
          <w:tcPr>
            <w:tcW w:w="1653" w:type="dxa"/>
          </w:tcPr>
          <w:p w14:paraId="663D7120">
            <w:pPr>
              <w:spacing w:line="440" w:lineRule="exact"/>
              <w:jc w:val="center"/>
              <w:rPr>
                <w:rFonts w:ascii="宋体" w:hAnsi="宋体"/>
                <w:color w:val="auto"/>
                <w:szCs w:val="21"/>
              </w:rPr>
            </w:pPr>
          </w:p>
        </w:tc>
        <w:tc>
          <w:tcPr>
            <w:tcW w:w="688" w:type="dxa"/>
          </w:tcPr>
          <w:p w14:paraId="16A8A43E">
            <w:pPr>
              <w:spacing w:line="440" w:lineRule="exact"/>
              <w:jc w:val="center"/>
              <w:rPr>
                <w:rFonts w:ascii="宋体" w:hAnsi="宋体"/>
                <w:color w:val="auto"/>
                <w:szCs w:val="21"/>
              </w:rPr>
            </w:pPr>
          </w:p>
        </w:tc>
      </w:tr>
      <w:tr w14:paraId="164A8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679A3C93">
            <w:pPr>
              <w:spacing w:line="440" w:lineRule="exact"/>
              <w:jc w:val="center"/>
              <w:rPr>
                <w:rFonts w:ascii="宋体" w:hAnsi="宋体"/>
                <w:color w:val="auto"/>
                <w:szCs w:val="21"/>
              </w:rPr>
            </w:pPr>
          </w:p>
        </w:tc>
        <w:tc>
          <w:tcPr>
            <w:tcW w:w="1087" w:type="dxa"/>
          </w:tcPr>
          <w:p w14:paraId="698EF987">
            <w:pPr>
              <w:spacing w:line="440" w:lineRule="exact"/>
              <w:jc w:val="center"/>
              <w:rPr>
                <w:rFonts w:ascii="宋体" w:hAnsi="宋体"/>
                <w:color w:val="auto"/>
                <w:szCs w:val="21"/>
              </w:rPr>
            </w:pPr>
          </w:p>
        </w:tc>
        <w:tc>
          <w:tcPr>
            <w:tcW w:w="760" w:type="dxa"/>
          </w:tcPr>
          <w:p w14:paraId="68D4A7F4">
            <w:pPr>
              <w:spacing w:line="440" w:lineRule="exact"/>
              <w:jc w:val="center"/>
              <w:rPr>
                <w:rFonts w:ascii="宋体" w:hAnsi="宋体"/>
                <w:color w:val="auto"/>
                <w:szCs w:val="21"/>
              </w:rPr>
            </w:pPr>
          </w:p>
        </w:tc>
        <w:tc>
          <w:tcPr>
            <w:tcW w:w="991" w:type="dxa"/>
          </w:tcPr>
          <w:p w14:paraId="57CA3905">
            <w:pPr>
              <w:spacing w:line="440" w:lineRule="exact"/>
              <w:jc w:val="center"/>
              <w:rPr>
                <w:rFonts w:ascii="宋体" w:hAnsi="宋体"/>
                <w:color w:val="auto"/>
                <w:szCs w:val="21"/>
              </w:rPr>
            </w:pPr>
          </w:p>
        </w:tc>
        <w:tc>
          <w:tcPr>
            <w:tcW w:w="672" w:type="dxa"/>
          </w:tcPr>
          <w:p w14:paraId="2251438A">
            <w:pPr>
              <w:spacing w:line="440" w:lineRule="exact"/>
              <w:jc w:val="center"/>
              <w:rPr>
                <w:rFonts w:ascii="宋体" w:hAnsi="宋体"/>
                <w:color w:val="auto"/>
                <w:szCs w:val="21"/>
              </w:rPr>
            </w:pPr>
          </w:p>
        </w:tc>
        <w:tc>
          <w:tcPr>
            <w:tcW w:w="738" w:type="dxa"/>
          </w:tcPr>
          <w:p w14:paraId="41328675">
            <w:pPr>
              <w:spacing w:line="440" w:lineRule="exact"/>
              <w:jc w:val="center"/>
              <w:rPr>
                <w:rFonts w:ascii="宋体" w:hAnsi="宋体"/>
                <w:color w:val="auto"/>
                <w:szCs w:val="21"/>
              </w:rPr>
            </w:pPr>
          </w:p>
        </w:tc>
        <w:tc>
          <w:tcPr>
            <w:tcW w:w="1212" w:type="dxa"/>
          </w:tcPr>
          <w:p w14:paraId="444B7E3B">
            <w:pPr>
              <w:spacing w:line="440" w:lineRule="exact"/>
              <w:jc w:val="center"/>
              <w:rPr>
                <w:rFonts w:ascii="宋体" w:hAnsi="宋体"/>
                <w:color w:val="auto"/>
                <w:szCs w:val="21"/>
              </w:rPr>
            </w:pPr>
          </w:p>
        </w:tc>
        <w:tc>
          <w:tcPr>
            <w:tcW w:w="1653" w:type="dxa"/>
          </w:tcPr>
          <w:p w14:paraId="60A71F65">
            <w:pPr>
              <w:spacing w:line="440" w:lineRule="exact"/>
              <w:jc w:val="center"/>
              <w:rPr>
                <w:rFonts w:ascii="宋体" w:hAnsi="宋体"/>
                <w:color w:val="auto"/>
                <w:szCs w:val="21"/>
              </w:rPr>
            </w:pPr>
          </w:p>
        </w:tc>
        <w:tc>
          <w:tcPr>
            <w:tcW w:w="688" w:type="dxa"/>
          </w:tcPr>
          <w:p w14:paraId="024EE91D">
            <w:pPr>
              <w:spacing w:line="440" w:lineRule="exact"/>
              <w:jc w:val="center"/>
              <w:rPr>
                <w:rFonts w:ascii="宋体" w:hAnsi="宋体"/>
                <w:color w:val="auto"/>
                <w:szCs w:val="21"/>
              </w:rPr>
            </w:pPr>
          </w:p>
        </w:tc>
      </w:tr>
      <w:tr w14:paraId="50C4A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3E4200D4">
            <w:pPr>
              <w:spacing w:line="440" w:lineRule="exact"/>
              <w:jc w:val="center"/>
              <w:rPr>
                <w:rFonts w:ascii="宋体" w:hAnsi="宋体"/>
                <w:color w:val="auto"/>
                <w:szCs w:val="21"/>
              </w:rPr>
            </w:pPr>
          </w:p>
        </w:tc>
        <w:tc>
          <w:tcPr>
            <w:tcW w:w="1087" w:type="dxa"/>
          </w:tcPr>
          <w:p w14:paraId="74FC4BC2">
            <w:pPr>
              <w:spacing w:line="440" w:lineRule="exact"/>
              <w:jc w:val="center"/>
              <w:rPr>
                <w:rFonts w:ascii="宋体" w:hAnsi="宋体"/>
                <w:color w:val="auto"/>
                <w:szCs w:val="21"/>
              </w:rPr>
            </w:pPr>
          </w:p>
        </w:tc>
        <w:tc>
          <w:tcPr>
            <w:tcW w:w="760" w:type="dxa"/>
          </w:tcPr>
          <w:p w14:paraId="3D74EA8E">
            <w:pPr>
              <w:spacing w:line="440" w:lineRule="exact"/>
              <w:jc w:val="center"/>
              <w:rPr>
                <w:rFonts w:ascii="宋体" w:hAnsi="宋体"/>
                <w:color w:val="auto"/>
                <w:szCs w:val="21"/>
              </w:rPr>
            </w:pPr>
          </w:p>
        </w:tc>
        <w:tc>
          <w:tcPr>
            <w:tcW w:w="991" w:type="dxa"/>
          </w:tcPr>
          <w:p w14:paraId="3ADBA204">
            <w:pPr>
              <w:spacing w:line="440" w:lineRule="exact"/>
              <w:jc w:val="center"/>
              <w:rPr>
                <w:rFonts w:ascii="宋体" w:hAnsi="宋体"/>
                <w:color w:val="auto"/>
                <w:szCs w:val="21"/>
              </w:rPr>
            </w:pPr>
          </w:p>
        </w:tc>
        <w:tc>
          <w:tcPr>
            <w:tcW w:w="672" w:type="dxa"/>
          </w:tcPr>
          <w:p w14:paraId="027A00FD">
            <w:pPr>
              <w:spacing w:line="440" w:lineRule="exact"/>
              <w:jc w:val="center"/>
              <w:rPr>
                <w:rFonts w:ascii="宋体" w:hAnsi="宋体"/>
                <w:color w:val="auto"/>
                <w:szCs w:val="21"/>
              </w:rPr>
            </w:pPr>
          </w:p>
        </w:tc>
        <w:tc>
          <w:tcPr>
            <w:tcW w:w="738" w:type="dxa"/>
          </w:tcPr>
          <w:p w14:paraId="53E1CEF0">
            <w:pPr>
              <w:spacing w:line="440" w:lineRule="exact"/>
              <w:jc w:val="center"/>
              <w:rPr>
                <w:rFonts w:ascii="宋体" w:hAnsi="宋体"/>
                <w:color w:val="auto"/>
                <w:szCs w:val="21"/>
              </w:rPr>
            </w:pPr>
          </w:p>
        </w:tc>
        <w:tc>
          <w:tcPr>
            <w:tcW w:w="1212" w:type="dxa"/>
          </w:tcPr>
          <w:p w14:paraId="2069CA6A">
            <w:pPr>
              <w:spacing w:line="440" w:lineRule="exact"/>
              <w:jc w:val="center"/>
              <w:rPr>
                <w:rFonts w:ascii="宋体" w:hAnsi="宋体"/>
                <w:color w:val="auto"/>
                <w:szCs w:val="21"/>
              </w:rPr>
            </w:pPr>
          </w:p>
        </w:tc>
        <w:tc>
          <w:tcPr>
            <w:tcW w:w="1653" w:type="dxa"/>
          </w:tcPr>
          <w:p w14:paraId="52A54DCF">
            <w:pPr>
              <w:spacing w:line="440" w:lineRule="exact"/>
              <w:jc w:val="center"/>
              <w:rPr>
                <w:rFonts w:ascii="宋体" w:hAnsi="宋体"/>
                <w:color w:val="auto"/>
                <w:szCs w:val="21"/>
              </w:rPr>
            </w:pPr>
          </w:p>
        </w:tc>
        <w:tc>
          <w:tcPr>
            <w:tcW w:w="688" w:type="dxa"/>
          </w:tcPr>
          <w:p w14:paraId="2A8ECB06">
            <w:pPr>
              <w:spacing w:line="440" w:lineRule="exact"/>
              <w:jc w:val="center"/>
              <w:rPr>
                <w:rFonts w:ascii="宋体" w:hAnsi="宋体"/>
                <w:color w:val="auto"/>
                <w:szCs w:val="21"/>
              </w:rPr>
            </w:pPr>
          </w:p>
        </w:tc>
      </w:tr>
      <w:tr w14:paraId="0DAAC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5812A33C">
            <w:pPr>
              <w:spacing w:line="440" w:lineRule="exact"/>
              <w:jc w:val="center"/>
              <w:rPr>
                <w:rFonts w:ascii="宋体" w:hAnsi="宋体"/>
                <w:color w:val="auto"/>
                <w:szCs w:val="21"/>
              </w:rPr>
            </w:pPr>
          </w:p>
        </w:tc>
        <w:tc>
          <w:tcPr>
            <w:tcW w:w="1087" w:type="dxa"/>
          </w:tcPr>
          <w:p w14:paraId="25BCD9FD">
            <w:pPr>
              <w:spacing w:line="440" w:lineRule="exact"/>
              <w:jc w:val="center"/>
              <w:rPr>
                <w:rFonts w:ascii="宋体" w:hAnsi="宋体"/>
                <w:color w:val="auto"/>
                <w:szCs w:val="21"/>
              </w:rPr>
            </w:pPr>
          </w:p>
        </w:tc>
        <w:tc>
          <w:tcPr>
            <w:tcW w:w="760" w:type="dxa"/>
          </w:tcPr>
          <w:p w14:paraId="78D3E5ED">
            <w:pPr>
              <w:spacing w:line="440" w:lineRule="exact"/>
              <w:jc w:val="center"/>
              <w:rPr>
                <w:rFonts w:ascii="宋体" w:hAnsi="宋体"/>
                <w:color w:val="auto"/>
                <w:szCs w:val="21"/>
              </w:rPr>
            </w:pPr>
          </w:p>
        </w:tc>
        <w:tc>
          <w:tcPr>
            <w:tcW w:w="991" w:type="dxa"/>
          </w:tcPr>
          <w:p w14:paraId="4B025E88">
            <w:pPr>
              <w:spacing w:line="440" w:lineRule="exact"/>
              <w:jc w:val="center"/>
              <w:rPr>
                <w:rFonts w:ascii="宋体" w:hAnsi="宋体"/>
                <w:color w:val="auto"/>
                <w:szCs w:val="21"/>
              </w:rPr>
            </w:pPr>
          </w:p>
        </w:tc>
        <w:tc>
          <w:tcPr>
            <w:tcW w:w="672" w:type="dxa"/>
          </w:tcPr>
          <w:p w14:paraId="2A6A1D64">
            <w:pPr>
              <w:spacing w:line="440" w:lineRule="exact"/>
              <w:jc w:val="center"/>
              <w:rPr>
                <w:rFonts w:ascii="宋体" w:hAnsi="宋体"/>
                <w:color w:val="auto"/>
                <w:szCs w:val="21"/>
              </w:rPr>
            </w:pPr>
          </w:p>
        </w:tc>
        <w:tc>
          <w:tcPr>
            <w:tcW w:w="738" w:type="dxa"/>
          </w:tcPr>
          <w:p w14:paraId="6625215D">
            <w:pPr>
              <w:spacing w:line="440" w:lineRule="exact"/>
              <w:jc w:val="center"/>
              <w:rPr>
                <w:rFonts w:ascii="宋体" w:hAnsi="宋体"/>
                <w:color w:val="auto"/>
                <w:szCs w:val="21"/>
              </w:rPr>
            </w:pPr>
          </w:p>
        </w:tc>
        <w:tc>
          <w:tcPr>
            <w:tcW w:w="1212" w:type="dxa"/>
          </w:tcPr>
          <w:p w14:paraId="5CFA43FD">
            <w:pPr>
              <w:spacing w:line="440" w:lineRule="exact"/>
              <w:jc w:val="center"/>
              <w:rPr>
                <w:rFonts w:ascii="宋体" w:hAnsi="宋体"/>
                <w:color w:val="auto"/>
                <w:szCs w:val="21"/>
              </w:rPr>
            </w:pPr>
          </w:p>
        </w:tc>
        <w:tc>
          <w:tcPr>
            <w:tcW w:w="1653" w:type="dxa"/>
          </w:tcPr>
          <w:p w14:paraId="79EEADAA">
            <w:pPr>
              <w:spacing w:line="440" w:lineRule="exact"/>
              <w:jc w:val="center"/>
              <w:rPr>
                <w:rFonts w:ascii="宋体" w:hAnsi="宋体"/>
                <w:color w:val="auto"/>
                <w:szCs w:val="21"/>
              </w:rPr>
            </w:pPr>
          </w:p>
        </w:tc>
        <w:tc>
          <w:tcPr>
            <w:tcW w:w="688" w:type="dxa"/>
          </w:tcPr>
          <w:p w14:paraId="42012D53">
            <w:pPr>
              <w:spacing w:line="440" w:lineRule="exact"/>
              <w:jc w:val="center"/>
              <w:rPr>
                <w:rFonts w:ascii="宋体" w:hAnsi="宋体"/>
                <w:color w:val="auto"/>
                <w:szCs w:val="21"/>
              </w:rPr>
            </w:pPr>
          </w:p>
        </w:tc>
      </w:tr>
    </w:tbl>
    <w:p w14:paraId="0A640979">
      <w:pPr>
        <w:spacing w:line="440" w:lineRule="exact"/>
        <w:jc w:val="center"/>
        <w:rPr>
          <w:rFonts w:ascii="宋体" w:hAnsi="宋体"/>
          <w:color w:val="auto"/>
        </w:rPr>
      </w:pPr>
      <w:bookmarkStart w:id="463" w:name="_Toc152045804"/>
      <w:bookmarkStart w:id="464" w:name="_Toc152042593"/>
      <w:bookmarkStart w:id="465" w:name="_Toc144974872"/>
      <w:bookmarkStart w:id="466" w:name="_Toc179632824"/>
    </w:p>
    <w:p w14:paraId="71534D7B">
      <w:pPr>
        <w:spacing w:line="440" w:lineRule="exact"/>
        <w:rPr>
          <w:rFonts w:ascii="宋体" w:hAnsi="宋体"/>
          <w:color w:val="auto"/>
        </w:rPr>
      </w:pPr>
    </w:p>
    <w:p w14:paraId="3E5ACB44">
      <w:pPr>
        <w:spacing w:line="440" w:lineRule="exact"/>
        <w:rPr>
          <w:rFonts w:ascii="宋体" w:hAnsi="宋体"/>
          <w:color w:val="auto"/>
        </w:rPr>
      </w:pPr>
    </w:p>
    <w:p w14:paraId="54BE5FA3">
      <w:pPr>
        <w:pStyle w:val="57"/>
        <w:rPr>
          <w:rFonts w:ascii="宋体" w:hAnsi="宋体"/>
          <w:color w:val="auto"/>
        </w:rPr>
      </w:pPr>
    </w:p>
    <w:p w14:paraId="6552555E">
      <w:pPr>
        <w:rPr>
          <w:rFonts w:ascii="宋体" w:hAnsi="宋体"/>
          <w:color w:val="auto"/>
        </w:rPr>
      </w:pPr>
    </w:p>
    <w:p w14:paraId="1A378EF0">
      <w:pPr>
        <w:rPr>
          <w:rFonts w:ascii="宋体" w:hAnsi="宋体"/>
          <w:color w:val="auto"/>
        </w:rPr>
      </w:pPr>
    </w:p>
    <w:p w14:paraId="16B48598">
      <w:pPr>
        <w:pStyle w:val="5"/>
        <w:spacing w:before="157"/>
        <w:rPr>
          <w:color w:val="auto"/>
        </w:rPr>
      </w:pPr>
      <w:bookmarkStart w:id="467" w:name="_Toc19190"/>
      <w:r>
        <w:rPr>
          <w:rFonts w:hint="eastAsia"/>
          <w:color w:val="auto"/>
        </w:rPr>
        <w:t>（六）</w:t>
      </w:r>
      <w:bookmarkStart w:id="468" w:name="_Toc300835231"/>
      <w:bookmarkStart w:id="469" w:name="_Toc480918822"/>
      <w:bookmarkStart w:id="470" w:name="_Toc499310094"/>
      <w:bookmarkStart w:id="471" w:name="_Toc474179008"/>
      <w:bookmarkStart w:id="472" w:name="_Toc474179244"/>
      <w:bookmarkStart w:id="473" w:name="_Toc451244255"/>
      <w:bookmarkStart w:id="474" w:name="_Toc474178539"/>
      <w:bookmarkStart w:id="475" w:name="_Toc527485332"/>
      <w:bookmarkStart w:id="476" w:name="_Toc499310664"/>
      <w:bookmarkStart w:id="477" w:name="_Toc480918967"/>
      <w:bookmarkStart w:id="478" w:name="_Toc480918590"/>
      <w:r>
        <w:rPr>
          <w:rFonts w:hint="eastAsia"/>
          <w:color w:val="auto"/>
        </w:rPr>
        <w:t>项目管理机构组成表</w:t>
      </w:r>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p>
    <w:tbl>
      <w:tblPr>
        <w:tblStyle w:val="68"/>
        <w:tblW w:w="98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0"/>
        <w:gridCol w:w="850"/>
        <w:gridCol w:w="723"/>
        <w:gridCol w:w="1276"/>
        <w:gridCol w:w="1275"/>
        <w:gridCol w:w="993"/>
        <w:gridCol w:w="688"/>
        <w:gridCol w:w="1234"/>
        <w:gridCol w:w="1196"/>
      </w:tblGrid>
      <w:tr w14:paraId="42410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jc w:val="center"/>
        </w:trPr>
        <w:tc>
          <w:tcPr>
            <w:tcW w:w="1660" w:type="dxa"/>
            <w:vAlign w:val="center"/>
          </w:tcPr>
          <w:p w14:paraId="0D1D7A98">
            <w:pPr>
              <w:autoSpaceDE w:val="0"/>
              <w:autoSpaceDN w:val="0"/>
              <w:adjustRightInd w:val="0"/>
              <w:spacing w:line="240" w:lineRule="auto"/>
              <w:jc w:val="center"/>
              <w:rPr>
                <w:rFonts w:ascii="宋体" w:hAnsi="宋体"/>
                <w:b w:val="0"/>
                <w:bCs w:val="0"/>
                <w:color w:val="auto"/>
                <w:kern w:val="0"/>
                <w:szCs w:val="21"/>
              </w:rPr>
            </w:pPr>
            <w:r>
              <w:rPr>
                <w:rFonts w:hint="eastAsia" w:ascii="宋体" w:hAnsi="宋体"/>
                <w:b w:val="0"/>
                <w:bCs w:val="0"/>
                <w:color w:val="auto"/>
                <w:kern w:val="0"/>
                <w:szCs w:val="21"/>
              </w:rPr>
              <w:t>岗位</w:t>
            </w:r>
          </w:p>
        </w:tc>
        <w:tc>
          <w:tcPr>
            <w:tcW w:w="850" w:type="dxa"/>
            <w:vAlign w:val="center"/>
          </w:tcPr>
          <w:p w14:paraId="7FAB1536">
            <w:pPr>
              <w:autoSpaceDE w:val="0"/>
              <w:autoSpaceDN w:val="0"/>
              <w:adjustRightInd w:val="0"/>
              <w:spacing w:line="240" w:lineRule="auto"/>
              <w:jc w:val="center"/>
              <w:rPr>
                <w:rFonts w:ascii="宋体" w:hAnsi="宋体"/>
                <w:b w:val="0"/>
                <w:bCs w:val="0"/>
                <w:color w:val="auto"/>
                <w:kern w:val="0"/>
                <w:szCs w:val="21"/>
              </w:rPr>
            </w:pPr>
            <w:r>
              <w:rPr>
                <w:rFonts w:hint="eastAsia" w:ascii="宋体" w:hAnsi="宋体"/>
                <w:b w:val="0"/>
                <w:bCs w:val="0"/>
                <w:color w:val="auto"/>
                <w:kern w:val="0"/>
                <w:szCs w:val="21"/>
              </w:rPr>
              <w:t>姓名</w:t>
            </w:r>
          </w:p>
        </w:tc>
        <w:tc>
          <w:tcPr>
            <w:tcW w:w="723" w:type="dxa"/>
            <w:vAlign w:val="center"/>
          </w:tcPr>
          <w:p w14:paraId="31A39213">
            <w:pPr>
              <w:autoSpaceDE w:val="0"/>
              <w:autoSpaceDN w:val="0"/>
              <w:adjustRightInd w:val="0"/>
              <w:spacing w:line="240" w:lineRule="auto"/>
              <w:jc w:val="center"/>
              <w:rPr>
                <w:rFonts w:ascii="宋体" w:hAnsi="宋体"/>
                <w:b w:val="0"/>
                <w:bCs w:val="0"/>
                <w:color w:val="auto"/>
                <w:kern w:val="0"/>
                <w:szCs w:val="21"/>
              </w:rPr>
            </w:pPr>
            <w:r>
              <w:rPr>
                <w:rFonts w:hint="eastAsia" w:ascii="宋体" w:hAnsi="宋体"/>
                <w:b w:val="0"/>
                <w:bCs w:val="0"/>
                <w:color w:val="auto"/>
                <w:kern w:val="0"/>
                <w:szCs w:val="21"/>
              </w:rPr>
              <w:t>性别</w:t>
            </w:r>
          </w:p>
        </w:tc>
        <w:tc>
          <w:tcPr>
            <w:tcW w:w="1276" w:type="dxa"/>
            <w:vAlign w:val="center"/>
          </w:tcPr>
          <w:p w14:paraId="35826080">
            <w:pPr>
              <w:autoSpaceDE w:val="0"/>
              <w:autoSpaceDN w:val="0"/>
              <w:adjustRightInd w:val="0"/>
              <w:spacing w:line="240" w:lineRule="auto"/>
              <w:jc w:val="center"/>
              <w:rPr>
                <w:rFonts w:ascii="宋体" w:hAnsi="宋体"/>
                <w:b w:val="0"/>
                <w:bCs w:val="0"/>
                <w:color w:val="auto"/>
                <w:kern w:val="0"/>
                <w:szCs w:val="21"/>
              </w:rPr>
            </w:pPr>
            <w:r>
              <w:rPr>
                <w:rFonts w:hint="eastAsia" w:ascii="宋体" w:hAnsi="宋体"/>
                <w:b w:val="0"/>
                <w:bCs w:val="0"/>
                <w:color w:val="auto"/>
                <w:kern w:val="0"/>
                <w:szCs w:val="21"/>
              </w:rPr>
              <w:t>出生年月</w:t>
            </w:r>
          </w:p>
        </w:tc>
        <w:tc>
          <w:tcPr>
            <w:tcW w:w="1275" w:type="dxa"/>
            <w:vAlign w:val="center"/>
          </w:tcPr>
          <w:p w14:paraId="6EC6ED9E">
            <w:pPr>
              <w:autoSpaceDE w:val="0"/>
              <w:autoSpaceDN w:val="0"/>
              <w:adjustRightInd w:val="0"/>
              <w:spacing w:line="240" w:lineRule="auto"/>
              <w:jc w:val="center"/>
              <w:rPr>
                <w:rFonts w:ascii="宋体" w:hAnsi="宋体"/>
                <w:b w:val="0"/>
                <w:bCs w:val="0"/>
                <w:color w:val="auto"/>
                <w:kern w:val="0"/>
                <w:szCs w:val="21"/>
              </w:rPr>
            </w:pPr>
            <w:r>
              <w:rPr>
                <w:rFonts w:hint="eastAsia" w:ascii="宋体" w:hAnsi="宋体"/>
                <w:b w:val="0"/>
                <w:bCs w:val="0"/>
                <w:color w:val="auto"/>
                <w:kern w:val="0"/>
                <w:szCs w:val="21"/>
              </w:rPr>
              <w:t>工作年限</w:t>
            </w:r>
          </w:p>
        </w:tc>
        <w:tc>
          <w:tcPr>
            <w:tcW w:w="993" w:type="dxa"/>
            <w:vAlign w:val="center"/>
          </w:tcPr>
          <w:p w14:paraId="45C05EF2">
            <w:pPr>
              <w:autoSpaceDE w:val="0"/>
              <w:autoSpaceDN w:val="0"/>
              <w:adjustRightInd w:val="0"/>
              <w:spacing w:line="240" w:lineRule="auto"/>
              <w:jc w:val="center"/>
              <w:rPr>
                <w:rFonts w:ascii="宋体" w:hAnsi="宋体"/>
                <w:b w:val="0"/>
                <w:bCs w:val="0"/>
                <w:color w:val="auto"/>
                <w:kern w:val="0"/>
                <w:szCs w:val="21"/>
              </w:rPr>
            </w:pPr>
            <w:r>
              <w:rPr>
                <w:rFonts w:hint="eastAsia" w:ascii="宋体" w:hAnsi="宋体"/>
                <w:b w:val="0"/>
                <w:bCs w:val="0"/>
                <w:color w:val="auto"/>
                <w:kern w:val="0"/>
                <w:szCs w:val="21"/>
              </w:rPr>
              <w:t>职称</w:t>
            </w:r>
          </w:p>
        </w:tc>
        <w:tc>
          <w:tcPr>
            <w:tcW w:w="688" w:type="dxa"/>
            <w:vAlign w:val="center"/>
          </w:tcPr>
          <w:p w14:paraId="53196084">
            <w:pPr>
              <w:autoSpaceDE w:val="0"/>
              <w:autoSpaceDN w:val="0"/>
              <w:adjustRightInd w:val="0"/>
              <w:spacing w:line="240" w:lineRule="auto"/>
              <w:jc w:val="center"/>
              <w:rPr>
                <w:rFonts w:ascii="宋体" w:hAnsi="宋体"/>
                <w:b w:val="0"/>
                <w:bCs w:val="0"/>
                <w:color w:val="auto"/>
                <w:kern w:val="0"/>
                <w:szCs w:val="21"/>
              </w:rPr>
            </w:pPr>
            <w:r>
              <w:rPr>
                <w:rFonts w:hint="eastAsia" w:ascii="宋体" w:hAnsi="宋体"/>
                <w:b w:val="0"/>
                <w:bCs w:val="0"/>
                <w:color w:val="auto"/>
                <w:kern w:val="0"/>
                <w:szCs w:val="21"/>
              </w:rPr>
              <w:t>学历</w:t>
            </w:r>
          </w:p>
        </w:tc>
        <w:tc>
          <w:tcPr>
            <w:tcW w:w="1234" w:type="dxa"/>
            <w:vAlign w:val="center"/>
          </w:tcPr>
          <w:p w14:paraId="6A6C35BD">
            <w:pPr>
              <w:autoSpaceDE w:val="0"/>
              <w:autoSpaceDN w:val="0"/>
              <w:adjustRightInd w:val="0"/>
              <w:spacing w:line="240" w:lineRule="auto"/>
              <w:jc w:val="center"/>
              <w:rPr>
                <w:rFonts w:ascii="宋体" w:hAnsi="宋体"/>
                <w:b w:val="0"/>
                <w:bCs w:val="0"/>
                <w:color w:val="auto"/>
                <w:kern w:val="0"/>
                <w:szCs w:val="21"/>
              </w:rPr>
            </w:pPr>
            <w:r>
              <w:rPr>
                <w:rFonts w:hint="eastAsia" w:ascii="宋体" w:hAnsi="宋体"/>
                <w:b w:val="0"/>
                <w:bCs w:val="0"/>
                <w:color w:val="auto"/>
                <w:kern w:val="0"/>
                <w:szCs w:val="21"/>
              </w:rPr>
              <w:t>岗位证书（资格证书）及编号</w:t>
            </w:r>
          </w:p>
        </w:tc>
        <w:tc>
          <w:tcPr>
            <w:tcW w:w="1196" w:type="dxa"/>
            <w:vAlign w:val="center"/>
          </w:tcPr>
          <w:p w14:paraId="10DD62C0">
            <w:pPr>
              <w:autoSpaceDE w:val="0"/>
              <w:autoSpaceDN w:val="0"/>
              <w:adjustRightInd w:val="0"/>
              <w:spacing w:line="240" w:lineRule="auto"/>
              <w:jc w:val="center"/>
              <w:rPr>
                <w:rFonts w:ascii="宋体" w:hAnsi="宋体"/>
                <w:b w:val="0"/>
                <w:bCs w:val="0"/>
                <w:color w:val="auto"/>
                <w:kern w:val="0"/>
                <w:szCs w:val="21"/>
              </w:rPr>
            </w:pPr>
            <w:r>
              <w:rPr>
                <w:rFonts w:hint="eastAsia" w:ascii="宋体" w:hAnsi="宋体"/>
                <w:b w:val="0"/>
                <w:bCs w:val="0"/>
                <w:color w:val="auto"/>
                <w:kern w:val="0"/>
                <w:szCs w:val="21"/>
              </w:rPr>
              <w:t>岗位要求</w:t>
            </w:r>
          </w:p>
        </w:tc>
      </w:tr>
      <w:tr w14:paraId="08D1D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660" w:type="dxa"/>
            <w:vAlign w:val="top"/>
          </w:tcPr>
          <w:p w14:paraId="07E6A7E4">
            <w:pPr>
              <w:spacing w:line="240" w:lineRule="auto"/>
              <w:jc w:val="center"/>
              <w:rPr>
                <w:rFonts w:hint="eastAsia" w:ascii="宋体" w:cs="宋体"/>
                <w:b w:val="0"/>
                <w:bCs w:val="0"/>
                <w:color w:val="auto"/>
                <w:sz w:val="24"/>
                <w:szCs w:val="32"/>
                <w:highlight w:val="none"/>
                <w:lang w:val="en-US" w:eastAsia="zh-CN"/>
              </w:rPr>
            </w:pPr>
          </w:p>
          <w:p w14:paraId="0C561A72">
            <w:pPr>
              <w:spacing w:line="240" w:lineRule="auto"/>
              <w:jc w:val="center"/>
              <w:rPr>
                <w:rFonts w:ascii="宋体" w:hAnsi="宋体"/>
                <w:b w:val="0"/>
                <w:bCs w:val="0"/>
                <w:color w:val="auto"/>
                <w:kern w:val="0"/>
                <w:szCs w:val="21"/>
              </w:rPr>
            </w:pPr>
            <w:r>
              <w:rPr>
                <w:rFonts w:hint="eastAsia" w:ascii="宋体" w:cs="宋体"/>
                <w:b w:val="0"/>
                <w:bCs w:val="0"/>
                <w:color w:val="auto"/>
                <w:sz w:val="24"/>
                <w:szCs w:val="32"/>
                <w:highlight w:val="none"/>
                <w:lang w:val="en-US" w:eastAsia="zh-CN"/>
              </w:rPr>
              <w:t>勘察负责人</w:t>
            </w:r>
          </w:p>
        </w:tc>
        <w:tc>
          <w:tcPr>
            <w:tcW w:w="850" w:type="dxa"/>
            <w:vAlign w:val="center"/>
          </w:tcPr>
          <w:p w14:paraId="1B038ADE">
            <w:pPr>
              <w:autoSpaceDE w:val="0"/>
              <w:autoSpaceDN w:val="0"/>
              <w:adjustRightInd w:val="0"/>
              <w:spacing w:line="360" w:lineRule="auto"/>
              <w:jc w:val="center"/>
              <w:rPr>
                <w:rFonts w:ascii="宋体" w:hAnsi="宋体"/>
                <w:b w:val="0"/>
                <w:bCs w:val="0"/>
                <w:color w:val="auto"/>
                <w:kern w:val="0"/>
                <w:szCs w:val="21"/>
              </w:rPr>
            </w:pPr>
          </w:p>
        </w:tc>
        <w:tc>
          <w:tcPr>
            <w:tcW w:w="723" w:type="dxa"/>
            <w:vAlign w:val="center"/>
          </w:tcPr>
          <w:p w14:paraId="1D9767FB">
            <w:pPr>
              <w:autoSpaceDE w:val="0"/>
              <w:autoSpaceDN w:val="0"/>
              <w:adjustRightInd w:val="0"/>
              <w:spacing w:line="360" w:lineRule="auto"/>
              <w:jc w:val="center"/>
              <w:rPr>
                <w:rFonts w:ascii="宋体" w:hAnsi="宋体"/>
                <w:b w:val="0"/>
                <w:bCs w:val="0"/>
                <w:color w:val="auto"/>
                <w:kern w:val="0"/>
                <w:szCs w:val="21"/>
              </w:rPr>
            </w:pPr>
          </w:p>
        </w:tc>
        <w:tc>
          <w:tcPr>
            <w:tcW w:w="1276" w:type="dxa"/>
            <w:vAlign w:val="center"/>
          </w:tcPr>
          <w:p w14:paraId="3A36145A">
            <w:pPr>
              <w:autoSpaceDE w:val="0"/>
              <w:autoSpaceDN w:val="0"/>
              <w:adjustRightInd w:val="0"/>
              <w:spacing w:line="360" w:lineRule="auto"/>
              <w:jc w:val="center"/>
              <w:rPr>
                <w:rFonts w:ascii="宋体" w:hAnsi="宋体"/>
                <w:b w:val="0"/>
                <w:bCs w:val="0"/>
                <w:color w:val="auto"/>
                <w:kern w:val="0"/>
                <w:szCs w:val="21"/>
              </w:rPr>
            </w:pPr>
          </w:p>
        </w:tc>
        <w:tc>
          <w:tcPr>
            <w:tcW w:w="1275" w:type="dxa"/>
            <w:vAlign w:val="center"/>
          </w:tcPr>
          <w:p w14:paraId="794D0703">
            <w:pPr>
              <w:autoSpaceDE w:val="0"/>
              <w:autoSpaceDN w:val="0"/>
              <w:adjustRightInd w:val="0"/>
              <w:spacing w:line="360" w:lineRule="auto"/>
              <w:jc w:val="center"/>
              <w:rPr>
                <w:rFonts w:ascii="宋体" w:hAnsi="宋体"/>
                <w:b w:val="0"/>
                <w:bCs w:val="0"/>
                <w:color w:val="auto"/>
                <w:kern w:val="0"/>
                <w:szCs w:val="21"/>
              </w:rPr>
            </w:pPr>
          </w:p>
        </w:tc>
        <w:tc>
          <w:tcPr>
            <w:tcW w:w="993" w:type="dxa"/>
            <w:vAlign w:val="center"/>
          </w:tcPr>
          <w:p w14:paraId="2D954D16">
            <w:pPr>
              <w:autoSpaceDE w:val="0"/>
              <w:autoSpaceDN w:val="0"/>
              <w:adjustRightInd w:val="0"/>
              <w:spacing w:line="360" w:lineRule="auto"/>
              <w:jc w:val="center"/>
              <w:rPr>
                <w:rFonts w:ascii="宋体" w:hAnsi="宋体"/>
                <w:b w:val="0"/>
                <w:bCs w:val="0"/>
                <w:color w:val="auto"/>
                <w:kern w:val="0"/>
                <w:szCs w:val="21"/>
              </w:rPr>
            </w:pPr>
          </w:p>
        </w:tc>
        <w:tc>
          <w:tcPr>
            <w:tcW w:w="688" w:type="dxa"/>
            <w:vAlign w:val="center"/>
          </w:tcPr>
          <w:p w14:paraId="7F083F8C">
            <w:pPr>
              <w:autoSpaceDE w:val="0"/>
              <w:autoSpaceDN w:val="0"/>
              <w:adjustRightInd w:val="0"/>
              <w:spacing w:line="360" w:lineRule="auto"/>
              <w:jc w:val="center"/>
              <w:rPr>
                <w:rFonts w:ascii="宋体" w:hAnsi="宋体"/>
                <w:b w:val="0"/>
                <w:bCs w:val="0"/>
                <w:color w:val="auto"/>
                <w:kern w:val="0"/>
                <w:szCs w:val="21"/>
              </w:rPr>
            </w:pPr>
          </w:p>
        </w:tc>
        <w:tc>
          <w:tcPr>
            <w:tcW w:w="1234" w:type="dxa"/>
            <w:vAlign w:val="center"/>
          </w:tcPr>
          <w:p w14:paraId="32359A65">
            <w:pPr>
              <w:autoSpaceDE w:val="0"/>
              <w:autoSpaceDN w:val="0"/>
              <w:adjustRightInd w:val="0"/>
              <w:spacing w:line="360" w:lineRule="auto"/>
              <w:jc w:val="center"/>
              <w:rPr>
                <w:rFonts w:ascii="宋体" w:hAnsi="宋体"/>
                <w:b w:val="0"/>
                <w:bCs w:val="0"/>
                <w:color w:val="auto"/>
                <w:kern w:val="0"/>
                <w:szCs w:val="21"/>
              </w:rPr>
            </w:pPr>
          </w:p>
        </w:tc>
        <w:tc>
          <w:tcPr>
            <w:tcW w:w="1196" w:type="dxa"/>
            <w:vAlign w:val="center"/>
          </w:tcPr>
          <w:p w14:paraId="42716D90">
            <w:pPr>
              <w:rPr>
                <w:rFonts w:ascii="宋体" w:hAnsi="宋体"/>
                <w:b w:val="0"/>
                <w:bCs w:val="0"/>
                <w:color w:val="auto"/>
                <w:szCs w:val="21"/>
              </w:rPr>
            </w:pPr>
            <w:r>
              <w:rPr>
                <w:rFonts w:hint="eastAsia" w:ascii="宋体" w:hAnsi="宋体"/>
                <w:b w:val="0"/>
                <w:bCs w:val="0"/>
                <w:color w:val="auto"/>
                <w:szCs w:val="21"/>
              </w:rPr>
              <w:t xml:space="preserve">专职：□ </w:t>
            </w:r>
          </w:p>
          <w:p w14:paraId="6475A4CC">
            <w:pPr>
              <w:autoSpaceDE w:val="0"/>
              <w:autoSpaceDN w:val="0"/>
              <w:adjustRightInd w:val="0"/>
              <w:spacing w:line="360" w:lineRule="auto"/>
              <w:jc w:val="center"/>
              <w:rPr>
                <w:rFonts w:ascii="宋体" w:hAnsi="宋体"/>
                <w:b w:val="0"/>
                <w:bCs w:val="0"/>
                <w:color w:val="auto"/>
                <w:kern w:val="0"/>
                <w:szCs w:val="21"/>
              </w:rPr>
            </w:pPr>
            <w:r>
              <w:rPr>
                <w:rFonts w:hint="eastAsia" w:ascii="宋体" w:hAnsi="宋体"/>
                <w:b w:val="0"/>
                <w:bCs w:val="0"/>
                <w:color w:val="auto"/>
                <w:szCs w:val="21"/>
              </w:rPr>
              <w:t>兼职：□</w:t>
            </w:r>
          </w:p>
        </w:tc>
      </w:tr>
      <w:tr w14:paraId="39525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660" w:type="dxa"/>
            <w:vAlign w:val="top"/>
          </w:tcPr>
          <w:p w14:paraId="24D5A800">
            <w:pPr>
              <w:spacing w:line="240" w:lineRule="auto"/>
              <w:jc w:val="center"/>
              <w:rPr>
                <w:rFonts w:hint="eastAsia" w:ascii="宋体" w:cs="宋体"/>
                <w:b w:val="0"/>
                <w:bCs w:val="0"/>
                <w:color w:val="auto"/>
                <w:sz w:val="24"/>
                <w:szCs w:val="32"/>
                <w:highlight w:val="none"/>
                <w:lang w:val="en-US" w:eastAsia="zh-CN"/>
              </w:rPr>
            </w:pPr>
          </w:p>
          <w:p w14:paraId="14F752CC">
            <w:pPr>
              <w:spacing w:line="240" w:lineRule="auto"/>
              <w:jc w:val="center"/>
              <w:rPr>
                <w:rFonts w:ascii="宋体" w:hAnsi="宋体"/>
                <w:b w:val="0"/>
                <w:bCs w:val="0"/>
                <w:color w:val="auto"/>
                <w:kern w:val="0"/>
                <w:szCs w:val="21"/>
              </w:rPr>
            </w:pPr>
            <w:r>
              <w:rPr>
                <w:rFonts w:hint="eastAsia" w:ascii="宋体" w:cs="宋体"/>
                <w:b w:val="0"/>
                <w:bCs w:val="0"/>
                <w:color w:val="auto"/>
                <w:sz w:val="24"/>
                <w:szCs w:val="32"/>
                <w:highlight w:val="none"/>
                <w:lang w:val="en-US" w:eastAsia="zh-CN"/>
              </w:rPr>
              <w:t>测绘负责人</w:t>
            </w:r>
          </w:p>
        </w:tc>
        <w:tc>
          <w:tcPr>
            <w:tcW w:w="850" w:type="dxa"/>
            <w:vAlign w:val="center"/>
          </w:tcPr>
          <w:p w14:paraId="45975221">
            <w:pPr>
              <w:autoSpaceDE w:val="0"/>
              <w:autoSpaceDN w:val="0"/>
              <w:adjustRightInd w:val="0"/>
              <w:spacing w:line="360" w:lineRule="auto"/>
              <w:jc w:val="center"/>
              <w:rPr>
                <w:rFonts w:ascii="宋体" w:hAnsi="宋体"/>
                <w:b w:val="0"/>
                <w:bCs w:val="0"/>
                <w:color w:val="auto"/>
                <w:kern w:val="0"/>
                <w:szCs w:val="21"/>
              </w:rPr>
            </w:pPr>
          </w:p>
        </w:tc>
        <w:tc>
          <w:tcPr>
            <w:tcW w:w="723" w:type="dxa"/>
            <w:vAlign w:val="center"/>
          </w:tcPr>
          <w:p w14:paraId="64DB6828">
            <w:pPr>
              <w:autoSpaceDE w:val="0"/>
              <w:autoSpaceDN w:val="0"/>
              <w:adjustRightInd w:val="0"/>
              <w:spacing w:line="360" w:lineRule="auto"/>
              <w:jc w:val="center"/>
              <w:rPr>
                <w:rFonts w:ascii="宋体" w:hAnsi="宋体"/>
                <w:b w:val="0"/>
                <w:bCs w:val="0"/>
                <w:color w:val="auto"/>
                <w:kern w:val="0"/>
                <w:szCs w:val="21"/>
              </w:rPr>
            </w:pPr>
          </w:p>
        </w:tc>
        <w:tc>
          <w:tcPr>
            <w:tcW w:w="1276" w:type="dxa"/>
            <w:vAlign w:val="center"/>
          </w:tcPr>
          <w:p w14:paraId="42A4064E">
            <w:pPr>
              <w:autoSpaceDE w:val="0"/>
              <w:autoSpaceDN w:val="0"/>
              <w:adjustRightInd w:val="0"/>
              <w:spacing w:line="360" w:lineRule="auto"/>
              <w:jc w:val="center"/>
              <w:rPr>
                <w:rFonts w:ascii="宋体" w:hAnsi="宋体"/>
                <w:b w:val="0"/>
                <w:bCs w:val="0"/>
                <w:color w:val="auto"/>
                <w:kern w:val="0"/>
                <w:szCs w:val="21"/>
              </w:rPr>
            </w:pPr>
          </w:p>
        </w:tc>
        <w:tc>
          <w:tcPr>
            <w:tcW w:w="1275" w:type="dxa"/>
            <w:vAlign w:val="center"/>
          </w:tcPr>
          <w:p w14:paraId="2A787104">
            <w:pPr>
              <w:autoSpaceDE w:val="0"/>
              <w:autoSpaceDN w:val="0"/>
              <w:adjustRightInd w:val="0"/>
              <w:spacing w:line="360" w:lineRule="auto"/>
              <w:jc w:val="center"/>
              <w:rPr>
                <w:rFonts w:ascii="宋体" w:hAnsi="宋体"/>
                <w:b w:val="0"/>
                <w:bCs w:val="0"/>
                <w:color w:val="auto"/>
                <w:kern w:val="0"/>
                <w:szCs w:val="21"/>
              </w:rPr>
            </w:pPr>
          </w:p>
        </w:tc>
        <w:tc>
          <w:tcPr>
            <w:tcW w:w="993" w:type="dxa"/>
            <w:vAlign w:val="center"/>
          </w:tcPr>
          <w:p w14:paraId="243013A2">
            <w:pPr>
              <w:autoSpaceDE w:val="0"/>
              <w:autoSpaceDN w:val="0"/>
              <w:adjustRightInd w:val="0"/>
              <w:spacing w:line="360" w:lineRule="auto"/>
              <w:jc w:val="center"/>
              <w:rPr>
                <w:rFonts w:ascii="宋体" w:hAnsi="宋体"/>
                <w:b w:val="0"/>
                <w:bCs w:val="0"/>
                <w:color w:val="auto"/>
                <w:kern w:val="0"/>
                <w:szCs w:val="21"/>
              </w:rPr>
            </w:pPr>
          </w:p>
        </w:tc>
        <w:tc>
          <w:tcPr>
            <w:tcW w:w="688" w:type="dxa"/>
            <w:vAlign w:val="center"/>
          </w:tcPr>
          <w:p w14:paraId="3152A9D3">
            <w:pPr>
              <w:autoSpaceDE w:val="0"/>
              <w:autoSpaceDN w:val="0"/>
              <w:adjustRightInd w:val="0"/>
              <w:spacing w:line="360" w:lineRule="auto"/>
              <w:jc w:val="center"/>
              <w:rPr>
                <w:rFonts w:ascii="宋体" w:hAnsi="宋体"/>
                <w:b w:val="0"/>
                <w:bCs w:val="0"/>
                <w:color w:val="auto"/>
                <w:kern w:val="0"/>
                <w:szCs w:val="21"/>
              </w:rPr>
            </w:pPr>
          </w:p>
        </w:tc>
        <w:tc>
          <w:tcPr>
            <w:tcW w:w="1234" w:type="dxa"/>
            <w:vAlign w:val="center"/>
          </w:tcPr>
          <w:p w14:paraId="1B456E9A">
            <w:pPr>
              <w:autoSpaceDE w:val="0"/>
              <w:autoSpaceDN w:val="0"/>
              <w:adjustRightInd w:val="0"/>
              <w:spacing w:line="360" w:lineRule="auto"/>
              <w:jc w:val="center"/>
              <w:rPr>
                <w:rFonts w:ascii="宋体" w:hAnsi="宋体"/>
                <w:b w:val="0"/>
                <w:bCs w:val="0"/>
                <w:color w:val="auto"/>
                <w:kern w:val="0"/>
                <w:szCs w:val="21"/>
              </w:rPr>
            </w:pPr>
          </w:p>
        </w:tc>
        <w:tc>
          <w:tcPr>
            <w:tcW w:w="1196" w:type="dxa"/>
            <w:vAlign w:val="center"/>
          </w:tcPr>
          <w:p w14:paraId="1DB68E55">
            <w:pPr>
              <w:rPr>
                <w:rFonts w:ascii="宋体" w:hAnsi="宋体"/>
                <w:b w:val="0"/>
                <w:bCs w:val="0"/>
                <w:color w:val="auto"/>
                <w:szCs w:val="21"/>
              </w:rPr>
            </w:pPr>
            <w:r>
              <w:rPr>
                <w:rFonts w:hint="eastAsia" w:ascii="宋体" w:hAnsi="宋体"/>
                <w:b w:val="0"/>
                <w:bCs w:val="0"/>
                <w:color w:val="auto"/>
                <w:szCs w:val="21"/>
              </w:rPr>
              <w:t xml:space="preserve">专职：□ </w:t>
            </w:r>
          </w:p>
          <w:p w14:paraId="122A2A55">
            <w:pPr>
              <w:rPr>
                <w:rFonts w:ascii="宋体" w:hAnsi="宋体"/>
                <w:b w:val="0"/>
                <w:bCs w:val="0"/>
                <w:color w:val="auto"/>
                <w:szCs w:val="21"/>
              </w:rPr>
            </w:pPr>
            <w:r>
              <w:rPr>
                <w:rFonts w:hint="eastAsia" w:ascii="宋体" w:hAnsi="宋体"/>
                <w:b w:val="0"/>
                <w:bCs w:val="0"/>
                <w:color w:val="auto"/>
                <w:szCs w:val="21"/>
              </w:rPr>
              <w:t>兼职：□</w:t>
            </w:r>
          </w:p>
        </w:tc>
      </w:tr>
      <w:tr w14:paraId="6B497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660" w:type="dxa"/>
            <w:vAlign w:val="top"/>
          </w:tcPr>
          <w:p w14:paraId="57A4AC60">
            <w:pPr>
              <w:spacing w:line="240" w:lineRule="auto"/>
              <w:jc w:val="center"/>
              <w:rPr>
                <w:rFonts w:hint="eastAsia" w:ascii="宋体" w:cs="宋体"/>
                <w:b w:val="0"/>
                <w:bCs w:val="0"/>
                <w:color w:val="auto"/>
                <w:sz w:val="24"/>
                <w:szCs w:val="32"/>
                <w:highlight w:val="none"/>
                <w:lang w:val="en-US" w:eastAsia="zh-CN"/>
              </w:rPr>
            </w:pPr>
          </w:p>
          <w:p w14:paraId="6E80BAA7">
            <w:pPr>
              <w:spacing w:line="240" w:lineRule="auto"/>
              <w:jc w:val="center"/>
              <w:rPr>
                <w:rFonts w:hint="default" w:ascii="宋体" w:hAnsi="宋体" w:eastAsia="宋体"/>
                <w:b w:val="0"/>
                <w:bCs w:val="0"/>
                <w:color w:val="auto"/>
                <w:kern w:val="0"/>
                <w:szCs w:val="21"/>
                <w:lang w:val="en-US" w:eastAsia="zh-CN"/>
              </w:rPr>
            </w:pPr>
            <w:r>
              <w:rPr>
                <w:rFonts w:hint="eastAsia" w:ascii="宋体" w:cs="宋体"/>
                <w:b w:val="0"/>
                <w:bCs w:val="0"/>
                <w:color w:val="auto"/>
                <w:sz w:val="24"/>
                <w:szCs w:val="32"/>
                <w:highlight w:val="none"/>
                <w:lang w:val="en-US" w:eastAsia="zh-CN"/>
              </w:rPr>
              <w:t>测绘工程师</w:t>
            </w:r>
          </w:p>
        </w:tc>
        <w:tc>
          <w:tcPr>
            <w:tcW w:w="850" w:type="dxa"/>
            <w:vAlign w:val="center"/>
          </w:tcPr>
          <w:p w14:paraId="5E75D23A">
            <w:pPr>
              <w:autoSpaceDE w:val="0"/>
              <w:autoSpaceDN w:val="0"/>
              <w:adjustRightInd w:val="0"/>
              <w:spacing w:line="360" w:lineRule="auto"/>
              <w:jc w:val="center"/>
              <w:rPr>
                <w:rFonts w:ascii="宋体" w:hAnsi="宋体"/>
                <w:b w:val="0"/>
                <w:bCs w:val="0"/>
                <w:color w:val="auto"/>
                <w:kern w:val="0"/>
                <w:szCs w:val="21"/>
              </w:rPr>
            </w:pPr>
          </w:p>
        </w:tc>
        <w:tc>
          <w:tcPr>
            <w:tcW w:w="723" w:type="dxa"/>
            <w:vAlign w:val="center"/>
          </w:tcPr>
          <w:p w14:paraId="30B958D6">
            <w:pPr>
              <w:autoSpaceDE w:val="0"/>
              <w:autoSpaceDN w:val="0"/>
              <w:adjustRightInd w:val="0"/>
              <w:spacing w:line="360" w:lineRule="auto"/>
              <w:jc w:val="center"/>
              <w:rPr>
                <w:rFonts w:ascii="宋体" w:hAnsi="宋体"/>
                <w:b w:val="0"/>
                <w:bCs w:val="0"/>
                <w:color w:val="auto"/>
                <w:kern w:val="0"/>
                <w:szCs w:val="21"/>
              </w:rPr>
            </w:pPr>
          </w:p>
        </w:tc>
        <w:tc>
          <w:tcPr>
            <w:tcW w:w="1276" w:type="dxa"/>
            <w:vAlign w:val="center"/>
          </w:tcPr>
          <w:p w14:paraId="61E88C3F">
            <w:pPr>
              <w:autoSpaceDE w:val="0"/>
              <w:autoSpaceDN w:val="0"/>
              <w:adjustRightInd w:val="0"/>
              <w:spacing w:line="360" w:lineRule="auto"/>
              <w:jc w:val="center"/>
              <w:rPr>
                <w:rFonts w:ascii="宋体" w:hAnsi="宋体"/>
                <w:b w:val="0"/>
                <w:bCs w:val="0"/>
                <w:color w:val="auto"/>
                <w:kern w:val="0"/>
                <w:szCs w:val="21"/>
              </w:rPr>
            </w:pPr>
          </w:p>
        </w:tc>
        <w:tc>
          <w:tcPr>
            <w:tcW w:w="1275" w:type="dxa"/>
            <w:vAlign w:val="center"/>
          </w:tcPr>
          <w:p w14:paraId="34930190">
            <w:pPr>
              <w:autoSpaceDE w:val="0"/>
              <w:autoSpaceDN w:val="0"/>
              <w:adjustRightInd w:val="0"/>
              <w:spacing w:line="360" w:lineRule="auto"/>
              <w:jc w:val="center"/>
              <w:rPr>
                <w:rFonts w:ascii="宋体" w:hAnsi="宋体"/>
                <w:b w:val="0"/>
                <w:bCs w:val="0"/>
                <w:color w:val="auto"/>
                <w:kern w:val="0"/>
                <w:szCs w:val="21"/>
              </w:rPr>
            </w:pPr>
          </w:p>
        </w:tc>
        <w:tc>
          <w:tcPr>
            <w:tcW w:w="993" w:type="dxa"/>
            <w:vAlign w:val="center"/>
          </w:tcPr>
          <w:p w14:paraId="302686EE">
            <w:pPr>
              <w:autoSpaceDE w:val="0"/>
              <w:autoSpaceDN w:val="0"/>
              <w:adjustRightInd w:val="0"/>
              <w:spacing w:line="360" w:lineRule="auto"/>
              <w:jc w:val="center"/>
              <w:rPr>
                <w:rFonts w:ascii="宋体" w:hAnsi="宋体"/>
                <w:b w:val="0"/>
                <w:bCs w:val="0"/>
                <w:color w:val="auto"/>
                <w:kern w:val="0"/>
                <w:szCs w:val="21"/>
              </w:rPr>
            </w:pPr>
          </w:p>
        </w:tc>
        <w:tc>
          <w:tcPr>
            <w:tcW w:w="688" w:type="dxa"/>
            <w:vAlign w:val="center"/>
          </w:tcPr>
          <w:p w14:paraId="0A592EA1">
            <w:pPr>
              <w:autoSpaceDE w:val="0"/>
              <w:autoSpaceDN w:val="0"/>
              <w:adjustRightInd w:val="0"/>
              <w:spacing w:line="360" w:lineRule="auto"/>
              <w:jc w:val="center"/>
              <w:rPr>
                <w:rFonts w:ascii="宋体" w:hAnsi="宋体"/>
                <w:b w:val="0"/>
                <w:bCs w:val="0"/>
                <w:color w:val="auto"/>
                <w:kern w:val="0"/>
                <w:szCs w:val="21"/>
              </w:rPr>
            </w:pPr>
          </w:p>
        </w:tc>
        <w:tc>
          <w:tcPr>
            <w:tcW w:w="1234" w:type="dxa"/>
            <w:vAlign w:val="center"/>
          </w:tcPr>
          <w:p w14:paraId="2EF646D6">
            <w:pPr>
              <w:autoSpaceDE w:val="0"/>
              <w:autoSpaceDN w:val="0"/>
              <w:adjustRightInd w:val="0"/>
              <w:spacing w:line="360" w:lineRule="auto"/>
              <w:jc w:val="center"/>
              <w:rPr>
                <w:rFonts w:ascii="宋体" w:hAnsi="宋体"/>
                <w:b w:val="0"/>
                <w:bCs w:val="0"/>
                <w:color w:val="auto"/>
                <w:kern w:val="0"/>
                <w:szCs w:val="21"/>
              </w:rPr>
            </w:pPr>
          </w:p>
        </w:tc>
        <w:tc>
          <w:tcPr>
            <w:tcW w:w="1196" w:type="dxa"/>
            <w:vAlign w:val="center"/>
          </w:tcPr>
          <w:p w14:paraId="0D480AEE">
            <w:pPr>
              <w:rPr>
                <w:rFonts w:ascii="宋体" w:hAnsi="宋体"/>
                <w:b w:val="0"/>
                <w:bCs w:val="0"/>
                <w:color w:val="auto"/>
                <w:szCs w:val="21"/>
              </w:rPr>
            </w:pPr>
            <w:r>
              <w:rPr>
                <w:rFonts w:hint="eastAsia" w:ascii="宋体" w:hAnsi="宋体"/>
                <w:b w:val="0"/>
                <w:bCs w:val="0"/>
                <w:color w:val="auto"/>
                <w:szCs w:val="21"/>
              </w:rPr>
              <w:t xml:space="preserve">专职：□ </w:t>
            </w:r>
          </w:p>
          <w:p w14:paraId="46E6A010">
            <w:pPr>
              <w:rPr>
                <w:rFonts w:hint="eastAsia" w:ascii="宋体" w:hAnsi="宋体"/>
                <w:b w:val="0"/>
                <w:bCs w:val="0"/>
                <w:color w:val="auto"/>
                <w:szCs w:val="21"/>
              </w:rPr>
            </w:pPr>
            <w:r>
              <w:rPr>
                <w:rFonts w:hint="eastAsia" w:ascii="宋体" w:hAnsi="宋体"/>
                <w:b w:val="0"/>
                <w:bCs w:val="0"/>
                <w:color w:val="auto"/>
                <w:szCs w:val="21"/>
              </w:rPr>
              <w:t>兼职：□</w:t>
            </w:r>
          </w:p>
        </w:tc>
      </w:tr>
      <w:tr w14:paraId="2E76D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660" w:type="dxa"/>
            <w:vAlign w:val="top"/>
          </w:tcPr>
          <w:p w14:paraId="5F7E8CB8">
            <w:pPr>
              <w:spacing w:line="240" w:lineRule="auto"/>
              <w:jc w:val="center"/>
              <w:rPr>
                <w:rFonts w:hint="eastAsia" w:ascii="宋体" w:eastAsia="宋体" w:cs="宋体"/>
                <w:b w:val="0"/>
                <w:bCs w:val="0"/>
                <w:color w:val="auto"/>
                <w:sz w:val="24"/>
                <w:szCs w:val="32"/>
                <w:highlight w:val="none"/>
                <w:lang w:val="en-US" w:eastAsia="zh-CN"/>
              </w:rPr>
            </w:pPr>
          </w:p>
          <w:p w14:paraId="0455CD4C">
            <w:pPr>
              <w:spacing w:line="240" w:lineRule="auto"/>
              <w:jc w:val="center"/>
              <w:rPr>
                <w:rFonts w:ascii="宋体" w:hAnsi="宋体"/>
                <w:b w:val="0"/>
                <w:bCs w:val="0"/>
                <w:color w:val="auto"/>
                <w:kern w:val="0"/>
                <w:szCs w:val="21"/>
              </w:rPr>
            </w:pPr>
            <w:r>
              <w:rPr>
                <w:rFonts w:hint="eastAsia" w:ascii="宋体" w:eastAsia="宋体" w:cs="宋体"/>
                <w:b w:val="0"/>
                <w:bCs w:val="0"/>
                <w:color w:val="auto"/>
                <w:sz w:val="24"/>
                <w:szCs w:val="32"/>
                <w:highlight w:val="none"/>
                <w:lang w:val="en-US" w:eastAsia="zh-CN"/>
              </w:rPr>
              <w:t>设计负责人</w:t>
            </w:r>
          </w:p>
        </w:tc>
        <w:tc>
          <w:tcPr>
            <w:tcW w:w="850" w:type="dxa"/>
            <w:vAlign w:val="center"/>
          </w:tcPr>
          <w:p w14:paraId="3FBF1881">
            <w:pPr>
              <w:autoSpaceDE w:val="0"/>
              <w:autoSpaceDN w:val="0"/>
              <w:adjustRightInd w:val="0"/>
              <w:spacing w:line="360" w:lineRule="auto"/>
              <w:jc w:val="center"/>
              <w:rPr>
                <w:rFonts w:ascii="宋体" w:hAnsi="宋体"/>
                <w:b w:val="0"/>
                <w:bCs w:val="0"/>
                <w:color w:val="auto"/>
                <w:kern w:val="0"/>
                <w:szCs w:val="21"/>
              </w:rPr>
            </w:pPr>
          </w:p>
        </w:tc>
        <w:tc>
          <w:tcPr>
            <w:tcW w:w="723" w:type="dxa"/>
            <w:vAlign w:val="center"/>
          </w:tcPr>
          <w:p w14:paraId="1061C52A">
            <w:pPr>
              <w:autoSpaceDE w:val="0"/>
              <w:autoSpaceDN w:val="0"/>
              <w:adjustRightInd w:val="0"/>
              <w:spacing w:line="360" w:lineRule="auto"/>
              <w:jc w:val="center"/>
              <w:rPr>
                <w:rFonts w:ascii="宋体" w:hAnsi="宋体"/>
                <w:b w:val="0"/>
                <w:bCs w:val="0"/>
                <w:color w:val="auto"/>
                <w:kern w:val="0"/>
                <w:szCs w:val="21"/>
              </w:rPr>
            </w:pPr>
          </w:p>
        </w:tc>
        <w:tc>
          <w:tcPr>
            <w:tcW w:w="1276" w:type="dxa"/>
            <w:vAlign w:val="center"/>
          </w:tcPr>
          <w:p w14:paraId="1DF05B92">
            <w:pPr>
              <w:autoSpaceDE w:val="0"/>
              <w:autoSpaceDN w:val="0"/>
              <w:adjustRightInd w:val="0"/>
              <w:spacing w:line="360" w:lineRule="auto"/>
              <w:jc w:val="center"/>
              <w:rPr>
                <w:rFonts w:ascii="宋体" w:hAnsi="宋体"/>
                <w:b w:val="0"/>
                <w:bCs w:val="0"/>
                <w:color w:val="auto"/>
                <w:kern w:val="0"/>
                <w:szCs w:val="21"/>
              </w:rPr>
            </w:pPr>
          </w:p>
        </w:tc>
        <w:tc>
          <w:tcPr>
            <w:tcW w:w="1275" w:type="dxa"/>
            <w:vAlign w:val="center"/>
          </w:tcPr>
          <w:p w14:paraId="6E89485D">
            <w:pPr>
              <w:autoSpaceDE w:val="0"/>
              <w:autoSpaceDN w:val="0"/>
              <w:adjustRightInd w:val="0"/>
              <w:spacing w:line="360" w:lineRule="auto"/>
              <w:jc w:val="center"/>
              <w:rPr>
                <w:rFonts w:ascii="宋体" w:hAnsi="宋体"/>
                <w:b w:val="0"/>
                <w:bCs w:val="0"/>
                <w:color w:val="auto"/>
                <w:kern w:val="0"/>
                <w:szCs w:val="21"/>
              </w:rPr>
            </w:pPr>
          </w:p>
        </w:tc>
        <w:tc>
          <w:tcPr>
            <w:tcW w:w="993" w:type="dxa"/>
            <w:vAlign w:val="center"/>
          </w:tcPr>
          <w:p w14:paraId="1011CA91">
            <w:pPr>
              <w:autoSpaceDE w:val="0"/>
              <w:autoSpaceDN w:val="0"/>
              <w:adjustRightInd w:val="0"/>
              <w:spacing w:line="360" w:lineRule="auto"/>
              <w:jc w:val="center"/>
              <w:rPr>
                <w:rFonts w:ascii="宋体" w:hAnsi="宋体"/>
                <w:b w:val="0"/>
                <w:bCs w:val="0"/>
                <w:color w:val="auto"/>
                <w:kern w:val="0"/>
                <w:szCs w:val="21"/>
              </w:rPr>
            </w:pPr>
          </w:p>
        </w:tc>
        <w:tc>
          <w:tcPr>
            <w:tcW w:w="688" w:type="dxa"/>
            <w:vAlign w:val="center"/>
          </w:tcPr>
          <w:p w14:paraId="5C2C632F">
            <w:pPr>
              <w:autoSpaceDE w:val="0"/>
              <w:autoSpaceDN w:val="0"/>
              <w:adjustRightInd w:val="0"/>
              <w:spacing w:line="360" w:lineRule="auto"/>
              <w:jc w:val="center"/>
              <w:rPr>
                <w:rFonts w:ascii="宋体" w:hAnsi="宋体"/>
                <w:b w:val="0"/>
                <w:bCs w:val="0"/>
                <w:color w:val="auto"/>
                <w:kern w:val="0"/>
                <w:szCs w:val="21"/>
              </w:rPr>
            </w:pPr>
          </w:p>
        </w:tc>
        <w:tc>
          <w:tcPr>
            <w:tcW w:w="1234" w:type="dxa"/>
            <w:vAlign w:val="center"/>
          </w:tcPr>
          <w:p w14:paraId="514D1AC3">
            <w:pPr>
              <w:autoSpaceDE w:val="0"/>
              <w:autoSpaceDN w:val="0"/>
              <w:adjustRightInd w:val="0"/>
              <w:spacing w:line="360" w:lineRule="auto"/>
              <w:jc w:val="center"/>
              <w:rPr>
                <w:rFonts w:ascii="宋体" w:hAnsi="宋体"/>
                <w:b w:val="0"/>
                <w:bCs w:val="0"/>
                <w:color w:val="auto"/>
                <w:kern w:val="0"/>
                <w:szCs w:val="21"/>
              </w:rPr>
            </w:pPr>
          </w:p>
        </w:tc>
        <w:tc>
          <w:tcPr>
            <w:tcW w:w="1196" w:type="dxa"/>
            <w:vAlign w:val="center"/>
          </w:tcPr>
          <w:p w14:paraId="31CB4DF0">
            <w:pPr>
              <w:rPr>
                <w:rFonts w:ascii="宋体" w:hAnsi="宋体"/>
                <w:b w:val="0"/>
                <w:bCs w:val="0"/>
                <w:color w:val="auto"/>
                <w:szCs w:val="21"/>
              </w:rPr>
            </w:pPr>
            <w:r>
              <w:rPr>
                <w:rFonts w:hint="eastAsia" w:ascii="宋体" w:hAnsi="宋体"/>
                <w:b w:val="0"/>
                <w:bCs w:val="0"/>
                <w:color w:val="auto"/>
                <w:szCs w:val="21"/>
              </w:rPr>
              <w:t xml:space="preserve">专职：□ </w:t>
            </w:r>
          </w:p>
          <w:p w14:paraId="7B8FA054">
            <w:pPr>
              <w:autoSpaceDE w:val="0"/>
              <w:autoSpaceDN w:val="0"/>
              <w:adjustRightInd w:val="0"/>
              <w:spacing w:line="360" w:lineRule="auto"/>
              <w:jc w:val="center"/>
              <w:rPr>
                <w:rFonts w:ascii="宋体" w:hAnsi="宋体"/>
                <w:b w:val="0"/>
                <w:bCs w:val="0"/>
                <w:color w:val="auto"/>
                <w:kern w:val="0"/>
                <w:szCs w:val="21"/>
              </w:rPr>
            </w:pPr>
            <w:r>
              <w:rPr>
                <w:rFonts w:hint="eastAsia" w:ascii="宋体" w:hAnsi="宋体"/>
                <w:b w:val="0"/>
                <w:bCs w:val="0"/>
                <w:color w:val="auto"/>
                <w:szCs w:val="21"/>
              </w:rPr>
              <w:t>兼职：□</w:t>
            </w:r>
          </w:p>
        </w:tc>
      </w:tr>
      <w:tr w14:paraId="6B023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660" w:type="dxa"/>
            <w:vAlign w:val="top"/>
          </w:tcPr>
          <w:p w14:paraId="71C5FE9C">
            <w:pPr>
              <w:spacing w:line="240" w:lineRule="auto"/>
              <w:jc w:val="center"/>
              <w:rPr>
                <w:rFonts w:hint="eastAsia" w:ascii="宋体" w:cs="宋体"/>
                <w:b w:val="0"/>
                <w:bCs w:val="0"/>
                <w:color w:val="auto"/>
                <w:kern w:val="36"/>
                <w:sz w:val="24"/>
                <w:szCs w:val="24"/>
                <w:highlight w:val="none"/>
                <w:lang w:val="en-US" w:eastAsia="zh-CN"/>
              </w:rPr>
            </w:pPr>
          </w:p>
          <w:p w14:paraId="36810588">
            <w:pPr>
              <w:spacing w:line="240" w:lineRule="auto"/>
              <w:jc w:val="center"/>
              <w:rPr>
                <w:rFonts w:ascii="宋体" w:hAnsi="宋体"/>
                <w:b w:val="0"/>
                <w:bCs w:val="0"/>
                <w:color w:val="auto"/>
                <w:kern w:val="0"/>
                <w:szCs w:val="21"/>
              </w:rPr>
            </w:pPr>
            <w:r>
              <w:rPr>
                <w:rFonts w:hint="eastAsia" w:ascii="宋体" w:cs="宋体"/>
                <w:b w:val="0"/>
                <w:bCs w:val="0"/>
                <w:color w:val="auto"/>
                <w:kern w:val="36"/>
                <w:sz w:val="24"/>
                <w:szCs w:val="24"/>
                <w:highlight w:val="none"/>
                <w:lang w:val="en-US" w:eastAsia="zh-CN"/>
              </w:rPr>
              <w:t>市政行业</w:t>
            </w:r>
          </w:p>
        </w:tc>
        <w:tc>
          <w:tcPr>
            <w:tcW w:w="850" w:type="dxa"/>
            <w:vAlign w:val="center"/>
          </w:tcPr>
          <w:p w14:paraId="4FD1E75D">
            <w:pPr>
              <w:autoSpaceDE w:val="0"/>
              <w:autoSpaceDN w:val="0"/>
              <w:adjustRightInd w:val="0"/>
              <w:spacing w:line="360" w:lineRule="auto"/>
              <w:jc w:val="center"/>
              <w:rPr>
                <w:rFonts w:ascii="宋体" w:hAnsi="宋体"/>
                <w:b w:val="0"/>
                <w:bCs w:val="0"/>
                <w:color w:val="auto"/>
                <w:kern w:val="0"/>
                <w:szCs w:val="21"/>
              </w:rPr>
            </w:pPr>
          </w:p>
        </w:tc>
        <w:tc>
          <w:tcPr>
            <w:tcW w:w="723" w:type="dxa"/>
            <w:vAlign w:val="center"/>
          </w:tcPr>
          <w:p w14:paraId="76A33742">
            <w:pPr>
              <w:autoSpaceDE w:val="0"/>
              <w:autoSpaceDN w:val="0"/>
              <w:adjustRightInd w:val="0"/>
              <w:spacing w:line="360" w:lineRule="auto"/>
              <w:jc w:val="center"/>
              <w:rPr>
                <w:rFonts w:ascii="宋体" w:hAnsi="宋体"/>
                <w:b w:val="0"/>
                <w:bCs w:val="0"/>
                <w:color w:val="auto"/>
                <w:kern w:val="0"/>
                <w:szCs w:val="21"/>
              </w:rPr>
            </w:pPr>
          </w:p>
        </w:tc>
        <w:tc>
          <w:tcPr>
            <w:tcW w:w="1276" w:type="dxa"/>
            <w:vAlign w:val="center"/>
          </w:tcPr>
          <w:p w14:paraId="416D1D6F">
            <w:pPr>
              <w:autoSpaceDE w:val="0"/>
              <w:autoSpaceDN w:val="0"/>
              <w:adjustRightInd w:val="0"/>
              <w:spacing w:line="360" w:lineRule="auto"/>
              <w:jc w:val="center"/>
              <w:rPr>
                <w:rFonts w:ascii="宋体" w:hAnsi="宋体"/>
                <w:b w:val="0"/>
                <w:bCs w:val="0"/>
                <w:color w:val="auto"/>
                <w:kern w:val="0"/>
                <w:szCs w:val="21"/>
              </w:rPr>
            </w:pPr>
          </w:p>
        </w:tc>
        <w:tc>
          <w:tcPr>
            <w:tcW w:w="1275" w:type="dxa"/>
            <w:vAlign w:val="center"/>
          </w:tcPr>
          <w:p w14:paraId="3C7D187A">
            <w:pPr>
              <w:autoSpaceDE w:val="0"/>
              <w:autoSpaceDN w:val="0"/>
              <w:adjustRightInd w:val="0"/>
              <w:spacing w:line="360" w:lineRule="auto"/>
              <w:jc w:val="center"/>
              <w:rPr>
                <w:rFonts w:ascii="宋体" w:hAnsi="宋体"/>
                <w:b w:val="0"/>
                <w:bCs w:val="0"/>
                <w:color w:val="auto"/>
                <w:kern w:val="0"/>
                <w:szCs w:val="21"/>
              </w:rPr>
            </w:pPr>
          </w:p>
        </w:tc>
        <w:tc>
          <w:tcPr>
            <w:tcW w:w="993" w:type="dxa"/>
            <w:vAlign w:val="center"/>
          </w:tcPr>
          <w:p w14:paraId="1A7B5578">
            <w:pPr>
              <w:autoSpaceDE w:val="0"/>
              <w:autoSpaceDN w:val="0"/>
              <w:adjustRightInd w:val="0"/>
              <w:spacing w:line="360" w:lineRule="auto"/>
              <w:jc w:val="center"/>
              <w:rPr>
                <w:rFonts w:ascii="宋体" w:hAnsi="宋体"/>
                <w:b w:val="0"/>
                <w:bCs w:val="0"/>
                <w:color w:val="auto"/>
                <w:kern w:val="0"/>
                <w:szCs w:val="21"/>
              </w:rPr>
            </w:pPr>
          </w:p>
        </w:tc>
        <w:tc>
          <w:tcPr>
            <w:tcW w:w="688" w:type="dxa"/>
            <w:vAlign w:val="center"/>
          </w:tcPr>
          <w:p w14:paraId="22726C63">
            <w:pPr>
              <w:autoSpaceDE w:val="0"/>
              <w:autoSpaceDN w:val="0"/>
              <w:adjustRightInd w:val="0"/>
              <w:spacing w:line="360" w:lineRule="auto"/>
              <w:jc w:val="center"/>
              <w:rPr>
                <w:rFonts w:ascii="宋体" w:hAnsi="宋体"/>
                <w:b w:val="0"/>
                <w:bCs w:val="0"/>
                <w:color w:val="auto"/>
                <w:kern w:val="0"/>
                <w:szCs w:val="21"/>
              </w:rPr>
            </w:pPr>
          </w:p>
        </w:tc>
        <w:tc>
          <w:tcPr>
            <w:tcW w:w="1234" w:type="dxa"/>
            <w:vAlign w:val="center"/>
          </w:tcPr>
          <w:p w14:paraId="02E25EA9">
            <w:pPr>
              <w:autoSpaceDE w:val="0"/>
              <w:autoSpaceDN w:val="0"/>
              <w:adjustRightInd w:val="0"/>
              <w:spacing w:line="360" w:lineRule="auto"/>
              <w:jc w:val="center"/>
              <w:rPr>
                <w:rFonts w:ascii="宋体" w:hAnsi="宋体"/>
                <w:b w:val="0"/>
                <w:bCs w:val="0"/>
                <w:color w:val="auto"/>
                <w:kern w:val="0"/>
                <w:szCs w:val="21"/>
              </w:rPr>
            </w:pPr>
          </w:p>
        </w:tc>
        <w:tc>
          <w:tcPr>
            <w:tcW w:w="1196" w:type="dxa"/>
            <w:vAlign w:val="center"/>
          </w:tcPr>
          <w:p w14:paraId="0F73A8A3">
            <w:pPr>
              <w:rPr>
                <w:rFonts w:ascii="宋体" w:hAnsi="宋体"/>
                <w:b w:val="0"/>
                <w:bCs w:val="0"/>
                <w:color w:val="auto"/>
                <w:szCs w:val="21"/>
              </w:rPr>
            </w:pPr>
            <w:r>
              <w:rPr>
                <w:rFonts w:hint="eastAsia" w:ascii="宋体" w:hAnsi="宋体"/>
                <w:b w:val="0"/>
                <w:bCs w:val="0"/>
                <w:color w:val="auto"/>
                <w:szCs w:val="21"/>
              </w:rPr>
              <w:t xml:space="preserve">专职：□ </w:t>
            </w:r>
          </w:p>
          <w:p w14:paraId="77F5E2F8">
            <w:pPr>
              <w:autoSpaceDE w:val="0"/>
              <w:autoSpaceDN w:val="0"/>
              <w:adjustRightInd w:val="0"/>
              <w:spacing w:line="360" w:lineRule="auto"/>
              <w:jc w:val="center"/>
              <w:rPr>
                <w:rFonts w:ascii="宋体" w:hAnsi="宋体"/>
                <w:b w:val="0"/>
                <w:bCs w:val="0"/>
                <w:color w:val="auto"/>
                <w:kern w:val="0"/>
                <w:szCs w:val="21"/>
              </w:rPr>
            </w:pPr>
            <w:r>
              <w:rPr>
                <w:rFonts w:hint="eastAsia" w:ascii="宋体" w:hAnsi="宋体"/>
                <w:b w:val="0"/>
                <w:bCs w:val="0"/>
                <w:color w:val="auto"/>
                <w:szCs w:val="21"/>
              </w:rPr>
              <w:t>兼职：□</w:t>
            </w:r>
          </w:p>
        </w:tc>
      </w:tr>
      <w:tr w14:paraId="10314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660" w:type="dxa"/>
            <w:vAlign w:val="top"/>
          </w:tcPr>
          <w:p w14:paraId="5C45455E">
            <w:pPr>
              <w:spacing w:line="240" w:lineRule="auto"/>
              <w:jc w:val="center"/>
              <w:rPr>
                <w:rFonts w:hint="eastAsia" w:ascii="宋体" w:eastAsia="宋体" w:cs="宋体"/>
                <w:b w:val="0"/>
                <w:bCs w:val="0"/>
                <w:color w:val="auto"/>
                <w:sz w:val="24"/>
                <w:szCs w:val="32"/>
                <w:highlight w:val="none"/>
              </w:rPr>
            </w:pPr>
          </w:p>
          <w:p w14:paraId="5DC85C59">
            <w:pPr>
              <w:spacing w:line="240" w:lineRule="auto"/>
              <w:jc w:val="center"/>
              <w:rPr>
                <w:rFonts w:ascii="宋体" w:hAnsi="宋体"/>
                <w:b w:val="0"/>
                <w:bCs w:val="0"/>
                <w:color w:val="auto"/>
                <w:kern w:val="0"/>
                <w:szCs w:val="21"/>
              </w:rPr>
            </w:pPr>
            <w:r>
              <w:rPr>
                <w:rFonts w:hint="eastAsia" w:ascii="宋体" w:eastAsia="宋体" w:cs="宋体"/>
                <w:b w:val="0"/>
                <w:bCs w:val="0"/>
                <w:color w:val="auto"/>
                <w:sz w:val="24"/>
                <w:szCs w:val="32"/>
                <w:highlight w:val="none"/>
              </w:rPr>
              <w:t>项目负责人</w:t>
            </w:r>
          </w:p>
        </w:tc>
        <w:tc>
          <w:tcPr>
            <w:tcW w:w="850" w:type="dxa"/>
            <w:vAlign w:val="center"/>
          </w:tcPr>
          <w:p w14:paraId="3165D6A0">
            <w:pPr>
              <w:autoSpaceDE w:val="0"/>
              <w:autoSpaceDN w:val="0"/>
              <w:adjustRightInd w:val="0"/>
              <w:spacing w:line="360" w:lineRule="auto"/>
              <w:jc w:val="center"/>
              <w:rPr>
                <w:rFonts w:ascii="宋体" w:hAnsi="宋体"/>
                <w:b w:val="0"/>
                <w:bCs w:val="0"/>
                <w:color w:val="auto"/>
                <w:kern w:val="0"/>
                <w:szCs w:val="21"/>
              </w:rPr>
            </w:pPr>
          </w:p>
        </w:tc>
        <w:tc>
          <w:tcPr>
            <w:tcW w:w="723" w:type="dxa"/>
            <w:vAlign w:val="center"/>
          </w:tcPr>
          <w:p w14:paraId="693092D6">
            <w:pPr>
              <w:autoSpaceDE w:val="0"/>
              <w:autoSpaceDN w:val="0"/>
              <w:adjustRightInd w:val="0"/>
              <w:spacing w:line="360" w:lineRule="auto"/>
              <w:jc w:val="center"/>
              <w:rPr>
                <w:rFonts w:ascii="宋体" w:hAnsi="宋体"/>
                <w:b w:val="0"/>
                <w:bCs w:val="0"/>
                <w:color w:val="auto"/>
                <w:kern w:val="0"/>
                <w:szCs w:val="21"/>
              </w:rPr>
            </w:pPr>
          </w:p>
        </w:tc>
        <w:tc>
          <w:tcPr>
            <w:tcW w:w="1276" w:type="dxa"/>
            <w:vAlign w:val="center"/>
          </w:tcPr>
          <w:p w14:paraId="5B031BFF">
            <w:pPr>
              <w:autoSpaceDE w:val="0"/>
              <w:autoSpaceDN w:val="0"/>
              <w:adjustRightInd w:val="0"/>
              <w:spacing w:line="360" w:lineRule="auto"/>
              <w:jc w:val="center"/>
              <w:rPr>
                <w:rFonts w:ascii="宋体" w:hAnsi="宋体"/>
                <w:b w:val="0"/>
                <w:bCs w:val="0"/>
                <w:color w:val="auto"/>
                <w:kern w:val="0"/>
                <w:szCs w:val="21"/>
              </w:rPr>
            </w:pPr>
          </w:p>
        </w:tc>
        <w:tc>
          <w:tcPr>
            <w:tcW w:w="1275" w:type="dxa"/>
            <w:vAlign w:val="center"/>
          </w:tcPr>
          <w:p w14:paraId="72523EE8">
            <w:pPr>
              <w:autoSpaceDE w:val="0"/>
              <w:autoSpaceDN w:val="0"/>
              <w:adjustRightInd w:val="0"/>
              <w:spacing w:line="360" w:lineRule="auto"/>
              <w:jc w:val="center"/>
              <w:rPr>
                <w:rFonts w:ascii="宋体" w:hAnsi="宋体"/>
                <w:b w:val="0"/>
                <w:bCs w:val="0"/>
                <w:color w:val="auto"/>
                <w:kern w:val="0"/>
                <w:szCs w:val="21"/>
              </w:rPr>
            </w:pPr>
          </w:p>
        </w:tc>
        <w:tc>
          <w:tcPr>
            <w:tcW w:w="993" w:type="dxa"/>
            <w:vAlign w:val="center"/>
          </w:tcPr>
          <w:p w14:paraId="030EAC39">
            <w:pPr>
              <w:autoSpaceDE w:val="0"/>
              <w:autoSpaceDN w:val="0"/>
              <w:adjustRightInd w:val="0"/>
              <w:spacing w:line="360" w:lineRule="auto"/>
              <w:jc w:val="center"/>
              <w:rPr>
                <w:rFonts w:ascii="宋体" w:hAnsi="宋体"/>
                <w:b w:val="0"/>
                <w:bCs w:val="0"/>
                <w:color w:val="auto"/>
                <w:kern w:val="0"/>
                <w:szCs w:val="21"/>
              </w:rPr>
            </w:pPr>
          </w:p>
        </w:tc>
        <w:tc>
          <w:tcPr>
            <w:tcW w:w="688" w:type="dxa"/>
            <w:vAlign w:val="center"/>
          </w:tcPr>
          <w:p w14:paraId="573BFBD6">
            <w:pPr>
              <w:autoSpaceDE w:val="0"/>
              <w:autoSpaceDN w:val="0"/>
              <w:adjustRightInd w:val="0"/>
              <w:spacing w:line="360" w:lineRule="auto"/>
              <w:jc w:val="center"/>
              <w:rPr>
                <w:rFonts w:ascii="宋体" w:hAnsi="宋体"/>
                <w:b w:val="0"/>
                <w:bCs w:val="0"/>
                <w:color w:val="auto"/>
                <w:kern w:val="0"/>
                <w:szCs w:val="21"/>
              </w:rPr>
            </w:pPr>
          </w:p>
        </w:tc>
        <w:tc>
          <w:tcPr>
            <w:tcW w:w="1234" w:type="dxa"/>
            <w:vAlign w:val="center"/>
          </w:tcPr>
          <w:p w14:paraId="6E6FF793">
            <w:pPr>
              <w:autoSpaceDE w:val="0"/>
              <w:autoSpaceDN w:val="0"/>
              <w:adjustRightInd w:val="0"/>
              <w:spacing w:line="360" w:lineRule="auto"/>
              <w:jc w:val="center"/>
              <w:rPr>
                <w:rFonts w:ascii="宋体" w:hAnsi="宋体"/>
                <w:b w:val="0"/>
                <w:bCs w:val="0"/>
                <w:color w:val="auto"/>
                <w:kern w:val="0"/>
                <w:szCs w:val="21"/>
              </w:rPr>
            </w:pPr>
          </w:p>
        </w:tc>
        <w:tc>
          <w:tcPr>
            <w:tcW w:w="1196" w:type="dxa"/>
            <w:vAlign w:val="center"/>
          </w:tcPr>
          <w:p w14:paraId="6540F18E">
            <w:pPr>
              <w:rPr>
                <w:rFonts w:ascii="宋体" w:hAnsi="宋体"/>
                <w:b w:val="0"/>
                <w:bCs w:val="0"/>
                <w:color w:val="auto"/>
                <w:szCs w:val="21"/>
              </w:rPr>
            </w:pPr>
            <w:r>
              <w:rPr>
                <w:rFonts w:hint="eastAsia" w:ascii="宋体" w:hAnsi="宋体"/>
                <w:b w:val="0"/>
                <w:bCs w:val="0"/>
                <w:color w:val="auto"/>
                <w:szCs w:val="21"/>
              </w:rPr>
              <w:t xml:space="preserve">专职：□ </w:t>
            </w:r>
          </w:p>
          <w:p w14:paraId="75400169">
            <w:pPr>
              <w:autoSpaceDE w:val="0"/>
              <w:autoSpaceDN w:val="0"/>
              <w:adjustRightInd w:val="0"/>
              <w:spacing w:line="360" w:lineRule="auto"/>
              <w:jc w:val="center"/>
              <w:rPr>
                <w:rFonts w:ascii="宋体" w:hAnsi="宋体"/>
                <w:b w:val="0"/>
                <w:bCs w:val="0"/>
                <w:color w:val="auto"/>
                <w:kern w:val="0"/>
                <w:szCs w:val="21"/>
              </w:rPr>
            </w:pPr>
            <w:r>
              <w:rPr>
                <w:rFonts w:hint="eastAsia" w:ascii="宋体" w:hAnsi="宋体"/>
                <w:b w:val="0"/>
                <w:bCs w:val="0"/>
                <w:color w:val="auto"/>
                <w:szCs w:val="21"/>
              </w:rPr>
              <w:t>兼职：□</w:t>
            </w:r>
          </w:p>
        </w:tc>
      </w:tr>
      <w:tr w14:paraId="165C2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660" w:type="dxa"/>
            <w:vAlign w:val="top"/>
          </w:tcPr>
          <w:p w14:paraId="0FC5808E">
            <w:pPr>
              <w:spacing w:line="240" w:lineRule="auto"/>
              <w:jc w:val="center"/>
              <w:rPr>
                <w:rFonts w:hint="eastAsia" w:ascii="宋体" w:eastAsia="宋体" w:cs="宋体"/>
                <w:b w:val="0"/>
                <w:bCs w:val="0"/>
                <w:color w:val="auto"/>
                <w:sz w:val="24"/>
                <w:szCs w:val="32"/>
                <w:highlight w:val="none"/>
              </w:rPr>
            </w:pPr>
          </w:p>
          <w:p w14:paraId="6AE13070">
            <w:pPr>
              <w:spacing w:line="240" w:lineRule="auto"/>
              <w:jc w:val="center"/>
              <w:rPr>
                <w:rFonts w:ascii="宋体" w:hAnsi="宋体"/>
                <w:b w:val="0"/>
                <w:bCs w:val="0"/>
                <w:color w:val="auto"/>
                <w:kern w:val="0"/>
                <w:szCs w:val="21"/>
              </w:rPr>
            </w:pPr>
            <w:r>
              <w:rPr>
                <w:rFonts w:hint="eastAsia" w:ascii="宋体" w:eastAsia="宋体" w:cs="宋体"/>
                <w:b w:val="0"/>
                <w:bCs w:val="0"/>
                <w:color w:val="auto"/>
                <w:sz w:val="24"/>
                <w:szCs w:val="32"/>
                <w:highlight w:val="none"/>
              </w:rPr>
              <w:t>技术负责人</w:t>
            </w:r>
          </w:p>
        </w:tc>
        <w:tc>
          <w:tcPr>
            <w:tcW w:w="850" w:type="dxa"/>
            <w:vAlign w:val="center"/>
          </w:tcPr>
          <w:p w14:paraId="745BFDC6">
            <w:pPr>
              <w:autoSpaceDE w:val="0"/>
              <w:autoSpaceDN w:val="0"/>
              <w:adjustRightInd w:val="0"/>
              <w:spacing w:line="360" w:lineRule="auto"/>
              <w:jc w:val="center"/>
              <w:rPr>
                <w:rFonts w:ascii="宋体" w:hAnsi="宋体"/>
                <w:b w:val="0"/>
                <w:bCs w:val="0"/>
                <w:color w:val="auto"/>
                <w:kern w:val="0"/>
                <w:szCs w:val="21"/>
              </w:rPr>
            </w:pPr>
          </w:p>
        </w:tc>
        <w:tc>
          <w:tcPr>
            <w:tcW w:w="723" w:type="dxa"/>
            <w:vAlign w:val="center"/>
          </w:tcPr>
          <w:p w14:paraId="3F6FE2E8">
            <w:pPr>
              <w:autoSpaceDE w:val="0"/>
              <w:autoSpaceDN w:val="0"/>
              <w:adjustRightInd w:val="0"/>
              <w:spacing w:line="360" w:lineRule="auto"/>
              <w:jc w:val="center"/>
              <w:rPr>
                <w:rFonts w:ascii="宋体" w:hAnsi="宋体"/>
                <w:b w:val="0"/>
                <w:bCs w:val="0"/>
                <w:color w:val="auto"/>
                <w:kern w:val="0"/>
                <w:szCs w:val="21"/>
              </w:rPr>
            </w:pPr>
          </w:p>
        </w:tc>
        <w:tc>
          <w:tcPr>
            <w:tcW w:w="1276" w:type="dxa"/>
            <w:vAlign w:val="center"/>
          </w:tcPr>
          <w:p w14:paraId="7152BEEA">
            <w:pPr>
              <w:autoSpaceDE w:val="0"/>
              <w:autoSpaceDN w:val="0"/>
              <w:adjustRightInd w:val="0"/>
              <w:spacing w:line="360" w:lineRule="auto"/>
              <w:jc w:val="center"/>
              <w:rPr>
                <w:rFonts w:ascii="宋体" w:hAnsi="宋体"/>
                <w:b w:val="0"/>
                <w:bCs w:val="0"/>
                <w:color w:val="auto"/>
                <w:kern w:val="0"/>
                <w:szCs w:val="21"/>
              </w:rPr>
            </w:pPr>
          </w:p>
        </w:tc>
        <w:tc>
          <w:tcPr>
            <w:tcW w:w="1275" w:type="dxa"/>
            <w:vAlign w:val="center"/>
          </w:tcPr>
          <w:p w14:paraId="3AAB4C56">
            <w:pPr>
              <w:autoSpaceDE w:val="0"/>
              <w:autoSpaceDN w:val="0"/>
              <w:adjustRightInd w:val="0"/>
              <w:spacing w:line="360" w:lineRule="auto"/>
              <w:jc w:val="center"/>
              <w:rPr>
                <w:rFonts w:ascii="宋体" w:hAnsi="宋体"/>
                <w:b w:val="0"/>
                <w:bCs w:val="0"/>
                <w:color w:val="auto"/>
                <w:kern w:val="0"/>
                <w:szCs w:val="21"/>
              </w:rPr>
            </w:pPr>
          </w:p>
        </w:tc>
        <w:tc>
          <w:tcPr>
            <w:tcW w:w="993" w:type="dxa"/>
            <w:vAlign w:val="center"/>
          </w:tcPr>
          <w:p w14:paraId="7D6DF867">
            <w:pPr>
              <w:autoSpaceDE w:val="0"/>
              <w:autoSpaceDN w:val="0"/>
              <w:adjustRightInd w:val="0"/>
              <w:spacing w:line="360" w:lineRule="auto"/>
              <w:jc w:val="center"/>
              <w:rPr>
                <w:rFonts w:ascii="宋体" w:hAnsi="宋体"/>
                <w:b w:val="0"/>
                <w:bCs w:val="0"/>
                <w:color w:val="auto"/>
                <w:kern w:val="0"/>
                <w:szCs w:val="21"/>
              </w:rPr>
            </w:pPr>
          </w:p>
        </w:tc>
        <w:tc>
          <w:tcPr>
            <w:tcW w:w="688" w:type="dxa"/>
            <w:vAlign w:val="center"/>
          </w:tcPr>
          <w:p w14:paraId="62625583">
            <w:pPr>
              <w:autoSpaceDE w:val="0"/>
              <w:autoSpaceDN w:val="0"/>
              <w:adjustRightInd w:val="0"/>
              <w:spacing w:line="360" w:lineRule="auto"/>
              <w:jc w:val="center"/>
              <w:rPr>
                <w:rFonts w:ascii="宋体" w:hAnsi="宋体"/>
                <w:b w:val="0"/>
                <w:bCs w:val="0"/>
                <w:color w:val="auto"/>
                <w:kern w:val="0"/>
                <w:szCs w:val="21"/>
              </w:rPr>
            </w:pPr>
          </w:p>
        </w:tc>
        <w:tc>
          <w:tcPr>
            <w:tcW w:w="1234" w:type="dxa"/>
            <w:vAlign w:val="center"/>
          </w:tcPr>
          <w:p w14:paraId="513CE212">
            <w:pPr>
              <w:autoSpaceDE w:val="0"/>
              <w:autoSpaceDN w:val="0"/>
              <w:adjustRightInd w:val="0"/>
              <w:spacing w:line="360" w:lineRule="auto"/>
              <w:jc w:val="center"/>
              <w:rPr>
                <w:rFonts w:ascii="宋体" w:hAnsi="宋体"/>
                <w:b w:val="0"/>
                <w:bCs w:val="0"/>
                <w:color w:val="auto"/>
                <w:kern w:val="0"/>
                <w:szCs w:val="21"/>
              </w:rPr>
            </w:pPr>
          </w:p>
        </w:tc>
        <w:tc>
          <w:tcPr>
            <w:tcW w:w="1196" w:type="dxa"/>
            <w:vAlign w:val="center"/>
          </w:tcPr>
          <w:p w14:paraId="68058EA1">
            <w:pPr>
              <w:rPr>
                <w:rFonts w:ascii="宋体" w:hAnsi="宋体"/>
                <w:b w:val="0"/>
                <w:bCs w:val="0"/>
                <w:color w:val="auto"/>
                <w:szCs w:val="21"/>
              </w:rPr>
            </w:pPr>
            <w:r>
              <w:rPr>
                <w:rFonts w:hint="eastAsia" w:ascii="宋体" w:hAnsi="宋体"/>
                <w:b w:val="0"/>
                <w:bCs w:val="0"/>
                <w:color w:val="auto"/>
                <w:szCs w:val="21"/>
              </w:rPr>
              <w:t xml:space="preserve">专职：□ </w:t>
            </w:r>
          </w:p>
          <w:p w14:paraId="1D12BF9E">
            <w:pPr>
              <w:autoSpaceDE w:val="0"/>
              <w:autoSpaceDN w:val="0"/>
              <w:adjustRightInd w:val="0"/>
              <w:spacing w:line="360" w:lineRule="auto"/>
              <w:jc w:val="center"/>
              <w:rPr>
                <w:rFonts w:ascii="宋体" w:hAnsi="宋体"/>
                <w:b w:val="0"/>
                <w:bCs w:val="0"/>
                <w:color w:val="auto"/>
                <w:kern w:val="0"/>
                <w:szCs w:val="21"/>
              </w:rPr>
            </w:pPr>
            <w:r>
              <w:rPr>
                <w:rFonts w:hint="eastAsia" w:ascii="宋体" w:hAnsi="宋体"/>
                <w:b w:val="0"/>
                <w:bCs w:val="0"/>
                <w:color w:val="auto"/>
                <w:szCs w:val="21"/>
              </w:rPr>
              <w:t>兼职：□</w:t>
            </w:r>
          </w:p>
        </w:tc>
      </w:tr>
      <w:tr w14:paraId="6EB96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660" w:type="dxa"/>
            <w:vAlign w:val="top"/>
          </w:tcPr>
          <w:p w14:paraId="69332FF1">
            <w:pPr>
              <w:spacing w:line="240" w:lineRule="auto"/>
              <w:jc w:val="center"/>
              <w:rPr>
                <w:rFonts w:hint="eastAsia" w:ascii="宋体" w:eastAsia="宋体" w:cs="宋体"/>
                <w:b w:val="0"/>
                <w:bCs w:val="0"/>
                <w:color w:val="auto"/>
                <w:sz w:val="24"/>
                <w:szCs w:val="32"/>
                <w:highlight w:val="none"/>
              </w:rPr>
            </w:pPr>
          </w:p>
          <w:p w14:paraId="1C0EC3FD">
            <w:pPr>
              <w:spacing w:line="240" w:lineRule="auto"/>
              <w:jc w:val="center"/>
              <w:rPr>
                <w:rFonts w:ascii="宋体" w:hAnsi="宋体"/>
                <w:b w:val="0"/>
                <w:bCs w:val="0"/>
                <w:color w:val="auto"/>
                <w:kern w:val="0"/>
                <w:szCs w:val="21"/>
              </w:rPr>
            </w:pPr>
            <w:r>
              <w:rPr>
                <w:rFonts w:hint="eastAsia" w:ascii="宋体" w:eastAsia="宋体" w:cs="宋体"/>
                <w:b w:val="0"/>
                <w:bCs w:val="0"/>
                <w:color w:val="auto"/>
                <w:sz w:val="24"/>
                <w:szCs w:val="32"/>
                <w:highlight w:val="none"/>
              </w:rPr>
              <w:t>施工员</w:t>
            </w:r>
          </w:p>
        </w:tc>
        <w:tc>
          <w:tcPr>
            <w:tcW w:w="850" w:type="dxa"/>
            <w:vAlign w:val="center"/>
          </w:tcPr>
          <w:p w14:paraId="7757398C">
            <w:pPr>
              <w:autoSpaceDE w:val="0"/>
              <w:autoSpaceDN w:val="0"/>
              <w:adjustRightInd w:val="0"/>
              <w:spacing w:line="360" w:lineRule="auto"/>
              <w:jc w:val="center"/>
              <w:rPr>
                <w:rFonts w:ascii="宋体" w:hAnsi="宋体"/>
                <w:b w:val="0"/>
                <w:bCs w:val="0"/>
                <w:color w:val="auto"/>
                <w:kern w:val="0"/>
                <w:szCs w:val="21"/>
              </w:rPr>
            </w:pPr>
          </w:p>
        </w:tc>
        <w:tc>
          <w:tcPr>
            <w:tcW w:w="723" w:type="dxa"/>
            <w:vAlign w:val="center"/>
          </w:tcPr>
          <w:p w14:paraId="1EEC5C3C">
            <w:pPr>
              <w:autoSpaceDE w:val="0"/>
              <w:autoSpaceDN w:val="0"/>
              <w:adjustRightInd w:val="0"/>
              <w:spacing w:line="360" w:lineRule="auto"/>
              <w:jc w:val="center"/>
              <w:rPr>
                <w:rFonts w:ascii="宋体" w:hAnsi="宋体"/>
                <w:b w:val="0"/>
                <w:bCs w:val="0"/>
                <w:color w:val="auto"/>
                <w:kern w:val="0"/>
                <w:szCs w:val="21"/>
              </w:rPr>
            </w:pPr>
          </w:p>
        </w:tc>
        <w:tc>
          <w:tcPr>
            <w:tcW w:w="1276" w:type="dxa"/>
            <w:vAlign w:val="center"/>
          </w:tcPr>
          <w:p w14:paraId="7302FB7C">
            <w:pPr>
              <w:autoSpaceDE w:val="0"/>
              <w:autoSpaceDN w:val="0"/>
              <w:adjustRightInd w:val="0"/>
              <w:spacing w:line="360" w:lineRule="auto"/>
              <w:jc w:val="center"/>
              <w:rPr>
                <w:rFonts w:ascii="宋体" w:hAnsi="宋体"/>
                <w:b w:val="0"/>
                <w:bCs w:val="0"/>
                <w:color w:val="auto"/>
                <w:kern w:val="0"/>
                <w:szCs w:val="21"/>
              </w:rPr>
            </w:pPr>
          </w:p>
        </w:tc>
        <w:tc>
          <w:tcPr>
            <w:tcW w:w="1275" w:type="dxa"/>
            <w:vAlign w:val="center"/>
          </w:tcPr>
          <w:p w14:paraId="28D56AFF">
            <w:pPr>
              <w:autoSpaceDE w:val="0"/>
              <w:autoSpaceDN w:val="0"/>
              <w:adjustRightInd w:val="0"/>
              <w:spacing w:line="360" w:lineRule="auto"/>
              <w:jc w:val="center"/>
              <w:rPr>
                <w:rFonts w:ascii="宋体" w:hAnsi="宋体"/>
                <w:b w:val="0"/>
                <w:bCs w:val="0"/>
                <w:color w:val="auto"/>
                <w:kern w:val="0"/>
                <w:szCs w:val="21"/>
              </w:rPr>
            </w:pPr>
          </w:p>
        </w:tc>
        <w:tc>
          <w:tcPr>
            <w:tcW w:w="993" w:type="dxa"/>
            <w:vAlign w:val="center"/>
          </w:tcPr>
          <w:p w14:paraId="5332341D">
            <w:pPr>
              <w:autoSpaceDE w:val="0"/>
              <w:autoSpaceDN w:val="0"/>
              <w:adjustRightInd w:val="0"/>
              <w:spacing w:line="360" w:lineRule="auto"/>
              <w:jc w:val="center"/>
              <w:rPr>
                <w:rFonts w:ascii="宋体" w:hAnsi="宋体"/>
                <w:b w:val="0"/>
                <w:bCs w:val="0"/>
                <w:color w:val="auto"/>
                <w:kern w:val="0"/>
                <w:szCs w:val="21"/>
              </w:rPr>
            </w:pPr>
          </w:p>
        </w:tc>
        <w:tc>
          <w:tcPr>
            <w:tcW w:w="688" w:type="dxa"/>
            <w:vAlign w:val="center"/>
          </w:tcPr>
          <w:p w14:paraId="09AB0AC7">
            <w:pPr>
              <w:autoSpaceDE w:val="0"/>
              <w:autoSpaceDN w:val="0"/>
              <w:adjustRightInd w:val="0"/>
              <w:spacing w:line="360" w:lineRule="auto"/>
              <w:jc w:val="center"/>
              <w:rPr>
                <w:rFonts w:ascii="宋体" w:hAnsi="宋体"/>
                <w:b w:val="0"/>
                <w:bCs w:val="0"/>
                <w:color w:val="auto"/>
                <w:kern w:val="0"/>
                <w:szCs w:val="21"/>
              </w:rPr>
            </w:pPr>
          </w:p>
        </w:tc>
        <w:tc>
          <w:tcPr>
            <w:tcW w:w="1234" w:type="dxa"/>
            <w:vAlign w:val="center"/>
          </w:tcPr>
          <w:p w14:paraId="7DC16596">
            <w:pPr>
              <w:autoSpaceDE w:val="0"/>
              <w:autoSpaceDN w:val="0"/>
              <w:adjustRightInd w:val="0"/>
              <w:spacing w:line="360" w:lineRule="auto"/>
              <w:jc w:val="center"/>
              <w:rPr>
                <w:rFonts w:ascii="宋体" w:hAnsi="宋体"/>
                <w:b w:val="0"/>
                <w:bCs w:val="0"/>
                <w:color w:val="auto"/>
                <w:kern w:val="0"/>
                <w:szCs w:val="21"/>
              </w:rPr>
            </w:pPr>
          </w:p>
        </w:tc>
        <w:tc>
          <w:tcPr>
            <w:tcW w:w="1196" w:type="dxa"/>
            <w:vAlign w:val="center"/>
          </w:tcPr>
          <w:p w14:paraId="0757DB04">
            <w:pPr>
              <w:rPr>
                <w:rFonts w:ascii="宋体" w:hAnsi="宋体"/>
                <w:b w:val="0"/>
                <w:bCs w:val="0"/>
                <w:color w:val="auto"/>
                <w:szCs w:val="21"/>
              </w:rPr>
            </w:pPr>
            <w:r>
              <w:rPr>
                <w:rFonts w:hint="eastAsia" w:ascii="宋体" w:hAnsi="宋体"/>
                <w:b w:val="0"/>
                <w:bCs w:val="0"/>
                <w:color w:val="auto"/>
                <w:szCs w:val="21"/>
              </w:rPr>
              <w:t xml:space="preserve">专职：□ </w:t>
            </w:r>
          </w:p>
          <w:p w14:paraId="1F728E77">
            <w:pPr>
              <w:autoSpaceDE w:val="0"/>
              <w:autoSpaceDN w:val="0"/>
              <w:adjustRightInd w:val="0"/>
              <w:spacing w:line="360" w:lineRule="auto"/>
              <w:jc w:val="center"/>
              <w:rPr>
                <w:rFonts w:ascii="宋体" w:hAnsi="宋体"/>
                <w:b w:val="0"/>
                <w:bCs w:val="0"/>
                <w:color w:val="auto"/>
                <w:kern w:val="0"/>
                <w:szCs w:val="21"/>
              </w:rPr>
            </w:pPr>
            <w:r>
              <w:rPr>
                <w:rFonts w:hint="eastAsia" w:ascii="宋体" w:hAnsi="宋体"/>
                <w:b w:val="0"/>
                <w:bCs w:val="0"/>
                <w:color w:val="auto"/>
                <w:szCs w:val="21"/>
              </w:rPr>
              <w:t>兼职：□</w:t>
            </w:r>
          </w:p>
        </w:tc>
      </w:tr>
      <w:tr w14:paraId="2E93C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660" w:type="dxa"/>
            <w:vAlign w:val="top"/>
          </w:tcPr>
          <w:p w14:paraId="3931D6B5">
            <w:pPr>
              <w:spacing w:line="240" w:lineRule="auto"/>
              <w:jc w:val="center"/>
              <w:rPr>
                <w:rFonts w:hint="eastAsia" w:ascii="宋体" w:eastAsia="宋体" w:cs="宋体"/>
                <w:b w:val="0"/>
                <w:bCs w:val="0"/>
                <w:color w:val="auto"/>
                <w:sz w:val="24"/>
                <w:szCs w:val="32"/>
                <w:highlight w:val="none"/>
              </w:rPr>
            </w:pPr>
          </w:p>
          <w:p w14:paraId="0C2E2E13">
            <w:pPr>
              <w:spacing w:line="240" w:lineRule="auto"/>
              <w:jc w:val="center"/>
              <w:rPr>
                <w:rFonts w:ascii="宋体" w:hAnsi="宋体"/>
                <w:b w:val="0"/>
                <w:bCs w:val="0"/>
                <w:color w:val="auto"/>
                <w:kern w:val="0"/>
                <w:szCs w:val="21"/>
              </w:rPr>
            </w:pPr>
            <w:r>
              <w:rPr>
                <w:rFonts w:hint="eastAsia" w:ascii="宋体" w:eastAsia="宋体" w:cs="宋体"/>
                <w:b w:val="0"/>
                <w:bCs w:val="0"/>
                <w:color w:val="auto"/>
                <w:sz w:val="24"/>
                <w:szCs w:val="32"/>
                <w:highlight w:val="none"/>
              </w:rPr>
              <w:t>安全员</w:t>
            </w:r>
          </w:p>
        </w:tc>
        <w:tc>
          <w:tcPr>
            <w:tcW w:w="850" w:type="dxa"/>
            <w:vAlign w:val="center"/>
          </w:tcPr>
          <w:p w14:paraId="5CCF713E">
            <w:pPr>
              <w:autoSpaceDE w:val="0"/>
              <w:autoSpaceDN w:val="0"/>
              <w:adjustRightInd w:val="0"/>
              <w:spacing w:line="360" w:lineRule="auto"/>
              <w:jc w:val="center"/>
              <w:rPr>
                <w:rFonts w:ascii="宋体" w:hAnsi="宋体"/>
                <w:b w:val="0"/>
                <w:bCs w:val="0"/>
                <w:color w:val="auto"/>
                <w:kern w:val="0"/>
                <w:szCs w:val="21"/>
              </w:rPr>
            </w:pPr>
          </w:p>
        </w:tc>
        <w:tc>
          <w:tcPr>
            <w:tcW w:w="723" w:type="dxa"/>
            <w:vAlign w:val="center"/>
          </w:tcPr>
          <w:p w14:paraId="256C0D4B">
            <w:pPr>
              <w:autoSpaceDE w:val="0"/>
              <w:autoSpaceDN w:val="0"/>
              <w:adjustRightInd w:val="0"/>
              <w:spacing w:line="360" w:lineRule="auto"/>
              <w:jc w:val="center"/>
              <w:rPr>
                <w:rFonts w:ascii="宋体" w:hAnsi="宋体"/>
                <w:b w:val="0"/>
                <w:bCs w:val="0"/>
                <w:color w:val="auto"/>
                <w:kern w:val="0"/>
                <w:szCs w:val="21"/>
              </w:rPr>
            </w:pPr>
          </w:p>
        </w:tc>
        <w:tc>
          <w:tcPr>
            <w:tcW w:w="1276" w:type="dxa"/>
            <w:vAlign w:val="center"/>
          </w:tcPr>
          <w:p w14:paraId="1B5C1F02">
            <w:pPr>
              <w:autoSpaceDE w:val="0"/>
              <w:autoSpaceDN w:val="0"/>
              <w:adjustRightInd w:val="0"/>
              <w:spacing w:line="360" w:lineRule="auto"/>
              <w:jc w:val="center"/>
              <w:rPr>
                <w:rFonts w:ascii="宋体" w:hAnsi="宋体"/>
                <w:b w:val="0"/>
                <w:bCs w:val="0"/>
                <w:color w:val="auto"/>
                <w:kern w:val="0"/>
                <w:szCs w:val="21"/>
              </w:rPr>
            </w:pPr>
          </w:p>
        </w:tc>
        <w:tc>
          <w:tcPr>
            <w:tcW w:w="1275" w:type="dxa"/>
            <w:vAlign w:val="center"/>
          </w:tcPr>
          <w:p w14:paraId="7B4C5344">
            <w:pPr>
              <w:autoSpaceDE w:val="0"/>
              <w:autoSpaceDN w:val="0"/>
              <w:adjustRightInd w:val="0"/>
              <w:spacing w:line="360" w:lineRule="auto"/>
              <w:jc w:val="center"/>
              <w:rPr>
                <w:rFonts w:ascii="宋体" w:hAnsi="宋体"/>
                <w:b w:val="0"/>
                <w:bCs w:val="0"/>
                <w:color w:val="auto"/>
                <w:kern w:val="0"/>
                <w:szCs w:val="21"/>
              </w:rPr>
            </w:pPr>
          </w:p>
        </w:tc>
        <w:tc>
          <w:tcPr>
            <w:tcW w:w="993" w:type="dxa"/>
            <w:vAlign w:val="center"/>
          </w:tcPr>
          <w:p w14:paraId="51097295">
            <w:pPr>
              <w:autoSpaceDE w:val="0"/>
              <w:autoSpaceDN w:val="0"/>
              <w:adjustRightInd w:val="0"/>
              <w:spacing w:line="360" w:lineRule="auto"/>
              <w:jc w:val="center"/>
              <w:rPr>
                <w:rFonts w:ascii="宋体" w:hAnsi="宋体"/>
                <w:b w:val="0"/>
                <w:bCs w:val="0"/>
                <w:color w:val="auto"/>
                <w:kern w:val="0"/>
                <w:szCs w:val="21"/>
              </w:rPr>
            </w:pPr>
          </w:p>
        </w:tc>
        <w:tc>
          <w:tcPr>
            <w:tcW w:w="688" w:type="dxa"/>
            <w:vAlign w:val="center"/>
          </w:tcPr>
          <w:p w14:paraId="363B51CE">
            <w:pPr>
              <w:autoSpaceDE w:val="0"/>
              <w:autoSpaceDN w:val="0"/>
              <w:adjustRightInd w:val="0"/>
              <w:spacing w:line="360" w:lineRule="auto"/>
              <w:jc w:val="center"/>
              <w:rPr>
                <w:rFonts w:ascii="宋体" w:hAnsi="宋体"/>
                <w:b w:val="0"/>
                <w:bCs w:val="0"/>
                <w:color w:val="auto"/>
                <w:kern w:val="0"/>
                <w:szCs w:val="21"/>
              </w:rPr>
            </w:pPr>
          </w:p>
        </w:tc>
        <w:tc>
          <w:tcPr>
            <w:tcW w:w="1234" w:type="dxa"/>
            <w:vAlign w:val="center"/>
          </w:tcPr>
          <w:p w14:paraId="18E24DBE">
            <w:pPr>
              <w:autoSpaceDE w:val="0"/>
              <w:autoSpaceDN w:val="0"/>
              <w:adjustRightInd w:val="0"/>
              <w:spacing w:line="360" w:lineRule="auto"/>
              <w:jc w:val="center"/>
              <w:rPr>
                <w:rFonts w:ascii="宋体" w:hAnsi="宋体"/>
                <w:b w:val="0"/>
                <w:bCs w:val="0"/>
                <w:color w:val="auto"/>
                <w:kern w:val="0"/>
                <w:szCs w:val="21"/>
              </w:rPr>
            </w:pPr>
          </w:p>
        </w:tc>
        <w:tc>
          <w:tcPr>
            <w:tcW w:w="1196" w:type="dxa"/>
            <w:vAlign w:val="center"/>
          </w:tcPr>
          <w:p w14:paraId="26933288">
            <w:pPr>
              <w:rPr>
                <w:rFonts w:ascii="宋体" w:hAnsi="宋体"/>
                <w:b w:val="0"/>
                <w:bCs w:val="0"/>
                <w:color w:val="auto"/>
                <w:szCs w:val="21"/>
              </w:rPr>
            </w:pPr>
            <w:r>
              <w:rPr>
                <w:rFonts w:hint="eastAsia" w:ascii="宋体" w:hAnsi="宋体"/>
                <w:b w:val="0"/>
                <w:bCs w:val="0"/>
                <w:color w:val="auto"/>
                <w:szCs w:val="21"/>
              </w:rPr>
              <w:t xml:space="preserve">专职：□ </w:t>
            </w:r>
          </w:p>
          <w:p w14:paraId="318C8F9F">
            <w:pPr>
              <w:autoSpaceDE w:val="0"/>
              <w:autoSpaceDN w:val="0"/>
              <w:adjustRightInd w:val="0"/>
              <w:spacing w:line="360" w:lineRule="auto"/>
              <w:jc w:val="center"/>
              <w:rPr>
                <w:rFonts w:ascii="宋体" w:hAnsi="宋体"/>
                <w:b w:val="0"/>
                <w:bCs w:val="0"/>
                <w:color w:val="auto"/>
                <w:kern w:val="0"/>
                <w:szCs w:val="21"/>
              </w:rPr>
            </w:pPr>
            <w:r>
              <w:rPr>
                <w:rFonts w:hint="eastAsia" w:ascii="宋体" w:hAnsi="宋体"/>
                <w:b w:val="0"/>
                <w:bCs w:val="0"/>
                <w:color w:val="auto"/>
                <w:szCs w:val="21"/>
              </w:rPr>
              <w:t>兼职：□</w:t>
            </w:r>
          </w:p>
        </w:tc>
      </w:tr>
      <w:tr w14:paraId="25184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660" w:type="dxa"/>
            <w:vAlign w:val="top"/>
          </w:tcPr>
          <w:p w14:paraId="509E16D5">
            <w:pPr>
              <w:spacing w:line="240" w:lineRule="auto"/>
              <w:jc w:val="center"/>
              <w:rPr>
                <w:rFonts w:hint="eastAsia" w:ascii="宋体" w:eastAsia="宋体" w:cs="宋体"/>
                <w:b w:val="0"/>
                <w:bCs w:val="0"/>
                <w:color w:val="auto"/>
                <w:sz w:val="24"/>
                <w:szCs w:val="32"/>
                <w:highlight w:val="none"/>
              </w:rPr>
            </w:pPr>
          </w:p>
          <w:p w14:paraId="7C13E3A8">
            <w:pPr>
              <w:spacing w:line="240" w:lineRule="auto"/>
              <w:jc w:val="center"/>
              <w:rPr>
                <w:rFonts w:ascii="宋体" w:hAnsi="宋体"/>
                <w:b w:val="0"/>
                <w:bCs w:val="0"/>
                <w:color w:val="auto"/>
                <w:kern w:val="0"/>
                <w:szCs w:val="21"/>
              </w:rPr>
            </w:pPr>
            <w:r>
              <w:rPr>
                <w:rFonts w:hint="eastAsia" w:ascii="宋体" w:eastAsia="宋体" w:cs="宋体"/>
                <w:b w:val="0"/>
                <w:bCs w:val="0"/>
                <w:color w:val="auto"/>
                <w:sz w:val="24"/>
                <w:szCs w:val="32"/>
                <w:highlight w:val="none"/>
              </w:rPr>
              <w:t>质量员</w:t>
            </w:r>
          </w:p>
        </w:tc>
        <w:tc>
          <w:tcPr>
            <w:tcW w:w="850" w:type="dxa"/>
            <w:vAlign w:val="center"/>
          </w:tcPr>
          <w:p w14:paraId="1248A342">
            <w:pPr>
              <w:autoSpaceDE w:val="0"/>
              <w:autoSpaceDN w:val="0"/>
              <w:adjustRightInd w:val="0"/>
              <w:spacing w:line="360" w:lineRule="auto"/>
              <w:jc w:val="center"/>
              <w:rPr>
                <w:rFonts w:ascii="宋体" w:hAnsi="宋体"/>
                <w:b w:val="0"/>
                <w:bCs w:val="0"/>
                <w:color w:val="auto"/>
                <w:kern w:val="0"/>
                <w:szCs w:val="21"/>
              </w:rPr>
            </w:pPr>
          </w:p>
        </w:tc>
        <w:tc>
          <w:tcPr>
            <w:tcW w:w="723" w:type="dxa"/>
            <w:vAlign w:val="center"/>
          </w:tcPr>
          <w:p w14:paraId="3E250406">
            <w:pPr>
              <w:autoSpaceDE w:val="0"/>
              <w:autoSpaceDN w:val="0"/>
              <w:adjustRightInd w:val="0"/>
              <w:spacing w:line="360" w:lineRule="auto"/>
              <w:jc w:val="center"/>
              <w:rPr>
                <w:rFonts w:ascii="宋体" w:hAnsi="宋体"/>
                <w:b w:val="0"/>
                <w:bCs w:val="0"/>
                <w:color w:val="auto"/>
                <w:kern w:val="0"/>
                <w:szCs w:val="21"/>
              </w:rPr>
            </w:pPr>
          </w:p>
        </w:tc>
        <w:tc>
          <w:tcPr>
            <w:tcW w:w="1276" w:type="dxa"/>
            <w:vAlign w:val="center"/>
          </w:tcPr>
          <w:p w14:paraId="7D3E081B">
            <w:pPr>
              <w:autoSpaceDE w:val="0"/>
              <w:autoSpaceDN w:val="0"/>
              <w:adjustRightInd w:val="0"/>
              <w:spacing w:line="360" w:lineRule="auto"/>
              <w:jc w:val="center"/>
              <w:rPr>
                <w:rFonts w:ascii="宋体" w:hAnsi="宋体"/>
                <w:b w:val="0"/>
                <w:bCs w:val="0"/>
                <w:color w:val="auto"/>
                <w:kern w:val="0"/>
                <w:szCs w:val="21"/>
              </w:rPr>
            </w:pPr>
          </w:p>
        </w:tc>
        <w:tc>
          <w:tcPr>
            <w:tcW w:w="1275" w:type="dxa"/>
            <w:vAlign w:val="center"/>
          </w:tcPr>
          <w:p w14:paraId="3F032DFF">
            <w:pPr>
              <w:autoSpaceDE w:val="0"/>
              <w:autoSpaceDN w:val="0"/>
              <w:adjustRightInd w:val="0"/>
              <w:spacing w:line="360" w:lineRule="auto"/>
              <w:jc w:val="center"/>
              <w:rPr>
                <w:rFonts w:ascii="宋体" w:hAnsi="宋体"/>
                <w:b w:val="0"/>
                <w:bCs w:val="0"/>
                <w:color w:val="auto"/>
                <w:kern w:val="0"/>
                <w:szCs w:val="21"/>
              </w:rPr>
            </w:pPr>
          </w:p>
        </w:tc>
        <w:tc>
          <w:tcPr>
            <w:tcW w:w="993" w:type="dxa"/>
            <w:vAlign w:val="center"/>
          </w:tcPr>
          <w:p w14:paraId="3E22B8A4">
            <w:pPr>
              <w:autoSpaceDE w:val="0"/>
              <w:autoSpaceDN w:val="0"/>
              <w:adjustRightInd w:val="0"/>
              <w:spacing w:line="360" w:lineRule="auto"/>
              <w:jc w:val="center"/>
              <w:rPr>
                <w:rFonts w:ascii="宋体" w:hAnsi="宋体"/>
                <w:b w:val="0"/>
                <w:bCs w:val="0"/>
                <w:color w:val="auto"/>
                <w:kern w:val="0"/>
                <w:szCs w:val="21"/>
              </w:rPr>
            </w:pPr>
          </w:p>
        </w:tc>
        <w:tc>
          <w:tcPr>
            <w:tcW w:w="688" w:type="dxa"/>
            <w:vAlign w:val="center"/>
          </w:tcPr>
          <w:p w14:paraId="34F078EB">
            <w:pPr>
              <w:autoSpaceDE w:val="0"/>
              <w:autoSpaceDN w:val="0"/>
              <w:adjustRightInd w:val="0"/>
              <w:spacing w:line="360" w:lineRule="auto"/>
              <w:jc w:val="center"/>
              <w:rPr>
                <w:rFonts w:ascii="宋体" w:hAnsi="宋体"/>
                <w:b w:val="0"/>
                <w:bCs w:val="0"/>
                <w:color w:val="auto"/>
                <w:kern w:val="0"/>
                <w:szCs w:val="21"/>
              </w:rPr>
            </w:pPr>
          </w:p>
        </w:tc>
        <w:tc>
          <w:tcPr>
            <w:tcW w:w="1234" w:type="dxa"/>
            <w:vAlign w:val="center"/>
          </w:tcPr>
          <w:p w14:paraId="23417712">
            <w:pPr>
              <w:autoSpaceDE w:val="0"/>
              <w:autoSpaceDN w:val="0"/>
              <w:adjustRightInd w:val="0"/>
              <w:spacing w:line="360" w:lineRule="auto"/>
              <w:jc w:val="center"/>
              <w:rPr>
                <w:rFonts w:ascii="宋体" w:hAnsi="宋体"/>
                <w:b w:val="0"/>
                <w:bCs w:val="0"/>
                <w:color w:val="auto"/>
                <w:kern w:val="0"/>
                <w:szCs w:val="21"/>
              </w:rPr>
            </w:pPr>
          </w:p>
        </w:tc>
        <w:tc>
          <w:tcPr>
            <w:tcW w:w="1196" w:type="dxa"/>
            <w:vAlign w:val="center"/>
          </w:tcPr>
          <w:p w14:paraId="586B8AE2">
            <w:pPr>
              <w:rPr>
                <w:rFonts w:ascii="宋体" w:hAnsi="宋体"/>
                <w:b w:val="0"/>
                <w:bCs w:val="0"/>
                <w:color w:val="auto"/>
                <w:szCs w:val="21"/>
              </w:rPr>
            </w:pPr>
            <w:r>
              <w:rPr>
                <w:rFonts w:hint="eastAsia" w:ascii="宋体" w:hAnsi="宋体"/>
                <w:b w:val="0"/>
                <w:bCs w:val="0"/>
                <w:color w:val="auto"/>
                <w:szCs w:val="21"/>
              </w:rPr>
              <w:t xml:space="preserve">专职：□ </w:t>
            </w:r>
          </w:p>
          <w:p w14:paraId="1759F2FD">
            <w:pPr>
              <w:autoSpaceDE w:val="0"/>
              <w:autoSpaceDN w:val="0"/>
              <w:adjustRightInd w:val="0"/>
              <w:spacing w:line="360" w:lineRule="auto"/>
              <w:jc w:val="center"/>
              <w:rPr>
                <w:rFonts w:ascii="宋体" w:hAnsi="宋体"/>
                <w:b w:val="0"/>
                <w:bCs w:val="0"/>
                <w:color w:val="auto"/>
                <w:kern w:val="0"/>
                <w:szCs w:val="21"/>
              </w:rPr>
            </w:pPr>
            <w:r>
              <w:rPr>
                <w:rFonts w:hint="eastAsia" w:ascii="宋体" w:hAnsi="宋体"/>
                <w:b w:val="0"/>
                <w:bCs w:val="0"/>
                <w:color w:val="auto"/>
                <w:szCs w:val="21"/>
              </w:rPr>
              <w:t>兼职：□</w:t>
            </w:r>
          </w:p>
        </w:tc>
      </w:tr>
      <w:tr w14:paraId="5DEAC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660" w:type="dxa"/>
            <w:vAlign w:val="top"/>
          </w:tcPr>
          <w:p w14:paraId="6CC5E807">
            <w:pPr>
              <w:spacing w:line="240" w:lineRule="auto"/>
              <w:jc w:val="center"/>
              <w:rPr>
                <w:rFonts w:hint="eastAsia" w:ascii="宋体" w:eastAsia="宋体" w:cs="宋体"/>
                <w:b w:val="0"/>
                <w:bCs w:val="0"/>
                <w:color w:val="auto"/>
                <w:sz w:val="24"/>
                <w:szCs w:val="32"/>
                <w:highlight w:val="none"/>
              </w:rPr>
            </w:pPr>
          </w:p>
          <w:p w14:paraId="4F0BEACA">
            <w:pPr>
              <w:spacing w:line="240" w:lineRule="auto"/>
              <w:jc w:val="center"/>
              <w:rPr>
                <w:rFonts w:ascii="宋体" w:hAnsi="宋体"/>
                <w:b w:val="0"/>
                <w:bCs w:val="0"/>
                <w:color w:val="auto"/>
                <w:kern w:val="0"/>
                <w:szCs w:val="21"/>
              </w:rPr>
            </w:pPr>
            <w:r>
              <w:rPr>
                <w:rFonts w:hint="eastAsia" w:ascii="宋体" w:eastAsia="宋体" w:cs="宋体"/>
                <w:b w:val="0"/>
                <w:bCs w:val="0"/>
                <w:color w:val="auto"/>
                <w:sz w:val="24"/>
                <w:szCs w:val="32"/>
                <w:highlight w:val="none"/>
              </w:rPr>
              <w:t>标准员</w:t>
            </w:r>
          </w:p>
        </w:tc>
        <w:tc>
          <w:tcPr>
            <w:tcW w:w="850" w:type="dxa"/>
            <w:vAlign w:val="center"/>
          </w:tcPr>
          <w:p w14:paraId="033C4DD2">
            <w:pPr>
              <w:autoSpaceDE w:val="0"/>
              <w:autoSpaceDN w:val="0"/>
              <w:adjustRightInd w:val="0"/>
              <w:spacing w:line="360" w:lineRule="auto"/>
              <w:jc w:val="center"/>
              <w:rPr>
                <w:rFonts w:ascii="宋体" w:hAnsi="宋体"/>
                <w:b w:val="0"/>
                <w:bCs w:val="0"/>
                <w:color w:val="auto"/>
                <w:kern w:val="0"/>
                <w:szCs w:val="21"/>
              </w:rPr>
            </w:pPr>
          </w:p>
        </w:tc>
        <w:tc>
          <w:tcPr>
            <w:tcW w:w="723" w:type="dxa"/>
            <w:vAlign w:val="center"/>
          </w:tcPr>
          <w:p w14:paraId="557D537F">
            <w:pPr>
              <w:autoSpaceDE w:val="0"/>
              <w:autoSpaceDN w:val="0"/>
              <w:adjustRightInd w:val="0"/>
              <w:spacing w:line="360" w:lineRule="auto"/>
              <w:jc w:val="center"/>
              <w:rPr>
                <w:rFonts w:ascii="宋体" w:hAnsi="宋体"/>
                <w:b w:val="0"/>
                <w:bCs w:val="0"/>
                <w:color w:val="auto"/>
                <w:kern w:val="0"/>
                <w:szCs w:val="21"/>
              </w:rPr>
            </w:pPr>
          </w:p>
        </w:tc>
        <w:tc>
          <w:tcPr>
            <w:tcW w:w="1276" w:type="dxa"/>
            <w:vAlign w:val="center"/>
          </w:tcPr>
          <w:p w14:paraId="76A5FF63">
            <w:pPr>
              <w:autoSpaceDE w:val="0"/>
              <w:autoSpaceDN w:val="0"/>
              <w:adjustRightInd w:val="0"/>
              <w:spacing w:line="360" w:lineRule="auto"/>
              <w:jc w:val="center"/>
              <w:rPr>
                <w:rFonts w:ascii="宋体" w:hAnsi="宋体"/>
                <w:b w:val="0"/>
                <w:bCs w:val="0"/>
                <w:color w:val="auto"/>
                <w:kern w:val="0"/>
                <w:szCs w:val="21"/>
              </w:rPr>
            </w:pPr>
          </w:p>
        </w:tc>
        <w:tc>
          <w:tcPr>
            <w:tcW w:w="1275" w:type="dxa"/>
            <w:vAlign w:val="center"/>
          </w:tcPr>
          <w:p w14:paraId="5BA8600B">
            <w:pPr>
              <w:autoSpaceDE w:val="0"/>
              <w:autoSpaceDN w:val="0"/>
              <w:adjustRightInd w:val="0"/>
              <w:spacing w:line="360" w:lineRule="auto"/>
              <w:jc w:val="center"/>
              <w:rPr>
                <w:rFonts w:ascii="宋体" w:hAnsi="宋体"/>
                <w:b w:val="0"/>
                <w:bCs w:val="0"/>
                <w:color w:val="auto"/>
                <w:kern w:val="0"/>
                <w:szCs w:val="21"/>
              </w:rPr>
            </w:pPr>
          </w:p>
        </w:tc>
        <w:tc>
          <w:tcPr>
            <w:tcW w:w="993" w:type="dxa"/>
            <w:vAlign w:val="center"/>
          </w:tcPr>
          <w:p w14:paraId="10A7B620">
            <w:pPr>
              <w:autoSpaceDE w:val="0"/>
              <w:autoSpaceDN w:val="0"/>
              <w:adjustRightInd w:val="0"/>
              <w:spacing w:line="360" w:lineRule="auto"/>
              <w:jc w:val="center"/>
              <w:rPr>
                <w:rFonts w:ascii="宋体" w:hAnsi="宋体"/>
                <w:b w:val="0"/>
                <w:bCs w:val="0"/>
                <w:color w:val="auto"/>
                <w:kern w:val="0"/>
                <w:szCs w:val="21"/>
              </w:rPr>
            </w:pPr>
          </w:p>
        </w:tc>
        <w:tc>
          <w:tcPr>
            <w:tcW w:w="688" w:type="dxa"/>
            <w:vAlign w:val="center"/>
          </w:tcPr>
          <w:p w14:paraId="3D44CEAF">
            <w:pPr>
              <w:autoSpaceDE w:val="0"/>
              <w:autoSpaceDN w:val="0"/>
              <w:adjustRightInd w:val="0"/>
              <w:spacing w:line="360" w:lineRule="auto"/>
              <w:jc w:val="center"/>
              <w:rPr>
                <w:rFonts w:ascii="宋体" w:hAnsi="宋体"/>
                <w:b w:val="0"/>
                <w:bCs w:val="0"/>
                <w:color w:val="auto"/>
                <w:kern w:val="0"/>
                <w:szCs w:val="21"/>
              </w:rPr>
            </w:pPr>
          </w:p>
        </w:tc>
        <w:tc>
          <w:tcPr>
            <w:tcW w:w="1234" w:type="dxa"/>
            <w:vAlign w:val="center"/>
          </w:tcPr>
          <w:p w14:paraId="59891CFC">
            <w:pPr>
              <w:autoSpaceDE w:val="0"/>
              <w:autoSpaceDN w:val="0"/>
              <w:adjustRightInd w:val="0"/>
              <w:spacing w:line="360" w:lineRule="auto"/>
              <w:jc w:val="center"/>
              <w:rPr>
                <w:rFonts w:ascii="宋体" w:hAnsi="宋体"/>
                <w:b w:val="0"/>
                <w:bCs w:val="0"/>
                <w:color w:val="auto"/>
                <w:kern w:val="0"/>
                <w:szCs w:val="21"/>
              </w:rPr>
            </w:pPr>
          </w:p>
        </w:tc>
        <w:tc>
          <w:tcPr>
            <w:tcW w:w="1196" w:type="dxa"/>
            <w:vAlign w:val="center"/>
          </w:tcPr>
          <w:p w14:paraId="11939C5E">
            <w:pPr>
              <w:rPr>
                <w:rFonts w:ascii="宋体" w:hAnsi="宋体"/>
                <w:b w:val="0"/>
                <w:bCs w:val="0"/>
                <w:color w:val="auto"/>
                <w:szCs w:val="21"/>
              </w:rPr>
            </w:pPr>
            <w:r>
              <w:rPr>
                <w:rFonts w:hint="eastAsia" w:ascii="宋体" w:hAnsi="宋体"/>
                <w:b w:val="0"/>
                <w:bCs w:val="0"/>
                <w:color w:val="auto"/>
                <w:szCs w:val="21"/>
              </w:rPr>
              <w:t xml:space="preserve">专职：□ </w:t>
            </w:r>
          </w:p>
          <w:p w14:paraId="2449F695">
            <w:pPr>
              <w:autoSpaceDE w:val="0"/>
              <w:autoSpaceDN w:val="0"/>
              <w:adjustRightInd w:val="0"/>
              <w:spacing w:line="360" w:lineRule="auto"/>
              <w:jc w:val="center"/>
              <w:rPr>
                <w:rFonts w:ascii="宋体" w:hAnsi="宋体"/>
                <w:b w:val="0"/>
                <w:bCs w:val="0"/>
                <w:color w:val="auto"/>
                <w:kern w:val="0"/>
                <w:szCs w:val="21"/>
              </w:rPr>
            </w:pPr>
            <w:r>
              <w:rPr>
                <w:rFonts w:hint="eastAsia" w:ascii="宋体" w:hAnsi="宋体"/>
                <w:b w:val="0"/>
                <w:bCs w:val="0"/>
                <w:color w:val="auto"/>
                <w:szCs w:val="21"/>
              </w:rPr>
              <w:t>兼职：□</w:t>
            </w:r>
          </w:p>
        </w:tc>
      </w:tr>
      <w:tr w14:paraId="2A8C3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660" w:type="dxa"/>
            <w:vAlign w:val="top"/>
          </w:tcPr>
          <w:p w14:paraId="74997FA2">
            <w:pPr>
              <w:spacing w:line="240" w:lineRule="auto"/>
              <w:jc w:val="center"/>
              <w:rPr>
                <w:rFonts w:hint="eastAsia" w:ascii="宋体" w:eastAsia="宋体" w:cs="宋体"/>
                <w:b w:val="0"/>
                <w:bCs w:val="0"/>
                <w:color w:val="auto"/>
                <w:sz w:val="24"/>
                <w:szCs w:val="32"/>
                <w:highlight w:val="none"/>
              </w:rPr>
            </w:pPr>
          </w:p>
          <w:p w14:paraId="119B6212">
            <w:pPr>
              <w:spacing w:line="240" w:lineRule="auto"/>
              <w:jc w:val="center"/>
              <w:rPr>
                <w:rFonts w:ascii="宋体" w:hAnsi="宋体"/>
                <w:b w:val="0"/>
                <w:bCs w:val="0"/>
                <w:color w:val="auto"/>
                <w:kern w:val="0"/>
                <w:szCs w:val="21"/>
              </w:rPr>
            </w:pPr>
            <w:r>
              <w:rPr>
                <w:rFonts w:hint="eastAsia" w:ascii="宋体" w:eastAsia="宋体" w:cs="宋体"/>
                <w:b w:val="0"/>
                <w:bCs w:val="0"/>
                <w:color w:val="auto"/>
                <w:sz w:val="24"/>
                <w:szCs w:val="32"/>
                <w:highlight w:val="none"/>
              </w:rPr>
              <w:t>材料员</w:t>
            </w:r>
          </w:p>
        </w:tc>
        <w:tc>
          <w:tcPr>
            <w:tcW w:w="850" w:type="dxa"/>
            <w:vAlign w:val="center"/>
          </w:tcPr>
          <w:p w14:paraId="36F04D30">
            <w:pPr>
              <w:autoSpaceDE w:val="0"/>
              <w:autoSpaceDN w:val="0"/>
              <w:adjustRightInd w:val="0"/>
              <w:spacing w:line="360" w:lineRule="auto"/>
              <w:jc w:val="center"/>
              <w:rPr>
                <w:rFonts w:ascii="宋体" w:hAnsi="宋体"/>
                <w:b w:val="0"/>
                <w:bCs w:val="0"/>
                <w:color w:val="auto"/>
                <w:kern w:val="0"/>
                <w:szCs w:val="21"/>
              </w:rPr>
            </w:pPr>
          </w:p>
        </w:tc>
        <w:tc>
          <w:tcPr>
            <w:tcW w:w="723" w:type="dxa"/>
            <w:vAlign w:val="center"/>
          </w:tcPr>
          <w:p w14:paraId="477FD716">
            <w:pPr>
              <w:autoSpaceDE w:val="0"/>
              <w:autoSpaceDN w:val="0"/>
              <w:adjustRightInd w:val="0"/>
              <w:spacing w:line="360" w:lineRule="auto"/>
              <w:jc w:val="center"/>
              <w:rPr>
                <w:rFonts w:ascii="宋体" w:hAnsi="宋体"/>
                <w:b w:val="0"/>
                <w:bCs w:val="0"/>
                <w:color w:val="auto"/>
                <w:kern w:val="0"/>
                <w:szCs w:val="21"/>
              </w:rPr>
            </w:pPr>
          </w:p>
        </w:tc>
        <w:tc>
          <w:tcPr>
            <w:tcW w:w="1276" w:type="dxa"/>
            <w:vAlign w:val="center"/>
          </w:tcPr>
          <w:p w14:paraId="50FBF0DD">
            <w:pPr>
              <w:autoSpaceDE w:val="0"/>
              <w:autoSpaceDN w:val="0"/>
              <w:adjustRightInd w:val="0"/>
              <w:spacing w:line="360" w:lineRule="auto"/>
              <w:jc w:val="center"/>
              <w:rPr>
                <w:rFonts w:ascii="宋体" w:hAnsi="宋体"/>
                <w:b w:val="0"/>
                <w:bCs w:val="0"/>
                <w:color w:val="auto"/>
                <w:kern w:val="0"/>
                <w:szCs w:val="21"/>
              </w:rPr>
            </w:pPr>
          </w:p>
        </w:tc>
        <w:tc>
          <w:tcPr>
            <w:tcW w:w="1275" w:type="dxa"/>
            <w:vAlign w:val="center"/>
          </w:tcPr>
          <w:p w14:paraId="7C78DD8A">
            <w:pPr>
              <w:autoSpaceDE w:val="0"/>
              <w:autoSpaceDN w:val="0"/>
              <w:adjustRightInd w:val="0"/>
              <w:spacing w:line="360" w:lineRule="auto"/>
              <w:jc w:val="center"/>
              <w:rPr>
                <w:rFonts w:ascii="宋体" w:hAnsi="宋体"/>
                <w:b w:val="0"/>
                <w:bCs w:val="0"/>
                <w:color w:val="auto"/>
                <w:kern w:val="0"/>
                <w:szCs w:val="21"/>
              </w:rPr>
            </w:pPr>
          </w:p>
        </w:tc>
        <w:tc>
          <w:tcPr>
            <w:tcW w:w="993" w:type="dxa"/>
            <w:vAlign w:val="center"/>
          </w:tcPr>
          <w:p w14:paraId="1C7CA225">
            <w:pPr>
              <w:autoSpaceDE w:val="0"/>
              <w:autoSpaceDN w:val="0"/>
              <w:adjustRightInd w:val="0"/>
              <w:spacing w:line="360" w:lineRule="auto"/>
              <w:jc w:val="center"/>
              <w:rPr>
                <w:rFonts w:ascii="宋体" w:hAnsi="宋体"/>
                <w:b w:val="0"/>
                <w:bCs w:val="0"/>
                <w:color w:val="auto"/>
                <w:kern w:val="0"/>
                <w:szCs w:val="21"/>
              </w:rPr>
            </w:pPr>
          </w:p>
        </w:tc>
        <w:tc>
          <w:tcPr>
            <w:tcW w:w="688" w:type="dxa"/>
            <w:vAlign w:val="center"/>
          </w:tcPr>
          <w:p w14:paraId="3ABBB75B">
            <w:pPr>
              <w:autoSpaceDE w:val="0"/>
              <w:autoSpaceDN w:val="0"/>
              <w:adjustRightInd w:val="0"/>
              <w:spacing w:line="360" w:lineRule="auto"/>
              <w:jc w:val="center"/>
              <w:rPr>
                <w:rFonts w:ascii="宋体" w:hAnsi="宋体"/>
                <w:b w:val="0"/>
                <w:bCs w:val="0"/>
                <w:color w:val="auto"/>
                <w:kern w:val="0"/>
                <w:szCs w:val="21"/>
              </w:rPr>
            </w:pPr>
          </w:p>
        </w:tc>
        <w:tc>
          <w:tcPr>
            <w:tcW w:w="1234" w:type="dxa"/>
            <w:vAlign w:val="center"/>
          </w:tcPr>
          <w:p w14:paraId="5A98ACED">
            <w:pPr>
              <w:autoSpaceDE w:val="0"/>
              <w:autoSpaceDN w:val="0"/>
              <w:adjustRightInd w:val="0"/>
              <w:spacing w:line="360" w:lineRule="auto"/>
              <w:jc w:val="center"/>
              <w:rPr>
                <w:rFonts w:ascii="宋体" w:hAnsi="宋体"/>
                <w:b w:val="0"/>
                <w:bCs w:val="0"/>
                <w:color w:val="auto"/>
                <w:kern w:val="0"/>
                <w:szCs w:val="21"/>
              </w:rPr>
            </w:pPr>
          </w:p>
        </w:tc>
        <w:tc>
          <w:tcPr>
            <w:tcW w:w="1196" w:type="dxa"/>
            <w:vAlign w:val="center"/>
          </w:tcPr>
          <w:p w14:paraId="40E53759">
            <w:pPr>
              <w:rPr>
                <w:rFonts w:ascii="宋体" w:hAnsi="宋体"/>
                <w:b w:val="0"/>
                <w:bCs w:val="0"/>
                <w:color w:val="auto"/>
                <w:szCs w:val="21"/>
              </w:rPr>
            </w:pPr>
            <w:r>
              <w:rPr>
                <w:rFonts w:hint="eastAsia" w:ascii="宋体" w:hAnsi="宋体"/>
                <w:b w:val="0"/>
                <w:bCs w:val="0"/>
                <w:color w:val="auto"/>
                <w:szCs w:val="21"/>
              </w:rPr>
              <w:t xml:space="preserve">专职：□ </w:t>
            </w:r>
          </w:p>
          <w:p w14:paraId="240D2B32">
            <w:pPr>
              <w:autoSpaceDE w:val="0"/>
              <w:autoSpaceDN w:val="0"/>
              <w:adjustRightInd w:val="0"/>
              <w:spacing w:line="360" w:lineRule="auto"/>
              <w:jc w:val="center"/>
              <w:rPr>
                <w:rFonts w:ascii="宋体" w:hAnsi="宋体"/>
                <w:b w:val="0"/>
                <w:bCs w:val="0"/>
                <w:color w:val="auto"/>
                <w:kern w:val="0"/>
                <w:szCs w:val="21"/>
              </w:rPr>
            </w:pPr>
            <w:r>
              <w:rPr>
                <w:rFonts w:hint="eastAsia" w:ascii="宋体" w:hAnsi="宋体"/>
                <w:b w:val="0"/>
                <w:bCs w:val="0"/>
                <w:color w:val="auto"/>
                <w:szCs w:val="21"/>
              </w:rPr>
              <w:t>兼职：□</w:t>
            </w:r>
          </w:p>
        </w:tc>
      </w:tr>
      <w:tr w14:paraId="1F682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660" w:type="dxa"/>
            <w:vAlign w:val="top"/>
          </w:tcPr>
          <w:p w14:paraId="147D643E">
            <w:pPr>
              <w:spacing w:line="240" w:lineRule="auto"/>
              <w:jc w:val="center"/>
              <w:rPr>
                <w:rFonts w:hint="eastAsia" w:ascii="宋体" w:eastAsia="宋体" w:cs="宋体"/>
                <w:b w:val="0"/>
                <w:bCs w:val="0"/>
                <w:color w:val="auto"/>
                <w:sz w:val="24"/>
                <w:szCs w:val="32"/>
                <w:highlight w:val="none"/>
              </w:rPr>
            </w:pPr>
          </w:p>
          <w:p w14:paraId="461BA3D6">
            <w:pPr>
              <w:spacing w:line="240" w:lineRule="auto"/>
              <w:jc w:val="center"/>
              <w:rPr>
                <w:rFonts w:hint="eastAsia" w:ascii="宋体" w:hAnsi="宋体"/>
                <w:b w:val="0"/>
                <w:bCs w:val="0"/>
                <w:color w:val="auto"/>
                <w:kern w:val="0"/>
                <w:szCs w:val="21"/>
              </w:rPr>
            </w:pPr>
            <w:r>
              <w:rPr>
                <w:rFonts w:hint="eastAsia" w:ascii="宋体" w:eastAsia="宋体" w:cs="宋体"/>
                <w:b w:val="0"/>
                <w:bCs w:val="0"/>
                <w:color w:val="auto"/>
                <w:sz w:val="24"/>
                <w:szCs w:val="32"/>
                <w:highlight w:val="none"/>
              </w:rPr>
              <w:t>机械员</w:t>
            </w:r>
          </w:p>
        </w:tc>
        <w:tc>
          <w:tcPr>
            <w:tcW w:w="850" w:type="dxa"/>
            <w:vAlign w:val="center"/>
          </w:tcPr>
          <w:p w14:paraId="7DA2FAD5">
            <w:pPr>
              <w:autoSpaceDE w:val="0"/>
              <w:autoSpaceDN w:val="0"/>
              <w:adjustRightInd w:val="0"/>
              <w:spacing w:line="360" w:lineRule="auto"/>
              <w:jc w:val="center"/>
              <w:rPr>
                <w:rFonts w:ascii="宋体" w:hAnsi="宋体"/>
                <w:b w:val="0"/>
                <w:bCs w:val="0"/>
                <w:color w:val="auto"/>
                <w:kern w:val="0"/>
                <w:szCs w:val="21"/>
              </w:rPr>
            </w:pPr>
          </w:p>
        </w:tc>
        <w:tc>
          <w:tcPr>
            <w:tcW w:w="723" w:type="dxa"/>
            <w:vAlign w:val="center"/>
          </w:tcPr>
          <w:p w14:paraId="14678CB8">
            <w:pPr>
              <w:autoSpaceDE w:val="0"/>
              <w:autoSpaceDN w:val="0"/>
              <w:adjustRightInd w:val="0"/>
              <w:spacing w:line="360" w:lineRule="auto"/>
              <w:jc w:val="center"/>
              <w:rPr>
                <w:rFonts w:ascii="宋体" w:hAnsi="宋体"/>
                <w:b w:val="0"/>
                <w:bCs w:val="0"/>
                <w:color w:val="auto"/>
                <w:kern w:val="0"/>
                <w:szCs w:val="21"/>
              </w:rPr>
            </w:pPr>
          </w:p>
        </w:tc>
        <w:tc>
          <w:tcPr>
            <w:tcW w:w="1276" w:type="dxa"/>
            <w:vAlign w:val="center"/>
          </w:tcPr>
          <w:p w14:paraId="0DDE0EA2">
            <w:pPr>
              <w:autoSpaceDE w:val="0"/>
              <w:autoSpaceDN w:val="0"/>
              <w:adjustRightInd w:val="0"/>
              <w:spacing w:line="360" w:lineRule="auto"/>
              <w:jc w:val="center"/>
              <w:rPr>
                <w:rFonts w:ascii="宋体" w:hAnsi="宋体"/>
                <w:b w:val="0"/>
                <w:bCs w:val="0"/>
                <w:color w:val="auto"/>
                <w:kern w:val="0"/>
                <w:szCs w:val="21"/>
              </w:rPr>
            </w:pPr>
          </w:p>
        </w:tc>
        <w:tc>
          <w:tcPr>
            <w:tcW w:w="1275" w:type="dxa"/>
            <w:vAlign w:val="center"/>
          </w:tcPr>
          <w:p w14:paraId="1A8B5AFC">
            <w:pPr>
              <w:autoSpaceDE w:val="0"/>
              <w:autoSpaceDN w:val="0"/>
              <w:adjustRightInd w:val="0"/>
              <w:spacing w:line="360" w:lineRule="auto"/>
              <w:jc w:val="center"/>
              <w:rPr>
                <w:rFonts w:ascii="宋体" w:hAnsi="宋体"/>
                <w:b w:val="0"/>
                <w:bCs w:val="0"/>
                <w:color w:val="auto"/>
                <w:kern w:val="0"/>
                <w:szCs w:val="21"/>
              </w:rPr>
            </w:pPr>
          </w:p>
        </w:tc>
        <w:tc>
          <w:tcPr>
            <w:tcW w:w="993" w:type="dxa"/>
            <w:vAlign w:val="center"/>
          </w:tcPr>
          <w:p w14:paraId="4131CC81">
            <w:pPr>
              <w:autoSpaceDE w:val="0"/>
              <w:autoSpaceDN w:val="0"/>
              <w:adjustRightInd w:val="0"/>
              <w:spacing w:line="360" w:lineRule="auto"/>
              <w:jc w:val="center"/>
              <w:rPr>
                <w:rFonts w:ascii="宋体" w:hAnsi="宋体"/>
                <w:b w:val="0"/>
                <w:bCs w:val="0"/>
                <w:color w:val="auto"/>
                <w:kern w:val="0"/>
                <w:szCs w:val="21"/>
              </w:rPr>
            </w:pPr>
          </w:p>
        </w:tc>
        <w:tc>
          <w:tcPr>
            <w:tcW w:w="688" w:type="dxa"/>
            <w:vAlign w:val="center"/>
          </w:tcPr>
          <w:p w14:paraId="0E72619B">
            <w:pPr>
              <w:autoSpaceDE w:val="0"/>
              <w:autoSpaceDN w:val="0"/>
              <w:adjustRightInd w:val="0"/>
              <w:spacing w:line="360" w:lineRule="auto"/>
              <w:jc w:val="center"/>
              <w:rPr>
                <w:rFonts w:ascii="宋体" w:hAnsi="宋体"/>
                <w:b w:val="0"/>
                <w:bCs w:val="0"/>
                <w:color w:val="auto"/>
                <w:kern w:val="0"/>
                <w:szCs w:val="21"/>
              </w:rPr>
            </w:pPr>
          </w:p>
        </w:tc>
        <w:tc>
          <w:tcPr>
            <w:tcW w:w="1234" w:type="dxa"/>
            <w:vAlign w:val="center"/>
          </w:tcPr>
          <w:p w14:paraId="04FD3868">
            <w:pPr>
              <w:autoSpaceDE w:val="0"/>
              <w:autoSpaceDN w:val="0"/>
              <w:adjustRightInd w:val="0"/>
              <w:spacing w:line="360" w:lineRule="auto"/>
              <w:jc w:val="center"/>
              <w:rPr>
                <w:rFonts w:ascii="宋体" w:hAnsi="宋体"/>
                <w:b w:val="0"/>
                <w:bCs w:val="0"/>
                <w:color w:val="auto"/>
                <w:kern w:val="0"/>
                <w:szCs w:val="21"/>
              </w:rPr>
            </w:pPr>
          </w:p>
        </w:tc>
        <w:tc>
          <w:tcPr>
            <w:tcW w:w="1196" w:type="dxa"/>
            <w:vAlign w:val="center"/>
          </w:tcPr>
          <w:p w14:paraId="511CC1AE">
            <w:pPr>
              <w:rPr>
                <w:rFonts w:ascii="宋体" w:hAnsi="宋体"/>
                <w:b w:val="0"/>
                <w:bCs w:val="0"/>
                <w:color w:val="auto"/>
                <w:szCs w:val="21"/>
              </w:rPr>
            </w:pPr>
            <w:r>
              <w:rPr>
                <w:rFonts w:hint="eastAsia" w:ascii="宋体" w:hAnsi="宋体"/>
                <w:b w:val="0"/>
                <w:bCs w:val="0"/>
                <w:color w:val="auto"/>
                <w:szCs w:val="21"/>
              </w:rPr>
              <w:t xml:space="preserve">专职：□ </w:t>
            </w:r>
          </w:p>
          <w:p w14:paraId="18882B91">
            <w:pPr>
              <w:autoSpaceDE w:val="0"/>
              <w:autoSpaceDN w:val="0"/>
              <w:adjustRightInd w:val="0"/>
              <w:spacing w:line="360" w:lineRule="auto"/>
              <w:jc w:val="center"/>
              <w:rPr>
                <w:rFonts w:hint="eastAsia" w:ascii="宋体" w:hAnsi="宋体"/>
                <w:b w:val="0"/>
                <w:bCs w:val="0"/>
                <w:color w:val="auto"/>
                <w:szCs w:val="21"/>
              </w:rPr>
            </w:pPr>
            <w:r>
              <w:rPr>
                <w:rFonts w:hint="eastAsia" w:ascii="宋体" w:hAnsi="宋体"/>
                <w:b w:val="0"/>
                <w:bCs w:val="0"/>
                <w:color w:val="auto"/>
                <w:szCs w:val="21"/>
              </w:rPr>
              <w:t>兼职：□</w:t>
            </w:r>
          </w:p>
        </w:tc>
      </w:tr>
      <w:tr w14:paraId="145FE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44" w:hRule="atLeast"/>
          <w:jc w:val="center"/>
        </w:trPr>
        <w:tc>
          <w:tcPr>
            <w:tcW w:w="1660" w:type="dxa"/>
            <w:vAlign w:val="top"/>
          </w:tcPr>
          <w:p w14:paraId="555B4025">
            <w:pPr>
              <w:spacing w:line="240" w:lineRule="auto"/>
              <w:jc w:val="center"/>
              <w:rPr>
                <w:rFonts w:hint="eastAsia" w:ascii="宋体" w:eastAsia="宋体" w:cs="宋体"/>
                <w:b w:val="0"/>
                <w:bCs w:val="0"/>
                <w:color w:val="auto"/>
                <w:sz w:val="24"/>
                <w:szCs w:val="32"/>
                <w:highlight w:val="none"/>
              </w:rPr>
            </w:pPr>
          </w:p>
          <w:p w14:paraId="3E101B0F">
            <w:pPr>
              <w:spacing w:line="240" w:lineRule="auto"/>
              <w:jc w:val="center"/>
              <w:rPr>
                <w:rFonts w:hint="eastAsia" w:ascii="宋体" w:hAnsi="宋体"/>
                <w:b w:val="0"/>
                <w:bCs w:val="0"/>
                <w:color w:val="auto"/>
                <w:kern w:val="0"/>
                <w:szCs w:val="21"/>
              </w:rPr>
            </w:pPr>
            <w:r>
              <w:rPr>
                <w:rFonts w:hint="eastAsia" w:ascii="宋体" w:eastAsia="宋体" w:cs="宋体"/>
                <w:b w:val="0"/>
                <w:bCs w:val="0"/>
                <w:color w:val="auto"/>
                <w:sz w:val="24"/>
                <w:szCs w:val="32"/>
                <w:highlight w:val="none"/>
              </w:rPr>
              <w:t>劳务员</w:t>
            </w:r>
          </w:p>
        </w:tc>
        <w:tc>
          <w:tcPr>
            <w:tcW w:w="850" w:type="dxa"/>
            <w:vAlign w:val="center"/>
          </w:tcPr>
          <w:p w14:paraId="099E7263">
            <w:pPr>
              <w:autoSpaceDE w:val="0"/>
              <w:autoSpaceDN w:val="0"/>
              <w:adjustRightInd w:val="0"/>
              <w:spacing w:line="360" w:lineRule="auto"/>
              <w:jc w:val="center"/>
              <w:rPr>
                <w:rFonts w:ascii="宋体" w:hAnsi="宋体"/>
                <w:b w:val="0"/>
                <w:bCs w:val="0"/>
                <w:color w:val="auto"/>
                <w:kern w:val="0"/>
                <w:szCs w:val="21"/>
              </w:rPr>
            </w:pPr>
          </w:p>
        </w:tc>
        <w:tc>
          <w:tcPr>
            <w:tcW w:w="723" w:type="dxa"/>
            <w:vAlign w:val="center"/>
          </w:tcPr>
          <w:p w14:paraId="70F803B3">
            <w:pPr>
              <w:autoSpaceDE w:val="0"/>
              <w:autoSpaceDN w:val="0"/>
              <w:adjustRightInd w:val="0"/>
              <w:spacing w:line="360" w:lineRule="auto"/>
              <w:jc w:val="center"/>
              <w:rPr>
                <w:rFonts w:ascii="宋体" w:hAnsi="宋体"/>
                <w:b w:val="0"/>
                <w:bCs w:val="0"/>
                <w:color w:val="auto"/>
                <w:kern w:val="0"/>
                <w:szCs w:val="21"/>
              </w:rPr>
            </w:pPr>
          </w:p>
        </w:tc>
        <w:tc>
          <w:tcPr>
            <w:tcW w:w="1276" w:type="dxa"/>
            <w:vAlign w:val="center"/>
          </w:tcPr>
          <w:p w14:paraId="29739DCE">
            <w:pPr>
              <w:autoSpaceDE w:val="0"/>
              <w:autoSpaceDN w:val="0"/>
              <w:adjustRightInd w:val="0"/>
              <w:spacing w:line="360" w:lineRule="auto"/>
              <w:jc w:val="center"/>
              <w:rPr>
                <w:rFonts w:ascii="宋体" w:hAnsi="宋体"/>
                <w:b w:val="0"/>
                <w:bCs w:val="0"/>
                <w:color w:val="auto"/>
                <w:kern w:val="0"/>
                <w:szCs w:val="21"/>
              </w:rPr>
            </w:pPr>
          </w:p>
        </w:tc>
        <w:tc>
          <w:tcPr>
            <w:tcW w:w="1275" w:type="dxa"/>
            <w:vAlign w:val="center"/>
          </w:tcPr>
          <w:p w14:paraId="37324EE7">
            <w:pPr>
              <w:autoSpaceDE w:val="0"/>
              <w:autoSpaceDN w:val="0"/>
              <w:adjustRightInd w:val="0"/>
              <w:spacing w:line="360" w:lineRule="auto"/>
              <w:jc w:val="center"/>
              <w:rPr>
                <w:rFonts w:ascii="宋体" w:hAnsi="宋体"/>
                <w:b w:val="0"/>
                <w:bCs w:val="0"/>
                <w:color w:val="auto"/>
                <w:kern w:val="0"/>
                <w:szCs w:val="21"/>
              </w:rPr>
            </w:pPr>
          </w:p>
        </w:tc>
        <w:tc>
          <w:tcPr>
            <w:tcW w:w="993" w:type="dxa"/>
            <w:vAlign w:val="center"/>
          </w:tcPr>
          <w:p w14:paraId="22F30926">
            <w:pPr>
              <w:autoSpaceDE w:val="0"/>
              <w:autoSpaceDN w:val="0"/>
              <w:adjustRightInd w:val="0"/>
              <w:spacing w:line="360" w:lineRule="auto"/>
              <w:jc w:val="center"/>
              <w:rPr>
                <w:rFonts w:ascii="宋体" w:hAnsi="宋体"/>
                <w:b w:val="0"/>
                <w:bCs w:val="0"/>
                <w:color w:val="auto"/>
                <w:kern w:val="0"/>
                <w:szCs w:val="21"/>
              </w:rPr>
            </w:pPr>
          </w:p>
        </w:tc>
        <w:tc>
          <w:tcPr>
            <w:tcW w:w="688" w:type="dxa"/>
            <w:vAlign w:val="center"/>
          </w:tcPr>
          <w:p w14:paraId="34597339">
            <w:pPr>
              <w:autoSpaceDE w:val="0"/>
              <w:autoSpaceDN w:val="0"/>
              <w:adjustRightInd w:val="0"/>
              <w:spacing w:line="360" w:lineRule="auto"/>
              <w:jc w:val="center"/>
              <w:rPr>
                <w:rFonts w:ascii="宋体" w:hAnsi="宋体"/>
                <w:b w:val="0"/>
                <w:bCs w:val="0"/>
                <w:color w:val="auto"/>
                <w:kern w:val="0"/>
                <w:szCs w:val="21"/>
              </w:rPr>
            </w:pPr>
          </w:p>
        </w:tc>
        <w:tc>
          <w:tcPr>
            <w:tcW w:w="1234" w:type="dxa"/>
            <w:vAlign w:val="center"/>
          </w:tcPr>
          <w:p w14:paraId="1B97BA48">
            <w:pPr>
              <w:autoSpaceDE w:val="0"/>
              <w:autoSpaceDN w:val="0"/>
              <w:adjustRightInd w:val="0"/>
              <w:spacing w:line="360" w:lineRule="auto"/>
              <w:jc w:val="center"/>
              <w:rPr>
                <w:rFonts w:ascii="宋体" w:hAnsi="宋体"/>
                <w:b w:val="0"/>
                <w:bCs w:val="0"/>
                <w:color w:val="auto"/>
                <w:kern w:val="0"/>
                <w:szCs w:val="21"/>
              </w:rPr>
            </w:pPr>
          </w:p>
        </w:tc>
        <w:tc>
          <w:tcPr>
            <w:tcW w:w="1196" w:type="dxa"/>
            <w:vAlign w:val="center"/>
          </w:tcPr>
          <w:p w14:paraId="75548E8A">
            <w:pPr>
              <w:rPr>
                <w:rFonts w:ascii="宋体" w:hAnsi="宋体"/>
                <w:b w:val="0"/>
                <w:bCs w:val="0"/>
                <w:color w:val="auto"/>
                <w:szCs w:val="21"/>
              </w:rPr>
            </w:pPr>
            <w:r>
              <w:rPr>
                <w:rFonts w:hint="eastAsia" w:ascii="宋体" w:hAnsi="宋体"/>
                <w:b w:val="0"/>
                <w:bCs w:val="0"/>
                <w:color w:val="auto"/>
                <w:szCs w:val="21"/>
              </w:rPr>
              <w:t xml:space="preserve">专职：□ </w:t>
            </w:r>
          </w:p>
          <w:p w14:paraId="2A459F44">
            <w:pPr>
              <w:autoSpaceDE w:val="0"/>
              <w:autoSpaceDN w:val="0"/>
              <w:adjustRightInd w:val="0"/>
              <w:spacing w:line="360" w:lineRule="auto"/>
              <w:jc w:val="center"/>
              <w:rPr>
                <w:rFonts w:hint="eastAsia" w:ascii="宋体" w:hAnsi="宋体"/>
                <w:b w:val="0"/>
                <w:bCs w:val="0"/>
                <w:color w:val="auto"/>
                <w:szCs w:val="21"/>
              </w:rPr>
            </w:pPr>
            <w:r>
              <w:rPr>
                <w:rFonts w:hint="eastAsia" w:ascii="宋体" w:hAnsi="宋体"/>
                <w:b w:val="0"/>
                <w:bCs w:val="0"/>
                <w:color w:val="auto"/>
                <w:szCs w:val="21"/>
              </w:rPr>
              <w:t>兼职：□</w:t>
            </w:r>
          </w:p>
        </w:tc>
      </w:tr>
      <w:tr w14:paraId="5093D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660" w:type="dxa"/>
            <w:vAlign w:val="top"/>
          </w:tcPr>
          <w:p w14:paraId="604BAE2F">
            <w:pPr>
              <w:spacing w:line="240" w:lineRule="auto"/>
              <w:jc w:val="center"/>
              <w:rPr>
                <w:rFonts w:hint="eastAsia" w:ascii="宋体" w:eastAsia="宋体" w:cs="宋体"/>
                <w:b w:val="0"/>
                <w:bCs w:val="0"/>
                <w:color w:val="auto"/>
                <w:sz w:val="24"/>
                <w:szCs w:val="32"/>
                <w:highlight w:val="none"/>
              </w:rPr>
            </w:pPr>
          </w:p>
          <w:p w14:paraId="107CE574">
            <w:pPr>
              <w:spacing w:line="240" w:lineRule="auto"/>
              <w:jc w:val="center"/>
              <w:rPr>
                <w:rFonts w:hint="eastAsia" w:ascii="宋体" w:eastAsia="宋体" w:cs="宋体"/>
                <w:b w:val="0"/>
                <w:bCs w:val="0"/>
                <w:color w:val="auto"/>
                <w:sz w:val="24"/>
                <w:szCs w:val="32"/>
                <w:highlight w:val="none"/>
              </w:rPr>
            </w:pPr>
            <w:r>
              <w:rPr>
                <w:rFonts w:hint="eastAsia" w:ascii="宋体" w:eastAsia="宋体" w:cs="宋体"/>
                <w:b w:val="0"/>
                <w:bCs w:val="0"/>
                <w:color w:val="auto"/>
                <w:sz w:val="24"/>
                <w:szCs w:val="32"/>
                <w:highlight w:val="none"/>
              </w:rPr>
              <w:t>资料员</w:t>
            </w:r>
          </w:p>
        </w:tc>
        <w:tc>
          <w:tcPr>
            <w:tcW w:w="850" w:type="dxa"/>
            <w:vAlign w:val="center"/>
          </w:tcPr>
          <w:p w14:paraId="44A8D23A">
            <w:pPr>
              <w:autoSpaceDE w:val="0"/>
              <w:autoSpaceDN w:val="0"/>
              <w:adjustRightInd w:val="0"/>
              <w:spacing w:line="360" w:lineRule="auto"/>
              <w:jc w:val="center"/>
              <w:rPr>
                <w:rFonts w:ascii="宋体" w:hAnsi="宋体"/>
                <w:b w:val="0"/>
                <w:bCs w:val="0"/>
                <w:color w:val="auto"/>
                <w:kern w:val="0"/>
                <w:szCs w:val="21"/>
              </w:rPr>
            </w:pPr>
          </w:p>
        </w:tc>
        <w:tc>
          <w:tcPr>
            <w:tcW w:w="723" w:type="dxa"/>
            <w:vAlign w:val="center"/>
          </w:tcPr>
          <w:p w14:paraId="288ABC06">
            <w:pPr>
              <w:autoSpaceDE w:val="0"/>
              <w:autoSpaceDN w:val="0"/>
              <w:adjustRightInd w:val="0"/>
              <w:spacing w:line="360" w:lineRule="auto"/>
              <w:jc w:val="center"/>
              <w:rPr>
                <w:rFonts w:ascii="宋体" w:hAnsi="宋体"/>
                <w:b w:val="0"/>
                <w:bCs w:val="0"/>
                <w:color w:val="auto"/>
                <w:kern w:val="0"/>
                <w:szCs w:val="21"/>
              </w:rPr>
            </w:pPr>
          </w:p>
        </w:tc>
        <w:tc>
          <w:tcPr>
            <w:tcW w:w="1276" w:type="dxa"/>
            <w:vAlign w:val="center"/>
          </w:tcPr>
          <w:p w14:paraId="623C36E5">
            <w:pPr>
              <w:autoSpaceDE w:val="0"/>
              <w:autoSpaceDN w:val="0"/>
              <w:adjustRightInd w:val="0"/>
              <w:spacing w:line="360" w:lineRule="auto"/>
              <w:jc w:val="center"/>
              <w:rPr>
                <w:rFonts w:ascii="宋体" w:hAnsi="宋体"/>
                <w:b w:val="0"/>
                <w:bCs w:val="0"/>
                <w:color w:val="auto"/>
                <w:kern w:val="0"/>
                <w:szCs w:val="21"/>
              </w:rPr>
            </w:pPr>
          </w:p>
        </w:tc>
        <w:tc>
          <w:tcPr>
            <w:tcW w:w="1275" w:type="dxa"/>
            <w:vAlign w:val="center"/>
          </w:tcPr>
          <w:p w14:paraId="7357E086">
            <w:pPr>
              <w:autoSpaceDE w:val="0"/>
              <w:autoSpaceDN w:val="0"/>
              <w:adjustRightInd w:val="0"/>
              <w:spacing w:line="360" w:lineRule="auto"/>
              <w:jc w:val="center"/>
              <w:rPr>
                <w:rFonts w:ascii="宋体" w:hAnsi="宋体"/>
                <w:b w:val="0"/>
                <w:bCs w:val="0"/>
                <w:color w:val="auto"/>
                <w:kern w:val="0"/>
                <w:szCs w:val="21"/>
              </w:rPr>
            </w:pPr>
          </w:p>
        </w:tc>
        <w:tc>
          <w:tcPr>
            <w:tcW w:w="993" w:type="dxa"/>
            <w:vAlign w:val="center"/>
          </w:tcPr>
          <w:p w14:paraId="1CA9105D">
            <w:pPr>
              <w:autoSpaceDE w:val="0"/>
              <w:autoSpaceDN w:val="0"/>
              <w:adjustRightInd w:val="0"/>
              <w:spacing w:line="360" w:lineRule="auto"/>
              <w:jc w:val="center"/>
              <w:rPr>
                <w:rFonts w:ascii="宋体" w:hAnsi="宋体"/>
                <w:b w:val="0"/>
                <w:bCs w:val="0"/>
                <w:color w:val="auto"/>
                <w:kern w:val="0"/>
                <w:szCs w:val="21"/>
              </w:rPr>
            </w:pPr>
          </w:p>
        </w:tc>
        <w:tc>
          <w:tcPr>
            <w:tcW w:w="688" w:type="dxa"/>
            <w:vAlign w:val="center"/>
          </w:tcPr>
          <w:p w14:paraId="0BE83980">
            <w:pPr>
              <w:autoSpaceDE w:val="0"/>
              <w:autoSpaceDN w:val="0"/>
              <w:adjustRightInd w:val="0"/>
              <w:spacing w:line="360" w:lineRule="auto"/>
              <w:jc w:val="center"/>
              <w:rPr>
                <w:rFonts w:ascii="宋体" w:hAnsi="宋体"/>
                <w:b w:val="0"/>
                <w:bCs w:val="0"/>
                <w:color w:val="auto"/>
                <w:kern w:val="0"/>
                <w:szCs w:val="21"/>
              </w:rPr>
            </w:pPr>
          </w:p>
        </w:tc>
        <w:tc>
          <w:tcPr>
            <w:tcW w:w="1234" w:type="dxa"/>
            <w:vAlign w:val="center"/>
          </w:tcPr>
          <w:p w14:paraId="27AE1DCF">
            <w:pPr>
              <w:autoSpaceDE w:val="0"/>
              <w:autoSpaceDN w:val="0"/>
              <w:adjustRightInd w:val="0"/>
              <w:spacing w:line="360" w:lineRule="auto"/>
              <w:jc w:val="center"/>
              <w:rPr>
                <w:rFonts w:ascii="宋体" w:hAnsi="宋体"/>
                <w:b w:val="0"/>
                <w:bCs w:val="0"/>
                <w:color w:val="auto"/>
                <w:kern w:val="0"/>
                <w:szCs w:val="21"/>
              </w:rPr>
            </w:pPr>
          </w:p>
        </w:tc>
        <w:tc>
          <w:tcPr>
            <w:tcW w:w="1196" w:type="dxa"/>
            <w:vAlign w:val="center"/>
          </w:tcPr>
          <w:p w14:paraId="4C6946F7">
            <w:pPr>
              <w:rPr>
                <w:rFonts w:ascii="宋体" w:hAnsi="宋体"/>
                <w:b w:val="0"/>
                <w:bCs w:val="0"/>
                <w:color w:val="auto"/>
                <w:szCs w:val="21"/>
              </w:rPr>
            </w:pPr>
            <w:r>
              <w:rPr>
                <w:rFonts w:hint="eastAsia" w:ascii="宋体" w:hAnsi="宋体"/>
                <w:b w:val="0"/>
                <w:bCs w:val="0"/>
                <w:color w:val="auto"/>
                <w:szCs w:val="21"/>
              </w:rPr>
              <w:t xml:space="preserve">专职：□ </w:t>
            </w:r>
          </w:p>
          <w:p w14:paraId="4EADAFE4">
            <w:pPr>
              <w:autoSpaceDE w:val="0"/>
              <w:autoSpaceDN w:val="0"/>
              <w:adjustRightInd w:val="0"/>
              <w:spacing w:line="360" w:lineRule="auto"/>
              <w:jc w:val="center"/>
              <w:rPr>
                <w:rFonts w:hint="eastAsia" w:ascii="宋体" w:hAnsi="宋体"/>
                <w:b w:val="0"/>
                <w:bCs w:val="0"/>
                <w:color w:val="auto"/>
                <w:szCs w:val="21"/>
              </w:rPr>
            </w:pPr>
            <w:r>
              <w:rPr>
                <w:rFonts w:hint="eastAsia" w:ascii="宋体" w:hAnsi="宋体"/>
                <w:b w:val="0"/>
                <w:bCs w:val="0"/>
                <w:color w:val="auto"/>
                <w:szCs w:val="21"/>
              </w:rPr>
              <w:t>兼职：□</w:t>
            </w:r>
          </w:p>
        </w:tc>
      </w:tr>
    </w:tbl>
    <w:p w14:paraId="58B40C8E">
      <w:pPr>
        <w:spacing w:line="420" w:lineRule="exact"/>
        <w:rPr>
          <w:rFonts w:hint="eastAsia" w:ascii="宋体" w:hAnsi="宋体"/>
          <w:color w:val="auto"/>
          <w:kern w:val="0"/>
        </w:rPr>
      </w:pPr>
      <w:r>
        <w:rPr>
          <w:rFonts w:hint="eastAsia" w:ascii="宋体" w:hAnsi="宋体"/>
          <w:color w:val="auto"/>
          <w:kern w:val="0"/>
        </w:rPr>
        <w:t>注：1.表中“岗位要求”一栏，“专职”“兼职”由投标人在“</w:t>
      </w:r>
      <w:r>
        <w:rPr>
          <w:rFonts w:hint="eastAsia" w:ascii="宋体" w:hAnsi="宋体"/>
          <w:color w:val="auto"/>
        </w:rPr>
        <w:t>□</w:t>
      </w:r>
      <w:r>
        <w:rPr>
          <w:rFonts w:hint="eastAsia" w:ascii="宋体" w:hAnsi="宋体"/>
          <w:color w:val="auto"/>
          <w:kern w:val="0"/>
        </w:rPr>
        <w:t>”内打“√”</w:t>
      </w:r>
    </w:p>
    <w:p w14:paraId="35D38ACB">
      <w:pPr>
        <w:spacing w:line="420" w:lineRule="exact"/>
        <w:ind w:firstLine="420" w:firstLineChars="200"/>
        <w:rPr>
          <w:rFonts w:hint="eastAsia" w:ascii="宋体" w:hAnsi="宋体" w:cs="Times New Roman"/>
          <w:color w:val="auto"/>
          <w:kern w:val="0"/>
          <w:sz w:val="21"/>
          <w:szCs w:val="24"/>
          <w:lang w:val="en-US" w:eastAsia="zh-CN" w:bidi="ar-SA"/>
        </w:rPr>
      </w:pPr>
      <w:r>
        <w:rPr>
          <w:rFonts w:hint="eastAsia" w:ascii="宋体" w:hAnsi="宋体"/>
          <w:color w:val="auto"/>
          <w:kern w:val="0"/>
        </w:rPr>
        <w:t>2.相关证书及资料附后。</w:t>
      </w:r>
      <w:r>
        <w:rPr>
          <w:rFonts w:hint="eastAsia" w:ascii="宋体" w:hAnsi="宋体" w:cs="Times New Roman"/>
          <w:color w:val="auto"/>
          <w:kern w:val="0"/>
          <w:sz w:val="21"/>
          <w:szCs w:val="24"/>
          <w:lang w:val="en-US" w:eastAsia="zh-CN" w:bidi="ar-SA"/>
        </w:rPr>
        <w:t xml:space="preserve"> </w:t>
      </w:r>
    </w:p>
    <w:p w14:paraId="47BC7A91">
      <w:pPr>
        <w:spacing w:line="420" w:lineRule="exact"/>
        <w:ind w:firstLine="420" w:firstLineChars="200"/>
        <w:rPr>
          <w:rFonts w:hint="default" w:eastAsia="宋体"/>
          <w:color w:val="auto"/>
          <w:lang w:val="en-US" w:eastAsia="zh-CN"/>
        </w:rPr>
      </w:pPr>
      <w:r>
        <w:rPr>
          <w:rFonts w:hint="eastAsia" w:ascii="宋体" w:hAnsi="宋体" w:cs="Times New Roman"/>
          <w:color w:val="auto"/>
          <w:kern w:val="0"/>
          <w:sz w:val="21"/>
          <w:szCs w:val="24"/>
          <w:lang w:val="en-US" w:eastAsia="zh-CN" w:bidi="ar-SA"/>
        </w:rPr>
        <w:t>3</w:t>
      </w:r>
      <w:r>
        <w:rPr>
          <w:rFonts w:hint="eastAsia" w:ascii="宋体" w:hAnsi="宋体" w:eastAsia="宋体" w:cs="Times New Roman"/>
          <w:color w:val="auto"/>
          <w:kern w:val="0"/>
          <w:sz w:val="21"/>
          <w:szCs w:val="24"/>
          <w:lang w:val="en-US" w:eastAsia="zh-CN" w:bidi="ar-SA"/>
        </w:rPr>
        <w:t>.表格可以随人员</w:t>
      </w:r>
      <w:r>
        <w:rPr>
          <w:rFonts w:hint="eastAsia" w:ascii="宋体" w:hAnsi="宋体" w:cs="Times New Roman"/>
          <w:color w:val="auto"/>
          <w:kern w:val="0"/>
          <w:sz w:val="21"/>
          <w:szCs w:val="24"/>
          <w:lang w:val="en-US" w:eastAsia="zh-CN" w:bidi="ar-SA"/>
        </w:rPr>
        <w:t>增减</w:t>
      </w:r>
      <w:r>
        <w:rPr>
          <w:rFonts w:hint="eastAsia" w:ascii="宋体" w:hAnsi="宋体" w:eastAsia="宋体" w:cs="Times New Roman"/>
          <w:color w:val="auto"/>
          <w:kern w:val="0"/>
          <w:sz w:val="21"/>
          <w:szCs w:val="24"/>
          <w:lang w:val="en-US" w:eastAsia="zh-CN" w:bidi="ar-SA"/>
        </w:rPr>
        <w:t>进行</w:t>
      </w:r>
      <w:r>
        <w:rPr>
          <w:rFonts w:hint="eastAsia" w:ascii="宋体" w:hAnsi="宋体" w:cs="Times New Roman"/>
          <w:color w:val="auto"/>
          <w:kern w:val="0"/>
          <w:sz w:val="21"/>
          <w:szCs w:val="24"/>
          <w:lang w:val="en-US" w:eastAsia="zh-CN" w:bidi="ar-SA"/>
        </w:rPr>
        <w:t>修改</w:t>
      </w:r>
      <w:r>
        <w:rPr>
          <w:rFonts w:hint="eastAsia" w:ascii="宋体" w:hAnsi="宋体" w:eastAsia="宋体" w:cs="Times New Roman"/>
          <w:color w:val="auto"/>
          <w:kern w:val="0"/>
          <w:sz w:val="21"/>
          <w:szCs w:val="24"/>
          <w:lang w:val="en-US" w:eastAsia="zh-CN" w:bidi="ar-SA"/>
        </w:rPr>
        <w:t>。</w:t>
      </w:r>
    </w:p>
    <w:p w14:paraId="3AEE398A">
      <w:pPr>
        <w:pStyle w:val="5"/>
        <w:spacing w:before="157"/>
        <w:rPr>
          <w:rFonts w:hint="eastAsia"/>
          <w:color w:val="auto"/>
        </w:rPr>
      </w:pPr>
      <w:bookmarkStart w:id="479" w:name="_Toc85443525"/>
      <w:bookmarkStart w:id="480" w:name="_Toc152042594"/>
      <w:bookmarkStart w:id="481" w:name="_Toc527485333"/>
      <w:bookmarkStart w:id="482" w:name="_Toc300835232"/>
      <w:bookmarkStart w:id="483" w:name="_Toc179632825"/>
      <w:bookmarkStart w:id="484" w:name="_Toc23804"/>
      <w:bookmarkStart w:id="485" w:name="_Toc480918823"/>
      <w:bookmarkStart w:id="486" w:name="_Toc152045805"/>
      <w:bookmarkStart w:id="487" w:name="_Toc499310095"/>
      <w:bookmarkStart w:id="488" w:name="_Toc480918591"/>
      <w:bookmarkStart w:id="489" w:name="_Toc10687"/>
      <w:bookmarkStart w:id="490" w:name="_Toc144974873"/>
      <w:bookmarkStart w:id="491" w:name="_Toc97752060"/>
      <w:bookmarkStart w:id="492" w:name="_Toc451244256"/>
      <w:bookmarkStart w:id="493" w:name="_Toc474179245"/>
      <w:bookmarkStart w:id="494" w:name="_Toc474179009"/>
      <w:bookmarkStart w:id="495" w:name="_Toc499310665"/>
      <w:bookmarkStart w:id="496" w:name="_Toc480918968"/>
      <w:bookmarkStart w:id="497" w:name="_Toc474178540"/>
    </w:p>
    <w:p w14:paraId="58669BB8">
      <w:pPr>
        <w:pStyle w:val="5"/>
        <w:spacing w:before="157"/>
        <w:rPr>
          <w:rFonts w:hint="eastAsia"/>
          <w:color w:val="auto"/>
        </w:rPr>
      </w:pPr>
    </w:p>
    <w:p w14:paraId="394C49EF">
      <w:pPr>
        <w:rPr>
          <w:rFonts w:hint="eastAsia"/>
          <w:color w:val="auto"/>
        </w:rPr>
      </w:pPr>
    </w:p>
    <w:p w14:paraId="57746DEC">
      <w:pPr>
        <w:pStyle w:val="2"/>
        <w:rPr>
          <w:rFonts w:hint="eastAsia"/>
          <w:color w:val="auto"/>
        </w:rPr>
      </w:pPr>
    </w:p>
    <w:p w14:paraId="6EC34FF1">
      <w:pPr>
        <w:pStyle w:val="5"/>
        <w:spacing w:before="157"/>
        <w:rPr>
          <w:rFonts w:hint="eastAsia"/>
          <w:color w:val="auto"/>
        </w:rPr>
      </w:pPr>
    </w:p>
    <w:p w14:paraId="1E711514">
      <w:pPr>
        <w:pStyle w:val="5"/>
        <w:spacing w:before="157"/>
        <w:rPr>
          <w:rFonts w:hint="eastAsia"/>
          <w:color w:val="auto"/>
        </w:rPr>
      </w:pPr>
    </w:p>
    <w:p w14:paraId="295AB9FB">
      <w:pPr>
        <w:pStyle w:val="5"/>
        <w:spacing w:before="157"/>
        <w:rPr>
          <w:rFonts w:hint="eastAsia"/>
          <w:color w:val="auto"/>
        </w:rPr>
      </w:pPr>
    </w:p>
    <w:p w14:paraId="50647936">
      <w:pPr>
        <w:pStyle w:val="5"/>
        <w:spacing w:before="157"/>
        <w:rPr>
          <w:rFonts w:hint="eastAsia"/>
          <w:color w:val="auto"/>
        </w:rPr>
      </w:pPr>
    </w:p>
    <w:p w14:paraId="1AA69362">
      <w:pPr>
        <w:pStyle w:val="5"/>
        <w:spacing w:before="157"/>
        <w:rPr>
          <w:rFonts w:hint="eastAsia"/>
          <w:color w:val="auto"/>
        </w:rPr>
      </w:pPr>
    </w:p>
    <w:p w14:paraId="44ED6AB3">
      <w:pPr>
        <w:pStyle w:val="5"/>
        <w:spacing w:before="157"/>
        <w:rPr>
          <w:rFonts w:hint="eastAsia"/>
          <w:color w:val="auto"/>
        </w:rPr>
      </w:pPr>
    </w:p>
    <w:p w14:paraId="0A7AD09B">
      <w:pPr>
        <w:rPr>
          <w:rFonts w:hint="eastAsia"/>
          <w:color w:val="auto"/>
        </w:rPr>
      </w:pPr>
    </w:p>
    <w:p w14:paraId="350AF62C">
      <w:pPr>
        <w:pStyle w:val="5"/>
        <w:spacing w:before="157"/>
        <w:rPr>
          <w:rFonts w:hint="eastAsia"/>
          <w:color w:val="auto"/>
        </w:rPr>
      </w:pPr>
    </w:p>
    <w:p w14:paraId="1CB0EDDA">
      <w:pPr>
        <w:pStyle w:val="5"/>
        <w:spacing w:before="157"/>
        <w:rPr>
          <w:rFonts w:hint="eastAsia"/>
          <w:color w:val="auto"/>
        </w:rPr>
      </w:pPr>
    </w:p>
    <w:p w14:paraId="4ADCB22F">
      <w:pPr>
        <w:pStyle w:val="5"/>
        <w:spacing w:before="157"/>
        <w:rPr>
          <w:rFonts w:hint="eastAsia"/>
          <w:color w:val="auto"/>
        </w:rPr>
      </w:pPr>
    </w:p>
    <w:p w14:paraId="70EB61A7">
      <w:pPr>
        <w:pStyle w:val="5"/>
        <w:spacing w:before="157"/>
        <w:rPr>
          <w:rFonts w:hint="eastAsia"/>
          <w:color w:val="auto"/>
        </w:rPr>
      </w:pPr>
    </w:p>
    <w:p w14:paraId="0E09E47D">
      <w:pPr>
        <w:pStyle w:val="5"/>
        <w:spacing w:before="157"/>
        <w:rPr>
          <w:rFonts w:hint="eastAsia"/>
          <w:color w:val="auto"/>
        </w:rPr>
      </w:pPr>
    </w:p>
    <w:p w14:paraId="3FA0E219">
      <w:pPr>
        <w:pStyle w:val="5"/>
        <w:spacing w:before="157"/>
        <w:rPr>
          <w:rFonts w:hint="eastAsia"/>
          <w:color w:val="auto"/>
        </w:rPr>
      </w:pPr>
    </w:p>
    <w:p w14:paraId="56F3A94E">
      <w:pPr>
        <w:pStyle w:val="5"/>
        <w:spacing w:before="157"/>
        <w:rPr>
          <w:rFonts w:hint="eastAsia"/>
          <w:color w:val="auto"/>
        </w:rPr>
      </w:pPr>
    </w:p>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p w14:paraId="1704CC26">
      <w:pPr>
        <w:spacing w:line="400" w:lineRule="exact"/>
        <w:ind w:left="420"/>
        <w:rPr>
          <w:rFonts w:hint="eastAsia" w:ascii="宋体" w:hAnsi="宋体"/>
          <w:color w:val="auto"/>
        </w:rPr>
      </w:pPr>
    </w:p>
    <w:p w14:paraId="116ED9F8">
      <w:pPr>
        <w:pStyle w:val="2"/>
        <w:rPr>
          <w:rFonts w:hint="eastAsia" w:ascii="宋体" w:hAnsi="宋体"/>
          <w:color w:val="auto"/>
        </w:rPr>
      </w:pPr>
    </w:p>
    <w:p w14:paraId="6E5B31A8">
      <w:pPr>
        <w:pStyle w:val="34"/>
        <w:rPr>
          <w:rFonts w:hint="eastAsia" w:ascii="宋体" w:hAnsi="宋体"/>
          <w:color w:val="auto"/>
        </w:rPr>
      </w:pPr>
    </w:p>
    <w:p w14:paraId="7578B605">
      <w:pPr>
        <w:pStyle w:val="5"/>
        <w:spacing w:before="157"/>
        <w:rPr>
          <w:rFonts w:hint="eastAsia"/>
          <w:color w:val="auto"/>
        </w:rPr>
      </w:pPr>
    </w:p>
    <w:p w14:paraId="6CF1E05D">
      <w:pPr>
        <w:pStyle w:val="5"/>
        <w:spacing w:before="157"/>
        <w:rPr>
          <w:color w:val="auto"/>
        </w:rPr>
      </w:pPr>
      <w:r>
        <w:rPr>
          <w:rFonts w:hint="eastAsia"/>
          <w:color w:val="auto"/>
        </w:rPr>
        <w:t>（七）主要人员简历表</w:t>
      </w:r>
    </w:p>
    <w:p w14:paraId="61975A24">
      <w:pPr>
        <w:spacing w:line="400" w:lineRule="exact"/>
        <w:ind w:left="420"/>
        <w:rPr>
          <w:rFonts w:hint="default" w:ascii="宋体" w:hAnsi="宋体" w:eastAsia="宋体"/>
          <w:color w:val="auto"/>
          <w:lang w:val="en-US" w:eastAsia="zh-CN"/>
        </w:rPr>
      </w:pPr>
      <w:r>
        <w:rPr>
          <w:rFonts w:hint="eastAsia" w:ascii="宋体" w:hAnsi="宋体"/>
          <w:color w:val="auto"/>
        </w:rPr>
        <w:t>主要人员简历表中提供拟派项目</w:t>
      </w:r>
      <w:r>
        <w:rPr>
          <w:rFonts w:hint="eastAsia" w:ascii="宋体" w:hAnsi="宋体"/>
          <w:color w:val="auto"/>
          <w:lang w:val="en-US" w:eastAsia="zh-CN"/>
        </w:rPr>
        <w:t>负责人</w:t>
      </w:r>
      <w:r>
        <w:rPr>
          <w:rFonts w:hint="eastAsia" w:ascii="宋体" w:hAnsi="宋体"/>
          <w:color w:val="auto"/>
        </w:rPr>
        <w:t>、技术负责人、设计负责人</w:t>
      </w:r>
      <w:r>
        <w:rPr>
          <w:rFonts w:hint="eastAsia" w:ascii="宋体" w:hAnsi="宋体"/>
          <w:color w:val="auto"/>
          <w:lang w:eastAsia="zh-CN"/>
        </w:rPr>
        <w:t>、</w:t>
      </w:r>
      <w:r>
        <w:rPr>
          <w:rFonts w:hint="eastAsia" w:ascii="宋体" w:hAnsi="宋体"/>
          <w:color w:val="auto"/>
        </w:rPr>
        <w:t>勘察负责人</w:t>
      </w:r>
      <w:r>
        <w:rPr>
          <w:rFonts w:hint="eastAsia" w:ascii="宋体" w:hAnsi="宋体"/>
          <w:color w:val="auto"/>
          <w:lang w:val="en-US" w:eastAsia="zh-CN"/>
        </w:rPr>
        <w:t>及测绘负责人</w:t>
      </w:r>
      <w:r>
        <w:rPr>
          <w:rFonts w:hint="eastAsia" w:ascii="宋体" w:hAnsi="宋体"/>
          <w:color w:val="auto"/>
        </w:rPr>
        <w:t>的相关资料。</w:t>
      </w:r>
    </w:p>
    <w:tbl>
      <w:tblPr>
        <w:tblStyle w:val="68"/>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7"/>
        <w:gridCol w:w="357"/>
        <w:gridCol w:w="722"/>
        <w:gridCol w:w="927"/>
        <w:gridCol w:w="1065"/>
        <w:gridCol w:w="706"/>
        <w:gridCol w:w="1261"/>
        <w:gridCol w:w="163"/>
        <w:gridCol w:w="2134"/>
      </w:tblGrid>
      <w:tr w14:paraId="333EB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7" w:type="dxa"/>
            <w:vAlign w:val="center"/>
          </w:tcPr>
          <w:p w14:paraId="4E85C968">
            <w:pPr>
              <w:spacing w:line="440" w:lineRule="exact"/>
              <w:jc w:val="center"/>
              <w:rPr>
                <w:rFonts w:ascii="宋体" w:hAnsi="宋体"/>
                <w:color w:val="auto"/>
                <w:szCs w:val="21"/>
              </w:rPr>
            </w:pPr>
            <w:r>
              <w:rPr>
                <w:rFonts w:ascii="宋体" w:hAnsi="宋体"/>
                <w:color w:val="auto"/>
                <w:szCs w:val="21"/>
              </w:rPr>
              <w:t>姓  名</w:t>
            </w:r>
          </w:p>
        </w:tc>
        <w:tc>
          <w:tcPr>
            <w:tcW w:w="1079" w:type="dxa"/>
            <w:gridSpan w:val="2"/>
            <w:vAlign w:val="center"/>
          </w:tcPr>
          <w:p w14:paraId="534A2196">
            <w:pPr>
              <w:spacing w:line="440" w:lineRule="exact"/>
              <w:jc w:val="center"/>
              <w:rPr>
                <w:rFonts w:ascii="宋体" w:hAnsi="宋体"/>
                <w:color w:val="auto"/>
                <w:szCs w:val="21"/>
              </w:rPr>
            </w:pPr>
          </w:p>
        </w:tc>
        <w:tc>
          <w:tcPr>
            <w:tcW w:w="927" w:type="dxa"/>
            <w:vAlign w:val="center"/>
          </w:tcPr>
          <w:p w14:paraId="6D46D9AE">
            <w:pPr>
              <w:spacing w:line="440" w:lineRule="exact"/>
              <w:jc w:val="center"/>
              <w:rPr>
                <w:rFonts w:ascii="宋体" w:hAnsi="宋体"/>
                <w:color w:val="auto"/>
                <w:szCs w:val="21"/>
              </w:rPr>
            </w:pPr>
            <w:r>
              <w:rPr>
                <w:rFonts w:ascii="宋体" w:hAnsi="宋体"/>
                <w:color w:val="auto"/>
                <w:szCs w:val="21"/>
              </w:rPr>
              <w:t>年 龄</w:t>
            </w:r>
          </w:p>
        </w:tc>
        <w:tc>
          <w:tcPr>
            <w:tcW w:w="1065" w:type="dxa"/>
            <w:vAlign w:val="center"/>
          </w:tcPr>
          <w:p w14:paraId="502BFA5B">
            <w:pPr>
              <w:spacing w:line="440" w:lineRule="exact"/>
              <w:jc w:val="center"/>
              <w:rPr>
                <w:rFonts w:ascii="宋体" w:hAnsi="宋体"/>
                <w:color w:val="auto"/>
                <w:szCs w:val="21"/>
              </w:rPr>
            </w:pPr>
          </w:p>
        </w:tc>
        <w:tc>
          <w:tcPr>
            <w:tcW w:w="2130" w:type="dxa"/>
            <w:gridSpan w:val="3"/>
            <w:vAlign w:val="center"/>
          </w:tcPr>
          <w:p w14:paraId="7FC8640A">
            <w:pPr>
              <w:spacing w:line="440" w:lineRule="exact"/>
              <w:jc w:val="center"/>
              <w:rPr>
                <w:rFonts w:ascii="宋体" w:hAnsi="宋体"/>
                <w:color w:val="auto"/>
                <w:szCs w:val="21"/>
              </w:rPr>
            </w:pPr>
            <w:r>
              <w:rPr>
                <w:rFonts w:ascii="宋体" w:hAnsi="宋体"/>
                <w:color w:val="auto"/>
                <w:szCs w:val="21"/>
              </w:rPr>
              <w:t>学历</w:t>
            </w:r>
          </w:p>
        </w:tc>
        <w:tc>
          <w:tcPr>
            <w:tcW w:w="2134" w:type="dxa"/>
            <w:vAlign w:val="center"/>
          </w:tcPr>
          <w:p w14:paraId="353F061C">
            <w:pPr>
              <w:spacing w:line="440" w:lineRule="exact"/>
              <w:jc w:val="center"/>
              <w:rPr>
                <w:rFonts w:ascii="宋体" w:hAnsi="宋体"/>
                <w:color w:val="auto"/>
                <w:szCs w:val="21"/>
              </w:rPr>
            </w:pPr>
          </w:p>
        </w:tc>
      </w:tr>
      <w:tr w14:paraId="38FCE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7" w:type="dxa"/>
            <w:vAlign w:val="center"/>
          </w:tcPr>
          <w:p w14:paraId="0B016EF6">
            <w:pPr>
              <w:spacing w:line="440" w:lineRule="exact"/>
              <w:jc w:val="center"/>
              <w:rPr>
                <w:rFonts w:ascii="宋体" w:hAnsi="宋体"/>
                <w:color w:val="auto"/>
                <w:szCs w:val="21"/>
              </w:rPr>
            </w:pPr>
            <w:r>
              <w:rPr>
                <w:rFonts w:ascii="宋体" w:hAnsi="宋体"/>
                <w:color w:val="auto"/>
                <w:szCs w:val="21"/>
              </w:rPr>
              <w:t>职  称</w:t>
            </w:r>
          </w:p>
        </w:tc>
        <w:tc>
          <w:tcPr>
            <w:tcW w:w="1079" w:type="dxa"/>
            <w:gridSpan w:val="2"/>
            <w:vAlign w:val="center"/>
          </w:tcPr>
          <w:p w14:paraId="39684519">
            <w:pPr>
              <w:spacing w:line="440" w:lineRule="exact"/>
              <w:jc w:val="center"/>
              <w:rPr>
                <w:rFonts w:ascii="宋体" w:hAnsi="宋体"/>
                <w:color w:val="auto"/>
                <w:szCs w:val="21"/>
              </w:rPr>
            </w:pPr>
          </w:p>
        </w:tc>
        <w:tc>
          <w:tcPr>
            <w:tcW w:w="927" w:type="dxa"/>
            <w:vAlign w:val="center"/>
          </w:tcPr>
          <w:p w14:paraId="58079B21">
            <w:pPr>
              <w:spacing w:line="440" w:lineRule="exact"/>
              <w:jc w:val="center"/>
              <w:rPr>
                <w:rFonts w:ascii="宋体" w:hAnsi="宋体"/>
                <w:color w:val="auto"/>
                <w:szCs w:val="21"/>
              </w:rPr>
            </w:pPr>
            <w:r>
              <w:rPr>
                <w:rFonts w:ascii="宋体" w:hAnsi="宋体"/>
                <w:color w:val="auto"/>
                <w:szCs w:val="21"/>
              </w:rPr>
              <w:t>职 务</w:t>
            </w:r>
          </w:p>
        </w:tc>
        <w:tc>
          <w:tcPr>
            <w:tcW w:w="1065" w:type="dxa"/>
            <w:vAlign w:val="center"/>
          </w:tcPr>
          <w:p w14:paraId="74387D7B">
            <w:pPr>
              <w:spacing w:line="440" w:lineRule="exact"/>
              <w:jc w:val="center"/>
              <w:rPr>
                <w:rFonts w:ascii="宋体" w:hAnsi="宋体"/>
                <w:color w:val="auto"/>
                <w:szCs w:val="21"/>
              </w:rPr>
            </w:pPr>
          </w:p>
        </w:tc>
        <w:tc>
          <w:tcPr>
            <w:tcW w:w="2130" w:type="dxa"/>
            <w:gridSpan w:val="3"/>
            <w:vAlign w:val="center"/>
          </w:tcPr>
          <w:p w14:paraId="010FFF56">
            <w:pPr>
              <w:spacing w:line="440" w:lineRule="exact"/>
              <w:jc w:val="center"/>
              <w:rPr>
                <w:rFonts w:ascii="宋体" w:hAnsi="宋体"/>
                <w:color w:val="auto"/>
                <w:szCs w:val="21"/>
              </w:rPr>
            </w:pPr>
            <w:r>
              <w:rPr>
                <w:rFonts w:ascii="宋体" w:hAnsi="宋体"/>
                <w:color w:val="auto"/>
                <w:szCs w:val="21"/>
              </w:rPr>
              <w:t>拟在本合同任职</w:t>
            </w:r>
          </w:p>
        </w:tc>
        <w:tc>
          <w:tcPr>
            <w:tcW w:w="2134" w:type="dxa"/>
            <w:vAlign w:val="center"/>
          </w:tcPr>
          <w:p w14:paraId="55BD571C">
            <w:pPr>
              <w:spacing w:line="440" w:lineRule="exact"/>
              <w:jc w:val="center"/>
              <w:rPr>
                <w:rFonts w:ascii="宋体" w:hAnsi="宋体"/>
                <w:color w:val="auto"/>
                <w:szCs w:val="21"/>
              </w:rPr>
            </w:pPr>
          </w:p>
        </w:tc>
      </w:tr>
      <w:tr w14:paraId="0143F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7" w:type="dxa"/>
            <w:vAlign w:val="center"/>
          </w:tcPr>
          <w:p w14:paraId="3BE10767">
            <w:pPr>
              <w:spacing w:line="440" w:lineRule="exact"/>
              <w:jc w:val="center"/>
              <w:rPr>
                <w:rFonts w:ascii="宋体" w:hAnsi="宋体"/>
                <w:color w:val="auto"/>
                <w:szCs w:val="21"/>
              </w:rPr>
            </w:pPr>
            <w:r>
              <w:rPr>
                <w:rFonts w:ascii="宋体" w:hAnsi="宋体"/>
                <w:color w:val="auto"/>
                <w:szCs w:val="21"/>
              </w:rPr>
              <w:t>毕业学校</w:t>
            </w:r>
          </w:p>
        </w:tc>
        <w:tc>
          <w:tcPr>
            <w:tcW w:w="7335" w:type="dxa"/>
            <w:gridSpan w:val="8"/>
          </w:tcPr>
          <w:p w14:paraId="79A58792">
            <w:pPr>
              <w:spacing w:line="440" w:lineRule="exact"/>
              <w:ind w:left="945"/>
              <w:rPr>
                <w:rFonts w:ascii="宋体" w:hAnsi="宋体"/>
                <w:color w:val="auto"/>
                <w:szCs w:val="21"/>
              </w:rPr>
            </w:pPr>
            <w:r>
              <w:rPr>
                <w:rFonts w:ascii="宋体" w:hAnsi="宋体"/>
                <w:color w:val="auto"/>
                <w:szCs w:val="21"/>
              </w:rPr>
              <w:t>年毕业于            学校        专业</w:t>
            </w:r>
          </w:p>
        </w:tc>
      </w:tr>
      <w:tr w14:paraId="39AF0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gridSpan w:val="9"/>
            <w:vAlign w:val="center"/>
          </w:tcPr>
          <w:p w14:paraId="1156D423">
            <w:pPr>
              <w:spacing w:line="440" w:lineRule="exact"/>
              <w:rPr>
                <w:rFonts w:ascii="宋体" w:hAnsi="宋体"/>
                <w:color w:val="auto"/>
                <w:szCs w:val="21"/>
              </w:rPr>
            </w:pPr>
            <w:r>
              <w:rPr>
                <w:rFonts w:ascii="宋体" w:hAnsi="宋体"/>
                <w:color w:val="auto"/>
                <w:szCs w:val="21"/>
              </w:rPr>
              <w:t>主要工作经历</w:t>
            </w:r>
          </w:p>
        </w:tc>
      </w:tr>
      <w:tr w14:paraId="032E0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544" w:type="dxa"/>
            <w:gridSpan w:val="2"/>
            <w:vAlign w:val="center"/>
          </w:tcPr>
          <w:p w14:paraId="5FE84E77">
            <w:pPr>
              <w:spacing w:line="440" w:lineRule="exact"/>
              <w:jc w:val="center"/>
              <w:rPr>
                <w:rFonts w:ascii="宋体" w:hAnsi="宋体"/>
                <w:color w:val="auto"/>
                <w:szCs w:val="21"/>
              </w:rPr>
            </w:pPr>
            <w:r>
              <w:rPr>
                <w:rFonts w:ascii="宋体" w:hAnsi="宋体"/>
                <w:color w:val="auto"/>
                <w:szCs w:val="21"/>
              </w:rPr>
              <w:t>时  间</w:t>
            </w:r>
          </w:p>
        </w:tc>
        <w:tc>
          <w:tcPr>
            <w:tcW w:w="3420" w:type="dxa"/>
            <w:gridSpan w:val="4"/>
            <w:vAlign w:val="center"/>
          </w:tcPr>
          <w:p w14:paraId="5FCD0A4F">
            <w:pPr>
              <w:spacing w:line="440" w:lineRule="exact"/>
              <w:jc w:val="center"/>
              <w:rPr>
                <w:rFonts w:ascii="宋体" w:hAnsi="宋体"/>
                <w:color w:val="auto"/>
                <w:szCs w:val="21"/>
              </w:rPr>
            </w:pPr>
            <w:r>
              <w:rPr>
                <w:rFonts w:ascii="宋体" w:hAnsi="宋体"/>
                <w:color w:val="auto"/>
                <w:szCs w:val="21"/>
              </w:rPr>
              <w:t>参加过的类似项目</w:t>
            </w:r>
          </w:p>
        </w:tc>
        <w:tc>
          <w:tcPr>
            <w:tcW w:w="1261" w:type="dxa"/>
            <w:vAlign w:val="center"/>
          </w:tcPr>
          <w:p w14:paraId="6D652EE0">
            <w:pPr>
              <w:spacing w:line="440" w:lineRule="exact"/>
              <w:jc w:val="center"/>
              <w:rPr>
                <w:rFonts w:ascii="宋体" w:hAnsi="宋体"/>
                <w:color w:val="auto"/>
                <w:szCs w:val="21"/>
              </w:rPr>
            </w:pPr>
            <w:r>
              <w:rPr>
                <w:rFonts w:ascii="宋体" w:hAnsi="宋体"/>
                <w:color w:val="auto"/>
                <w:szCs w:val="21"/>
              </w:rPr>
              <w:t>担任职务</w:t>
            </w:r>
          </w:p>
        </w:tc>
        <w:tc>
          <w:tcPr>
            <w:tcW w:w="2297" w:type="dxa"/>
            <w:gridSpan w:val="2"/>
            <w:vAlign w:val="center"/>
          </w:tcPr>
          <w:p w14:paraId="009605D5">
            <w:pPr>
              <w:spacing w:line="440" w:lineRule="exact"/>
              <w:jc w:val="center"/>
              <w:rPr>
                <w:rFonts w:ascii="宋体" w:hAnsi="宋体"/>
                <w:color w:val="auto"/>
                <w:szCs w:val="21"/>
              </w:rPr>
            </w:pPr>
            <w:r>
              <w:rPr>
                <w:rFonts w:ascii="宋体" w:hAnsi="宋体"/>
                <w:color w:val="auto"/>
                <w:szCs w:val="21"/>
              </w:rPr>
              <w:t>发包人及联系电话</w:t>
            </w:r>
          </w:p>
        </w:tc>
      </w:tr>
      <w:tr w14:paraId="53BA1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4" w:type="dxa"/>
            <w:gridSpan w:val="2"/>
          </w:tcPr>
          <w:p w14:paraId="3C6F3D9F">
            <w:pPr>
              <w:spacing w:line="440" w:lineRule="exact"/>
              <w:rPr>
                <w:rFonts w:ascii="宋体" w:hAnsi="宋体"/>
                <w:color w:val="auto"/>
                <w:szCs w:val="21"/>
              </w:rPr>
            </w:pPr>
          </w:p>
        </w:tc>
        <w:tc>
          <w:tcPr>
            <w:tcW w:w="3420" w:type="dxa"/>
            <w:gridSpan w:val="4"/>
          </w:tcPr>
          <w:p w14:paraId="22D575E5">
            <w:pPr>
              <w:spacing w:line="440" w:lineRule="exact"/>
              <w:rPr>
                <w:rFonts w:ascii="宋体" w:hAnsi="宋体"/>
                <w:color w:val="auto"/>
                <w:szCs w:val="21"/>
              </w:rPr>
            </w:pPr>
          </w:p>
        </w:tc>
        <w:tc>
          <w:tcPr>
            <w:tcW w:w="1261" w:type="dxa"/>
          </w:tcPr>
          <w:p w14:paraId="1774F644">
            <w:pPr>
              <w:spacing w:line="440" w:lineRule="exact"/>
              <w:rPr>
                <w:rFonts w:ascii="宋体" w:hAnsi="宋体"/>
                <w:color w:val="auto"/>
                <w:szCs w:val="21"/>
              </w:rPr>
            </w:pPr>
          </w:p>
        </w:tc>
        <w:tc>
          <w:tcPr>
            <w:tcW w:w="2297" w:type="dxa"/>
            <w:gridSpan w:val="2"/>
          </w:tcPr>
          <w:p w14:paraId="75E10ADE">
            <w:pPr>
              <w:spacing w:line="440" w:lineRule="exact"/>
              <w:rPr>
                <w:rFonts w:ascii="宋体" w:hAnsi="宋体"/>
                <w:color w:val="auto"/>
                <w:szCs w:val="21"/>
              </w:rPr>
            </w:pPr>
          </w:p>
        </w:tc>
      </w:tr>
      <w:tr w14:paraId="1C518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4" w:type="dxa"/>
            <w:gridSpan w:val="2"/>
          </w:tcPr>
          <w:p w14:paraId="4FE2523E">
            <w:pPr>
              <w:spacing w:line="440" w:lineRule="exact"/>
              <w:rPr>
                <w:rFonts w:ascii="宋体" w:hAnsi="宋体"/>
                <w:color w:val="auto"/>
                <w:szCs w:val="21"/>
              </w:rPr>
            </w:pPr>
          </w:p>
        </w:tc>
        <w:tc>
          <w:tcPr>
            <w:tcW w:w="3420" w:type="dxa"/>
            <w:gridSpan w:val="4"/>
          </w:tcPr>
          <w:p w14:paraId="0E873547">
            <w:pPr>
              <w:spacing w:line="440" w:lineRule="exact"/>
              <w:rPr>
                <w:rFonts w:ascii="宋体" w:hAnsi="宋体"/>
                <w:color w:val="auto"/>
                <w:szCs w:val="21"/>
              </w:rPr>
            </w:pPr>
          </w:p>
        </w:tc>
        <w:tc>
          <w:tcPr>
            <w:tcW w:w="1261" w:type="dxa"/>
          </w:tcPr>
          <w:p w14:paraId="47DD1B47">
            <w:pPr>
              <w:spacing w:line="440" w:lineRule="exact"/>
              <w:rPr>
                <w:rFonts w:ascii="宋体" w:hAnsi="宋体"/>
                <w:color w:val="auto"/>
                <w:szCs w:val="21"/>
              </w:rPr>
            </w:pPr>
          </w:p>
        </w:tc>
        <w:tc>
          <w:tcPr>
            <w:tcW w:w="2297" w:type="dxa"/>
            <w:gridSpan w:val="2"/>
          </w:tcPr>
          <w:p w14:paraId="69670D7C">
            <w:pPr>
              <w:spacing w:line="440" w:lineRule="exact"/>
              <w:rPr>
                <w:rFonts w:ascii="宋体" w:hAnsi="宋体"/>
                <w:color w:val="auto"/>
                <w:szCs w:val="21"/>
              </w:rPr>
            </w:pPr>
          </w:p>
        </w:tc>
      </w:tr>
      <w:tr w14:paraId="5795C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4" w:type="dxa"/>
            <w:gridSpan w:val="2"/>
          </w:tcPr>
          <w:p w14:paraId="169D2C50">
            <w:pPr>
              <w:spacing w:line="440" w:lineRule="exact"/>
              <w:rPr>
                <w:rFonts w:ascii="宋体" w:hAnsi="宋体"/>
                <w:color w:val="auto"/>
                <w:szCs w:val="21"/>
              </w:rPr>
            </w:pPr>
          </w:p>
        </w:tc>
        <w:tc>
          <w:tcPr>
            <w:tcW w:w="3420" w:type="dxa"/>
            <w:gridSpan w:val="4"/>
          </w:tcPr>
          <w:p w14:paraId="7A71E81F">
            <w:pPr>
              <w:spacing w:line="440" w:lineRule="exact"/>
              <w:rPr>
                <w:rFonts w:ascii="宋体" w:hAnsi="宋体"/>
                <w:color w:val="auto"/>
                <w:szCs w:val="21"/>
              </w:rPr>
            </w:pPr>
          </w:p>
        </w:tc>
        <w:tc>
          <w:tcPr>
            <w:tcW w:w="1261" w:type="dxa"/>
          </w:tcPr>
          <w:p w14:paraId="18E9DD6A">
            <w:pPr>
              <w:spacing w:line="440" w:lineRule="exact"/>
              <w:rPr>
                <w:rFonts w:ascii="宋体" w:hAnsi="宋体"/>
                <w:color w:val="auto"/>
                <w:szCs w:val="21"/>
              </w:rPr>
            </w:pPr>
          </w:p>
        </w:tc>
        <w:tc>
          <w:tcPr>
            <w:tcW w:w="2297" w:type="dxa"/>
            <w:gridSpan w:val="2"/>
          </w:tcPr>
          <w:p w14:paraId="60B63A48">
            <w:pPr>
              <w:spacing w:line="440" w:lineRule="exact"/>
              <w:rPr>
                <w:rFonts w:ascii="宋体" w:hAnsi="宋体"/>
                <w:color w:val="auto"/>
                <w:szCs w:val="21"/>
              </w:rPr>
            </w:pPr>
          </w:p>
        </w:tc>
      </w:tr>
      <w:tr w14:paraId="5E7D8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4" w:type="dxa"/>
            <w:gridSpan w:val="2"/>
            <w:vAlign w:val="center"/>
          </w:tcPr>
          <w:p w14:paraId="662F474A">
            <w:pPr>
              <w:spacing w:line="440" w:lineRule="exact"/>
              <w:rPr>
                <w:rFonts w:ascii="宋体" w:hAnsi="宋体"/>
                <w:color w:val="auto"/>
                <w:szCs w:val="21"/>
              </w:rPr>
            </w:pPr>
          </w:p>
        </w:tc>
        <w:tc>
          <w:tcPr>
            <w:tcW w:w="3420" w:type="dxa"/>
            <w:gridSpan w:val="4"/>
            <w:vAlign w:val="center"/>
          </w:tcPr>
          <w:p w14:paraId="19EFF8C1">
            <w:pPr>
              <w:spacing w:line="440" w:lineRule="exact"/>
              <w:rPr>
                <w:rFonts w:ascii="宋体" w:hAnsi="宋体"/>
                <w:color w:val="auto"/>
                <w:szCs w:val="21"/>
              </w:rPr>
            </w:pPr>
          </w:p>
        </w:tc>
        <w:tc>
          <w:tcPr>
            <w:tcW w:w="1261" w:type="dxa"/>
            <w:vAlign w:val="center"/>
          </w:tcPr>
          <w:p w14:paraId="7CA4587F">
            <w:pPr>
              <w:spacing w:line="440" w:lineRule="exact"/>
              <w:rPr>
                <w:rFonts w:ascii="宋体" w:hAnsi="宋体"/>
                <w:color w:val="auto"/>
                <w:szCs w:val="21"/>
              </w:rPr>
            </w:pPr>
          </w:p>
        </w:tc>
        <w:tc>
          <w:tcPr>
            <w:tcW w:w="2297" w:type="dxa"/>
            <w:gridSpan w:val="2"/>
            <w:vAlign w:val="center"/>
          </w:tcPr>
          <w:p w14:paraId="4A38B3EE">
            <w:pPr>
              <w:spacing w:line="440" w:lineRule="exact"/>
              <w:rPr>
                <w:rFonts w:ascii="宋体" w:hAnsi="宋体"/>
                <w:color w:val="auto"/>
                <w:szCs w:val="21"/>
              </w:rPr>
            </w:pPr>
          </w:p>
        </w:tc>
      </w:tr>
      <w:tr w14:paraId="6CB7D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4" w:type="dxa"/>
            <w:gridSpan w:val="2"/>
            <w:vAlign w:val="center"/>
          </w:tcPr>
          <w:p w14:paraId="5D4F0111">
            <w:pPr>
              <w:spacing w:line="440" w:lineRule="exact"/>
              <w:rPr>
                <w:rFonts w:ascii="宋体" w:hAnsi="宋体"/>
                <w:color w:val="auto"/>
                <w:szCs w:val="21"/>
              </w:rPr>
            </w:pPr>
          </w:p>
        </w:tc>
        <w:tc>
          <w:tcPr>
            <w:tcW w:w="3420" w:type="dxa"/>
            <w:gridSpan w:val="4"/>
            <w:vAlign w:val="center"/>
          </w:tcPr>
          <w:p w14:paraId="2022911D">
            <w:pPr>
              <w:spacing w:line="440" w:lineRule="exact"/>
              <w:rPr>
                <w:rFonts w:ascii="宋体" w:hAnsi="宋体"/>
                <w:color w:val="auto"/>
                <w:szCs w:val="21"/>
              </w:rPr>
            </w:pPr>
          </w:p>
        </w:tc>
        <w:tc>
          <w:tcPr>
            <w:tcW w:w="1261" w:type="dxa"/>
            <w:vAlign w:val="center"/>
          </w:tcPr>
          <w:p w14:paraId="7434F0D8">
            <w:pPr>
              <w:spacing w:line="440" w:lineRule="exact"/>
              <w:rPr>
                <w:rFonts w:ascii="宋体" w:hAnsi="宋体"/>
                <w:color w:val="auto"/>
                <w:szCs w:val="21"/>
              </w:rPr>
            </w:pPr>
          </w:p>
        </w:tc>
        <w:tc>
          <w:tcPr>
            <w:tcW w:w="2297" w:type="dxa"/>
            <w:gridSpan w:val="2"/>
            <w:vAlign w:val="center"/>
          </w:tcPr>
          <w:p w14:paraId="155FA688">
            <w:pPr>
              <w:spacing w:line="440" w:lineRule="exact"/>
              <w:rPr>
                <w:rFonts w:ascii="宋体" w:hAnsi="宋体"/>
                <w:color w:val="auto"/>
                <w:szCs w:val="21"/>
              </w:rPr>
            </w:pPr>
          </w:p>
        </w:tc>
      </w:tr>
      <w:tr w14:paraId="3EE69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4" w:type="dxa"/>
            <w:gridSpan w:val="2"/>
            <w:vAlign w:val="center"/>
          </w:tcPr>
          <w:p w14:paraId="21C9FEBE">
            <w:pPr>
              <w:spacing w:line="440" w:lineRule="exact"/>
              <w:rPr>
                <w:rFonts w:ascii="宋体" w:hAnsi="宋体"/>
                <w:color w:val="auto"/>
                <w:szCs w:val="21"/>
              </w:rPr>
            </w:pPr>
          </w:p>
        </w:tc>
        <w:tc>
          <w:tcPr>
            <w:tcW w:w="3420" w:type="dxa"/>
            <w:gridSpan w:val="4"/>
            <w:vAlign w:val="center"/>
          </w:tcPr>
          <w:p w14:paraId="46C281B4">
            <w:pPr>
              <w:spacing w:line="440" w:lineRule="exact"/>
              <w:rPr>
                <w:rFonts w:ascii="宋体" w:hAnsi="宋体"/>
                <w:color w:val="auto"/>
                <w:szCs w:val="21"/>
              </w:rPr>
            </w:pPr>
          </w:p>
        </w:tc>
        <w:tc>
          <w:tcPr>
            <w:tcW w:w="1261" w:type="dxa"/>
            <w:vAlign w:val="center"/>
          </w:tcPr>
          <w:p w14:paraId="1A8BF955">
            <w:pPr>
              <w:spacing w:line="440" w:lineRule="exact"/>
              <w:rPr>
                <w:rFonts w:ascii="宋体" w:hAnsi="宋体"/>
                <w:color w:val="auto"/>
                <w:szCs w:val="21"/>
              </w:rPr>
            </w:pPr>
          </w:p>
        </w:tc>
        <w:tc>
          <w:tcPr>
            <w:tcW w:w="2297" w:type="dxa"/>
            <w:gridSpan w:val="2"/>
            <w:vAlign w:val="center"/>
          </w:tcPr>
          <w:p w14:paraId="73708AEF">
            <w:pPr>
              <w:spacing w:line="440" w:lineRule="exact"/>
              <w:rPr>
                <w:rFonts w:ascii="宋体" w:hAnsi="宋体"/>
                <w:color w:val="auto"/>
                <w:szCs w:val="21"/>
              </w:rPr>
            </w:pPr>
          </w:p>
        </w:tc>
      </w:tr>
      <w:tr w14:paraId="3F7EB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4" w:type="dxa"/>
            <w:gridSpan w:val="2"/>
            <w:vAlign w:val="center"/>
          </w:tcPr>
          <w:p w14:paraId="3D6BCAFD">
            <w:pPr>
              <w:spacing w:line="440" w:lineRule="exact"/>
              <w:rPr>
                <w:rFonts w:ascii="宋体" w:hAnsi="宋体"/>
                <w:color w:val="auto"/>
                <w:szCs w:val="21"/>
              </w:rPr>
            </w:pPr>
          </w:p>
        </w:tc>
        <w:tc>
          <w:tcPr>
            <w:tcW w:w="3420" w:type="dxa"/>
            <w:gridSpan w:val="4"/>
            <w:vAlign w:val="center"/>
          </w:tcPr>
          <w:p w14:paraId="687A6B98">
            <w:pPr>
              <w:spacing w:line="440" w:lineRule="exact"/>
              <w:rPr>
                <w:rFonts w:ascii="宋体" w:hAnsi="宋体"/>
                <w:color w:val="auto"/>
                <w:szCs w:val="21"/>
              </w:rPr>
            </w:pPr>
          </w:p>
        </w:tc>
        <w:tc>
          <w:tcPr>
            <w:tcW w:w="1261" w:type="dxa"/>
            <w:vAlign w:val="center"/>
          </w:tcPr>
          <w:p w14:paraId="723EADE0">
            <w:pPr>
              <w:spacing w:line="440" w:lineRule="exact"/>
              <w:rPr>
                <w:rFonts w:ascii="宋体" w:hAnsi="宋体"/>
                <w:color w:val="auto"/>
                <w:szCs w:val="21"/>
              </w:rPr>
            </w:pPr>
          </w:p>
        </w:tc>
        <w:tc>
          <w:tcPr>
            <w:tcW w:w="2297" w:type="dxa"/>
            <w:gridSpan w:val="2"/>
            <w:vAlign w:val="center"/>
          </w:tcPr>
          <w:p w14:paraId="0BB9F6CF">
            <w:pPr>
              <w:spacing w:line="440" w:lineRule="exact"/>
              <w:rPr>
                <w:rFonts w:ascii="宋体" w:hAnsi="宋体"/>
                <w:color w:val="auto"/>
                <w:szCs w:val="21"/>
              </w:rPr>
            </w:pPr>
          </w:p>
        </w:tc>
      </w:tr>
      <w:tr w14:paraId="626A6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4" w:type="dxa"/>
            <w:gridSpan w:val="2"/>
            <w:vAlign w:val="center"/>
          </w:tcPr>
          <w:p w14:paraId="6602828E">
            <w:pPr>
              <w:spacing w:line="440" w:lineRule="exact"/>
              <w:rPr>
                <w:rFonts w:ascii="宋体" w:hAnsi="宋体"/>
                <w:color w:val="auto"/>
                <w:szCs w:val="21"/>
              </w:rPr>
            </w:pPr>
          </w:p>
        </w:tc>
        <w:tc>
          <w:tcPr>
            <w:tcW w:w="3420" w:type="dxa"/>
            <w:gridSpan w:val="4"/>
            <w:vAlign w:val="center"/>
          </w:tcPr>
          <w:p w14:paraId="180C30F2">
            <w:pPr>
              <w:spacing w:line="440" w:lineRule="exact"/>
              <w:rPr>
                <w:rFonts w:ascii="宋体" w:hAnsi="宋体"/>
                <w:color w:val="auto"/>
                <w:szCs w:val="21"/>
              </w:rPr>
            </w:pPr>
          </w:p>
        </w:tc>
        <w:tc>
          <w:tcPr>
            <w:tcW w:w="1261" w:type="dxa"/>
            <w:vAlign w:val="center"/>
          </w:tcPr>
          <w:p w14:paraId="18A56F6F">
            <w:pPr>
              <w:spacing w:line="440" w:lineRule="exact"/>
              <w:rPr>
                <w:rFonts w:ascii="宋体" w:hAnsi="宋体"/>
                <w:color w:val="auto"/>
                <w:szCs w:val="21"/>
              </w:rPr>
            </w:pPr>
          </w:p>
        </w:tc>
        <w:tc>
          <w:tcPr>
            <w:tcW w:w="2297" w:type="dxa"/>
            <w:gridSpan w:val="2"/>
            <w:vAlign w:val="center"/>
          </w:tcPr>
          <w:p w14:paraId="56761D06">
            <w:pPr>
              <w:spacing w:line="440" w:lineRule="exact"/>
              <w:rPr>
                <w:rFonts w:ascii="宋体" w:hAnsi="宋体"/>
                <w:color w:val="auto"/>
                <w:szCs w:val="21"/>
              </w:rPr>
            </w:pPr>
          </w:p>
        </w:tc>
      </w:tr>
      <w:tr w14:paraId="7A744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4" w:type="dxa"/>
            <w:gridSpan w:val="2"/>
            <w:vAlign w:val="center"/>
          </w:tcPr>
          <w:p w14:paraId="63DEB7EF">
            <w:pPr>
              <w:spacing w:line="440" w:lineRule="exact"/>
              <w:rPr>
                <w:rFonts w:ascii="宋体" w:hAnsi="宋体"/>
                <w:color w:val="auto"/>
                <w:szCs w:val="21"/>
              </w:rPr>
            </w:pPr>
          </w:p>
        </w:tc>
        <w:tc>
          <w:tcPr>
            <w:tcW w:w="3420" w:type="dxa"/>
            <w:gridSpan w:val="4"/>
            <w:vAlign w:val="center"/>
          </w:tcPr>
          <w:p w14:paraId="4B782E05">
            <w:pPr>
              <w:spacing w:line="440" w:lineRule="exact"/>
              <w:rPr>
                <w:rFonts w:ascii="宋体" w:hAnsi="宋体"/>
                <w:color w:val="auto"/>
                <w:szCs w:val="21"/>
              </w:rPr>
            </w:pPr>
          </w:p>
        </w:tc>
        <w:tc>
          <w:tcPr>
            <w:tcW w:w="1261" w:type="dxa"/>
            <w:vAlign w:val="center"/>
          </w:tcPr>
          <w:p w14:paraId="120AFC8E">
            <w:pPr>
              <w:spacing w:line="440" w:lineRule="exact"/>
              <w:rPr>
                <w:rFonts w:ascii="宋体" w:hAnsi="宋体"/>
                <w:color w:val="auto"/>
                <w:szCs w:val="21"/>
              </w:rPr>
            </w:pPr>
          </w:p>
          <w:bookmarkEnd w:id="423"/>
          <w:bookmarkEnd w:id="424"/>
          <w:bookmarkEnd w:id="425"/>
          <w:bookmarkEnd w:id="426"/>
          <w:bookmarkEnd w:id="427"/>
          <w:bookmarkEnd w:id="428"/>
        </w:tc>
        <w:tc>
          <w:tcPr>
            <w:tcW w:w="2297" w:type="dxa"/>
            <w:gridSpan w:val="2"/>
            <w:vAlign w:val="center"/>
          </w:tcPr>
          <w:p w14:paraId="466E00F3">
            <w:pPr>
              <w:spacing w:line="440" w:lineRule="exact"/>
              <w:rPr>
                <w:rFonts w:ascii="宋体" w:hAnsi="宋体"/>
                <w:color w:val="auto"/>
                <w:szCs w:val="21"/>
              </w:rPr>
            </w:pPr>
          </w:p>
        </w:tc>
      </w:tr>
    </w:tbl>
    <w:p w14:paraId="24A3E13C">
      <w:pPr>
        <w:rPr>
          <w:rFonts w:ascii="宋体" w:hAnsi="宋体"/>
          <w:color w:val="auto"/>
        </w:rPr>
      </w:pPr>
    </w:p>
    <w:p w14:paraId="2DCD4BA0">
      <w:pPr>
        <w:rPr>
          <w:rFonts w:ascii="宋体" w:hAnsi="宋体"/>
          <w:color w:val="auto"/>
        </w:rPr>
      </w:pPr>
    </w:p>
    <w:p w14:paraId="7616C9B8">
      <w:pPr>
        <w:rPr>
          <w:rFonts w:ascii="宋体" w:hAnsi="宋体"/>
          <w:color w:val="auto"/>
        </w:rPr>
      </w:pPr>
    </w:p>
    <w:p w14:paraId="50EB4115">
      <w:pPr>
        <w:rPr>
          <w:rFonts w:ascii="宋体" w:hAnsi="宋体"/>
          <w:color w:val="auto"/>
        </w:rPr>
      </w:pPr>
    </w:p>
    <w:p w14:paraId="1BFB91F6">
      <w:pPr>
        <w:rPr>
          <w:rFonts w:ascii="宋体" w:hAnsi="宋体"/>
          <w:color w:val="auto"/>
        </w:rPr>
      </w:pPr>
    </w:p>
    <w:p w14:paraId="50320EAB">
      <w:pPr>
        <w:rPr>
          <w:rFonts w:ascii="宋体" w:hAnsi="宋体"/>
          <w:color w:val="auto"/>
        </w:rPr>
      </w:pPr>
    </w:p>
    <w:p w14:paraId="23E941A4">
      <w:pPr>
        <w:rPr>
          <w:rFonts w:ascii="宋体" w:hAnsi="宋体"/>
          <w:color w:val="auto"/>
        </w:rPr>
      </w:pPr>
    </w:p>
    <w:p w14:paraId="0B509045">
      <w:pPr>
        <w:rPr>
          <w:rFonts w:ascii="宋体" w:hAnsi="宋体"/>
          <w:color w:val="auto"/>
        </w:rPr>
      </w:pPr>
    </w:p>
    <w:p w14:paraId="4717EDFA">
      <w:pPr>
        <w:rPr>
          <w:rFonts w:ascii="宋体" w:hAnsi="宋体"/>
          <w:color w:val="auto"/>
        </w:rPr>
      </w:pPr>
    </w:p>
    <w:p w14:paraId="706E1606">
      <w:pPr>
        <w:rPr>
          <w:rFonts w:ascii="宋体" w:hAnsi="宋体"/>
          <w:color w:val="auto"/>
        </w:rPr>
      </w:pPr>
    </w:p>
    <w:p w14:paraId="45D7D2E7">
      <w:pPr>
        <w:rPr>
          <w:color w:val="auto"/>
        </w:rPr>
      </w:pPr>
      <w:bookmarkStart w:id="498" w:name="_Toc513202853"/>
    </w:p>
    <w:p w14:paraId="0E5F05FE">
      <w:pPr>
        <w:rPr>
          <w:rFonts w:hAnsi="宋体"/>
          <w:color w:val="auto"/>
        </w:rPr>
      </w:pPr>
      <w:bookmarkStart w:id="499" w:name="_Toc30792"/>
      <w:r>
        <w:rPr>
          <w:rFonts w:hint="eastAsia" w:hAnsi="宋体"/>
          <w:color w:val="auto"/>
        </w:rPr>
        <w:br w:type="page"/>
      </w:r>
    </w:p>
    <w:p w14:paraId="56AE2F3F">
      <w:pPr>
        <w:pStyle w:val="4"/>
        <w:spacing w:before="157"/>
        <w:ind w:left="0" w:firstLine="0"/>
        <w:jc w:val="center"/>
        <w:rPr>
          <w:rFonts w:hAnsi="宋体"/>
          <w:color w:val="auto"/>
        </w:rPr>
      </w:pPr>
      <w:bookmarkStart w:id="500" w:name="_Toc17142"/>
      <w:r>
        <w:rPr>
          <w:rFonts w:hint="eastAsia" w:hAnsi="宋体"/>
          <w:color w:val="auto"/>
        </w:rPr>
        <w:t>十六</w:t>
      </w:r>
      <w:r>
        <w:rPr>
          <w:rFonts w:hAnsi="宋体"/>
          <w:color w:val="auto"/>
        </w:rPr>
        <w:t>、</w:t>
      </w:r>
      <w:bookmarkEnd w:id="498"/>
      <w:bookmarkStart w:id="501" w:name="_Toc451244257"/>
      <w:bookmarkStart w:id="502" w:name="_Toc271821942"/>
      <w:bookmarkStart w:id="503" w:name="_Toc300835233"/>
      <w:r>
        <w:rPr>
          <w:rFonts w:hAnsi="宋体"/>
          <w:color w:val="auto"/>
        </w:rPr>
        <w:t>其他资料</w:t>
      </w:r>
      <w:bookmarkEnd w:id="499"/>
      <w:bookmarkEnd w:id="500"/>
      <w:bookmarkEnd w:id="501"/>
      <w:bookmarkEnd w:id="502"/>
      <w:bookmarkEnd w:id="503"/>
    </w:p>
    <w:p w14:paraId="73CA0A0E">
      <w:pPr>
        <w:spacing w:line="400" w:lineRule="exact"/>
        <w:rPr>
          <w:rFonts w:ascii="宋体" w:hAnsi="宋体"/>
          <w:color w:val="auto"/>
        </w:rPr>
      </w:pPr>
    </w:p>
    <w:p w14:paraId="7BE8374E">
      <w:pPr>
        <w:spacing w:line="560" w:lineRule="exact"/>
        <w:rPr>
          <w:rFonts w:ascii="宋体" w:hAnsi="宋体"/>
          <w:color w:val="auto"/>
          <w:kern w:val="0"/>
          <w:sz w:val="24"/>
        </w:rPr>
      </w:pPr>
    </w:p>
    <w:p w14:paraId="38E85B15">
      <w:pPr>
        <w:spacing w:line="560" w:lineRule="exact"/>
        <w:rPr>
          <w:rFonts w:ascii="宋体" w:hAnsi="宋体"/>
          <w:color w:val="auto"/>
          <w:kern w:val="0"/>
          <w:sz w:val="24"/>
        </w:rPr>
      </w:pPr>
    </w:p>
    <w:p w14:paraId="216E071B">
      <w:pPr>
        <w:spacing w:line="560" w:lineRule="exact"/>
        <w:rPr>
          <w:rFonts w:ascii="宋体" w:hAnsi="宋体"/>
          <w:color w:val="auto"/>
          <w:kern w:val="0"/>
          <w:sz w:val="24"/>
        </w:rPr>
      </w:pPr>
    </w:p>
    <w:p w14:paraId="0813AA2B">
      <w:pPr>
        <w:spacing w:line="560" w:lineRule="exact"/>
        <w:rPr>
          <w:rFonts w:ascii="宋体" w:hAnsi="宋体"/>
          <w:color w:val="auto"/>
          <w:kern w:val="0"/>
          <w:sz w:val="24"/>
        </w:rPr>
      </w:pPr>
    </w:p>
    <w:p w14:paraId="54BF49F2">
      <w:pPr>
        <w:spacing w:line="560" w:lineRule="exact"/>
        <w:rPr>
          <w:rFonts w:ascii="宋体" w:hAnsi="宋体"/>
          <w:color w:val="auto"/>
          <w:kern w:val="0"/>
          <w:sz w:val="24"/>
        </w:rPr>
      </w:pPr>
    </w:p>
    <w:p w14:paraId="3C8C480E">
      <w:pPr>
        <w:spacing w:line="560" w:lineRule="exact"/>
        <w:rPr>
          <w:rFonts w:ascii="宋体" w:hAnsi="宋体"/>
          <w:color w:val="auto"/>
          <w:kern w:val="0"/>
          <w:sz w:val="24"/>
        </w:rPr>
      </w:pPr>
    </w:p>
    <w:p w14:paraId="79A0C76D">
      <w:pPr>
        <w:spacing w:line="560" w:lineRule="exact"/>
        <w:rPr>
          <w:rFonts w:ascii="宋体" w:hAnsi="宋体"/>
          <w:color w:val="auto"/>
          <w:kern w:val="0"/>
          <w:sz w:val="24"/>
        </w:rPr>
      </w:pPr>
    </w:p>
    <w:p w14:paraId="61139E91">
      <w:pPr>
        <w:spacing w:line="560" w:lineRule="exact"/>
        <w:rPr>
          <w:rFonts w:ascii="宋体" w:hAnsi="宋体"/>
          <w:color w:val="auto"/>
          <w:kern w:val="0"/>
          <w:sz w:val="24"/>
        </w:rPr>
      </w:pPr>
    </w:p>
    <w:p w14:paraId="455D60EC">
      <w:pPr>
        <w:spacing w:line="560" w:lineRule="exact"/>
        <w:rPr>
          <w:rFonts w:ascii="宋体" w:hAnsi="宋体"/>
          <w:color w:val="auto"/>
          <w:kern w:val="0"/>
          <w:sz w:val="24"/>
        </w:rPr>
      </w:pPr>
    </w:p>
    <w:p w14:paraId="244EB054">
      <w:pPr>
        <w:spacing w:line="560" w:lineRule="exact"/>
        <w:rPr>
          <w:rFonts w:ascii="宋体" w:hAnsi="宋体"/>
          <w:color w:val="auto"/>
          <w:kern w:val="0"/>
          <w:sz w:val="24"/>
        </w:rPr>
      </w:pPr>
    </w:p>
    <w:p w14:paraId="17E08AFA">
      <w:pPr>
        <w:spacing w:line="560" w:lineRule="exact"/>
        <w:rPr>
          <w:rFonts w:ascii="宋体" w:hAnsi="宋体"/>
          <w:color w:val="auto"/>
          <w:kern w:val="0"/>
          <w:sz w:val="24"/>
        </w:rPr>
      </w:pPr>
    </w:p>
    <w:p w14:paraId="0C56F6D2">
      <w:pPr>
        <w:spacing w:line="560" w:lineRule="exact"/>
        <w:rPr>
          <w:rFonts w:ascii="宋体" w:hAnsi="宋体"/>
          <w:color w:val="auto"/>
          <w:kern w:val="0"/>
          <w:sz w:val="24"/>
        </w:rPr>
      </w:pPr>
    </w:p>
    <w:p w14:paraId="5CDF8F84">
      <w:pPr>
        <w:spacing w:line="560" w:lineRule="exact"/>
        <w:rPr>
          <w:rFonts w:ascii="宋体" w:hAnsi="宋体"/>
          <w:color w:val="auto"/>
          <w:kern w:val="0"/>
          <w:sz w:val="24"/>
        </w:rPr>
      </w:pPr>
    </w:p>
    <w:p w14:paraId="18917C64">
      <w:pPr>
        <w:spacing w:line="560" w:lineRule="exact"/>
        <w:rPr>
          <w:rFonts w:ascii="宋体" w:hAnsi="宋体"/>
          <w:color w:val="auto"/>
          <w:kern w:val="0"/>
          <w:sz w:val="24"/>
        </w:rPr>
      </w:pPr>
    </w:p>
    <w:p w14:paraId="5E77F28A">
      <w:pPr>
        <w:spacing w:line="560" w:lineRule="exact"/>
        <w:rPr>
          <w:rFonts w:ascii="宋体" w:hAnsi="宋体"/>
          <w:color w:val="auto"/>
          <w:kern w:val="0"/>
          <w:sz w:val="24"/>
        </w:rPr>
      </w:pPr>
    </w:p>
    <w:p w14:paraId="3A0603B7">
      <w:pPr>
        <w:spacing w:line="560" w:lineRule="exact"/>
        <w:rPr>
          <w:rFonts w:ascii="宋体" w:hAnsi="宋体"/>
          <w:color w:val="auto"/>
          <w:kern w:val="0"/>
          <w:sz w:val="24"/>
        </w:rPr>
      </w:pPr>
    </w:p>
    <w:p w14:paraId="1B3B5858">
      <w:pPr>
        <w:spacing w:line="560" w:lineRule="exact"/>
        <w:rPr>
          <w:rFonts w:ascii="宋体" w:hAnsi="宋体"/>
          <w:color w:val="auto"/>
          <w:kern w:val="0"/>
          <w:sz w:val="24"/>
        </w:rPr>
      </w:pPr>
    </w:p>
    <w:p w14:paraId="20823C85">
      <w:pPr>
        <w:spacing w:line="560" w:lineRule="exact"/>
        <w:rPr>
          <w:rFonts w:ascii="宋体" w:hAnsi="宋体"/>
          <w:color w:val="auto"/>
          <w:kern w:val="0"/>
          <w:sz w:val="24"/>
        </w:rPr>
      </w:pPr>
    </w:p>
    <w:p w14:paraId="542FB02B">
      <w:pPr>
        <w:spacing w:line="560" w:lineRule="exact"/>
        <w:rPr>
          <w:rFonts w:ascii="宋体" w:hAnsi="宋体"/>
          <w:color w:val="auto"/>
          <w:kern w:val="0"/>
          <w:sz w:val="24"/>
        </w:rPr>
      </w:pPr>
    </w:p>
    <w:p w14:paraId="0AA99F66">
      <w:pPr>
        <w:spacing w:line="560" w:lineRule="exact"/>
        <w:rPr>
          <w:rFonts w:ascii="宋体" w:hAnsi="宋体"/>
          <w:color w:val="auto"/>
          <w:kern w:val="0"/>
          <w:sz w:val="24"/>
        </w:rPr>
      </w:pPr>
    </w:p>
    <w:p w14:paraId="6D949854">
      <w:pPr>
        <w:spacing w:line="560" w:lineRule="exact"/>
        <w:rPr>
          <w:rFonts w:ascii="宋体" w:hAnsi="宋体"/>
          <w:b/>
          <w:color w:val="auto"/>
          <w:sz w:val="36"/>
          <w:szCs w:val="36"/>
        </w:rPr>
      </w:pPr>
    </w:p>
    <w:sectPr>
      <w:headerReference r:id="rId18" w:type="default"/>
      <w:footerReference r:id="rId20" w:type="default"/>
      <w:headerReference r:id="rId19" w:type="even"/>
      <w:footerReference r:id="rId21" w:type="even"/>
      <w:pgSz w:w="11906" w:h="16838"/>
      <w:pgMar w:top="1191" w:right="1191" w:bottom="1191" w:left="1304" w:header="851" w:footer="851" w:gutter="0"/>
      <w:pgNumType w:fmt="numberInDash"/>
      <w:cols w:space="720" w:num="1"/>
      <w:docGrid w:type="lines" w:linePitch="314"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细黑">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6FF" w:usb1="420024FF" w:usb2="02000000" w:usb3="00000000" w:csb0="2000019F" w:csb1="00000000"/>
  </w:font>
  <w:font w:name="MS Sans Serif">
    <w:altName w:val="Arial"/>
    <w:panose1 w:val="00000000000000000000"/>
    <w:charset w:val="00"/>
    <w:family w:val="swiss"/>
    <w:pitch w:val="default"/>
    <w:sig w:usb0="00000000" w:usb1="00000000" w:usb2="00000000" w:usb3="00000000" w:csb0="00000001" w:csb1="00000000"/>
  </w:font>
  <w:font w:name="Consolas">
    <w:panose1 w:val="020B0609020204030204"/>
    <w:charset w:val="00"/>
    <w:family w:val="modern"/>
    <w:pitch w:val="default"/>
    <w:sig w:usb0="E00006FF" w:usb1="0000FCFF" w:usb2="00000001" w:usb3="00000000" w:csb0="6000019F" w:csb1="DFD70000"/>
  </w:font>
  <w:font w:name="Calibri Light">
    <w:panose1 w:val="020F0302020204030204"/>
    <w:charset w:val="00"/>
    <w:family w:val="swiss"/>
    <w:pitch w:val="default"/>
    <w:sig w:usb0="E4002EFF" w:usb1="C200247B" w:usb2="00000009" w:usb3="00000000" w:csb0="200001FF" w:csb1="00000000"/>
  </w:font>
  <w:font w:name="ˎ̥">
    <w:altName w:val="Times New Roman"/>
    <w:panose1 w:val="00000000000000000000"/>
    <w:charset w:val="00"/>
    <w:family w:val="roman"/>
    <w:pitch w:val="default"/>
    <w:sig w:usb0="00000000" w:usb1="00000000" w:usb2="00000000" w:usb3="00000000" w:csb0="00040001" w:csb1="0000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Tms Rmn">
    <w:altName w:val="Times New Roman"/>
    <w:panose1 w:val="02020603040505020304"/>
    <w:charset w:val="00"/>
    <w:family w:val="roman"/>
    <w:pitch w:val="default"/>
    <w:sig w:usb0="00000000" w:usb1="00000000" w:usb2="00000000" w:usb3="00000000" w:csb0="00000001" w:csb1="00000000"/>
  </w:font>
  <w:font w:name="全真中明體">
    <w:altName w:val="Microsoft JhengHei"/>
    <w:panose1 w:val="00000000000000000000"/>
    <w:charset w:val="88"/>
    <w:family w:val="modern"/>
    <w:pitch w:val="default"/>
    <w:sig w:usb0="00000000" w:usb1="00000000" w:usb2="00000010" w:usb3="00000000" w:csb0="00100000" w:csb1="00000000"/>
  </w:font>
  <w:font w:name="Microsoft JhengHei">
    <w:panose1 w:val="020B0604030504040204"/>
    <w:charset w:val="88"/>
    <w:family w:val="auto"/>
    <w:pitch w:val="default"/>
    <w:sig w:usb0="000002A7" w:usb1="28CF4400" w:usb2="00000016" w:usb3="00000000" w:csb0="00100009" w:csb1="00000000"/>
  </w:font>
  <w:font w:name="??">
    <w:altName w:val="Lucida Sans Unicode"/>
    <w:panose1 w:val="00000000000000000000"/>
    <w:charset w:val="00"/>
    <w:family w:val="roman"/>
    <w:pitch w:val="default"/>
    <w:sig w:usb0="00000000" w:usb1="00000000" w:usb2="00000000" w:usb3="00000000" w:csb0="00000001" w:csb1="00000000"/>
  </w:font>
  <w:font w:name="Lucida Sans Unicode">
    <w:panose1 w:val="020B0602030504020204"/>
    <w:charset w:val="00"/>
    <w:family w:val="auto"/>
    <w:pitch w:val="default"/>
    <w:sig w:usb0="80001AFF" w:usb1="0000396B" w:usb2="00000000" w:usb3="00000000" w:csb0="200000BF" w:csb1="D7F70000"/>
  </w:font>
  <w:font w:name="CG Times">
    <w:altName w:val="Times New Roman"/>
    <w:panose1 w:val="00000000000000000000"/>
    <w:charset w:val="00"/>
    <w:family w:val="roman"/>
    <w:pitch w:val="default"/>
    <w:sig w:usb0="00000000" w:usb1="00000000" w:usb2="00000000" w:usb3="00000000" w:csb0="00000093" w:csb1="00000000"/>
  </w:font>
  <w:font w:name="Arial Bold">
    <w:altName w:val="Arial"/>
    <w:panose1 w:val="020B0704020202020204"/>
    <w:charset w:val="00"/>
    <w:family w:val="roman"/>
    <w:pitch w:val="default"/>
    <w:sig w:usb0="00000000" w:usb1="00000000" w:usb2="00000000" w:usb3="00000000" w:csb0="00040001" w:csb1="00000000"/>
  </w:font>
  <w:font w:name="ATRotisSemiSans-Bold">
    <w:altName w:val="黑体"/>
    <w:panose1 w:val="00000000000000000000"/>
    <w:charset w:val="86"/>
    <w:family w:val="auto"/>
    <w:pitch w:val="default"/>
    <w:sig w:usb0="00000000" w:usb1="00000000" w:usb2="00000010" w:usb3="00000000" w:csb0="00040000" w:csb1="00000000"/>
  </w:font>
  <w:font w:name="华文新魏">
    <w:panose1 w:val="02010800040101010101"/>
    <w:charset w:val="86"/>
    <w:family w:val="auto"/>
    <w:pitch w:val="default"/>
    <w:sig w:usb0="00000001" w:usb1="080F0000" w:usb2="00000000" w:usb3="00000000" w:csb0="00040000" w:csb1="00000000"/>
  </w:font>
  <w:font w:name="HiddenHorzOCR">
    <w:altName w:val="Yu Gothic"/>
    <w:panose1 w:val="00000000000000000000"/>
    <w:charset w:val="80"/>
    <w:family w:val="auto"/>
    <w:pitch w:val="default"/>
    <w:sig w:usb0="00000000" w:usb1="00000000" w:usb2="00000010" w:usb3="00000000" w:csb0="00020000" w:csb1="00000000"/>
  </w:font>
  <w:font w:name="Yu Gothic">
    <w:panose1 w:val="020B0400000000000000"/>
    <w:charset w:val="80"/>
    <w:family w:val="auto"/>
    <w:pitch w:val="default"/>
    <w:sig w:usb0="E00002FF" w:usb1="2AC7FDFF" w:usb2="00000016" w:usb3="00000000" w:csb0="2002009F" w:csb1="00000000"/>
  </w:font>
  <w:font w:name="阿里巴巴普惠体 L">
    <w:altName w:val="宋体"/>
    <w:panose1 w:val="00000000000000000000"/>
    <w:charset w:val="86"/>
    <w:family w:val="roman"/>
    <w:pitch w:val="default"/>
    <w:sig w:usb0="00000000" w:usb1="00000000" w:usb2="0000001E" w:usb3="00000000" w:csb0="0004009F" w:csb1="00000000"/>
  </w:font>
  <w:font w:name="Times">
    <w:altName w:val="Times New Roman"/>
    <w:panose1 w:val="02020603050405020304"/>
    <w:charset w:val="00"/>
    <w:family w:val="roman"/>
    <w:pitch w:val="default"/>
    <w:sig w:usb0="00000000" w:usb1="00000000" w:usb2="00000009" w:usb3="00000000" w:csb0="000001FF" w:csb1="00000000"/>
  </w:font>
  <w:font w:name="TimesNewRomanPSMT">
    <w:altName w:val="Times New Roman"/>
    <w:panose1 w:val="00000000000000000000"/>
    <w:charset w:val="00"/>
    <w:family w:val="roman"/>
    <w:pitch w:val="default"/>
    <w:sig w:usb0="00000000" w:usb1="00000000" w:usb2="00000010" w:usb3="00000000" w:csb0="00040001" w:csb1="00000000"/>
  </w:font>
  <w:font w:name="KSOFF9CBECC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8A418F">
    <w:pPr>
      <w:pStyle w:val="44"/>
      <w:pBdr>
        <w:top w:val="thinThickSmallGap" w:color="622423" w:sz="24" w:space="1"/>
      </w:pBdr>
      <w:tabs>
        <w:tab w:val="right" w:pos="9638"/>
        <w:tab w:val="clear" w:pos="4153"/>
        <w:tab w:val="clear" w:pos="8306"/>
      </w:tabs>
      <w:rPr>
        <w:rFonts w:ascii="黑体" w:eastAsia="黑体"/>
        <w:position w:val="-6"/>
        <w:sz w:val="21"/>
        <w:szCs w:val="21"/>
      </w:rPr>
    </w:pPr>
    <w:r>
      <w:rPr>
        <w:rFonts w:hint="eastAsia" w:ascii="黑体" w:eastAsia="黑体"/>
        <w:position w:val="-6"/>
        <w:sz w:val="21"/>
        <w:szCs w:val="21"/>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D2A86C">
    <w:pPr>
      <w:pStyle w:val="44"/>
      <w:pBdr>
        <w:top w:val="thinThickSmallGap" w:color="622423" w:sz="24" w:space="1"/>
      </w:pBdr>
      <w:tabs>
        <w:tab w:val="right" w:pos="9638"/>
        <w:tab w:val="clear" w:pos="4153"/>
        <w:tab w:val="clear" w:pos="8306"/>
      </w:tabs>
      <w:rPr>
        <w:rFonts w:ascii="华文新魏" w:eastAsia="华文新魏"/>
        <w:position w:val="-6"/>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BD77DD">
    <w:pPr>
      <w:pStyle w:val="44"/>
      <w:pBdr>
        <w:top w:val="thinThickSmallGap" w:color="622423" w:sz="24" w:space="1"/>
      </w:pBdr>
      <w:tabs>
        <w:tab w:val="right" w:pos="9638"/>
        <w:tab w:val="clear" w:pos="4153"/>
        <w:tab w:val="clear" w:pos="8306"/>
      </w:tabs>
      <w:rPr>
        <w:rFonts w:ascii="黑体" w:eastAsia="黑体"/>
        <w:position w:val="-6"/>
        <w:sz w:val="21"/>
        <w:szCs w:val="21"/>
      </w:rPr>
    </w:pPr>
    <w:r>
      <w:rPr>
        <w:rFonts w:hint="eastAsia" w:ascii="黑体" w:eastAsia="黑体"/>
        <w:position w:val="-6"/>
        <w:sz w:val="21"/>
        <w:szCs w:val="21"/>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26D36B">
    <w:pPr>
      <w:pStyle w:val="44"/>
      <w:pBdr>
        <w:top w:val="thinThickSmallGap" w:color="622423" w:sz="24" w:space="1"/>
      </w:pBdr>
      <w:tabs>
        <w:tab w:val="right" w:pos="9638"/>
        <w:tab w:val="clear" w:pos="4153"/>
        <w:tab w:val="clear" w:pos="8306"/>
      </w:tabs>
      <w:rPr>
        <w:rFonts w:ascii="华文新魏" w:eastAsia="华文新魏"/>
        <w:position w:val="-6"/>
        <w:sz w:val="21"/>
        <w:szCs w:val="21"/>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C35BDC">
    <w:pPr>
      <w:pStyle w:val="4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96D05D">
                          <w:pPr>
                            <w:pStyle w:val="44"/>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3C96D05D">
                    <w:pPr>
                      <w:pStyle w:val="44"/>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5F2AC5">
    <w:pPr>
      <w:pStyle w:val="44"/>
      <w:pBdr>
        <w:top w:val="thinThickSmallGap" w:color="622423" w:sz="24" w:space="1"/>
      </w:pBdr>
      <w:tabs>
        <w:tab w:val="right" w:pos="9638"/>
        <w:tab w:val="clear" w:pos="4153"/>
        <w:tab w:val="clear" w:pos="8306"/>
      </w:tabs>
      <w:rPr>
        <w:rFonts w:ascii="黑体" w:eastAsia="黑体"/>
        <w:position w:val="-6"/>
        <w:sz w:val="21"/>
        <w:szCs w:val="21"/>
      </w:rPr>
    </w:pPr>
    <w:r>
      <w:rPr>
        <w:rFonts w:hint="eastAsia" w:ascii="黑体" w:eastAsia="黑体"/>
        <w:position w:val="-6"/>
        <w:sz w:val="21"/>
        <w:szCs w:val="21"/>
      </w:rPr>
      <w:t xml:space="preserve">                                                   </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4D17B1">
    <w:pPr>
      <w:pStyle w:val="44"/>
      <w:pBdr>
        <w:top w:val="thinThickSmallGap" w:color="622423" w:sz="24" w:space="1"/>
      </w:pBdr>
      <w:tabs>
        <w:tab w:val="right" w:pos="9638"/>
        <w:tab w:val="clear" w:pos="4153"/>
        <w:tab w:val="clear" w:pos="8306"/>
      </w:tabs>
      <w:rPr>
        <w:rFonts w:ascii="华文新魏" w:eastAsia="华文新魏"/>
        <w:position w:val="-6"/>
        <w:sz w:val="21"/>
        <w:szCs w:val="21"/>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861EB7">
    <w:pPr>
      <w:pStyle w:val="44"/>
      <w:pBdr>
        <w:top w:val="thinThickSmallGap" w:color="622423" w:sz="24" w:space="1"/>
      </w:pBdr>
      <w:tabs>
        <w:tab w:val="right" w:pos="9638"/>
        <w:tab w:val="clear" w:pos="4153"/>
        <w:tab w:val="clear" w:pos="8306"/>
      </w:tabs>
      <w:jc w:val="center"/>
      <w:rPr>
        <w:rFonts w:ascii="黑体" w:eastAsia="黑体"/>
        <w:position w:val="-6"/>
        <w:sz w:val="21"/>
        <w:szCs w:val="21"/>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D1F4BB">
    <w:pPr>
      <w:pStyle w:val="44"/>
      <w:pBdr>
        <w:top w:val="thinThickSmallGap" w:color="622423" w:sz="24" w:space="1"/>
      </w:pBdr>
      <w:tabs>
        <w:tab w:val="right" w:pos="9638"/>
        <w:tab w:val="clear" w:pos="4153"/>
        <w:tab w:val="clear" w:pos="8306"/>
      </w:tabs>
      <w:jc w:val="center"/>
      <w:rPr>
        <w:rFonts w:ascii="华文新魏" w:eastAsia="华文新魏"/>
        <w:position w:val="-6"/>
        <w:sz w:val="21"/>
        <w:szCs w:val="21"/>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B12974">
    <w:pPr>
      <w:jc w:val="center"/>
      <w:rPr>
        <w:color w:val="A6A6A6"/>
        <w:sz w:val="15"/>
        <w:szCs w:val="15"/>
      </w:rPr>
    </w:pPr>
    <w:r>
      <w:rPr>
        <w:sz w:val="15"/>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79618D">
                          <w:pPr>
                            <w:pStyle w:val="4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F79618D">
                    <w:pPr>
                      <w:pStyle w:val="4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8A8318">
    <w:pPr>
      <w:pStyle w:val="44"/>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225394">
                          <w:pPr>
                            <w:pStyle w:val="44"/>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16225394">
                    <w:pPr>
                      <w:pStyle w:val="44"/>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AAFF37">
    <w:pPr>
      <w:jc w:val="center"/>
      <w:rPr>
        <w:color w:val="A6A6A6"/>
        <w:sz w:val="15"/>
        <w:szCs w:val="15"/>
      </w:rPr>
    </w:pPr>
    <w:r>
      <w:rPr>
        <w:sz w:val="15"/>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507AE3">
                          <w:pPr>
                            <w:pStyle w:val="44"/>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67507AE3">
                    <w:pPr>
                      <w:pStyle w:val="44"/>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DCC762">
    <w:pPr>
      <w:pStyle w:val="44"/>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920C43">
                          <w:pPr>
                            <w:pStyle w:val="44"/>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32920C43">
                    <w:pPr>
                      <w:pStyle w:val="44"/>
                    </w:pPr>
                    <w:r>
                      <w:fldChar w:fldCharType="begin"/>
                    </w:r>
                    <w:r>
                      <w:instrText xml:space="preserve"> PAGE  \* MERGEFORMAT </w:instrText>
                    </w:r>
                    <w:r>
                      <w:fldChar w:fldCharType="separate"/>
                    </w:r>
                    <w:r>
                      <w:t>36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B86BE7">
    <w:pPr>
      <w:pStyle w:val="45"/>
      <w:ind w:firstLine="180" w:firstLineChars="100"/>
      <w:jc w:val="both"/>
      <w:rPr>
        <w:rFonts w:hint="eastAsia" w:eastAsia="宋体"/>
        <w:b w:val="0"/>
        <w:bCs w:val="0"/>
        <w:sz w:val="18"/>
        <w:szCs w:val="18"/>
        <w:lang w:eastAsia="zh-CN"/>
      </w:rPr>
    </w:pPr>
    <w:r>
      <w:rPr>
        <w:rFonts w:hint="eastAsia" w:ascii="宋体" w:hAnsi="宋体"/>
        <w:b w:val="0"/>
        <w:bCs w:val="0"/>
        <w:sz w:val="18"/>
        <w:szCs w:val="18"/>
        <w:lang w:eastAsia="zh-CN"/>
      </w:rPr>
      <w:t>镇雄县旧府街道松林湾村石门坎“千万工程”配套基础设施建设项目EPC</w:t>
    </w:r>
    <w:r>
      <w:rPr>
        <w:rFonts w:hint="eastAsia" w:ascii="宋体" w:hAnsi="宋体"/>
        <w:b w:val="0"/>
        <w:bCs w:val="0"/>
        <w:sz w:val="18"/>
        <w:szCs w:val="18"/>
      </w:rPr>
      <w:t xml:space="preserve">                    </w:t>
    </w:r>
    <w:r>
      <w:rPr>
        <w:rFonts w:hint="eastAsia" w:ascii="宋体" w:hAnsi="宋体"/>
        <w:b w:val="0"/>
        <w:bCs w:val="0"/>
        <w:sz w:val="18"/>
        <w:szCs w:val="18"/>
        <w:lang w:eastAsia="zh-CN"/>
      </w:rPr>
      <w:t>云南品众招标咨询有限公司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9D5441">
    <w:pPr>
      <w:pStyle w:val="45"/>
      <w:ind w:firstLine="180" w:firstLineChars="100"/>
      <w:jc w:val="left"/>
      <w:rPr>
        <w:rFonts w:hint="eastAsia" w:eastAsia="宋体"/>
        <w:sz w:val="18"/>
        <w:szCs w:val="18"/>
        <w:lang w:eastAsia="zh-CN"/>
      </w:rPr>
    </w:pPr>
    <w:r>
      <w:rPr>
        <w:rFonts w:hint="eastAsia" w:ascii="宋体" w:hAnsi="宋体"/>
        <w:sz w:val="18"/>
        <w:szCs w:val="18"/>
        <w:lang w:eastAsia="zh-CN"/>
      </w:rPr>
      <w:t>镇雄县旧府街道松林湾村石门坎“千万工程”配套基础设施建设项目EPC</w:t>
    </w:r>
    <w:r>
      <w:rPr>
        <w:rFonts w:hint="eastAsia" w:ascii="宋体" w:hAnsi="宋体"/>
        <w:sz w:val="18"/>
        <w:szCs w:val="18"/>
      </w:rPr>
      <w:t xml:space="preserve">         </w:t>
    </w:r>
    <w:r>
      <w:rPr>
        <w:rFonts w:hint="eastAsia" w:ascii="宋体" w:hAnsi="宋体"/>
        <w:sz w:val="18"/>
        <w:szCs w:val="18"/>
        <w:lang w:val="en-US" w:eastAsia="zh-CN"/>
      </w:rPr>
      <w:t xml:space="preserve">       </w:t>
    </w:r>
    <w:r>
      <w:rPr>
        <w:rFonts w:hint="eastAsia" w:ascii="宋体" w:hAnsi="宋体"/>
        <w:sz w:val="18"/>
        <w:szCs w:val="18"/>
        <w:lang w:eastAsia="zh-CN"/>
      </w:rPr>
      <w:t>云南品众招标咨询有限公司</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D2472D">
    <w:pPr>
      <w:jc w:val="center"/>
      <w:rPr>
        <w:color w:val="A6A6A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0532E5">
    <w:pPr>
      <w:pStyle w:val="45"/>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BCFF88">
    <w:pPr>
      <w:pStyle w:val="45"/>
      <w:pBdr>
        <w:bottom w:val="none" w:color="auto" w:sz="0" w:space="0"/>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7F0173">
    <w:pPr>
      <w:pStyle w:val="4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242084"/>
    <w:multiLevelType w:val="singleLevel"/>
    <w:tmpl w:val="0A242084"/>
    <w:lvl w:ilvl="0" w:tentative="0">
      <w:start w:val="3"/>
      <w:numFmt w:val="chineseCounting"/>
      <w:suff w:val="space"/>
      <w:lvlText w:val="第%1章"/>
      <w:lvlJc w:val="left"/>
      <w:pPr>
        <w:ind w:left="893" w:leftChars="0" w:firstLine="0" w:firstLineChars="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2"/>
  <w:bordersDoNotSurroundHeader w:val="0"/>
  <w:bordersDoNotSurroundFooter w:val="0"/>
  <w:hideSpellingErrors/>
  <w:hideGrammaticalErrors/>
  <w:documentProtection w:enforcement="0"/>
  <w:defaultTabStop w:val="420"/>
  <w:evenAndOddHeaders w:val="1"/>
  <w:drawingGridHorizontalSpacing w:val="105"/>
  <w:drawingGridVerticalSpacing w:val="157"/>
  <w:displayHorizontalDrawingGridEvery w:val="1"/>
  <w:displayVerticalDrawingGridEvery w:val="1"/>
  <w:doNotShadeFormData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VmZWY3MzMwOWU0M2RiOGQ0NDUyZWUyYTZiZGI0OTAifQ=="/>
  </w:docVars>
  <w:rsids>
    <w:rsidRoot w:val="00172A27"/>
    <w:rsid w:val="00001695"/>
    <w:rsid w:val="000023BC"/>
    <w:rsid w:val="00002CAD"/>
    <w:rsid w:val="00002E82"/>
    <w:rsid w:val="000066D8"/>
    <w:rsid w:val="00006B7D"/>
    <w:rsid w:val="00006C4F"/>
    <w:rsid w:val="0000778A"/>
    <w:rsid w:val="00007804"/>
    <w:rsid w:val="00007A99"/>
    <w:rsid w:val="00011FB7"/>
    <w:rsid w:val="000122DC"/>
    <w:rsid w:val="000129D8"/>
    <w:rsid w:val="00014AC8"/>
    <w:rsid w:val="0001628E"/>
    <w:rsid w:val="000163A3"/>
    <w:rsid w:val="0001681C"/>
    <w:rsid w:val="000178D8"/>
    <w:rsid w:val="000225CE"/>
    <w:rsid w:val="00022643"/>
    <w:rsid w:val="00024730"/>
    <w:rsid w:val="0002772F"/>
    <w:rsid w:val="00027C27"/>
    <w:rsid w:val="00030A8B"/>
    <w:rsid w:val="00030F5D"/>
    <w:rsid w:val="00031928"/>
    <w:rsid w:val="000319F1"/>
    <w:rsid w:val="00031B6D"/>
    <w:rsid w:val="00031E91"/>
    <w:rsid w:val="00032235"/>
    <w:rsid w:val="00032EC3"/>
    <w:rsid w:val="00036BB4"/>
    <w:rsid w:val="00040899"/>
    <w:rsid w:val="000409CD"/>
    <w:rsid w:val="000411C3"/>
    <w:rsid w:val="000413F0"/>
    <w:rsid w:val="0004215B"/>
    <w:rsid w:val="00043EC3"/>
    <w:rsid w:val="00044D29"/>
    <w:rsid w:val="00045DEB"/>
    <w:rsid w:val="00052847"/>
    <w:rsid w:val="00052A91"/>
    <w:rsid w:val="00052B30"/>
    <w:rsid w:val="00053B7F"/>
    <w:rsid w:val="0005448B"/>
    <w:rsid w:val="00054FB8"/>
    <w:rsid w:val="00055B61"/>
    <w:rsid w:val="00057D7E"/>
    <w:rsid w:val="000605CE"/>
    <w:rsid w:val="0006066E"/>
    <w:rsid w:val="00061331"/>
    <w:rsid w:val="000613D3"/>
    <w:rsid w:val="00061F98"/>
    <w:rsid w:val="00062955"/>
    <w:rsid w:val="00063F5C"/>
    <w:rsid w:val="00063F85"/>
    <w:rsid w:val="00064FAB"/>
    <w:rsid w:val="00065381"/>
    <w:rsid w:val="00066385"/>
    <w:rsid w:val="000668CF"/>
    <w:rsid w:val="000676FB"/>
    <w:rsid w:val="00070F84"/>
    <w:rsid w:val="00072D4C"/>
    <w:rsid w:val="000741DF"/>
    <w:rsid w:val="00074D25"/>
    <w:rsid w:val="000755EF"/>
    <w:rsid w:val="00077A89"/>
    <w:rsid w:val="00080289"/>
    <w:rsid w:val="00081CDD"/>
    <w:rsid w:val="00081F8A"/>
    <w:rsid w:val="000822E8"/>
    <w:rsid w:val="000834DA"/>
    <w:rsid w:val="000842C6"/>
    <w:rsid w:val="00084304"/>
    <w:rsid w:val="0008439A"/>
    <w:rsid w:val="0008479E"/>
    <w:rsid w:val="00084A4A"/>
    <w:rsid w:val="0008610F"/>
    <w:rsid w:val="00086876"/>
    <w:rsid w:val="00087425"/>
    <w:rsid w:val="000878F9"/>
    <w:rsid w:val="00090DDB"/>
    <w:rsid w:val="0009248F"/>
    <w:rsid w:val="000951F3"/>
    <w:rsid w:val="00095880"/>
    <w:rsid w:val="000958A4"/>
    <w:rsid w:val="000A24C9"/>
    <w:rsid w:val="000A3295"/>
    <w:rsid w:val="000A44BF"/>
    <w:rsid w:val="000A5619"/>
    <w:rsid w:val="000A62A7"/>
    <w:rsid w:val="000A6B13"/>
    <w:rsid w:val="000A78F0"/>
    <w:rsid w:val="000A7B76"/>
    <w:rsid w:val="000A7BD9"/>
    <w:rsid w:val="000B2C2B"/>
    <w:rsid w:val="000B2D08"/>
    <w:rsid w:val="000B3D9F"/>
    <w:rsid w:val="000C001C"/>
    <w:rsid w:val="000C07D5"/>
    <w:rsid w:val="000C2204"/>
    <w:rsid w:val="000C36ED"/>
    <w:rsid w:val="000C528A"/>
    <w:rsid w:val="000C5C0B"/>
    <w:rsid w:val="000C680E"/>
    <w:rsid w:val="000C6956"/>
    <w:rsid w:val="000C788B"/>
    <w:rsid w:val="000D001A"/>
    <w:rsid w:val="000D1AD7"/>
    <w:rsid w:val="000D2FEC"/>
    <w:rsid w:val="000D4B47"/>
    <w:rsid w:val="000E0A87"/>
    <w:rsid w:val="000E13AC"/>
    <w:rsid w:val="000E4C75"/>
    <w:rsid w:val="000E6174"/>
    <w:rsid w:val="000E704C"/>
    <w:rsid w:val="000E7B6B"/>
    <w:rsid w:val="000F02DE"/>
    <w:rsid w:val="000F0E34"/>
    <w:rsid w:val="000F1F40"/>
    <w:rsid w:val="000F224E"/>
    <w:rsid w:val="000F3283"/>
    <w:rsid w:val="000F379A"/>
    <w:rsid w:val="000F3A58"/>
    <w:rsid w:val="000F7265"/>
    <w:rsid w:val="000F72F8"/>
    <w:rsid w:val="000F77FC"/>
    <w:rsid w:val="000F7A42"/>
    <w:rsid w:val="00100629"/>
    <w:rsid w:val="00101E89"/>
    <w:rsid w:val="00102EB0"/>
    <w:rsid w:val="001033EA"/>
    <w:rsid w:val="00103FE5"/>
    <w:rsid w:val="0010426B"/>
    <w:rsid w:val="00104784"/>
    <w:rsid w:val="00104C0F"/>
    <w:rsid w:val="00106B22"/>
    <w:rsid w:val="00110B4A"/>
    <w:rsid w:val="0011165A"/>
    <w:rsid w:val="00111920"/>
    <w:rsid w:val="00112CB6"/>
    <w:rsid w:val="00113C7B"/>
    <w:rsid w:val="00116E18"/>
    <w:rsid w:val="00117910"/>
    <w:rsid w:val="00120B99"/>
    <w:rsid w:val="00120C6D"/>
    <w:rsid w:val="0012184A"/>
    <w:rsid w:val="00121B4E"/>
    <w:rsid w:val="001223E2"/>
    <w:rsid w:val="00122B64"/>
    <w:rsid w:val="001241CF"/>
    <w:rsid w:val="001264B4"/>
    <w:rsid w:val="00127DF4"/>
    <w:rsid w:val="00130423"/>
    <w:rsid w:val="00131B08"/>
    <w:rsid w:val="001321AA"/>
    <w:rsid w:val="001327D9"/>
    <w:rsid w:val="00133172"/>
    <w:rsid w:val="001337F1"/>
    <w:rsid w:val="00133817"/>
    <w:rsid w:val="00134CAD"/>
    <w:rsid w:val="00135D09"/>
    <w:rsid w:val="001369F5"/>
    <w:rsid w:val="00137E97"/>
    <w:rsid w:val="001404A1"/>
    <w:rsid w:val="00140B80"/>
    <w:rsid w:val="0014115E"/>
    <w:rsid w:val="001413AA"/>
    <w:rsid w:val="0014148E"/>
    <w:rsid w:val="00141A2B"/>
    <w:rsid w:val="00143777"/>
    <w:rsid w:val="001465C9"/>
    <w:rsid w:val="00150102"/>
    <w:rsid w:val="0015031B"/>
    <w:rsid w:val="0015208E"/>
    <w:rsid w:val="00155A08"/>
    <w:rsid w:val="00156692"/>
    <w:rsid w:val="0016008F"/>
    <w:rsid w:val="0016082A"/>
    <w:rsid w:val="001612B1"/>
    <w:rsid w:val="00161B3F"/>
    <w:rsid w:val="00161C7C"/>
    <w:rsid w:val="001637D8"/>
    <w:rsid w:val="00164D66"/>
    <w:rsid w:val="00164E6E"/>
    <w:rsid w:val="00165922"/>
    <w:rsid w:val="00166CF4"/>
    <w:rsid w:val="00170F17"/>
    <w:rsid w:val="001711C8"/>
    <w:rsid w:val="00171F1A"/>
    <w:rsid w:val="001729CF"/>
    <w:rsid w:val="00172A27"/>
    <w:rsid w:val="00173F4A"/>
    <w:rsid w:val="00174908"/>
    <w:rsid w:val="001750E9"/>
    <w:rsid w:val="00177463"/>
    <w:rsid w:val="00177607"/>
    <w:rsid w:val="00177C49"/>
    <w:rsid w:val="00180C5D"/>
    <w:rsid w:val="00182E49"/>
    <w:rsid w:val="001836ED"/>
    <w:rsid w:val="00184582"/>
    <w:rsid w:val="00184781"/>
    <w:rsid w:val="00184C13"/>
    <w:rsid w:val="00185C69"/>
    <w:rsid w:val="00186086"/>
    <w:rsid w:val="001862A3"/>
    <w:rsid w:val="00186913"/>
    <w:rsid w:val="00186D55"/>
    <w:rsid w:val="0019009D"/>
    <w:rsid w:val="0019167B"/>
    <w:rsid w:val="0019176C"/>
    <w:rsid w:val="001920F5"/>
    <w:rsid w:val="00192607"/>
    <w:rsid w:val="00192C99"/>
    <w:rsid w:val="00193224"/>
    <w:rsid w:val="001937D3"/>
    <w:rsid w:val="001937E8"/>
    <w:rsid w:val="00193C13"/>
    <w:rsid w:val="001941FA"/>
    <w:rsid w:val="00194B0C"/>
    <w:rsid w:val="00194C48"/>
    <w:rsid w:val="001A0AAB"/>
    <w:rsid w:val="001A328B"/>
    <w:rsid w:val="001A3975"/>
    <w:rsid w:val="001A56A5"/>
    <w:rsid w:val="001A6A85"/>
    <w:rsid w:val="001B194B"/>
    <w:rsid w:val="001B3BD1"/>
    <w:rsid w:val="001B43C1"/>
    <w:rsid w:val="001B44CC"/>
    <w:rsid w:val="001B49DE"/>
    <w:rsid w:val="001B66FB"/>
    <w:rsid w:val="001B7936"/>
    <w:rsid w:val="001C0DEC"/>
    <w:rsid w:val="001C17B5"/>
    <w:rsid w:val="001C2301"/>
    <w:rsid w:val="001C25D2"/>
    <w:rsid w:val="001C3378"/>
    <w:rsid w:val="001C4230"/>
    <w:rsid w:val="001C4A0B"/>
    <w:rsid w:val="001C5225"/>
    <w:rsid w:val="001C52E5"/>
    <w:rsid w:val="001C6058"/>
    <w:rsid w:val="001D2473"/>
    <w:rsid w:val="001D3EB9"/>
    <w:rsid w:val="001D4ABD"/>
    <w:rsid w:val="001D51F7"/>
    <w:rsid w:val="001D72C0"/>
    <w:rsid w:val="001E0DBE"/>
    <w:rsid w:val="001E0FAA"/>
    <w:rsid w:val="001E131C"/>
    <w:rsid w:val="001E24AB"/>
    <w:rsid w:val="001E347B"/>
    <w:rsid w:val="001E3B2C"/>
    <w:rsid w:val="001E4CBA"/>
    <w:rsid w:val="001E4D10"/>
    <w:rsid w:val="001E57C1"/>
    <w:rsid w:val="001E6395"/>
    <w:rsid w:val="001F05E9"/>
    <w:rsid w:val="001F1631"/>
    <w:rsid w:val="001F19F8"/>
    <w:rsid w:val="001F1EA1"/>
    <w:rsid w:val="001F2F85"/>
    <w:rsid w:val="001F3D8C"/>
    <w:rsid w:val="001F3FFC"/>
    <w:rsid w:val="001F7599"/>
    <w:rsid w:val="002037AD"/>
    <w:rsid w:val="00203E4A"/>
    <w:rsid w:val="00204205"/>
    <w:rsid w:val="0020425D"/>
    <w:rsid w:val="00205635"/>
    <w:rsid w:val="00207549"/>
    <w:rsid w:val="00210593"/>
    <w:rsid w:val="002115C7"/>
    <w:rsid w:val="00211777"/>
    <w:rsid w:val="002168F1"/>
    <w:rsid w:val="00217AE2"/>
    <w:rsid w:val="00217BC1"/>
    <w:rsid w:val="002213D3"/>
    <w:rsid w:val="002214F7"/>
    <w:rsid w:val="00222AA1"/>
    <w:rsid w:val="002230FE"/>
    <w:rsid w:val="00223B9A"/>
    <w:rsid w:val="00223FE4"/>
    <w:rsid w:val="002245F7"/>
    <w:rsid w:val="00225351"/>
    <w:rsid w:val="002262C4"/>
    <w:rsid w:val="002267A8"/>
    <w:rsid w:val="00227727"/>
    <w:rsid w:val="00231CC3"/>
    <w:rsid w:val="00233577"/>
    <w:rsid w:val="002357CD"/>
    <w:rsid w:val="002362D2"/>
    <w:rsid w:val="00241152"/>
    <w:rsid w:val="002446F2"/>
    <w:rsid w:val="002456DD"/>
    <w:rsid w:val="00246588"/>
    <w:rsid w:val="002467A4"/>
    <w:rsid w:val="002467D4"/>
    <w:rsid w:val="00247FCC"/>
    <w:rsid w:val="00250C0F"/>
    <w:rsid w:val="00250D48"/>
    <w:rsid w:val="00250D74"/>
    <w:rsid w:val="002518CE"/>
    <w:rsid w:val="00252F07"/>
    <w:rsid w:val="00253DB4"/>
    <w:rsid w:val="002576FB"/>
    <w:rsid w:val="0026030D"/>
    <w:rsid w:val="00260785"/>
    <w:rsid w:val="002618D0"/>
    <w:rsid w:val="00261BC4"/>
    <w:rsid w:val="00262812"/>
    <w:rsid w:val="00262841"/>
    <w:rsid w:val="00262E06"/>
    <w:rsid w:val="0026407F"/>
    <w:rsid w:val="00265222"/>
    <w:rsid w:val="00267B4C"/>
    <w:rsid w:val="00270709"/>
    <w:rsid w:val="002709B2"/>
    <w:rsid w:val="00270FCB"/>
    <w:rsid w:val="00272701"/>
    <w:rsid w:val="002729E2"/>
    <w:rsid w:val="0027397E"/>
    <w:rsid w:val="00273D23"/>
    <w:rsid w:val="002746B8"/>
    <w:rsid w:val="0027513C"/>
    <w:rsid w:val="002762BC"/>
    <w:rsid w:val="00277A23"/>
    <w:rsid w:val="002828A0"/>
    <w:rsid w:val="0028307E"/>
    <w:rsid w:val="00283220"/>
    <w:rsid w:val="00283D17"/>
    <w:rsid w:val="00283D72"/>
    <w:rsid w:val="00283E29"/>
    <w:rsid w:val="00286262"/>
    <w:rsid w:val="002868BD"/>
    <w:rsid w:val="00286F9C"/>
    <w:rsid w:val="002914D0"/>
    <w:rsid w:val="00291868"/>
    <w:rsid w:val="00293B28"/>
    <w:rsid w:val="00294987"/>
    <w:rsid w:val="0029640D"/>
    <w:rsid w:val="002A0BE7"/>
    <w:rsid w:val="002A3181"/>
    <w:rsid w:val="002A3357"/>
    <w:rsid w:val="002A467F"/>
    <w:rsid w:val="002A6F94"/>
    <w:rsid w:val="002A71AE"/>
    <w:rsid w:val="002A7C00"/>
    <w:rsid w:val="002B02C9"/>
    <w:rsid w:val="002B18CC"/>
    <w:rsid w:val="002B2F55"/>
    <w:rsid w:val="002B3A59"/>
    <w:rsid w:val="002B4DE4"/>
    <w:rsid w:val="002B5B37"/>
    <w:rsid w:val="002B68EA"/>
    <w:rsid w:val="002B7789"/>
    <w:rsid w:val="002C07DF"/>
    <w:rsid w:val="002C2B60"/>
    <w:rsid w:val="002C45C9"/>
    <w:rsid w:val="002C4F3D"/>
    <w:rsid w:val="002C5EDB"/>
    <w:rsid w:val="002C6224"/>
    <w:rsid w:val="002C6ED6"/>
    <w:rsid w:val="002C7866"/>
    <w:rsid w:val="002D1A31"/>
    <w:rsid w:val="002D218B"/>
    <w:rsid w:val="002D22B7"/>
    <w:rsid w:val="002D3F01"/>
    <w:rsid w:val="002D5A6F"/>
    <w:rsid w:val="002D6987"/>
    <w:rsid w:val="002E054E"/>
    <w:rsid w:val="002E0597"/>
    <w:rsid w:val="002E1296"/>
    <w:rsid w:val="002E16E0"/>
    <w:rsid w:val="002E1A40"/>
    <w:rsid w:val="002E1CCA"/>
    <w:rsid w:val="002E259E"/>
    <w:rsid w:val="002E2DDA"/>
    <w:rsid w:val="002E402B"/>
    <w:rsid w:val="002E4840"/>
    <w:rsid w:val="002E4A9E"/>
    <w:rsid w:val="002E62D5"/>
    <w:rsid w:val="002F19CC"/>
    <w:rsid w:val="002F2ACF"/>
    <w:rsid w:val="002F2DF1"/>
    <w:rsid w:val="002F6DBB"/>
    <w:rsid w:val="002F7829"/>
    <w:rsid w:val="002F7AC9"/>
    <w:rsid w:val="002F7AD1"/>
    <w:rsid w:val="002F7B42"/>
    <w:rsid w:val="002F7DE1"/>
    <w:rsid w:val="00301E43"/>
    <w:rsid w:val="00301E7C"/>
    <w:rsid w:val="00301F5B"/>
    <w:rsid w:val="003034AC"/>
    <w:rsid w:val="00304911"/>
    <w:rsid w:val="00304AB6"/>
    <w:rsid w:val="00304E44"/>
    <w:rsid w:val="00305E09"/>
    <w:rsid w:val="00310029"/>
    <w:rsid w:val="00310162"/>
    <w:rsid w:val="003113AE"/>
    <w:rsid w:val="00311601"/>
    <w:rsid w:val="003138F7"/>
    <w:rsid w:val="00313D43"/>
    <w:rsid w:val="00314C70"/>
    <w:rsid w:val="00316B41"/>
    <w:rsid w:val="0031753C"/>
    <w:rsid w:val="00317A75"/>
    <w:rsid w:val="003209C3"/>
    <w:rsid w:val="00320BE1"/>
    <w:rsid w:val="00320E95"/>
    <w:rsid w:val="00322970"/>
    <w:rsid w:val="00323A29"/>
    <w:rsid w:val="00323CB7"/>
    <w:rsid w:val="00325D16"/>
    <w:rsid w:val="00326CC6"/>
    <w:rsid w:val="003271F8"/>
    <w:rsid w:val="00327BD9"/>
    <w:rsid w:val="00327F59"/>
    <w:rsid w:val="00330B37"/>
    <w:rsid w:val="00330B8D"/>
    <w:rsid w:val="00330CE2"/>
    <w:rsid w:val="003331C8"/>
    <w:rsid w:val="0033361B"/>
    <w:rsid w:val="003340FF"/>
    <w:rsid w:val="00337119"/>
    <w:rsid w:val="0034044A"/>
    <w:rsid w:val="003428F1"/>
    <w:rsid w:val="00342BA3"/>
    <w:rsid w:val="00343E75"/>
    <w:rsid w:val="00352671"/>
    <w:rsid w:val="00355422"/>
    <w:rsid w:val="0035564E"/>
    <w:rsid w:val="00355EEF"/>
    <w:rsid w:val="00355F1F"/>
    <w:rsid w:val="00360ECB"/>
    <w:rsid w:val="00362E0B"/>
    <w:rsid w:val="00363743"/>
    <w:rsid w:val="00363D66"/>
    <w:rsid w:val="00366F8C"/>
    <w:rsid w:val="00367101"/>
    <w:rsid w:val="00370C97"/>
    <w:rsid w:val="003719D8"/>
    <w:rsid w:val="003720CD"/>
    <w:rsid w:val="0037473D"/>
    <w:rsid w:val="003825D0"/>
    <w:rsid w:val="0038354F"/>
    <w:rsid w:val="003864B5"/>
    <w:rsid w:val="00387041"/>
    <w:rsid w:val="003879E1"/>
    <w:rsid w:val="003901D2"/>
    <w:rsid w:val="003903F7"/>
    <w:rsid w:val="00390EF5"/>
    <w:rsid w:val="00391E07"/>
    <w:rsid w:val="003947E5"/>
    <w:rsid w:val="00395803"/>
    <w:rsid w:val="0039589A"/>
    <w:rsid w:val="00395EDC"/>
    <w:rsid w:val="0039606E"/>
    <w:rsid w:val="00396738"/>
    <w:rsid w:val="0039706A"/>
    <w:rsid w:val="003A0281"/>
    <w:rsid w:val="003A02D4"/>
    <w:rsid w:val="003A11B4"/>
    <w:rsid w:val="003A2414"/>
    <w:rsid w:val="003A351F"/>
    <w:rsid w:val="003A3884"/>
    <w:rsid w:val="003A3964"/>
    <w:rsid w:val="003A43CD"/>
    <w:rsid w:val="003A4C09"/>
    <w:rsid w:val="003A4D59"/>
    <w:rsid w:val="003A6386"/>
    <w:rsid w:val="003B0686"/>
    <w:rsid w:val="003B09C0"/>
    <w:rsid w:val="003B0D25"/>
    <w:rsid w:val="003B1575"/>
    <w:rsid w:val="003B1C9D"/>
    <w:rsid w:val="003B6FC7"/>
    <w:rsid w:val="003B73AA"/>
    <w:rsid w:val="003B7D0B"/>
    <w:rsid w:val="003C02E0"/>
    <w:rsid w:val="003C0708"/>
    <w:rsid w:val="003C0FB3"/>
    <w:rsid w:val="003C18E3"/>
    <w:rsid w:val="003C190C"/>
    <w:rsid w:val="003C1C48"/>
    <w:rsid w:val="003C31B7"/>
    <w:rsid w:val="003C42BB"/>
    <w:rsid w:val="003C78BF"/>
    <w:rsid w:val="003C7FE5"/>
    <w:rsid w:val="003D2429"/>
    <w:rsid w:val="003D3626"/>
    <w:rsid w:val="003D5DFD"/>
    <w:rsid w:val="003D5F0A"/>
    <w:rsid w:val="003D724A"/>
    <w:rsid w:val="003D793D"/>
    <w:rsid w:val="003E02FD"/>
    <w:rsid w:val="003E1713"/>
    <w:rsid w:val="003E281B"/>
    <w:rsid w:val="003E2EAE"/>
    <w:rsid w:val="003E532C"/>
    <w:rsid w:val="003E595D"/>
    <w:rsid w:val="003E60C8"/>
    <w:rsid w:val="003E675D"/>
    <w:rsid w:val="003E6D22"/>
    <w:rsid w:val="003E7AA6"/>
    <w:rsid w:val="003F0C9E"/>
    <w:rsid w:val="003F341A"/>
    <w:rsid w:val="003F3720"/>
    <w:rsid w:val="003F381B"/>
    <w:rsid w:val="003F4430"/>
    <w:rsid w:val="003F5251"/>
    <w:rsid w:val="003F608A"/>
    <w:rsid w:val="003F6E30"/>
    <w:rsid w:val="003F7CA1"/>
    <w:rsid w:val="0040087F"/>
    <w:rsid w:val="004021C8"/>
    <w:rsid w:val="004023F7"/>
    <w:rsid w:val="00405530"/>
    <w:rsid w:val="0040600A"/>
    <w:rsid w:val="004072F0"/>
    <w:rsid w:val="00407662"/>
    <w:rsid w:val="00407DFA"/>
    <w:rsid w:val="0041034B"/>
    <w:rsid w:val="00410713"/>
    <w:rsid w:val="0041190A"/>
    <w:rsid w:val="00413205"/>
    <w:rsid w:val="00414747"/>
    <w:rsid w:val="00414A4E"/>
    <w:rsid w:val="00415506"/>
    <w:rsid w:val="00416049"/>
    <w:rsid w:val="004204A9"/>
    <w:rsid w:val="00421186"/>
    <w:rsid w:val="004243A2"/>
    <w:rsid w:val="004262A9"/>
    <w:rsid w:val="00426E08"/>
    <w:rsid w:val="0042734B"/>
    <w:rsid w:val="00427EB2"/>
    <w:rsid w:val="00430780"/>
    <w:rsid w:val="004321B2"/>
    <w:rsid w:val="00432768"/>
    <w:rsid w:val="004328DB"/>
    <w:rsid w:val="004330E0"/>
    <w:rsid w:val="00433A83"/>
    <w:rsid w:val="00434032"/>
    <w:rsid w:val="00434840"/>
    <w:rsid w:val="00434E90"/>
    <w:rsid w:val="00435B7A"/>
    <w:rsid w:val="0043727A"/>
    <w:rsid w:val="00437BC7"/>
    <w:rsid w:val="00441438"/>
    <w:rsid w:val="0044182C"/>
    <w:rsid w:val="00442963"/>
    <w:rsid w:val="004432E4"/>
    <w:rsid w:val="00446641"/>
    <w:rsid w:val="004471B2"/>
    <w:rsid w:val="00451AAB"/>
    <w:rsid w:val="0045221F"/>
    <w:rsid w:val="00452760"/>
    <w:rsid w:val="00455245"/>
    <w:rsid w:val="004560F2"/>
    <w:rsid w:val="00456755"/>
    <w:rsid w:val="0045693C"/>
    <w:rsid w:val="00456F14"/>
    <w:rsid w:val="00457A9A"/>
    <w:rsid w:val="0046002A"/>
    <w:rsid w:val="00460308"/>
    <w:rsid w:val="00460696"/>
    <w:rsid w:val="004610B4"/>
    <w:rsid w:val="00462259"/>
    <w:rsid w:val="00462ADE"/>
    <w:rsid w:val="00463E93"/>
    <w:rsid w:val="004658D6"/>
    <w:rsid w:val="00465ECB"/>
    <w:rsid w:val="00467468"/>
    <w:rsid w:val="00470780"/>
    <w:rsid w:val="00470F1D"/>
    <w:rsid w:val="00472A03"/>
    <w:rsid w:val="004735AA"/>
    <w:rsid w:val="00473638"/>
    <w:rsid w:val="0047418D"/>
    <w:rsid w:val="004747BC"/>
    <w:rsid w:val="00476B36"/>
    <w:rsid w:val="00477B26"/>
    <w:rsid w:val="00477C24"/>
    <w:rsid w:val="00483C79"/>
    <w:rsid w:val="004874EF"/>
    <w:rsid w:val="0049373A"/>
    <w:rsid w:val="00494004"/>
    <w:rsid w:val="004959E8"/>
    <w:rsid w:val="00497525"/>
    <w:rsid w:val="00497C7E"/>
    <w:rsid w:val="004A0543"/>
    <w:rsid w:val="004A2271"/>
    <w:rsid w:val="004A4118"/>
    <w:rsid w:val="004A4A89"/>
    <w:rsid w:val="004B135A"/>
    <w:rsid w:val="004B1D6D"/>
    <w:rsid w:val="004B2285"/>
    <w:rsid w:val="004B287F"/>
    <w:rsid w:val="004B61DE"/>
    <w:rsid w:val="004B6B73"/>
    <w:rsid w:val="004B7B35"/>
    <w:rsid w:val="004C302C"/>
    <w:rsid w:val="004C3575"/>
    <w:rsid w:val="004C36D7"/>
    <w:rsid w:val="004C5054"/>
    <w:rsid w:val="004C5931"/>
    <w:rsid w:val="004C6126"/>
    <w:rsid w:val="004C6329"/>
    <w:rsid w:val="004C63D7"/>
    <w:rsid w:val="004D3D85"/>
    <w:rsid w:val="004D4184"/>
    <w:rsid w:val="004D41F0"/>
    <w:rsid w:val="004D47EC"/>
    <w:rsid w:val="004D5527"/>
    <w:rsid w:val="004D60CD"/>
    <w:rsid w:val="004D64C9"/>
    <w:rsid w:val="004D79D5"/>
    <w:rsid w:val="004D7B17"/>
    <w:rsid w:val="004E16A2"/>
    <w:rsid w:val="004E2E2F"/>
    <w:rsid w:val="004E32AA"/>
    <w:rsid w:val="004E440E"/>
    <w:rsid w:val="004E59EB"/>
    <w:rsid w:val="004E62C8"/>
    <w:rsid w:val="004F05E4"/>
    <w:rsid w:val="004F1622"/>
    <w:rsid w:val="004F18C0"/>
    <w:rsid w:val="004F30C5"/>
    <w:rsid w:val="004F40F8"/>
    <w:rsid w:val="004F5510"/>
    <w:rsid w:val="004F5CF2"/>
    <w:rsid w:val="00500285"/>
    <w:rsid w:val="005005AA"/>
    <w:rsid w:val="00500B1B"/>
    <w:rsid w:val="00500FA2"/>
    <w:rsid w:val="00501151"/>
    <w:rsid w:val="005011A4"/>
    <w:rsid w:val="00501EFA"/>
    <w:rsid w:val="00502239"/>
    <w:rsid w:val="00502CFF"/>
    <w:rsid w:val="0050364E"/>
    <w:rsid w:val="00503DA0"/>
    <w:rsid w:val="00504BB1"/>
    <w:rsid w:val="00505A57"/>
    <w:rsid w:val="00506D62"/>
    <w:rsid w:val="00510936"/>
    <w:rsid w:val="005125A0"/>
    <w:rsid w:val="00513499"/>
    <w:rsid w:val="00514700"/>
    <w:rsid w:val="005154BE"/>
    <w:rsid w:val="00516A15"/>
    <w:rsid w:val="00516FCE"/>
    <w:rsid w:val="0051700B"/>
    <w:rsid w:val="0052108A"/>
    <w:rsid w:val="005222D1"/>
    <w:rsid w:val="00522604"/>
    <w:rsid w:val="0052330B"/>
    <w:rsid w:val="00523F98"/>
    <w:rsid w:val="00523FD7"/>
    <w:rsid w:val="00525D44"/>
    <w:rsid w:val="00531912"/>
    <w:rsid w:val="005329AF"/>
    <w:rsid w:val="00537E08"/>
    <w:rsid w:val="0054037B"/>
    <w:rsid w:val="00540551"/>
    <w:rsid w:val="005405E1"/>
    <w:rsid w:val="005420E7"/>
    <w:rsid w:val="005432F3"/>
    <w:rsid w:val="005436AA"/>
    <w:rsid w:val="00544074"/>
    <w:rsid w:val="005441E9"/>
    <w:rsid w:val="005448C6"/>
    <w:rsid w:val="00544C05"/>
    <w:rsid w:val="00545665"/>
    <w:rsid w:val="00546DEB"/>
    <w:rsid w:val="00546EDA"/>
    <w:rsid w:val="005476A9"/>
    <w:rsid w:val="00547DF6"/>
    <w:rsid w:val="005501E8"/>
    <w:rsid w:val="00550FDF"/>
    <w:rsid w:val="00550FEE"/>
    <w:rsid w:val="005519F0"/>
    <w:rsid w:val="00551E40"/>
    <w:rsid w:val="0055250A"/>
    <w:rsid w:val="00552BEC"/>
    <w:rsid w:val="00552CFB"/>
    <w:rsid w:val="00553F01"/>
    <w:rsid w:val="00554449"/>
    <w:rsid w:val="00557E67"/>
    <w:rsid w:val="005609D5"/>
    <w:rsid w:val="00561058"/>
    <w:rsid w:val="0056117A"/>
    <w:rsid w:val="00561C23"/>
    <w:rsid w:val="00562FCA"/>
    <w:rsid w:val="005638D8"/>
    <w:rsid w:val="00564C3D"/>
    <w:rsid w:val="0056541F"/>
    <w:rsid w:val="00566CCA"/>
    <w:rsid w:val="00567478"/>
    <w:rsid w:val="00567C0C"/>
    <w:rsid w:val="00572011"/>
    <w:rsid w:val="00572EE8"/>
    <w:rsid w:val="00573625"/>
    <w:rsid w:val="00573A2D"/>
    <w:rsid w:val="00573BDA"/>
    <w:rsid w:val="00573CCD"/>
    <w:rsid w:val="00575739"/>
    <w:rsid w:val="00577A6F"/>
    <w:rsid w:val="00582020"/>
    <w:rsid w:val="0058311B"/>
    <w:rsid w:val="0058328A"/>
    <w:rsid w:val="00583969"/>
    <w:rsid w:val="005855FA"/>
    <w:rsid w:val="0058673D"/>
    <w:rsid w:val="00586B56"/>
    <w:rsid w:val="00591AC8"/>
    <w:rsid w:val="00593840"/>
    <w:rsid w:val="005938C7"/>
    <w:rsid w:val="005955DB"/>
    <w:rsid w:val="00595EB5"/>
    <w:rsid w:val="00596D68"/>
    <w:rsid w:val="005A2429"/>
    <w:rsid w:val="005A2DF2"/>
    <w:rsid w:val="005A3072"/>
    <w:rsid w:val="005A4574"/>
    <w:rsid w:val="005B067D"/>
    <w:rsid w:val="005B08BC"/>
    <w:rsid w:val="005B1460"/>
    <w:rsid w:val="005B152A"/>
    <w:rsid w:val="005B1915"/>
    <w:rsid w:val="005B19CA"/>
    <w:rsid w:val="005B2BFF"/>
    <w:rsid w:val="005B3E73"/>
    <w:rsid w:val="005B40F5"/>
    <w:rsid w:val="005B4BA5"/>
    <w:rsid w:val="005B4D2F"/>
    <w:rsid w:val="005B6B93"/>
    <w:rsid w:val="005B769F"/>
    <w:rsid w:val="005C0D28"/>
    <w:rsid w:val="005C2029"/>
    <w:rsid w:val="005C30DE"/>
    <w:rsid w:val="005C3C5F"/>
    <w:rsid w:val="005C57ED"/>
    <w:rsid w:val="005C695C"/>
    <w:rsid w:val="005C6A9C"/>
    <w:rsid w:val="005C7CA6"/>
    <w:rsid w:val="005D01D5"/>
    <w:rsid w:val="005D0B6D"/>
    <w:rsid w:val="005D22CD"/>
    <w:rsid w:val="005D2BE0"/>
    <w:rsid w:val="005D46FC"/>
    <w:rsid w:val="005D568F"/>
    <w:rsid w:val="005E0AA9"/>
    <w:rsid w:val="005E0C4D"/>
    <w:rsid w:val="005E1C95"/>
    <w:rsid w:val="005E27D9"/>
    <w:rsid w:val="005E2A36"/>
    <w:rsid w:val="005E32D2"/>
    <w:rsid w:val="005E4DBA"/>
    <w:rsid w:val="005E5389"/>
    <w:rsid w:val="005E577F"/>
    <w:rsid w:val="005E7119"/>
    <w:rsid w:val="005F082E"/>
    <w:rsid w:val="005F0893"/>
    <w:rsid w:val="005F1C1F"/>
    <w:rsid w:val="005F2DDA"/>
    <w:rsid w:val="005F2EA3"/>
    <w:rsid w:val="005F7C78"/>
    <w:rsid w:val="006001F4"/>
    <w:rsid w:val="00600B64"/>
    <w:rsid w:val="00601C06"/>
    <w:rsid w:val="0060374B"/>
    <w:rsid w:val="00604349"/>
    <w:rsid w:val="00605CD1"/>
    <w:rsid w:val="00606989"/>
    <w:rsid w:val="00607D1C"/>
    <w:rsid w:val="00607D74"/>
    <w:rsid w:val="00610882"/>
    <w:rsid w:val="00610C4E"/>
    <w:rsid w:val="0061114E"/>
    <w:rsid w:val="006123B6"/>
    <w:rsid w:val="00612F27"/>
    <w:rsid w:val="006132AA"/>
    <w:rsid w:val="0061387C"/>
    <w:rsid w:val="00614C11"/>
    <w:rsid w:val="00614E84"/>
    <w:rsid w:val="00622141"/>
    <w:rsid w:val="00623F11"/>
    <w:rsid w:val="0062435B"/>
    <w:rsid w:val="006254C8"/>
    <w:rsid w:val="00625B5E"/>
    <w:rsid w:val="00626D3D"/>
    <w:rsid w:val="006278C5"/>
    <w:rsid w:val="00631C4B"/>
    <w:rsid w:val="00632C99"/>
    <w:rsid w:val="0063732E"/>
    <w:rsid w:val="00637F43"/>
    <w:rsid w:val="00637FD6"/>
    <w:rsid w:val="006402DC"/>
    <w:rsid w:val="0064081E"/>
    <w:rsid w:val="0064086D"/>
    <w:rsid w:val="006416A7"/>
    <w:rsid w:val="0064277C"/>
    <w:rsid w:val="00642EA1"/>
    <w:rsid w:val="0064352B"/>
    <w:rsid w:val="006507EE"/>
    <w:rsid w:val="00651ED7"/>
    <w:rsid w:val="00652651"/>
    <w:rsid w:val="006528AB"/>
    <w:rsid w:val="0065372D"/>
    <w:rsid w:val="0065437D"/>
    <w:rsid w:val="006545D2"/>
    <w:rsid w:val="00655679"/>
    <w:rsid w:val="00656698"/>
    <w:rsid w:val="00656F26"/>
    <w:rsid w:val="00661847"/>
    <w:rsid w:val="0066293F"/>
    <w:rsid w:val="00663427"/>
    <w:rsid w:val="0066371D"/>
    <w:rsid w:val="006649AA"/>
    <w:rsid w:val="00664A8C"/>
    <w:rsid w:val="006718AA"/>
    <w:rsid w:val="0067338C"/>
    <w:rsid w:val="00673BCE"/>
    <w:rsid w:val="00673E54"/>
    <w:rsid w:val="006741AE"/>
    <w:rsid w:val="006744E9"/>
    <w:rsid w:val="00674503"/>
    <w:rsid w:val="00675EC8"/>
    <w:rsid w:val="006828E9"/>
    <w:rsid w:val="00682C41"/>
    <w:rsid w:val="0068519D"/>
    <w:rsid w:val="006852E2"/>
    <w:rsid w:val="0068718D"/>
    <w:rsid w:val="0069084F"/>
    <w:rsid w:val="00690B13"/>
    <w:rsid w:val="00691502"/>
    <w:rsid w:val="006919C6"/>
    <w:rsid w:val="006931D7"/>
    <w:rsid w:val="0069494A"/>
    <w:rsid w:val="006949CE"/>
    <w:rsid w:val="00697302"/>
    <w:rsid w:val="006973B8"/>
    <w:rsid w:val="006A012A"/>
    <w:rsid w:val="006A06D9"/>
    <w:rsid w:val="006A3969"/>
    <w:rsid w:val="006A5466"/>
    <w:rsid w:val="006A59D5"/>
    <w:rsid w:val="006A67DC"/>
    <w:rsid w:val="006B3B9D"/>
    <w:rsid w:val="006B3CA3"/>
    <w:rsid w:val="006B54B9"/>
    <w:rsid w:val="006B56D9"/>
    <w:rsid w:val="006B5A59"/>
    <w:rsid w:val="006B69D2"/>
    <w:rsid w:val="006B6D91"/>
    <w:rsid w:val="006C1000"/>
    <w:rsid w:val="006C12A7"/>
    <w:rsid w:val="006C2418"/>
    <w:rsid w:val="006C3D50"/>
    <w:rsid w:val="006C3F0F"/>
    <w:rsid w:val="006C5728"/>
    <w:rsid w:val="006C5A5B"/>
    <w:rsid w:val="006C6932"/>
    <w:rsid w:val="006D045E"/>
    <w:rsid w:val="006D0A9C"/>
    <w:rsid w:val="006D0C90"/>
    <w:rsid w:val="006D194C"/>
    <w:rsid w:val="006D1B47"/>
    <w:rsid w:val="006D49B2"/>
    <w:rsid w:val="006E144C"/>
    <w:rsid w:val="006E34C9"/>
    <w:rsid w:val="006E3BA1"/>
    <w:rsid w:val="006E4047"/>
    <w:rsid w:val="006E4309"/>
    <w:rsid w:val="006E4DFC"/>
    <w:rsid w:val="006E5B68"/>
    <w:rsid w:val="006E7762"/>
    <w:rsid w:val="006F068D"/>
    <w:rsid w:val="006F0774"/>
    <w:rsid w:val="006F161D"/>
    <w:rsid w:val="006F1BB8"/>
    <w:rsid w:val="006F2D00"/>
    <w:rsid w:val="006F35D3"/>
    <w:rsid w:val="006F4552"/>
    <w:rsid w:val="006F4FBC"/>
    <w:rsid w:val="0070066F"/>
    <w:rsid w:val="00701744"/>
    <w:rsid w:val="0070196F"/>
    <w:rsid w:val="00702B9F"/>
    <w:rsid w:val="00703097"/>
    <w:rsid w:val="0070439D"/>
    <w:rsid w:val="007068C0"/>
    <w:rsid w:val="00712FC3"/>
    <w:rsid w:val="0071342A"/>
    <w:rsid w:val="0071479A"/>
    <w:rsid w:val="00714E66"/>
    <w:rsid w:val="0071774D"/>
    <w:rsid w:val="0071778B"/>
    <w:rsid w:val="00721189"/>
    <w:rsid w:val="0072271E"/>
    <w:rsid w:val="0072290E"/>
    <w:rsid w:val="00723F77"/>
    <w:rsid w:val="0072472A"/>
    <w:rsid w:val="007259D4"/>
    <w:rsid w:val="007269CD"/>
    <w:rsid w:val="0073001C"/>
    <w:rsid w:val="00731B28"/>
    <w:rsid w:val="00732FE9"/>
    <w:rsid w:val="00736153"/>
    <w:rsid w:val="00737ECE"/>
    <w:rsid w:val="0074297E"/>
    <w:rsid w:val="00742D68"/>
    <w:rsid w:val="00744325"/>
    <w:rsid w:val="00744367"/>
    <w:rsid w:val="00745DB0"/>
    <w:rsid w:val="007467EA"/>
    <w:rsid w:val="0074756E"/>
    <w:rsid w:val="0075088F"/>
    <w:rsid w:val="0075171B"/>
    <w:rsid w:val="007522FD"/>
    <w:rsid w:val="007532F4"/>
    <w:rsid w:val="00753BBE"/>
    <w:rsid w:val="00755DE2"/>
    <w:rsid w:val="00756676"/>
    <w:rsid w:val="007579B5"/>
    <w:rsid w:val="00757AB2"/>
    <w:rsid w:val="007609E8"/>
    <w:rsid w:val="0076423E"/>
    <w:rsid w:val="00767F04"/>
    <w:rsid w:val="00770F5E"/>
    <w:rsid w:val="007713F2"/>
    <w:rsid w:val="00772CC2"/>
    <w:rsid w:val="0077300B"/>
    <w:rsid w:val="00773277"/>
    <w:rsid w:val="007759B4"/>
    <w:rsid w:val="00775C79"/>
    <w:rsid w:val="00776570"/>
    <w:rsid w:val="0078010E"/>
    <w:rsid w:val="00780156"/>
    <w:rsid w:val="00780252"/>
    <w:rsid w:val="007826B6"/>
    <w:rsid w:val="00783757"/>
    <w:rsid w:val="007860A7"/>
    <w:rsid w:val="00786B0E"/>
    <w:rsid w:val="00787D7D"/>
    <w:rsid w:val="00787E6A"/>
    <w:rsid w:val="00791711"/>
    <w:rsid w:val="00792A11"/>
    <w:rsid w:val="00794358"/>
    <w:rsid w:val="00794759"/>
    <w:rsid w:val="00795394"/>
    <w:rsid w:val="00797123"/>
    <w:rsid w:val="00797217"/>
    <w:rsid w:val="00797840"/>
    <w:rsid w:val="007A0439"/>
    <w:rsid w:val="007A0976"/>
    <w:rsid w:val="007A106E"/>
    <w:rsid w:val="007A10AB"/>
    <w:rsid w:val="007A1D83"/>
    <w:rsid w:val="007A2F11"/>
    <w:rsid w:val="007A326B"/>
    <w:rsid w:val="007A39ED"/>
    <w:rsid w:val="007A4EF9"/>
    <w:rsid w:val="007A4FE9"/>
    <w:rsid w:val="007A5CCE"/>
    <w:rsid w:val="007A6126"/>
    <w:rsid w:val="007A739E"/>
    <w:rsid w:val="007B0C55"/>
    <w:rsid w:val="007B19C8"/>
    <w:rsid w:val="007B2ADC"/>
    <w:rsid w:val="007B3115"/>
    <w:rsid w:val="007B35E0"/>
    <w:rsid w:val="007B36BB"/>
    <w:rsid w:val="007B4A3C"/>
    <w:rsid w:val="007B50B8"/>
    <w:rsid w:val="007B5268"/>
    <w:rsid w:val="007B55CE"/>
    <w:rsid w:val="007C0474"/>
    <w:rsid w:val="007C1997"/>
    <w:rsid w:val="007C26D7"/>
    <w:rsid w:val="007C311F"/>
    <w:rsid w:val="007C32FD"/>
    <w:rsid w:val="007C3843"/>
    <w:rsid w:val="007C491A"/>
    <w:rsid w:val="007C4952"/>
    <w:rsid w:val="007C64F0"/>
    <w:rsid w:val="007C7FC1"/>
    <w:rsid w:val="007D0568"/>
    <w:rsid w:val="007D1A13"/>
    <w:rsid w:val="007D2723"/>
    <w:rsid w:val="007D2B65"/>
    <w:rsid w:val="007D4A8C"/>
    <w:rsid w:val="007D4ABA"/>
    <w:rsid w:val="007D5539"/>
    <w:rsid w:val="007D579A"/>
    <w:rsid w:val="007D7611"/>
    <w:rsid w:val="007E0663"/>
    <w:rsid w:val="007E0C54"/>
    <w:rsid w:val="007E15B4"/>
    <w:rsid w:val="007E3F88"/>
    <w:rsid w:val="007E40B0"/>
    <w:rsid w:val="007E4B0D"/>
    <w:rsid w:val="007E5AFF"/>
    <w:rsid w:val="007E5CB4"/>
    <w:rsid w:val="007E6A3E"/>
    <w:rsid w:val="007E6D69"/>
    <w:rsid w:val="007F088B"/>
    <w:rsid w:val="007F0D53"/>
    <w:rsid w:val="007F1CBD"/>
    <w:rsid w:val="007F2509"/>
    <w:rsid w:val="007F37F3"/>
    <w:rsid w:val="007F4E37"/>
    <w:rsid w:val="007F54D2"/>
    <w:rsid w:val="007F5C40"/>
    <w:rsid w:val="007F5E63"/>
    <w:rsid w:val="007F6831"/>
    <w:rsid w:val="00801A32"/>
    <w:rsid w:val="00801AE6"/>
    <w:rsid w:val="0080422B"/>
    <w:rsid w:val="008044CD"/>
    <w:rsid w:val="0080501A"/>
    <w:rsid w:val="00805F0C"/>
    <w:rsid w:val="00805FE0"/>
    <w:rsid w:val="00806751"/>
    <w:rsid w:val="008107FC"/>
    <w:rsid w:val="008119D1"/>
    <w:rsid w:val="0081266E"/>
    <w:rsid w:val="0081387B"/>
    <w:rsid w:val="008138AC"/>
    <w:rsid w:val="00813ADB"/>
    <w:rsid w:val="00815EF4"/>
    <w:rsid w:val="008164C3"/>
    <w:rsid w:val="0081691D"/>
    <w:rsid w:val="00816F2D"/>
    <w:rsid w:val="00817892"/>
    <w:rsid w:val="00820C9A"/>
    <w:rsid w:val="0082241A"/>
    <w:rsid w:val="0082250E"/>
    <w:rsid w:val="00822907"/>
    <w:rsid w:val="00824D4D"/>
    <w:rsid w:val="00824EDE"/>
    <w:rsid w:val="008250F7"/>
    <w:rsid w:val="00825FBF"/>
    <w:rsid w:val="0082646F"/>
    <w:rsid w:val="00826E64"/>
    <w:rsid w:val="0082779E"/>
    <w:rsid w:val="00827E04"/>
    <w:rsid w:val="00830DC2"/>
    <w:rsid w:val="0083187F"/>
    <w:rsid w:val="008322DA"/>
    <w:rsid w:val="00832C12"/>
    <w:rsid w:val="00832E70"/>
    <w:rsid w:val="008332B6"/>
    <w:rsid w:val="0083418D"/>
    <w:rsid w:val="008341F4"/>
    <w:rsid w:val="00834955"/>
    <w:rsid w:val="00834FD8"/>
    <w:rsid w:val="00835212"/>
    <w:rsid w:val="00835CB4"/>
    <w:rsid w:val="00837A82"/>
    <w:rsid w:val="00840092"/>
    <w:rsid w:val="008437C0"/>
    <w:rsid w:val="00844B99"/>
    <w:rsid w:val="008454F2"/>
    <w:rsid w:val="008467A4"/>
    <w:rsid w:val="008513BA"/>
    <w:rsid w:val="0085297B"/>
    <w:rsid w:val="00852ECC"/>
    <w:rsid w:val="00853333"/>
    <w:rsid w:val="00854F25"/>
    <w:rsid w:val="0085574C"/>
    <w:rsid w:val="008567DE"/>
    <w:rsid w:val="0086161A"/>
    <w:rsid w:val="0086167F"/>
    <w:rsid w:val="0086403D"/>
    <w:rsid w:val="0086504F"/>
    <w:rsid w:val="00867F4D"/>
    <w:rsid w:val="00871132"/>
    <w:rsid w:val="008724AA"/>
    <w:rsid w:val="008725F4"/>
    <w:rsid w:val="00872946"/>
    <w:rsid w:val="00872B67"/>
    <w:rsid w:val="008739C8"/>
    <w:rsid w:val="00873F3E"/>
    <w:rsid w:val="00874494"/>
    <w:rsid w:val="00876901"/>
    <w:rsid w:val="008812AF"/>
    <w:rsid w:val="00881D8A"/>
    <w:rsid w:val="00884B99"/>
    <w:rsid w:val="008854A7"/>
    <w:rsid w:val="00885EB9"/>
    <w:rsid w:val="0089007F"/>
    <w:rsid w:val="0089079C"/>
    <w:rsid w:val="00890A90"/>
    <w:rsid w:val="00891DB3"/>
    <w:rsid w:val="0089265B"/>
    <w:rsid w:val="0089268D"/>
    <w:rsid w:val="00893BF5"/>
    <w:rsid w:val="00897034"/>
    <w:rsid w:val="00897AC2"/>
    <w:rsid w:val="008A0485"/>
    <w:rsid w:val="008A0DE0"/>
    <w:rsid w:val="008A12D2"/>
    <w:rsid w:val="008A1E3E"/>
    <w:rsid w:val="008A41F7"/>
    <w:rsid w:val="008A441B"/>
    <w:rsid w:val="008A582B"/>
    <w:rsid w:val="008A5D2E"/>
    <w:rsid w:val="008A5F43"/>
    <w:rsid w:val="008A6735"/>
    <w:rsid w:val="008A710F"/>
    <w:rsid w:val="008A7942"/>
    <w:rsid w:val="008A7F1A"/>
    <w:rsid w:val="008B1757"/>
    <w:rsid w:val="008B19BD"/>
    <w:rsid w:val="008B2ADA"/>
    <w:rsid w:val="008B38F4"/>
    <w:rsid w:val="008B3C69"/>
    <w:rsid w:val="008B46B7"/>
    <w:rsid w:val="008B546E"/>
    <w:rsid w:val="008B5834"/>
    <w:rsid w:val="008B649C"/>
    <w:rsid w:val="008B674A"/>
    <w:rsid w:val="008B7256"/>
    <w:rsid w:val="008B7507"/>
    <w:rsid w:val="008C28D0"/>
    <w:rsid w:val="008C2D0C"/>
    <w:rsid w:val="008C545E"/>
    <w:rsid w:val="008C5C21"/>
    <w:rsid w:val="008C63BC"/>
    <w:rsid w:val="008C6820"/>
    <w:rsid w:val="008C69F8"/>
    <w:rsid w:val="008C792C"/>
    <w:rsid w:val="008D0446"/>
    <w:rsid w:val="008D0588"/>
    <w:rsid w:val="008D0D35"/>
    <w:rsid w:val="008D1DF0"/>
    <w:rsid w:val="008D20F1"/>
    <w:rsid w:val="008D3CE6"/>
    <w:rsid w:val="008D4729"/>
    <w:rsid w:val="008D6CF6"/>
    <w:rsid w:val="008D74E2"/>
    <w:rsid w:val="008D79D4"/>
    <w:rsid w:val="008E11EC"/>
    <w:rsid w:val="008E3854"/>
    <w:rsid w:val="008E3D3A"/>
    <w:rsid w:val="008E44D1"/>
    <w:rsid w:val="008E5365"/>
    <w:rsid w:val="008E6D8E"/>
    <w:rsid w:val="008E7241"/>
    <w:rsid w:val="008E7343"/>
    <w:rsid w:val="008E74CD"/>
    <w:rsid w:val="008E78A1"/>
    <w:rsid w:val="008E7F4F"/>
    <w:rsid w:val="008F04E5"/>
    <w:rsid w:val="008F22E1"/>
    <w:rsid w:val="008F2322"/>
    <w:rsid w:val="008F3243"/>
    <w:rsid w:val="008F35E1"/>
    <w:rsid w:val="008F4BDA"/>
    <w:rsid w:val="008F512B"/>
    <w:rsid w:val="008F66EA"/>
    <w:rsid w:val="008F6AE4"/>
    <w:rsid w:val="008F6DEC"/>
    <w:rsid w:val="008F6E93"/>
    <w:rsid w:val="00900010"/>
    <w:rsid w:val="0090122F"/>
    <w:rsid w:val="009030E3"/>
    <w:rsid w:val="009031A1"/>
    <w:rsid w:val="00903B1F"/>
    <w:rsid w:val="00906161"/>
    <w:rsid w:val="00906559"/>
    <w:rsid w:val="009075E2"/>
    <w:rsid w:val="0091001F"/>
    <w:rsid w:val="00910E3E"/>
    <w:rsid w:val="00911761"/>
    <w:rsid w:val="00913767"/>
    <w:rsid w:val="00916DCB"/>
    <w:rsid w:val="0091790A"/>
    <w:rsid w:val="00920742"/>
    <w:rsid w:val="0092124F"/>
    <w:rsid w:val="00923E7D"/>
    <w:rsid w:val="00925489"/>
    <w:rsid w:val="009262FC"/>
    <w:rsid w:val="00926451"/>
    <w:rsid w:val="00927641"/>
    <w:rsid w:val="009277C4"/>
    <w:rsid w:val="009279C8"/>
    <w:rsid w:val="009360A0"/>
    <w:rsid w:val="00937441"/>
    <w:rsid w:val="00937918"/>
    <w:rsid w:val="00940495"/>
    <w:rsid w:val="00940CB6"/>
    <w:rsid w:val="00942714"/>
    <w:rsid w:val="00943573"/>
    <w:rsid w:val="00943B41"/>
    <w:rsid w:val="00950EFE"/>
    <w:rsid w:val="009511A2"/>
    <w:rsid w:val="00952AEA"/>
    <w:rsid w:val="00952D0D"/>
    <w:rsid w:val="00953084"/>
    <w:rsid w:val="0095317A"/>
    <w:rsid w:val="009531A7"/>
    <w:rsid w:val="00955612"/>
    <w:rsid w:val="0095646B"/>
    <w:rsid w:val="00956537"/>
    <w:rsid w:val="00956A6C"/>
    <w:rsid w:val="00956D48"/>
    <w:rsid w:val="00957589"/>
    <w:rsid w:val="00961483"/>
    <w:rsid w:val="00964248"/>
    <w:rsid w:val="00967342"/>
    <w:rsid w:val="00967A2C"/>
    <w:rsid w:val="00970FC8"/>
    <w:rsid w:val="00972314"/>
    <w:rsid w:val="00974F51"/>
    <w:rsid w:val="00975A4E"/>
    <w:rsid w:val="00976C0A"/>
    <w:rsid w:val="00976F83"/>
    <w:rsid w:val="0097713A"/>
    <w:rsid w:val="00982553"/>
    <w:rsid w:val="009828CC"/>
    <w:rsid w:val="00985055"/>
    <w:rsid w:val="009862D8"/>
    <w:rsid w:val="009872D1"/>
    <w:rsid w:val="009879F3"/>
    <w:rsid w:val="00990572"/>
    <w:rsid w:val="00990BC2"/>
    <w:rsid w:val="00990C64"/>
    <w:rsid w:val="009914AF"/>
    <w:rsid w:val="00991D74"/>
    <w:rsid w:val="009923FC"/>
    <w:rsid w:val="00992816"/>
    <w:rsid w:val="00995715"/>
    <w:rsid w:val="00995A87"/>
    <w:rsid w:val="00996070"/>
    <w:rsid w:val="00996FB0"/>
    <w:rsid w:val="009972AD"/>
    <w:rsid w:val="00997732"/>
    <w:rsid w:val="009A0DDD"/>
    <w:rsid w:val="009A0E3A"/>
    <w:rsid w:val="009A1A73"/>
    <w:rsid w:val="009A2CA6"/>
    <w:rsid w:val="009A405F"/>
    <w:rsid w:val="009A45B8"/>
    <w:rsid w:val="009A5B3E"/>
    <w:rsid w:val="009A5D54"/>
    <w:rsid w:val="009A6587"/>
    <w:rsid w:val="009A71A7"/>
    <w:rsid w:val="009B258F"/>
    <w:rsid w:val="009B2FEA"/>
    <w:rsid w:val="009B3B23"/>
    <w:rsid w:val="009B548F"/>
    <w:rsid w:val="009B6F1C"/>
    <w:rsid w:val="009B72DB"/>
    <w:rsid w:val="009B73C1"/>
    <w:rsid w:val="009C0F15"/>
    <w:rsid w:val="009C2A15"/>
    <w:rsid w:val="009C3060"/>
    <w:rsid w:val="009C32F6"/>
    <w:rsid w:val="009C4DAA"/>
    <w:rsid w:val="009C5235"/>
    <w:rsid w:val="009C571F"/>
    <w:rsid w:val="009C7860"/>
    <w:rsid w:val="009D01CC"/>
    <w:rsid w:val="009D0D8C"/>
    <w:rsid w:val="009D23AA"/>
    <w:rsid w:val="009D37D5"/>
    <w:rsid w:val="009D3EA7"/>
    <w:rsid w:val="009D4657"/>
    <w:rsid w:val="009D4E94"/>
    <w:rsid w:val="009D60B5"/>
    <w:rsid w:val="009D67EA"/>
    <w:rsid w:val="009E0CD8"/>
    <w:rsid w:val="009E2E5F"/>
    <w:rsid w:val="009E3A25"/>
    <w:rsid w:val="009F0773"/>
    <w:rsid w:val="009F21CE"/>
    <w:rsid w:val="009F2BA2"/>
    <w:rsid w:val="009F39B4"/>
    <w:rsid w:val="009F4044"/>
    <w:rsid w:val="009F44A0"/>
    <w:rsid w:val="009F52ED"/>
    <w:rsid w:val="00A017DD"/>
    <w:rsid w:val="00A030A3"/>
    <w:rsid w:val="00A03732"/>
    <w:rsid w:val="00A046AD"/>
    <w:rsid w:val="00A05A10"/>
    <w:rsid w:val="00A05B72"/>
    <w:rsid w:val="00A06FFC"/>
    <w:rsid w:val="00A0779D"/>
    <w:rsid w:val="00A11222"/>
    <w:rsid w:val="00A11337"/>
    <w:rsid w:val="00A11CB9"/>
    <w:rsid w:val="00A125CB"/>
    <w:rsid w:val="00A148AC"/>
    <w:rsid w:val="00A15369"/>
    <w:rsid w:val="00A16348"/>
    <w:rsid w:val="00A16F8B"/>
    <w:rsid w:val="00A179A6"/>
    <w:rsid w:val="00A179B8"/>
    <w:rsid w:val="00A21061"/>
    <w:rsid w:val="00A21AF6"/>
    <w:rsid w:val="00A21FE7"/>
    <w:rsid w:val="00A22685"/>
    <w:rsid w:val="00A26C2D"/>
    <w:rsid w:val="00A27BF0"/>
    <w:rsid w:val="00A30B0A"/>
    <w:rsid w:val="00A30D6C"/>
    <w:rsid w:val="00A323DB"/>
    <w:rsid w:val="00A335E4"/>
    <w:rsid w:val="00A34647"/>
    <w:rsid w:val="00A34D24"/>
    <w:rsid w:val="00A34DE7"/>
    <w:rsid w:val="00A350FB"/>
    <w:rsid w:val="00A3542B"/>
    <w:rsid w:val="00A35A1B"/>
    <w:rsid w:val="00A35DD4"/>
    <w:rsid w:val="00A3631F"/>
    <w:rsid w:val="00A403DA"/>
    <w:rsid w:val="00A40C47"/>
    <w:rsid w:val="00A4459A"/>
    <w:rsid w:val="00A44B99"/>
    <w:rsid w:val="00A45C30"/>
    <w:rsid w:val="00A45FCB"/>
    <w:rsid w:val="00A4710A"/>
    <w:rsid w:val="00A50729"/>
    <w:rsid w:val="00A50A56"/>
    <w:rsid w:val="00A525BC"/>
    <w:rsid w:val="00A5328F"/>
    <w:rsid w:val="00A53A3C"/>
    <w:rsid w:val="00A53C56"/>
    <w:rsid w:val="00A53FC8"/>
    <w:rsid w:val="00A54DFE"/>
    <w:rsid w:val="00A560E0"/>
    <w:rsid w:val="00A57E63"/>
    <w:rsid w:val="00A60C42"/>
    <w:rsid w:val="00A623B9"/>
    <w:rsid w:val="00A62BD8"/>
    <w:rsid w:val="00A63041"/>
    <w:rsid w:val="00A63B15"/>
    <w:rsid w:val="00A66A94"/>
    <w:rsid w:val="00A67212"/>
    <w:rsid w:val="00A67A46"/>
    <w:rsid w:val="00A71BE4"/>
    <w:rsid w:val="00A735DB"/>
    <w:rsid w:val="00A74412"/>
    <w:rsid w:val="00A745BA"/>
    <w:rsid w:val="00A74EDC"/>
    <w:rsid w:val="00A76F11"/>
    <w:rsid w:val="00A818FD"/>
    <w:rsid w:val="00A81E65"/>
    <w:rsid w:val="00A81F1A"/>
    <w:rsid w:val="00A83D62"/>
    <w:rsid w:val="00A84434"/>
    <w:rsid w:val="00A85211"/>
    <w:rsid w:val="00A87C52"/>
    <w:rsid w:val="00A90278"/>
    <w:rsid w:val="00A92995"/>
    <w:rsid w:val="00A935A9"/>
    <w:rsid w:val="00A94F6E"/>
    <w:rsid w:val="00A9645E"/>
    <w:rsid w:val="00AA1FF5"/>
    <w:rsid w:val="00AA4809"/>
    <w:rsid w:val="00AA5B8C"/>
    <w:rsid w:val="00AA689E"/>
    <w:rsid w:val="00AA7554"/>
    <w:rsid w:val="00AA7D67"/>
    <w:rsid w:val="00AB02EA"/>
    <w:rsid w:val="00AB07E0"/>
    <w:rsid w:val="00AB0A2C"/>
    <w:rsid w:val="00AB1B6E"/>
    <w:rsid w:val="00AB2536"/>
    <w:rsid w:val="00AB28B3"/>
    <w:rsid w:val="00AB3A36"/>
    <w:rsid w:val="00AB5B85"/>
    <w:rsid w:val="00AB6355"/>
    <w:rsid w:val="00AB6420"/>
    <w:rsid w:val="00AB7493"/>
    <w:rsid w:val="00AC026D"/>
    <w:rsid w:val="00AC0936"/>
    <w:rsid w:val="00AC0970"/>
    <w:rsid w:val="00AC0E1A"/>
    <w:rsid w:val="00AC1F47"/>
    <w:rsid w:val="00AC2447"/>
    <w:rsid w:val="00AC390A"/>
    <w:rsid w:val="00AC3CC1"/>
    <w:rsid w:val="00AC6225"/>
    <w:rsid w:val="00AD0845"/>
    <w:rsid w:val="00AD2B5B"/>
    <w:rsid w:val="00AD3AB2"/>
    <w:rsid w:val="00AD3E79"/>
    <w:rsid w:val="00AD408C"/>
    <w:rsid w:val="00AD4780"/>
    <w:rsid w:val="00AD7118"/>
    <w:rsid w:val="00AD763B"/>
    <w:rsid w:val="00AD7895"/>
    <w:rsid w:val="00AE053F"/>
    <w:rsid w:val="00AE09D8"/>
    <w:rsid w:val="00AE11B1"/>
    <w:rsid w:val="00AE143A"/>
    <w:rsid w:val="00AE143B"/>
    <w:rsid w:val="00AE48FE"/>
    <w:rsid w:val="00AE54CB"/>
    <w:rsid w:val="00AE565C"/>
    <w:rsid w:val="00AE5A46"/>
    <w:rsid w:val="00AE66B3"/>
    <w:rsid w:val="00AE7EBC"/>
    <w:rsid w:val="00AE7FE7"/>
    <w:rsid w:val="00AF07D7"/>
    <w:rsid w:val="00AF0973"/>
    <w:rsid w:val="00AF18A3"/>
    <w:rsid w:val="00AF29FC"/>
    <w:rsid w:val="00AF4E40"/>
    <w:rsid w:val="00AF5CA5"/>
    <w:rsid w:val="00AF5D31"/>
    <w:rsid w:val="00B011C1"/>
    <w:rsid w:val="00B028C2"/>
    <w:rsid w:val="00B02E52"/>
    <w:rsid w:val="00B0365B"/>
    <w:rsid w:val="00B0415D"/>
    <w:rsid w:val="00B04E7C"/>
    <w:rsid w:val="00B079F6"/>
    <w:rsid w:val="00B104A9"/>
    <w:rsid w:val="00B1120D"/>
    <w:rsid w:val="00B1295F"/>
    <w:rsid w:val="00B12C49"/>
    <w:rsid w:val="00B14504"/>
    <w:rsid w:val="00B15429"/>
    <w:rsid w:val="00B158A2"/>
    <w:rsid w:val="00B1735F"/>
    <w:rsid w:val="00B1737D"/>
    <w:rsid w:val="00B1752B"/>
    <w:rsid w:val="00B206AC"/>
    <w:rsid w:val="00B21A26"/>
    <w:rsid w:val="00B22280"/>
    <w:rsid w:val="00B22BA0"/>
    <w:rsid w:val="00B22FA1"/>
    <w:rsid w:val="00B23B44"/>
    <w:rsid w:val="00B25CB6"/>
    <w:rsid w:val="00B2666F"/>
    <w:rsid w:val="00B270C7"/>
    <w:rsid w:val="00B271DA"/>
    <w:rsid w:val="00B27255"/>
    <w:rsid w:val="00B320F6"/>
    <w:rsid w:val="00B33E6F"/>
    <w:rsid w:val="00B33F09"/>
    <w:rsid w:val="00B350C2"/>
    <w:rsid w:val="00B3549C"/>
    <w:rsid w:val="00B3649A"/>
    <w:rsid w:val="00B3777F"/>
    <w:rsid w:val="00B40463"/>
    <w:rsid w:val="00B42528"/>
    <w:rsid w:val="00B42B43"/>
    <w:rsid w:val="00B44328"/>
    <w:rsid w:val="00B46E2B"/>
    <w:rsid w:val="00B5122A"/>
    <w:rsid w:val="00B55093"/>
    <w:rsid w:val="00B56252"/>
    <w:rsid w:val="00B57689"/>
    <w:rsid w:val="00B57FD1"/>
    <w:rsid w:val="00B603ED"/>
    <w:rsid w:val="00B62CC0"/>
    <w:rsid w:val="00B63BA6"/>
    <w:rsid w:val="00B64939"/>
    <w:rsid w:val="00B655D2"/>
    <w:rsid w:val="00B658AE"/>
    <w:rsid w:val="00B65902"/>
    <w:rsid w:val="00B65923"/>
    <w:rsid w:val="00B6757C"/>
    <w:rsid w:val="00B675AE"/>
    <w:rsid w:val="00B67A33"/>
    <w:rsid w:val="00B70B87"/>
    <w:rsid w:val="00B72C9F"/>
    <w:rsid w:val="00B748E7"/>
    <w:rsid w:val="00B74B6F"/>
    <w:rsid w:val="00B74FB6"/>
    <w:rsid w:val="00B75360"/>
    <w:rsid w:val="00B820B5"/>
    <w:rsid w:val="00B822FC"/>
    <w:rsid w:val="00B82D3A"/>
    <w:rsid w:val="00B82D8B"/>
    <w:rsid w:val="00B864EE"/>
    <w:rsid w:val="00B870A3"/>
    <w:rsid w:val="00B873EF"/>
    <w:rsid w:val="00B8773C"/>
    <w:rsid w:val="00B91201"/>
    <w:rsid w:val="00B92354"/>
    <w:rsid w:val="00B92E19"/>
    <w:rsid w:val="00B93259"/>
    <w:rsid w:val="00B936AF"/>
    <w:rsid w:val="00B93AE2"/>
    <w:rsid w:val="00B95640"/>
    <w:rsid w:val="00B956CB"/>
    <w:rsid w:val="00B96CA4"/>
    <w:rsid w:val="00BA041E"/>
    <w:rsid w:val="00BA12D3"/>
    <w:rsid w:val="00BA1CF7"/>
    <w:rsid w:val="00BA208C"/>
    <w:rsid w:val="00BA4299"/>
    <w:rsid w:val="00BA55FA"/>
    <w:rsid w:val="00BA6209"/>
    <w:rsid w:val="00BA7989"/>
    <w:rsid w:val="00BB0276"/>
    <w:rsid w:val="00BB0348"/>
    <w:rsid w:val="00BB18C7"/>
    <w:rsid w:val="00BB394E"/>
    <w:rsid w:val="00BB67CF"/>
    <w:rsid w:val="00BC4974"/>
    <w:rsid w:val="00BC677D"/>
    <w:rsid w:val="00BD0792"/>
    <w:rsid w:val="00BD1432"/>
    <w:rsid w:val="00BD56F2"/>
    <w:rsid w:val="00BD66CF"/>
    <w:rsid w:val="00BE1AFA"/>
    <w:rsid w:val="00BE1D5D"/>
    <w:rsid w:val="00BE2B26"/>
    <w:rsid w:val="00BE3FE9"/>
    <w:rsid w:val="00BE460C"/>
    <w:rsid w:val="00BE4711"/>
    <w:rsid w:val="00BE49BC"/>
    <w:rsid w:val="00BE4A64"/>
    <w:rsid w:val="00BE61BB"/>
    <w:rsid w:val="00BF0732"/>
    <w:rsid w:val="00BF0E43"/>
    <w:rsid w:val="00BF1EFB"/>
    <w:rsid w:val="00BF23B2"/>
    <w:rsid w:val="00BF450A"/>
    <w:rsid w:val="00BF46E2"/>
    <w:rsid w:val="00BF582D"/>
    <w:rsid w:val="00BF60D7"/>
    <w:rsid w:val="00BF664D"/>
    <w:rsid w:val="00BF6BB2"/>
    <w:rsid w:val="00BF6F0F"/>
    <w:rsid w:val="00BF6FC1"/>
    <w:rsid w:val="00BF72D8"/>
    <w:rsid w:val="00BF7512"/>
    <w:rsid w:val="00BF7680"/>
    <w:rsid w:val="00C00B78"/>
    <w:rsid w:val="00C00E53"/>
    <w:rsid w:val="00C03375"/>
    <w:rsid w:val="00C04CAF"/>
    <w:rsid w:val="00C04CDC"/>
    <w:rsid w:val="00C07678"/>
    <w:rsid w:val="00C07C14"/>
    <w:rsid w:val="00C11B02"/>
    <w:rsid w:val="00C130B5"/>
    <w:rsid w:val="00C132F3"/>
    <w:rsid w:val="00C13544"/>
    <w:rsid w:val="00C13850"/>
    <w:rsid w:val="00C13AA5"/>
    <w:rsid w:val="00C14C08"/>
    <w:rsid w:val="00C15397"/>
    <w:rsid w:val="00C15597"/>
    <w:rsid w:val="00C16354"/>
    <w:rsid w:val="00C1698A"/>
    <w:rsid w:val="00C16DA9"/>
    <w:rsid w:val="00C17674"/>
    <w:rsid w:val="00C2088D"/>
    <w:rsid w:val="00C208BB"/>
    <w:rsid w:val="00C2124D"/>
    <w:rsid w:val="00C25A04"/>
    <w:rsid w:val="00C27064"/>
    <w:rsid w:val="00C27946"/>
    <w:rsid w:val="00C32957"/>
    <w:rsid w:val="00C32D04"/>
    <w:rsid w:val="00C3322F"/>
    <w:rsid w:val="00C33760"/>
    <w:rsid w:val="00C35FC9"/>
    <w:rsid w:val="00C42B40"/>
    <w:rsid w:val="00C43184"/>
    <w:rsid w:val="00C43818"/>
    <w:rsid w:val="00C43FF0"/>
    <w:rsid w:val="00C44700"/>
    <w:rsid w:val="00C44D80"/>
    <w:rsid w:val="00C44F42"/>
    <w:rsid w:val="00C4531E"/>
    <w:rsid w:val="00C45610"/>
    <w:rsid w:val="00C45950"/>
    <w:rsid w:val="00C47990"/>
    <w:rsid w:val="00C50893"/>
    <w:rsid w:val="00C5090E"/>
    <w:rsid w:val="00C51350"/>
    <w:rsid w:val="00C51835"/>
    <w:rsid w:val="00C522EA"/>
    <w:rsid w:val="00C53843"/>
    <w:rsid w:val="00C53F17"/>
    <w:rsid w:val="00C54158"/>
    <w:rsid w:val="00C54775"/>
    <w:rsid w:val="00C54A66"/>
    <w:rsid w:val="00C5550C"/>
    <w:rsid w:val="00C57BE5"/>
    <w:rsid w:val="00C6218D"/>
    <w:rsid w:val="00C63DFE"/>
    <w:rsid w:val="00C66A68"/>
    <w:rsid w:val="00C66E36"/>
    <w:rsid w:val="00C71AE1"/>
    <w:rsid w:val="00C71C27"/>
    <w:rsid w:val="00C76048"/>
    <w:rsid w:val="00C8273C"/>
    <w:rsid w:val="00C83862"/>
    <w:rsid w:val="00C8499E"/>
    <w:rsid w:val="00C8557B"/>
    <w:rsid w:val="00C86680"/>
    <w:rsid w:val="00C86E58"/>
    <w:rsid w:val="00C871ED"/>
    <w:rsid w:val="00C87258"/>
    <w:rsid w:val="00C8735D"/>
    <w:rsid w:val="00C873A0"/>
    <w:rsid w:val="00C915B9"/>
    <w:rsid w:val="00C9248F"/>
    <w:rsid w:val="00C93ABC"/>
    <w:rsid w:val="00C93B92"/>
    <w:rsid w:val="00C9422F"/>
    <w:rsid w:val="00C949FB"/>
    <w:rsid w:val="00C954ED"/>
    <w:rsid w:val="00C9751D"/>
    <w:rsid w:val="00CA0067"/>
    <w:rsid w:val="00CA08AE"/>
    <w:rsid w:val="00CA0EEF"/>
    <w:rsid w:val="00CA15BE"/>
    <w:rsid w:val="00CA2C51"/>
    <w:rsid w:val="00CA3819"/>
    <w:rsid w:val="00CA52A5"/>
    <w:rsid w:val="00CA6EAA"/>
    <w:rsid w:val="00CA7667"/>
    <w:rsid w:val="00CA7AFC"/>
    <w:rsid w:val="00CB0418"/>
    <w:rsid w:val="00CB0496"/>
    <w:rsid w:val="00CB04B8"/>
    <w:rsid w:val="00CB104F"/>
    <w:rsid w:val="00CB137D"/>
    <w:rsid w:val="00CB1422"/>
    <w:rsid w:val="00CB14F4"/>
    <w:rsid w:val="00CB1C91"/>
    <w:rsid w:val="00CB2A74"/>
    <w:rsid w:val="00CB3285"/>
    <w:rsid w:val="00CB4AAF"/>
    <w:rsid w:val="00CB5862"/>
    <w:rsid w:val="00CB60DD"/>
    <w:rsid w:val="00CB60EA"/>
    <w:rsid w:val="00CB7B1F"/>
    <w:rsid w:val="00CD00C8"/>
    <w:rsid w:val="00CD1E96"/>
    <w:rsid w:val="00CD2D83"/>
    <w:rsid w:val="00CD3C16"/>
    <w:rsid w:val="00CD6881"/>
    <w:rsid w:val="00CD6D00"/>
    <w:rsid w:val="00CE2B1C"/>
    <w:rsid w:val="00CE3223"/>
    <w:rsid w:val="00CE325D"/>
    <w:rsid w:val="00CE7D85"/>
    <w:rsid w:val="00CF11F3"/>
    <w:rsid w:val="00CF28D2"/>
    <w:rsid w:val="00CF43B5"/>
    <w:rsid w:val="00CF5B7D"/>
    <w:rsid w:val="00CF79CD"/>
    <w:rsid w:val="00D00E54"/>
    <w:rsid w:val="00D01093"/>
    <w:rsid w:val="00D03807"/>
    <w:rsid w:val="00D03CD5"/>
    <w:rsid w:val="00D05250"/>
    <w:rsid w:val="00D0543C"/>
    <w:rsid w:val="00D06B0D"/>
    <w:rsid w:val="00D07D1D"/>
    <w:rsid w:val="00D10217"/>
    <w:rsid w:val="00D1082A"/>
    <w:rsid w:val="00D11296"/>
    <w:rsid w:val="00D11E1C"/>
    <w:rsid w:val="00D14649"/>
    <w:rsid w:val="00D14AAA"/>
    <w:rsid w:val="00D155E7"/>
    <w:rsid w:val="00D16472"/>
    <w:rsid w:val="00D219EE"/>
    <w:rsid w:val="00D21ED0"/>
    <w:rsid w:val="00D239DC"/>
    <w:rsid w:val="00D23AA3"/>
    <w:rsid w:val="00D25183"/>
    <w:rsid w:val="00D2773A"/>
    <w:rsid w:val="00D30DB8"/>
    <w:rsid w:val="00D30EB7"/>
    <w:rsid w:val="00D31696"/>
    <w:rsid w:val="00D34F4D"/>
    <w:rsid w:val="00D35B72"/>
    <w:rsid w:val="00D36636"/>
    <w:rsid w:val="00D3683A"/>
    <w:rsid w:val="00D36FB1"/>
    <w:rsid w:val="00D372E5"/>
    <w:rsid w:val="00D40853"/>
    <w:rsid w:val="00D40DEF"/>
    <w:rsid w:val="00D40FE9"/>
    <w:rsid w:val="00D4158F"/>
    <w:rsid w:val="00D435B1"/>
    <w:rsid w:val="00D43B73"/>
    <w:rsid w:val="00D43EBB"/>
    <w:rsid w:val="00D46977"/>
    <w:rsid w:val="00D46A28"/>
    <w:rsid w:val="00D46A4B"/>
    <w:rsid w:val="00D47694"/>
    <w:rsid w:val="00D479D7"/>
    <w:rsid w:val="00D47E5E"/>
    <w:rsid w:val="00D502CB"/>
    <w:rsid w:val="00D5093F"/>
    <w:rsid w:val="00D5216A"/>
    <w:rsid w:val="00D538CD"/>
    <w:rsid w:val="00D556DB"/>
    <w:rsid w:val="00D56145"/>
    <w:rsid w:val="00D5665A"/>
    <w:rsid w:val="00D569D9"/>
    <w:rsid w:val="00D5766C"/>
    <w:rsid w:val="00D6175D"/>
    <w:rsid w:val="00D619F1"/>
    <w:rsid w:val="00D61BE5"/>
    <w:rsid w:val="00D628F0"/>
    <w:rsid w:val="00D6318F"/>
    <w:rsid w:val="00D63F45"/>
    <w:rsid w:val="00D64B71"/>
    <w:rsid w:val="00D65D9F"/>
    <w:rsid w:val="00D65E11"/>
    <w:rsid w:val="00D65F69"/>
    <w:rsid w:val="00D660CC"/>
    <w:rsid w:val="00D671B6"/>
    <w:rsid w:val="00D7040A"/>
    <w:rsid w:val="00D70963"/>
    <w:rsid w:val="00D728D3"/>
    <w:rsid w:val="00D730A8"/>
    <w:rsid w:val="00D731B5"/>
    <w:rsid w:val="00D73722"/>
    <w:rsid w:val="00D73C6A"/>
    <w:rsid w:val="00D755F8"/>
    <w:rsid w:val="00D75750"/>
    <w:rsid w:val="00D75ACA"/>
    <w:rsid w:val="00D76563"/>
    <w:rsid w:val="00D81E2C"/>
    <w:rsid w:val="00D829B9"/>
    <w:rsid w:val="00D8341B"/>
    <w:rsid w:val="00D8349B"/>
    <w:rsid w:val="00D83F30"/>
    <w:rsid w:val="00D84525"/>
    <w:rsid w:val="00D846AF"/>
    <w:rsid w:val="00D85E22"/>
    <w:rsid w:val="00D86060"/>
    <w:rsid w:val="00D87DFA"/>
    <w:rsid w:val="00D87FBB"/>
    <w:rsid w:val="00D91745"/>
    <w:rsid w:val="00D92C01"/>
    <w:rsid w:val="00D93895"/>
    <w:rsid w:val="00D93E68"/>
    <w:rsid w:val="00D9509E"/>
    <w:rsid w:val="00D9564A"/>
    <w:rsid w:val="00D97BED"/>
    <w:rsid w:val="00DA0777"/>
    <w:rsid w:val="00DA10AD"/>
    <w:rsid w:val="00DA1CDC"/>
    <w:rsid w:val="00DA2E20"/>
    <w:rsid w:val="00DA4549"/>
    <w:rsid w:val="00DA5A6B"/>
    <w:rsid w:val="00DA79A7"/>
    <w:rsid w:val="00DB078C"/>
    <w:rsid w:val="00DB081A"/>
    <w:rsid w:val="00DB1662"/>
    <w:rsid w:val="00DB16D8"/>
    <w:rsid w:val="00DB1A74"/>
    <w:rsid w:val="00DB1B3A"/>
    <w:rsid w:val="00DB3465"/>
    <w:rsid w:val="00DB4AD4"/>
    <w:rsid w:val="00DB4D40"/>
    <w:rsid w:val="00DB5300"/>
    <w:rsid w:val="00DB5A1E"/>
    <w:rsid w:val="00DB6586"/>
    <w:rsid w:val="00DB65E6"/>
    <w:rsid w:val="00DB6D0D"/>
    <w:rsid w:val="00DB76B8"/>
    <w:rsid w:val="00DB7B65"/>
    <w:rsid w:val="00DC0319"/>
    <w:rsid w:val="00DC0B2D"/>
    <w:rsid w:val="00DC2033"/>
    <w:rsid w:val="00DC48E7"/>
    <w:rsid w:val="00DC54C8"/>
    <w:rsid w:val="00DD0C9F"/>
    <w:rsid w:val="00DD140C"/>
    <w:rsid w:val="00DD2C34"/>
    <w:rsid w:val="00DD3FE3"/>
    <w:rsid w:val="00DD584C"/>
    <w:rsid w:val="00DD6FAC"/>
    <w:rsid w:val="00DE31C1"/>
    <w:rsid w:val="00DE378F"/>
    <w:rsid w:val="00DE4017"/>
    <w:rsid w:val="00DE49FC"/>
    <w:rsid w:val="00DE51BC"/>
    <w:rsid w:val="00DE5490"/>
    <w:rsid w:val="00DE5A9A"/>
    <w:rsid w:val="00DE7273"/>
    <w:rsid w:val="00DF3F3D"/>
    <w:rsid w:val="00DF469C"/>
    <w:rsid w:val="00DF470E"/>
    <w:rsid w:val="00DF5506"/>
    <w:rsid w:val="00DF5761"/>
    <w:rsid w:val="00DF76BC"/>
    <w:rsid w:val="00DF77FE"/>
    <w:rsid w:val="00E01719"/>
    <w:rsid w:val="00E04778"/>
    <w:rsid w:val="00E06F20"/>
    <w:rsid w:val="00E13217"/>
    <w:rsid w:val="00E138E3"/>
    <w:rsid w:val="00E157C6"/>
    <w:rsid w:val="00E17021"/>
    <w:rsid w:val="00E176C5"/>
    <w:rsid w:val="00E211C3"/>
    <w:rsid w:val="00E21E87"/>
    <w:rsid w:val="00E2280C"/>
    <w:rsid w:val="00E23C19"/>
    <w:rsid w:val="00E23F39"/>
    <w:rsid w:val="00E257B2"/>
    <w:rsid w:val="00E27E0E"/>
    <w:rsid w:val="00E30194"/>
    <w:rsid w:val="00E31205"/>
    <w:rsid w:val="00E31B78"/>
    <w:rsid w:val="00E3216F"/>
    <w:rsid w:val="00E32BE6"/>
    <w:rsid w:val="00E34B38"/>
    <w:rsid w:val="00E35993"/>
    <w:rsid w:val="00E365B2"/>
    <w:rsid w:val="00E42104"/>
    <w:rsid w:val="00E440E5"/>
    <w:rsid w:val="00E448F9"/>
    <w:rsid w:val="00E46163"/>
    <w:rsid w:val="00E4629E"/>
    <w:rsid w:val="00E503D7"/>
    <w:rsid w:val="00E528D6"/>
    <w:rsid w:val="00E53EE1"/>
    <w:rsid w:val="00E559BB"/>
    <w:rsid w:val="00E56877"/>
    <w:rsid w:val="00E56AE0"/>
    <w:rsid w:val="00E57EEC"/>
    <w:rsid w:val="00E62243"/>
    <w:rsid w:val="00E62DA3"/>
    <w:rsid w:val="00E63CD1"/>
    <w:rsid w:val="00E64A65"/>
    <w:rsid w:val="00E64CA2"/>
    <w:rsid w:val="00E66B04"/>
    <w:rsid w:val="00E679CA"/>
    <w:rsid w:val="00E70C20"/>
    <w:rsid w:val="00E7256F"/>
    <w:rsid w:val="00E725A2"/>
    <w:rsid w:val="00E73C3A"/>
    <w:rsid w:val="00E73CCC"/>
    <w:rsid w:val="00E73F02"/>
    <w:rsid w:val="00E7519D"/>
    <w:rsid w:val="00E75DEA"/>
    <w:rsid w:val="00E77D75"/>
    <w:rsid w:val="00E77E32"/>
    <w:rsid w:val="00E80B9C"/>
    <w:rsid w:val="00E8260C"/>
    <w:rsid w:val="00E83290"/>
    <w:rsid w:val="00E836C8"/>
    <w:rsid w:val="00E83B60"/>
    <w:rsid w:val="00E86163"/>
    <w:rsid w:val="00E86791"/>
    <w:rsid w:val="00E9160C"/>
    <w:rsid w:val="00E91EE0"/>
    <w:rsid w:val="00E92410"/>
    <w:rsid w:val="00E92B08"/>
    <w:rsid w:val="00E93B6C"/>
    <w:rsid w:val="00E962F1"/>
    <w:rsid w:val="00E96A85"/>
    <w:rsid w:val="00E97C00"/>
    <w:rsid w:val="00E97FAB"/>
    <w:rsid w:val="00EA0E3A"/>
    <w:rsid w:val="00EA12F3"/>
    <w:rsid w:val="00EA2417"/>
    <w:rsid w:val="00EA4482"/>
    <w:rsid w:val="00EA749E"/>
    <w:rsid w:val="00EA7CF3"/>
    <w:rsid w:val="00EB2208"/>
    <w:rsid w:val="00EB2EF7"/>
    <w:rsid w:val="00EB3B20"/>
    <w:rsid w:val="00EB3C23"/>
    <w:rsid w:val="00EB3F38"/>
    <w:rsid w:val="00EB7E47"/>
    <w:rsid w:val="00EC050B"/>
    <w:rsid w:val="00EC0964"/>
    <w:rsid w:val="00EC2759"/>
    <w:rsid w:val="00EC356B"/>
    <w:rsid w:val="00EC55B4"/>
    <w:rsid w:val="00EC6F43"/>
    <w:rsid w:val="00EC7A26"/>
    <w:rsid w:val="00EC7BF1"/>
    <w:rsid w:val="00ED0A62"/>
    <w:rsid w:val="00ED1E97"/>
    <w:rsid w:val="00ED239C"/>
    <w:rsid w:val="00ED25C3"/>
    <w:rsid w:val="00ED6CC6"/>
    <w:rsid w:val="00ED7742"/>
    <w:rsid w:val="00EE1498"/>
    <w:rsid w:val="00EE3757"/>
    <w:rsid w:val="00EE651E"/>
    <w:rsid w:val="00EE78EF"/>
    <w:rsid w:val="00EF0F24"/>
    <w:rsid w:val="00EF16AC"/>
    <w:rsid w:val="00EF2080"/>
    <w:rsid w:val="00EF2129"/>
    <w:rsid w:val="00EF3A13"/>
    <w:rsid w:val="00EF3A6E"/>
    <w:rsid w:val="00EF5308"/>
    <w:rsid w:val="00EF6418"/>
    <w:rsid w:val="00EF6516"/>
    <w:rsid w:val="00EF7058"/>
    <w:rsid w:val="00EF7B09"/>
    <w:rsid w:val="00F003E3"/>
    <w:rsid w:val="00F006B3"/>
    <w:rsid w:val="00F01F73"/>
    <w:rsid w:val="00F02CDB"/>
    <w:rsid w:val="00F045C0"/>
    <w:rsid w:val="00F047C3"/>
    <w:rsid w:val="00F05FDD"/>
    <w:rsid w:val="00F06881"/>
    <w:rsid w:val="00F06E2A"/>
    <w:rsid w:val="00F07600"/>
    <w:rsid w:val="00F11CDC"/>
    <w:rsid w:val="00F12773"/>
    <w:rsid w:val="00F13E81"/>
    <w:rsid w:val="00F15203"/>
    <w:rsid w:val="00F16D7B"/>
    <w:rsid w:val="00F1720A"/>
    <w:rsid w:val="00F17D5B"/>
    <w:rsid w:val="00F205D5"/>
    <w:rsid w:val="00F2322B"/>
    <w:rsid w:val="00F2752C"/>
    <w:rsid w:val="00F30B73"/>
    <w:rsid w:val="00F31A1A"/>
    <w:rsid w:val="00F31B28"/>
    <w:rsid w:val="00F31D74"/>
    <w:rsid w:val="00F33118"/>
    <w:rsid w:val="00F34F98"/>
    <w:rsid w:val="00F40C7A"/>
    <w:rsid w:val="00F40FB9"/>
    <w:rsid w:val="00F41287"/>
    <w:rsid w:val="00F4159D"/>
    <w:rsid w:val="00F4176A"/>
    <w:rsid w:val="00F440DB"/>
    <w:rsid w:val="00F443E4"/>
    <w:rsid w:val="00F465DC"/>
    <w:rsid w:val="00F50BC8"/>
    <w:rsid w:val="00F50F46"/>
    <w:rsid w:val="00F51846"/>
    <w:rsid w:val="00F52592"/>
    <w:rsid w:val="00F528BF"/>
    <w:rsid w:val="00F53432"/>
    <w:rsid w:val="00F5401B"/>
    <w:rsid w:val="00F550EF"/>
    <w:rsid w:val="00F6061D"/>
    <w:rsid w:val="00F6094A"/>
    <w:rsid w:val="00F609B6"/>
    <w:rsid w:val="00F61A05"/>
    <w:rsid w:val="00F61BC6"/>
    <w:rsid w:val="00F627B5"/>
    <w:rsid w:val="00F62AF7"/>
    <w:rsid w:val="00F64536"/>
    <w:rsid w:val="00F65113"/>
    <w:rsid w:val="00F6519E"/>
    <w:rsid w:val="00F659BF"/>
    <w:rsid w:val="00F70844"/>
    <w:rsid w:val="00F70FDC"/>
    <w:rsid w:val="00F7294F"/>
    <w:rsid w:val="00F73CFC"/>
    <w:rsid w:val="00F75357"/>
    <w:rsid w:val="00F7597C"/>
    <w:rsid w:val="00F76C45"/>
    <w:rsid w:val="00F76F64"/>
    <w:rsid w:val="00F77B14"/>
    <w:rsid w:val="00F80B82"/>
    <w:rsid w:val="00F818E1"/>
    <w:rsid w:val="00F81DB5"/>
    <w:rsid w:val="00F81EBF"/>
    <w:rsid w:val="00F846D4"/>
    <w:rsid w:val="00F84885"/>
    <w:rsid w:val="00F869F7"/>
    <w:rsid w:val="00F9029D"/>
    <w:rsid w:val="00F93D0D"/>
    <w:rsid w:val="00F9410E"/>
    <w:rsid w:val="00F94EEF"/>
    <w:rsid w:val="00F95193"/>
    <w:rsid w:val="00F95AF6"/>
    <w:rsid w:val="00F971E8"/>
    <w:rsid w:val="00F97BE7"/>
    <w:rsid w:val="00FA04C8"/>
    <w:rsid w:val="00FA11E9"/>
    <w:rsid w:val="00FA13B0"/>
    <w:rsid w:val="00FA2623"/>
    <w:rsid w:val="00FA38C4"/>
    <w:rsid w:val="00FA3C2C"/>
    <w:rsid w:val="00FA490C"/>
    <w:rsid w:val="00FA4B8B"/>
    <w:rsid w:val="00FA4FC5"/>
    <w:rsid w:val="00FA5FC7"/>
    <w:rsid w:val="00FA7B83"/>
    <w:rsid w:val="00FB056B"/>
    <w:rsid w:val="00FB134D"/>
    <w:rsid w:val="00FB213B"/>
    <w:rsid w:val="00FB3C26"/>
    <w:rsid w:val="00FB3D44"/>
    <w:rsid w:val="00FB3E27"/>
    <w:rsid w:val="00FB5B52"/>
    <w:rsid w:val="00FB5F5E"/>
    <w:rsid w:val="00FB757F"/>
    <w:rsid w:val="00FB79B9"/>
    <w:rsid w:val="00FC1102"/>
    <w:rsid w:val="00FC1E54"/>
    <w:rsid w:val="00FC1F98"/>
    <w:rsid w:val="00FC2196"/>
    <w:rsid w:val="00FC3004"/>
    <w:rsid w:val="00FC45C6"/>
    <w:rsid w:val="00FC50CD"/>
    <w:rsid w:val="00FC5B03"/>
    <w:rsid w:val="00FC6A30"/>
    <w:rsid w:val="00FC7C04"/>
    <w:rsid w:val="00FD11F4"/>
    <w:rsid w:val="00FD242D"/>
    <w:rsid w:val="00FD28EA"/>
    <w:rsid w:val="00FD3DA7"/>
    <w:rsid w:val="00FD3E7B"/>
    <w:rsid w:val="00FD4800"/>
    <w:rsid w:val="00FD4BEE"/>
    <w:rsid w:val="00FD5129"/>
    <w:rsid w:val="00FD552E"/>
    <w:rsid w:val="00FD7982"/>
    <w:rsid w:val="00FE160E"/>
    <w:rsid w:val="00FE2E1A"/>
    <w:rsid w:val="00FE64B0"/>
    <w:rsid w:val="00FE6948"/>
    <w:rsid w:val="00FE6A3E"/>
    <w:rsid w:val="00FE7608"/>
    <w:rsid w:val="00FE76E9"/>
    <w:rsid w:val="00FF02D3"/>
    <w:rsid w:val="00FF140B"/>
    <w:rsid w:val="00FF18CF"/>
    <w:rsid w:val="00FF40E6"/>
    <w:rsid w:val="00FF50FC"/>
    <w:rsid w:val="00FF537E"/>
    <w:rsid w:val="00FF63F0"/>
    <w:rsid w:val="00FF6D6B"/>
    <w:rsid w:val="0120545F"/>
    <w:rsid w:val="01467E48"/>
    <w:rsid w:val="017460A8"/>
    <w:rsid w:val="01A37FCD"/>
    <w:rsid w:val="01C53744"/>
    <w:rsid w:val="01C56268"/>
    <w:rsid w:val="024319EE"/>
    <w:rsid w:val="024E5EDA"/>
    <w:rsid w:val="02630870"/>
    <w:rsid w:val="02C95F7F"/>
    <w:rsid w:val="032D29B2"/>
    <w:rsid w:val="03327FC8"/>
    <w:rsid w:val="03A402BE"/>
    <w:rsid w:val="03BC1494"/>
    <w:rsid w:val="049E4688"/>
    <w:rsid w:val="04A32977"/>
    <w:rsid w:val="04A4206E"/>
    <w:rsid w:val="04AE4AB7"/>
    <w:rsid w:val="04BE07B2"/>
    <w:rsid w:val="04D247B3"/>
    <w:rsid w:val="050255FC"/>
    <w:rsid w:val="05C6487A"/>
    <w:rsid w:val="05CC4C6F"/>
    <w:rsid w:val="05CF4F9C"/>
    <w:rsid w:val="05D75FA0"/>
    <w:rsid w:val="069A435F"/>
    <w:rsid w:val="06B7340B"/>
    <w:rsid w:val="06BD404D"/>
    <w:rsid w:val="07032393"/>
    <w:rsid w:val="071E0478"/>
    <w:rsid w:val="07EC1812"/>
    <w:rsid w:val="07F94BB1"/>
    <w:rsid w:val="08027154"/>
    <w:rsid w:val="080F243A"/>
    <w:rsid w:val="081348D8"/>
    <w:rsid w:val="081859DF"/>
    <w:rsid w:val="08193505"/>
    <w:rsid w:val="0842185D"/>
    <w:rsid w:val="085B5D70"/>
    <w:rsid w:val="085F360E"/>
    <w:rsid w:val="08A77690"/>
    <w:rsid w:val="08E151E5"/>
    <w:rsid w:val="08E9737B"/>
    <w:rsid w:val="09370027"/>
    <w:rsid w:val="097D163B"/>
    <w:rsid w:val="097F7731"/>
    <w:rsid w:val="09BE54A1"/>
    <w:rsid w:val="09DB4F16"/>
    <w:rsid w:val="09E0077E"/>
    <w:rsid w:val="0A0768C3"/>
    <w:rsid w:val="0A096055"/>
    <w:rsid w:val="0A371065"/>
    <w:rsid w:val="0A411361"/>
    <w:rsid w:val="0A557DF4"/>
    <w:rsid w:val="0ABD286D"/>
    <w:rsid w:val="0ADD2D31"/>
    <w:rsid w:val="0BB06767"/>
    <w:rsid w:val="0BF50877"/>
    <w:rsid w:val="0C2B5158"/>
    <w:rsid w:val="0CA96EE6"/>
    <w:rsid w:val="0DF10765"/>
    <w:rsid w:val="0DF22048"/>
    <w:rsid w:val="0DFA6FB1"/>
    <w:rsid w:val="0E06527C"/>
    <w:rsid w:val="0E171953"/>
    <w:rsid w:val="0E2F2295"/>
    <w:rsid w:val="0E4E0267"/>
    <w:rsid w:val="0E5A6407"/>
    <w:rsid w:val="0E6179B4"/>
    <w:rsid w:val="0E7070E1"/>
    <w:rsid w:val="0F0110B9"/>
    <w:rsid w:val="0F2F0962"/>
    <w:rsid w:val="0F76497E"/>
    <w:rsid w:val="0FC34888"/>
    <w:rsid w:val="0FFF650E"/>
    <w:rsid w:val="101D52BA"/>
    <w:rsid w:val="10340E18"/>
    <w:rsid w:val="10423720"/>
    <w:rsid w:val="106A6A43"/>
    <w:rsid w:val="10863702"/>
    <w:rsid w:val="10B3312D"/>
    <w:rsid w:val="10DB4AB8"/>
    <w:rsid w:val="10E012C0"/>
    <w:rsid w:val="10E70A61"/>
    <w:rsid w:val="1134195C"/>
    <w:rsid w:val="11722581"/>
    <w:rsid w:val="11A75DD3"/>
    <w:rsid w:val="12350835"/>
    <w:rsid w:val="123B6494"/>
    <w:rsid w:val="124D1ECC"/>
    <w:rsid w:val="125666E6"/>
    <w:rsid w:val="12726B38"/>
    <w:rsid w:val="12DF6468"/>
    <w:rsid w:val="12F6113C"/>
    <w:rsid w:val="12FE7F72"/>
    <w:rsid w:val="13404AE5"/>
    <w:rsid w:val="13CB6CA1"/>
    <w:rsid w:val="13E936D3"/>
    <w:rsid w:val="14327BAE"/>
    <w:rsid w:val="143E2969"/>
    <w:rsid w:val="145558C5"/>
    <w:rsid w:val="14634DFD"/>
    <w:rsid w:val="147C1E4E"/>
    <w:rsid w:val="14B95F93"/>
    <w:rsid w:val="14BA506B"/>
    <w:rsid w:val="14F6108B"/>
    <w:rsid w:val="153C5E15"/>
    <w:rsid w:val="157A5889"/>
    <w:rsid w:val="15A82943"/>
    <w:rsid w:val="15B82589"/>
    <w:rsid w:val="16414905"/>
    <w:rsid w:val="17292502"/>
    <w:rsid w:val="17355656"/>
    <w:rsid w:val="18214649"/>
    <w:rsid w:val="182A212E"/>
    <w:rsid w:val="185077DC"/>
    <w:rsid w:val="18ED05BA"/>
    <w:rsid w:val="18F97E33"/>
    <w:rsid w:val="19082432"/>
    <w:rsid w:val="192F7285"/>
    <w:rsid w:val="198523AB"/>
    <w:rsid w:val="19894FB1"/>
    <w:rsid w:val="1A0101DD"/>
    <w:rsid w:val="1A1B6B97"/>
    <w:rsid w:val="1A897C1D"/>
    <w:rsid w:val="1A8A6217"/>
    <w:rsid w:val="1A9E5500"/>
    <w:rsid w:val="1AA55950"/>
    <w:rsid w:val="1AA80E44"/>
    <w:rsid w:val="1AAC532B"/>
    <w:rsid w:val="1B114D69"/>
    <w:rsid w:val="1B745A5E"/>
    <w:rsid w:val="1B7F7565"/>
    <w:rsid w:val="1BBF0843"/>
    <w:rsid w:val="1BD4502F"/>
    <w:rsid w:val="1C142988"/>
    <w:rsid w:val="1C8B6147"/>
    <w:rsid w:val="1C9D333D"/>
    <w:rsid w:val="1CDF5C21"/>
    <w:rsid w:val="1D1939E6"/>
    <w:rsid w:val="1D363C08"/>
    <w:rsid w:val="1D423A00"/>
    <w:rsid w:val="1E13242F"/>
    <w:rsid w:val="1E2916B9"/>
    <w:rsid w:val="1E4201B9"/>
    <w:rsid w:val="1E5321D2"/>
    <w:rsid w:val="1E672DC4"/>
    <w:rsid w:val="1EB4798B"/>
    <w:rsid w:val="1EC10A86"/>
    <w:rsid w:val="1F585393"/>
    <w:rsid w:val="1F7441D8"/>
    <w:rsid w:val="20035D1E"/>
    <w:rsid w:val="20427645"/>
    <w:rsid w:val="204A474C"/>
    <w:rsid w:val="20C730B9"/>
    <w:rsid w:val="210E2C0D"/>
    <w:rsid w:val="211A2370"/>
    <w:rsid w:val="21260D15"/>
    <w:rsid w:val="217A0B16"/>
    <w:rsid w:val="217A245C"/>
    <w:rsid w:val="219914E7"/>
    <w:rsid w:val="220B4DE2"/>
    <w:rsid w:val="225A362D"/>
    <w:rsid w:val="227010B6"/>
    <w:rsid w:val="22A549AE"/>
    <w:rsid w:val="22D73172"/>
    <w:rsid w:val="22E22A19"/>
    <w:rsid w:val="22FE6FD1"/>
    <w:rsid w:val="230775F1"/>
    <w:rsid w:val="230E4DDA"/>
    <w:rsid w:val="2347268B"/>
    <w:rsid w:val="237859B1"/>
    <w:rsid w:val="2391130D"/>
    <w:rsid w:val="23BA3B3F"/>
    <w:rsid w:val="23C57381"/>
    <w:rsid w:val="23CB4E6E"/>
    <w:rsid w:val="23CC6F1F"/>
    <w:rsid w:val="23DC1B5F"/>
    <w:rsid w:val="23E23979"/>
    <w:rsid w:val="2403533D"/>
    <w:rsid w:val="24344A6D"/>
    <w:rsid w:val="255A6A8A"/>
    <w:rsid w:val="258648EE"/>
    <w:rsid w:val="258B3E36"/>
    <w:rsid w:val="25A53853"/>
    <w:rsid w:val="25D21167"/>
    <w:rsid w:val="263D7F73"/>
    <w:rsid w:val="26A32C72"/>
    <w:rsid w:val="26D46B1D"/>
    <w:rsid w:val="270E6F6A"/>
    <w:rsid w:val="272713AE"/>
    <w:rsid w:val="27433CA3"/>
    <w:rsid w:val="274663F5"/>
    <w:rsid w:val="28374229"/>
    <w:rsid w:val="283A362B"/>
    <w:rsid w:val="288B6E61"/>
    <w:rsid w:val="28976054"/>
    <w:rsid w:val="28CB21A2"/>
    <w:rsid w:val="28FF1356"/>
    <w:rsid w:val="29DA08EE"/>
    <w:rsid w:val="2A6308E4"/>
    <w:rsid w:val="2AE15CAC"/>
    <w:rsid w:val="2AF14141"/>
    <w:rsid w:val="2B0B17ED"/>
    <w:rsid w:val="2B2F41EC"/>
    <w:rsid w:val="2B55388A"/>
    <w:rsid w:val="2B675630"/>
    <w:rsid w:val="2B944ACD"/>
    <w:rsid w:val="2BA04A29"/>
    <w:rsid w:val="2BFB5EAA"/>
    <w:rsid w:val="2C452446"/>
    <w:rsid w:val="2C7216FE"/>
    <w:rsid w:val="2D6A4923"/>
    <w:rsid w:val="2D713318"/>
    <w:rsid w:val="2DEF11DD"/>
    <w:rsid w:val="2EA414CB"/>
    <w:rsid w:val="2ED85DFF"/>
    <w:rsid w:val="2EE16F5D"/>
    <w:rsid w:val="2F121362"/>
    <w:rsid w:val="2F2B615B"/>
    <w:rsid w:val="2F31153D"/>
    <w:rsid w:val="2FB0253E"/>
    <w:rsid w:val="30422245"/>
    <w:rsid w:val="30503D83"/>
    <w:rsid w:val="305C7D78"/>
    <w:rsid w:val="30E56911"/>
    <w:rsid w:val="31165A6E"/>
    <w:rsid w:val="31E35124"/>
    <w:rsid w:val="31E459A8"/>
    <w:rsid w:val="326242C7"/>
    <w:rsid w:val="32A221C5"/>
    <w:rsid w:val="32A9203B"/>
    <w:rsid w:val="33064502"/>
    <w:rsid w:val="33AB75BE"/>
    <w:rsid w:val="33B311D9"/>
    <w:rsid w:val="340053F5"/>
    <w:rsid w:val="347C1A96"/>
    <w:rsid w:val="34A9412D"/>
    <w:rsid w:val="34AF27F6"/>
    <w:rsid w:val="34D77326"/>
    <w:rsid w:val="35936CC5"/>
    <w:rsid w:val="35AD0EC9"/>
    <w:rsid w:val="35E95CB5"/>
    <w:rsid w:val="361527AC"/>
    <w:rsid w:val="36211653"/>
    <w:rsid w:val="3645713F"/>
    <w:rsid w:val="37051B32"/>
    <w:rsid w:val="37F83A5A"/>
    <w:rsid w:val="384750CA"/>
    <w:rsid w:val="38961AFF"/>
    <w:rsid w:val="38A22F53"/>
    <w:rsid w:val="38D330D8"/>
    <w:rsid w:val="38E70932"/>
    <w:rsid w:val="39600F87"/>
    <w:rsid w:val="39625A79"/>
    <w:rsid w:val="39626FA5"/>
    <w:rsid w:val="39732755"/>
    <w:rsid w:val="39761CB6"/>
    <w:rsid w:val="39930ABA"/>
    <w:rsid w:val="39A75C82"/>
    <w:rsid w:val="39D660FF"/>
    <w:rsid w:val="3A091780"/>
    <w:rsid w:val="3A134D06"/>
    <w:rsid w:val="3A281557"/>
    <w:rsid w:val="3A357430"/>
    <w:rsid w:val="3A390F56"/>
    <w:rsid w:val="3A3A0F35"/>
    <w:rsid w:val="3A9C574C"/>
    <w:rsid w:val="3AA46CD1"/>
    <w:rsid w:val="3AB53773"/>
    <w:rsid w:val="3AD923FD"/>
    <w:rsid w:val="3BE576A3"/>
    <w:rsid w:val="3BFF084E"/>
    <w:rsid w:val="3C006139"/>
    <w:rsid w:val="3C2459F9"/>
    <w:rsid w:val="3C47026A"/>
    <w:rsid w:val="3C591B47"/>
    <w:rsid w:val="3C6E6F84"/>
    <w:rsid w:val="3C7E0BE0"/>
    <w:rsid w:val="3CDE204C"/>
    <w:rsid w:val="3D247E88"/>
    <w:rsid w:val="3D2D3C93"/>
    <w:rsid w:val="3DA703AF"/>
    <w:rsid w:val="3DA91663"/>
    <w:rsid w:val="3DB0310D"/>
    <w:rsid w:val="3DF86104"/>
    <w:rsid w:val="3DFE4FF4"/>
    <w:rsid w:val="3E1A70B4"/>
    <w:rsid w:val="3E2F7944"/>
    <w:rsid w:val="3E8F7AA2"/>
    <w:rsid w:val="3EAB1F80"/>
    <w:rsid w:val="3ECD384A"/>
    <w:rsid w:val="3F0A2A48"/>
    <w:rsid w:val="3F8B0C6B"/>
    <w:rsid w:val="3F8B4C43"/>
    <w:rsid w:val="3FD76E79"/>
    <w:rsid w:val="3FF13861"/>
    <w:rsid w:val="40216A50"/>
    <w:rsid w:val="4024246B"/>
    <w:rsid w:val="402809F0"/>
    <w:rsid w:val="40552625"/>
    <w:rsid w:val="40624D42"/>
    <w:rsid w:val="40764F0D"/>
    <w:rsid w:val="407D2D61"/>
    <w:rsid w:val="41132F0D"/>
    <w:rsid w:val="4113352F"/>
    <w:rsid w:val="41297D39"/>
    <w:rsid w:val="41B8730F"/>
    <w:rsid w:val="421F1AE3"/>
    <w:rsid w:val="425F0370"/>
    <w:rsid w:val="426B2E12"/>
    <w:rsid w:val="429C453B"/>
    <w:rsid w:val="42AA059C"/>
    <w:rsid w:val="42B71375"/>
    <w:rsid w:val="42CE4669"/>
    <w:rsid w:val="42D6212F"/>
    <w:rsid w:val="42E46F09"/>
    <w:rsid w:val="430D368B"/>
    <w:rsid w:val="43256F7C"/>
    <w:rsid w:val="43283100"/>
    <w:rsid w:val="435F2FA9"/>
    <w:rsid w:val="43A074BD"/>
    <w:rsid w:val="43D85A47"/>
    <w:rsid w:val="44654E01"/>
    <w:rsid w:val="44737D0C"/>
    <w:rsid w:val="44783A68"/>
    <w:rsid w:val="44A314FC"/>
    <w:rsid w:val="44C36373"/>
    <w:rsid w:val="44F73F3C"/>
    <w:rsid w:val="452779D7"/>
    <w:rsid w:val="45667082"/>
    <w:rsid w:val="457C0654"/>
    <w:rsid w:val="45D109A0"/>
    <w:rsid w:val="4608502C"/>
    <w:rsid w:val="46694D94"/>
    <w:rsid w:val="470B1A25"/>
    <w:rsid w:val="471A6F33"/>
    <w:rsid w:val="474A5DE2"/>
    <w:rsid w:val="4753060C"/>
    <w:rsid w:val="47834C8E"/>
    <w:rsid w:val="47D2474A"/>
    <w:rsid w:val="47DB54FF"/>
    <w:rsid w:val="484F71FC"/>
    <w:rsid w:val="492434D0"/>
    <w:rsid w:val="494C2A79"/>
    <w:rsid w:val="49680D51"/>
    <w:rsid w:val="499C2095"/>
    <w:rsid w:val="49B02FC2"/>
    <w:rsid w:val="49E2526B"/>
    <w:rsid w:val="4A77763C"/>
    <w:rsid w:val="4A78407C"/>
    <w:rsid w:val="4A8C30E7"/>
    <w:rsid w:val="4A9B5A20"/>
    <w:rsid w:val="4AB022EE"/>
    <w:rsid w:val="4AB83EDC"/>
    <w:rsid w:val="4AFA6284"/>
    <w:rsid w:val="4B2D1795"/>
    <w:rsid w:val="4B843252"/>
    <w:rsid w:val="4BD25781"/>
    <w:rsid w:val="4BEA4569"/>
    <w:rsid w:val="4C016248"/>
    <w:rsid w:val="4C52400C"/>
    <w:rsid w:val="4C6D519A"/>
    <w:rsid w:val="4CDB272C"/>
    <w:rsid w:val="4CE62DEA"/>
    <w:rsid w:val="4CF937B9"/>
    <w:rsid w:val="4D297313"/>
    <w:rsid w:val="4D3C7D71"/>
    <w:rsid w:val="4D3D06B4"/>
    <w:rsid w:val="4D593484"/>
    <w:rsid w:val="4D8370EF"/>
    <w:rsid w:val="4DEA4CF4"/>
    <w:rsid w:val="4DF41195"/>
    <w:rsid w:val="4EC062F0"/>
    <w:rsid w:val="4EF474AD"/>
    <w:rsid w:val="4F6E5466"/>
    <w:rsid w:val="4FBA4253"/>
    <w:rsid w:val="4FE779B5"/>
    <w:rsid w:val="4FEE5D40"/>
    <w:rsid w:val="50001A81"/>
    <w:rsid w:val="5011239A"/>
    <w:rsid w:val="50607477"/>
    <w:rsid w:val="50894012"/>
    <w:rsid w:val="50AA7C4D"/>
    <w:rsid w:val="50C11B33"/>
    <w:rsid w:val="51067449"/>
    <w:rsid w:val="512424FC"/>
    <w:rsid w:val="51BB14EE"/>
    <w:rsid w:val="521F62E9"/>
    <w:rsid w:val="522D76A3"/>
    <w:rsid w:val="52550E80"/>
    <w:rsid w:val="52AD5EA9"/>
    <w:rsid w:val="52BC29D7"/>
    <w:rsid w:val="52CD24EF"/>
    <w:rsid w:val="5342560B"/>
    <w:rsid w:val="53C02053"/>
    <w:rsid w:val="53DE62D7"/>
    <w:rsid w:val="5457344F"/>
    <w:rsid w:val="549E05E7"/>
    <w:rsid w:val="54D95566"/>
    <w:rsid w:val="552B1EEE"/>
    <w:rsid w:val="55455A5D"/>
    <w:rsid w:val="5548495D"/>
    <w:rsid w:val="555D0420"/>
    <w:rsid w:val="556C5FEF"/>
    <w:rsid w:val="55F14999"/>
    <w:rsid w:val="561F5B57"/>
    <w:rsid w:val="562E458D"/>
    <w:rsid w:val="56567F7E"/>
    <w:rsid w:val="56882CE5"/>
    <w:rsid w:val="56B40D97"/>
    <w:rsid w:val="56B829A0"/>
    <w:rsid w:val="56C65BD3"/>
    <w:rsid w:val="5714248B"/>
    <w:rsid w:val="573F32D8"/>
    <w:rsid w:val="574A05B2"/>
    <w:rsid w:val="577C5515"/>
    <w:rsid w:val="57A777B2"/>
    <w:rsid w:val="57A8352A"/>
    <w:rsid w:val="57CB20E6"/>
    <w:rsid w:val="57D52571"/>
    <w:rsid w:val="57FD4865"/>
    <w:rsid w:val="581C3D04"/>
    <w:rsid w:val="58682E02"/>
    <w:rsid w:val="586C0C93"/>
    <w:rsid w:val="588D2546"/>
    <w:rsid w:val="58B5397E"/>
    <w:rsid w:val="58EF7663"/>
    <w:rsid w:val="59456266"/>
    <w:rsid w:val="595709EA"/>
    <w:rsid w:val="598D7958"/>
    <w:rsid w:val="59B621C2"/>
    <w:rsid w:val="59D24E25"/>
    <w:rsid w:val="5A474A02"/>
    <w:rsid w:val="5A517EA9"/>
    <w:rsid w:val="5A5807D5"/>
    <w:rsid w:val="5A843DDB"/>
    <w:rsid w:val="5ADB79A9"/>
    <w:rsid w:val="5AF70051"/>
    <w:rsid w:val="5B00142F"/>
    <w:rsid w:val="5B171070"/>
    <w:rsid w:val="5B4E6F97"/>
    <w:rsid w:val="5BBB1CD5"/>
    <w:rsid w:val="5BDB783C"/>
    <w:rsid w:val="5C412991"/>
    <w:rsid w:val="5C497637"/>
    <w:rsid w:val="5C9B52C2"/>
    <w:rsid w:val="5CE84CF0"/>
    <w:rsid w:val="5CEC1E98"/>
    <w:rsid w:val="5D451A64"/>
    <w:rsid w:val="5D72407A"/>
    <w:rsid w:val="5DB5032A"/>
    <w:rsid w:val="5DB629CB"/>
    <w:rsid w:val="5E117F5A"/>
    <w:rsid w:val="5E174923"/>
    <w:rsid w:val="5E3623E4"/>
    <w:rsid w:val="5E456395"/>
    <w:rsid w:val="5E6B4C9D"/>
    <w:rsid w:val="5F010C38"/>
    <w:rsid w:val="5F021BA0"/>
    <w:rsid w:val="5F0C2A2C"/>
    <w:rsid w:val="5F1D4AC7"/>
    <w:rsid w:val="5FF41A82"/>
    <w:rsid w:val="602D7B4A"/>
    <w:rsid w:val="605955D5"/>
    <w:rsid w:val="60673909"/>
    <w:rsid w:val="60791B33"/>
    <w:rsid w:val="60DF64A9"/>
    <w:rsid w:val="6160324A"/>
    <w:rsid w:val="61606777"/>
    <w:rsid w:val="619E08CA"/>
    <w:rsid w:val="61C65A4B"/>
    <w:rsid w:val="61D42025"/>
    <w:rsid w:val="61E6268D"/>
    <w:rsid w:val="62480DE5"/>
    <w:rsid w:val="6266194A"/>
    <w:rsid w:val="626F534B"/>
    <w:rsid w:val="629266D1"/>
    <w:rsid w:val="62AB77B0"/>
    <w:rsid w:val="62C103BA"/>
    <w:rsid w:val="62F45DC3"/>
    <w:rsid w:val="63371D4C"/>
    <w:rsid w:val="63520F1A"/>
    <w:rsid w:val="639B2B52"/>
    <w:rsid w:val="63BE65AF"/>
    <w:rsid w:val="63DA4A6C"/>
    <w:rsid w:val="64236413"/>
    <w:rsid w:val="642541D6"/>
    <w:rsid w:val="643B7C76"/>
    <w:rsid w:val="644864D3"/>
    <w:rsid w:val="64634B85"/>
    <w:rsid w:val="64E03C5E"/>
    <w:rsid w:val="650C360A"/>
    <w:rsid w:val="6535412E"/>
    <w:rsid w:val="65444892"/>
    <w:rsid w:val="655A6925"/>
    <w:rsid w:val="6587423C"/>
    <w:rsid w:val="65907AD8"/>
    <w:rsid w:val="65A662C8"/>
    <w:rsid w:val="65CB0AF2"/>
    <w:rsid w:val="65FC5A08"/>
    <w:rsid w:val="66481A1E"/>
    <w:rsid w:val="669E00AA"/>
    <w:rsid w:val="66A774D5"/>
    <w:rsid w:val="66FE4F15"/>
    <w:rsid w:val="67192F85"/>
    <w:rsid w:val="67272AB4"/>
    <w:rsid w:val="673768F3"/>
    <w:rsid w:val="67EC5806"/>
    <w:rsid w:val="687F05CF"/>
    <w:rsid w:val="687F237F"/>
    <w:rsid w:val="68B56BC6"/>
    <w:rsid w:val="68E368B4"/>
    <w:rsid w:val="69073940"/>
    <w:rsid w:val="690A1053"/>
    <w:rsid w:val="691152C6"/>
    <w:rsid w:val="69321B42"/>
    <w:rsid w:val="693764BC"/>
    <w:rsid w:val="69653F73"/>
    <w:rsid w:val="69FB5277"/>
    <w:rsid w:val="6A032CC6"/>
    <w:rsid w:val="6A5D1C82"/>
    <w:rsid w:val="6AC567E1"/>
    <w:rsid w:val="6AD53C9A"/>
    <w:rsid w:val="6AE9477C"/>
    <w:rsid w:val="6B2C1F24"/>
    <w:rsid w:val="6B844604"/>
    <w:rsid w:val="6BAA311E"/>
    <w:rsid w:val="6BF66154"/>
    <w:rsid w:val="6C574E3E"/>
    <w:rsid w:val="6C5C2C34"/>
    <w:rsid w:val="6C6E6699"/>
    <w:rsid w:val="6CC10B56"/>
    <w:rsid w:val="6CC92B1F"/>
    <w:rsid w:val="6CD568F7"/>
    <w:rsid w:val="6CDF6F62"/>
    <w:rsid w:val="6D127ECD"/>
    <w:rsid w:val="6D150645"/>
    <w:rsid w:val="6D241DD6"/>
    <w:rsid w:val="6D365FCA"/>
    <w:rsid w:val="6D3777B2"/>
    <w:rsid w:val="6D396BC6"/>
    <w:rsid w:val="6D4A22B5"/>
    <w:rsid w:val="6D68758C"/>
    <w:rsid w:val="6D6A3304"/>
    <w:rsid w:val="6D6E03F0"/>
    <w:rsid w:val="6D782E13"/>
    <w:rsid w:val="6DC272D6"/>
    <w:rsid w:val="6DDF581C"/>
    <w:rsid w:val="6DF14D30"/>
    <w:rsid w:val="6E7A7577"/>
    <w:rsid w:val="6EC032C8"/>
    <w:rsid w:val="6ECF44DB"/>
    <w:rsid w:val="6ECF49A5"/>
    <w:rsid w:val="6EF70BC7"/>
    <w:rsid w:val="6F2574CC"/>
    <w:rsid w:val="6F327E52"/>
    <w:rsid w:val="6F7C5E7E"/>
    <w:rsid w:val="6FAA5CC4"/>
    <w:rsid w:val="6FE14E47"/>
    <w:rsid w:val="70020E75"/>
    <w:rsid w:val="70354329"/>
    <w:rsid w:val="7040659E"/>
    <w:rsid w:val="704D2F6D"/>
    <w:rsid w:val="70FA0F6D"/>
    <w:rsid w:val="710B62FE"/>
    <w:rsid w:val="711A1DBB"/>
    <w:rsid w:val="71600452"/>
    <w:rsid w:val="71933B30"/>
    <w:rsid w:val="71AF5789"/>
    <w:rsid w:val="71D90A58"/>
    <w:rsid w:val="720D1A96"/>
    <w:rsid w:val="721F5092"/>
    <w:rsid w:val="725B321B"/>
    <w:rsid w:val="728034EB"/>
    <w:rsid w:val="729079A5"/>
    <w:rsid w:val="729D1757"/>
    <w:rsid w:val="72DF209E"/>
    <w:rsid w:val="72E447E4"/>
    <w:rsid w:val="72FD42D3"/>
    <w:rsid w:val="73087D7C"/>
    <w:rsid w:val="73202955"/>
    <w:rsid w:val="732F5793"/>
    <w:rsid w:val="73AD5CF9"/>
    <w:rsid w:val="74090C9D"/>
    <w:rsid w:val="74182341"/>
    <w:rsid w:val="741E75EC"/>
    <w:rsid w:val="74621649"/>
    <w:rsid w:val="746777EE"/>
    <w:rsid w:val="747509E5"/>
    <w:rsid w:val="74CB4ECE"/>
    <w:rsid w:val="74FF4332"/>
    <w:rsid w:val="750F6D76"/>
    <w:rsid w:val="751E4397"/>
    <w:rsid w:val="75377F70"/>
    <w:rsid w:val="75711D5F"/>
    <w:rsid w:val="75B2258E"/>
    <w:rsid w:val="75D54264"/>
    <w:rsid w:val="76630022"/>
    <w:rsid w:val="766A1C7F"/>
    <w:rsid w:val="766F18BF"/>
    <w:rsid w:val="76A46223"/>
    <w:rsid w:val="76C9109B"/>
    <w:rsid w:val="771953B8"/>
    <w:rsid w:val="772C10D5"/>
    <w:rsid w:val="775B51F5"/>
    <w:rsid w:val="77672E55"/>
    <w:rsid w:val="778D031B"/>
    <w:rsid w:val="77FC3C31"/>
    <w:rsid w:val="78123D16"/>
    <w:rsid w:val="78252782"/>
    <w:rsid w:val="785745C4"/>
    <w:rsid w:val="785E4E66"/>
    <w:rsid w:val="78615304"/>
    <w:rsid w:val="78AE2384"/>
    <w:rsid w:val="78AE5234"/>
    <w:rsid w:val="790E7239"/>
    <w:rsid w:val="79206DE5"/>
    <w:rsid w:val="79243EA0"/>
    <w:rsid w:val="79454D40"/>
    <w:rsid w:val="795822D1"/>
    <w:rsid w:val="79683022"/>
    <w:rsid w:val="79935C7F"/>
    <w:rsid w:val="79AD445D"/>
    <w:rsid w:val="79DD093B"/>
    <w:rsid w:val="79ED7F12"/>
    <w:rsid w:val="7A0D1241"/>
    <w:rsid w:val="7A18594C"/>
    <w:rsid w:val="7A2218BD"/>
    <w:rsid w:val="7A872302"/>
    <w:rsid w:val="7A8C494C"/>
    <w:rsid w:val="7A93431E"/>
    <w:rsid w:val="7A9B2A15"/>
    <w:rsid w:val="7A9B4AFD"/>
    <w:rsid w:val="7AFA13F1"/>
    <w:rsid w:val="7B231E74"/>
    <w:rsid w:val="7B281A0E"/>
    <w:rsid w:val="7B682CA3"/>
    <w:rsid w:val="7BF5023D"/>
    <w:rsid w:val="7C035159"/>
    <w:rsid w:val="7C1C1C6D"/>
    <w:rsid w:val="7C4255AD"/>
    <w:rsid w:val="7CBA2E40"/>
    <w:rsid w:val="7CBE6E82"/>
    <w:rsid w:val="7CFB2D3F"/>
    <w:rsid w:val="7D034BDB"/>
    <w:rsid w:val="7DA57A41"/>
    <w:rsid w:val="7DBB1012"/>
    <w:rsid w:val="7DBE77E1"/>
    <w:rsid w:val="7E065C22"/>
    <w:rsid w:val="7E454517"/>
    <w:rsid w:val="7E8F54EC"/>
    <w:rsid w:val="7ED76320"/>
    <w:rsid w:val="7EE2259A"/>
    <w:rsid w:val="7EFB200E"/>
    <w:rsid w:val="7F325087"/>
    <w:rsid w:val="7F3E2DCE"/>
    <w:rsid w:val="7F522508"/>
    <w:rsid w:val="7F590AE3"/>
    <w:rsid w:val="7F5E723F"/>
    <w:rsid w:val="7FC021E9"/>
  </w:rsids>
  <m:mathPr>
    <m:mathFont m:val="Cambria Math"/>
    <m:brkBin m:val="before"/>
    <m:brkBinSub m:val="--"/>
    <m:smallFrac m:val="0"/>
    <m:dispDef/>
    <m:lMargin m:val="0"/>
    <m:rMargin m:val="0"/>
    <m:defJc m:val="centerGroup"/>
    <m:wrapRight m:val="1"/>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uiPriority="0" w:name="table of figures"/>
    <w:lsdException w:uiPriority="0" w:name="envelope address"/>
    <w:lsdException w:uiPriority="0" w:name="envelope return"/>
    <w:lsdException w:qFormat="1" w:unhideWhenUsed="0" w:uiPriority="0" w:semiHidden="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qFormat="1" w:unhideWhenUsed="0" w:uiPriority="0" w:semiHidden="0" w:name="endnote text"/>
    <w:lsdException w:qFormat="1" w:unhideWhenUsed="0" w:uiPriority="0" w:semiHidden="0" w:name="table of authorities"/>
    <w:lsdException w:uiPriority="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uiPriority="0" w:name="List 4"/>
    <w:lsdException w:uiPriority="0" w:name="List 5"/>
    <w:lsdException w:uiPriority="0" w:name="List Bullet 2"/>
    <w:lsdException w:qFormat="1" w:unhideWhenUsed="0" w:uiPriority="0" w:semiHidden="0" w:name="List Bullet 3"/>
    <w:lsdException w:uiPriority="0" w:name="List Bullet 4"/>
    <w:lsdException w:uiPriority="0" w:name="List Bullet 5"/>
    <w:lsdException w:qFormat="1" w:unhideWhenUsed="0" w:uiPriority="0" w:semiHidden="0" w:name="List Number 2"/>
    <w:lsdException w:uiPriority="0" w:name="List Number 3"/>
    <w:lsdException w:qFormat="1" w:unhideWhenUsed="0" w:uiPriority="0" w:semiHidden="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97"/>
    <w:qFormat/>
    <w:uiPriority w:val="0"/>
    <w:pPr>
      <w:keepNext/>
      <w:keepLines/>
      <w:spacing w:beforeLines="100" w:afterLines="100" w:line="360" w:lineRule="auto"/>
      <w:ind w:left="-735"/>
      <w:jc w:val="center"/>
      <w:outlineLvl w:val="0"/>
    </w:pPr>
    <w:rPr>
      <w:rFonts w:ascii="宋体"/>
      <w:b/>
      <w:bCs/>
      <w:kern w:val="44"/>
      <w:sz w:val="30"/>
      <w:szCs w:val="30"/>
    </w:rPr>
  </w:style>
  <w:style w:type="paragraph" w:styleId="4">
    <w:name w:val="heading 2"/>
    <w:basedOn w:val="1"/>
    <w:next w:val="1"/>
    <w:link w:val="107"/>
    <w:qFormat/>
    <w:uiPriority w:val="0"/>
    <w:pPr>
      <w:keepNext/>
      <w:tabs>
        <w:tab w:val="left" w:pos="840"/>
        <w:tab w:val="left" w:pos="1692"/>
      </w:tabs>
      <w:spacing w:beforeLines="50" w:line="360" w:lineRule="auto"/>
      <w:ind w:left="2492" w:hanging="692"/>
      <w:outlineLvl w:val="1"/>
    </w:pPr>
    <w:rPr>
      <w:rFonts w:ascii="宋体" w:hAnsi="Arial"/>
      <w:b/>
      <w:bCs/>
      <w:sz w:val="24"/>
    </w:rPr>
  </w:style>
  <w:style w:type="paragraph" w:styleId="5">
    <w:name w:val="heading 3"/>
    <w:basedOn w:val="1"/>
    <w:next w:val="1"/>
    <w:link w:val="115"/>
    <w:qFormat/>
    <w:uiPriority w:val="0"/>
    <w:pPr>
      <w:keepNext/>
      <w:tabs>
        <w:tab w:val="left" w:pos="360"/>
      </w:tabs>
      <w:spacing w:beforeLines="50" w:line="460" w:lineRule="exact"/>
      <w:outlineLvl w:val="2"/>
    </w:pPr>
    <w:rPr>
      <w:rFonts w:ascii="宋体" w:hAnsi="宋体"/>
      <w:sz w:val="30"/>
      <w:szCs w:val="30"/>
    </w:rPr>
  </w:style>
  <w:style w:type="paragraph" w:styleId="6">
    <w:name w:val="heading 4"/>
    <w:basedOn w:val="1"/>
    <w:next w:val="1"/>
    <w:link w:val="178"/>
    <w:qFormat/>
    <w:uiPriority w:val="0"/>
    <w:pPr>
      <w:spacing w:line="300" w:lineRule="auto"/>
      <w:outlineLvl w:val="3"/>
    </w:pPr>
    <w:rPr>
      <w:rFonts w:ascii="宋体" w:hAnsi="Arial"/>
      <w:b/>
      <w:bCs/>
      <w:sz w:val="24"/>
    </w:rPr>
  </w:style>
  <w:style w:type="paragraph" w:styleId="7">
    <w:name w:val="heading 5"/>
    <w:basedOn w:val="4"/>
    <w:next w:val="1"/>
    <w:link w:val="197"/>
    <w:qFormat/>
    <w:uiPriority w:val="0"/>
    <w:pPr>
      <w:keepLines/>
      <w:tabs>
        <w:tab w:val="clear" w:pos="840"/>
      </w:tabs>
      <w:adjustRightInd w:val="0"/>
      <w:spacing w:beforeLines="0" w:line="360" w:lineRule="atLeast"/>
      <w:ind w:left="0" w:firstLine="0"/>
      <w:textAlignment w:val="baseline"/>
      <w:outlineLvl w:val="4"/>
    </w:pPr>
    <w:rPr>
      <w:rFonts w:ascii="Times New Roman" w:hAnsi="Times New Roman"/>
      <w:b w:val="0"/>
      <w:bCs w:val="0"/>
      <w:kern w:val="0"/>
      <w:szCs w:val="20"/>
    </w:rPr>
  </w:style>
  <w:style w:type="paragraph" w:styleId="8">
    <w:name w:val="heading 6"/>
    <w:basedOn w:val="4"/>
    <w:next w:val="1"/>
    <w:link w:val="128"/>
    <w:qFormat/>
    <w:uiPriority w:val="0"/>
    <w:pPr>
      <w:keepLines/>
      <w:tabs>
        <w:tab w:val="clear" w:pos="840"/>
      </w:tabs>
      <w:adjustRightInd w:val="0"/>
      <w:spacing w:beforeLines="0" w:line="360" w:lineRule="atLeast"/>
      <w:ind w:left="0" w:firstLine="0"/>
      <w:textAlignment w:val="baseline"/>
      <w:outlineLvl w:val="5"/>
    </w:pPr>
    <w:rPr>
      <w:rFonts w:ascii="Times New Roman" w:hAnsi="Times New Roman"/>
      <w:b w:val="0"/>
      <w:bCs w:val="0"/>
      <w:kern w:val="0"/>
      <w:szCs w:val="20"/>
    </w:rPr>
  </w:style>
  <w:style w:type="paragraph" w:styleId="9">
    <w:name w:val="heading 7"/>
    <w:basedOn w:val="1"/>
    <w:next w:val="1"/>
    <w:link w:val="166"/>
    <w:qFormat/>
    <w:uiPriority w:val="0"/>
    <w:pPr>
      <w:keepNext/>
      <w:keepLines/>
      <w:adjustRightInd w:val="0"/>
      <w:spacing w:line="360" w:lineRule="atLeast"/>
      <w:textAlignment w:val="baseline"/>
      <w:outlineLvl w:val="6"/>
    </w:pPr>
    <w:rPr>
      <w:kern w:val="0"/>
      <w:sz w:val="24"/>
      <w:szCs w:val="20"/>
    </w:rPr>
  </w:style>
  <w:style w:type="paragraph" w:styleId="10">
    <w:name w:val="heading 8"/>
    <w:basedOn w:val="9"/>
    <w:next w:val="1"/>
    <w:link w:val="121"/>
    <w:qFormat/>
    <w:uiPriority w:val="0"/>
    <w:pPr>
      <w:outlineLvl w:val="7"/>
    </w:pPr>
  </w:style>
  <w:style w:type="paragraph" w:styleId="11">
    <w:name w:val="heading 9"/>
    <w:basedOn w:val="1"/>
    <w:next w:val="1"/>
    <w:link w:val="154"/>
    <w:qFormat/>
    <w:uiPriority w:val="0"/>
    <w:pPr>
      <w:keepNext/>
      <w:keepLines/>
      <w:adjustRightInd w:val="0"/>
      <w:spacing w:line="360" w:lineRule="atLeast"/>
      <w:textAlignment w:val="baseline"/>
      <w:outlineLvl w:val="8"/>
    </w:pPr>
    <w:rPr>
      <w:kern w:val="0"/>
      <w:sz w:val="24"/>
      <w:szCs w:val="20"/>
    </w:rPr>
  </w:style>
  <w:style w:type="character" w:default="1" w:styleId="70">
    <w:name w:val="Default Paragraph Font"/>
    <w:semiHidden/>
    <w:unhideWhenUsed/>
    <w:qFormat/>
    <w:uiPriority w:val="1"/>
  </w:style>
  <w:style w:type="table" w:default="1" w:styleId="68">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163"/>
    <w:qFormat/>
    <w:uiPriority w:val="0"/>
    <w:rPr>
      <w:sz w:val="28"/>
    </w:rPr>
  </w:style>
  <w:style w:type="paragraph" w:styleId="12">
    <w:name w:val="List 3"/>
    <w:basedOn w:val="1"/>
    <w:qFormat/>
    <w:uiPriority w:val="0"/>
    <w:pPr>
      <w:ind w:left="100" w:leftChars="400" w:hanging="200" w:hangingChars="200"/>
    </w:pPr>
  </w:style>
  <w:style w:type="paragraph" w:styleId="13">
    <w:name w:val="toc 7"/>
    <w:basedOn w:val="1"/>
    <w:next w:val="1"/>
    <w:qFormat/>
    <w:uiPriority w:val="0"/>
    <w:pPr>
      <w:widowControl/>
      <w:ind w:left="1440"/>
      <w:jc w:val="left"/>
    </w:pPr>
    <w:rPr>
      <w:kern w:val="0"/>
      <w:sz w:val="18"/>
      <w:szCs w:val="18"/>
    </w:rPr>
  </w:style>
  <w:style w:type="paragraph" w:styleId="14">
    <w:name w:val="List Number 2"/>
    <w:basedOn w:val="1"/>
    <w:qFormat/>
    <w:uiPriority w:val="0"/>
    <w:pPr>
      <w:tabs>
        <w:tab w:val="left" w:pos="360"/>
        <w:tab w:val="left" w:pos="1200"/>
      </w:tabs>
      <w:jc w:val="left"/>
    </w:pPr>
    <w:rPr>
      <w:rFonts w:cs="Arial"/>
      <w:sz w:val="28"/>
      <w:szCs w:val="20"/>
    </w:rPr>
  </w:style>
  <w:style w:type="paragraph" w:styleId="15">
    <w:name w:val="table of authorities"/>
    <w:basedOn w:val="1"/>
    <w:next w:val="1"/>
    <w:qFormat/>
    <w:uiPriority w:val="0"/>
    <w:pPr>
      <w:ind w:left="420" w:leftChars="200"/>
    </w:pPr>
  </w:style>
  <w:style w:type="paragraph" w:styleId="16">
    <w:name w:val="index 8"/>
    <w:basedOn w:val="1"/>
    <w:next w:val="1"/>
    <w:qFormat/>
    <w:uiPriority w:val="0"/>
    <w:pPr>
      <w:spacing w:line="440" w:lineRule="exact"/>
      <w:ind w:left="1400" w:leftChars="1400" w:firstLine="300" w:firstLineChars="300"/>
      <w:jc w:val="left"/>
    </w:pPr>
    <w:rPr>
      <w:rFonts w:ascii="华文细黑" w:hAnsi="华文细黑" w:cs="Arial"/>
      <w:kern w:val="0"/>
      <w:szCs w:val="21"/>
    </w:rPr>
  </w:style>
  <w:style w:type="paragraph" w:styleId="17">
    <w:name w:val="List Number"/>
    <w:basedOn w:val="1"/>
    <w:qFormat/>
    <w:uiPriority w:val="0"/>
    <w:pPr>
      <w:widowControl/>
      <w:overflowPunct w:val="0"/>
      <w:autoSpaceDE w:val="0"/>
      <w:autoSpaceDN w:val="0"/>
      <w:adjustRightInd w:val="0"/>
      <w:ind w:left="425" w:hanging="425"/>
      <w:textAlignment w:val="baseline"/>
    </w:pPr>
    <w:rPr>
      <w:rFonts w:hAnsi="Arial"/>
      <w:kern w:val="0"/>
      <w:sz w:val="28"/>
      <w:szCs w:val="28"/>
    </w:rPr>
  </w:style>
  <w:style w:type="paragraph" w:styleId="18">
    <w:name w:val="Normal Indent"/>
    <w:basedOn w:val="1"/>
    <w:link w:val="94"/>
    <w:qFormat/>
    <w:uiPriority w:val="0"/>
    <w:pPr>
      <w:widowControl/>
      <w:ind w:firstLine="420"/>
      <w:jc w:val="left"/>
    </w:pPr>
    <w:rPr>
      <w:kern w:val="0"/>
      <w:sz w:val="20"/>
      <w:szCs w:val="20"/>
    </w:rPr>
  </w:style>
  <w:style w:type="paragraph" w:styleId="19">
    <w:name w:val="caption"/>
    <w:basedOn w:val="1"/>
    <w:next w:val="1"/>
    <w:qFormat/>
    <w:uiPriority w:val="0"/>
    <w:rPr>
      <w:rFonts w:ascii="Cambria" w:hAnsi="Cambria" w:eastAsia="黑体"/>
      <w:sz w:val="20"/>
      <w:szCs w:val="20"/>
    </w:rPr>
  </w:style>
  <w:style w:type="paragraph" w:styleId="20">
    <w:name w:val="index 5"/>
    <w:basedOn w:val="1"/>
    <w:next w:val="1"/>
    <w:qFormat/>
    <w:uiPriority w:val="0"/>
    <w:pPr>
      <w:spacing w:line="440" w:lineRule="exact"/>
      <w:ind w:left="800" w:leftChars="800" w:firstLine="300" w:firstLineChars="300"/>
      <w:jc w:val="left"/>
    </w:pPr>
    <w:rPr>
      <w:rFonts w:ascii="华文细黑" w:hAnsi="华文细黑" w:cs="Arial"/>
      <w:kern w:val="0"/>
      <w:szCs w:val="21"/>
    </w:rPr>
  </w:style>
  <w:style w:type="paragraph" w:styleId="21">
    <w:name w:val="List Bullet"/>
    <w:basedOn w:val="1"/>
    <w:qFormat/>
    <w:uiPriority w:val="0"/>
    <w:pPr>
      <w:tabs>
        <w:tab w:val="left" w:pos="360"/>
      </w:tabs>
      <w:ind w:left="720" w:hanging="720"/>
    </w:pPr>
  </w:style>
  <w:style w:type="paragraph" w:styleId="22">
    <w:name w:val="Document Map"/>
    <w:basedOn w:val="1"/>
    <w:link w:val="91"/>
    <w:qFormat/>
    <w:uiPriority w:val="0"/>
    <w:pPr>
      <w:shd w:val="clear" w:color="auto" w:fill="000080"/>
    </w:pPr>
  </w:style>
  <w:style w:type="paragraph" w:styleId="23">
    <w:name w:val="toa heading"/>
    <w:basedOn w:val="1"/>
    <w:next w:val="1"/>
    <w:qFormat/>
    <w:uiPriority w:val="0"/>
    <w:pPr>
      <w:spacing w:before="120"/>
    </w:pPr>
    <w:rPr>
      <w:rFonts w:ascii="Arial" w:hAnsi="Arial"/>
      <w:sz w:val="24"/>
      <w:szCs w:val="20"/>
    </w:rPr>
  </w:style>
  <w:style w:type="paragraph" w:styleId="24">
    <w:name w:val="annotation text"/>
    <w:basedOn w:val="1"/>
    <w:link w:val="95"/>
    <w:qFormat/>
    <w:uiPriority w:val="0"/>
    <w:pPr>
      <w:jc w:val="left"/>
    </w:pPr>
  </w:style>
  <w:style w:type="paragraph" w:styleId="25">
    <w:name w:val="index 6"/>
    <w:basedOn w:val="1"/>
    <w:next w:val="1"/>
    <w:qFormat/>
    <w:uiPriority w:val="0"/>
    <w:pPr>
      <w:spacing w:line="440" w:lineRule="exact"/>
      <w:ind w:left="1000" w:leftChars="1000" w:firstLine="300" w:firstLineChars="300"/>
      <w:jc w:val="left"/>
    </w:pPr>
    <w:rPr>
      <w:rFonts w:ascii="华文细黑" w:hAnsi="华文细黑" w:cs="Arial"/>
      <w:kern w:val="0"/>
      <w:szCs w:val="21"/>
    </w:rPr>
  </w:style>
  <w:style w:type="paragraph" w:styleId="26">
    <w:name w:val="Salutation"/>
    <w:basedOn w:val="1"/>
    <w:next w:val="1"/>
    <w:link w:val="135"/>
    <w:qFormat/>
    <w:uiPriority w:val="0"/>
    <w:pPr>
      <w:ind w:firstLine="630" w:firstLineChars="300"/>
      <w:jc w:val="left"/>
    </w:pPr>
    <w:rPr>
      <w:sz w:val="28"/>
      <w:szCs w:val="20"/>
    </w:rPr>
  </w:style>
  <w:style w:type="paragraph" w:styleId="27">
    <w:name w:val="Body Text 3"/>
    <w:basedOn w:val="1"/>
    <w:link w:val="194"/>
    <w:qFormat/>
    <w:uiPriority w:val="0"/>
    <w:rPr>
      <w:rFonts w:ascii="宋体" w:hAnsi="宋体"/>
      <w:color w:val="0000FF"/>
      <w:sz w:val="20"/>
    </w:rPr>
  </w:style>
  <w:style w:type="paragraph" w:styleId="28">
    <w:name w:val="List Bullet 3"/>
    <w:basedOn w:val="1"/>
    <w:qFormat/>
    <w:uiPriority w:val="0"/>
    <w:pPr>
      <w:tabs>
        <w:tab w:val="left" w:pos="1200"/>
      </w:tabs>
      <w:ind w:left="1200" w:hanging="360"/>
      <w:contextualSpacing/>
    </w:pPr>
  </w:style>
  <w:style w:type="paragraph" w:styleId="29">
    <w:name w:val="Body Text Indent"/>
    <w:basedOn w:val="1"/>
    <w:next w:val="1"/>
    <w:link w:val="195"/>
    <w:qFormat/>
    <w:uiPriority w:val="0"/>
    <w:pPr>
      <w:widowControl/>
      <w:overflowPunct w:val="0"/>
      <w:autoSpaceDE w:val="0"/>
      <w:autoSpaceDN w:val="0"/>
      <w:adjustRightInd w:val="0"/>
      <w:spacing w:line="360" w:lineRule="auto"/>
      <w:ind w:firstLine="540"/>
      <w:textAlignment w:val="baseline"/>
    </w:pPr>
    <w:rPr>
      <w:rFonts w:ascii="宋体" w:hAnsi="MS Sans Serif"/>
      <w:spacing w:val="12"/>
      <w:kern w:val="0"/>
      <w:sz w:val="24"/>
      <w:szCs w:val="20"/>
    </w:rPr>
  </w:style>
  <w:style w:type="paragraph" w:styleId="30">
    <w:name w:val="List 2"/>
    <w:basedOn w:val="1"/>
    <w:qFormat/>
    <w:uiPriority w:val="0"/>
    <w:pPr>
      <w:ind w:left="100" w:leftChars="200" w:hanging="200" w:hangingChars="200"/>
    </w:pPr>
  </w:style>
  <w:style w:type="paragraph" w:styleId="31">
    <w:name w:val="List Continue"/>
    <w:basedOn w:val="1"/>
    <w:qFormat/>
    <w:uiPriority w:val="0"/>
    <w:pPr>
      <w:spacing w:after="120"/>
      <w:ind w:left="420" w:leftChars="200"/>
    </w:pPr>
    <w:rPr>
      <w:sz w:val="28"/>
    </w:rPr>
  </w:style>
  <w:style w:type="paragraph" w:styleId="32">
    <w:name w:val="Block Text"/>
    <w:basedOn w:val="1"/>
    <w:qFormat/>
    <w:uiPriority w:val="0"/>
    <w:pPr>
      <w:adjustRightInd w:val="0"/>
      <w:ind w:left="420" w:right="33"/>
      <w:jc w:val="left"/>
      <w:textAlignment w:val="baseline"/>
    </w:pPr>
    <w:rPr>
      <w:kern w:val="0"/>
      <w:sz w:val="24"/>
      <w:szCs w:val="20"/>
    </w:rPr>
  </w:style>
  <w:style w:type="paragraph" w:styleId="33">
    <w:name w:val="index 4"/>
    <w:basedOn w:val="1"/>
    <w:next w:val="1"/>
    <w:qFormat/>
    <w:uiPriority w:val="0"/>
    <w:pPr>
      <w:ind w:left="600" w:leftChars="600"/>
    </w:pPr>
  </w:style>
  <w:style w:type="paragraph" w:styleId="34">
    <w:name w:val="toc 5"/>
    <w:basedOn w:val="1"/>
    <w:next w:val="1"/>
    <w:qFormat/>
    <w:uiPriority w:val="0"/>
    <w:pPr>
      <w:widowControl/>
      <w:ind w:left="960"/>
      <w:jc w:val="left"/>
    </w:pPr>
    <w:rPr>
      <w:kern w:val="0"/>
      <w:sz w:val="18"/>
      <w:szCs w:val="18"/>
    </w:rPr>
  </w:style>
  <w:style w:type="paragraph" w:styleId="35">
    <w:name w:val="toc 3"/>
    <w:basedOn w:val="1"/>
    <w:next w:val="1"/>
    <w:qFormat/>
    <w:uiPriority w:val="39"/>
    <w:pPr>
      <w:widowControl/>
      <w:tabs>
        <w:tab w:val="right" w:leader="dot" w:pos="9540"/>
      </w:tabs>
      <w:ind w:left="1" w:hanging="1"/>
      <w:jc w:val="left"/>
    </w:pPr>
    <w:rPr>
      <w:i/>
      <w:iCs/>
      <w:kern w:val="0"/>
      <w:sz w:val="20"/>
      <w:szCs w:val="20"/>
    </w:rPr>
  </w:style>
  <w:style w:type="paragraph" w:styleId="36">
    <w:name w:val="Plain Text"/>
    <w:basedOn w:val="1"/>
    <w:next w:val="1"/>
    <w:link w:val="174"/>
    <w:qFormat/>
    <w:uiPriority w:val="0"/>
    <w:rPr>
      <w:rFonts w:ascii="宋体" w:hAnsi="Courier New"/>
      <w:szCs w:val="20"/>
    </w:rPr>
  </w:style>
  <w:style w:type="paragraph" w:styleId="37">
    <w:name w:val="List Number 4"/>
    <w:basedOn w:val="1"/>
    <w:qFormat/>
    <w:uiPriority w:val="0"/>
    <w:pPr>
      <w:widowControl/>
      <w:tabs>
        <w:tab w:val="left" w:pos="847"/>
        <w:tab w:val="left" w:pos="1209"/>
        <w:tab w:val="left" w:pos="1418"/>
        <w:tab w:val="left" w:pos="1728"/>
        <w:tab w:val="left" w:pos="2160"/>
        <w:tab w:val="left" w:pos="6521"/>
      </w:tabs>
      <w:ind w:left="1209" w:hanging="420"/>
    </w:pPr>
    <w:rPr>
      <w:rFonts w:ascii="Arial" w:hAnsi="Arial"/>
      <w:kern w:val="0"/>
      <w:sz w:val="22"/>
      <w:szCs w:val="20"/>
      <w:lang w:val="en-GB"/>
    </w:rPr>
  </w:style>
  <w:style w:type="paragraph" w:styleId="38">
    <w:name w:val="toc 8"/>
    <w:basedOn w:val="1"/>
    <w:next w:val="1"/>
    <w:qFormat/>
    <w:uiPriority w:val="0"/>
    <w:pPr>
      <w:widowControl/>
      <w:ind w:left="1680"/>
      <w:jc w:val="left"/>
    </w:pPr>
    <w:rPr>
      <w:kern w:val="0"/>
      <w:sz w:val="18"/>
      <w:szCs w:val="18"/>
    </w:rPr>
  </w:style>
  <w:style w:type="paragraph" w:styleId="39">
    <w:name w:val="index 3"/>
    <w:basedOn w:val="1"/>
    <w:next w:val="1"/>
    <w:qFormat/>
    <w:uiPriority w:val="0"/>
    <w:pPr>
      <w:spacing w:line="440" w:lineRule="exact"/>
      <w:ind w:left="400" w:leftChars="400" w:firstLine="300" w:firstLineChars="300"/>
      <w:jc w:val="left"/>
    </w:pPr>
    <w:rPr>
      <w:rFonts w:ascii="华文细黑" w:hAnsi="华文细黑" w:cs="Arial"/>
      <w:kern w:val="0"/>
      <w:szCs w:val="21"/>
    </w:rPr>
  </w:style>
  <w:style w:type="paragraph" w:styleId="40">
    <w:name w:val="Date"/>
    <w:basedOn w:val="1"/>
    <w:next w:val="1"/>
    <w:link w:val="86"/>
    <w:qFormat/>
    <w:uiPriority w:val="0"/>
    <w:rPr>
      <w:sz w:val="24"/>
      <w:szCs w:val="20"/>
    </w:rPr>
  </w:style>
  <w:style w:type="paragraph" w:styleId="41">
    <w:name w:val="Body Text Indent 2"/>
    <w:basedOn w:val="1"/>
    <w:link w:val="170"/>
    <w:qFormat/>
    <w:uiPriority w:val="0"/>
    <w:pPr>
      <w:spacing w:line="360" w:lineRule="auto"/>
      <w:ind w:left="945" w:leftChars="450" w:firstLine="420"/>
    </w:pPr>
    <w:rPr>
      <w:rFonts w:ascii="宋体"/>
      <w:szCs w:val="21"/>
    </w:rPr>
  </w:style>
  <w:style w:type="paragraph" w:styleId="42">
    <w:name w:val="endnote text"/>
    <w:basedOn w:val="1"/>
    <w:link w:val="153"/>
    <w:qFormat/>
    <w:uiPriority w:val="0"/>
    <w:pPr>
      <w:widowControl/>
      <w:snapToGrid w:val="0"/>
      <w:jc w:val="left"/>
    </w:pPr>
    <w:rPr>
      <w:kern w:val="0"/>
      <w:sz w:val="20"/>
      <w:szCs w:val="20"/>
    </w:rPr>
  </w:style>
  <w:style w:type="paragraph" w:styleId="43">
    <w:name w:val="Balloon Text"/>
    <w:basedOn w:val="1"/>
    <w:link w:val="120"/>
    <w:qFormat/>
    <w:uiPriority w:val="0"/>
    <w:pPr>
      <w:widowControl/>
      <w:jc w:val="left"/>
    </w:pPr>
    <w:rPr>
      <w:kern w:val="0"/>
      <w:sz w:val="18"/>
      <w:szCs w:val="18"/>
    </w:rPr>
  </w:style>
  <w:style w:type="paragraph" w:styleId="44">
    <w:name w:val="footer"/>
    <w:basedOn w:val="1"/>
    <w:link w:val="182"/>
    <w:qFormat/>
    <w:uiPriority w:val="99"/>
    <w:pPr>
      <w:tabs>
        <w:tab w:val="center" w:pos="4153"/>
        <w:tab w:val="right" w:pos="8306"/>
      </w:tabs>
      <w:snapToGrid w:val="0"/>
      <w:jc w:val="left"/>
    </w:pPr>
    <w:rPr>
      <w:sz w:val="18"/>
      <w:szCs w:val="18"/>
    </w:rPr>
  </w:style>
  <w:style w:type="paragraph" w:styleId="45">
    <w:name w:val="header"/>
    <w:basedOn w:val="1"/>
    <w:link w:val="180"/>
    <w:qFormat/>
    <w:uiPriority w:val="0"/>
    <w:pPr>
      <w:pBdr>
        <w:bottom w:val="single" w:color="auto" w:sz="6" w:space="1"/>
      </w:pBdr>
      <w:tabs>
        <w:tab w:val="center" w:pos="4153"/>
        <w:tab w:val="right" w:pos="8306"/>
      </w:tabs>
      <w:snapToGrid w:val="0"/>
      <w:jc w:val="center"/>
    </w:pPr>
    <w:rPr>
      <w:sz w:val="18"/>
      <w:szCs w:val="18"/>
    </w:rPr>
  </w:style>
  <w:style w:type="paragraph" w:styleId="46">
    <w:name w:val="toc 1"/>
    <w:basedOn w:val="1"/>
    <w:next w:val="1"/>
    <w:qFormat/>
    <w:uiPriority w:val="39"/>
    <w:pPr>
      <w:widowControl/>
      <w:tabs>
        <w:tab w:val="right" w:leader="dot" w:pos="9540"/>
      </w:tabs>
      <w:spacing w:before="120" w:after="120"/>
      <w:jc w:val="left"/>
    </w:pPr>
    <w:rPr>
      <w:b/>
      <w:bCs/>
      <w:caps/>
      <w:kern w:val="0"/>
      <w:sz w:val="20"/>
      <w:szCs w:val="20"/>
    </w:rPr>
  </w:style>
  <w:style w:type="paragraph" w:styleId="47">
    <w:name w:val="toc 4"/>
    <w:basedOn w:val="1"/>
    <w:next w:val="1"/>
    <w:qFormat/>
    <w:uiPriority w:val="0"/>
    <w:pPr>
      <w:widowControl/>
      <w:ind w:left="720"/>
      <w:jc w:val="left"/>
    </w:pPr>
    <w:rPr>
      <w:kern w:val="0"/>
      <w:sz w:val="18"/>
      <w:szCs w:val="18"/>
    </w:rPr>
  </w:style>
  <w:style w:type="paragraph" w:styleId="48">
    <w:name w:val="index heading"/>
    <w:basedOn w:val="1"/>
    <w:next w:val="49"/>
    <w:qFormat/>
    <w:uiPriority w:val="0"/>
    <w:pPr>
      <w:spacing w:line="440" w:lineRule="exact"/>
      <w:ind w:firstLine="630" w:firstLineChars="300"/>
      <w:jc w:val="left"/>
    </w:pPr>
    <w:rPr>
      <w:rFonts w:ascii="华文细黑" w:hAnsi="华文细黑" w:cs="Arial"/>
      <w:kern w:val="0"/>
      <w:szCs w:val="21"/>
    </w:rPr>
  </w:style>
  <w:style w:type="paragraph" w:styleId="49">
    <w:name w:val="index 1"/>
    <w:basedOn w:val="1"/>
    <w:next w:val="1"/>
    <w:qFormat/>
    <w:uiPriority w:val="0"/>
    <w:pPr>
      <w:ind w:firstLine="480" w:firstLineChars="200"/>
      <w:jc w:val="center"/>
    </w:pPr>
    <w:rPr>
      <w:sz w:val="24"/>
    </w:rPr>
  </w:style>
  <w:style w:type="paragraph" w:styleId="50">
    <w:name w:val="Subtitle"/>
    <w:basedOn w:val="1"/>
    <w:link w:val="198"/>
    <w:qFormat/>
    <w:uiPriority w:val="0"/>
    <w:pPr>
      <w:spacing w:before="240" w:after="60" w:line="312" w:lineRule="auto"/>
      <w:jc w:val="center"/>
      <w:outlineLvl w:val="1"/>
    </w:pPr>
    <w:rPr>
      <w:rFonts w:ascii="Arial" w:hAnsi="Arial"/>
      <w:b/>
      <w:bCs/>
      <w:kern w:val="28"/>
      <w:sz w:val="32"/>
      <w:szCs w:val="32"/>
    </w:rPr>
  </w:style>
  <w:style w:type="paragraph" w:styleId="51">
    <w:name w:val="List"/>
    <w:basedOn w:val="1"/>
    <w:qFormat/>
    <w:uiPriority w:val="0"/>
    <w:pPr>
      <w:ind w:left="200" w:hanging="200" w:hangingChars="200"/>
    </w:pPr>
    <w:rPr>
      <w:szCs w:val="20"/>
    </w:rPr>
  </w:style>
  <w:style w:type="paragraph" w:styleId="52">
    <w:name w:val="footnote text"/>
    <w:basedOn w:val="1"/>
    <w:link w:val="199"/>
    <w:qFormat/>
    <w:uiPriority w:val="0"/>
    <w:pPr>
      <w:adjustRightInd w:val="0"/>
      <w:spacing w:line="312" w:lineRule="atLeast"/>
      <w:jc w:val="left"/>
      <w:textAlignment w:val="baseline"/>
    </w:pPr>
    <w:rPr>
      <w:kern w:val="0"/>
      <w:sz w:val="18"/>
      <w:szCs w:val="20"/>
    </w:rPr>
  </w:style>
  <w:style w:type="paragraph" w:styleId="53">
    <w:name w:val="toc 6"/>
    <w:basedOn w:val="1"/>
    <w:next w:val="1"/>
    <w:qFormat/>
    <w:uiPriority w:val="0"/>
    <w:pPr>
      <w:widowControl/>
      <w:ind w:left="1200"/>
      <w:jc w:val="left"/>
    </w:pPr>
    <w:rPr>
      <w:kern w:val="0"/>
      <w:sz w:val="18"/>
      <w:szCs w:val="18"/>
    </w:rPr>
  </w:style>
  <w:style w:type="paragraph" w:styleId="54">
    <w:name w:val="Body Text Indent 3"/>
    <w:basedOn w:val="1"/>
    <w:link w:val="112"/>
    <w:qFormat/>
    <w:uiPriority w:val="0"/>
    <w:pPr>
      <w:spacing w:line="360" w:lineRule="auto"/>
      <w:ind w:left="945" w:leftChars="450"/>
    </w:pPr>
    <w:rPr>
      <w:rFonts w:ascii="宋体"/>
      <w:szCs w:val="21"/>
    </w:rPr>
  </w:style>
  <w:style w:type="paragraph" w:styleId="55">
    <w:name w:val="index 7"/>
    <w:basedOn w:val="1"/>
    <w:next w:val="1"/>
    <w:qFormat/>
    <w:uiPriority w:val="0"/>
    <w:pPr>
      <w:spacing w:line="440" w:lineRule="exact"/>
      <w:ind w:left="1200" w:leftChars="1200" w:firstLine="300" w:firstLineChars="300"/>
      <w:jc w:val="left"/>
    </w:pPr>
    <w:rPr>
      <w:rFonts w:ascii="华文细黑" w:hAnsi="华文细黑" w:cs="Arial"/>
      <w:kern w:val="0"/>
      <w:szCs w:val="21"/>
    </w:rPr>
  </w:style>
  <w:style w:type="paragraph" w:styleId="56">
    <w:name w:val="index 9"/>
    <w:basedOn w:val="1"/>
    <w:next w:val="1"/>
    <w:qFormat/>
    <w:uiPriority w:val="0"/>
    <w:pPr>
      <w:spacing w:line="440" w:lineRule="exact"/>
      <w:ind w:left="1600" w:leftChars="1600" w:firstLine="300" w:firstLineChars="300"/>
      <w:jc w:val="left"/>
    </w:pPr>
    <w:rPr>
      <w:rFonts w:ascii="华文细黑" w:hAnsi="华文细黑" w:cs="Arial"/>
      <w:kern w:val="0"/>
      <w:szCs w:val="21"/>
    </w:rPr>
  </w:style>
  <w:style w:type="paragraph" w:styleId="57">
    <w:name w:val="toc 2"/>
    <w:basedOn w:val="1"/>
    <w:next w:val="1"/>
    <w:qFormat/>
    <w:uiPriority w:val="39"/>
    <w:pPr>
      <w:widowControl/>
      <w:tabs>
        <w:tab w:val="right" w:leader="dot" w:pos="9540"/>
      </w:tabs>
      <w:ind w:left="240"/>
      <w:jc w:val="left"/>
    </w:pPr>
    <w:rPr>
      <w:smallCaps/>
      <w:kern w:val="0"/>
      <w:sz w:val="20"/>
      <w:szCs w:val="20"/>
    </w:rPr>
  </w:style>
  <w:style w:type="paragraph" w:styleId="58">
    <w:name w:val="toc 9"/>
    <w:basedOn w:val="1"/>
    <w:next w:val="1"/>
    <w:qFormat/>
    <w:uiPriority w:val="0"/>
    <w:pPr>
      <w:widowControl/>
      <w:ind w:left="1920"/>
      <w:jc w:val="left"/>
    </w:pPr>
    <w:rPr>
      <w:kern w:val="0"/>
      <w:sz w:val="18"/>
      <w:szCs w:val="18"/>
    </w:rPr>
  </w:style>
  <w:style w:type="paragraph" w:styleId="59">
    <w:name w:val="Body Text 2"/>
    <w:basedOn w:val="1"/>
    <w:link w:val="113"/>
    <w:qFormat/>
    <w:uiPriority w:val="0"/>
    <w:pPr>
      <w:spacing w:line="560" w:lineRule="exact"/>
      <w:jc w:val="center"/>
    </w:pPr>
    <w:rPr>
      <w:rFonts w:ascii="宋体" w:hAnsi="宋体"/>
      <w:color w:val="000000"/>
      <w:sz w:val="28"/>
    </w:rPr>
  </w:style>
  <w:style w:type="paragraph" w:styleId="60">
    <w:name w:val="List Continue 2"/>
    <w:basedOn w:val="1"/>
    <w:qFormat/>
    <w:uiPriority w:val="0"/>
    <w:pPr>
      <w:spacing w:after="120"/>
      <w:ind w:left="840" w:leftChars="400"/>
      <w:jc w:val="left"/>
    </w:pPr>
    <w:rPr>
      <w:rFonts w:cs="Arial"/>
      <w:szCs w:val="21"/>
    </w:rPr>
  </w:style>
  <w:style w:type="paragraph" w:styleId="61">
    <w:name w:val="HTML Preformatted"/>
    <w:basedOn w:val="1"/>
    <w:link w:val="21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rPr>
  </w:style>
  <w:style w:type="paragraph" w:styleId="62">
    <w:name w:val="Normal (Web)"/>
    <w:basedOn w:val="1"/>
    <w:qFormat/>
    <w:uiPriority w:val="0"/>
    <w:rPr>
      <w:sz w:val="24"/>
    </w:rPr>
  </w:style>
  <w:style w:type="paragraph" w:styleId="63">
    <w:name w:val="index 2"/>
    <w:basedOn w:val="1"/>
    <w:next w:val="1"/>
    <w:qFormat/>
    <w:uiPriority w:val="0"/>
    <w:pPr>
      <w:spacing w:line="440" w:lineRule="exact"/>
      <w:ind w:left="200" w:leftChars="200" w:firstLine="300" w:firstLineChars="300"/>
      <w:jc w:val="left"/>
    </w:pPr>
    <w:rPr>
      <w:rFonts w:ascii="华文细黑" w:hAnsi="华文细黑" w:cs="Arial"/>
      <w:kern w:val="0"/>
      <w:szCs w:val="21"/>
    </w:rPr>
  </w:style>
  <w:style w:type="paragraph" w:styleId="64">
    <w:name w:val="Title"/>
    <w:basedOn w:val="1"/>
    <w:next w:val="1"/>
    <w:link w:val="146"/>
    <w:qFormat/>
    <w:uiPriority w:val="0"/>
    <w:pPr>
      <w:spacing w:before="240" w:after="60"/>
      <w:jc w:val="center"/>
      <w:outlineLvl w:val="0"/>
    </w:pPr>
    <w:rPr>
      <w:rFonts w:ascii="Cambria" w:hAnsi="Cambria"/>
      <w:b/>
      <w:bCs/>
      <w:sz w:val="32"/>
      <w:szCs w:val="32"/>
    </w:rPr>
  </w:style>
  <w:style w:type="paragraph" w:styleId="65">
    <w:name w:val="annotation subject"/>
    <w:basedOn w:val="24"/>
    <w:next w:val="24"/>
    <w:link w:val="186"/>
    <w:qFormat/>
    <w:uiPriority w:val="0"/>
    <w:pPr>
      <w:widowControl/>
    </w:pPr>
    <w:rPr>
      <w:b/>
      <w:bCs/>
      <w:kern w:val="0"/>
      <w:sz w:val="24"/>
    </w:rPr>
  </w:style>
  <w:style w:type="paragraph" w:styleId="66">
    <w:name w:val="Body Text First Indent"/>
    <w:basedOn w:val="2"/>
    <w:link w:val="138"/>
    <w:qFormat/>
    <w:uiPriority w:val="0"/>
    <w:pPr>
      <w:spacing w:after="120"/>
      <w:ind w:firstLine="420" w:firstLineChars="100"/>
    </w:pPr>
  </w:style>
  <w:style w:type="paragraph" w:styleId="67">
    <w:name w:val="Body Text First Indent 2"/>
    <w:basedOn w:val="29"/>
    <w:next w:val="1"/>
    <w:link w:val="101"/>
    <w:qFormat/>
    <w:uiPriority w:val="0"/>
    <w:pPr>
      <w:widowControl w:val="0"/>
      <w:overflowPunct/>
      <w:autoSpaceDE/>
      <w:autoSpaceDN/>
      <w:adjustRightInd/>
      <w:spacing w:after="120" w:line="240" w:lineRule="auto"/>
      <w:ind w:left="420" w:leftChars="200" w:firstLine="420" w:firstLineChars="200"/>
      <w:textAlignment w:val="auto"/>
    </w:pPr>
    <w:rPr>
      <w:rFonts w:ascii="Times New Roman" w:hAnsi="Times New Roman"/>
      <w:spacing w:val="0"/>
      <w:kern w:val="2"/>
      <w:sz w:val="21"/>
    </w:rPr>
  </w:style>
  <w:style w:type="table" w:styleId="69">
    <w:name w:val="Table Grid"/>
    <w:basedOn w:val="6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71">
    <w:name w:val="Strong"/>
    <w:qFormat/>
    <w:uiPriority w:val="0"/>
    <w:rPr>
      <w:rFonts w:ascii="Times New Roman" w:hAnsi="Times New Roman" w:eastAsia="宋体" w:cs="Times New Roman"/>
      <w:b/>
      <w:bCs/>
    </w:rPr>
  </w:style>
  <w:style w:type="character" w:styleId="72">
    <w:name w:val="page number"/>
    <w:basedOn w:val="70"/>
    <w:qFormat/>
    <w:uiPriority w:val="0"/>
    <w:rPr>
      <w:rFonts w:ascii="Times New Roman" w:hAnsi="Times New Roman" w:eastAsia="宋体" w:cs="Times New Roman"/>
    </w:rPr>
  </w:style>
  <w:style w:type="character" w:styleId="73">
    <w:name w:val="FollowedHyperlink"/>
    <w:qFormat/>
    <w:uiPriority w:val="0"/>
    <w:rPr>
      <w:rFonts w:ascii="Times New Roman" w:hAnsi="Times New Roman" w:eastAsia="宋体" w:cs="Times New Roman"/>
      <w:color w:val="800080"/>
      <w:u w:val="single"/>
    </w:rPr>
  </w:style>
  <w:style w:type="character" w:styleId="74">
    <w:name w:val="Emphasis"/>
    <w:qFormat/>
    <w:uiPriority w:val="0"/>
    <w:rPr>
      <w:rFonts w:ascii="Times New Roman" w:hAnsi="Times New Roman" w:eastAsia="宋体" w:cs="Times New Roman"/>
      <w:i/>
      <w:iCs/>
    </w:rPr>
  </w:style>
  <w:style w:type="character" w:styleId="75">
    <w:name w:val="HTML Definition"/>
    <w:qFormat/>
    <w:uiPriority w:val="0"/>
    <w:rPr>
      <w:i/>
    </w:rPr>
  </w:style>
  <w:style w:type="character" w:styleId="76">
    <w:name w:val="Hyperlink"/>
    <w:qFormat/>
    <w:uiPriority w:val="99"/>
    <w:rPr>
      <w:rFonts w:ascii="Times New Roman" w:hAnsi="Times New Roman" w:eastAsia="宋体" w:cs="Times New Roman"/>
      <w:color w:val="0000FF"/>
      <w:u w:val="single"/>
    </w:rPr>
  </w:style>
  <w:style w:type="character" w:styleId="77">
    <w:name w:val="HTML Code"/>
    <w:qFormat/>
    <w:uiPriority w:val="0"/>
    <w:rPr>
      <w:rFonts w:hint="default" w:ascii="Consolas" w:hAnsi="Consolas" w:eastAsia="Consolas" w:cs="Consolas"/>
      <w:color w:val="C7254E"/>
      <w:sz w:val="21"/>
      <w:szCs w:val="21"/>
      <w:shd w:val="clear" w:color="auto" w:fill="F9F2F4"/>
    </w:rPr>
  </w:style>
  <w:style w:type="character" w:styleId="78">
    <w:name w:val="annotation reference"/>
    <w:qFormat/>
    <w:uiPriority w:val="0"/>
    <w:rPr>
      <w:rFonts w:ascii="Times New Roman" w:hAnsi="Times New Roman" w:eastAsia="宋体" w:cs="Times New Roman"/>
      <w:sz w:val="21"/>
      <w:szCs w:val="21"/>
    </w:rPr>
  </w:style>
  <w:style w:type="character" w:styleId="79">
    <w:name w:val="footnote reference"/>
    <w:qFormat/>
    <w:uiPriority w:val="0"/>
    <w:rPr>
      <w:rFonts w:ascii="Times New Roman" w:hAnsi="Times New Roman" w:eastAsia="宋体" w:cs="Times New Roman"/>
      <w:vertAlign w:val="superscript"/>
    </w:rPr>
  </w:style>
  <w:style w:type="character" w:styleId="80">
    <w:name w:val="HTML Keyboard"/>
    <w:qFormat/>
    <w:uiPriority w:val="0"/>
    <w:rPr>
      <w:rFonts w:hint="default" w:ascii="Consolas" w:hAnsi="Consolas" w:eastAsia="Consolas" w:cs="Consolas"/>
      <w:color w:val="FFFFFF"/>
      <w:sz w:val="21"/>
      <w:szCs w:val="21"/>
      <w:shd w:val="clear" w:color="auto" w:fill="333333"/>
    </w:rPr>
  </w:style>
  <w:style w:type="character" w:styleId="81">
    <w:name w:val="HTML Sample"/>
    <w:qFormat/>
    <w:uiPriority w:val="0"/>
    <w:rPr>
      <w:rFonts w:ascii="Consolas" w:hAnsi="Consolas" w:eastAsia="Consolas" w:cs="Consolas"/>
      <w:sz w:val="21"/>
      <w:szCs w:val="21"/>
    </w:rPr>
  </w:style>
  <w:style w:type="character" w:customStyle="1" w:styleId="82">
    <w:name w:val="标题 Char Char"/>
    <w:qFormat/>
    <w:uiPriority w:val="0"/>
    <w:rPr>
      <w:rFonts w:ascii="Times New Roman" w:hAnsi="Times New Roman" w:eastAsia="宋体" w:cs="Times New Roman"/>
      <w:b/>
      <w:kern w:val="2"/>
      <w:sz w:val="28"/>
      <w:szCs w:val="24"/>
      <w:lang w:val="en-US" w:eastAsia="zh-CN" w:bidi="ar-SA"/>
    </w:rPr>
  </w:style>
  <w:style w:type="character" w:customStyle="1" w:styleId="83">
    <w:name w:val="标题 Char2"/>
    <w:qFormat/>
    <w:uiPriority w:val="0"/>
    <w:rPr>
      <w:rFonts w:ascii="Calibri Light" w:hAnsi="Calibri Light" w:eastAsia="宋体" w:cs="Times New Roman"/>
      <w:b/>
      <w:bCs/>
      <w:kern w:val="2"/>
      <w:sz w:val="32"/>
      <w:szCs w:val="32"/>
    </w:rPr>
  </w:style>
  <w:style w:type="character" w:customStyle="1" w:styleId="84">
    <w:name w:val="普通文字 Char"/>
    <w:qFormat/>
    <w:uiPriority w:val="0"/>
    <w:rPr>
      <w:rFonts w:ascii="宋体" w:hAnsi="Courier New" w:eastAsia="宋体" w:cs="Times New Roman"/>
      <w:kern w:val="2"/>
      <w:sz w:val="21"/>
      <w:lang w:val="en-US" w:eastAsia="zh-CN" w:bidi="ar-SA"/>
    </w:rPr>
  </w:style>
  <w:style w:type="character" w:customStyle="1" w:styleId="85">
    <w:name w:val="公式 Char Char Char Char"/>
    <w:qFormat/>
    <w:uiPriority w:val="0"/>
    <w:rPr>
      <w:rFonts w:ascii="华文细黑" w:hAnsi="华文细黑" w:eastAsia="华文细黑" w:cs="Arial"/>
      <w:color w:val="000000"/>
      <w:sz w:val="30"/>
      <w:szCs w:val="28"/>
      <w:lang w:val="en-US" w:eastAsia="zh-CN" w:bidi="ar-SA"/>
    </w:rPr>
  </w:style>
  <w:style w:type="character" w:customStyle="1" w:styleId="86">
    <w:name w:val="日期 Char"/>
    <w:link w:val="40"/>
    <w:qFormat/>
    <w:uiPriority w:val="0"/>
    <w:rPr>
      <w:rFonts w:ascii="Times New Roman" w:hAnsi="Times New Roman" w:eastAsia="宋体" w:cs="Times New Roman"/>
      <w:kern w:val="2"/>
      <w:sz w:val="24"/>
    </w:rPr>
  </w:style>
  <w:style w:type="character" w:customStyle="1" w:styleId="87">
    <w:name w:val="u1 Char Char Char Char"/>
    <w:qFormat/>
    <w:uiPriority w:val="0"/>
    <w:rPr>
      <w:rFonts w:ascii="Times New Roman" w:hAnsi="Times New Roman" w:eastAsia="宋体" w:cs="Times New Roman"/>
      <w:b/>
      <w:bCs/>
      <w:kern w:val="2"/>
      <w:sz w:val="32"/>
      <w:szCs w:val="32"/>
      <w:lang w:val="en-US" w:eastAsia="zh-CN" w:bidi="ar-SA"/>
    </w:rPr>
  </w:style>
  <w:style w:type="character" w:customStyle="1" w:styleId="88">
    <w:name w:val="不明显参考1"/>
    <w:qFormat/>
    <w:uiPriority w:val="0"/>
    <w:rPr>
      <w:rFonts w:ascii="Times New Roman" w:hAnsi="Times New Roman" w:eastAsia="宋体" w:cs="Times New Roman"/>
      <w:smallCaps/>
      <w:color w:val="C0504D"/>
      <w:u w:val="single"/>
    </w:rPr>
  </w:style>
  <w:style w:type="character" w:customStyle="1" w:styleId="89">
    <w:name w:val="Default Char Char"/>
    <w:qFormat/>
    <w:uiPriority w:val="0"/>
    <w:rPr>
      <w:rFonts w:ascii="宋体" w:hAnsi="Times New Roman" w:eastAsia="宋体" w:cs="宋体"/>
      <w:color w:val="000000"/>
      <w:sz w:val="24"/>
      <w:szCs w:val="24"/>
      <w:lang w:val="en-US" w:eastAsia="zh-CN" w:bidi="ar-SA"/>
    </w:rPr>
  </w:style>
  <w:style w:type="character" w:customStyle="1" w:styleId="90">
    <w:name w:val="样式 正文文本缩进 + 首行缩进:  2 字符 Char Char"/>
    <w:qFormat/>
    <w:uiPriority w:val="0"/>
    <w:rPr>
      <w:rFonts w:ascii="Times New Roman" w:hAnsi="Times New Roman" w:eastAsia="宋体" w:cs="宋体"/>
      <w:sz w:val="24"/>
      <w:szCs w:val="24"/>
      <w:lang w:val="en-US" w:eastAsia="zh-CN" w:bidi="ar-SA"/>
    </w:rPr>
  </w:style>
  <w:style w:type="character" w:customStyle="1" w:styleId="91">
    <w:name w:val="文档结构图 Char"/>
    <w:link w:val="22"/>
    <w:qFormat/>
    <w:uiPriority w:val="0"/>
    <w:rPr>
      <w:rFonts w:ascii="Times New Roman" w:hAnsi="Times New Roman" w:eastAsia="宋体" w:cs="Times New Roman"/>
      <w:kern w:val="2"/>
      <w:sz w:val="21"/>
      <w:szCs w:val="24"/>
      <w:lang w:val="en-US" w:eastAsia="zh-CN" w:bidi="ar-SA"/>
    </w:rPr>
  </w:style>
  <w:style w:type="character" w:customStyle="1" w:styleId="92">
    <w:name w:val="Char Char151"/>
    <w:qFormat/>
    <w:uiPriority w:val="0"/>
    <w:rPr>
      <w:rFonts w:ascii="Times New Roman" w:hAnsi="Times New Roman" w:eastAsia="宋体" w:cs="Times New Roman"/>
      <w:b/>
      <w:bCs/>
      <w:kern w:val="44"/>
      <w:sz w:val="44"/>
      <w:szCs w:val="44"/>
      <w:lang w:val="en-US" w:eastAsia="zh-CN" w:bidi="ar-SA"/>
    </w:rPr>
  </w:style>
  <w:style w:type="character" w:customStyle="1" w:styleId="93">
    <w:name w:val="style11"/>
    <w:qFormat/>
    <w:uiPriority w:val="0"/>
    <w:rPr>
      <w:rFonts w:ascii="Times New Roman" w:hAnsi="Times New Roman" w:eastAsia="宋体" w:cs="Times New Roman"/>
      <w:b/>
      <w:bCs/>
    </w:rPr>
  </w:style>
  <w:style w:type="character" w:customStyle="1" w:styleId="94">
    <w:name w:val="正文缩进 Char"/>
    <w:link w:val="18"/>
    <w:qFormat/>
    <w:uiPriority w:val="0"/>
    <w:rPr>
      <w:rFonts w:ascii="Times New Roman" w:hAnsi="Times New Roman" w:eastAsia="宋体" w:cs="Times New Roman"/>
      <w:lang w:val="en-US" w:eastAsia="zh-CN" w:bidi="ar-SA"/>
    </w:rPr>
  </w:style>
  <w:style w:type="character" w:customStyle="1" w:styleId="95">
    <w:name w:val="批注文字 Char"/>
    <w:link w:val="24"/>
    <w:qFormat/>
    <w:uiPriority w:val="0"/>
    <w:rPr>
      <w:rFonts w:ascii="Times New Roman" w:hAnsi="Times New Roman" w:eastAsia="宋体" w:cs="Times New Roman"/>
      <w:kern w:val="2"/>
      <w:sz w:val="21"/>
      <w:szCs w:val="24"/>
      <w:lang w:val="en-US" w:eastAsia="zh-CN" w:bidi="ar-SA"/>
    </w:rPr>
  </w:style>
  <w:style w:type="character" w:customStyle="1" w:styleId="96">
    <w:name w:val="正文首行缩进 Char1"/>
    <w:qFormat/>
    <w:uiPriority w:val="0"/>
    <w:rPr>
      <w:rFonts w:ascii="Times New Roman" w:hAnsi="Times New Roman" w:eastAsia="宋体" w:cs="Times New Roman"/>
      <w:kern w:val="2"/>
      <w:sz w:val="21"/>
      <w:szCs w:val="24"/>
      <w:lang w:val="en-US" w:eastAsia="zh-CN" w:bidi="ar-SA"/>
    </w:rPr>
  </w:style>
  <w:style w:type="character" w:customStyle="1" w:styleId="97">
    <w:name w:val="标题 1 Char"/>
    <w:link w:val="3"/>
    <w:qFormat/>
    <w:uiPriority w:val="0"/>
    <w:rPr>
      <w:rFonts w:ascii="宋体" w:hAnsi="Times New Roman" w:eastAsia="宋体" w:cs="Times New Roman"/>
      <w:b/>
      <w:bCs/>
      <w:kern w:val="44"/>
      <w:sz w:val="30"/>
      <w:szCs w:val="30"/>
      <w:lang w:val="en-US" w:eastAsia="zh-CN" w:bidi="ar-SA"/>
    </w:rPr>
  </w:style>
  <w:style w:type="character" w:customStyle="1" w:styleId="98">
    <w:name w:val="批注文字 Char1"/>
    <w:qFormat/>
    <w:uiPriority w:val="0"/>
    <w:rPr>
      <w:rFonts w:ascii="Times New Roman" w:hAnsi="Times New Roman" w:eastAsia="宋体" w:cs="Times New Roman"/>
      <w:kern w:val="2"/>
      <w:sz w:val="21"/>
      <w:szCs w:val="24"/>
    </w:rPr>
  </w:style>
  <w:style w:type="character" w:customStyle="1" w:styleId="99">
    <w:name w:val="明显强调1"/>
    <w:qFormat/>
    <w:uiPriority w:val="0"/>
    <w:rPr>
      <w:rFonts w:ascii="Times New Roman" w:hAnsi="Times New Roman" w:eastAsia="宋体" w:cs="Times New Roman"/>
      <w:b/>
      <w:bCs/>
      <w:i/>
      <w:iCs/>
      <w:color w:val="4F81BD"/>
    </w:rPr>
  </w:style>
  <w:style w:type="character" w:customStyle="1" w:styleId="100">
    <w:name w:val="Char Char13"/>
    <w:qFormat/>
    <w:uiPriority w:val="0"/>
    <w:rPr>
      <w:rFonts w:ascii="宋体" w:hAnsi="宋体" w:eastAsia="宋体" w:cs="Times New Roman"/>
      <w:kern w:val="2"/>
      <w:sz w:val="24"/>
      <w:szCs w:val="24"/>
      <w:lang w:val="en-US" w:eastAsia="zh-CN" w:bidi="ar-SA"/>
    </w:rPr>
  </w:style>
  <w:style w:type="character" w:customStyle="1" w:styleId="101">
    <w:name w:val="正文首行缩进 2 Char"/>
    <w:link w:val="67"/>
    <w:qFormat/>
    <w:uiPriority w:val="0"/>
    <w:rPr>
      <w:rFonts w:ascii="Times New Roman" w:hAnsi="Times New Roman" w:eastAsia="宋体" w:cs="Times New Roman"/>
      <w:kern w:val="2"/>
      <w:sz w:val="21"/>
    </w:rPr>
  </w:style>
  <w:style w:type="character" w:customStyle="1" w:styleId="102">
    <w:name w:val="Char Char9"/>
    <w:qFormat/>
    <w:uiPriority w:val="0"/>
    <w:rPr>
      <w:rFonts w:ascii="Times New Roman" w:hAnsi="Times New Roman" w:eastAsia="宋体" w:cs="Times New Roman"/>
      <w:kern w:val="2"/>
      <w:sz w:val="21"/>
      <w:szCs w:val="24"/>
      <w:lang w:val="en-US" w:eastAsia="zh-CN" w:bidi="ar-SA"/>
    </w:rPr>
  </w:style>
  <w:style w:type="character" w:customStyle="1" w:styleId="103">
    <w:name w:val="Blockquote Char Char"/>
    <w:link w:val="104"/>
    <w:qFormat/>
    <w:uiPriority w:val="0"/>
    <w:rPr>
      <w:rFonts w:ascii="Times New Roman" w:hAnsi="Times New Roman" w:eastAsia="宋体" w:cs="Times New Roman"/>
      <w:sz w:val="24"/>
      <w:lang w:val="en-US" w:eastAsia="zh-CN" w:bidi="ar-SA"/>
    </w:rPr>
  </w:style>
  <w:style w:type="paragraph" w:customStyle="1" w:styleId="104">
    <w:name w:val="Blockquote"/>
    <w:basedOn w:val="1"/>
    <w:link w:val="103"/>
    <w:qFormat/>
    <w:uiPriority w:val="0"/>
    <w:pPr>
      <w:autoSpaceDE w:val="0"/>
      <w:autoSpaceDN w:val="0"/>
      <w:adjustRightInd w:val="0"/>
      <w:spacing w:before="100" w:after="100"/>
      <w:ind w:left="360" w:right="360"/>
      <w:jc w:val="left"/>
    </w:pPr>
    <w:rPr>
      <w:kern w:val="0"/>
      <w:sz w:val="24"/>
      <w:szCs w:val="20"/>
    </w:rPr>
  </w:style>
  <w:style w:type="character" w:customStyle="1" w:styleId="105">
    <w:name w:val="引用 Char2"/>
    <w:qFormat/>
    <w:uiPriority w:val="0"/>
    <w:rPr>
      <w:rFonts w:ascii="Times New Roman" w:hAnsi="Times New Roman" w:eastAsia="宋体" w:cs="Times New Roman"/>
      <w:i/>
      <w:iCs/>
      <w:color w:val="404040"/>
      <w:kern w:val="2"/>
      <w:sz w:val="21"/>
      <w:szCs w:val="24"/>
    </w:rPr>
  </w:style>
  <w:style w:type="character" w:customStyle="1" w:styleId="106">
    <w:name w:val="px141"/>
    <w:qFormat/>
    <w:uiPriority w:val="0"/>
    <w:rPr>
      <w:rFonts w:hint="default" w:ascii="ˎ̥" w:hAnsi="ˎ̥" w:eastAsia="宋体" w:cs="Times New Roman"/>
      <w:sz w:val="21"/>
      <w:szCs w:val="21"/>
    </w:rPr>
  </w:style>
  <w:style w:type="character" w:customStyle="1" w:styleId="107">
    <w:name w:val="标题 2 Char"/>
    <w:link w:val="4"/>
    <w:qFormat/>
    <w:uiPriority w:val="0"/>
    <w:rPr>
      <w:rFonts w:ascii="宋体" w:hAnsi="Arial"/>
      <w:b/>
      <w:bCs/>
      <w:kern w:val="2"/>
      <w:sz w:val="24"/>
      <w:szCs w:val="24"/>
    </w:rPr>
  </w:style>
  <w:style w:type="character" w:customStyle="1" w:styleId="108">
    <w:name w:val="h2 Char"/>
    <w:qFormat/>
    <w:uiPriority w:val="0"/>
    <w:rPr>
      <w:rFonts w:ascii="Arial" w:hAnsi="Arial" w:eastAsia="宋体" w:cs="Arial"/>
      <w:b/>
      <w:bCs/>
      <w:kern w:val="0"/>
      <w:sz w:val="24"/>
      <w:szCs w:val="24"/>
      <w:lang w:val="sv-SE"/>
    </w:rPr>
  </w:style>
  <w:style w:type="character" w:customStyle="1" w:styleId="109">
    <w:name w:val="明显参考1"/>
    <w:qFormat/>
    <w:uiPriority w:val="0"/>
    <w:rPr>
      <w:rFonts w:ascii="Times New Roman" w:hAnsi="Times New Roman" w:eastAsia="宋体" w:cs="Times New Roman"/>
      <w:b/>
      <w:bCs/>
      <w:smallCaps/>
      <w:color w:val="C0504D"/>
      <w:spacing w:val="5"/>
      <w:u w:val="single"/>
    </w:rPr>
  </w:style>
  <w:style w:type="character" w:customStyle="1" w:styleId="110">
    <w:name w:val="Char Char91"/>
    <w:qFormat/>
    <w:uiPriority w:val="0"/>
    <w:rPr>
      <w:rFonts w:ascii="Times New Roman" w:hAnsi="Times New Roman" w:eastAsia="宋体" w:cs="Times New Roman"/>
      <w:kern w:val="2"/>
      <w:sz w:val="21"/>
      <w:szCs w:val="24"/>
      <w:lang w:val="en-US" w:eastAsia="zh-CN" w:bidi="ar-SA"/>
    </w:rPr>
  </w:style>
  <w:style w:type="character" w:customStyle="1" w:styleId="111">
    <w:name w:val="样式5 Char Char"/>
    <w:qFormat/>
    <w:uiPriority w:val="0"/>
    <w:rPr>
      <w:rFonts w:ascii="黑体" w:hAnsi="Times New Roman" w:eastAsia="黑体" w:cs="Times New Roman"/>
      <w:b/>
      <w:bCs/>
      <w:kern w:val="2"/>
      <w:sz w:val="32"/>
      <w:szCs w:val="32"/>
      <w:lang w:val="en-US" w:eastAsia="zh-CN" w:bidi="ar-SA"/>
    </w:rPr>
  </w:style>
  <w:style w:type="character" w:customStyle="1" w:styleId="112">
    <w:name w:val="正文文本缩进 3 Char"/>
    <w:link w:val="54"/>
    <w:qFormat/>
    <w:uiPriority w:val="0"/>
    <w:rPr>
      <w:rFonts w:ascii="宋体" w:hAnsi="Times New Roman" w:eastAsia="宋体" w:cs="Times New Roman"/>
      <w:kern w:val="2"/>
      <w:sz w:val="21"/>
      <w:szCs w:val="21"/>
    </w:rPr>
  </w:style>
  <w:style w:type="character" w:customStyle="1" w:styleId="113">
    <w:name w:val="正文文本 2 Char"/>
    <w:link w:val="59"/>
    <w:qFormat/>
    <w:uiPriority w:val="0"/>
    <w:rPr>
      <w:rFonts w:ascii="宋体" w:hAnsi="宋体" w:eastAsia="宋体" w:cs="Times New Roman"/>
      <w:color w:val="000000"/>
      <w:kern w:val="2"/>
      <w:sz w:val="28"/>
      <w:szCs w:val="24"/>
    </w:rPr>
  </w:style>
  <w:style w:type="character" w:customStyle="1" w:styleId="114">
    <w:name w:val="批注引用1"/>
    <w:qFormat/>
    <w:uiPriority w:val="0"/>
    <w:rPr>
      <w:rFonts w:ascii="Times New Roman" w:hAnsi="Times New Roman" w:eastAsia="宋体" w:cs="Times New Roman"/>
      <w:sz w:val="21"/>
      <w:szCs w:val="21"/>
    </w:rPr>
  </w:style>
  <w:style w:type="character" w:customStyle="1" w:styleId="115">
    <w:name w:val="标题 3 Char"/>
    <w:link w:val="5"/>
    <w:qFormat/>
    <w:uiPriority w:val="0"/>
    <w:rPr>
      <w:rFonts w:ascii="宋体" w:hAnsi="宋体" w:eastAsia="宋体" w:cs="Times New Roman"/>
      <w:kern w:val="2"/>
      <w:sz w:val="30"/>
      <w:szCs w:val="30"/>
    </w:rPr>
  </w:style>
  <w:style w:type="character" w:customStyle="1" w:styleId="116">
    <w:name w:val="Default Char"/>
    <w:link w:val="117"/>
    <w:qFormat/>
    <w:uiPriority w:val="0"/>
    <w:rPr>
      <w:rFonts w:ascii="宋体" w:cs="宋体"/>
      <w:color w:val="000000"/>
      <w:sz w:val="24"/>
      <w:szCs w:val="24"/>
      <w:lang w:val="en-US" w:eastAsia="zh-CN" w:bidi="ar-SA"/>
    </w:rPr>
  </w:style>
  <w:style w:type="paragraph" w:customStyle="1" w:styleId="117">
    <w:name w:val="Default"/>
    <w:link w:val="116"/>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118">
    <w:name w:val="javascript"/>
    <w:qFormat/>
    <w:uiPriority w:val="0"/>
    <w:rPr>
      <w:rFonts w:ascii="Times New Roman" w:hAnsi="Times New Roman" w:eastAsia="宋体" w:cs="Times New Roman"/>
    </w:rPr>
  </w:style>
  <w:style w:type="character" w:customStyle="1" w:styleId="119">
    <w:name w:val="无间隔 字符"/>
    <w:qFormat/>
    <w:uiPriority w:val="0"/>
    <w:rPr>
      <w:rFonts w:ascii="Times New Roman" w:hAnsi="Times New Roman" w:eastAsia="宋体" w:cs="Times New Roman"/>
      <w:kern w:val="0"/>
    </w:rPr>
  </w:style>
  <w:style w:type="character" w:customStyle="1" w:styleId="120">
    <w:name w:val="批注框文本 Char"/>
    <w:link w:val="43"/>
    <w:qFormat/>
    <w:uiPriority w:val="0"/>
    <w:rPr>
      <w:rFonts w:ascii="Times New Roman" w:hAnsi="Times New Roman" w:eastAsia="宋体" w:cs="Times New Roman"/>
      <w:sz w:val="18"/>
      <w:szCs w:val="18"/>
    </w:rPr>
  </w:style>
  <w:style w:type="character" w:customStyle="1" w:styleId="121">
    <w:name w:val="标题 8 Char"/>
    <w:link w:val="10"/>
    <w:qFormat/>
    <w:uiPriority w:val="0"/>
    <w:rPr>
      <w:rFonts w:ascii="Times New Roman" w:hAnsi="Times New Roman" w:eastAsia="宋体" w:cs="Times New Roman"/>
      <w:sz w:val="24"/>
    </w:rPr>
  </w:style>
  <w:style w:type="character" w:customStyle="1" w:styleId="122">
    <w:name w:val="TITRE1 Char"/>
    <w:qFormat/>
    <w:uiPriority w:val="0"/>
    <w:rPr>
      <w:rFonts w:ascii="Arial" w:hAnsi="Arial" w:eastAsia="宋体" w:cs="Arial"/>
      <w:b/>
      <w:iCs/>
      <w:color w:val="000000"/>
      <w:kern w:val="32"/>
      <w:sz w:val="36"/>
      <w:szCs w:val="20"/>
      <w:lang w:val="sv-SE"/>
    </w:rPr>
  </w:style>
  <w:style w:type="character" w:customStyle="1" w:styleId="123">
    <w:name w:val="未处理的提及1"/>
    <w:qFormat/>
    <w:uiPriority w:val="0"/>
    <w:rPr>
      <w:rFonts w:ascii="Times New Roman" w:hAnsi="Times New Roman" w:eastAsia="宋体" w:cs="Times New Roman"/>
      <w:color w:val="605E5C"/>
      <w:shd w:val="clear" w:color="auto" w:fill="E1DFDD"/>
    </w:rPr>
  </w:style>
  <w:style w:type="character" w:customStyle="1" w:styleId="124">
    <w:name w:val="point_small1"/>
    <w:qFormat/>
    <w:uiPriority w:val="0"/>
    <w:rPr>
      <w:rFonts w:hint="default" w:ascii="Arial" w:hAnsi="Arial" w:eastAsia="宋体" w:cs="Arial"/>
      <w:sz w:val="18"/>
      <w:szCs w:val="18"/>
    </w:rPr>
  </w:style>
  <w:style w:type="character" w:customStyle="1" w:styleId="125">
    <w:name w:val="样式 段落编号 + (中文) 黑体 两端对齐 Char Char Char Char Char"/>
    <w:qFormat/>
    <w:uiPriority w:val="0"/>
    <w:rPr>
      <w:rFonts w:ascii="宋体" w:hAnsi="宋体" w:eastAsia="黑体" w:cs="宋体"/>
      <w:kern w:val="2"/>
      <w:sz w:val="24"/>
      <w:szCs w:val="24"/>
      <w:lang w:val="en-US" w:eastAsia="zh-CN" w:bidi="ar-SA"/>
    </w:rPr>
  </w:style>
  <w:style w:type="character" w:customStyle="1" w:styleId="126">
    <w:name w:val="Char Char311"/>
    <w:qFormat/>
    <w:uiPriority w:val="0"/>
    <w:rPr>
      <w:rFonts w:ascii="Times New Roman" w:hAnsi="Times New Roman" w:eastAsia="宋体" w:cs="Times New Roman"/>
      <w:lang w:val="en-US" w:eastAsia="zh-CN" w:bidi="ar-SA"/>
    </w:rPr>
  </w:style>
  <w:style w:type="character" w:customStyle="1" w:styleId="127">
    <w:name w:val="日期 Char1"/>
    <w:qFormat/>
    <w:uiPriority w:val="0"/>
    <w:rPr>
      <w:rFonts w:ascii="Times New Roman" w:hAnsi="Times New Roman" w:eastAsia="宋体" w:cs="Times New Roman"/>
      <w:kern w:val="2"/>
      <w:sz w:val="21"/>
      <w:szCs w:val="22"/>
    </w:rPr>
  </w:style>
  <w:style w:type="character" w:customStyle="1" w:styleId="128">
    <w:name w:val="标题 6 Char"/>
    <w:link w:val="8"/>
    <w:qFormat/>
    <w:uiPriority w:val="0"/>
    <w:rPr>
      <w:rFonts w:ascii="Times New Roman" w:hAnsi="Times New Roman" w:eastAsia="宋体" w:cs="Times New Roman"/>
      <w:sz w:val="24"/>
    </w:rPr>
  </w:style>
  <w:style w:type="character" w:customStyle="1" w:styleId="129">
    <w:name w:val="批注文字 Char Char"/>
    <w:qFormat/>
    <w:uiPriority w:val="0"/>
    <w:rPr>
      <w:rFonts w:ascii="宋体" w:hAnsi="Times New Roman" w:eastAsia="宋体" w:cs="Times New Roman"/>
      <w:sz w:val="28"/>
      <w:szCs w:val="20"/>
    </w:rPr>
  </w:style>
  <w:style w:type="character" w:customStyle="1" w:styleId="130">
    <w:name w:val="gyy正文 Char"/>
    <w:link w:val="131"/>
    <w:qFormat/>
    <w:uiPriority w:val="0"/>
    <w:rPr>
      <w:rFonts w:ascii="Verdana" w:hAnsi="Verdana" w:eastAsia="宋体" w:cs="Times New Roman"/>
      <w:kern w:val="2"/>
      <w:sz w:val="24"/>
      <w:szCs w:val="24"/>
    </w:rPr>
  </w:style>
  <w:style w:type="paragraph" w:customStyle="1" w:styleId="131">
    <w:name w:val="gyy正文"/>
    <w:basedOn w:val="1"/>
    <w:link w:val="130"/>
    <w:qFormat/>
    <w:uiPriority w:val="0"/>
    <w:pPr>
      <w:spacing w:line="360" w:lineRule="auto"/>
      <w:ind w:firstLine="480" w:firstLineChars="200"/>
    </w:pPr>
    <w:rPr>
      <w:rFonts w:ascii="Verdana" w:hAnsi="Verdana"/>
      <w:sz w:val="24"/>
    </w:rPr>
  </w:style>
  <w:style w:type="character" w:customStyle="1" w:styleId="132">
    <w:name w:val="正文文本 3 Char1"/>
    <w:qFormat/>
    <w:uiPriority w:val="0"/>
    <w:rPr>
      <w:rFonts w:ascii="Times New Roman" w:hAnsi="Times New Roman" w:eastAsia="宋体" w:cs="Times New Roman"/>
      <w:kern w:val="2"/>
      <w:sz w:val="16"/>
      <w:szCs w:val="16"/>
    </w:rPr>
  </w:style>
  <w:style w:type="character" w:customStyle="1" w:styleId="133">
    <w:name w:val="明显引用 Char1"/>
    <w:qFormat/>
    <w:uiPriority w:val="0"/>
    <w:rPr>
      <w:rFonts w:ascii="Times New Roman" w:hAnsi="Times New Roman" w:eastAsia="宋体" w:cs="Times New Roman"/>
      <w:b/>
      <w:bCs/>
      <w:i/>
      <w:iCs/>
      <w:color w:val="4F81BD"/>
      <w:kern w:val="2"/>
      <w:sz w:val="21"/>
    </w:rPr>
  </w:style>
  <w:style w:type="character" w:customStyle="1" w:styleId="134">
    <w:name w:val="H1 Char1"/>
    <w:qFormat/>
    <w:uiPriority w:val="0"/>
    <w:rPr>
      <w:rFonts w:ascii="Times New Roman" w:hAnsi="Times New Roman" w:eastAsia="宋体" w:cs="Times New Roman"/>
      <w:b/>
      <w:bCs/>
      <w:kern w:val="44"/>
      <w:sz w:val="44"/>
      <w:szCs w:val="44"/>
      <w:lang w:val="en-US" w:eastAsia="zh-CN" w:bidi="ar-SA"/>
    </w:rPr>
  </w:style>
  <w:style w:type="character" w:customStyle="1" w:styleId="135">
    <w:name w:val="称呼 Char"/>
    <w:link w:val="26"/>
    <w:qFormat/>
    <w:uiPriority w:val="0"/>
    <w:rPr>
      <w:rFonts w:ascii="Times New Roman" w:hAnsi="Times New Roman" w:eastAsia="宋体" w:cs="Times New Roman"/>
      <w:kern w:val="2"/>
      <w:sz w:val="28"/>
    </w:rPr>
  </w:style>
  <w:style w:type="character" w:customStyle="1" w:styleId="136">
    <w:name w:val="样式4 Char Char Char Char"/>
    <w:qFormat/>
    <w:uiPriority w:val="0"/>
    <w:rPr>
      <w:rFonts w:ascii="宋体" w:hAnsi="Times New Roman" w:eastAsia="宋体" w:cs="Times New Roman"/>
      <w:b/>
      <w:bCs/>
      <w:kern w:val="2"/>
      <w:sz w:val="24"/>
      <w:szCs w:val="24"/>
      <w:lang w:val="en-US" w:eastAsia="zh-CN" w:bidi="ar-SA"/>
    </w:rPr>
  </w:style>
  <w:style w:type="character" w:customStyle="1" w:styleId="137">
    <w:name w:val="Char Char31"/>
    <w:qFormat/>
    <w:uiPriority w:val="0"/>
    <w:rPr>
      <w:rFonts w:ascii="Times New Roman" w:hAnsi="Times New Roman" w:eastAsia="宋体" w:cs="Times New Roman"/>
      <w:szCs w:val="24"/>
    </w:rPr>
  </w:style>
  <w:style w:type="character" w:customStyle="1" w:styleId="138">
    <w:name w:val="正文首行缩进 Char"/>
    <w:link w:val="66"/>
    <w:qFormat/>
    <w:uiPriority w:val="0"/>
    <w:rPr>
      <w:rFonts w:ascii="Times New Roman" w:hAnsi="Times New Roman" w:eastAsia="宋体" w:cs="Times New Roman"/>
      <w:kern w:val="2"/>
      <w:sz w:val="21"/>
      <w:szCs w:val="24"/>
    </w:rPr>
  </w:style>
  <w:style w:type="character" w:customStyle="1" w:styleId="139">
    <w:name w:val="页眉 Char Char"/>
    <w:qFormat/>
    <w:uiPriority w:val="0"/>
    <w:rPr>
      <w:rFonts w:ascii="Times New Roman" w:hAnsi="Times New Roman" w:eastAsia="宋体" w:cs="Times New Roman"/>
      <w:kern w:val="2"/>
      <w:sz w:val="18"/>
      <w:szCs w:val="18"/>
    </w:rPr>
  </w:style>
  <w:style w:type="character" w:customStyle="1" w:styleId="140">
    <w:name w:val="页脚 Char Char"/>
    <w:qFormat/>
    <w:uiPriority w:val="0"/>
    <w:rPr>
      <w:rFonts w:ascii="Times New Roman" w:hAnsi="Times New Roman" w:eastAsia="宋体" w:cs="Times New Roman"/>
      <w:sz w:val="18"/>
      <w:szCs w:val="18"/>
      <w:lang w:bidi="ar-SA"/>
    </w:rPr>
  </w:style>
  <w:style w:type="character" w:customStyle="1" w:styleId="141">
    <w:name w:val="Char Char101"/>
    <w:qFormat/>
    <w:uiPriority w:val="0"/>
    <w:rPr>
      <w:rFonts w:ascii="Times New Roman" w:hAnsi="Times New Roman" w:eastAsia="宋体" w:cs="Times New Roman"/>
      <w:b/>
      <w:i/>
      <w:kern w:val="2"/>
      <w:sz w:val="28"/>
      <w:lang w:val="en-US" w:eastAsia="zh-CN" w:bidi="ar-SA"/>
    </w:rPr>
  </w:style>
  <w:style w:type="character" w:customStyle="1" w:styleId="142">
    <w:name w:val="明显引用 Char2"/>
    <w:qFormat/>
    <w:uiPriority w:val="0"/>
    <w:rPr>
      <w:rFonts w:ascii="Times New Roman" w:hAnsi="Times New Roman" w:eastAsia="宋体" w:cs="Times New Roman"/>
      <w:i/>
      <w:iCs/>
      <w:color w:val="5B9BD5"/>
      <w:kern w:val="2"/>
      <w:sz w:val="21"/>
      <w:szCs w:val="24"/>
    </w:rPr>
  </w:style>
  <w:style w:type="character" w:customStyle="1" w:styleId="143">
    <w:name w:val="H5 Char"/>
    <w:qFormat/>
    <w:uiPriority w:val="0"/>
    <w:rPr>
      <w:rFonts w:ascii="Times New Roman" w:hAnsi="Times New Roman" w:eastAsia="宋体" w:cs="Times New Roman"/>
      <w:b/>
      <w:bCs/>
      <w:sz w:val="28"/>
      <w:szCs w:val="28"/>
    </w:rPr>
  </w:style>
  <w:style w:type="character" w:customStyle="1" w:styleId="144">
    <w:name w:val="无间隔 Char"/>
    <w:link w:val="145"/>
    <w:qFormat/>
    <w:uiPriority w:val="0"/>
    <w:rPr>
      <w:rFonts w:ascii="Calibri" w:hAnsi="Calibri"/>
      <w:sz w:val="22"/>
      <w:szCs w:val="22"/>
      <w:lang w:val="en-US" w:eastAsia="zh-CN" w:bidi="ar-SA"/>
    </w:rPr>
  </w:style>
  <w:style w:type="paragraph" w:customStyle="1" w:styleId="145">
    <w:name w:val="无间隔1"/>
    <w:link w:val="144"/>
    <w:qFormat/>
    <w:uiPriority w:val="0"/>
    <w:rPr>
      <w:rFonts w:ascii="Calibri" w:hAnsi="Calibri" w:eastAsia="宋体" w:cs="Times New Roman"/>
      <w:sz w:val="22"/>
      <w:szCs w:val="22"/>
      <w:lang w:val="en-US" w:eastAsia="zh-CN" w:bidi="ar-SA"/>
    </w:rPr>
  </w:style>
  <w:style w:type="character" w:customStyle="1" w:styleId="146">
    <w:name w:val="标题 Char"/>
    <w:link w:val="64"/>
    <w:qFormat/>
    <w:uiPriority w:val="0"/>
    <w:rPr>
      <w:rFonts w:ascii="Cambria" w:hAnsi="Cambria" w:eastAsia="宋体" w:cs="Times New Roman"/>
      <w:b/>
      <w:bCs/>
      <w:kern w:val="2"/>
      <w:sz w:val="32"/>
      <w:szCs w:val="32"/>
    </w:rPr>
  </w:style>
  <w:style w:type="character" w:customStyle="1" w:styleId="147">
    <w:name w:val="Char Char3"/>
    <w:qFormat/>
    <w:uiPriority w:val="0"/>
    <w:rPr>
      <w:rFonts w:ascii="Times New Roman" w:hAnsi="Times New Roman" w:eastAsia="宋体" w:cs="Times New Roman"/>
      <w:szCs w:val="24"/>
    </w:rPr>
  </w:style>
  <w:style w:type="character" w:customStyle="1" w:styleId="148">
    <w:name w:val="未处理的提及2"/>
    <w:qFormat/>
    <w:uiPriority w:val="0"/>
    <w:rPr>
      <w:rFonts w:ascii="Times New Roman" w:hAnsi="Times New Roman" w:eastAsia="宋体" w:cs="Times New Roman"/>
      <w:color w:val="605E5C"/>
      <w:shd w:val="clear" w:color="auto" w:fill="E1DFDD"/>
    </w:rPr>
  </w:style>
  <w:style w:type="character" w:customStyle="1" w:styleId="149">
    <w:name w:val="标题 2 Char Char"/>
    <w:qFormat/>
    <w:uiPriority w:val="0"/>
    <w:rPr>
      <w:rFonts w:ascii="Times New Roman" w:hAnsi="Times New Roman" w:eastAsia="宋体" w:cs="Times New Roman"/>
      <w:sz w:val="28"/>
    </w:rPr>
  </w:style>
  <w:style w:type="character" w:customStyle="1" w:styleId="150">
    <w:name w:val="批注框文本 Char Char Char Char"/>
    <w:qFormat/>
    <w:uiPriority w:val="0"/>
    <w:rPr>
      <w:rFonts w:ascii="Times New Roman" w:hAnsi="Times New Roman" w:eastAsia="宋体" w:cs="Times New Roman"/>
      <w:kern w:val="2"/>
      <w:sz w:val="18"/>
      <w:szCs w:val="18"/>
    </w:rPr>
  </w:style>
  <w:style w:type="character" w:customStyle="1" w:styleId="151">
    <w:name w:val="Char Char131"/>
    <w:qFormat/>
    <w:uiPriority w:val="0"/>
    <w:rPr>
      <w:rFonts w:ascii="宋体" w:hAnsi="宋体" w:eastAsia="宋体" w:cs="Times New Roman"/>
      <w:kern w:val="2"/>
      <w:sz w:val="24"/>
      <w:szCs w:val="24"/>
      <w:lang w:val="en-US" w:eastAsia="zh-CN" w:bidi="ar-SA"/>
    </w:rPr>
  </w:style>
  <w:style w:type="character" w:customStyle="1" w:styleId="152">
    <w:name w:val="Char Char14"/>
    <w:qFormat/>
    <w:uiPriority w:val="0"/>
    <w:rPr>
      <w:rFonts w:ascii="Arial" w:hAnsi="Arial" w:eastAsia="黑体" w:cs="Times New Roman"/>
      <w:b/>
      <w:bCs/>
      <w:kern w:val="2"/>
      <w:sz w:val="32"/>
      <w:szCs w:val="32"/>
      <w:lang w:val="en-US" w:eastAsia="zh-CN" w:bidi="ar-SA"/>
    </w:rPr>
  </w:style>
  <w:style w:type="character" w:customStyle="1" w:styleId="153">
    <w:name w:val="尾注文本 Char"/>
    <w:link w:val="42"/>
    <w:qFormat/>
    <w:uiPriority w:val="0"/>
    <w:rPr>
      <w:rFonts w:ascii="Times New Roman" w:hAnsi="Times New Roman" w:eastAsia="宋体" w:cs="Times New Roman"/>
    </w:rPr>
  </w:style>
  <w:style w:type="character" w:customStyle="1" w:styleId="154">
    <w:name w:val="标题 9 Char"/>
    <w:link w:val="11"/>
    <w:qFormat/>
    <w:uiPriority w:val="0"/>
    <w:rPr>
      <w:rFonts w:ascii="Times New Roman" w:hAnsi="Times New Roman" w:eastAsia="宋体" w:cs="Times New Roman"/>
      <w:sz w:val="24"/>
    </w:rPr>
  </w:style>
  <w:style w:type="character" w:customStyle="1" w:styleId="155">
    <w:name w:val="main-black1"/>
    <w:qFormat/>
    <w:uiPriority w:val="0"/>
    <w:rPr>
      <w:rFonts w:ascii="Times New Roman" w:hAnsi="Times New Roman" w:eastAsia="宋体" w:cs="Times New Roman"/>
      <w:color w:val="000000"/>
      <w:sz w:val="18"/>
      <w:szCs w:val="18"/>
      <w:u w:val="none"/>
    </w:rPr>
  </w:style>
  <w:style w:type="character" w:customStyle="1" w:styleId="156">
    <w:name w:val="Char Char81"/>
    <w:qFormat/>
    <w:uiPriority w:val="0"/>
    <w:rPr>
      <w:rFonts w:ascii="Arial" w:hAnsi="Arial" w:eastAsia="宋体" w:cs="Times New Roman"/>
      <w:sz w:val="22"/>
      <w:szCs w:val="21"/>
      <w:lang w:val="en-GB" w:eastAsia="zh-CN" w:bidi="ar-SA"/>
    </w:rPr>
  </w:style>
  <w:style w:type="character" w:customStyle="1" w:styleId="157">
    <w:name w:val="Char Char1"/>
    <w:qFormat/>
    <w:uiPriority w:val="0"/>
    <w:rPr>
      <w:rFonts w:ascii="Arial" w:hAnsi="Arial" w:eastAsia="宋体" w:cs="Times New Roman"/>
      <w:sz w:val="36"/>
    </w:rPr>
  </w:style>
  <w:style w:type="character" w:customStyle="1" w:styleId="158">
    <w:name w:val="PIM 6 Char"/>
    <w:qFormat/>
    <w:uiPriority w:val="0"/>
    <w:rPr>
      <w:rFonts w:ascii="Arial" w:hAnsi="Arial" w:eastAsia="黑体" w:cs="Times New Roman"/>
      <w:b/>
      <w:bCs/>
      <w:sz w:val="24"/>
      <w:szCs w:val="24"/>
    </w:rPr>
  </w:style>
  <w:style w:type="character" w:customStyle="1" w:styleId="159">
    <w:name w:val="Char Char8"/>
    <w:qFormat/>
    <w:uiPriority w:val="0"/>
    <w:rPr>
      <w:rFonts w:ascii="Arial" w:hAnsi="Arial" w:eastAsia="宋体" w:cs="Times New Roman"/>
      <w:sz w:val="22"/>
      <w:szCs w:val="21"/>
      <w:lang w:val="en-GB" w:eastAsia="zh-CN" w:bidi="ar-SA"/>
    </w:rPr>
  </w:style>
  <w:style w:type="character" w:customStyle="1" w:styleId="160">
    <w:name w:val="标题5 Char Char"/>
    <w:link w:val="161"/>
    <w:qFormat/>
    <w:uiPriority w:val="0"/>
    <w:rPr>
      <w:rFonts w:ascii="Arial" w:hAnsi="Arial" w:eastAsia="宋体" w:cs="Times New Roman"/>
      <w:b/>
      <w:bCs/>
      <w:sz w:val="24"/>
      <w:szCs w:val="32"/>
    </w:rPr>
  </w:style>
  <w:style w:type="paragraph" w:customStyle="1" w:styleId="161">
    <w:name w:val="标题5"/>
    <w:basedOn w:val="5"/>
    <w:link w:val="160"/>
    <w:qFormat/>
    <w:uiPriority w:val="0"/>
    <w:pPr>
      <w:keepLines/>
      <w:tabs>
        <w:tab w:val="clear" w:pos="360"/>
      </w:tabs>
      <w:spacing w:beforeLines="0" w:after="260" w:line="413" w:lineRule="auto"/>
    </w:pPr>
    <w:rPr>
      <w:rFonts w:ascii="Arial" w:hAnsi="Arial"/>
      <w:b/>
      <w:bCs/>
      <w:kern w:val="0"/>
      <w:sz w:val="24"/>
      <w:szCs w:val="32"/>
    </w:rPr>
  </w:style>
  <w:style w:type="character" w:customStyle="1" w:styleId="162">
    <w:name w:val="apple-style-span"/>
    <w:qFormat/>
    <w:uiPriority w:val="0"/>
    <w:rPr>
      <w:rFonts w:ascii="Times New Roman" w:hAnsi="Times New Roman" w:eastAsia="宋体" w:cs="Times New Roman"/>
    </w:rPr>
  </w:style>
  <w:style w:type="character" w:customStyle="1" w:styleId="163">
    <w:name w:val="正文文本 Char"/>
    <w:link w:val="2"/>
    <w:qFormat/>
    <w:uiPriority w:val="0"/>
    <w:rPr>
      <w:rFonts w:ascii="Times New Roman" w:hAnsi="Times New Roman" w:eastAsia="宋体" w:cs="Times New Roman"/>
      <w:kern w:val="2"/>
      <w:sz w:val="28"/>
      <w:szCs w:val="24"/>
      <w:lang w:val="en-US" w:eastAsia="zh-CN" w:bidi="ar-SA"/>
    </w:rPr>
  </w:style>
  <w:style w:type="character" w:customStyle="1" w:styleId="164">
    <w:name w:val="标题4 Char Char"/>
    <w:link w:val="165"/>
    <w:qFormat/>
    <w:uiPriority w:val="0"/>
    <w:rPr>
      <w:rFonts w:ascii="黑体" w:hAnsi="Times New Roman" w:eastAsia="黑体" w:cs="Times New Roman"/>
      <w:sz w:val="24"/>
      <w:szCs w:val="30"/>
    </w:rPr>
  </w:style>
  <w:style w:type="paragraph" w:customStyle="1" w:styleId="165">
    <w:name w:val="标题4"/>
    <w:basedOn w:val="1"/>
    <w:next w:val="6"/>
    <w:link w:val="164"/>
    <w:qFormat/>
    <w:uiPriority w:val="0"/>
    <w:pPr>
      <w:widowControl/>
      <w:jc w:val="left"/>
    </w:pPr>
    <w:rPr>
      <w:rFonts w:ascii="黑体" w:eastAsia="黑体"/>
      <w:kern w:val="0"/>
      <w:sz w:val="24"/>
      <w:szCs w:val="30"/>
    </w:rPr>
  </w:style>
  <w:style w:type="character" w:customStyle="1" w:styleId="166">
    <w:name w:val="标题 7 Char"/>
    <w:link w:val="9"/>
    <w:qFormat/>
    <w:uiPriority w:val="0"/>
    <w:rPr>
      <w:rFonts w:ascii="Times New Roman" w:hAnsi="Times New Roman" w:eastAsia="宋体" w:cs="Times New Roman"/>
      <w:sz w:val="24"/>
    </w:rPr>
  </w:style>
  <w:style w:type="character" w:customStyle="1" w:styleId="167">
    <w:name w:val="H3 Char"/>
    <w:qFormat/>
    <w:uiPriority w:val="0"/>
    <w:rPr>
      <w:rFonts w:ascii="黑体" w:hAnsi="宋体" w:eastAsia="黑体" w:cs="Arial"/>
      <w:color w:val="000000"/>
      <w:kern w:val="24"/>
      <w:sz w:val="28"/>
      <w:szCs w:val="28"/>
      <w:lang w:val="sv-SE"/>
    </w:rPr>
  </w:style>
  <w:style w:type="character" w:customStyle="1" w:styleId="168">
    <w:name w:val="引用 Char"/>
    <w:link w:val="169"/>
    <w:qFormat/>
    <w:uiPriority w:val="0"/>
    <w:rPr>
      <w:rFonts w:ascii="Times New Roman" w:hAnsi="Times New Roman" w:eastAsia="宋体" w:cs="Times New Roman"/>
      <w:i/>
      <w:iCs/>
      <w:color w:val="000000"/>
      <w:kern w:val="2"/>
      <w:sz w:val="21"/>
      <w:szCs w:val="22"/>
    </w:rPr>
  </w:style>
  <w:style w:type="paragraph" w:customStyle="1" w:styleId="169">
    <w:name w:val="引用1"/>
    <w:basedOn w:val="1"/>
    <w:next w:val="1"/>
    <w:link w:val="168"/>
    <w:qFormat/>
    <w:uiPriority w:val="0"/>
    <w:rPr>
      <w:i/>
      <w:iCs/>
      <w:color w:val="000000"/>
      <w:szCs w:val="22"/>
    </w:rPr>
  </w:style>
  <w:style w:type="character" w:customStyle="1" w:styleId="170">
    <w:name w:val="正文文本缩进 2 Char"/>
    <w:link w:val="41"/>
    <w:qFormat/>
    <w:uiPriority w:val="0"/>
    <w:rPr>
      <w:rFonts w:ascii="宋体" w:hAnsi="Times New Roman" w:eastAsia="宋体" w:cs="Times New Roman"/>
      <w:kern w:val="2"/>
      <w:sz w:val="21"/>
      <w:szCs w:val="21"/>
    </w:rPr>
  </w:style>
  <w:style w:type="character" w:customStyle="1" w:styleId="171">
    <w:name w:val="不明显强调1"/>
    <w:qFormat/>
    <w:uiPriority w:val="0"/>
    <w:rPr>
      <w:rFonts w:ascii="Times New Roman" w:hAnsi="Times New Roman" w:eastAsia="宋体" w:cs="Times New Roman"/>
      <w:i/>
      <w:iCs/>
      <w:color w:val="808080"/>
    </w:rPr>
  </w:style>
  <w:style w:type="character" w:customStyle="1" w:styleId="172">
    <w:name w:val="font161"/>
    <w:qFormat/>
    <w:uiPriority w:val="0"/>
    <w:rPr>
      <w:rFonts w:ascii="Times New Roman" w:hAnsi="Times New Roman" w:eastAsia="宋体" w:cs="Times New Roman"/>
      <w:b/>
      <w:bCs/>
      <w:sz w:val="32"/>
      <w:szCs w:val="32"/>
    </w:rPr>
  </w:style>
  <w:style w:type="character" w:customStyle="1" w:styleId="173">
    <w:name w:val="HTML 预设格式 Char1"/>
    <w:qFormat/>
    <w:uiPriority w:val="0"/>
    <w:rPr>
      <w:rFonts w:ascii="Courier New" w:hAnsi="Courier New" w:eastAsia="宋体" w:cs="Courier New"/>
      <w:kern w:val="2"/>
    </w:rPr>
  </w:style>
  <w:style w:type="character" w:customStyle="1" w:styleId="174">
    <w:name w:val="纯文本 Char"/>
    <w:link w:val="36"/>
    <w:qFormat/>
    <w:uiPriority w:val="0"/>
    <w:rPr>
      <w:rFonts w:ascii="宋体" w:hAnsi="Courier New" w:eastAsia="宋体" w:cs="Times New Roman"/>
      <w:kern w:val="2"/>
      <w:sz w:val="21"/>
      <w:lang w:val="en-US" w:eastAsia="zh-CN" w:bidi="ar-SA"/>
    </w:rPr>
  </w:style>
  <w:style w:type="character" w:customStyle="1" w:styleId="175">
    <w:name w:val="明显引用 Char"/>
    <w:link w:val="176"/>
    <w:qFormat/>
    <w:uiPriority w:val="0"/>
    <w:rPr>
      <w:rFonts w:ascii="Times New Roman" w:hAnsi="Times New Roman" w:eastAsia="宋体" w:cs="Times New Roman"/>
      <w:b/>
      <w:bCs/>
      <w:i/>
      <w:iCs/>
      <w:color w:val="4F81BD"/>
      <w:kern w:val="2"/>
      <w:sz w:val="21"/>
      <w:szCs w:val="22"/>
    </w:rPr>
  </w:style>
  <w:style w:type="paragraph" w:customStyle="1" w:styleId="176">
    <w:name w:val="明显引用1"/>
    <w:basedOn w:val="1"/>
    <w:next w:val="1"/>
    <w:link w:val="175"/>
    <w:qFormat/>
    <w:uiPriority w:val="0"/>
    <w:pPr>
      <w:pBdr>
        <w:bottom w:val="single" w:color="4F81BD" w:sz="4" w:space="4"/>
      </w:pBdr>
      <w:spacing w:before="200" w:after="280"/>
      <w:ind w:left="936" w:right="936"/>
    </w:pPr>
    <w:rPr>
      <w:b/>
      <w:bCs/>
      <w:i/>
      <w:iCs/>
      <w:color w:val="4F81BD"/>
      <w:szCs w:val="22"/>
    </w:rPr>
  </w:style>
  <w:style w:type="character" w:customStyle="1" w:styleId="177">
    <w:name w:val="正文文本 Char1"/>
    <w:qFormat/>
    <w:uiPriority w:val="0"/>
    <w:rPr>
      <w:rFonts w:ascii="Times New Roman" w:hAnsi="Times New Roman" w:eastAsia="宋体" w:cs="Times New Roman"/>
      <w:kern w:val="2"/>
      <w:sz w:val="21"/>
      <w:szCs w:val="22"/>
    </w:rPr>
  </w:style>
  <w:style w:type="character" w:customStyle="1" w:styleId="178">
    <w:name w:val="标题 4 Char"/>
    <w:link w:val="6"/>
    <w:qFormat/>
    <w:uiPriority w:val="0"/>
    <w:rPr>
      <w:rFonts w:ascii="宋体" w:hAnsi="Arial" w:eastAsia="宋体" w:cs="Times New Roman"/>
      <w:b/>
      <w:bCs/>
      <w:kern w:val="2"/>
      <w:sz w:val="24"/>
      <w:szCs w:val="24"/>
    </w:rPr>
  </w:style>
  <w:style w:type="character" w:customStyle="1" w:styleId="179">
    <w:name w:val="称呼 Char1"/>
    <w:qFormat/>
    <w:uiPriority w:val="0"/>
    <w:rPr>
      <w:rFonts w:ascii="Times New Roman" w:hAnsi="Times New Roman" w:eastAsia="宋体" w:cs="Times New Roman"/>
      <w:kern w:val="2"/>
      <w:sz w:val="21"/>
      <w:szCs w:val="24"/>
    </w:rPr>
  </w:style>
  <w:style w:type="character" w:customStyle="1" w:styleId="180">
    <w:name w:val="页眉 Char"/>
    <w:link w:val="45"/>
    <w:qFormat/>
    <w:uiPriority w:val="0"/>
    <w:rPr>
      <w:rFonts w:ascii="Times New Roman" w:hAnsi="Times New Roman" w:eastAsia="宋体" w:cs="Times New Roman"/>
      <w:kern w:val="2"/>
      <w:sz w:val="18"/>
      <w:szCs w:val="18"/>
    </w:rPr>
  </w:style>
  <w:style w:type="character" w:customStyle="1" w:styleId="181">
    <w:name w:val="Char Char15"/>
    <w:qFormat/>
    <w:uiPriority w:val="0"/>
    <w:rPr>
      <w:rFonts w:ascii="Times New Roman" w:hAnsi="Times New Roman" w:eastAsia="宋体" w:cs="Times New Roman"/>
      <w:b/>
      <w:bCs/>
      <w:kern w:val="44"/>
      <w:sz w:val="44"/>
      <w:szCs w:val="44"/>
      <w:lang w:val="en-US" w:eastAsia="zh-CN" w:bidi="ar-SA"/>
    </w:rPr>
  </w:style>
  <w:style w:type="character" w:customStyle="1" w:styleId="182">
    <w:name w:val="页脚 Char"/>
    <w:link w:val="44"/>
    <w:qFormat/>
    <w:uiPriority w:val="99"/>
    <w:rPr>
      <w:rFonts w:ascii="Times New Roman" w:hAnsi="Times New Roman" w:eastAsia="宋体" w:cs="Times New Roman"/>
      <w:kern w:val="2"/>
      <w:sz w:val="18"/>
      <w:szCs w:val="18"/>
      <w:lang w:val="en-US" w:eastAsia="zh-CN" w:bidi="ar-SA"/>
    </w:rPr>
  </w:style>
  <w:style w:type="character" w:customStyle="1" w:styleId="183">
    <w:name w:val="样式 黑体 小四 自定义颜色(RGB(1500))"/>
    <w:qFormat/>
    <w:uiPriority w:val="0"/>
    <w:rPr>
      <w:rFonts w:ascii="Times New Roman" w:hAnsi="Times New Roman" w:eastAsia="黑体" w:cs="Times New Roman"/>
      <w:color w:val="0F0000"/>
      <w:kern w:val="0"/>
      <w:sz w:val="24"/>
      <w:szCs w:val="24"/>
    </w:rPr>
  </w:style>
  <w:style w:type="character" w:customStyle="1" w:styleId="184">
    <w:name w:val="p121"/>
    <w:qFormat/>
    <w:uiPriority w:val="0"/>
    <w:rPr>
      <w:rFonts w:hint="default" w:ascii="Times New Roman" w:hAnsi="Times New Roman" w:eastAsia="宋体" w:cs="Times New Roman"/>
      <w:sz w:val="24"/>
      <w:u w:val="none"/>
    </w:rPr>
  </w:style>
  <w:style w:type="character" w:customStyle="1" w:styleId="185">
    <w:name w:val="Char Char2"/>
    <w:qFormat/>
    <w:uiPriority w:val="0"/>
    <w:rPr>
      <w:rFonts w:ascii="Times New Roman" w:hAnsi="Times New Roman" w:eastAsia="宋体" w:cs="Times New Roman"/>
      <w:kern w:val="2"/>
      <w:sz w:val="18"/>
      <w:lang w:val="en-US" w:eastAsia="zh-CN"/>
    </w:rPr>
  </w:style>
  <w:style w:type="character" w:customStyle="1" w:styleId="186">
    <w:name w:val="批注主题 Char1"/>
    <w:link w:val="65"/>
    <w:qFormat/>
    <w:uiPriority w:val="0"/>
    <w:rPr>
      <w:rFonts w:ascii="Times New Roman" w:hAnsi="Times New Roman" w:eastAsia="宋体" w:cs="Times New Roman"/>
      <w:b/>
      <w:bCs/>
      <w:sz w:val="24"/>
      <w:szCs w:val="24"/>
    </w:rPr>
  </w:style>
  <w:style w:type="character" w:customStyle="1" w:styleId="187">
    <w:name w:val="副标题 Char1"/>
    <w:qFormat/>
    <w:uiPriority w:val="0"/>
    <w:rPr>
      <w:rFonts w:ascii="Cambria" w:hAnsi="Cambria" w:eastAsia="宋体" w:cs="Times New Roman"/>
      <w:b/>
      <w:bCs/>
      <w:kern w:val="28"/>
      <w:sz w:val="32"/>
      <w:szCs w:val="32"/>
    </w:rPr>
  </w:style>
  <w:style w:type="character" w:customStyle="1" w:styleId="188">
    <w:name w:val="书籍标题1"/>
    <w:qFormat/>
    <w:uiPriority w:val="0"/>
    <w:rPr>
      <w:rFonts w:ascii="Times New Roman" w:hAnsi="Times New Roman" w:eastAsia="宋体" w:cs="Times New Roman"/>
      <w:b/>
      <w:bCs/>
      <w:smallCaps/>
      <w:spacing w:val="5"/>
    </w:rPr>
  </w:style>
  <w:style w:type="character" w:customStyle="1" w:styleId="189">
    <w:name w:val="HTML Markup"/>
    <w:qFormat/>
    <w:uiPriority w:val="0"/>
    <w:rPr>
      <w:rFonts w:ascii="Times New Roman" w:hAnsi="Times New Roman" w:eastAsia="宋体" w:cs="Times New Roman"/>
      <w:vanish/>
      <w:color w:val="FF0000"/>
    </w:rPr>
  </w:style>
  <w:style w:type="character" w:customStyle="1" w:styleId="190">
    <w:name w:val="标题 Char1"/>
    <w:qFormat/>
    <w:uiPriority w:val="0"/>
    <w:rPr>
      <w:rFonts w:ascii="Cambria" w:hAnsi="Cambria" w:eastAsia="宋体" w:cs="Times New Roman"/>
      <w:b/>
      <w:bCs/>
      <w:kern w:val="2"/>
      <w:sz w:val="32"/>
      <w:szCs w:val="32"/>
    </w:rPr>
  </w:style>
  <w:style w:type="character" w:customStyle="1" w:styleId="191">
    <w:name w:val="textcontents"/>
    <w:qFormat/>
    <w:uiPriority w:val="0"/>
    <w:rPr>
      <w:rFonts w:ascii="Times New Roman" w:hAnsi="Times New Roman" w:eastAsia="宋体" w:cs="Times New Roman"/>
    </w:rPr>
  </w:style>
  <w:style w:type="character" w:customStyle="1" w:styleId="192">
    <w:name w:val="标题 1.1 Char Char"/>
    <w:qFormat/>
    <w:uiPriority w:val="0"/>
    <w:rPr>
      <w:rFonts w:ascii="Arial" w:hAnsi="Arial" w:eastAsia="黑体" w:cs="Times New Roman"/>
      <w:b/>
      <w:bCs/>
      <w:kern w:val="2"/>
      <w:sz w:val="28"/>
      <w:szCs w:val="32"/>
      <w:lang w:val="en-US" w:eastAsia="zh-CN" w:bidi="ar-SA"/>
    </w:rPr>
  </w:style>
  <w:style w:type="character" w:customStyle="1" w:styleId="193">
    <w:name w:val="文档结构图 Char1"/>
    <w:qFormat/>
    <w:uiPriority w:val="0"/>
    <w:rPr>
      <w:rFonts w:ascii="宋体" w:hAnsi="Times New Roman" w:eastAsia="宋体" w:cs="Times New Roman"/>
      <w:kern w:val="2"/>
      <w:sz w:val="18"/>
      <w:szCs w:val="18"/>
    </w:rPr>
  </w:style>
  <w:style w:type="character" w:customStyle="1" w:styleId="194">
    <w:name w:val="正文文本 3 Char"/>
    <w:link w:val="27"/>
    <w:qFormat/>
    <w:uiPriority w:val="0"/>
    <w:rPr>
      <w:rFonts w:ascii="宋体" w:hAnsi="宋体" w:eastAsia="宋体" w:cs="Times New Roman"/>
      <w:color w:val="0000FF"/>
      <w:kern w:val="2"/>
      <w:szCs w:val="24"/>
    </w:rPr>
  </w:style>
  <w:style w:type="character" w:customStyle="1" w:styleId="195">
    <w:name w:val="正文文本缩进 Char"/>
    <w:link w:val="29"/>
    <w:qFormat/>
    <w:uiPriority w:val="0"/>
    <w:rPr>
      <w:rFonts w:ascii="宋体" w:hAnsi="MS Sans Serif" w:eastAsia="宋体" w:cs="Times New Roman"/>
      <w:spacing w:val="12"/>
      <w:sz w:val="24"/>
      <w:lang w:val="en-US" w:eastAsia="zh-CN" w:bidi="ar-SA"/>
    </w:rPr>
  </w:style>
  <w:style w:type="character" w:customStyle="1" w:styleId="196">
    <w:name w:val="正文文本 Char Char"/>
    <w:qFormat/>
    <w:uiPriority w:val="0"/>
    <w:rPr>
      <w:rFonts w:ascii="Times New Roman" w:hAnsi="Times New Roman" w:eastAsia="宋体" w:cs="Times New Roman"/>
      <w:kern w:val="2"/>
      <w:sz w:val="21"/>
      <w:szCs w:val="24"/>
      <w:lang w:val="en-US" w:eastAsia="zh-CN" w:bidi="ar-SA"/>
    </w:rPr>
  </w:style>
  <w:style w:type="character" w:customStyle="1" w:styleId="197">
    <w:name w:val="标题 5 Char"/>
    <w:link w:val="7"/>
    <w:qFormat/>
    <w:uiPriority w:val="0"/>
    <w:rPr>
      <w:rFonts w:ascii="Times New Roman" w:hAnsi="Times New Roman" w:eastAsia="宋体" w:cs="Times New Roman"/>
      <w:sz w:val="24"/>
    </w:rPr>
  </w:style>
  <w:style w:type="character" w:customStyle="1" w:styleId="198">
    <w:name w:val="副标题 Char"/>
    <w:link w:val="50"/>
    <w:qFormat/>
    <w:uiPriority w:val="0"/>
    <w:rPr>
      <w:rFonts w:ascii="Arial" w:hAnsi="Arial" w:eastAsia="宋体" w:cs="Arial"/>
      <w:b/>
      <w:bCs/>
      <w:kern w:val="28"/>
      <w:sz w:val="32"/>
      <w:szCs w:val="32"/>
    </w:rPr>
  </w:style>
  <w:style w:type="character" w:customStyle="1" w:styleId="199">
    <w:name w:val="脚注文本 Char"/>
    <w:link w:val="52"/>
    <w:qFormat/>
    <w:uiPriority w:val="0"/>
    <w:rPr>
      <w:rFonts w:ascii="Times New Roman" w:hAnsi="Times New Roman" w:eastAsia="宋体" w:cs="Times New Roman"/>
      <w:sz w:val="18"/>
    </w:rPr>
  </w:style>
  <w:style w:type="character" w:customStyle="1" w:styleId="200">
    <w:name w:val="图表名 Char Char"/>
    <w:link w:val="201"/>
    <w:qFormat/>
    <w:uiPriority w:val="0"/>
    <w:rPr>
      <w:rFonts w:ascii="宋体" w:hAnsi="宋体" w:eastAsia="宋体" w:cs="Times New Roman"/>
      <w:sz w:val="28"/>
      <w:szCs w:val="28"/>
    </w:rPr>
  </w:style>
  <w:style w:type="paragraph" w:customStyle="1" w:styleId="201">
    <w:name w:val="图表名"/>
    <w:basedOn w:val="1"/>
    <w:next w:val="1"/>
    <w:link w:val="200"/>
    <w:qFormat/>
    <w:uiPriority w:val="0"/>
    <w:pPr>
      <w:tabs>
        <w:tab w:val="left" w:pos="770"/>
        <w:tab w:val="left" w:pos="4660"/>
      </w:tabs>
      <w:adjustRightInd w:val="0"/>
      <w:snapToGrid w:val="0"/>
      <w:spacing w:line="360" w:lineRule="auto"/>
      <w:jc w:val="center"/>
    </w:pPr>
    <w:rPr>
      <w:rFonts w:ascii="宋体" w:hAnsi="宋体"/>
      <w:kern w:val="0"/>
      <w:sz w:val="28"/>
      <w:szCs w:val="28"/>
    </w:rPr>
  </w:style>
  <w:style w:type="character" w:customStyle="1" w:styleId="202">
    <w:name w:val="fo Char"/>
    <w:qFormat/>
    <w:uiPriority w:val="0"/>
    <w:rPr>
      <w:rFonts w:ascii="Times New Roman" w:hAnsi="Times New Roman" w:eastAsia="宋体" w:cs="Times New Roman"/>
      <w:kern w:val="2"/>
      <w:sz w:val="18"/>
      <w:lang w:val="en-US" w:eastAsia="zh-CN" w:bidi="ar-SA"/>
    </w:rPr>
  </w:style>
  <w:style w:type="character" w:customStyle="1" w:styleId="203">
    <w:name w:val="Char Char141"/>
    <w:qFormat/>
    <w:uiPriority w:val="0"/>
    <w:rPr>
      <w:rFonts w:ascii="Arial" w:hAnsi="Arial" w:eastAsia="黑体" w:cs="Times New Roman"/>
      <w:b/>
      <w:bCs/>
      <w:kern w:val="2"/>
      <w:sz w:val="32"/>
      <w:szCs w:val="32"/>
      <w:lang w:val="en-US" w:eastAsia="zh-CN" w:bidi="ar-SA"/>
    </w:rPr>
  </w:style>
  <w:style w:type="character" w:customStyle="1" w:styleId="204">
    <w:name w:val="引用 Char1"/>
    <w:qFormat/>
    <w:uiPriority w:val="0"/>
    <w:rPr>
      <w:rFonts w:ascii="Times New Roman" w:hAnsi="Times New Roman" w:eastAsia="宋体" w:cs="Times New Roman"/>
      <w:i/>
      <w:iCs/>
      <w:color w:val="000000"/>
      <w:kern w:val="2"/>
      <w:sz w:val="21"/>
    </w:rPr>
  </w:style>
  <w:style w:type="character" w:customStyle="1" w:styleId="205">
    <w:name w:val="Char Char111"/>
    <w:qFormat/>
    <w:uiPriority w:val="0"/>
    <w:rPr>
      <w:rFonts w:ascii="楷体_GB2312" w:hAnsi="Times New Roman" w:eastAsia="楷体_GB2312" w:cs="Times New Roman"/>
      <w:b/>
      <w:kern w:val="2"/>
      <w:sz w:val="24"/>
      <w:lang w:val="en-US" w:eastAsia="zh-CN" w:bidi="ar-SA"/>
    </w:rPr>
  </w:style>
  <w:style w:type="character" w:customStyle="1" w:styleId="206">
    <w:name w:val="批注主题 Char"/>
    <w:qFormat/>
    <w:uiPriority w:val="0"/>
    <w:rPr>
      <w:rFonts w:ascii="Times New Roman" w:hAnsi="Times New Roman" w:eastAsia="宋体" w:cs="Times New Roman"/>
      <w:kern w:val="2"/>
      <w:sz w:val="21"/>
      <w:szCs w:val="24"/>
      <w:lang w:val="en-US" w:eastAsia="zh-CN" w:bidi="ar-SA"/>
    </w:rPr>
  </w:style>
  <w:style w:type="character" w:customStyle="1" w:styleId="207">
    <w:name w:val="正文文本缩进 Char1"/>
    <w:qFormat/>
    <w:uiPriority w:val="0"/>
    <w:rPr>
      <w:rFonts w:ascii="Times New Roman" w:hAnsi="Times New Roman" w:eastAsia="宋体" w:cs="Times New Roman"/>
      <w:b/>
      <w:bCs/>
      <w:kern w:val="2"/>
      <w:sz w:val="24"/>
      <w:szCs w:val="24"/>
    </w:rPr>
  </w:style>
  <w:style w:type="character" w:customStyle="1" w:styleId="208">
    <w:name w:val="Char Char121"/>
    <w:qFormat/>
    <w:uiPriority w:val="0"/>
    <w:rPr>
      <w:rFonts w:ascii="宋体" w:hAnsi="Times New Roman" w:eastAsia="宋体" w:cs="Times New Roman"/>
      <w:kern w:val="2"/>
      <w:sz w:val="28"/>
      <w:szCs w:val="24"/>
      <w:lang w:val="en-US" w:eastAsia="zh-CN" w:bidi="ar-SA"/>
    </w:rPr>
  </w:style>
  <w:style w:type="character" w:customStyle="1" w:styleId="209">
    <w:name w:val="普通文字 Char Char1"/>
    <w:qFormat/>
    <w:uiPriority w:val="0"/>
    <w:rPr>
      <w:rFonts w:ascii="宋体" w:hAnsi="Courier New" w:eastAsia="宋体" w:cs="Times New Roman"/>
      <w:kern w:val="2"/>
      <w:sz w:val="21"/>
      <w:lang w:val="en-US" w:eastAsia="zh-CN" w:bidi="ar-SA"/>
    </w:rPr>
  </w:style>
  <w:style w:type="character" w:customStyle="1" w:styleId="210">
    <w:name w:val="编号  ww Char"/>
    <w:qFormat/>
    <w:uiPriority w:val="0"/>
    <w:rPr>
      <w:rFonts w:ascii="Arial" w:hAnsi="Arial" w:eastAsia="黑体" w:cs="Times New Roman"/>
      <w:b/>
      <w:bCs/>
      <w:sz w:val="28"/>
      <w:szCs w:val="28"/>
    </w:rPr>
  </w:style>
  <w:style w:type="character" w:customStyle="1" w:styleId="211">
    <w:name w:val="Char Char10"/>
    <w:qFormat/>
    <w:uiPriority w:val="0"/>
    <w:rPr>
      <w:rFonts w:ascii="Times New Roman" w:hAnsi="Times New Roman" w:eastAsia="宋体" w:cs="Times New Roman"/>
      <w:b/>
      <w:i/>
      <w:kern w:val="2"/>
      <w:sz w:val="28"/>
      <w:lang w:val="en-US" w:eastAsia="zh-CN" w:bidi="ar-SA"/>
    </w:rPr>
  </w:style>
  <w:style w:type="character" w:customStyle="1" w:styleId="212">
    <w:name w:val="Char Char12"/>
    <w:qFormat/>
    <w:uiPriority w:val="0"/>
    <w:rPr>
      <w:rFonts w:ascii="宋体" w:hAnsi="Times New Roman" w:eastAsia="宋体" w:cs="Times New Roman"/>
      <w:kern w:val="2"/>
      <w:sz w:val="28"/>
      <w:szCs w:val="24"/>
      <w:lang w:val="en-US" w:eastAsia="zh-CN" w:bidi="ar-SA"/>
    </w:rPr>
  </w:style>
  <w:style w:type="character" w:customStyle="1" w:styleId="213">
    <w:name w:val="批注主题 Char Char"/>
    <w:qFormat/>
    <w:uiPriority w:val="0"/>
    <w:rPr>
      <w:rFonts w:ascii="Times New Roman" w:hAnsi="Times New Roman" w:eastAsia="宋体" w:cs="Times New Roman"/>
      <w:b/>
      <w:bCs/>
      <w:kern w:val="2"/>
      <w:sz w:val="21"/>
      <w:szCs w:val="24"/>
    </w:rPr>
  </w:style>
  <w:style w:type="character" w:customStyle="1" w:styleId="214">
    <w:name w:val="批注框文本 Char1"/>
    <w:qFormat/>
    <w:uiPriority w:val="0"/>
    <w:rPr>
      <w:rFonts w:ascii="Times New Roman" w:hAnsi="Times New Roman" w:eastAsia="宋体" w:cs="Times New Roman"/>
      <w:kern w:val="2"/>
      <w:sz w:val="18"/>
      <w:szCs w:val="18"/>
    </w:rPr>
  </w:style>
  <w:style w:type="character" w:customStyle="1" w:styleId="215">
    <w:name w:val="Char Char11"/>
    <w:qFormat/>
    <w:uiPriority w:val="0"/>
    <w:rPr>
      <w:rFonts w:ascii="楷体_GB2312" w:hAnsi="Times New Roman" w:eastAsia="楷体_GB2312" w:cs="Times New Roman"/>
      <w:b/>
      <w:kern w:val="2"/>
      <w:sz w:val="24"/>
      <w:lang w:val="en-US" w:eastAsia="zh-CN" w:bidi="ar-SA"/>
    </w:rPr>
  </w:style>
  <w:style w:type="character" w:customStyle="1" w:styleId="216">
    <w:name w:val="HTML 预设格式 Char"/>
    <w:link w:val="61"/>
    <w:qFormat/>
    <w:uiPriority w:val="0"/>
    <w:rPr>
      <w:rFonts w:ascii="Arial" w:hAnsi="Arial" w:eastAsia="宋体" w:cs="Arial"/>
      <w:sz w:val="24"/>
      <w:szCs w:val="24"/>
    </w:rPr>
  </w:style>
  <w:style w:type="character" w:customStyle="1" w:styleId="217">
    <w:name w:val="标题 3 Char Char"/>
    <w:qFormat/>
    <w:uiPriority w:val="0"/>
    <w:rPr>
      <w:rFonts w:ascii="仿宋_GB2312" w:hAnsi="Times New Roman" w:eastAsia="仿宋_GB2312" w:cs="Times New Roman"/>
      <w:b/>
      <w:sz w:val="28"/>
      <w:szCs w:val="28"/>
      <w:lang w:val="en-US" w:eastAsia="zh-CN" w:bidi="ar-SA"/>
    </w:rPr>
  </w:style>
  <w:style w:type="paragraph" w:customStyle="1" w:styleId="218">
    <w:name w:val="xl67"/>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hint="eastAsia" w:ascii="楷体_GB2312" w:hAnsi="Arial Unicode MS" w:eastAsia="楷体_GB2312" w:cs="Arial Unicode MS"/>
      <w:kern w:val="0"/>
      <w:sz w:val="22"/>
      <w:szCs w:val="22"/>
    </w:rPr>
  </w:style>
  <w:style w:type="paragraph" w:customStyle="1" w:styleId="219">
    <w:name w:val="正文2"/>
    <w:basedOn w:val="1"/>
    <w:qFormat/>
    <w:uiPriority w:val="0"/>
    <w:pPr>
      <w:spacing w:line="360" w:lineRule="auto"/>
      <w:ind w:right="200" w:rightChars="200"/>
      <w:jc w:val="right"/>
    </w:pPr>
    <w:rPr>
      <w:rFonts w:ascii="宋体"/>
      <w:szCs w:val="21"/>
    </w:rPr>
  </w:style>
  <w:style w:type="paragraph" w:customStyle="1" w:styleId="220">
    <w:name w:val="正文3"/>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21">
    <w:name w:val="Char6 Char Char Char"/>
    <w:basedOn w:val="1"/>
    <w:qFormat/>
    <w:uiPriority w:val="0"/>
    <w:pPr>
      <w:tabs>
        <w:tab w:val="left" w:pos="794"/>
        <w:tab w:val="left" w:pos="1191"/>
        <w:tab w:val="left" w:pos="1588"/>
        <w:tab w:val="left" w:pos="1985"/>
      </w:tabs>
      <w:autoSpaceDE w:val="0"/>
      <w:autoSpaceDN w:val="0"/>
      <w:adjustRightInd w:val="0"/>
      <w:spacing w:before="136"/>
    </w:pPr>
    <w:rPr>
      <w:rFonts w:ascii="Tahoma" w:hAnsi="Tahoma"/>
      <w:kern w:val="0"/>
      <w:sz w:val="24"/>
      <w:szCs w:val="20"/>
      <w:lang w:val="en-GB"/>
    </w:rPr>
  </w:style>
  <w:style w:type="paragraph" w:customStyle="1" w:styleId="222">
    <w:name w:val="xl47"/>
    <w:basedOn w:val="1"/>
    <w:qFormat/>
    <w:uiPriority w:val="0"/>
    <w:pPr>
      <w:widowControl/>
      <w:pBdr>
        <w:left w:val="single" w:color="auto" w:sz="4" w:space="0"/>
        <w:bottom w:val="single" w:color="auto" w:sz="8" w:space="0"/>
        <w:right w:val="single" w:color="auto" w:sz="4" w:space="0"/>
      </w:pBdr>
      <w:spacing w:before="100" w:beforeAutospacing="1" w:after="100" w:afterAutospacing="1"/>
      <w:jc w:val="center"/>
    </w:pPr>
    <w:rPr>
      <w:rFonts w:eastAsia="Arial Unicode MS"/>
      <w:kern w:val="0"/>
      <w:sz w:val="22"/>
      <w:szCs w:val="22"/>
    </w:rPr>
  </w:style>
  <w:style w:type="paragraph" w:customStyle="1" w:styleId="223">
    <w:name w:val="样式 标题 3 + (中文) 黑体 小四 非加粗 段前: 7.8 磅 段后: 0 磅 行距: 固定值 20 磅"/>
    <w:basedOn w:val="5"/>
    <w:qFormat/>
    <w:uiPriority w:val="0"/>
    <w:pPr>
      <w:keepLines/>
      <w:spacing w:beforeLines="0" w:line="400" w:lineRule="exact"/>
    </w:pPr>
    <w:rPr>
      <w:rFonts w:ascii="Times New Roman" w:hAnsi="Times New Roman" w:eastAsia="黑体"/>
      <w:b/>
      <w:sz w:val="24"/>
      <w:szCs w:val="20"/>
    </w:rPr>
  </w:style>
  <w:style w:type="paragraph" w:customStyle="1" w:styleId="224">
    <w:name w:val="Report Level 1"/>
    <w:basedOn w:val="1"/>
    <w:next w:val="225"/>
    <w:qFormat/>
    <w:uiPriority w:val="0"/>
    <w:pPr>
      <w:keepNext/>
      <w:widowControl/>
      <w:tabs>
        <w:tab w:val="left" w:pos="417"/>
      </w:tabs>
      <w:autoSpaceDE w:val="0"/>
      <w:autoSpaceDN w:val="0"/>
      <w:adjustRightInd w:val="0"/>
      <w:spacing w:before="240" w:after="120"/>
      <w:ind w:left="417" w:hanging="420"/>
      <w:jc w:val="left"/>
      <w:outlineLvl w:val="0"/>
    </w:pPr>
    <w:rPr>
      <w:rFonts w:ascii="Arial" w:hAnsi="Arial" w:eastAsia="PMingLiU"/>
      <w:b/>
      <w:caps/>
      <w:kern w:val="0"/>
      <w:szCs w:val="20"/>
      <w:lang w:val="en-GB" w:eastAsia="en-US"/>
    </w:rPr>
  </w:style>
  <w:style w:type="paragraph" w:customStyle="1" w:styleId="225">
    <w:name w:val="Report Text"/>
    <w:qFormat/>
    <w:uiPriority w:val="0"/>
    <w:pPr>
      <w:suppressAutoHyphens/>
      <w:spacing w:after="180" w:line="260" w:lineRule="atLeast"/>
      <w:ind w:left="1253"/>
      <w:jc w:val="both"/>
    </w:pPr>
    <w:rPr>
      <w:rFonts w:ascii="Arial" w:hAnsi="Arial" w:eastAsia="宋体" w:cs="Times New Roman"/>
      <w:sz w:val="22"/>
      <w:lang w:val="en-GB" w:eastAsia="ar-SA" w:bidi="ar-SA"/>
    </w:rPr>
  </w:style>
  <w:style w:type="paragraph" w:customStyle="1" w:styleId="226">
    <w:name w:val="封面字体3"/>
    <w:basedOn w:val="1"/>
    <w:qFormat/>
    <w:uiPriority w:val="0"/>
    <w:pPr>
      <w:spacing w:line="240" w:lineRule="atLeast"/>
      <w:jc w:val="left"/>
    </w:pPr>
    <w:rPr>
      <w:rFonts w:ascii="华文细黑" w:hAnsi="华文细黑" w:eastAsia="黑体" w:cs="Arial"/>
      <w:bCs/>
      <w:spacing w:val="100"/>
      <w:kern w:val="0"/>
      <w:sz w:val="44"/>
      <w:szCs w:val="21"/>
    </w:rPr>
  </w:style>
  <w:style w:type="paragraph" w:customStyle="1" w:styleId="227">
    <w:name w:val="xl54"/>
    <w:basedOn w:val="1"/>
    <w:qFormat/>
    <w:uiPriority w:val="0"/>
    <w:pPr>
      <w:widowControl/>
      <w:pBdr>
        <w:left w:val="single" w:color="auto" w:sz="4" w:space="0"/>
        <w:bottom w:val="single" w:color="auto" w:sz="8" w:space="0"/>
        <w:right w:val="single" w:color="auto" w:sz="4" w:space="0"/>
      </w:pBdr>
      <w:spacing w:before="100" w:beforeAutospacing="1" w:after="100" w:afterAutospacing="1"/>
      <w:jc w:val="center"/>
    </w:pPr>
    <w:rPr>
      <w:rFonts w:eastAsia="Arial Unicode MS"/>
      <w:kern w:val="0"/>
      <w:sz w:val="22"/>
      <w:szCs w:val="22"/>
    </w:rPr>
  </w:style>
  <w:style w:type="paragraph" w:customStyle="1" w:styleId="228">
    <w:name w:val="xl36"/>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pPr>
    <w:rPr>
      <w:rFonts w:eastAsia="Arial Unicode MS"/>
      <w:kern w:val="0"/>
      <w:sz w:val="22"/>
      <w:szCs w:val="22"/>
    </w:rPr>
  </w:style>
  <w:style w:type="paragraph" w:customStyle="1" w:styleId="229">
    <w:name w:val="正文文本缩进 31"/>
    <w:basedOn w:val="1"/>
    <w:qFormat/>
    <w:uiPriority w:val="0"/>
    <w:pPr>
      <w:adjustRightInd w:val="0"/>
      <w:ind w:firstLine="562"/>
      <w:textAlignment w:val="baseline"/>
    </w:pPr>
    <w:rPr>
      <w:rFonts w:ascii="宋体" w:hAnsi="宋体"/>
      <w:b/>
      <w:sz w:val="28"/>
      <w:szCs w:val="20"/>
    </w:rPr>
  </w:style>
  <w:style w:type="paragraph" w:customStyle="1" w:styleId="230">
    <w:name w:val="7"/>
    <w:basedOn w:val="1"/>
    <w:qFormat/>
    <w:uiPriority w:val="0"/>
    <w:pPr>
      <w:widowControl/>
      <w:tabs>
        <w:tab w:val="left" w:pos="425"/>
      </w:tabs>
      <w:spacing w:beforeLines="100" w:after="160" w:line="240" w:lineRule="exact"/>
      <w:ind w:left="425" w:hanging="425"/>
      <w:jc w:val="left"/>
    </w:pPr>
    <w:rPr>
      <w:rFonts w:ascii="Verdana" w:hAnsi="Verdana" w:eastAsia="黑体"/>
      <w:kern w:val="0"/>
      <w:sz w:val="20"/>
      <w:szCs w:val="20"/>
      <w:lang w:eastAsia="en-US"/>
    </w:rPr>
  </w:style>
  <w:style w:type="paragraph" w:customStyle="1" w:styleId="231">
    <w:name w:val="plane"/>
    <w:basedOn w:val="1"/>
    <w:qFormat/>
    <w:uiPriority w:val="0"/>
    <w:pPr>
      <w:widowControl/>
      <w:suppressAutoHyphens/>
    </w:pPr>
    <w:rPr>
      <w:rFonts w:ascii="Tms Rmn" w:hAnsi="Tms Rmn"/>
      <w:kern w:val="0"/>
      <w:sz w:val="24"/>
      <w:szCs w:val="20"/>
    </w:rPr>
  </w:style>
  <w:style w:type="paragraph" w:customStyle="1" w:styleId="232">
    <w:name w:val="香奈儿 2"/>
    <w:basedOn w:val="1"/>
    <w:qFormat/>
    <w:uiPriority w:val="0"/>
    <w:pPr>
      <w:tabs>
        <w:tab w:val="right" w:pos="840"/>
      </w:tabs>
      <w:ind w:left="840" w:hanging="840"/>
    </w:pPr>
    <w:rPr>
      <w:szCs w:val="20"/>
    </w:rPr>
  </w:style>
  <w:style w:type="paragraph" w:customStyle="1" w:styleId="233">
    <w:name w:val="CM47"/>
    <w:basedOn w:val="1"/>
    <w:next w:val="117"/>
    <w:qFormat/>
    <w:uiPriority w:val="0"/>
    <w:pPr>
      <w:autoSpaceDE w:val="0"/>
      <w:autoSpaceDN w:val="0"/>
      <w:adjustRightInd w:val="0"/>
      <w:spacing w:line="440" w:lineRule="atLeast"/>
      <w:jc w:val="left"/>
    </w:pPr>
    <w:rPr>
      <w:rFonts w:ascii="宋体"/>
      <w:kern w:val="0"/>
      <w:sz w:val="24"/>
    </w:rPr>
  </w:style>
  <w:style w:type="paragraph" w:customStyle="1" w:styleId="234">
    <w:name w:val="CM76"/>
    <w:basedOn w:val="1"/>
    <w:next w:val="117"/>
    <w:qFormat/>
    <w:uiPriority w:val="0"/>
    <w:pPr>
      <w:autoSpaceDE w:val="0"/>
      <w:autoSpaceDN w:val="0"/>
      <w:adjustRightInd w:val="0"/>
      <w:spacing w:line="400" w:lineRule="atLeast"/>
      <w:jc w:val="left"/>
    </w:pPr>
    <w:rPr>
      <w:rFonts w:ascii="宋体"/>
      <w:kern w:val="0"/>
      <w:sz w:val="24"/>
    </w:rPr>
  </w:style>
  <w:style w:type="paragraph" w:customStyle="1" w:styleId="235">
    <w:name w:val="小节标题"/>
    <w:basedOn w:val="1"/>
    <w:next w:val="1"/>
    <w:qFormat/>
    <w:uiPriority w:val="0"/>
    <w:pPr>
      <w:widowControl/>
      <w:spacing w:before="175" w:after="102" w:line="351" w:lineRule="atLeast"/>
      <w:textAlignment w:val="baseline"/>
    </w:pPr>
    <w:rPr>
      <w:rFonts w:eastAsia="黑体"/>
      <w:color w:val="000000"/>
      <w:kern w:val="0"/>
      <w:szCs w:val="20"/>
    </w:rPr>
  </w:style>
  <w:style w:type="paragraph" w:customStyle="1" w:styleId="236">
    <w:name w:val="Legal 3"/>
    <w:basedOn w:val="1"/>
    <w:qFormat/>
    <w:uiPriority w:val="0"/>
    <w:pPr>
      <w:tabs>
        <w:tab w:val="left" w:pos="1620"/>
      </w:tabs>
      <w:spacing w:after="120"/>
      <w:outlineLvl w:val="2"/>
    </w:pPr>
    <w:rPr>
      <w:snapToGrid w:val="0"/>
      <w:kern w:val="0"/>
      <w:sz w:val="22"/>
      <w:szCs w:val="20"/>
      <w:lang w:eastAsia="en-US"/>
    </w:rPr>
  </w:style>
  <w:style w:type="paragraph" w:customStyle="1" w:styleId="237">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kern w:val="0"/>
      <w:sz w:val="22"/>
      <w:szCs w:val="22"/>
    </w:rPr>
  </w:style>
  <w:style w:type="paragraph" w:customStyle="1" w:styleId="238">
    <w:name w:val="样式 第四行 + 左侧:  -4 字符 段前: 2 行"/>
    <w:basedOn w:val="239"/>
    <w:qFormat/>
    <w:uiPriority w:val="0"/>
    <w:pPr>
      <w:ind w:left="-300" w:leftChars="-300"/>
    </w:pPr>
    <w:rPr>
      <w:rFonts w:ascii="Times New Roman"/>
      <w:szCs w:val="20"/>
    </w:rPr>
  </w:style>
  <w:style w:type="paragraph" w:customStyle="1" w:styleId="239">
    <w:name w:val="第四行"/>
    <w:basedOn w:val="1"/>
    <w:qFormat/>
    <w:uiPriority w:val="0"/>
    <w:pPr>
      <w:spacing w:beforeLines="200" w:line="360" w:lineRule="auto"/>
      <w:ind w:left="-400" w:leftChars="-400"/>
      <w:jc w:val="center"/>
    </w:pPr>
    <w:rPr>
      <w:rFonts w:ascii="宋体"/>
      <w:b/>
      <w:bCs/>
      <w:sz w:val="28"/>
      <w:szCs w:val="28"/>
    </w:rPr>
  </w:style>
  <w:style w:type="paragraph" w:customStyle="1" w:styleId="240">
    <w:name w:val="CM27"/>
    <w:basedOn w:val="1"/>
    <w:next w:val="1"/>
    <w:qFormat/>
    <w:uiPriority w:val="0"/>
    <w:pPr>
      <w:autoSpaceDE w:val="0"/>
      <w:autoSpaceDN w:val="0"/>
      <w:adjustRightInd w:val="0"/>
      <w:spacing w:after="128"/>
      <w:jc w:val="left"/>
    </w:pPr>
    <w:rPr>
      <w:rFonts w:ascii="宋体" w:cs="宋体"/>
      <w:kern w:val="0"/>
      <w:sz w:val="24"/>
    </w:rPr>
  </w:style>
  <w:style w:type="paragraph" w:customStyle="1" w:styleId="241">
    <w:name w:val="xl80"/>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eastAsia="Arial Unicode MS"/>
      <w:kern w:val="0"/>
      <w:sz w:val="24"/>
    </w:rPr>
  </w:style>
  <w:style w:type="paragraph" w:customStyle="1" w:styleId="242">
    <w:name w:val="第五行"/>
    <w:basedOn w:val="239"/>
    <w:qFormat/>
    <w:uiPriority w:val="0"/>
    <w:pPr>
      <w:ind w:left="-800" w:leftChars="-800"/>
    </w:pPr>
    <w:rPr>
      <w:rFonts w:ascii="Times New Roman"/>
    </w:rPr>
  </w:style>
  <w:style w:type="paragraph" w:customStyle="1" w:styleId="243">
    <w:name w:val="第一行"/>
    <w:basedOn w:val="1"/>
    <w:qFormat/>
    <w:uiPriority w:val="0"/>
    <w:pPr>
      <w:spacing w:beforeLines="100" w:line="360" w:lineRule="auto"/>
      <w:jc w:val="center"/>
    </w:pPr>
    <w:rPr>
      <w:rFonts w:ascii="宋体"/>
      <w:b/>
      <w:bCs/>
      <w:sz w:val="32"/>
      <w:szCs w:val="32"/>
    </w:rPr>
  </w:style>
  <w:style w:type="paragraph" w:customStyle="1" w:styleId="244">
    <w:name w:val="封面样式4"/>
    <w:basedOn w:val="1"/>
    <w:qFormat/>
    <w:uiPriority w:val="0"/>
    <w:pPr>
      <w:spacing w:line="440" w:lineRule="exact"/>
      <w:ind w:firstLine="630" w:firstLineChars="300"/>
      <w:jc w:val="left"/>
    </w:pPr>
    <w:rPr>
      <w:rFonts w:ascii="华文细黑" w:hAnsi="华文细黑" w:cs="Arial"/>
      <w:kern w:val="0"/>
      <w:szCs w:val="21"/>
    </w:rPr>
  </w:style>
  <w:style w:type="paragraph" w:customStyle="1" w:styleId="245">
    <w:name w:val="xl27"/>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kern w:val="0"/>
      <w:sz w:val="20"/>
      <w:szCs w:val="20"/>
    </w:rPr>
  </w:style>
  <w:style w:type="paragraph" w:customStyle="1" w:styleId="246">
    <w:name w:val="xl70"/>
    <w:basedOn w:val="1"/>
    <w:qFormat/>
    <w:uiPriority w:val="0"/>
    <w:pPr>
      <w:widowControl/>
      <w:pBdr>
        <w:left w:val="single" w:color="auto" w:sz="8" w:space="0"/>
        <w:bottom w:val="single" w:color="auto" w:sz="8" w:space="0"/>
        <w:right w:val="single" w:color="auto" w:sz="4" w:space="0"/>
      </w:pBdr>
      <w:tabs>
        <w:tab w:val="left" w:pos="2835"/>
      </w:tabs>
      <w:spacing w:before="100" w:beforeAutospacing="1" w:after="100" w:afterAutospacing="1"/>
      <w:ind w:left="2835" w:hanging="720" w:firstLineChars="300"/>
      <w:jc w:val="center"/>
      <w:textAlignment w:val="center"/>
    </w:pPr>
    <w:rPr>
      <w:rFonts w:ascii="Arial Unicode MS" w:hAnsi="Arial Unicode MS" w:eastAsia="Arial Unicode MS" w:cs="Arial"/>
      <w:kern w:val="0"/>
      <w:sz w:val="20"/>
      <w:szCs w:val="20"/>
    </w:rPr>
  </w:style>
  <w:style w:type="paragraph" w:customStyle="1" w:styleId="247">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248">
    <w:name w:val="xl4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eastAsia="Arial Unicode MS"/>
      <w:color w:val="FF00FF"/>
      <w:kern w:val="0"/>
      <w:sz w:val="22"/>
      <w:szCs w:val="22"/>
    </w:rPr>
  </w:style>
  <w:style w:type="paragraph" w:customStyle="1" w:styleId="249">
    <w:name w:val="CM105"/>
    <w:basedOn w:val="1"/>
    <w:next w:val="117"/>
    <w:qFormat/>
    <w:uiPriority w:val="0"/>
    <w:pPr>
      <w:autoSpaceDE w:val="0"/>
      <w:autoSpaceDN w:val="0"/>
      <w:adjustRightInd w:val="0"/>
      <w:spacing w:after="1040"/>
      <w:jc w:val="left"/>
    </w:pPr>
    <w:rPr>
      <w:rFonts w:ascii="宋体"/>
      <w:kern w:val="0"/>
      <w:sz w:val="24"/>
    </w:rPr>
  </w:style>
  <w:style w:type="paragraph" w:customStyle="1" w:styleId="250">
    <w:name w:val="Char111"/>
    <w:basedOn w:val="1"/>
    <w:qFormat/>
    <w:uiPriority w:val="0"/>
  </w:style>
  <w:style w:type="paragraph" w:customStyle="1" w:styleId="251">
    <w:name w:val="CM4"/>
    <w:basedOn w:val="117"/>
    <w:next w:val="117"/>
    <w:qFormat/>
    <w:uiPriority w:val="0"/>
    <w:rPr>
      <w:rFonts w:ascii="Times New Roman" w:cs="Times New Roman"/>
      <w:color w:val="auto"/>
    </w:rPr>
  </w:style>
  <w:style w:type="paragraph" w:customStyle="1" w:styleId="252">
    <w:name w:val="第二行"/>
    <w:basedOn w:val="1"/>
    <w:qFormat/>
    <w:uiPriority w:val="0"/>
    <w:pPr>
      <w:spacing w:beforeLines="100" w:line="360" w:lineRule="auto"/>
      <w:jc w:val="center"/>
    </w:pPr>
    <w:rPr>
      <w:rFonts w:ascii="宋体"/>
      <w:b/>
      <w:bCs/>
      <w:sz w:val="36"/>
      <w:szCs w:val="36"/>
    </w:rPr>
  </w:style>
  <w:style w:type="paragraph" w:customStyle="1" w:styleId="253">
    <w:name w:val="List Paragraph1"/>
    <w:basedOn w:val="1"/>
    <w:qFormat/>
    <w:uiPriority w:val="0"/>
    <w:pPr>
      <w:ind w:firstLine="420" w:firstLineChars="200"/>
    </w:pPr>
    <w:rPr>
      <w:rFonts w:ascii="Calibri" w:hAnsi="Calibri" w:cs="Calibri"/>
      <w:szCs w:val="21"/>
    </w:rPr>
  </w:style>
  <w:style w:type="paragraph" w:customStyle="1" w:styleId="254">
    <w:name w:val="字元 字元12"/>
    <w:basedOn w:val="1"/>
    <w:qFormat/>
    <w:uiPriority w:val="0"/>
  </w:style>
  <w:style w:type="paragraph" w:customStyle="1" w:styleId="255">
    <w:name w:val="样式 标题 2"/>
    <w:basedOn w:val="1"/>
    <w:next w:val="5"/>
    <w:qFormat/>
    <w:uiPriority w:val="0"/>
    <w:pPr>
      <w:snapToGrid w:val="0"/>
      <w:spacing w:line="360" w:lineRule="auto"/>
      <w:ind w:firstLine="200" w:firstLineChars="200"/>
    </w:pPr>
    <w:rPr>
      <w:rFonts w:eastAsia="仿宋_GB2312"/>
      <w:sz w:val="32"/>
      <w:szCs w:val="32"/>
    </w:rPr>
  </w:style>
  <w:style w:type="paragraph" w:customStyle="1" w:styleId="256">
    <w:name w:val="CM49"/>
    <w:basedOn w:val="1"/>
    <w:next w:val="117"/>
    <w:qFormat/>
    <w:uiPriority w:val="0"/>
    <w:pPr>
      <w:autoSpaceDE w:val="0"/>
      <w:autoSpaceDN w:val="0"/>
      <w:adjustRightInd w:val="0"/>
      <w:spacing w:line="440" w:lineRule="atLeast"/>
      <w:jc w:val="left"/>
    </w:pPr>
    <w:rPr>
      <w:rFonts w:ascii="宋体"/>
      <w:kern w:val="0"/>
      <w:sz w:val="24"/>
    </w:rPr>
  </w:style>
  <w:style w:type="paragraph" w:customStyle="1" w:styleId="257">
    <w:name w:val="xl96"/>
    <w:basedOn w:val="1"/>
    <w:qFormat/>
    <w:uiPriority w:val="0"/>
    <w:pPr>
      <w:widowControl/>
      <w:pBdr>
        <w:top w:val="single" w:color="auto" w:sz="4" w:space="0"/>
        <w:left w:val="single" w:color="auto" w:sz="4" w:space="0"/>
        <w:right w:val="single" w:color="auto" w:sz="8"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258">
    <w:name w:val="样式"/>
    <w:basedOn w:val="1"/>
    <w:next w:val="1"/>
    <w:qFormat/>
    <w:uiPriority w:val="0"/>
    <w:pPr>
      <w:tabs>
        <w:tab w:val="left" w:pos="720"/>
      </w:tabs>
      <w:spacing w:line="360" w:lineRule="auto"/>
      <w:ind w:left="720" w:hanging="720"/>
      <w:outlineLvl w:val="2"/>
    </w:pPr>
    <w:rPr>
      <w:rFonts w:ascii="Arial" w:hAnsi="Arial" w:cs="Arial"/>
      <w:sz w:val="28"/>
      <w:szCs w:val="28"/>
    </w:rPr>
  </w:style>
  <w:style w:type="paragraph" w:customStyle="1" w:styleId="259">
    <w:name w:val="CM25"/>
    <w:basedOn w:val="1"/>
    <w:next w:val="117"/>
    <w:qFormat/>
    <w:uiPriority w:val="0"/>
    <w:pPr>
      <w:autoSpaceDE w:val="0"/>
      <w:autoSpaceDN w:val="0"/>
      <w:adjustRightInd w:val="0"/>
      <w:spacing w:line="440" w:lineRule="atLeast"/>
      <w:jc w:val="left"/>
    </w:pPr>
    <w:rPr>
      <w:rFonts w:ascii="宋体"/>
      <w:kern w:val="0"/>
      <w:sz w:val="24"/>
    </w:rPr>
  </w:style>
  <w:style w:type="paragraph" w:customStyle="1" w:styleId="260">
    <w:name w:val="CM62"/>
    <w:basedOn w:val="1"/>
    <w:next w:val="117"/>
    <w:qFormat/>
    <w:uiPriority w:val="0"/>
    <w:pPr>
      <w:autoSpaceDE w:val="0"/>
      <w:autoSpaceDN w:val="0"/>
      <w:adjustRightInd w:val="0"/>
      <w:spacing w:line="400" w:lineRule="atLeast"/>
      <w:jc w:val="left"/>
    </w:pPr>
    <w:rPr>
      <w:rFonts w:ascii="宋体"/>
      <w:kern w:val="0"/>
      <w:sz w:val="24"/>
    </w:rPr>
  </w:style>
  <w:style w:type="paragraph" w:customStyle="1" w:styleId="261">
    <w:name w:val="Char Char Char Char1 Char Char Char1"/>
    <w:basedOn w:val="1"/>
    <w:qFormat/>
    <w:uiPriority w:val="0"/>
    <w:pPr>
      <w:spacing w:line="240" w:lineRule="atLeast"/>
      <w:ind w:left="420" w:firstLine="420"/>
    </w:pPr>
    <w:rPr>
      <w:kern w:val="0"/>
      <w:szCs w:val="21"/>
    </w:rPr>
  </w:style>
  <w:style w:type="paragraph" w:customStyle="1" w:styleId="262">
    <w:name w:val="菲页2"/>
    <w:basedOn w:val="5"/>
    <w:qFormat/>
    <w:uiPriority w:val="0"/>
    <w:pPr>
      <w:keepLines/>
      <w:widowControl/>
      <w:tabs>
        <w:tab w:val="left" w:pos="1260"/>
        <w:tab w:val="clear" w:pos="360"/>
      </w:tabs>
      <w:spacing w:beforeLines="0" w:after="120"/>
      <w:ind w:left="1260" w:hanging="420"/>
    </w:pPr>
    <w:rPr>
      <w:rFonts w:ascii="黑体" w:hAnsi="Times New Roman" w:eastAsia="黑体"/>
      <w:kern w:val="0"/>
      <w:sz w:val="44"/>
      <w:szCs w:val="20"/>
    </w:rPr>
  </w:style>
  <w:style w:type="paragraph" w:customStyle="1" w:styleId="263">
    <w:name w:val="Char Char Char Char Char Char Char Char Char Char Char Char Char Char Char Char2"/>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4">
    <w:name w:val="Char Char Char Char Char Char Char Char Char1 Char Char Char Char"/>
    <w:basedOn w:val="1"/>
    <w:qFormat/>
    <w:uiPriority w:val="0"/>
    <w:rPr>
      <w:rFonts w:ascii="Tahoma" w:hAnsi="Tahoma"/>
      <w:sz w:val="24"/>
      <w:szCs w:val="20"/>
    </w:rPr>
  </w:style>
  <w:style w:type="paragraph" w:customStyle="1" w:styleId="265">
    <w:name w:val="xl8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eastAsia="Arial Unicode MS"/>
      <w:kern w:val="0"/>
      <w:sz w:val="22"/>
      <w:szCs w:val="22"/>
    </w:rPr>
  </w:style>
  <w:style w:type="paragraph" w:customStyle="1" w:styleId="266">
    <w:name w:val="_Style 6"/>
    <w:basedOn w:val="1"/>
    <w:qFormat/>
    <w:uiPriority w:val="0"/>
    <w:pPr>
      <w:ind w:firstLine="420" w:firstLineChars="200"/>
    </w:pPr>
    <w:rPr>
      <w:rFonts w:ascii="Calibri" w:hAnsi="Calibri"/>
      <w:szCs w:val="22"/>
    </w:rPr>
  </w:style>
  <w:style w:type="paragraph" w:customStyle="1" w:styleId="267">
    <w:name w:val="默认段落字体 Para Char Char Char Char"/>
    <w:basedOn w:val="1"/>
    <w:qFormat/>
    <w:uiPriority w:val="0"/>
  </w:style>
  <w:style w:type="paragraph" w:customStyle="1" w:styleId="268">
    <w:name w:val="表格文字"/>
    <w:basedOn w:val="1"/>
    <w:qFormat/>
    <w:uiPriority w:val="0"/>
    <w:pPr>
      <w:adjustRightInd w:val="0"/>
      <w:spacing w:before="60" w:after="60" w:line="420" w:lineRule="atLeast"/>
      <w:jc w:val="left"/>
      <w:textAlignment w:val="baseline"/>
    </w:pPr>
    <w:rPr>
      <w:kern w:val="0"/>
      <w:szCs w:val="20"/>
    </w:rPr>
  </w:style>
  <w:style w:type="paragraph" w:customStyle="1" w:styleId="269">
    <w:name w:val="font7"/>
    <w:basedOn w:val="1"/>
    <w:qFormat/>
    <w:uiPriority w:val="0"/>
    <w:pPr>
      <w:widowControl/>
      <w:spacing w:before="100" w:beforeAutospacing="1" w:after="100" w:afterAutospacing="1"/>
      <w:jc w:val="left"/>
    </w:pPr>
    <w:rPr>
      <w:rFonts w:eastAsia="Arial Unicode MS"/>
      <w:kern w:val="0"/>
      <w:sz w:val="22"/>
      <w:szCs w:val="22"/>
    </w:rPr>
  </w:style>
  <w:style w:type="paragraph" w:customStyle="1" w:styleId="270">
    <w:name w:val="样式6"/>
    <w:basedOn w:val="271"/>
    <w:qFormat/>
    <w:uiPriority w:val="0"/>
  </w:style>
  <w:style w:type="paragraph" w:customStyle="1" w:styleId="271">
    <w:name w:val="表格内容"/>
    <w:basedOn w:val="1"/>
    <w:qFormat/>
    <w:uiPriority w:val="0"/>
    <w:pPr>
      <w:widowControl/>
      <w:spacing w:line="260" w:lineRule="exact"/>
      <w:jc w:val="center"/>
    </w:pPr>
    <w:rPr>
      <w:kern w:val="0"/>
      <w:sz w:val="20"/>
      <w:szCs w:val="20"/>
    </w:rPr>
  </w:style>
  <w:style w:type="paragraph" w:customStyle="1" w:styleId="272">
    <w:name w:val="样式 标题 2 + 左侧:  0 厘米 首行缩进:  0 厘米"/>
    <w:basedOn w:val="4"/>
    <w:qFormat/>
    <w:uiPriority w:val="0"/>
    <w:pPr>
      <w:keepLines/>
      <w:tabs>
        <w:tab w:val="left" w:pos="600"/>
        <w:tab w:val="clear" w:pos="840"/>
      </w:tabs>
      <w:adjustRightInd w:val="0"/>
      <w:snapToGrid w:val="0"/>
      <w:spacing w:beforeLines="0" w:after="160" w:line="240" w:lineRule="auto"/>
      <w:ind w:left="707" w:hanging="707"/>
      <w:jc w:val="left"/>
      <w:textAlignment w:val="baseline"/>
    </w:pPr>
    <w:rPr>
      <w:rFonts w:ascii="Times New Roman" w:hAnsi="宋体" w:eastAsia="黑体" w:cs="宋体"/>
      <w:bCs w:val="0"/>
      <w:spacing w:val="4"/>
      <w:kern w:val="0"/>
      <w:sz w:val="28"/>
      <w:szCs w:val="28"/>
    </w:rPr>
  </w:style>
  <w:style w:type="paragraph" w:customStyle="1" w:styleId="273">
    <w:name w:val="编号"/>
    <w:basedOn w:val="1"/>
    <w:next w:val="1"/>
    <w:qFormat/>
    <w:uiPriority w:val="0"/>
    <w:pPr>
      <w:tabs>
        <w:tab w:val="left" w:pos="480"/>
      </w:tabs>
      <w:spacing w:line="360" w:lineRule="auto"/>
      <w:ind w:left="200" w:hanging="200" w:hangingChars="200"/>
    </w:pPr>
    <w:rPr>
      <w:rFonts w:ascii="宋体"/>
      <w:sz w:val="24"/>
    </w:rPr>
  </w:style>
  <w:style w:type="paragraph" w:customStyle="1" w:styleId="274">
    <w:name w:val="第1行"/>
    <w:basedOn w:val="1"/>
    <w:qFormat/>
    <w:uiPriority w:val="0"/>
    <w:pPr>
      <w:tabs>
        <w:tab w:val="left" w:pos="720"/>
      </w:tabs>
      <w:snapToGrid w:val="0"/>
      <w:spacing w:line="460" w:lineRule="exact"/>
      <w:ind w:left="720" w:hanging="720"/>
    </w:pPr>
    <w:rPr>
      <w:rFonts w:ascii="宋体" w:hAnsi="宋体"/>
      <w:szCs w:val="28"/>
    </w:rPr>
  </w:style>
  <w:style w:type="paragraph" w:customStyle="1" w:styleId="275">
    <w:name w:val="样式 样式 样式 第五行 + 左侧:  -8 字符 段前: 2 行 + 左侧:  -6 字符 段前: 2 行 + 左侧:  -4..."/>
    <w:basedOn w:val="276"/>
    <w:qFormat/>
    <w:uiPriority w:val="0"/>
    <w:rPr>
      <w:szCs w:val="28"/>
    </w:rPr>
  </w:style>
  <w:style w:type="paragraph" w:customStyle="1" w:styleId="276">
    <w:name w:val="样式 样式 第五行 + 左侧:  -8 字符 段前: 2 行 + 左侧:  -6 字符 段前: 2 行"/>
    <w:basedOn w:val="277"/>
    <w:qFormat/>
    <w:uiPriority w:val="0"/>
    <w:pPr>
      <w:ind w:left="-400" w:leftChars="-400"/>
    </w:pPr>
  </w:style>
  <w:style w:type="paragraph" w:customStyle="1" w:styleId="277">
    <w:name w:val="样式 第五行 + 左侧:  -8 字符 段前: 2 行"/>
    <w:basedOn w:val="242"/>
    <w:qFormat/>
    <w:uiPriority w:val="0"/>
    <w:pPr>
      <w:ind w:left="-600" w:leftChars="-600"/>
    </w:pPr>
    <w:rPr>
      <w:szCs w:val="20"/>
    </w:rPr>
  </w:style>
  <w:style w:type="paragraph" w:customStyle="1" w:styleId="278">
    <w:name w:val="xl81"/>
    <w:basedOn w:val="1"/>
    <w:qFormat/>
    <w:uiPriority w:val="0"/>
    <w:pPr>
      <w:widowControl/>
      <w:pBdr>
        <w:top w:val="single" w:color="auto" w:sz="4" w:space="0"/>
        <w:right w:val="single" w:color="auto" w:sz="4" w:space="0"/>
      </w:pBdr>
      <w:spacing w:before="100" w:beforeAutospacing="1" w:after="100" w:afterAutospacing="1"/>
      <w:jc w:val="center"/>
    </w:pPr>
    <w:rPr>
      <w:rFonts w:eastAsia="Arial Unicode MS"/>
      <w:kern w:val="0"/>
      <w:sz w:val="22"/>
      <w:szCs w:val="22"/>
    </w:rPr>
  </w:style>
  <w:style w:type="paragraph" w:customStyle="1" w:styleId="279">
    <w:name w:val="CM96"/>
    <w:basedOn w:val="1"/>
    <w:next w:val="117"/>
    <w:qFormat/>
    <w:uiPriority w:val="0"/>
    <w:pPr>
      <w:autoSpaceDE w:val="0"/>
      <w:autoSpaceDN w:val="0"/>
      <w:adjustRightInd w:val="0"/>
      <w:spacing w:after="298"/>
      <w:jc w:val="left"/>
    </w:pPr>
    <w:rPr>
      <w:rFonts w:ascii="宋体"/>
      <w:kern w:val="0"/>
      <w:sz w:val="24"/>
    </w:rPr>
  </w:style>
  <w:style w:type="paragraph" w:customStyle="1" w:styleId="280">
    <w:name w:val="正文4"/>
    <w:basedOn w:val="1"/>
    <w:qFormat/>
    <w:uiPriority w:val="0"/>
    <w:pPr>
      <w:spacing w:line="360" w:lineRule="auto"/>
      <w:ind w:left="400" w:leftChars="400"/>
    </w:pPr>
    <w:rPr>
      <w:rFonts w:ascii="宋体"/>
      <w:sz w:val="24"/>
    </w:rPr>
  </w:style>
  <w:style w:type="paragraph" w:customStyle="1" w:styleId="281">
    <w:name w:val="菲页1"/>
    <w:basedOn w:val="4"/>
    <w:qFormat/>
    <w:uiPriority w:val="0"/>
    <w:pPr>
      <w:keepLines/>
      <w:widowControl/>
      <w:tabs>
        <w:tab w:val="clear" w:pos="840"/>
      </w:tabs>
      <w:spacing w:beforeLines="0" w:after="260" w:line="413" w:lineRule="auto"/>
      <w:ind w:left="0" w:firstLine="0"/>
      <w:jc w:val="center"/>
    </w:pPr>
    <w:rPr>
      <w:rFonts w:ascii="黑体" w:hAnsi="宋体" w:eastAsia="黑体"/>
      <w:b w:val="0"/>
      <w:bCs w:val="0"/>
      <w:kern w:val="0"/>
      <w:sz w:val="52"/>
      <w:szCs w:val="20"/>
    </w:rPr>
  </w:style>
  <w:style w:type="paragraph" w:customStyle="1" w:styleId="282">
    <w:name w:val="xl77"/>
    <w:basedOn w:val="1"/>
    <w:qFormat/>
    <w:uiPriority w:val="0"/>
    <w:pPr>
      <w:widowControl/>
      <w:pBdr>
        <w:left w:val="single" w:color="auto" w:sz="4" w:space="0"/>
        <w:bottom w:val="single" w:color="auto" w:sz="8" w:space="0"/>
        <w:right w:val="single" w:color="auto" w:sz="4" w:space="0"/>
      </w:pBdr>
      <w:spacing w:before="100" w:beforeAutospacing="1" w:after="100" w:afterAutospacing="1"/>
      <w:jc w:val="left"/>
    </w:pPr>
    <w:rPr>
      <w:rFonts w:eastAsia="Arial Unicode MS"/>
      <w:kern w:val="0"/>
      <w:sz w:val="24"/>
    </w:rPr>
  </w:style>
  <w:style w:type="paragraph" w:customStyle="1" w:styleId="283">
    <w:name w:val="P6"/>
    <w:qFormat/>
    <w:uiPriority w:val="0"/>
    <w:pPr>
      <w:widowControl w:val="0"/>
      <w:adjustRightInd w:val="0"/>
      <w:spacing w:after="240" w:line="0" w:lineRule="atLeast"/>
      <w:ind w:left="3456" w:hanging="576"/>
      <w:jc w:val="both"/>
      <w:textAlignment w:val="baseline"/>
    </w:pPr>
    <w:rPr>
      <w:rFonts w:ascii="Times New Roman" w:hAnsi="Times New Roman" w:eastAsia="全真中明體" w:cs="Times New Roman"/>
      <w:spacing w:val="30"/>
      <w:sz w:val="24"/>
      <w:lang w:val="en-GB" w:eastAsia="zh-TW" w:bidi="ar-SA"/>
    </w:rPr>
  </w:style>
  <w:style w:type="paragraph" w:customStyle="1" w:styleId="284">
    <w:name w:val="CM102"/>
    <w:basedOn w:val="1"/>
    <w:next w:val="117"/>
    <w:qFormat/>
    <w:uiPriority w:val="0"/>
    <w:pPr>
      <w:autoSpaceDE w:val="0"/>
      <w:autoSpaceDN w:val="0"/>
      <w:adjustRightInd w:val="0"/>
      <w:spacing w:after="878"/>
      <w:jc w:val="left"/>
    </w:pPr>
    <w:rPr>
      <w:rFonts w:ascii="宋体"/>
      <w:kern w:val="0"/>
      <w:sz w:val="24"/>
    </w:rPr>
  </w:style>
  <w:style w:type="paragraph" w:customStyle="1" w:styleId="285">
    <w:name w:val="列表延续"/>
    <w:basedOn w:val="1"/>
    <w:qFormat/>
    <w:uiPriority w:val="0"/>
    <w:pPr>
      <w:tabs>
        <w:tab w:val="left" w:pos="5775"/>
      </w:tabs>
      <w:adjustRightInd w:val="0"/>
      <w:spacing w:line="360" w:lineRule="auto"/>
      <w:ind w:left="5775" w:hanging="720"/>
      <w:textAlignment w:val="baseline"/>
    </w:pPr>
    <w:rPr>
      <w:rFonts w:hAnsi="Tms Rmn" w:eastAsia="楷体_GB2312"/>
      <w:kern w:val="28"/>
      <w:sz w:val="28"/>
      <w:szCs w:val="20"/>
    </w:rPr>
  </w:style>
  <w:style w:type="paragraph" w:customStyle="1" w:styleId="286">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993366"/>
      <w:kern w:val="0"/>
      <w:sz w:val="22"/>
      <w:szCs w:val="22"/>
    </w:rPr>
  </w:style>
  <w:style w:type="paragraph" w:customStyle="1" w:styleId="287">
    <w:name w:val="xl5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int="eastAsia" w:ascii="楷体_GB2312" w:hAnsi="Arial Unicode MS" w:eastAsia="楷体_GB2312" w:cs="Arial Unicode MS"/>
      <w:kern w:val="0"/>
      <w:sz w:val="24"/>
    </w:rPr>
  </w:style>
  <w:style w:type="paragraph" w:customStyle="1" w:styleId="288">
    <w:name w:val="样式 样式 样式 第六行 + 左侧:  -2 字符 段前: 2 行 + 左侧:  -10 字符 段前: 2 行 + 左侧:  -..."/>
    <w:basedOn w:val="289"/>
    <w:qFormat/>
    <w:uiPriority w:val="0"/>
    <w:pPr>
      <w:ind w:left="-1200" w:leftChars="-1200"/>
    </w:pPr>
    <w:rPr>
      <w:szCs w:val="20"/>
    </w:rPr>
  </w:style>
  <w:style w:type="paragraph" w:customStyle="1" w:styleId="289">
    <w:name w:val="样式 样式 第六行 + 左侧:  -2 字符 段前: 2 行 + 左侧:  -10 字符 段前: 2 行"/>
    <w:basedOn w:val="290"/>
    <w:qFormat/>
    <w:uiPriority w:val="0"/>
    <w:pPr>
      <w:ind w:left="-1100" w:leftChars="-1100"/>
    </w:pPr>
    <w:rPr>
      <w:szCs w:val="28"/>
    </w:rPr>
  </w:style>
  <w:style w:type="paragraph" w:customStyle="1" w:styleId="290">
    <w:name w:val="样式 第六行 + 左侧:  -2 字符 段前: 2 行"/>
    <w:basedOn w:val="291"/>
    <w:qFormat/>
    <w:uiPriority w:val="0"/>
    <w:pPr>
      <w:ind w:left="-1000" w:leftChars="-1000"/>
    </w:pPr>
    <w:rPr>
      <w:szCs w:val="20"/>
    </w:rPr>
  </w:style>
  <w:style w:type="paragraph" w:customStyle="1" w:styleId="291">
    <w:name w:val="第六行"/>
    <w:basedOn w:val="275"/>
    <w:qFormat/>
    <w:uiPriority w:val="0"/>
    <w:pPr>
      <w:ind w:left="-200" w:leftChars="-200"/>
    </w:pPr>
  </w:style>
  <w:style w:type="paragraph" w:customStyle="1" w:styleId="292">
    <w:name w:val="_Style 39"/>
    <w:basedOn w:val="1"/>
    <w:qFormat/>
    <w:uiPriority w:val="0"/>
  </w:style>
  <w:style w:type="paragraph" w:customStyle="1" w:styleId="293">
    <w:name w:val="Char Char Char Char Char Char Char Char Char1 Char Char Char Char1"/>
    <w:basedOn w:val="1"/>
    <w:qFormat/>
    <w:uiPriority w:val="0"/>
    <w:rPr>
      <w:rFonts w:ascii="Tahoma" w:hAnsi="Tahoma"/>
      <w:sz w:val="24"/>
      <w:szCs w:val="20"/>
    </w:rPr>
  </w:style>
  <w:style w:type="paragraph" w:customStyle="1" w:styleId="294">
    <w:name w:val="xl38"/>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FF"/>
      <w:kern w:val="0"/>
      <w:sz w:val="22"/>
      <w:szCs w:val="22"/>
    </w:rPr>
  </w:style>
  <w:style w:type="paragraph" w:customStyle="1" w:styleId="295">
    <w:name w:val="CM2"/>
    <w:basedOn w:val="1"/>
    <w:next w:val="117"/>
    <w:qFormat/>
    <w:uiPriority w:val="0"/>
    <w:pPr>
      <w:autoSpaceDE w:val="0"/>
      <w:autoSpaceDN w:val="0"/>
      <w:adjustRightInd w:val="0"/>
      <w:spacing w:line="500" w:lineRule="atLeast"/>
      <w:jc w:val="left"/>
    </w:pPr>
    <w:rPr>
      <w:rFonts w:ascii="宋体"/>
      <w:kern w:val="0"/>
      <w:sz w:val="24"/>
    </w:rPr>
  </w:style>
  <w:style w:type="paragraph" w:customStyle="1" w:styleId="296">
    <w:name w:val="xl58"/>
    <w:basedOn w:val="1"/>
    <w:qFormat/>
    <w:uiPriority w:val="0"/>
    <w:pPr>
      <w:widowControl/>
      <w:pBdr>
        <w:top w:val="single" w:color="auto" w:sz="8" w:space="0"/>
        <w:left w:val="single" w:color="auto" w:sz="4" w:space="0"/>
        <w:right w:val="single" w:color="auto" w:sz="4" w:space="0"/>
      </w:pBdr>
      <w:spacing w:before="100" w:beforeAutospacing="1" w:after="100" w:afterAutospacing="1"/>
      <w:jc w:val="center"/>
      <w:textAlignment w:val="center"/>
    </w:pPr>
    <w:rPr>
      <w:rFonts w:hint="eastAsia" w:ascii="楷体_GB2312" w:hAnsi="Arial Unicode MS" w:eastAsia="楷体_GB2312" w:cs="Arial Unicode MS"/>
      <w:kern w:val="0"/>
      <w:sz w:val="24"/>
    </w:rPr>
  </w:style>
  <w:style w:type="paragraph" w:customStyle="1" w:styleId="297">
    <w:name w:val="P2"/>
    <w:qFormat/>
    <w:uiPriority w:val="0"/>
    <w:pPr>
      <w:widowControl w:val="0"/>
      <w:adjustRightInd w:val="0"/>
      <w:spacing w:after="240" w:line="0" w:lineRule="atLeast"/>
      <w:ind w:left="1728"/>
      <w:jc w:val="both"/>
      <w:textAlignment w:val="baseline"/>
    </w:pPr>
    <w:rPr>
      <w:rFonts w:ascii="Times New Roman" w:hAnsi="Times New Roman" w:eastAsia="全真中明體" w:cs="Times New Roman"/>
      <w:spacing w:val="30"/>
      <w:sz w:val="24"/>
      <w:lang w:val="en-GB" w:eastAsia="zh-TW" w:bidi="ar-SA"/>
    </w:rPr>
  </w:style>
  <w:style w:type="paragraph" w:customStyle="1" w:styleId="298">
    <w:name w:val="xl4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eastAsia="Arial Unicode MS"/>
      <w:kern w:val="0"/>
      <w:sz w:val="22"/>
      <w:szCs w:val="22"/>
    </w:rPr>
  </w:style>
  <w:style w:type="paragraph" w:customStyle="1" w:styleId="299">
    <w:name w:val="样式4"/>
    <w:basedOn w:val="2"/>
    <w:qFormat/>
    <w:uiPriority w:val="0"/>
    <w:pPr>
      <w:spacing w:line="500" w:lineRule="exact"/>
      <w:ind w:firstLine="480" w:firstLineChars="200"/>
    </w:pPr>
    <w:rPr>
      <w:sz w:val="24"/>
    </w:rPr>
  </w:style>
  <w:style w:type="paragraph" w:customStyle="1" w:styleId="300">
    <w:name w:val="xl53"/>
    <w:basedOn w:val="1"/>
    <w:qFormat/>
    <w:uiPriority w:val="0"/>
    <w:pPr>
      <w:widowControl/>
      <w:pBdr>
        <w:left w:val="single" w:color="auto" w:sz="4" w:space="0"/>
        <w:bottom w:val="single" w:color="auto" w:sz="8" w:space="0"/>
        <w:right w:val="single" w:color="auto" w:sz="4" w:space="0"/>
      </w:pBdr>
      <w:spacing w:before="100" w:beforeAutospacing="1" w:after="100" w:afterAutospacing="1"/>
      <w:jc w:val="center"/>
    </w:pPr>
    <w:rPr>
      <w:rFonts w:eastAsia="Arial Unicode MS"/>
      <w:color w:val="FF00FF"/>
      <w:kern w:val="0"/>
      <w:sz w:val="22"/>
      <w:szCs w:val="22"/>
    </w:rPr>
  </w:style>
  <w:style w:type="paragraph" w:customStyle="1" w:styleId="301">
    <w:name w:val="样式 样式 样式 样式 第六行 + 左侧:  -2 字符 段前: 2 行 + 左侧:  -10 字符 段前: 2 行 + 左侧:..."/>
    <w:basedOn w:val="288"/>
    <w:qFormat/>
    <w:uiPriority w:val="0"/>
    <w:pPr>
      <w:ind w:left="-1000" w:leftChars="-1000"/>
    </w:pPr>
  </w:style>
  <w:style w:type="paragraph" w:customStyle="1" w:styleId="302">
    <w:name w:val="数字编号"/>
    <w:basedOn w:val="1"/>
    <w:qFormat/>
    <w:uiPriority w:val="0"/>
    <w:pPr>
      <w:tabs>
        <w:tab w:val="left" w:pos="3969"/>
      </w:tabs>
      <w:adjustRightInd w:val="0"/>
      <w:spacing w:before="120" w:line="300" w:lineRule="auto"/>
      <w:ind w:firstLine="567"/>
      <w:jc w:val="left"/>
      <w:textAlignment w:val="baseline"/>
    </w:pPr>
    <w:rPr>
      <w:kern w:val="0"/>
      <w:position w:val="20"/>
      <w:sz w:val="28"/>
      <w:szCs w:val="20"/>
    </w:rPr>
  </w:style>
  <w:style w:type="paragraph" w:customStyle="1" w:styleId="303">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304">
    <w:name w:val="P3"/>
    <w:qFormat/>
    <w:uiPriority w:val="0"/>
    <w:pPr>
      <w:widowControl w:val="0"/>
      <w:adjustRightInd w:val="0"/>
      <w:spacing w:after="240" w:line="0" w:lineRule="atLeast"/>
      <w:ind w:left="2880" w:hanging="576"/>
      <w:jc w:val="both"/>
      <w:textAlignment w:val="baseline"/>
    </w:pPr>
    <w:rPr>
      <w:rFonts w:ascii="Times New Roman" w:hAnsi="Times New Roman" w:eastAsia="全真中明體" w:cs="Times New Roman"/>
      <w:spacing w:val="30"/>
      <w:sz w:val="24"/>
      <w:lang w:val="en-GB" w:eastAsia="zh-TW" w:bidi="ar-SA"/>
    </w:rPr>
  </w:style>
  <w:style w:type="paragraph" w:customStyle="1" w:styleId="305">
    <w:name w:val="font11"/>
    <w:basedOn w:val="1"/>
    <w:qFormat/>
    <w:uiPriority w:val="0"/>
    <w:pPr>
      <w:widowControl/>
      <w:spacing w:before="100" w:beforeAutospacing="1" w:after="100" w:afterAutospacing="1"/>
      <w:jc w:val="left"/>
    </w:pPr>
    <w:rPr>
      <w:rFonts w:hint="eastAsia" w:ascii="楷体_GB2312" w:hAnsi="Arial Unicode MS" w:eastAsia="楷体_GB2312" w:cs="Arial Unicode MS"/>
      <w:kern w:val="0"/>
      <w:sz w:val="22"/>
      <w:szCs w:val="22"/>
    </w:rPr>
  </w:style>
  <w:style w:type="paragraph" w:customStyle="1" w:styleId="306">
    <w:name w:val="正文文本缩进 311"/>
    <w:basedOn w:val="1"/>
    <w:qFormat/>
    <w:uiPriority w:val="0"/>
    <w:pPr>
      <w:adjustRightInd w:val="0"/>
      <w:ind w:firstLine="562"/>
      <w:textAlignment w:val="baseline"/>
    </w:pPr>
    <w:rPr>
      <w:rFonts w:ascii="宋体" w:hAnsi="宋体"/>
      <w:b/>
      <w:sz w:val="28"/>
      <w:szCs w:val="20"/>
    </w:rPr>
  </w:style>
  <w:style w:type="paragraph" w:customStyle="1" w:styleId="307">
    <w:name w:val="样式 样式5 + 首行缩进:  2 字符"/>
    <w:qFormat/>
    <w:uiPriority w:val="0"/>
    <w:pPr>
      <w:ind w:firstLine="200" w:firstLineChars="200"/>
      <w:jc w:val="both"/>
    </w:pPr>
    <w:rPr>
      <w:rFonts w:ascii="Times New Roman" w:hAnsi="Times New Roman" w:eastAsia="宋体" w:cs="宋体"/>
      <w:sz w:val="24"/>
      <w:szCs w:val="24"/>
      <w:lang w:val="en-US" w:eastAsia="zh-CN" w:bidi="ar-SA"/>
    </w:rPr>
  </w:style>
  <w:style w:type="paragraph" w:customStyle="1" w:styleId="308">
    <w:name w:val="CM65"/>
    <w:basedOn w:val="1"/>
    <w:next w:val="117"/>
    <w:qFormat/>
    <w:uiPriority w:val="0"/>
    <w:pPr>
      <w:autoSpaceDE w:val="0"/>
      <w:autoSpaceDN w:val="0"/>
      <w:adjustRightInd w:val="0"/>
      <w:jc w:val="left"/>
    </w:pPr>
    <w:rPr>
      <w:rFonts w:ascii="宋体"/>
      <w:kern w:val="0"/>
      <w:sz w:val="24"/>
    </w:rPr>
  </w:style>
  <w:style w:type="paragraph" w:customStyle="1" w:styleId="309">
    <w:name w:val="CM92"/>
    <w:basedOn w:val="1"/>
    <w:next w:val="117"/>
    <w:qFormat/>
    <w:uiPriority w:val="0"/>
    <w:pPr>
      <w:autoSpaceDE w:val="0"/>
      <w:autoSpaceDN w:val="0"/>
      <w:adjustRightInd w:val="0"/>
      <w:spacing w:after="530"/>
      <w:jc w:val="left"/>
    </w:pPr>
    <w:rPr>
      <w:rFonts w:ascii="宋体"/>
      <w:kern w:val="0"/>
      <w:sz w:val="24"/>
    </w:rPr>
  </w:style>
  <w:style w:type="paragraph" w:customStyle="1" w:styleId="310">
    <w:name w:val="xl92"/>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2"/>
      <w:szCs w:val="22"/>
    </w:rPr>
  </w:style>
  <w:style w:type="paragraph" w:customStyle="1" w:styleId="311">
    <w:name w:val="1"/>
    <w:basedOn w:val="1"/>
    <w:next w:val="32"/>
    <w:qFormat/>
    <w:uiPriority w:val="0"/>
    <w:pPr>
      <w:adjustRightInd w:val="0"/>
      <w:ind w:left="420" w:right="33"/>
      <w:jc w:val="left"/>
      <w:textAlignment w:val="baseline"/>
    </w:pPr>
    <w:rPr>
      <w:kern w:val="0"/>
      <w:sz w:val="24"/>
      <w:szCs w:val="20"/>
    </w:rPr>
  </w:style>
  <w:style w:type="paragraph" w:customStyle="1" w:styleId="312">
    <w:name w:val="explanatory_notes"/>
    <w:basedOn w:val="1"/>
    <w:qFormat/>
    <w:uiPriority w:val="0"/>
    <w:pPr>
      <w:widowControl/>
      <w:suppressAutoHyphens/>
      <w:spacing w:after="240" w:line="360" w:lineRule="exact"/>
    </w:pPr>
    <w:rPr>
      <w:rFonts w:ascii="Arial" w:hAnsi="Arial"/>
      <w:kern w:val="0"/>
      <w:sz w:val="24"/>
      <w:szCs w:val="20"/>
    </w:rPr>
  </w:style>
  <w:style w:type="paragraph" w:customStyle="1" w:styleId="313">
    <w:name w:val="xl9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eastAsia="Arial Unicode MS"/>
      <w:kern w:val="0"/>
      <w:sz w:val="22"/>
      <w:szCs w:val="22"/>
    </w:rPr>
  </w:style>
  <w:style w:type="paragraph" w:customStyle="1" w:styleId="314">
    <w:name w:val="正文11"/>
    <w:basedOn w:val="1"/>
    <w:next w:val="1"/>
    <w:qFormat/>
    <w:uiPriority w:val="0"/>
    <w:pPr>
      <w:spacing w:line="360" w:lineRule="auto"/>
      <w:ind w:firstLine="200" w:firstLineChars="200"/>
    </w:pPr>
    <w:rPr>
      <w:rFonts w:ascii="宋体"/>
      <w:sz w:val="24"/>
    </w:rPr>
  </w:style>
  <w:style w:type="paragraph" w:customStyle="1" w:styleId="315">
    <w:name w:val="xl87"/>
    <w:basedOn w:val="1"/>
    <w:qFormat/>
    <w:uiPriority w:val="0"/>
    <w:pPr>
      <w:widowControl/>
      <w:pBdr>
        <w:top w:val="single" w:color="auto" w:sz="4" w:space="0"/>
        <w:left w:val="single" w:color="auto" w:sz="8" w:space="0"/>
        <w:right w:val="single" w:color="auto" w:sz="4" w:space="0"/>
      </w:pBdr>
      <w:spacing w:before="100" w:beforeAutospacing="1" w:after="100" w:afterAutospacing="1"/>
      <w:jc w:val="center"/>
    </w:pPr>
    <w:rPr>
      <w:rFonts w:ascii="Arial Unicode MS" w:hAnsi="Arial Unicode MS" w:eastAsia="Arial Unicode MS" w:cs="Arial Unicode MS"/>
      <w:kern w:val="0"/>
      <w:sz w:val="22"/>
      <w:szCs w:val="22"/>
    </w:rPr>
  </w:style>
  <w:style w:type="paragraph" w:customStyle="1" w:styleId="316">
    <w:name w:val="样式 段落编号 + (中文) 黑体 两端对齐 Char Char Char"/>
    <w:basedOn w:val="1"/>
    <w:qFormat/>
    <w:uiPriority w:val="0"/>
    <w:pPr>
      <w:adjustRightInd w:val="0"/>
      <w:snapToGrid w:val="0"/>
      <w:spacing w:before="60" w:after="240" w:line="400" w:lineRule="exact"/>
      <w:ind w:left="482"/>
      <w:jc w:val="left"/>
      <w:textAlignment w:val="baseline"/>
    </w:pPr>
    <w:rPr>
      <w:rFonts w:ascii="宋体" w:hAnsi="宋体" w:eastAsia="黑体" w:cs="宋体"/>
      <w:sz w:val="24"/>
    </w:rPr>
  </w:style>
  <w:style w:type="paragraph" w:customStyle="1" w:styleId="317">
    <w:name w:val="样式8"/>
    <w:basedOn w:val="5"/>
    <w:qFormat/>
    <w:uiPriority w:val="0"/>
    <w:pPr>
      <w:keepLines/>
      <w:widowControl/>
      <w:tabs>
        <w:tab w:val="left" w:pos="3660"/>
        <w:tab w:val="clear" w:pos="360"/>
      </w:tabs>
      <w:spacing w:beforeLines="0" w:after="240" w:line="500" w:lineRule="exact"/>
      <w:ind w:left="3660" w:hanging="720"/>
      <w:jc w:val="left"/>
    </w:pPr>
    <w:rPr>
      <w:rFonts w:ascii="Times New Roman" w:hAnsi="Times New Roman" w:eastAsia="黑体"/>
      <w:kern w:val="0"/>
    </w:rPr>
  </w:style>
  <w:style w:type="paragraph" w:customStyle="1" w:styleId="318">
    <w:name w:val="横表格"/>
    <w:basedOn w:val="319"/>
    <w:qFormat/>
    <w:uiPriority w:val="0"/>
    <w:pPr>
      <w:spacing w:beforeLines="0" w:line="240" w:lineRule="auto"/>
    </w:pPr>
    <w:rPr>
      <w:rFonts w:ascii="Times New Roman"/>
      <w:b w:val="0"/>
    </w:rPr>
  </w:style>
  <w:style w:type="paragraph" w:customStyle="1" w:styleId="319">
    <w:name w:val="横表名"/>
    <w:basedOn w:val="1"/>
    <w:qFormat/>
    <w:uiPriority w:val="0"/>
    <w:pPr>
      <w:spacing w:beforeLines="50" w:line="360" w:lineRule="auto"/>
      <w:jc w:val="center"/>
    </w:pPr>
    <w:rPr>
      <w:rFonts w:ascii="宋体"/>
      <w:b/>
      <w:szCs w:val="21"/>
    </w:rPr>
  </w:style>
  <w:style w:type="paragraph" w:customStyle="1" w:styleId="320">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321">
    <w:name w:val="CM104"/>
    <w:basedOn w:val="1"/>
    <w:next w:val="117"/>
    <w:qFormat/>
    <w:uiPriority w:val="0"/>
    <w:pPr>
      <w:autoSpaceDE w:val="0"/>
      <w:autoSpaceDN w:val="0"/>
      <w:adjustRightInd w:val="0"/>
      <w:spacing w:after="1318"/>
      <w:jc w:val="left"/>
    </w:pPr>
    <w:rPr>
      <w:rFonts w:ascii="宋体"/>
      <w:kern w:val="0"/>
      <w:sz w:val="24"/>
    </w:rPr>
  </w:style>
  <w:style w:type="paragraph" w:customStyle="1" w:styleId="322">
    <w:name w:val="正文文本 22"/>
    <w:basedOn w:val="1"/>
    <w:qFormat/>
    <w:uiPriority w:val="0"/>
    <w:pPr>
      <w:adjustRightInd w:val="0"/>
      <w:ind w:left="10" w:firstLine="530"/>
      <w:textAlignment w:val="baseline"/>
    </w:pPr>
    <w:rPr>
      <w:color w:val="000000"/>
      <w:sz w:val="28"/>
      <w:szCs w:val="20"/>
    </w:rPr>
  </w:style>
  <w:style w:type="paragraph" w:customStyle="1" w:styleId="323">
    <w:name w:val="封面字体2"/>
    <w:basedOn w:val="1"/>
    <w:qFormat/>
    <w:uiPriority w:val="0"/>
    <w:pPr>
      <w:spacing w:line="240" w:lineRule="atLeast"/>
      <w:jc w:val="left"/>
    </w:pPr>
    <w:rPr>
      <w:rFonts w:ascii="华文细黑" w:hAnsi="华文细黑" w:cs="Arial"/>
      <w:b/>
      <w:bCs/>
      <w:spacing w:val="100"/>
      <w:kern w:val="0"/>
      <w:sz w:val="44"/>
      <w:szCs w:val="21"/>
    </w:rPr>
  </w:style>
  <w:style w:type="paragraph" w:customStyle="1" w:styleId="324">
    <w:name w:val="Char Char2 Char Char Char Char Char Char Char Char Char Char Char Char Char"/>
    <w:basedOn w:val="1"/>
    <w:qFormat/>
    <w:uiPriority w:val="0"/>
    <w:pPr>
      <w:ind w:firstLine="360" w:firstLineChars="150"/>
    </w:pPr>
    <w:rPr>
      <w:rFonts w:ascii="Tahoma" w:hAnsi="Tahoma"/>
      <w:sz w:val="24"/>
      <w:szCs w:val="20"/>
    </w:rPr>
  </w:style>
  <w:style w:type="paragraph" w:customStyle="1" w:styleId="325">
    <w:name w:val="CM44"/>
    <w:basedOn w:val="1"/>
    <w:next w:val="117"/>
    <w:qFormat/>
    <w:uiPriority w:val="0"/>
    <w:pPr>
      <w:autoSpaceDE w:val="0"/>
      <w:autoSpaceDN w:val="0"/>
      <w:adjustRightInd w:val="0"/>
      <w:spacing w:line="440" w:lineRule="atLeast"/>
      <w:jc w:val="left"/>
    </w:pPr>
    <w:rPr>
      <w:rFonts w:ascii="宋体"/>
      <w:kern w:val="0"/>
      <w:sz w:val="24"/>
    </w:rPr>
  </w:style>
  <w:style w:type="paragraph" w:customStyle="1" w:styleId="326">
    <w:name w:val="列表编号 2A"/>
    <w:basedOn w:val="1"/>
    <w:qFormat/>
    <w:uiPriority w:val="0"/>
    <w:pPr>
      <w:tabs>
        <w:tab w:val="left" w:pos="845"/>
      </w:tabs>
      <w:ind w:left="847" w:firstLine="630" w:firstLineChars="300"/>
      <w:jc w:val="left"/>
    </w:pPr>
    <w:rPr>
      <w:rFonts w:cs="Arial"/>
      <w:sz w:val="28"/>
      <w:szCs w:val="20"/>
    </w:rPr>
  </w:style>
  <w:style w:type="paragraph" w:customStyle="1" w:styleId="327">
    <w:name w:val="样式5"/>
    <w:basedOn w:val="299"/>
    <w:qFormat/>
    <w:uiPriority w:val="0"/>
    <w:pPr>
      <w:spacing w:beforeLines="80" w:afterLines="60"/>
      <w:ind w:firstLine="0" w:firstLineChars="0"/>
      <w:jc w:val="center"/>
    </w:pPr>
    <w:rPr>
      <w:rFonts w:ascii="黑体" w:eastAsia="黑体"/>
      <w:sz w:val="32"/>
      <w:szCs w:val="32"/>
    </w:rPr>
  </w:style>
  <w:style w:type="paragraph" w:customStyle="1" w:styleId="328">
    <w:name w:val="CM35"/>
    <w:basedOn w:val="1"/>
    <w:next w:val="117"/>
    <w:qFormat/>
    <w:uiPriority w:val="0"/>
    <w:pPr>
      <w:autoSpaceDE w:val="0"/>
      <w:autoSpaceDN w:val="0"/>
      <w:adjustRightInd w:val="0"/>
      <w:spacing w:line="400" w:lineRule="atLeast"/>
      <w:jc w:val="left"/>
    </w:pPr>
    <w:rPr>
      <w:rFonts w:ascii="宋体"/>
      <w:kern w:val="0"/>
      <w:sz w:val="24"/>
    </w:rPr>
  </w:style>
  <w:style w:type="paragraph" w:customStyle="1" w:styleId="329">
    <w:name w:val="CM95"/>
    <w:basedOn w:val="117"/>
    <w:next w:val="117"/>
    <w:qFormat/>
    <w:uiPriority w:val="0"/>
    <w:pPr>
      <w:spacing w:after="115"/>
    </w:pPr>
    <w:rPr>
      <w:rFonts w:ascii="Times New Roman" w:cs="Times New Roman"/>
      <w:color w:val="auto"/>
    </w:rPr>
  </w:style>
  <w:style w:type="paragraph" w:customStyle="1" w:styleId="330">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int="eastAsia" w:ascii="楷体_GB2312" w:hAnsi="Arial Unicode MS" w:eastAsia="楷体_GB2312" w:cs="Arial Unicode MS"/>
      <w:kern w:val="0"/>
      <w:sz w:val="22"/>
      <w:szCs w:val="22"/>
    </w:rPr>
  </w:style>
  <w:style w:type="paragraph" w:customStyle="1" w:styleId="331">
    <w:name w:val="封面副标题"/>
    <w:basedOn w:val="1"/>
    <w:qFormat/>
    <w:uiPriority w:val="0"/>
    <w:pPr>
      <w:snapToGrid w:val="0"/>
      <w:spacing w:line="360" w:lineRule="auto"/>
      <w:jc w:val="center"/>
    </w:pPr>
    <w:rPr>
      <w:rFonts w:eastAsia="黑体"/>
      <w:sz w:val="50"/>
    </w:rPr>
  </w:style>
  <w:style w:type="paragraph" w:customStyle="1" w:styleId="332">
    <w:name w:val="正文1"/>
    <w:basedOn w:val="1"/>
    <w:qFormat/>
    <w:uiPriority w:val="0"/>
    <w:pPr>
      <w:spacing w:line="360" w:lineRule="auto"/>
      <w:ind w:firstLine="200" w:firstLineChars="200"/>
    </w:pPr>
    <w:rPr>
      <w:rFonts w:ascii="宋体"/>
      <w:szCs w:val="21"/>
    </w:rPr>
  </w:style>
  <w:style w:type="paragraph" w:customStyle="1" w:styleId="333">
    <w:name w:val="CM81"/>
    <w:basedOn w:val="1"/>
    <w:next w:val="117"/>
    <w:qFormat/>
    <w:uiPriority w:val="0"/>
    <w:pPr>
      <w:autoSpaceDE w:val="0"/>
      <w:autoSpaceDN w:val="0"/>
      <w:adjustRightInd w:val="0"/>
      <w:spacing w:line="440" w:lineRule="atLeast"/>
      <w:jc w:val="left"/>
    </w:pPr>
    <w:rPr>
      <w:rFonts w:ascii="宋体"/>
      <w:kern w:val="0"/>
      <w:sz w:val="24"/>
    </w:rPr>
  </w:style>
  <w:style w:type="paragraph" w:customStyle="1" w:styleId="334">
    <w:name w:val="日期1"/>
    <w:basedOn w:val="1"/>
    <w:next w:val="1"/>
    <w:qFormat/>
    <w:uiPriority w:val="0"/>
    <w:pPr>
      <w:adjustRightInd w:val="0"/>
      <w:spacing w:line="312" w:lineRule="atLeast"/>
      <w:textAlignment w:val="baseline"/>
    </w:pPr>
    <w:rPr>
      <w:kern w:val="0"/>
      <w:sz w:val="24"/>
      <w:szCs w:val="20"/>
    </w:rPr>
  </w:style>
  <w:style w:type="paragraph" w:customStyle="1" w:styleId="335">
    <w:name w:val="Char Char Char Char Char Char Char Char Char Char1"/>
    <w:basedOn w:val="1"/>
    <w:qFormat/>
    <w:uiPriority w:val="0"/>
    <w:pPr>
      <w:tabs>
        <w:tab w:val="left" w:pos="425"/>
      </w:tabs>
      <w:ind w:left="425" w:hanging="425"/>
    </w:pPr>
    <w:rPr>
      <w:rFonts w:ascii="Arial" w:hAnsi="Arial" w:eastAsia="黑体" w:cs="宋体"/>
      <w:b/>
      <w:bCs/>
      <w:sz w:val="32"/>
      <w:szCs w:val="32"/>
    </w:rPr>
  </w:style>
  <w:style w:type="paragraph" w:customStyle="1" w:styleId="336">
    <w:name w:val="_Style 5"/>
    <w:basedOn w:val="1"/>
    <w:qFormat/>
    <w:uiPriority w:val="0"/>
    <w:pPr>
      <w:ind w:firstLine="420" w:firstLineChars="200"/>
    </w:pPr>
    <w:rPr>
      <w:rFonts w:ascii="Calibri" w:hAnsi="Calibri"/>
      <w:szCs w:val="22"/>
    </w:rPr>
  </w:style>
  <w:style w:type="paragraph" w:customStyle="1" w:styleId="337">
    <w:name w:val="xl50"/>
    <w:basedOn w:val="1"/>
    <w:qFormat/>
    <w:uiPriority w:val="0"/>
    <w:pPr>
      <w:widowControl/>
      <w:pBdr>
        <w:left w:val="single" w:color="auto" w:sz="4" w:space="0"/>
        <w:bottom w:val="single" w:color="auto" w:sz="8" w:space="0"/>
        <w:right w:val="single" w:color="auto" w:sz="4" w:space="0"/>
      </w:pBdr>
      <w:spacing w:before="100" w:beforeAutospacing="1" w:after="100" w:afterAutospacing="1"/>
      <w:jc w:val="center"/>
    </w:pPr>
    <w:rPr>
      <w:rFonts w:eastAsia="Arial Unicode MS"/>
      <w:kern w:val="0"/>
      <w:sz w:val="22"/>
      <w:szCs w:val="22"/>
    </w:rPr>
  </w:style>
  <w:style w:type="paragraph" w:customStyle="1" w:styleId="338">
    <w:name w:val="Char Char Char Char Char Char Char Char Char1 Char Char Char Char3"/>
    <w:basedOn w:val="1"/>
    <w:qFormat/>
    <w:uiPriority w:val="0"/>
    <w:rPr>
      <w:rFonts w:ascii="Tahoma" w:hAnsi="Tahoma"/>
      <w:sz w:val="24"/>
      <w:szCs w:val="20"/>
    </w:rPr>
  </w:style>
  <w:style w:type="paragraph" w:customStyle="1" w:styleId="339">
    <w:name w:val="Revision1"/>
    <w:qFormat/>
    <w:uiPriority w:val="0"/>
    <w:rPr>
      <w:rFonts w:ascii="Times New Roman" w:hAnsi="Times New Roman" w:eastAsia="宋体" w:cs="Times New Roman"/>
      <w:sz w:val="24"/>
      <w:szCs w:val="24"/>
      <w:lang w:val="en-US" w:eastAsia="zh-CN" w:bidi="ar-SA"/>
    </w:rPr>
  </w:style>
  <w:style w:type="paragraph" w:customStyle="1" w:styleId="340">
    <w:name w:val="自动更正"/>
    <w:qFormat/>
    <w:uiPriority w:val="0"/>
    <w:pPr>
      <w:widowControl w:val="0"/>
      <w:jc w:val="both"/>
    </w:pPr>
    <w:rPr>
      <w:rFonts w:ascii="Times New Roman" w:hAnsi="Times New Roman" w:eastAsia="??" w:cs="Times New Roman"/>
      <w:kern w:val="2"/>
      <w:sz w:val="21"/>
      <w:szCs w:val="28"/>
      <w:lang w:val="en-US" w:eastAsia="zh-CN" w:bidi="ar-SA"/>
    </w:rPr>
  </w:style>
  <w:style w:type="paragraph" w:customStyle="1" w:styleId="341">
    <w:name w:val="Char11"/>
    <w:basedOn w:val="1"/>
    <w:qFormat/>
    <w:uiPriority w:val="0"/>
  </w:style>
  <w:style w:type="paragraph" w:customStyle="1" w:styleId="342">
    <w:name w:val="Char Char Char Char Char Char Char Char Char Char Char Char Char Char Char Char Char Char"/>
    <w:basedOn w:val="1"/>
    <w:qFormat/>
    <w:uiPriority w:val="0"/>
    <w:pPr>
      <w:widowControl/>
      <w:spacing w:after="160" w:line="240" w:lineRule="exact"/>
      <w:jc w:val="left"/>
    </w:pPr>
    <w:rPr>
      <w:rFonts w:ascii="Verdana" w:hAnsi="Verdana" w:eastAsia="仿宋_GB2312" w:cs="Verdana"/>
      <w:kern w:val="0"/>
      <w:sz w:val="24"/>
      <w:lang w:eastAsia="en-US"/>
    </w:rPr>
  </w:style>
  <w:style w:type="paragraph" w:customStyle="1" w:styleId="343">
    <w:name w:val="抬头"/>
    <w:basedOn w:val="1"/>
    <w:qFormat/>
    <w:uiPriority w:val="0"/>
    <w:pPr>
      <w:spacing w:line="360" w:lineRule="auto"/>
    </w:pPr>
    <w:rPr>
      <w:rFonts w:ascii="宋体"/>
      <w:szCs w:val="21"/>
    </w:rPr>
  </w:style>
  <w:style w:type="paragraph" w:customStyle="1" w:styleId="344">
    <w:name w:val="第 X 页 共 Y 页"/>
    <w:qFormat/>
    <w:uiPriority w:val="0"/>
    <w:pPr>
      <w:widowControl w:val="0"/>
      <w:jc w:val="both"/>
    </w:pPr>
    <w:rPr>
      <w:rFonts w:ascii="Times New Roman" w:hAnsi="Times New Roman" w:eastAsia="??" w:cs="Times New Roman"/>
      <w:kern w:val="2"/>
      <w:sz w:val="21"/>
      <w:szCs w:val="28"/>
      <w:lang w:val="en-US" w:eastAsia="zh-CN" w:bidi="ar-SA"/>
    </w:rPr>
  </w:style>
  <w:style w:type="paragraph" w:customStyle="1" w:styleId="345">
    <w:name w:val="CM63"/>
    <w:basedOn w:val="1"/>
    <w:next w:val="1"/>
    <w:qFormat/>
    <w:uiPriority w:val="0"/>
    <w:pPr>
      <w:autoSpaceDE w:val="0"/>
      <w:autoSpaceDN w:val="0"/>
      <w:adjustRightInd w:val="0"/>
      <w:spacing w:after="143"/>
      <w:jc w:val="left"/>
    </w:pPr>
    <w:rPr>
      <w:rFonts w:ascii="宋体" w:hAnsi="Calibri"/>
      <w:kern w:val="0"/>
      <w:sz w:val="24"/>
    </w:rPr>
  </w:style>
  <w:style w:type="paragraph" w:customStyle="1" w:styleId="346">
    <w:name w:val="修订1"/>
    <w:qFormat/>
    <w:uiPriority w:val="0"/>
    <w:rPr>
      <w:rFonts w:ascii="Times New Roman" w:hAnsi="Times New Roman" w:eastAsia="宋体" w:cs="Times New Roman"/>
      <w:kern w:val="2"/>
      <w:sz w:val="21"/>
      <w:szCs w:val="24"/>
      <w:lang w:val="en-US" w:eastAsia="zh-CN" w:bidi="ar-SA"/>
    </w:rPr>
  </w:style>
  <w:style w:type="paragraph" w:customStyle="1" w:styleId="347">
    <w:name w:val="封面样式3"/>
    <w:basedOn w:val="1"/>
    <w:qFormat/>
    <w:uiPriority w:val="0"/>
    <w:pPr>
      <w:spacing w:line="440" w:lineRule="exact"/>
      <w:ind w:firstLine="630" w:firstLineChars="300"/>
      <w:jc w:val="left"/>
    </w:pPr>
    <w:rPr>
      <w:rFonts w:ascii="华文细黑" w:hAnsi="华文细黑" w:cs="Arial"/>
      <w:kern w:val="0"/>
      <w:szCs w:val="21"/>
    </w:rPr>
  </w:style>
  <w:style w:type="paragraph" w:customStyle="1" w:styleId="348">
    <w:name w:val="目录文字"/>
    <w:basedOn w:val="1"/>
    <w:qFormat/>
    <w:uiPriority w:val="0"/>
    <w:pPr>
      <w:widowControl/>
      <w:spacing w:line="480" w:lineRule="auto"/>
      <w:jc w:val="left"/>
    </w:pPr>
    <w:rPr>
      <w:rFonts w:ascii="宋体" w:hAnsi="宋体"/>
      <w:kern w:val="0"/>
      <w:sz w:val="24"/>
      <w:szCs w:val="20"/>
    </w:rPr>
  </w:style>
  <w:style w:type="paragraph" w:customStyle="1" w:styleId="349">
    <w:name w:val="菲页(卷)"/>
    <w:basedOn w:val="3"/>
    <w:next w:val="350"/>
    <w:qFormat/>
    <w:uiPriority w:val="0"/>
    <w:pPr>
      <w:keepLines w:val="0"/>
      <w:widowControl/>
      <w:tabs>
        <w:tab w:val="left" w:pos="720"/>
      </w:tabs>
      <w:spacing w:beforeLines="0" w:afterLines="0" w:line="240" w:lineRule="auto"/>
      <w:ind w:left="720" w:hanging="720"/>
      <w:outlineLvl w:val="1"/>
    </w:pPr>
    <w:rPr>
      <w:rFonts w:ascii="黑体" w:eastAsia="黑体"/>
      <w:b w:val="0"/>
      <w:bCs w:val="0"/>
      <w:kern w:val="0"/>
      <w:sz w:val="52"/>
      <w:szCs w:val="20"/>
    </w:rPr>
  </w:style>
  <w:style w:type="paragraph" w:customStyle="1" w:styleId="350">
    <w:name w:val="Normal_0"/>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351">
    <w:name w:val="P1"/>
    <w:qFormat/>
    <w:uiPriority w:val="0"/>
    <w:pPr>
      <w:widowControl w:val="0"/>
      <w:adjustRightInd w:val="0"/>
      <w:spacing w:after="240" w:line="0" w:lineRule="atLeast"/>
      <w:ind w:left="2304" w:hanging="576"/>
      <w:jc w:val="both"/>
      <w:textAlignment w:val="baseline"/>
    </w:pPr>
    <w:rPr>
      <w:rFonts w:ascii="Times New Roman" w:hAnsi="Times New Roman" w:eastAsia="全真中明體" w:cs="Times New Roman"/>
      <w:spacing w:val="30"/>
      <w:sz w:val="24"/>
      <w:lang w:val="en-GB" w:eastAsia="zh-TW" w:bidi="ar-SA"/>
    </w:rPr>
  </w:style>
  <w:style w:type="paragraph" w:customStyle="1" w:styleId="352">
    <w:name w:val="样式2"/>
    <w:basedOn w:val="6"/>
    <w:next w:val="6"/>
    <w:qFormat/>
    <w:uiPriority w:val="0"/>
    <w:pPr>
      <w:keepNext/>
      <w:keepLines/>
      <w:widowControl/>
      <w:spacing w:before="280" w:after="290" w:line="372" w:lineRule="auto"/>
      <w:jc w:val="left"/>
    </w:pPr>
    <w:rPr>
      <w:rFonts w:ascii="黑体" w:hAnsi="Times New Roman" w:eastAsia="黑体"/>
      <w:kern w:val="0"/>
      <w:szCs w:val="30"/>
    </w:rPr>
  </w:style>
  <w:style w:type="paragraph" w:customStyle="1" w:styleId="353">
    <w:name w:val="Char2 Char Char Char Char Char Char1"/>
    <w:basedOn w:val="1"/>
    <w:qFormat/>
    <w:uiPriority w:val="0"/>
    <w:pPr>
      <w:shd w:val="clear" w:color="auto" w:fill="000080"/>
    </w:pPr>
    <w:rPr>
      <w:rFonts w:ascii="Tahoma" w:hAnsi="Tahoma"/>
      <w:sz w:val="24"/>
    </w:rPr>
  </w:style>
  <w:style w:type="paragraph" w:customStyle="1" w:styleId="354">
    <w:name w:val="默认段落字体 Para Char Char Char1 Char"/>
    <w:basedOn w:val="1"/>
    <w:qFormat/>
    <w:uiPriority w:val="0"/>
    <w:pPr>
      <w:spacing w:line="360" w:lineRule="auto"/>
      <w:ind w:left="420" w:firstLine="420"/>
    </w:pPr>
    <w:rPr>
      <w:kern w:val="0"/>
      <w:sz w:val="24"/>
      <w:szCs w:val="21"/>
    </w:rPr>
  </w:style>
  <w:style w:type="paragraph" w:customStyle="1" w:styleId="355">
    <w:name w:val="样式 样式 样式 第四行 + 左侧:  -4 字符 段前: 2 行 + 左侧:  -3 字符 段前: 2 行 + 左侧:  -2..."/>
    <w:basedOn w:val="356"/>
    <w:qFormat/>
    <w:uiPriority w:val="0"/>
    <w:pPr>
      <w:ind w:left="0" w:leftChars="0"/>
    </w:pPr>
  </w:style>
  <w:style w:type="paragraph" w:customStyle="1" w:styleId="356">
    <w:name w:val="样式 样式 第四行 + 左侧:  -4 字符 段前: 2 行 + 左侧:  -3 字符 段前: 2 行"/>
    <w:basedOn w:val="238"/>
    <w:qFormat/>
    <w:uiPriority w:val="0"/>
    <w:pPr>
      <w:ind w:left="-200" w:leftChars="-200"/>
    </w:pPr>
  </w:style>
  <w:style w:type="paragraph" w:customStyle="1" w:styleId="357">
    <w:name w:val="香奈儿 4"/>
    <w:basedOn w:val="1"/>
    <w:qFormat/>
    <w:uiPriority w:val="0"/>
    <w:pPr>
      <w:widowControl/>
      <w:tabs>
        <w:tab w:val="left" w:pos="360"/>
        <w:tab w:val="right" w:pos="840"/>
        <w:tab w:val="left" w:pos="2430"/>
      </w:tabs>
      <w:spacing w:after="120"/>
    </w:pPr>
    <w:rPr>
      <w:szCs w:val="20"/>
    </w:rPr>
  </w:style>
  <w:style w:type="paragraph" w:customStyle="1" w:styleId="358">
    <w:name w:val="CM80"/>
    <w:basedOn w:val="1"/>
    <w:next w:val="117"/>
    <w:qFormat/>
    <w:uiPriority w:val="0"/>
    <w:pPr>
      <w:autoSpaceDE w:val="0"/>
      <w:autoSpaceDN w:val="0"/>
      <w:adjustRightInd w:val="0"/>
      <w:spacing w:line="440" w:lineRule="atLeast"/>
      <w:jc w:val="left"/>
    </w:pPr>
    <w:rPr>
      <w:rFonts w:ascii="宋体"/>
      <w:kern w:val="0"/>
      <w:sz w:val="24"/>
    </w:rPr>
  </w:style>
  <w:style w:type="paragraph" w:customStyle="1" w:styleId="359">
    <w:name w:val="表格标题"/>
    <w:basedOn w:val="1"/>
    <w:qFormat/>
    <w:uiPriority w:val="0"/>
    <w:pPr>
      <w:adjustRightInd w:val="0"/>
      <w:snapToGrid w:val="0"/>
      <w:spacing w:beforeLines="50" w:line="300" w:lineRule="auto"/>
      <w:jc w:val="center"/>
      <w:outlineLvl w:val="4"/>
    </w:pPr>
    <w:rPr>
      <w:rFonts w:ascii="Arial" w:hAnsi="Arial" w:eastAsia="??" w:cs="Arial"/>
      <w:sz w:val="24"/>
    </w:rPr>
  </w:style>
  <w:style w:type="paragraph" w:customStyle="1" w:styleId="360">
    <w:name w:val="Char31"/>
    <w:basedOn w:val="1"/>
    <w:qFormat/>
    <w:uiPriority w:val="0"/>
    <w:rPr>
      <w:rFonts w:ascii="仿宋_GB2312" w:eastAsia="仿宋_GB2312"/>
      <w:b/>
      <w:sz w:val="32"/>
      <w:szCs w:val="32"/>
    </w:rPr>
  </w:style>
  <w:style w:type="paragraph" w:customStyle="1" w:styleId="361">
    <w:name w:val="CM50"/>
    <w:basedOn w:val="1"/>
    <w:next w:val="117"/>
    <w:qFormat/>
    <w:uiPriority w:val="0"/>
    <w:pPr>
      <w:autoSpaceDE w:val="0"/>
      <w:autoSpaceDN w:val="0"/>
      <w:adjustRightInd w:val="0"/>
      <w:spacing w:line="1020" w:lineRule="atLeast"/>
      <w:jc w:val="left"/>
    </w:pPr>
    <w:rPr>
      <w:rFonts w:ascii="宋体"/>
      <w:kern w:val="0"/>
      <w:sz w:val="24"/>
    </w:rPr>
  </w:style>
  <w:style w:type="paragraph" w:customStyle="1" w:styleId="362">
    <w:name w:val="cucd-0"/>
    <w:qFormat/>
    <w:uiPriority w:val="0"/>
    <w:pPr>
      <w:spacing w:line="360" w:lineRule="auto"/>
      <w:ind w:firstLine="480" w:firstLineChars="200"/>
    </w:pPr>
    <w:rPr>
      <w:rFonts w:ascii="Times New Roman" w:hAnsi="Times New Roman" w:eastAsia="宋体" w:cs="Times New Roman"/>
      <w:kern w:val="2"/>
      <w:sz w:val="24"/>
      <w:szCs w:val="24"/>
      <w:lang w:val="en-US" w:eastAsia="zh-CN" w:bidi="ar-SA"/>
    </w:rPr>
  </w:style>
  <w:style w:type="paragraph" w:customStyle="1" w:styleId="363">
    <w:name w:val="xl4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eastAsia="Arial Unicode MS"/>
      <w:kern w:val="0"/>
      <w:sz w:val="22"/>
      <w:szCs w:val="22"/>
    </w:rPr>
  </w:style>
  <w:style w:type="paragraph" w:customStyle="1" w:styleId="364">
    <w:name w:val="Char Char Char Char1 Char Char Char"/>
    <w:basedOn w:val="1"/>
    <w:qFormat/>
    <w:uiPriority w:val="0"/>
    <w:pPr>
      <w:spacing w:line="240" w:lineRule="atLeast"/>
      <w:ind w:left="420" w:firstLine="420"/>
    </w:pPr>
    <w:rPr>
      <w:kern w:val="0"/>
      <w:szCs w:val="21"/>
    </w:rPr>
  </w:style>
  <w:style w:type="paragraph" w:customStyle="1" w:styleId="365">
    <w:name w:val="Char Char1 Char"/>
    <w:basedOn w:val="1"/>
    <w:qFormat/>
    <w:uiPriority w:val="0"/>
    <w:pPr>
      <w:shd w:val="clear" w:color="auto" w:fill="000080"/>
      <w:spacing w:line="360" w:lineRule="auto"/>
    </w:pPr>
    <w:rPr>
      <w:rFonts w:ascii="Tahoma" w:hAnsi="Tahoma"/>
      <w:sz w:val="24"/>
    </w:rPr>
  </w:style>
  <w:style w:type="paragraph" w:customStyle="1" w:styleId="366">
    <w:name w:val="Identation 2"/>
    <w:qFormat/>
    <w:uiPriority w:val="0"/>
    <w:pPr>
      <w:overflowPunct w:val="0"/>
      <w:autoSpaceDE w:val="0"/>
      <w:autoSpaceDN w:val="0"/>
      <w:adjustRightInd w:val="0"/>
      <w:spacing w:before="120" w:after="60" w:line="288" w:lineRule="auto"/>
      <w:ind w:left="432"/>
      <w:jc w:val="both"/>
      <w:textAlignment w:val="baseline"/>
    </w:pPr>
    <w:rPr>
      <w:rFonts w:ascii="Times New Roman" w:hAnsi="Times New Roman" w:eastAsia="楷体_GB2312" w:cs="Times New Roman"/>
      <w:color w:val="000000"/>
      <w:sz w:val="24"/>
      <w:lang w:val="en-US" w:eastAsia="zh-CN" w:bidi="ar-SA"/>
    </w:rPr>
  </w:style>
  <w:style w:type="paragraph" w:customStyle="1" w:styleId="367">
    <w:name w:val="xl51"/>
    <w:basedOn w:val="1"/>
    <w:qFormat/>
    <w:uiPriority w:val="0"/>
    <w:pPr>
      <w:widowControl/>
      <w:pBdr>
        <w:bottom w:val="single" w:color="auto" w:sz="4" w:space="0"/>
      </w:pBdr>
      <w:spacing w:before="100" w:beforeAutospacing="1" w:after="100" w:afterAutospacing="1"/>
      <w:jc w:val="center"/>
      <w:textAlignment w:val="center"/>
    </w:pPr>
    <w:rPr>
      <w:rFonts w:ascii="宋体" w:hAnsi="宋体"/>
      <w:b/>
      <w:bCs/>
      <w:kern w:val="0"/>
      <w:sz w:val="32"/>
      <w:szCs w:val="32"/>
    </w:rPr>
  </w:style>
  <w:style w:type="paragraph" w:customStyle="1" w:styleId="368">
    <w:name w:val="CM93"/>
    <w:basedOn w:val="1"/>
    <w:next w:val="1"/>
    <w:qFormat/>
    <w:uiPriority w:val="0"/>
    <w:pPr>
      <w:autoSpaceDE w:val="0"/>
      <w:autoSpaceDN w:val="0"/>
      <w:adjustRightInd w:val="0"/>
      <w:spacing w:after="628"/>
      <w:jc w:val="left"/>
    </w:pPr>
    <w:rPr>
      <w:rFonts w:ascii="宋体" w:cs="宋体"/>
      <w:kern w:val="0"/>
      <w:sz w:val="24"/>
    </w:rPr>
  </w:style>
  <w:style w:type="paragraph" w:customStyle="1" w:styleId="369">
    <w:name w:val="CM56"/>
    <w:basedOn w:val="117"/>
    <w:next w:val="117"/>
    <w:qFormat/>
    <w:uiPriority w:val="0"/>
    <w:rPr>
      <w:rFonts w:ascii="Times New Roman" w:cs="Times New Roman"/>
      <w:color w:val="auto"/>
    </w:rPr>
  </w:style>
  <w:style w:type="paragraph" w:customStyle="1" w:styleId="370">
    <w:name w:val="样式 首行缩进:  2 字符"/>
    <w:basedOn w:val="1"/>
    <w:qFormat/>
    <w:uiPriority w:val="0"/>
    <w:pPr>
      <w:tabs>
        <w:tab w:val="left" w:pos="770"/>
        <w:tab w:val="left" w:pos="4660"/>
      </w:tabs>
      <w:adjustRightInd w:val="0"/>
      <w:snapToGrid w:val="0"/>
      <w:spacing w:line="360" w:lineRule="auto"/>
      <w:ind w:firstLine="560" w:firstLineChars="200"/>
      <w:jc w:val="left"/>
    </w:pPr>
    <w:rPr>
      <w:rFonts w:ascii="宋体" w:hAnsi="宋体" w:cs="宋体"/>
      <w:sz w:val="28"/>
      <w:szCs w:val="20"/>
    </w:rPr>
  </w:style>
  <w:style w:type="paragraph" w:customStyle="1" w:styleId="371">
    <w:name w:val="+列表1"/>
    <w:basedOn w:val="1"/>
    <w:qFormat/>
    <w:uiPriority w:val="0"/>
    <w:pPr>
      <w:jc w:val="center"/>
    </w:pPr>
  </w:style>
  <w:style w:type="paragraph" w:customStyle="1" w:styleId="372">
    <w:name w:val="CM83"/>
    <w:basedOn w:val="1"/>
    <w:next w:val="117"/>
    <w:qFormat/>
    <w:uiPriority w:val="0"/>
    <w:pPr>
      <w:autoSpaceDE w:val="0"/>
      <w:autoSpaceDN w:val="0"/>
      <w:adjustRightInd w:val="0"/>
      <w:spacing w:line="440" w:lineRule="atLeast"/>
      <w:jc w:val="left"/>
    </w:pPr>
    <w:rPr>
      <w:rFonts w:ascii="宋体"/>
      <w:kern w:val="0"/>
      <w:sz w:val="24"/>
    </w:rPr>
  </w:style>
  <w:style w:type="paragraph" w:customStyle="1" w:styleId="373">
    <w:name w:val="CM19"/>
    <w:basedOn w:val="117"/>
    <w:next w:val="117"/>
    <w:qFormat/>
    <w:uiPriority w:val="0"/>
    <w:pPr>
      <w:spacing w:line="398" w:lineRule="atLeast"/>
    </w:pPr>
    <w:rPr>
      <w:rFonts w:ascii="Times New Roman" w:cs="Times New Roman"/>
      <w:color w:val="auto"/>
    </w:rPr>
  </w:style>
  <w:style w:type="paragraph" w:customStyle="1" w:styleId="374">
    <w:name w:val="opening2"/>
    <w:basedOn w:val="1"/>
    <w:qFormat/>
    <w:uiPriority w:val="0"/>
    <w:pPr>
      <w:widowControl/>
      <w:spacing w:before="100" w:beforeAutospacing="1" w:after="100" w:afterAutospacing="1"/>
      <w:jc w:val="left"/>
    </w:pPr>
    <w:rPr>
      <w:rFonts w:ascii="宋体" w:hAnsi="宋体" w:cs="宋体"/>
      <w:color w:val="000000"/>
      <w:kern w:val="0"/>
      <w:sz w:val="23"/>
      <w:szCs w:val="23"/>
    </w:rPr>
  </w:style>
  <w:style w:type="paragraph" w:customStyle="1" w:styleId="375">
    <w:name w:val="xl26"/>
    <w:basedOn w:val="1"/>
    <w:qFormat/>
    <w:uiPriority w:val="0"/>
    <w:pPr>
      <w:widowControl/>
      <w:spacing w:before="100" w:beforeAutospacing="1" w:after="100" w:afterAutospacing="1"/>
      <w:jc w:val="center"/>
    </w:pPr>
    <w:rPr>
      <w:rFonts w:ascii="宋体" w:hAnsi="宋体"/>
      <w:kern w:val="0"/>
      <w:sz w:val="24"/>
    </w:rPr>
  </w:style>
  <w:style w:type="paragraph" w:customStyle="1" w:styleId="376">
    <w:name w:val="4"/>
    <w:basedOn w:val="1"/>
    <w:next w:val="2"/>
    <w:qFormat/>
    <w:uiPriority w:val="0"/>
    <w:pPr>
      <w:widowControl/>
      <w:jc w:val="left"/>
    </w:pPr>
    <w:rPr>
      <w:kern w:val="0"/>
      <w:sz w:val="24"/>
      <w:szCs w:val="20"/>
    </w:rPr>
  </w:style>
  <w:style w:type="paragraph" w:customStyle="1" w:styleId="377">
    <w:name w:val="(i)"/>
    <w:basedOn w:val="1"/>
    <w:qFormat/>
    <w:uiPriority w:val="0"/>
    <w:pPr>
      <w:widowControl/>
      <w:suppressAutoHyphens/>
      <w:spacing w:line="360" w:lineRule="auto"/>
      <w:ind w:firstLine="200" w:firstLineChars="200"/>
    </w:pPr>
    <w:rPr>
      <w:rFonts w:ascii="Tms Rmn" w:hAnsi="Tms Rmn"/>
      <w:kern w:val="0"/>
      <w:sz w:val="20"/>
      <w:szCs w:val="20"/>
      <w:lang w:eastAsia="en-US"/>
    </w:rPr>
  </w:style>
  <w:style w:type="paragraph" w:customStyle="1" w:styleId="378">
    <w:name w:val="公式 Char Char"/>
    <w:basedOn w:val="1"/>
    <w:next w:val="1"/>
    <w:qFormat/>
    <w:uiPriority w:val="0"/>
    <w:pPr>
      <w:spacing w:line="440" w:lineRule="exact"/>
      <w:ind w:firstLine="630" w:firstLineChars="300"/>
      <w:jc w:val="left"/>
    </w:pPr>
    <w:rPr>
      <w:rFonts w:ascii="华文细黑" w:hAnsi="华文细黑" w:eastAsia="华文细黑" w:cs="Arial"/>
      <w:kern w:val="0"/>
      <w:sz w:val="30"/>
      <w:szCs w:val="21"/>
    </w:rPr>
  </w:style>
  <w:style w:type="paragraph" w:customStyle="1" w:styleId="379">
    <w:name w:val="0C - PS Ceda"/>
    <w:basedOn w:val="1"/>
    <w:qFormat/>
    <w:uiPriority w:val="0"/>
    <w:pPr>
      <w:widowControl/>
      <w:tabs>
        <w:tab w:val="left" w:pos="1418"/>
        <w:tab w:val="left" w:pos="6521"/>
      </w:tabs>
    </w:pPr>
    <w:rPr>
      <w:rFonts w:ascii="Arial" w:hAnsi="Arial"/>
      <w:kern w:val="0"/>
      <w:sz w:val="22"/>
      <w:szCs w:val="20"/>
      <w:lang w:val="en-GB"/>
    </w:rPr>
  </w:style>
  <w:style w:type="paragraph" w:customStyle="1" w:styleId="380">
    <w:name w:val="Char Char Char Char Char Char Char Char Char1 Char Char Char Char2"/>
    <w:basedOn w:val="1"/>
    <w:qFormat/>
    <w:uiPriority w:val="0"/>
    <w:rPr>
      <w:rFonts w:ascii="Tahoma" w:hAnsi="Tahoma"/>
      <w:sz w:val="24"/>
      <w:szCs w:val="20"/>
    </w:rPr>
  </w:style>
  <w:style w:type="paragraph" w:customStyle="1" w:styleId="381">
    <w:name w:val="p0"/>
    <w:basedOn w:val="1"/>
    <w:qFormat/>
    <w:uiPriority w:val="0"/>
    <w:pPr>
      <w:widowControl/>
    </w:pPr>
    <w:rPr>
      <w:kern w:val="0"/>
      <w:szCs w:val="21"/>
    </w:rPr>
  </w:style>
  <w:style w:type="paragraph" w:customStyle="1" w:styleId="382">
    <w:name w:val="CM1"/>
    <w:basedOn w:val="1"/>
    <w:next w:val="117"/>
    <w:qFormat/>
    <w:uiPriority w:val="0"/>
    <w:pPr>
      <w:autoSpaceDE w:val="0"/>
      <w:autoSpaceDN w:val="0"/>
      <w:adjustRightInd w:val="0"/>
      <w:jc w:val="left"/>
    </w:pPr>
    <w:rPr>
      <w:rFonts w:ascii="宋体"/>
      <w:kern w:val="0"/>
      <w:sz w:val="24"/>
    </w:rPr>
  </w:style>
  <w:style w:type="paragraph" w:customStyle="1" w:styleId="383">
    <w:name w:val="样式 样式 样式5 + 首行缩进:  2 字符 + 首行缩进:  2 字符 段前: 0.8 行 段后: 0.6 行"/>
    <w:basedOn w:val="307"/>
    <w:qFormat/>
    <w:uiPriority w:val="0"/>
    <w:pPr>
      <w:ind w:firstLine="0" w:firstLineChars="0"/>
    </w:pPr>
    <w:rPr>
      <w:rFonts w:ascii="仿宋_GB2312" w:hAnsi="仿宋" w:eastAsia="仿宋_GB2312" w:cs="Times New Roman"/>
      <w:b/>
      <w:sz w:val="20"/>
      <w:szCs w:val="20"/>
    </w:rPr>
  </w:style>
  <w:style w:type="paragraph" w:customStyle="1" w:styleId="384">
    <w:name w:val="+标题3"/>
    <w:basedOn w:val="5"/>
    <w:qFormat/>
    <w:uiPriority w:val="0"/>
    <w:pPr>
      <w:keepLines/>
      <w:tabs>
        <w:tab w:val="left" w:pos="1260"/>
        <w:tab w:val="clear" w:pos="360"/>
      </w:tabs>
      <w:spacing w:beforeLines="0" w:after="120" w:line="360" w:lineRule="auto"/>
      <w:ind w:left="1260" w:hanging="420"/>
    </w:pPr>
    <w:rPr>
      <w:rFonts w:ascii="Times New Roman" w:hAnsi="Times New Roman"/>
      <w:bCs/>
      <w:szCs w:val="28"/>
    </w:rPr>
  </w:style>
  <w:style w:type="paragraph" w:customStyle="1" w:styleId="385">
    <w:name w:val="Char Char2 Char Char Char Char Char Char Char Char Char Char Char Char Char1"/>
    <w:basedOn w:val="1"/>
    <w:qFormat/>
    <w:uiPriority w:val="0"/>
    <w:pPr>
      <w:ind w:firstLine="360" w:firstLineChars="150"/>
    </w:pPr>
    <w:rPr>
      <w:rFonts w:ascii="Tahoma" w:hAnsi="Tahoma"/>
      <w:sz w:val="24"/>
      <w:szCs w:val="20"/>
    </w:rPr>
  </w:style>
  <w:style w:type="paragraph" w:customStyle="1" w:styleId="386">
    <w:name w:val="CM53"/>
    <w:basedOn w:val="1"/>
    <w:next w:val="117"/>
    <w:qFormat/>
    <w:uiPriority w:val="0"/>
    <w:pPr>
      <w:autoSpaceDE w:val="0"/>
      <w:autoSpaceDN w:val="0"/>
      <w:adjustRightInd w:val="0"/>
      <w:spacing w:line="400" w:lineRule="atLeast"/>
      <w:jc w:val="left"/>
    </w:pPr>
    <w:rPr>
      <w:rFonts w:ascii="宋体"/>
      <w:kern w:val="0"/>
      <w:sz w:val="24"/>
    </w:rPr>
  </w:style>
  <w:style w:type="paragraph" w:customStyle="1" w:styleId="387">
    <w:name w:val="+标题4"/>
    <w:basedOn w:val="6"/>
    <w:qFormat/>
    <w:uiPriority w:val="0"/>
    <w:pPr>
      <w:keepNext/>
      <w:keepLines/>
      <w:tabs>
        <w:tab w:val="left" w:pos="1680"/>
      </w:tabs>
      <w:spacing w:before="120" w:after="120" w:line="360" w:lineRule="auto"/>
      <w:ind w:left="1680" w:hanging="420"/>
    </w:pPr>
    <w:rPr>
      <w:rFonts w:ascii="Times New Roman" w:hAnsi="Times New Roman"/>
      <w:szCs w:val="28"/>
    </w:rPr>
  </w:style>
  <w:style w:type="paragraph" w:customStyle="1" w:styleId="388">
    <w:name w:val="xl100"/>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eastAsia="Arial Unicode MS"/>
      <w:kern w:val="0"/>
      <w:sz w:val="22"/>
      <w:szCs w:val="22"/>
    </w:rPr>
  </w:style>
  <w:style w:type="paragraph" w:customStyle="1" w:styleId="389">
    <w:name w:val="xl39"/>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FF00FF"/>
      <w:kern w:val="0"/>
      <w:sz w:val="22"/>
      <w:szCs w:val="22"/>
    </w:rPr>
  </w:style>
  <w:style w:type="paragraph" w:customStyle="1" w:styleId="390">
    <w:name w:val="xl28"/>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cs="宋体"/>
      <w:kern w:val="0"/>
      <w:sz w:val="20"/>
      <w:szCs w:val="20"/>
    </w:rPr>
  </w:style>
  <w:style w:type="paragraph" w:customStyle="1" w:styleId="391">
    <w:name w:val="批注框文本 Char Char"/>
    <w:basedOn w:val="1"/>
    <w:qFormat/>
    <w:uiPriority w:val="0"/>
    <w:rPr>
      <w:sz w:val="18"/>
      <w:szCs w:val="20"/>
    </w:rPr>
  </w:style>
  <w:style w:type="paragraph" w:customStyle="1" w:styleId="392">
    <w:name w:val="Char4"/>
    <w:basedOn w:val="1"/>
    <w:qFormat/>
    <w:uiPriority w:val="0"/>
    <w:rPr>
      <w:rFonts w:ascii="Tahoma" w:hAnsi="Tahoma"/>
      <w:sz w:val="24"/>
      <w:szCs w:val="20"/>
    </w:rPr>
  </w:style>
  <w:style w:type="paragraph" w:customStyle="1" w:styleId="393">
    <w:name w:val="CM23"/>
    <w:basedOn w:val="1"/>
    <w:next w:val="117"/>
    <w:qFormat/>
    <w:uiPriority w:val="0"/>
    <w:pPr>
      <w:autoSpaceDE w:val="0"/>
      <w:autoSpaceDN w:val="0"/>
      <w:adjustRightInd w:val="0"/>
      <w:spacing w:line="398" w:lineRule="atLeast"/>
      <w:jc w:val="left"/>
    </w:pPr>
    <w:rPr>
      <w:rFonts w:ascii="宋体"/>
      <w:kern w:val="0"/>
      <w:sz w:val="24"/>
    </w:rPr>
  </w:style>
  <w:style w:type="paragraph" w:customStyle="1" w:styleId="394">
    <w:name w:val="xl64"/>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pPr>
    <w:rPr>
      <w:rFonts w:hint="eastAsia" w:ascii="楷体_GB2312" w:hAnsi="Arial Unicode MS" w:eastAsia="楷体_GB2312" w:cs="Arial Unicode MS"/>
      <w:kern w:val="0"/>
      <w:sz w:val="22"/>
      <w:szCs w:val="22"/>
    </w:rPr>
  </w:style>
  <w:style w:type="paragraph" w:customStyle="1" w:styleId="395">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kern w:val="0"/>
      <w:sz w:val="24"/>
    </w:rPr>
  </w:style>
  <w:style w:type="paragraph" w:customStyle="1" w:styleId="396">
    <w:name w:val="msonormalcxsplast"/>
    <w:basedOn w:val="1"/>
    <w:qFormat/>
    <w:uiPriority w:val="0"/>
    <w:pPr>
      <w:widowControl/>
      <w:spacing w:before="100" w:beforeAutospacing="1" w:after="100" w:afterAutospacing="1"/>
      <w:jc w:val="left"/>
    </w:pPr>
    <w:rPr>
      <w:rFonts w:ascii="宋体" w:hAnsi="宋体" w:cs="宋体"/>
      <w:kern w:val="0"/>
      <w:sz w:val="24"/>
    </w:rPr>
  </w:style>
  <w:style w:type="paragraph" w:customStyle="1" w:styleId="397">
    <w:name w:val="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98">
    <w:name w:val="封面样式2"/>
    <w:basedOn w:val="1"/>
    <w:qFormat/>
    <w:uiPriority w:val="0"/>
    <w:pPr>
      <w:spacing w:line="440" w:lineRule="exact"/>
      <w:ind w:firstLine="630" w:firstLineChars="300"/>
      <w:jc w:val="left"/>
    </w:pPr>
    <w:rPr>
      <w:rFonts w:ascii="华文细黑" w:hAnsi="华文细黑" w:cs="Arial"/>
      <w:kern w:val="0"/>
      <w:szCs w:val="21"/>
    </w:rPr>
  </w:style>
  <w:style w:type="paragraph" w:customStyle="1" w:styleId="399">
    <w:name w:val="Char Char Char Char Char Char Char Char Char Char Char Char Char Char Char Char Char Char Char Char Char Char Char Char Char Char Char Char Char Char Char"/>
    <w:basedOn w:val="1"/>
    <w:qFormat/>
    <w:uiPriority w:val="0"/>
  </w:style>
  <w:style w:type="paragraph" w:customStyle="1" w:styleId="400">
    <w:name w:val="Absatz2AL"/>
    <w:basedOn w:val="1"/>
    <w:next w:val="1"/>
    <w:qFormat/>
    <w:uiPriority w:val="0"/>
    <w:pPr>
      <w:widowControl/>
      <w:overflowPunct w:val="0"/>
      <w:autoSpaceDE w:val="0"/>
      <w:autoSpaceDN w:val="0"/>
      <w:adjustRightInd w:val="0"/>
    </w:pPr>
    <w:rPr>
      <w:rFonts w:eastAsia="楷体_GB2312"/>
      <w:kern w:val="0"/>
      <w:sz w:val="24"/>
      <w:szCs w:val="20"/>
      <w:lang w:val="de-DE"/>
    </w:rPr>
  </w:style>
  <w:style w:type="paragraph" w:customStyle="1" w:styleId="401">
    <w:name w:val="CM39"/>
    <w:basedOn w:val="1"/>
    <w:next w:val="117"/>
    <w:qFormat/>
    <w:uiPriority w:val="0"/>
    <w:pPr>
      <w:autoSpaceDE w:val="0"/>
      <w:autoSpaceDN w:val="0"/>
      <w:adjustRightInd w:val="0"/>
      <w:spacing w:line="400" w:lineRule="atLeast"/>
      <w:jc w:val="left"/>
    </w:pPr>
    <w:rPr>
      <w:rFonts w:ascii="宋体"/>
      <w:kern w:val="0"/>
      <w:sz w:val="24"/>
    </w:rPr>
  </w:style>
  <w:style w:type="paragraph" w:customStyle="1" w:styleId="402">
    <w:name w:val="Char Char Char Char Char Char1 Char Char Char Char Char Char Char Char Char1 Char Char Char Char"/>
    <w:basedOn w:val="1"/>
    <w:qFormat/>
    <w:uiPriority w:val="0"/>
  </w:style>
  <w:style w:type="paragraph" w:customStyle="1" w:styleId="403">
    <w:name w:val="CM101"/>
    <w:basedOn w:val="1"/>
    <w:next w:val="117"/>
    <w:qFormat/>
    <w:uiPriority w:val="0"/>
    <w:pPr>
      <w:autoSpaceDE w:val="0"/>
      <w:autoSpaceDN w:val="0"/>
      <w:adjustRightInd w:val="0"/>
      <w:spacing w:after="800"/>
      <w:jc w:val="left"/>
    </w:pPr>
    <w:rPr>
      <w:rFonts w:ascii="宋体"/>
      <w:kern w:val="0"/>
      <w:sz w:val="24"/>
    </w:rPr>
  </w:style>
  <w:style w:type="paragraph" w:customStyle="1" w:styleId="404">
    <w:name w:val="font9"/>
    <w:basedOn w:val="1"/>
    <w:qFormat/>
    <w:uiPriority w:val="0"/>
    <w:pPr>
      <w:widowControl/>
      <w:spacing w:before="100" w:beforeAutospacing="1" w:after="100" w:afterAutospacing="1"/>
      <w:jc w:val="left"/>
    </w:pPr>
    <w:rPr>
      <w:rFonts w:eastAsia="Arial Unicode MS"/>
      <w:kern w:val="0"/>
      <w:sz w:val="20"/>
      <w:szCs w:val="20"/>
    </w:rPr>
  </w:style>
  <w:style w:type="paragraph" w:customStyle="1" w:styleId="405">
    <w:name w:val="CM54"/>
    <w:basedOn w:val="1"/>
    <w:next w:val="117"/>
    <w:qFormat/>
    <w:uiPriority w:val="0"/>
    <w:pPr>
      <w:autoSpaceDE w:val="0"/>
      <w:autoSpaceDN w:val="0"/>
      <w:adjustRightInd w:val="0"/>
      <w:spacing w:line="398" w:lineRule="atLeast"/>
      <w:jc w:val="left"/>
    </w:pPr>
    <w:rPr>
      <w:rFonts w:ascii="宋体"/>
      <w:kern w:val="0"/>
      <w:sz w:val="24"/>
    </w:rPr>
  </w:style>
  <w:style w:type="paragraph" w:customStyle="1" w:styleId="406">
    <w:name w:val="xl59"/>
    <w:basedOn w:val="1"/>
    <w:qFormat/>
    <w:uiPriority w:val="0"/>
    <w:pPr>
      <w:widowControl/>
      <w:pBdr>
        <w:top w:val="single" w:color="auto" w:sz="8" w:space="0"/>
        <w:left w:val="single" w:color="auto" w:sz="4" w:space="0"/>
      </w:pBdr>
      <w:spacing w:before="100" w:beforeAutospacing="1" w:after="100" w:afterAutospacing="1"/>
      <w:jc w:val="center"/>
      <w:textAlignment w:val="center"/>
    </w:pPr>
    <w:rPr>
      <w:rFonts w:hint="eastAsia" w:ascii="楷体_GB2312" w:hAnsi="Arial Unicode MS" w:eastAsia="楷体_GB2312" w:cs="Arial Unicode MS"/>
      <w:kern w:val="0"/>
      <w:sz w:val="24"/>
    </w:rPr>
  </w:style>
  <w:style w:type="paragraph" w:customStyle="1" w:styleId="407">
    <w:name w:val="Char Char Char Char Char Char"/>
    <w:basedOn w:val="1"/>
    <w:qFormat/>
    <w:uiPriority w:val="0"/>
  </w:style>
  <w:style w:type="paragraph" w:customStyle="1" w:styleId="408">
    <w:name w:val="CM15"/>
    <w:basedOn w:val="1"/>
    <w:next w:val="117"/>
    <w:qFormat/>
    <w:uiPriority w:val="0"/>
    <w:pPr>
      <w:autoSpaceDE w:val="0"/>
      <w:autoSpaceDN w:val="0"/>
      <w:adjustRightInd w:val="0"/>
      <w:spacing w:line="313" w:lineRule="atLeast"/>
      <w:jc w:val="left"/>
    </w:pPr>
    <w:rPr>
      <w:rFonts w:ascii="宋体"/>
      <w:kern w:val="0"/>
      <w:sz w:val="24"/>
    </w:rPr>
  </w:style>
  <w:style w:type="paragraph" w:customStyle="1" w:styleId="409">
    <w:name w:val="目录"/>
    <w:basedOn w:val="1"/>
    <w:qFormat/>
    <w:uiPriority w:val="0"/>
    <w:pPr>
      <w:widowControl/>
      <w:jc w:val="center"/>
    </w:pPr>
    <w:rPr>
      <w:rFonts w:ascii="宋体"/>
      <w:b/>
      <w:kern w:val="0"/>
      <w:sz w:val="36"/>
      <w:szCs w:val="20"/>
    </w:rPr>
  </w:style>
  <w:style w:type="paragraph" w:customStyle="1" w:styleId="410">
    <w:name w:val="样式3"/>
    <w:basedOn w:val="4"/>
    <w:qFormat/>
    <w:uiPriority w:val="0"/>
    <w:pPr>
      <w:keepNext w:val="0"/>
      <w:widowControl/>
      <w:tabs>
        <w:tab w:val="left" w:pos="0"/>
        <w:tab w:val="clear" w:pos="840"/>
      </w:tabs>
      <w:spacing w:beforeLines="0" w:after="120" w:line="500" w:lineRule="atLeast"/>
      <w:ind w:left="0" w:firstLine="720" w:firstLineChars="300"/>
      <w:jc w:val="left"/>
    </w:pPr>
    <w:rPr>
      <w:rFonts w:ascii="Times New Roman" w:hAnsi="Times New Roman" w:eastAsia="黑体"/>
      <w:b w:val="0"/>
      <w:bCs w:val="0"/>
      <w:kern w:val="0"/>
    </w:rPr>
  </w:style>
  <w:style w:type="paragraph" w:customStyle="1" w:styleId="411">
    <w:name w:val="CM72"/>
    <w:basedOn w:val="1"/>
    <w:next w:val="117"/>
    <w:qFormat/>
    <w:uiPriority w:val="0"/>
    <w:pPr>
      <w:autoSpaceDE w:val="0"/>
      <w:autoSpaceDN w:val="0"/>
      <w:adjustRightInd w:val="0"/>
      <w:jc w:val="left"/>
    </w:pPr>
    <w:rPr>
      <w:rFonts w:ascii="宋体"/>
      <w:kern w:val="0"/>
      <w:sz w:val="24"/>
    </w:rPr>
  </w:style>
  <w:style w:type="paragraph" w:customStyle="1" w:styleId="412">
    <w:name w:val="Char Char Char Char1 Char Char"/>
    <w:basedOn w:val="1"/>
    <w:qFormat/>
    <w:uiPriority w:val="0"/>
  </w:style>
  <w:style w:type="paragraph" w:customStyle="1" w:styleId="413">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楷体_GB2312" w:hAnsi="Arial Unicode MS" w:eastAsia="楷体_GB2312" w:cs="Arial Unicode MS"/>
      <w:kern w:val="0"/>
      <w:sz w:val="24"/>
    </w:rPr>
  </w:style>
  <w:style w:type="paragraph" w:customStyle="1" w:styleId="414">
    <w:name w:val="he"/>
    <w:basedOn w:val="1"/>
    <w:next w:val="1"/>
    <w:qFormat/>
    <w:uiPriority w:val="0"/>
    <w:pPr>
      <w:keepNext/>
      <w:keepLines/>
      <w:tabs>
        <w:tab w:val="left" w:pos="1080"/>
      </w:tabs>
      <w:spacing w:line="360" w:lineRule="auto"/>
      <w:ind w:left="1080" w:hanging="1080"/>
    </w:pPr>
    <w:rPr>
      <w:rFonts w:ascii="Arial" w:hAnsi="Arial" w:cs="Arial"/>
      <w:sz w:val="28"/>
      <w:szCs w:val="28"/>
    </w:rPr>
  </w:style>
  <w:style w:type="paragraph" w:customStyle="1" w:styleId="415">
    <w:name w:val="Char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416">
    <w:name w:val="落款"/>
    <w:basedOn w:val="1"/>
    <w:qFormat/>
    <w:uiPriority w:val="0"/>
    <w:pPr>
      <w:spacing w:line="440" w:lineRule="exact"/>
      <w:ind w:firstLine="630" w:firstLineChars="300"/>
      <w:jc w:val="left"/>
    </w:pPr>
    <w:rPr>
      <w:rFonts w:ascii="华文细黑" w:hAnsi="华文细黑" w:cs="Arial"/>
      <w:kern w:val="0"/>
      <w:szCs w:val="21"/>
    </w:rPr>
  </w:style>
  <w:style w:type="paragraph" w:customStyle="1" w:styleId="417">
    <w:name w:val="Char12"/>
    <w:basedOn w:val="1"/>
    <w:qFormat/>
    <w:uiPriority w:val="0"/>
  </w:style>
  <w:style w:type="paragraph" w:customStyle="1" w:styleId="418">
    <w:name w:val="项标题"/>
    <w:basedOn w:val="1"/>
    <w:qFormat/>
    <w:uiPriority w:val="0"/>
    <w:pPr>
      <w:keepNext/>
      <w:adjustRightInd w:val="0"/>
      <w:snapToGrid w:val="0"/>
      <w:spacing w:before="240" w:after="240" w:line="360" w:lineRule="auto"/>
      <w:jc w:val="center"/>
      <w:outlineLvl w:val="0"/>
    </w:pPr>
    <w:rPr>
      <w:b/>
      <w:bCs/>
      <w:snapToGrid w:val="0"/>
      <w:kern w:val="0"/>
      <w:sz w:val="44"/>
      <w:szCs w:val="44"/>
    </w:rPr>
  </w:style>
  <w:style w:type="paragraph" w:customStyle="1" w:styleId="419">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楷体_GB2312" w:hAnsi="Arial Unicode MS" w:eastAsia="楷体_GB2312" w:cs="Arial Unicode MS"/>
      <w:kern w:val="0"/>
      <w:sz w:val="20"/>
      <w:szCs w:val="20"/>
    </w:rPr>
  </w:style>
  <w:style w:type="paragraph" w:customStyle="1" w:styleId="420">
    <w:name w:val="CM48"/>
    <w:basedOn w:val="1"/>
    <w:next w:val="117"/>
    <w:qFormat/>
    <w:uiPriority w:val="0"/>
    <w:pPr>
      <w:autoSpaceDE w:val="0"/>
      <w:autoSpaceDN w:val="0"/>
      <w:adjustRightInd w:val="0"/>
      <w:spacing w:line="540" w:lineRule="atLeast"/>
      <w:jc w:val="left"/>
    </w:pPr>
    <w:rPr>
      <w:rFonts w:ascii="宋体"/>
      <w:kern w:val="0"/>
      <w:sz w:val="24"/>
    </w:rPr>
  </w:style>
  <w:style w:type="paragraph" w:customStyle="1" w:styleId="421">
    <w:name w:val="xl8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eastAsia="Arial Unicode MS"/>
      <w:kern w:val="0"/>
      <w:sz w:val="24"/>
    </w:rPr>
  </w:style>
  <w:style w:type="paragraph" w:customStyle="1" w:styleId="422">
    <w:name w:val="xl82"/>
    <w:basedOn w:val="1"/>
    <w:qFormat/>
    <w:uiPriority w:val="0"/>
    <w:pPr>
      <w:widowControl/>
      <w:pBdr>
        <w:top w:val="single" w:color="auto" w:sz="4" w:space="0"/>
        <w:left w:val="single" w:color="auto" w:sz="4" w:space="0"/>
        <w:right w:val="single" w:color="auto" w:sz="8" w:space="0"/>
      </w:pBdr>
      <w:spacing w:before="100" w:beforeAutospacing="1" w:after="100" w:afterAutospacing="1"/>
      <w:jc w:val="left"/>
    </w:pPr>
    <w:rPr>
      <w:rFonts w:eastAsia="Arial Unicode MS"/>
      <w:kern w:val="0"/>
      <w:sz w:val="24"/>
    </w:rPr>
  </w:style>
  <w:style w:type="paragraph" w:customStyle="1" w:styleId="423">
    <w:name w:val="标题 1+ 黑体"/>
    <w:basedOn w:val="1"/>
    <w:qFormat/>
    <w:uiPriority w:val="0"/>
    <w:pPr>
      <w:spacing w:before="240" w:after="60"/>
      <w:jc w:val="center"/>
      <w:outlineLvl w:val="0"/>
    </w:pPr>
    <w:rPr>
      <w:rFonts w:ascii="黑体" w:hAnsi="Arial" w:eastAsia="黑体" w:cs="Arial"/>
      <w:b/>
      <w:bCs/>
      <w:sz w:val="32"/>
      <w:szCs w:val="32"/>
    </w:rPr>
  </w:style>
  <w:style w:type="paragraph" w:customStyle="1" w:styleId="424">
    <w:name w:val="xl63"/>
    <w:basedOn w:val="1"/>
    <w:qFormat/>
    <w:uiPriority w:val="0"/>
    <w:pPr>
      <w:widowControl/>
      <w:pBdr>
        <w:top w:val="single" w:color="auto" w:sz="8" w:space="0"/>
        <w:left w:val="single" w:color="auto" w:sz="8" w:space="0"/>
        <w:bottom w:val="single" w:color="auto" w:sz="4" w:space="0"/>
        <w:right w:val="single" w:color="auto" w:sz="4" w:space="0"/>
      </w:pBdr>
      <w:spacing w:before="100" w:beforeAutospacing="1" w:after="100" w:afterAutospacing="1"/>
      <w:jc w:val="center"/>
    </w:pPr>
    <w:rPr>
      <w:rFonts w:hint="eastAsia" w:ascii="楷体_GB2312" w:hAnsi="Arial Unicode MS" w:eastAsia="楷体_GB2312" w:cs="Arial Unicode MS"/>
      <w:kern w:val="0"/>
      <w:sz w:val="22"/>
      <w:szCs w:val="22"/>
    </w:rPr>
  </w:style>
  <w:style w:type="paragraph" w:customStyle="1" w:styleId="425">
    <w:name w:val="第三行"/>
    <w:basedOn w:val="1"/>
    <w:qFormat/>
    <w:uiPriority w:val="0"/>
    <w:pPr>
      <w:spacing w:beforeLines="200" w:line="360" w:lineRule="auto"/>
      <w:jc w:val="center"/>
    </w:pPr>
    <w:rPr>
      <w:rFonts w:ascii="楷体_GB2312" w:eastAsia="楷体_GB2312"/>
      <w:b/>
      <w:bCs/>
      <w:sz w:val="48"/>
      <w:szCs w:val="48"/>
    </w:rPr>
  </w:style>
  <w:style w:type="paragraph" w:customStyle="1" w:styleId="426">
    <w:name w:val="Char3"/>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427">
    <w:name w:val="强调文字"/>
    <w:basedOn w:val="1"/>
    <w:qFormat/>
    <w:uiPriority w:val="0"/>
    <w:pPr>
      <w:spacing w:line="440" w:lineRule="exact"/>
      <w:ind w:firstLine="480" w:firstLineChars="200"/>
    </w:pPr>
    <w:rPr>
      <w:rFonts w:ascii="华文细黑" w:hAnsi="华文细黑" w:eastAsia="黑体" w:cs="Arial"/>
      <w:kern w:val="0"/>
      <w:sz w:val="24"/>
      <w:szCs w:val="28"/>
    </w:rPr>
  </w:style>
  <w:style w:type="paragraph" w:customStyle="1" w:styleId="428">
    <w:name w:val="Char Char Char Char Char Char Char Char Char Char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429">
    <w:name w:val="CM77"/>
    <w:basedOn w:val="1"/>
    <w:next w:val="117"/>
    <w:qFormat/>
    <w:uiPriority w:val="0"/>
    <w:pPr>
      <w:autoSpaceDE w:val="0"/>
      <w:autoSpaceDN w:val="0"/>
      <w:adjustRightInd w:val="0"/>
      <w:spacing w:line="400" w:lineRule="atLeast"/>
      <w:jc w:val="left"/>
    </w:pPr>
    <w:rPr>
      <w:rFonts w:ascii="宋体"/>
      <w:kern w:val="0"/>
      <w:sz w:val="24"/>
    </w:rPr>
  </w:style>
  <w:style w:type="paragraph" w:customStyle="1" w:styleId="430">
    <w:name w:val="日期11"/>
    <w:basedOn w:val="1"/>
    <w:next w:val="1"/>
    <w:qFormat/>
    <w:uiPriority w:val="0"/>
    <w:pPr>
      <w:adjustRightInd w:val="0"/>
      <w:spacing w:line="312" w:lineRule="atLeast"/>
      <w:textAlignment w:val="baseline"/>
    </w:pPr>
    <w:rPr>
      <w:kern w:val="0"/>
      <w:sz w:val="24"/>
      <w:szCs w:val="20"/>
    </w:rPr>
  </w:style>
  <w:style w:type="paragraph" w:customStyle="1" w:styleId="431">
    <w:name w:val="正文部分"/>
    <w:basedOn w:val="1"/>
    <w:qFormat/>
    <w:uiPriority w:val="0"/>
    <w:pPr>
      <w:spacing w:line="500" w:lineRule="exact"/>
      <w:ind w:firstLine="480" w:firstLineChars="200"/>
      <w:jc w:val="left"/>
      <w:textAlignment w:val="center"/>
    </w:pPr>
    <w:rPr>
      <w:rFonts w:ascii="华文细黑" w:hAnsi="华文细黑"/>
      <w:sz w:val="24"/>
      <w:szCs w:val="20"/>
    </w:rPr>
  </w:style>
  <w:style w:type="paragraph" w:customStyle="1" w:styleId="432">
    <w:name w:val="CM33"/>
    <w:basedOn w:val="1"/>
    <w:next w:val="117"/>
    <w:qFormat/>
    <w:uiPriority w:val="0"/>
    <w:pPr>
      <w:autoSpaceDE w:val="0"/>
      <w:autoSpaceDN w:val="0"/>
      <w:adjustRightInd w:val="0"/>
      <w:jc w:val="left"/>
    </w:pPr>
    <w:rPr>
      <w:rFonts w:ascii="宋体"/>
      <w:kern w:val="0"/>
      <w:sz w:val="24"/>
    </w:rPr>
  </w:style>
  <w:style w:type="paragraph" w:customStyle="1" w:styleId="433">
    <w:name w:val="CM31"/>
    <w:basedOn w:val="1"/>
    <w:next w:val="117"/>
    <w:qFormat/>
    <w:uiPriority w:val="0"/>
    <w:pPr>
      <w:autoSpaceDE w:val="0"/>
      <w:autoSpaceDN w:val="0"/>
      <w:adjustRightInd w:val="0"/>
      <w:spacing w:line="400" w:lineRule="atLeast"/>
      <w:jc w:val="left"/>
    </w:pPr>
    <w:rPr>
      <w:rFonts w:ascii="宋体"/>
      <w:kern w:val="0"/>
      <w:sz w:val="24"/>
    </w:rPr>
  </w:style>
  <w:style w:type="paragraph" w:customStyle="1" w:styleId="434">
    <w:name w:val="一级标题"/>
    <w:basedOn w:val="1"/>
    <w:qFormat/>
    <w:uiPriority w:val="0"/>
    <w:pPr>
      <w:widowControl/>
      <w:snapToGrid w:val="0"/>
      <w:spacing w:line="360" w:lineRule="auto"/>
      <w:jc w:val="center"/>
    </w:pPr>
    <w:rPr>
      <w:b/>
      <w:sz w:val="32"/>
    </w:rPr>
  </w:style>
  <w:style w:type="paragraph" w:customStyle="1" w:styleId="435">
    <w:name w:val="_Style 397"/>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436">
    <w:name w:val="样式 样式 样式 宋体 小四 黑色 两端对齐 + 首行缩进:  2 字符 + 五号 首行缩进:  2 字符"/>
    <w:basedOn w:val="1"/>
    <w:qFormat/>
    <w:uiPriority w:val="0"/>
    <w:pPr>
      <w:widowControl/>
      <w:spacing w:line="340" w:lineRule="exact"/>
      <w:ind w:firstLine="200" w:firstLineChars="200"/>
    </w:pPr>
    <w:rPr>
      <w:rFonts w:ascii="宋体" w:hAnsi="宋体"/>
      <w:color w:val="000000"/>
      <w:kern w:val="0"/>
      <w:szCs w:val="20"/>
    </w:rPr>
  </w:style>
  <w:style w:type="paragraph" w:customStyle="1" w:styleId="437">
    <w:name w:val="xl7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hint="eastAsia" w:ascii="楷体_GB2312" w:hAnsi="Arial Unicode MS" w:eastAsia="楷体_GB2312" w:cs="Arial Unicode MS"/>
      <w:kern w:val="0"/>
      <w:sz w:val="22"/>
      <w:szCs w:val="22"/>
    </w:rPr>
  </w:style>
  <w:style w:type="paragraph" w:customStyle="1" w:styleId="438">
    <w:name w:val="_Style 137"/>
    <w:next w:val="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39">
    <w:name w:val="强调文字(用于标题)"/>
    <w:basedOn w:val="1"/>
    <w:qFormat/>
    <w:uiPriority w:val="0"/>
    <w:pPr>
      <w:keepNext/>
      <w:keepLines/>
      <w:spacing w:beforeLines="100" w:afterLines="100" w:line="440" w:lineRule="exact"/>
      <w:jc w:val="center"/>
    </w:pPr>
    <w:rPr>
      <w:rFonts w:ascii="黑体" w:hAnsi="华文细黑" w:eastAsia="黑体" w:cs="Arial"/>
      <w:bCs/>
      <w:kern w:val="0"/>
      <w:sz w:val="24"/>
      <w:szCs w:val="44"/>
    </w:rPr>
  </w:style>
  <w:style w:type="paragraph" w:customStyle="1" w:styleId="440">
    <w:name w:val="Char2"/>
    <w:basedOn w:val="1"/>
    <w:qFormat/>
    <w:uiPriority w:val="0"/>
    <w:pPr>
      <w:ind w:left="432" w:hanging="432"/>
    </w:pPr>
    <w:rPr>
      <w:sz w:val="24"/>
    </w:rPr>
  </w:style>
  <w:style w:type="paragraph" w:customStyle="1" w:styleId="441">
    <w:name w:val="表标题"/>
    <w:basedOn w:val="1"/>
    <w:qFormat/>
    <w:uiPriority w:val="0"/>
    <w:pPr>
      <w:widowControl/>
      <w:spacing w:beforeLines="100" w:line="280" w:lineRule="exact"/>
      <w:ind w:firstLine="50" w:firstLineChars="50"/>
      <w:jc w:val="left"/>
    </w:pPr>
    <w:rPr>
      <w:rFonts w:eastAsia="黑体"/>
      <w:kern w:val="0"/>
      <w:sz w:val="24"/>
    </w:rPr>
  </w:style>
  <w:style w:type="paragraph" w:customStyle="1" w:styleId="442">
    <w:name w:val="+正文"/>
    <w:basedOn w:val="1"/>
    <w:qFormat/>
    <w:uiPriority w:val="0"/>
    <w:pPr>
      <w:spacing w:line="360" w:lineRule="auto"/>
      <w:ind w:firstLine="200" w:firstLineChars="200"/>
    </w:pPr>
    <w:rPr>
      <w:sz w:val="24"/>
      <w:szCs w:val="28"/>
    </w:rPr>
  </w:style>
  <w:style w:type="paragraph" w:customStyle="1" w:styleId="443">
    <w:name w:val="xl33"/>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pPr>
    <w:rPr>
      <w:rFonts w:eastAsia="Arial Unicode MS"/>
      <w:kern w:val="0"/>
      <w:sz w:val="22"/>
      <w:szCs w:val="22"/>
    </w:rPr>
  </w:style>
  <w:style w:type="paragraph" w:customStyle="1" w:styleId="444">
    <w:name w:val="xl83"/>
    <w:basedOn w:val="1"/>
    <w:qFormat/>
    <w:uiPriority w:val="0"/>
    <w:pPr>
      <w:widowControl/>
      <w:pBdr>
        <w:left w:val="single" w:color="auto" w:sz="4" w:space="0"/>
        <w:bottom w:val="single" w:color="auto" w:sz="8" w:space="0"/>
        <w:right w:val="single" w:color="auto" w:sz="4" w:space="0"/>
      </w:pBdr>
      <w:spacing w:before="100" w:beforeAutospacing="1" w:after="100" w:afterAutospacing="1"/>
      <w:jc w:val="left"/>
    </w:pPr>
    <w:rPr>
      <w:rFonts w:eastAsia="Arial Unicode MS"/>
      <w:kern w:val="0"/>
      <w:sz w:val="22"/>
      <w:szCs w:val="22"/>
    </w:rPr>
  </w:style>
  <w:style w:type="paragraph" w:customStyle="1" w:styleId="445">
    <w:name w:val="AutoCorrect"/>
    <w:qFormat/>
    <w:uiPriority w:val="0"/>
    <w:pPr>
      <w:widowControl w:val="0"/>
    </w:pPr>
    <w:rPr>
      <w:rFonts w:ascii="Times New Roman" w:hAnsi="Times New Roman" w:eastAsia="PMingLiU" w:cs="Times New Roman"/>
      <w:kern w:val="2"/>
      <w:sz w:val="24"/>
      <w:lang w:val="en-US" w:eastAsia="zh-TW" w:bidi="ar-SA"/>
    </w:rPr>
  </w:style>
  <w:style w:type="paragraph" w:customStyle="1" w:styleId="446">
    <w:name w:val="legal 2"/>
    <w:basedOn w:val="1"/>
    <w:next w:val="117"/>
    <w:qFormat/>
    <w:uiPriority w:val="0"/>
    <w:pPr>
      <w:autoSpaceDE w:val="0"/>
      <w:autoSpaceDN w:val="0"/>
      <w:adjustRightInd w:val="0"/>
      <w:spacing w:after="120"/>
      <w:jc w:val="left"/>
    </w:pPr>
    <w:rPr>
      <w:rFonts w:ascii="宋体"/>
      <w:kern w:val="0"/>
      <w:sz w:val="24"/>
    </w:rPr>
  </w:style>
  <w:style w:type="paragraph" w:customStyle="1" w:styleId="447">
    <w:name w:val="CM20"/>
    <w:basedOn w:val="1"/>
    <w:next w:val="117"/>
    <w:qFormat/>
    <w:uiPriority w:val="0"/>
    <w:pPr>
      <w:autoSpaceDE w:val="0"/>
      <w:autoSpaceDN w:val="0"/>
      <w:adjustRightInd w:val="0"/>
      <w:spacing w:line="400" w:lineRule="atLeast"/>
      <w:jc w:val="left"/>
    </w:pPr>
    <w:rPr>
      <w:rFonts w:ascii="宋体"/>
      <w:kern w:val="0"/>
      <w:sz w:val="24"/>
    </w:rPr>
  </w:style>
  <w:style w:type="paragraph" w:customStyle="1" w:styleId="448">
    <w:name w:val="样式 正文文本缩进 + 首行缩进:  2 字符"/>
    <w:basedOn w:val="29"/>
    <w:qFormat/>
    <w:uiPriority w:val="0"/>
    <w:pPr>
      <w:widowControl w:val="0"/>
      <w:tabs>
        <w:tab w:val="left" w:pos="9016"/>
      </w:tabs>
      <w:overflowPunct/>
      <w:autoSpaceDE/>
      <w:autoSpaceDN/>
      <w:adjustRightInd/>
      <w:spacing w:line="500" w:lineRule="exact"/>
      <w:ind w:firstLine="480" w:firstLineChars="200"/>
      <w:jc w:val="left"/>
      <w:textAlignment w:val="auto"/>
    </w:pPr>
    <w:rPr>
      <w:rFonts w:ascii="Times New Roman" w:hAnsi="Times New Roman" w:cs="宋体"/>
      <w:spacing w:val="0"/>
      <w:szCs w:val="24"/>
    </w:rPr>
  </w:style>
  <w:style w:type="paragraph" w:customStyle="1" w:styleId="449">
    <w:name w:val="Char Char Char1"/>
    <w:basedOn w:val="1"/>
    <w:qFormat/>
    <w:uiPriority w:val="0"/>
    <w:pPr>
      <w:ind w:left="432" w:hanging="432"/>
    </w:pPr>
    <w:rPr>
      <w:sz w:val="24"/>
    </w:rPr>
  </w:style>
  <w:style w:type="paragraph" w:customStyle="1" w:styleId="450">
    <w:name w:val="CM89"/>
    <w:basedOn w:val="1"/>
    <w:next w:val="117"/>
    <w:qFormat/>
    <w:uiPriority w:val="0"/>
    <w:pPr>
      <w:autoSpaceDE w:val="0"/>
      <w:autoSpaceDN w:val="0"/>
      <w:adjustRightInd w:val="0"/>
      <w:spacing w:line="440" w:lineRule="atLeast"/>
      <w:jc w:val="left"/>
    </w:pPr>
    <w:rPr>
      <w:rFonts w:ascii="宋体"/>
      <w:kern w:val="0"/>
      <w:sz w:val="24"/>
    </w:rPr>
  </w:style>
  <w:style w:type="paragraph" w:customStyle="1" w:styleId="451">
    <w:name w:val="Char Char Char Char Char Char1 Char Char"/>
    <w:basedOn w:val="1"/>
    <w:qFormat/>
    <w:uiPriority w:val="0"/>
  </w:style>
  <w:style w:type="paragraph" w:customStyle="1" w:styleId="452">
    <w:name w:val="xl9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eastAsia="Arial Unicode MS"/>
      <w:kern w:val="0"/>
      <w:sz w:val="22"/>
      <w:szCs w:val="22"/>
    </w:rPr>
  </w:style>
  <w:style w:type="paragraph" w:customStyle="1" w:styleId="453">
    <w:name w:val="Char Char Char Char Char Char Char Char Char Char Char Char Char Char Char"/>
    <w:basedOn w:val="1"/>
    <w:qFormat/>
    <w:uiPriority w:val="0"/>
    <w:pPr>
      <w:spacing w:line="240" w:lineRule="atLeast"/>
      <w:ind w:left="420" w:firstLine="420"/>
    </w:pPr>
    <w:rPr>
      <w:kern w:val="0"/>
      <w:szCs w:val="21"/>
    </w:rPr>
  </w:style>
  <w:style w:type="paragraph" w:customStyle="1" w:styleId="454">
    <w:name w:val="样式 第五行 + 左侧:  -8 字符 段前: 2 行1"/>
    <w:basedOn w:val="242"/>
    <w:qFormat/>
    <w:uiPriority w:val="0"/>
    <w:pPr>
      <w:ind w:left="-300" w:leftChars="-300"/>
    </w:pPr>
    <w:rPr>
      <w:szCs w:val="20"/>
    </w:rPr>
  </w:style>
  <w:style w:type="paragraph" w:customStyle="1" w:styleId="455">
    <w:name w:val="msonormalcxspmiddle"/>
    <w:basedOn w:val="1"/>
    <w:qFormat/>
    <w:uiPriority w:val="0"/>
    <w:pPr>
      <w:widowControl/>
      <w:spacing w:before="100" w:beforeAutospacing="1" w:after="100" w:afterAutospacing="1"/>
      <w:jc w:val="left"/>
    </w:pPr>
    <w:rPr>
      <w:rFonts w:ascii="宋体" w:hAnsi="宋体" w:cs="宋体"/>
      <w:kern w:val="0"/>
      <w:sz w:val="24"/>
    </w:rPr>
  </w:style>
  <w:style w:type="paragraph" w:customStyle="1" w:styleId="456">
    <w:name w:val="xl78"/>
    <w:basedOn w:val="1"/>
    <w:qFormat/>
    <w:uiPriority w:val="0"/>
    <w:pPr>
      <w:widowControl/>
      <w:pBdr>
        <w:left w:val="single" w:color="auto" w:sz="4" w:space="0"/>
        <w:bottom w:val="single" w:color="auto" w:sz="8" w:space="0"/>
      </w:pBdr>
      <w:spacing w:before="100" w:beforeAutospacing="1" w:after="100" w:afterAutospacing="1"/>
      <w:jc w:val="center"/>
    </w:pPr>
    <w:rPr>
      <w:rFonts w:eastAsia="Arial Unicode MS"/>
      <w:kern w:val="0"/>
      <w:sz w:val="24"/>
    </w:rPr>
  </w:style>
  <w:style w:type="paragraph" w:customStyle="1" w:styleId="457">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FF"/>
      <w:kern w:val="0"/>
      <w:sz w:val="22"/>
      <w:szCs w:val="22"/>
    </w:rPr>
  </w:style>
  <w:style w:type="paragraph" w:customStyle="1" w:styleId="458">
    <w:name w:val="CM99"/>
    <w:basedOn w:val="1"/>
    <w:next w:val="117"/>
    <w:qFormat/>
    <w:uiPriority w:val="0"/>
    <w:pPr>
      <w:autoSpaceDE w:val="0"/>
      <w:autoSpaceDN w:val="0"/>
      <w:adjustRightInd w:val="0"/>
      <w:spacing w:after="443"/>
      <w:jc w:val="left"/>
    </w:pPr>
    <w:rPr>
      <w:rFonts w:ascii="宋体"/>
      <w:kern w:val="0"/>
      <w:sz w:val="24"/>
    </w:rPr>
  </w:style>
  <w:style w:type="paragraph" w:customStyle="1" w:styleId="459">
    <w:name w:val="表格"/>
    <w:basedOn w:val="1"/>
    <w:qFormat/>
    <w:uiPriority w:val="0"/>
    <w:pPr>
      <w:spacing w:line="240" w:lineRule="atLeast"/>
      <w:jc w:val="center"/>
      <w:textAlignment w:val="center"/>
    </w:pPr>
    <w:rPr>
      <w:rFonts w:ascii="宋体" w:hAnsi="宋体" w:cs="Arial"/>
      <w:kern w:val="0"/>
      <w:sz w:val="24"/>
      <w:szCs w:val="20"/>
    </w:rPr>
  </w:style>
  <w:style w:type="paragraph" w:customStyle="1" w:styleId="460">
    <w:name w:val="xl60"/>
    <w:basedOn w:val="1"/>
    <w:qFormat/>
    <w:uiPriority w:val="0"/>
    <w:pPr>
      <w:widowControl/>
      <w:pBdr>
        <w:top w:val="single" w:color="auto" w:sz="8" w:space="0"/>
        <w:left w:val="single" w:color="auto" w:sz="4" w:space="0"/>
        <w:right w:val="single" w:color="auto" w:sz="8" w:space="0"/>
      </w:pBdr>
      <w:spacing w:before="100" w:beforeAutospacing="1" w:after="100" w:afterAutospacing="1"/>
      <w:jc w:val="center"/>
      <w:textAlignment w:val="center"/>
    </w:pPr>
    <w:rPr>
      <w:rFonts w:hint="eastAsia" w:ascii="楷体_GB2312" w:hAnsi="Arial Unicode MS" w:eastAsia="楷体_GB2312" w:cs="Arial Unicode MS"/>
      <w:kern w:val="0"/>
      <w:sz w:val="24"/>
    </w:rPr>
  </w:style>
  <w:style w:type="paragraph" w:customStyle="1" w:styleId="461">
    <w:name w:val="CM91"/>
    <w:basedOn w:val="1"/>
    <w:next w:val="117"/>
    <w:qFormat/>
    <w:uiPriority w:val="0"/>
    <w:pPr>
      <w:autoSpaceDE w:val="0"/>
      <w:autoSpaceDN w:val="0"/>
      <w:adjustRightInd w:val="0"/>
      <w:spacing w:after="160"/>
      <w:jc w:val="left"/>
    </w:pPr>
    <w:rPr>
      <w:rFonts w:ascii="宋体"/>
      <w:kern w:val="0"/>
      <w:sz w:val="24"/>
    </w:rPr>
  </w:style>
  <w:style w:type="paragraph" w:customStyle="1" w:styleId="462">
    <w:name w:val="xl65"/>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left"/>
    </w:pPr>
    <w:rPr>
      <w:rFonts w:hint="eastAsia" w:ascii="楷体_GB2312" w:hAnsi="Arial Unicode MS" w:eastAsia="楷体_GB2312" w:cs="Arial Unicode MS"/>
      <w:kern w:val="0"/>
      <w:sz w:val="22"/>
      <w:szCs w:val="22"/>
    </w:rPr>
  </w:style>
  <w:style w:type="paragraph" w:customStyle="1" w:styleId="463">
    <w:name w:val="Char Char Char Char Char Char Char Char Char Char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464">
    <w:name w:val="CM97"/>
    <w:basedOn w:val="1"/>
    <w:next w:val="117"/>
    <w:qFormat/>
    <w:uiPriority w:val="0"/>
    <w:pPr>
      <w:autoSpaceDE w:val="0"/>
      <w:autoSpaceDN w:val="0"/>
      <w:adjustRightInd w:val="0"/>
      <w:spacing w:after="373"/>
      <w:jc w:val="left"/>
    </w:pPr>
    <w:rPr>
      <w:rFonts w:ascii="宋体"/>
      <w:kern w:val="0"/>
      <w:sz w:val="24"/>
    </w:rPr>
  </w:style>
  <w:style w:type="paragraph" w:customStyle="1" w:styleId="465">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466">
    <w:name w:val="Char1 Char Char Char Char Char Char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467">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FF00FF"/>
      <w:kern w:val="0"/>
      <w:sz w:val="22"/>
      <w:szCs w:val="22"/>
    </w:rPr>
  </w:style>
  <w:style w:type="paragraph" w:customStyle="1" w:styleId="468">
    <w:name w:val="xl76"/>
    <w:basedOn w:val="1"/>
    <w:qFormat/>
    <w:uiPriority w:val="0"/>
    <w:pPr>
      <w:widowControl/>
      <w:pBdr>
        <w:left w:val="single" w:color="auto" w:sz="8" w:space="0"/>
        <w:bottom w:val="single" w:color="auto" w:sz="8" w:space="0"/>
        <w:right w:val="single" w:color="auto" w:sz="4" w:space="0"/>
      </w:pBdr>
      <w:spacing w:before="100" w:beforeAutospacing="1" w:after="100" w:afterAutospacing="1"/>
      <w:jc w:val="left"/>
    </w:pPr>
    <w:rPr>
      <w:rFonts w:eastAsia="Arial Unicode MS"/>
      <w:kern w:val="0"/>
      <w:sz w:val="24"/>
    </w:rPr>
  </w:style>
  <w:style w:type="paragraph" w:customStyle="1" w:styleId="469">
    <w:name w:val="Char1"/>
    <w:basedOn w:val="1"/>
    <w:qFormat/>
    <w:uiPriority w:val="0"/>
  </w:style>
  <w:style w:type="paragraph" w:customStyle="1" w:styleId="470">
    <w:name w:val="Char1 Char Char Char Char Char Char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471">
    <w:name w:val="Char Char Char Char Char Char1"/>
    <w:basedOn w:val="1"/>
    <w:qFormat/>
    <w:uiPriority w:val="0"/>
  </w:style>
  <w:style w:type="paragraph" w:customStyle="1" w:styleId="472">
    <w:name w:val="封面字体1"/>
    <w:basedOn w:val="1"/>
    <w:qFormat/>
    <w:uiPriority w:val="0"/>
    <w:pPr>
      <w:spacing w:line="240" w:lineRule="atLeast"/>
      <w:jc w:val="left"/>
    </w:pPr>
    <w:rPr>
      <w:rFonts w:ascii="华文细黑" w:hAnsi="华文细黑" w:cs="Arial"/>
      <w:b/>
      <w:bCs/>
      <w:spacing w:val="100"/>
      <w:kern w:val="0"/>
      <w:sz w:val="44"/>
      <w:szCs w:val="21"/>
    </w:rPr>
  </w:style>
  <w:style w:type="paragraph" w:customStyle="1" w:styleId="473">
    <w:name w:val="TOC 标题1"/>
    <w:basedOn w:val="3"/>
    <w:next w:val="1"/>
    <w:qFormat/>
    <w:uiPriority w:val="0"/>
    <w:pPr>
      <w:widowControl/>
      <w:spacing w:beforeLines="0" w:afterLines="0" w:line="276" w:lineRule="auto"/>
      <w:ind w:left="0"/>
      <w:jc w:val="left"/>
      <w:outlineLvl w:val="9"/>
    </w:pPr>
    <w:rPr>
      <w:rFonts w:ascii="Cambria" w:hAnsi="Cambria"/>
      <w:color w:val="365F91"/>
      <w:kern w:val="0"/>
      <w:sz w:val="28"/>
      <w:szCs w:val="28"/>
    </w:rPr>
  </w:style>
  <w:style w:type="paragraph" w:customStyle="1" w:styleId="474">
    <w:name w:val="Char2 Char Char Char Char Char Char"/>
    <w:basedOn w:val="1"/>
    <w:qFormat/>
    <w:uiPriority w:val="0"/>
    <w:pPr>
      <w:shd w:val="clear" w:color="auto" w:fill="000080"/>
    </w:pPr>
    <w:rPr>
      <w:rFonts w:ascii="Tahoma" w:hAnsi="Tahoma"/>
      <w:sz w:val="24"/>
    </w:rPr>
  </w:style>
  <w:style w:type="paragraph" w:customStyle="1" w:styleId="475">
    <w:name w:val="样式 标题 2 + Times New Roman 四号 非加粗 段前: 5 磅 段后: 0 磅 行距: 固定值 20..."/>
    <w:basedOn w:val="4"/>
    <w:qFormat/>
    <w:uiPriority w:val="0"/>
    <w:pPr>
      <w:keepLines/>
      <w:tabs>
        <w:tab w:val="clear" w:pos="840"/>
      </w:tabs>
      <w:spacing w:beforeLines="0" w:line="400" w:lineRule="exact"/>
      <w:ind w:left="0" w:firstLine="0"/>
    </w:pPr>
    <w:rPr>
      <w:rFonts w:ascii="Times New Roman" w:hAnsi="Times New Roman" w:eastAsia="黑体"/>
      <w:b w:val="0"/>
      <w:bCs w:val="0"/>
      <w:sz w:val="28"/>
      <w:szCs w:val="20"/>
    </w:rPr>
  </w:style>
  <w:style w:type="paragraph" w:customStyle="1" w:styleId="476">
    <w:name w:val="xl37"/>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pPr>
    <w:rPr>
      <w:rFonts w:eastAsia="Arial Unicode MS"/>
      <w:kern w:val="0"/>
      <w:sz w:val="22"/>
      <w:szCs w:val="22"/>
    </w:rPr>
  </w:style>
  <w:style w:type="paragraph" w:customStyle="1" w:styleId="477">
    <w:name w:val="合同落款"/>
    <w:basedOn w:val="1"/>
    <w:qFormat/>
    <w:uiPriority w:val="0"/>
    <w:pPr>
      <w:spacing w:line="240" w:lineRule="atLeast"/>
    </w:pPr>
    <w:rPr>
      <w:rFonts w:ascii="华文细黑" w:hAnsi="华文细黑" w:eastAsia="楷体_GB2312" w:cs="Arial"/>
      <w:spacing w:val="-18"/>
      <w:kern w:val="0"/>
      <w:sz w:val="32"/>
      <w:szCs w:val="32"/>
    </w:rPr>
  </w:style>
  <w:style w:type="paragraph" w:customStyle="1" w:styleId="478">
    <w:name w:val="xl35"/>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pPr>
    <w:rPr>
      <w:rFonts w:eastAsia="Arial Unicode MS"/>
      <w:kern w:val="0"/>
      <w:sz w:val="22"/>
      <w:szCs w:val="22"/>
    </w:rPr>
  </w:style>
  <w:style w:type="paragraph" w:customStyle="1" w:styleId="479">
    <w:name w:val="Char Char Char Char Char Char Char Char Char Char Char Char Char Char Char Char Char Char Char"/>
    <w:basedOn w:val="1"/>
    <w:qFormat/>
    <w:uiPriority w:val="0"/>
    <w:pPr>
      <w:spacing w:line="240" w:lineRule="atLeast"/>
      <w:ind w:left="420" w:firstLine="420"/>
    </w:pPr>
    <w:rPr>
      <w:kern w:val="0"/>
      <w:szCs w:val="21"/>
    </w:rPr>
  </w:style>
  <w:style w:type="paragraph" w:customStyle="1" w:styleId="480">
    <w:name w:val="CM103"/>
    <w:basedOn w:val="1"/>
    <w:next w:val="117"/>
    <w:qFormat/>
    <w:uiPriority w:val="0"/>
    <w:pPr>
      <w:autoSpaceDE w:val="0"/>
      <w:autoSpaceDN w:val="0"/>
      <w:adjustRightInd w:val="0"/>
      <w:spacing w:after="1508"/>
      <w:jc w:val="left"/>
    </w:pPr>
    <w:rPr>
      <w:rFonts w:ascii="宋体"/>
      <w:kern w:val="0"/>
      <w:sz w:val="24"/>
    </w:rPr>
  </w:style>
  <w:style w:type="paragraph" w:customStyle="1" w:styleId="481">
    <w:name w:val="附件"/>
    <w:basedOn w:val="1"/>
    <w:qFormat/>
    <w:uiPriority w:val="0"/>
    <w:pPr>
      <w:tabs>
        <w:tab w:val="left" w:pos="420"/>
      </w:tabs>
      <w:spacing w:beforeLines="50" w:line="360" w:lineRule="auto"/>
      <w:ind w:left="567" w:hanging="567"/>
    </w:pPr>
    <w:rPr>
      <w:rFonts w:ascii="宋体"/>
      <w:b/>
      <w:sz w:val="28"/>
    </w:rPr>
  </w:style>
  <w:style w:type="paragraph" w:customStyle="1" w:styleId="482">
    <w:name w:val="CM57"/>
    <w:basedOn w:val="1"/>
    <w:next w:val="117"/>
    <w:qFormat/>
    <w:uiPriority w:val="0"/>
    <w:pPr>
      <w:autoSpaceDE w:val="0"/>
      <w:autoSpaceDN w:val="0"/>
      <w:adjustRightInd w:val="0"/>
      <w:spacing w:line="400" w:lineRule="atLeast"/>
      <w:jc w:val="left"/>
    </w:pPr>
    <w:rPr>
      <w:rFonts w:ascii="宋体"/>
      <w:kern w:val="0"/>
      <w:sz w:val="24"/>
    </w:rPr>
  </w:style>
  <w:style w:type="paragraph" w:customStyle="1" w:styleId="483">
    <w:name w:val="正文文本 21"/>
    <w:basedOn w:val="1"/>
    <w:qFormat/>
    <w:uiPriority w:val="0"/>
    <w:pPr>
      <w:adjustRightInd w:val="0"/>
      <w:ind w:left="10" w:firstLine="530"/>
      <w:textAlignment w:val="baseline"/>
    </w:pPr>
    <w:rPr>
      <w:color w:val="000000"/>
      <w:sz w:val="28"/>
      <w:szCs w:val="20"/>
    </w:rPr>
  </w:style>
  <w:style w:type="paragraph" w:customStyle="1" w:styleId="484">
    <w:name w:val="CM36"/>
    <w:basedOn w:val="1"/>
    <w:next w:val="117"/>
    <w:qFormat/>
    <w:uiPriority w:val="0"/>
    <w:pPr>
      <w:autoSpaceDE w:val="0"/>
      <w:autoSpaceDN w:val="0"/>
      <w:adjustRightInd w:val="0"/>
      <w:spacing w:line="400" w:lineRule="atLeast"/>
      <w:jc w:val="left"/>
    </w:pPr>
    <w:rPr>
      <w:rFonts w:ascii="宋体"/>
      <w:kern w:val="0"/>
      <w:sz w:val="24"/>
    </w:rPr>
  </w:style>
  <w:style w:type="paragraph" w:customStyle="1" w:styleId="485">
    <w:name w:val="CM98"/>
    <w:basedOn w:val="1"/>
    <w:next w:val="117"/>
    <w:qFormat/>
    <w:uiPriority w:val="0"/>
    <w:pPr>
      <w:autoSpaceDE w:val="0"/>
      <w:autoSpaceDN w:val="0"/>
      <w:adjustRightInd w:val="0"/>
      <w:spacing w:after="570"/>
      <w:jc w:val="left"/>
    </w:pPr>
    <w:rPr>
      <w:rFonts w:ascii="宋体"/>
      <w:kern w:val="0"/>
      <w:sz w:val="24"/>
    </w:rPr>
  </w:style>
  <w:style w:type="paragraph" w:customStyle="1" w:styleId="486">
    <w:name w:val="图形"/>
    <w:basedOn w:val="1"/>
    <w:qFormat/>
    <w:uiPriority w:val="0"/>
    <w:pPr>
      <w:spacing w:line="240" w:lineRule="atLeast"/>
      <w:jc w:val="left"/>
    </w:pPr>
    <w:rPr>
      <w:rFonts w:ascii="华文细黑" w:hAnsi="华文细黑" w:cs="Arial"/>
      <w:kern w:val="0"/>
      <w:szCs w:val="21"/>
    </w:rPr>
  </w:style>
  <w:style w:type="paragraph" w:customStyle="1" w:styleId="487">
    <w:name w:val="注1"/>
    <w:basedOn w:val="1"/>
    <w:qFormat/>
    <w:uiPriority w:val="0"/>
    <w:pPr>
      <w:spacing w:line="360" w:lineRule="auto"/>
      <w:ind w:left="400" w:leftChars="200" w:hanging="200" w:hangingChars="200"/>
    </w:pPr>
    <w:rPr>
      <w:rFonts w:ascii="宋体"/>
      <w:b/>
    </w:rPr>
  </w:style>
  <w:style w:type="paragraph" w:customStyle="1" w:styleId="488">
    <w:name w:val="样式 表格内容 + 居中"/>
    <w:basedOn w:val="271"/>
    <w:qFormat/>
    <w:uiPriority w:val="0"/>
    <w:rPr>
      <w:rFonts w:cs="宋体"/>
    </w:rPr>
  </w:style>
  <w:style w:type="paragraph" w:customStyle="1" w:styleId="489">
    <w:name w:val="font12"/>
    <w:basedOn w:val="1"/>
    <w:qFormat/>
    <w:uiPriority w:val="0"/>
    <w:pPr>
      <w:widowControl/>
      <w:spacing w:before="100" w:beforeAutospacing="1" w:after="100" w:afterAutospacing="1"/>
      <w:jc w:val="left"/>
    </w:pPr>
    <w:rPr>
      <w:rFonts w:hint="eastAsia" w:ascii="楷体_GB2312" w:hAnsi="Arial Unicode MS" w:eastAsia="楷体_GB2312" w:cs="Arial Unicode MS"/>
      <w:kern w:val="0"/>
      <w:sz w:val="20"/>
      <w:szCs w:val="20"/>
    </w:rPr>
  </w:style>
  <w:style w:type="paragraph" w:customStyle="1" w:styleId="490">
    <w:name w:val="普通 (Web)"/>
    <w:basedOn w:val="1"/>
    <w:qFormat/>
    <w:uiPriority w:val="0"/>
    <w:pPr>
      <w:widowControl/>
      <w:spacing w:before="100" w:beforeAutospacing="1" w:after="100" w:afterAutospacing="1"/>
      <w:jc w:val="left"/>
    </w:pPr>
    <w:rPr>
      <w:rFonts w:ascii="宋体" w:hAnsi="宋体"/>
      <w:kern w:val="0"/>
      <w:sz w:val="24"/>
    </w:rPr>
  </w:style>
  <w:style w:type="paragraph" w:customStyle="1" w:styleId="491">
    <w:name w:val="Outline"/>
    <w:basedOn w:val="1"/>
    <w:qFormat/>
    <w:uiPriority w:val="0"/>
    <w:pPr>
      <w:widowControl/>
      <w:spacing w:before="240" w:line="360" w:lineRule="auto"/>
      <w:ind w:firstLine="200" w:firstLineChars="200"/>
      <w:jc w:val="left"/>
    </w:pPr>
    <w:rPr>
      <w:rFonts w:ascii="Arial" w:hAnsi="Arial"/>
      <w:kern w:val="28"/>
      <w:sz w:val="20"/>
      <w:szCs w:val="20"/>
    </w:rPr>
  </w:style>
  <w:style w:type="paragraph" w:customStyle="1" w:styleId="492">
    <w:name w:val="Char Char Char Char11"/>
    <w:basedOn w:val="1"/>
    <w:qFormat/>
    <w:uiPriority w:val="0"/>
  </w:style>
  <w:style w:type="paragraph" w:customStyle="1" w:styleId="493">
    <w:name w:val="Char Char1 Char1"/>
    <w:basedOn w:val="1"/>
    <w:qFormat/>
    <w:uiPriority w:val="0"/>
    <w:pPr>
      <w:shd w:val="clear" w:color="auto" w:fill="000080"/>
      <w:spacing w:line="360" w:lineRule="auto"/>
    </w:pPr>
    <w:rPr>
      <w:rFonts w:ascii="Tahoma" w:hAnsi="Tahoma"/>
      <w:sz w:val="24"/>
    </w:rPr>
  </w:style>
  <w:style w:type="paragraph" w:customStyle="1" w:styleId="494">
    <w:name w:val="样式9"/>
    <w:basedOn w:val="5"/>
    <w:qFormat/>
    <w:uiPriority w:val="0"/>
    <w:pPr>
      <w:keepLines/>
      <w:widowControl/>
      <w:tabs>
        <w:tab w:val="left" w:pos="3660"/>
        <w:tab w:val="clear" w:pos="360"/>
      </w:tabs>
      <w:spacing w:beforeLines="0" w:after="120" w:line="500" w:lineRule="exact"/>
      <w:ind w:left="3660" w:hanging="720"/>
      <w:jc w:val="left"/>
    </w:pPr>
    <w:rPr>
      <w:rFonts w:ascii="Times New Roman" w:hAnsi="Times New Roman" w:eastAsia="黑体"/>
      <w:kern w:val="0"/>
    </w:rPr>
  </w:style>
  <w:style w:type="paragraph" w:customStyle="1" w:styleId="495">
    <w:name w:val="默认段落字体 Para Char"/>
    <w:basedOn w:val="1"/>
    <w:qFormat/>
    <w:uiPriority w:val="0"/>
    <w:pPr>
      <w:snapToGrid w:val="0"/>
      <w:spacing w:line="360" w:lineRule="auto"/>
      <w:ind w:firstLine="200" w:firstLineChars="200"/>
    </w:pPr>
    <w:rPr>
      <w:rFonts w:eastAsia="仿宋_GB2312"/>
      <w:sz w:val="24"/>
    </w:rPr>
  </w:style>
  <w:style w:type="paragraph" w:customStyle="1" w:styleId="496">
    <w:name w:val="Char6"/>
    <w:basedOn w:val="1"/>
    <w:qFormat/>
    <w:uiPriority w:val="0"/>
    <w:pPr>
      <w:tabs>
        <w:tab w:val="left" w:pos="794"/>
        <w:tab w:val="left" w:pos="1191"/>
        <w:tab w:val="left" w:pos="1588"/>
        <w:tab w:val="left" w:pos="1985"/>
      </w:tabs>
      <w:autoSpaceDE w:val="0"/>
      <w:autoSpaceDN w:val="0"/>
      <w:adjustRightInd w:val="0"/>
      <w:spacing w:before="136"/>
    </w:pPr>
    <w:rPr>
      <w:rFonts w:ascii="Tahoma" w:hAnsi="Tahoma"/>
      <w:kern w:val="0"/>
      <w:sz w:val="24"/>
      <w:szCs w:val="20"/>
      <w:lang w:val="en-GB"/>
    </w:rPr>
  </w:style>
  <w:style w:type="paragraph" w:customStyle="1" w:styleId="497">
    <w:name w:val="xl99"/>
    <w:basedOn w:val="1"/>
    <w:qFormat/>
    <w:uiPriority w:val="0"/>
    <w:pPr>
      <w:widowControl/>
      <w:pBdr>
        <w:left w:val="single" w:color="auto" w:sz="4" w:space="0"/>
        <w:bottom w:val="single" w:color="auto" w:sz="4" w:space="0"/>
        <w:right w:val="single" w:color="auto" w:sz="8" w:space="0"/>
      </w:pBdr>
      <w:spacing w:before="100" w:beforeAutospacing="1" w:after="100" w:afterAutospacing="1"/>
      <w:jc w:val="center"/>
    </w:pPr>
    <w:rPr>
      <w:rFonts w:eastAsia="Arial Unicode MS"/>
      <w:kern w:val="0"/>
      <w:sz w:val="24"/>
    </w:rPr>
  </w:style>
  <w:style w:type="paragraph" w:customStyle="1" w:styleId="498">
    <w:name w:val="CM46"/>
    <w:basedOn w:val="1"/>
    <w:next w:val="117"/>
    <w:qFormat/>
    <w:uiPriority w:val="0"/>
    <w:pPr>
      <w:autoSpaceDE w:val="0"/>
      <w:autoSpaceDN w:val="0"/>
      <w:adjustRightInd w:val="0"/>
      <w:jc w:val="left"/>
    </w:pPr>
    <w:rPr>
      <w:rFonts w:ascii="宋体"/>
      <w:kern w:val="0"/>
      <w:sz w:val="24"/>
    </w:rPr>
  </w:style>
  <w:style w:type="paragraph" w:customStyle="1" w:styleId="499">
    <w:name w:val="Char Char Char Char"/>
    <w:basedOn w:val="1"/>
    <w:qFormat/>
    <w:uiPriority w:val="0"/>
  </w:style>
  <w:style w:type="paragraph" w:customStyle="1" w:styleId="500">
    <w:name w:val="编号（1）"/>
    <w:basedOn w:val="1"/>
    <w:qFormat/>
    <w:uiPriority w:val="0"/>
    <w:pPr>
      <w:tabs>
        <w:tab w:val="left" w:pos="420"/>
      </w:tabs>
      <w:spacing w:line="360" w:lineRule="auto"/>
      <w:ind w:left="450" w:leftChars="200" w:hanging="200" w:hangingChars="200"/>
    </w:pPr>
    <w:rPr>
      <w:rFonts w:ascii="宋体"/>
      <w:szCs w:val="21"/>
    </w:rPr>
  </w:style>
  <w:style w:type="paragraph" w:customStyle="1" w:styleId="501">
    <w:name w:val="xl52"/>
    <w:basedOn w:val="1"/>
    <w:qFormat/>
    <w:uiPriority w:val="0"/>
    <w:pPr>
      <w:widowControl/>
      <w:pBdr>
        <w:left w:val="single" w:color="auto" w:sz="4" w:space="0"/>
        <w:bottom w:val="single" w:color="auto" w:sz="8" w:space="0"/>
        <w:right w:val="single" w:color="auto" w:sz="4" w:space="0"/>
      </w:pBdr>
      <w:spacing w:before="100" w:beforeAutospacing="1" w:after="100" w:afterAutospacing="1"/>
      <w:jc w:val="center"/>
    </w:pPr>
    <w:rPr>
      <w:rFonts w:eastAsia="Arial Unicode MS"/>
      <w:color w:val="0000FF"/>
      <w:kern w:val="0"/>
      <w:sz w:val="22"/>
      <w:szCs w:val="22"/>
    </w:rPr>
  </w:style>
  <w:style w:type="paragraph" w:customStyle="1" w:styleId="502">
    <w:name w:val="Char41"/>
    <w:basedOn w:val="1"/>
    <w:qFormat/>
    <w:uiPriority w:val="0"/>
    <w:rPr>
      <w:rFonts w:ascii="Tahoma" w:hAnsi="Tahoma"/>
      <w:sz w:val="24"/>
      <w:szCs w:val="20"/>
    </w:rPr>
  </w:style>
  <w:style w:type="paragraph" w:customStyle="1" w:styleId="503">
    <w:name w:val="Char Char Char Char Char Char Char Char Char Char Char Char Char Char Char Char Char Char Char Char Char Char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504">
    <w:name w:val="xl46"/>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eastAsia="Arial Unicode MS"/>
      <w:kern w:val="0"/>
      <w:sz w:val="22"/>
      <w:szCs w:val="22"/>
    </w:rPr>
  </w:style>
  <w:style w:type="paragraph" w:customStyle="1" w:styleId="505">
    <w:name w:val="xl84"/>
    <w:basedOn w:val="1"/>
    <w:qFormat/>
    <w:uiPriority w:val="0"/>
    <w:pPr>
      <w:widowControl/>
      <w:pBdr>
        <w:top w:val="single" w:color="auto" w:sz="4" w:space="0"/>
        <w:left w:val="single" w:color="auto" w:sz="4" w:space="0"/>
        <w:bottom w:val="single" w:color="auto" w:sz="8" w:space="0"/>
        <w:right w:val="single" w:color="auto" w:sz="8" w:space="0"/>
      </w:pBdr>
      <w:spacing w:before="100" w:beforeAutospacing="1" w:after="100" w:afterAutospacing="1"/>
      <w:jc w:val="left"/>
    </w:pPr>
    <w:rPr>
      <w:rFonts w:eastAsia="Arial Unicode MS"/>
      <w:kern w:val="0"/>
      <w:sz w:val="24"/>
    </w:rPr>
  </w:style>
  <w:style w:type="paragraph" w:customStyle="1" w:styleId="506">
    <w:name w:val="字元 字元1"/>
    <w:basedOn w:val="1"/>
    <w:qFormat/>
    <w:uiPriority w:val="0"/>
  </w:style>
  <w:style w:type="paragraph" w:customStyle="1" w:styleId="507">
    <w:name w:val="Char"/>
    <w:basedOn w:val="1"/>
    <w:qFormat/>
    <w:uiPriority w:val="0"/>
    <w:rPr>
      <w:rFonts w:ascii="仿宋_GB2312" w:eastAsia="仿宋_GB2312"/>
      <w:b/>
      <w:sz w:val="32"/>
      <w:szCs w:val="32"/>
    </w:rPr>
  </w:style>
  <w:style w:type="paragraph" w:customStyle="1" w:styleId="508">
    <w:name w:val="+标题2"/>
    <w:basedOn w:val="4"/>
    <w:qFormat/>
    <w:uiPriority w:val="0"/>
    <w:pPr>
      <w:keepLines/>
      <w:tabs>
        <w:tab w:val="left" w:pos="720"/>
      </w:tabs>
      <w:spacing w:beforeLines="0" w:after="120"/>
      <w:ind w:left="720" w:hanging="720"/>
    </w:pPr>
    <w:rPr>
      <w:rFonts w:ascii="Times New Roman" w:hAnsi="Times New Roman"/>
      <w:szCs w:val="28"/>
    </w:rPr>
  </w:style>
  <w:style w:type="paragraph" w:customStyle="1" w:styleId="509">
    <w:name w:val="+标题1"/>
    <w:basedOn w:val="3"/>
    <w:qFormat/>
    <w:uiPriority w:val="0"/>
    <w:pPr>
      <w:pageBreakBefore/>
      <w:tabs>
        <w:tab w:val="left" w:pos="720"/>
      </w:tabs>
      <w:spacing w:beforeLines="0" w:afterLines="0"/>
      <w:ind w:left="720" w:hanging="720"/>
    </w:pPr>
    <w:rPr>
      <w:rFonts w:ascii="Times New Roman" w:eastAsia="黑体"/>
      <w:kern w:val="32"/>
      <w:sz w:val="32"/>
      <w:szCs w:val="32"/>
    </w:rPr>
  </w:style>
  <w:style w:type="paragraph" w:customStyle="1" w:styleId="510">
    <w:name w:val="字元 字元11"/>
    <w:basedOn w:val="1"/>
    <w:qFormat/>
    <w:uiPriority w:val="0"/>
  </w:style>
  <w:style w:type="paragraph" w:customStyle="1" w:styleId="511">
    <w:name w:val="正文文本缩进 21"/>
    <w:basedOn w:val="1"/>
    <w:qFormat/>
    <w:uiPriority w:val="0"/>
    <w:pPr>
      <w:adjustRightInd w:val="0"/>
      <w:ind w:left="570" w:firstLine="555"/>
      <w:textAlignment w:val="baseline"/>
    </w:pPr>
    <w:rPr>
      <w:color w:val="000000"/>
      <w:sz w:val="28"/>
      <w:szCs w:val="20"/>
    </w:rPr>
  </w:style>
  <w:style w:type="paragraph" w:customStyle="1" w:styleId="512">
    <w:name w:val="CM24"/>
    <w:basedOn w:val="1"/>
    <w:next w:val="117"/>
    <w:qFormat/>
    <w:uiPriority w:val="0"/>
    <w:pPr>
      <w:autoSpaceDE w:val="0"/>
      <w:autoSpaceDN w:val="0"/>
      <w:adjustRightInd w:val="0"/>
      <w:spacing w:line="440" w:lineRule="atLeast"/>
      <w:jc w:val="left"/>
    </w:pPr>
    <w:rPr>
      <w:rFonts w:ascii="宋体"/>
      <w:kern w:val="0"/>
      <w:sz w:val="24"/>
    </w:rPr>
  </w:style>
  <w:style w:type="paragraph" w:customStyle="1" w:styleId="513">
    <w:name w:val="样式7"/>
    <w:basedOn w:val="271"/>
    <w:qFormat/>
    <w:uiPriority w:val="0"/>
  </w:style>
  <w:style w:type="paragraph" w:customStyle="1" w:styleId="514">
    <w:name w:val="Legal 5"/>
    <w:basedOn w:val="1"/>
    <w:next w:val="117"/>
    <w:qFormat/>
    <w:uiPriority w:val="0"/>
    <w:pPr>
      <w:autoSpaceDE w:val="0"/>
      <w:autoSpaceDN w:val="0"/>
      <w:adjustRightInd w:val="0"/>
      <w:spacing w:after="120"/>
      <w:jc w:val="left"/>
    </w:pPr>
    <w:rPr>
      <w:rFonts w:ascii="宋体"/>
      <w:kern w:val="0"/>
      <w:sz w:val="24"/>
    </w:rPr>
  </w:style>
  <w:style w:type="paragraph" w:customStyle="1" w:styleId="515">
    <w:name w:val="font6"/>
    <w:basedOn w:val="1"/>
    <w:qFormat/>
    <w:uiPriority w:val="0"/>
    <w:pPr>
      <w:widowControl/>
      <w:spacing w:before="100" w:beforeAutospacing="1" w:after="100" w:afterAutospacing="1"/>
      <w:jc w:val="left"/>
    </w:pPr>
    <w:rPr>
      <w:rFonts w:eastAsia="Arial Unicode MS"/>
      <w:kern w:val="0"/>
      <w:sz w:val="24"/>
    </w:rPr>
  </w:style>
  <w:style w:type="paragraph" w:customStyle="1" w:styleId="516">
    <w:name w:val="xl42"/>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eastAsia="Arial Unicode MS"/>
      <w:kern w:val="0"/>
      <w:sz w:val="24"/>
    </w:rPr>
  </w:style>
  <w:style w:type="paragraph" w:customStyle="1" w:styleId="517">
    <w:name w:val="scc"/>
    <w:basedOn w:val="1"/>
    <w:qFormat/>
    <w:uiPriority w:val="0"/>
    <w:pPr>
      <w:adjustRightInd w:val="0"/>
      <w:spacing w:line="400" w:lineRule="atLeast"/>
      <w:jc w:val="center"/>
      <w:textAlignment w:val="baseline"/>
    </w:pPr>
    <w:rPr>
      <w:rFonts w:eastAsia="楷体_GB2312"/>
      <w:b/>
      <w:kern w:val="0"/>
      <w:sz w:val="24"/>
      <w:szCs w:val="20"/>
    </w:rPr>
  </w:style>
  <w:style w:type="paragraph" w:customStyle="1" w:styleId="518">
    <w:name w:val="CM26"/>
    <w:basedOn w:val="117"/>
    <w:next w:val="117"/>
    <w:qFormat/>
    <w:uiPriority w:val="0"/>
    <w:pPr>
      <w:spacing w:line="400" w:lineRule="atLeast"/>
    </w:pPr>
    <w:rPr>
      <w:rFonts w:ascii="Times New Roman" w:cs="Times New Roman"/>
      <w:color w:val="auto"/>
    </w:rPr>
  </w:style>
  <w:style w:type="paragraph" w:customStyle="1" w:styleId="519">
    <w:name w:val="Char Char Char Char Char Char1 Char Char1"/>
    <w:basedOn w:val="1"/>
    <w:qFormat/>
    <w:uiPriority w:val="0"/>
  </w:style>
  <w:style w:type="paragraph" w:customStyle="1" w:styleId="520">
    <w:name w:val="样式 样式 样式 标题 3 + 首行缩进:  2 字符 + 首行缩进:  2 字符 + 首行缩进:  2 字符 Char"/>
    <w:basedOn w:val="1"/>
    <w:qFormat/>
    <w:uiPriority w:val="0"/>
    <w:pPr>
      <w:keepNext/>
      <w:keepLines/>
      <w:tabs>
        <w:tab w:val="left" w:pos="720"/>
        <w:tab w:val="left" w:pos="900"/>
        <w:tab w:val="left" w:pos="1350"/>
      </w:tabs>
      <w:adjustRightInd w:val="0"/>
      <w:snapToGrid w:val="0"/>
      <w:spacing w:before="120" w:after="120" w:line="500" w:lineRule="exact"/>
      <w:ind w:left="1189" w:hanging="1189"/>
      <w:jc w:val="left"/>
      <w:textAlignment w:val="baseline"/>
      <w:outlineLvl w:val="2"/>
    </w:pPr>
    <w:rPr>
      <w:rFonts w:ascii="黑体" w:hAnsi="宋体" w:eastAsia="黑体" w:cs="宋体"/>
      <w:kern w:val="0"/>
      <w:sz w:val="24"/>
    </w:rPr>
  </w:style>
  <w:style w:type="paragraph" w:customStyle="1" w:styleId="521">
    <w:name w:val="样式1"/>
    <w:basedOn w:val="1"/>
    <w:qFormat/>
    <w:uiPriority w:val="0"/>
    <w:pPr>
      <w:spacing w:before="120" w:after="120" w:line="300" w:lineRule="auto"/>
    </w:pPr>
    <w:rPr>
      <w:rFonts w:ascii="宋体" w:hAnsi="宋体"/>
      <w:b/>
      <w:sz w:val="24"/>
      <w:szCs w:val="20"/>
    </w:rPr>
  </w:style>
  <w:style w:type="paragraph" w:customStyle="1" w:styleId="522">
    <w:name w:val="Style"/>
    <w:basedOn w:val="1"/>
    <w:next w:val="54"/>
    <w:qFormat/>
    <w:uiPriority w:val="0"/>
    <w:pPr>
      <w:tabs>
        <w:tab w:val="left" w:pos="1050"/>
      </w:tabs>
      <w:spacing w:line="400" w:lineRule="exact"/>
      <w:ind w:left="1050"/>
    </w:pPr>
    <w:rPr>
      <w:rFonts w:ascii="宋体"/>
      <w:sz w:val="28"/>
      <w:szCs w:val="28"/>
    </w:rPr>
  </w:style>
  <w:style w:type="paragraph" w:customStyle="1" w:styleId="523">
    <w:name w:val="Subtitle 2"/>
    <w:basedOn w:val="1"/>
    <w:qFormat/>
    <w:uiPriority w:val="0"/>
    <w:pPr>
      <w:widowControl/>
      <w:tabs>
        <w:tab w:val="center" w:pos="4752"/>
        <w:tab w:val="right" w:pos="9864"/>
      </w:tabs>
      <w:spacing w:before="240" w:after="240"/>
      <w:ind w:firstLine="200" w:firstLineChars="200"/>
      <w:jc w:val="center"/>
      <w:outlineLvl w:val="1"/>
    </w:pPr>
    <w:rPr>
      <w:rFonts w:ascii="Arial" w:hAnsi="Arial"/>
      <w:b/>
      <w:kern w:val="0"/>
      <w:sz w:val="32"/>
      <w:szCs w:val="20"/>
    </w:rPr>
  </w:style>
  <w:style w:type="paragraph" w:customStyle="1" w:styleId="524">
    <w:name w:val="font10"/>
    <w:basedOn w:val="1"/>
    <w:qFormat/>
    <w:uiPriority w:val="0"/>
    <w:pPr>
      <w:widowControl/>
      <w:spacing w:before="100" w:beforeAutospacing="1" w:after="100" w:afterAutospacing="1"/>
      <w:jc w:val="left"/>
    </w:pPr>
    <w:rPr>
      <w:rFonts w:hint="eastAsia" w:ascii="楷体_GB2312" w:hAnsi="Arial Unicode MS" w:eastAsia="楷体_GB2312" w:cs="Arial Unicode MS"/>
      <w:kern w:val="0"/>
      <w:sz w:val="24"/>
    </w:rPr>
  </w:style>
  <w:style w:type="paragraph" w:customStyle="1" w:styleId="525">
    <w:name w:val="CM3"/>
    <w:basedOn w:val="1"/>
    <w:next w:val="117"/>
    <w:qFormat/>
    <w:uiPriority w:val="0"/>
    <w:pPr>
      <w:autoSpaceDE w:val="0"/>
      <w:autoSpaceDN w:val="0"/>
      <w:adjustRightInd w:val="0"/>
      <w:spacing w:line="500" w:lineRule="atLeast"/>
      <w:jc w:val="left"/>
    </w:pPr>
    <w:rPr>
      <w:rFonts w:ascii="宋体"/>
      <w:kern w:val="0"/>
      <w:sz w:val="24"/>
    </w:rPr>
  </w:style>
  <w:style w:type="paragraph" w:customStyle="1" w:styleId="526">
    <w:name w:val="CM69"/>
    <w:basedOn w:val="1"/>
    <w:next w:val="117"/>
    <w:qFormat/>
    <w:uiPriority w:val="0"/>
    <w:pPr>
      <w:autoSpaceDE w:val="0"/>
      <w:autoSpaceDN w:val="0"/>
      <w:adjustRightInd w:val="0"/>
      <w:spacing w:line="400" w:lineRule="atLeast"/>
      <w:jc w:val="left"/>
    </w:pPr>
    <w:rPr>
      <w:rFonts w:ascii="宋体"/>
      <w:kern w:val="0"/>
      <w:sz w:val="24"/>
    </w:rPr>
  </w:style>
  <w:style w:type="paragraph" w:customStyle="1" w:styleId="527">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kern w:val="0"/>
      <w:sz w:val="22"/>
      <w:szCs w:val="22"/>
    </w:rPr>
  </w:style>
  <w:style w:type="paragraph" w:customStyle="1" w:styleId="528">
    <w:name w:val="xl98"/>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eastAsia="Arial Unicode MS"/>
      <w:kern w:val="0"/>
      <w:sz w:val="22"/>
      <w:szCs w:val="22"/>
    </w:rPr>
  </w:style>
  <w:style w:type="paragraph" w:customStyle="1" w:styleId="529">
    <w:name w:val="CM18"/>
    <w:basedOn w:val="1"/>
    <w:next w:val="117"/>
    <w:qFormat/>
    <w:uiPriority w:val="0"/>
    <w:pPr>
      <w:autoSpaceDE w:val="0"/>
      <w:autoSpaceDN w:val="0"/>
      <w:adjustRightInd w:val="0"/>
      <w:spacing w:line="313" w:lineRule="atLeast"/>
      <w:jc w:val="left"/>
    </w:pPr>
    <w:rPr>
      <w:rFonts w:ascii="宋体"/>
      <w:kern w:val="0"/>
      <w:sz w:val="24"/>
    </w:rPr>
  </w:style>
  <w:style w:type="paragraph" w:customStyle="1" w:styleId="530">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531">
    <w:name w:val="Char Char Char Char Char Char Char Char Char Char Char Char Char Char Char Char Char Char Char Char Char Char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532">
    <w:name w:val="xl57"/>
    <w:basedOn w:val="1"/>
    <w:qFormat/>
    <w:uiPriority w:val="0"/>
    <w:pPr>
      <w:widowControl/>
      <w:pBdr>
        <w:top w:val="single" w:color="auto" w:sz="8" w:space="0"/>
        <w:left w:val="single" w:color="auto" w:sz="8" w:space="0"/>
        <w:right w:val="single" w:color="auto" w:sz="4" w:space="0"/>
      </w:pBdr>
      <w:spacing w:before="100" w:beforeAutospacing="1" w:after="100" w:afterAutospacing="1"/>
      <w:jc w:val="center"/>
      <w:textAlignment w:val="center"/>
    </w:pPr>
    <w:rPr>
      <w:rFonts w:hint="eastAsia" w:ascii="楷体_GB2312" w:hAnsi="Arial Unicode MS" w:eastAsia="楷体_GB2312" w:cs="Arial Unicode MS"/>
      <w:kern w:val="0"/>
      <w:sz w:val="24"/>
    </w:rPr>
  </w:style>
  <w:style w:type="paragraph" w:customStyle="1" w:styleId="533">
    <w:name w:val="Legal 2"/>
    <w:basedOn w:val="1"/>
    <w:qFormat/>
    <w:uiPriority w:val="0"/>
    <w:pPr>
      <w:keepNext/>
      <w:tabs>
        <w:tab w:val="left" w:pos="810"/>
      </w:tabs>
      <w:spacing w:after="120"/>
      <w:ind w:left="810" w:hanging="810"/>
      <w:outlineLvl w:val="1"/>
    </w:pPr>
    <w:rPr>
      <w:snapToGrid w:val="0"/>
      <w:kern w:val="0"/>
      <w:sz w:val="24"/>
      <w:szCs w:val="20"/>
      <w:lang w:eastAsia="en-US"/>
    </w:rPr>
  </w:style>
  <w:style w:type="paragraph" w:customStyle="1" w:styleId="534">
    <w:name w:val="xl62"/>
    <w:basedOn w:val="1"/>
    <w:qFormat/>
    <w:uiPriority w:val="0"/>
    <w:pPr>
      <w:widowControl/>
      <w:pBdr>
        <w:left w:val="single" w:color="auto" w:sz="4" w:space="0"/>
        <w:bottom w:val="single" w:color="auto" w:sz="8" w:space="0"/>
      </w:pBdr>
      <w:spacing w:before="100" w:beforeAutospacing="1" w:after="100" w:afterAutospacing="1"/>
      <w:jc w:val="center"/>
    </w:pPr>
    <w:rPr>
      <w:rFonts w:hint="eastAsia" w:ascii="楷体_GB2312" w:hAnsi="Arial Unicode MS" w:eastAsia="楷体_GB2312" w:cs="Arial Unicode MS"/>
      <w:kern w:val="0"/>
      <w:sz w:val="24"/>
    </w:rPr>
  </w:style>
  <w:style w:type="paragraph" w:customStyle="1" w:styleId="535">
    <w:name w:val="CM34"/>
    <w:basedOn w:val="117"/>
    <w:next w:val="117"/>
    <w:qFormat/>
    <w:uiPriority w:val="0"/>
    <w:pPr>
      <w:spacing w:line="398" w:lineRule="atLeast"/>
    </w:pPr>
    <w:rPr>
      <w:rFonts w:ascii="Times New Roman" w:cs="Times New Roman"/>
      <w:color w:val="auto"/>
    </w:rPr>
  </w:style>
  <w:style w:type="paragraph" w:customStyle="1" w:styleId="536">
    <w:name w:val="xl75"/>
    <w:basedOn w:val="1"/>
    <w:qFormat/>
    <w:uiPriority w:val="0"/>
    <w:pPr>
      <w:widowControl/>
      <w:pBdr>
        <w:left w:val="single" w:color="auto" w:sz="8" w:space="0"/>
        <w:bottom w:val="single" w:color="auto" w:sz="8" w:space="0"/>
        <w:right w:val="single" w:color="auto" w:sz="4" w:space="0"/>
      </w:pBdr>
      <w:spacing w:before="100" w:beforeAutospacing="1" w:after="100" w:afterAutospacing="1"/>
      <w:jc w:val="center"/>
    </w:pPr>
    <w:rPr>
      <w:rFonts w:hint="eastAsia" w:ascii="楷体_GB2312" w:hAnsi="Arial Unicode MS" w:eastAsia="楷体_GB2312" w:cs="Arial Unicode MS"/>
      <w:color w:val="FF0000"/>
      <w:kern w:val="0"/>
      <w:sz w:val="22"/>
      <w:szCs w:val="22"/>
    </w:rPr>
  </w:style>
  <w:style w:type="paragraph" w:customStyle="1" w:styleId="537">
    <w:name w:val="Char Char Char"/>
    <w:basedOn w:val="1"/>
    <w:qFormat/>
    <w:uiPriority w:val="0"/>
    <w:pPr>
      <w:ind w:left="432" w:hanging="432"/>
    </w:pPr>
    <w:rPr>
      <w:sz w:val="24"/>
    </w:rPr>
  </w:style>
  <w:style w:type="paragraph" w:customStyle="1" w:styleId="538">
    <w:name w:val="样式 日期 + 黑体 三号"/>
    <w:basedOn w:val="40"/>
    <w:qFormat/>
    <w:uiPriority w:val="0"/>
    <w:pPr>
      <w:spacing w:line="600" w:lineRule="exact"/>
    </w:pPr>
    <w:rPr>
      <w:rFonts w:ascii="黑体" w:hAnsi="黑体" w:eastAsia="黑体"/>
      <w:sz w:val="32"/>
      <w:szCs w:val="24"/>
    </w:rPr>
  </w:style>
  <w:style w:type="paragraph" w:customStyle="1" w:styleId="539">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楷体_GB2312" w:hAnsi="Arial Unicode MS" w:eastAsia="楷体_GB2312" w:cs="Arial Unicode MS"/>
      <w:kern w:val="0"/>
      <w:sz w:val="22"/>
      <w:szCs w:val="22"/>
    </w:rPr>
  </w:style>
  <w:style w:type="paragraph" w:customStyle="1" w:styleId="540">
    <w:name w:val="Char Char Char Char Char Char Char Char Char Char11"/>
    <w:basedOn w:val="1"/>
    <w:qFormat/>
    <w:uiPriority w:val="0"/>
    <w:pPr>
      <w:tabs>
        <w:tab w:val="left" w:pos="425"/>
      </w:tabs>
      <w:ind w:left="425" w:hanging="425"/>
    </w:pPr>
    <w:rPr>
      <w:rFonts w:ascii="Arial" w:hAnsi="Arial" w:eastAsia="黑体" w:cs="宋体"/>
      <w:b/>
      <w:bCs/>
      <w:sz w:val="32"/>
      <w:szCs w:val="32"/>
    </w:rPr>
  </w:style>
  <w:style w:type="paragraph" w:customStyle="1" w:styleId="541">
    <w:name w:val="font8"/>
    <w:basedOn w:val="1"/>
    <w:qFormat/>
    <w:uiPriority w:val="0"/>
    <w:pPr>
      <w:widowControl/>
      <w:spacing w:before="100" w:beforeAutospacing="1" w:after="100" w:afterAutospacing="1"/>
      <w:jc w:val="left"/>
    </w:pPr>
    <w:rPr>
      <w:rFonts w:hint="eastAsia" w:ascii="宋体" w:hAnsi="宋体" w:cs="Arial Unicode MS"/>
      <w:kern w:val="0"/>
      <w:sz w:val="24"/>
    </w:rPr>
  </w:style>
  <w:style w:type="paragraph" w:customStyle="1" w:styleId="542">
    <w:name w:val="Char Char Char Char2"/>
    <w:basedOn w:val="1"/>
    <w:qFormat/>
    <w:uiPriority w:val="0"/>
    <w:pPr>
      <w:widowControl/>
      <w:jc w:val="left"/>
    </w:pPr>
    <w:rPr>
      <w:kern w:val="0"/>
      <w:sz w:val="20"/>
      <w:szCs w:val="20"/>
    </w:rPr>
  </w:style>
  <w:style w:type="paragraph" w:customStyle="1" w:styleId="543">
    <w:name w:val="Char Char Char Char3"/>
    <w:basedOn w:val="1"/>
    <w:qFormat/>
    <w:uiPriority w:val="0"/>
    <w:pPr>
      <w:widowControl/>
      <w:spacing w:after="160" w:line="240" w:lineRule="exact"/>
      <w:jc w:val="left"/>
    </w:pPr>
    <w:rPr>
      <w:rFonts w:ascii="Verdana" w:hAnsi="Verdana" w:cs="Verdana"/>
      <w:color w:val="000000"/>
      <w:kern w:val="0"/>
      <w:szCs w:val="21"/>
    </w:rPr>
  </w:style>
  <w:style w:type="paragraph" w:customStyle="1" w:styleId="544">
    <w:name w:val="xl61"/>
    <w:basedOn w:val="1"/>
    <w:qFormat/>
    <w:uiPriority w:val="0"/>
    <w:pPr>
      <w:widowControl/>
      <w:pBdr>
        <w:left w:val="single" w:color="auto" w:sz="4" w:space="0"/>
        <w:bottom w:val="single" w:color="auto" w:sz="8" w:space="0"/>
        <w:right w:val="single" w:color="auto" w:sz="4" w:space="0"/>
      </w:pBdr>
      <w:spacing w:before="100" w:beforeAutospacing="1" w:after="100" w:afterAutospacing="1"/>
      <w:jc w:val="center"/>
    </w:pPr>
    <w:rPr>
      <w:rFonts w:hint="eastAsia" w:ascii="楷体_GB2312" w:hAnsi="Arial Unicode MS" w:eastAsia="楷体_GB2312" w:cs="Arial Unicode MS"/>
      <w:kern w:val="0"/>
      <w:sz w:val="24"/>
    </w:rPr>
  </w:style>
  <w:style w:type="paragraph" w:customStyle="1" w:styleId="545">
    <w:name w:val="xl74"/>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hint="eastAsia" w:ascii="楷体_GB2312" w:hAnsi="Arial Unicode MS" w:eastAsia="楷体_GB2312" w:cs="Arial Unicode MS"/>
      <w:kern w:val="0"/>
      <w:sz w:val="22"/>
      <w:szCs w:val="22"/>
    </w:rPr>
  </w:style>
  <w:style w:type="paragraph" w:customStyle="1" w:styleId="546">
    <w:name w:val="xl9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eastAsia="Arial Unicode MS"/>
      <w:color w:val="0000FF"/>
      <w:kern w:val="0"/>
      <w:sz w:val="22"/>
      <w:szCs w:val="22"/>
    </w:rPr>
  </w:style>
  <w:style w:type="paragraph" w:customStyle="1" w:styleId="547">
    <w:name w:val="BankNormal"/>
    <w:qFormat/>
    <w:uiPriority w:val="0"/>
    <w:pPr>
      <w:tabs>
        <w:tab w:val="left" w:pos="-720"/>
      </w:tabs>
      <w:suppressAutoHyphens/>
    </w:pPr>
    <w:rPr>
      <w:rFonts w:ascii="CG Times" w:hAnsi="CG Times" w:eastAsia="宋体" w:cs="Times New Roman"/>
      <w:sz w:val="22"/>
      <w:lang w:val="en-US" w:eastAsia="zh-CN" w:bidi="ar-SA"/>
    </w:rPr>
  </w:style>
  <w:style w:type="paragraph" w:customStyle="1" w:styleId="548">
    <w:name w:val="bg1"/>
    <w:basedOn w:val="1"/>
    <w:qFormat/>
    <w:uiPriority w:val="0"/>
    <w:pPr>
      <w:keepNext/>
      <w:widowControl/>
      <w:tabs>
        <w:tab w:val="left" w:pos="425"/>
      </w:tabs>
      <w:autoSpaceDE w:val="0"/>
      <w:autoSpaceDN w:val="0"/>
      <w:adjustRightInd w:val="0"/>
      <w:spacing w:before="240" w:after="120"/>
      <w:ind w:left="1080" w:hanging="1080"/>
      <w:outlineLvl w:val="0"/>
    </w:pPr>
    <w:rPr>
      <w:rFonts w:ascii="Arial Bold" w:hAnsi="Arial Bold"/>
      <w:b/>
      <w:caps/>
      <w:kern w:val="0"/>
      <w:szCs w:val="20"/>
      <w:lang w:val="en-GB"/>
    </w:rPr>
  </w:style>
  <w:style w:type="paragraph" w:customStyle="1" w:styleId="549">
    <w:name w:val="列出段落1"/>
    <w:basedOn w:val="1"/>
    <w:qFormat/>
    <w:uiPriority w:val="0"/>
    <w:pPr>
      <w:ind w:firstLine="420" w:firstLineChars="200"/>
    </w:pPr>
    <w:rPr>
      <w:rFonts w:ascii="Calibri" w:hAnsi="Calibri"/>
      <w:szCs w:val="22"/>
    </w:rPr>
  </w:style>
  <w:style w:type="paragraph" w:customStyle="1" w:styleId="550">
    <w:name w:val="xl79"/>
    <w:basedOn w:val="1"/>
    <w:qFormat/>
    <w:uiPriority w:val="0"/>
    <w:pPr>
      <w:widowControl/>
      <w:pBdr>
        <w:left w:val="single" w:color="auto" w:sz="4" w:space="0"/>
        <w:bottom w:val="single" w:color="auto" w:sz="8" w:space="0"/>
        <w:right w:val="single" w:color="auto" w:sz="8" w:space="0"/>
      </w:pBdr>
      <w:spacing w:before="100" w:beforeAutospacing="1" w:after="100" w:afterAutospacing="1"/>
      <w:jc w:val="left"/>
    </w:pPr>
    <w:rPr>
      <w:rFonts w:eastAsia="Arial Unicode MS"/>
      <w:kern w:val="0"/>
      <w:sz w:val="24"/>
    </w:rPr>
  </w:style>
  <w:style w:type="paragraph" w:customStyle="1" w:styleId="551">
    <w:name w:val="xl66"/>
    <w:basedOn w:val="1"/>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pPr>
    <w:rPr>
      <w:rFonts w:hint="eastAsia" w:ascii="楷体_GB2312" w:hAnsi="Arial Unicode MS" w:eastAsia="楷体_GB2312" w:cs="Arial Unicode MS"/>
      <w:kern w:val="0"/>
      <w:sz w:val="24"/>
    </w:rPr>
  </w:style>
  <w:style w:type="paragraph" w:customStyle="1" w:styleId="552">
    <w:name w:val="不缩进"/>
    <w:basedOn w:val="1"/>
    <w:qFormat/>
    <w:uiPriority w:val="0"/>
    <w:pPr>
      <w:spacing w:line="360" w:lineRule="auto"/>
      <w:jc w:val="center"/>
    </w:pPr>
    <w:rPr>
      <w:rFonts w:ascii="宋体" w:hAnsi="宋体"/>
      <w:szCs w:val="20"/>
    </w:rPr>
  </w:style>
  <w:style w:type="paragraph" w:customStyle="1" w:styleId="553">
    <w:name w:val="Legal 4"/>
    <w:basedOn w:val="1"/>
    <w:next w:val="117"/>
    <w:qFormat/>
    <w:uiPriority w:val="0"/>
    <w:pPr>
      <w:autoSpaceDE w:val="0"/>
      <w:autoSpaceDN w:val="0"/>
      <w:adjustRightInd w:val="0"/>
      <w:spacing w:after="120"/>
      <w:jc w:val="left"/>
    </w:pPr>
    <w:rPr>
      <w:rFonts w:ascii="宋体"/>
      <w:kern w:val="0"/>
      <w:sz w:val="24"/>
    </w:rPr>
  </w:style>
  <w:style w:type="paragraph" w:customStyle="1" w:styleId="554">
    <w:name w:val="xl49"/>
    <w:basedOn w:val="1"/>
    <w:qFormat/>
    <w:uiPriority w:val="0"/>
    <w:pPr>
      <w:widowControl/>
      <w:pBdr>
        <w:left w:val="single" w:color="auto" w:sz="4" w:space="0"/>
        <w:bottom w:val="single" w:color="auto" w:sz="8" w:space="0"/>
        <w:right w:val="single" w:color="auto" w:sz="4" w:space="0"/>
      </w:pBdr>
      <w:spacing w:before="100" w:beforeAutospacing="1" w:after="100" w:afterAutospacing="1"/>
      <w:jc w:val="center"/>
    </w:pPr>
    <w:rPr>
      <w:rFonts w:eastAsia="Arial Unicode MS"/>
      <w:kern w:val="0"/>
      <w:sz w:val="22"/>
      <w:szCs w:val="22"/>
    </w:rPr>
  </w:style>
  <w:style w:type="paragraph" w:customStyle="1" w:styleId="555">
    <w:name w:val="CM6"/>
    <w:basedOn w:val="1"/>
    <w:next w:val="117"/>
    <w:qFormat/>
    <w:uiPriority w:val="0"/>
    <w:pPr>
      <w:autoSpaceDE w:val="0"/>
      <w:autoSpaceDN w:val="0"/>
      <w:adjustRightInd w:val="0"/>
      <w:spacing w:line="318" w:lineRule="atLeast"/>
      <w:jc w:val="left"/>
    </w:pPr>
    <w:rPr>
      <w:rFonts w:ascii="宋体"/>
      <w:kern w:val="0"/>
      <w:sz w:val="24"/>
    </w:rPr>
  </w:style>
  <w:style w:type="paragraph" w:customStyle="1" w:styleId="556">
    <w:name w:val="CM90"/>
    <w:basedOn w:val="1"/>
    <w:next w:val="117"/>
    <w:qFormat/>
    <w:uiPriority w:val="0"/>
    <w:pPr>
      <w:autoSpaceDE w:val="0"/>
      <w:autoSpaceDN w:val="0"/>
      <w:adjustRightInd w:val="0"/>
      <w:jc w:val="left"/>
    </w:pPr>
    <w:rPr>
      <w:rFonts w:ascii="宋体"/>
      <w:kern w:val="0"/>
      <w:sz w:val="24"/>
    </w:rPr>
  </w:style>
  <w:style w:type="paragraph" w:customStyle="1" w:styleId="557">
    <w:name w:val="xl9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eastAsia="Arial Unicode MS"/>
      <w:kern w:val="0"/>
      <w:sz w:val="22"/>
      <w:szCs w:val="22"/>
    </w:rPr>
  </w:style>
  <w:style w:type="paragraph" w:customStyle="1" w:styleId="558">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eastAsia="Arial Unicode MS"/>
      <w:color w:val="0000FF"/>
      <w:kern w:val="0"/>
      <w:sz w:val="22"/>
      <w:szCs w:val="22"/>
    </w:rPr>
  </w:style>
  <w:style w:type="paragraph" w:customStyle="1" w:styleId="559">
    <w:name w:val="CM85"/>
    <w:basedOn w:val="1"/>
    <w:next w:val="117"/>
    <w:qFormat/>
    <w:uiPriority w:val="0"/>
    <w:pPr>
      <w:autoSpaceDE w:val="0"/>
      <w:autoSpaceDN w:val="0"/>
      <w:adjustRightInd w:val="0"/>
      <w:spacing w:line="443" w:lineRule="atLeast"/>
      <w:jc w:val="left"/>
    </w:pPr>
    <w:rPr>
      <w:rFonts w:ascii="宋体"/>
      <w:kern w:val="0"/>
      <w:sz w:val="24"/>
    </w:rPr>
  </w:style>
  <w:style w:type="paragraph" w:customStyle="1" w:styleId="560">
    <w:name w:val="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561">
    <w:name w:val="p12"/>
    <w:basedOn w:val="1"/>
    <w:qFormat/>
    <w:uiPriority w:val="0"/>
    <w:pPr>
      <w:widowControl/>
      <w:spacing w:before="100" w:beforeAutospacing="1" w:after="100" w:afterAutospacing="1"/>
      <w:jc w:val="left"/>
    </w:pPr>
    <w:rPr>
      <w:color w:val="000000"/>
      <w:kern w:val="0"/>
      <w:sz w:val="24"/>
      <w:szCs w:val="20"/>
    </w:rPr>
  </w:style>
  <w:style w:type="paragraph" w:customStyle="1" w:styleId="562">
    <w:name w:val="xl9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eastAsia="Arial Unicode MS"/>
      <w:color w:val="FF00FF"/>
      <w:kern w:val="0"/>
      <w:sz w:val="22"/>
      <w:szCs w:val="22"/>
    </w:rPr>
  </w:style>
  <w:style w:type="paragraph" w:customStyle="1" w:styleId="563">
    <w:name w:val="Char Char Char Char1 Char Char Char Char Char Char1"/>
    <w:basedOn w:val="1"/>
    <w:qFormat/>
    <w:uiPriority w:val="0"/>
    <w:pPr>
      <w:shd w:val="clear" w:color="auto" w:fill="000080"/>
      <w:spacing w:line="436" w:lineRule="exact"/>
    </w:pPr>
    <w:rPr>
      <w:rFonts w:ascii="Tahoma" w:hAnsi="Tahoma"/>
      <w:b/>
      <w:sz w:val="24"/>
    </w:rPr>
  </w:style>
  <w:style w:type="paragraph" w:customStyle="1" w:styleId="564">
    <w:name w:val="CM29"/>
    <w:basedOn w:val="1"/>
    <w:next w:val="117"/>
    <w:qFormat/>
    <w:uiPriority w:val="0"/>
    <w:pPr>
      <w:autoSpaceDE w:val="0"/>
      <w:autoSpaceDN w:val="0"/>
      <w:adjustRightInd w:val="0"/>
      <w:spacing w:line="400" w:lineRule="atLeast"/>
      <w:jc w:val="left"/>
    </w:pPr>
    <w:rPr>
      <w:rFonts w:ascii="宋体"/>
      <w:kern w:val="0"/>
      <w:sz w:val="24"/>
    </w:rPr>
  </w:style>
  <w:style w:type="paragraph" w:customStyle="1" w:styleId="565">
    <w:name w:val="Char Char Char Char Char Char1 Char Char Char Char Char Char Char Char Char1 Char Char Char Char1"/>
    <w:basedOn w:val="1"/>
    <w:qFormat/>
    <w:uiPriority w:val="0"/>
  </w:style>
  <w:style w:type="paragraph" w:customStyle="1" w:styleId="566">
    <w:name w:val="正文文本缩进 22"/>
    <w:basedOn w:val="1"/>
    <w:qFormat/>
    <w:uiPriority w:val="0"/>
    <w:pPr>
      <w:adjustRightInd w:val="0"/>
      <w:ind w:left="570" w:firstLine="555"/>
      <w:textAlignment w:val="baseline"/>
    </w:pPr>
    <w:rPr>
      <w:color w:val="000000"/>
      <w:sz w:val="28"/>
      <w:szCs w:val="20"/>
    </w:rPr>
  </w:style>
  <w:style w:type="paragraph" w:customStyle="1" w:styleId="567">
    <w:name w:val="Pa0"/>
    <w:basedOn w:val="1"/>
    <w:next w:val="1"/>
    <w:qFormat/>
    <w:uiPriority w:val="0"/>
    <w:pPr>
      <w:autoSpaceDE w:val="0"/>
      <w:autoSpaceDN w:val="0"/>
      <w:adjustRightInd w:val="0"/>
      <w:jc w:val="left"/>
    </w:pPr>
    <w:rPr>
      <w:rFonts w:ascii="ATRotisSemiSans-Bold" w:eastAsia="ATRotisSemiSans-Bold"/>
      <w:kern w:val="0"/>
      <w:sz w:val="20"/>
      <w:szCs w:val="20"/>
    </w:rPr>
  </w:style>
  <w:style w:type="paragraph" w:customStyle="1" w:styleId="568">
    <w:name w:val="CM94"/>
    <w:basedOn w:val="1"/>
    <w:next w:val="117"/>
    <w:qFormat/>
    <w:uiPriority w:val="0"/>
    <w:pPr>
      <w:autoSpaceDE w:val="0"/>
      <w:autoSpaceDN w:val="0"/>
      <w:adjustRightInd w:val="0"/>
      <w:spacing w:after="63"/>
      <w:jc w:val="left"/>
    </w:pPr>
    <w:rPr>
      <w:rFonts w:ascii="宋体"/>
      <w:kern w:val="0"/>
      <w:sz w:val="24"/>
    </w:rPr>
  </w:style>
  <w:style w:type="paragraph" w:customStyle="1" w:styleId="569">
    <w:name w:val="空半行"/>
    <w:basedOn w:val="1"/>
    <w:qFormat/>
    <w:uiPriority w:val="0"/>
    <w:pPr>
      <w:adjustRightInd w:val="0"/>
      <w:spacing w:line="120" w:lineRule="exact"/>
      <w:textAlignment w:val="baseline"/>
    </w:pPr>
    <w:rPr>
      <w:rFonts w:eastAsia="仿宋_GB2312"/>
      <w:color w:val="FFFFFF"/>
      <w:kern w:val="0"/>
      <w:sz w:val="30"/>
      <w:szCs w:val="20"/>
    </w:rPr>
  </w:style>
  <w:style w:type="paragraph" w:customStyle="1" w:styleId="570">
    <w:name w:val="xl48"/>
    <w:basedOn w:val="1"/>
    <w:qFormat/>
    <w:uiPriority w:val="0"/>
    <w:pPr>
      <w:widowControl/>
      <w:pBdr>
        <w:left w:val="single" w:color="auto" w:sz="4" w:space="0"/>
        <w:bottom w:val="single" w:color="auto" w:sz="8" w:space="0"/>
        <w:right w:val="single" w:color="auto" w:sz="4" w:space="0"/>
      </w:pBdr>
      <w:spacing w:before="100" w:beforeAutospacing="1" w:after="100" w:afterAutospacing="1"/>
      <w:jc w:val="center"/>
    </w:pPr>
    <w:rPr>
      <w:rFonts w:eastAsia="Arial Unicode MS"/>
      <w:color w:val="FF0000"/>
      <w:kern w:val="0"/>
      <w:sz w:val="24"/>
    </w:rPr>
  </w:style>
  <w:style w:type="paragraph" w:customStyle="1" w:styleId="571">
    <w:name w:val="正文再缩近"/>
    <w:basedOn w:val="1"/>
    <w:qFormat/>
    <w:uiPriority w:val="0"/>
    <w:pPr>
      <w:spacing w:line="440" w:lineRule="exact"/>
      <w:ind w:firstLine="400" w:firstLineChars="400"/>
    </w:pPr>
    <w:rPr>
      <w:rFonts w:ascii="华文细黑" w:hAnsi="华文细黑" w:cs="Arial"/>
      <w:color w:val="FF0000"/>
      <w:kern w:val="0"/>
      <w:szCs w:val="21"/>
    </w:rPr>
  </w:style>
  <w:style w:type="paragraph" w:customStyle="1" w:styleId="572">
    <w:name w:val="xl29"/>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573">
    <w:name w:val="xl72"/>
    <w:basedOn w:val="1"/>
    <w:qFormat/>
    <w:uiPriority w:val="0"/>
    <w:pPr>
      <w:widowControl/>
      <w:pBdr>
        <w:top w:val="single" w:color="auto" w:sz="4" w:space="0"/>
        <w:left w:val="single" w:color="auto" w:sz="8" w:space="0"/>
        <w:right w:val="single" w:color="auto" w:sz="4" w:space="0"/>
      </w:pBdr>
      <w:spacing w:before="100" w:beforeAutospacing="1" w:after="100" w:afterAutospacing="1"/>
      <w:jc w:val="center"/>
    </w:pPr>
    <w:rPr>
      <w:rFonts w:hint="eastAsia" w:ascii="楷体_GB2312" w:hAnsi="Arial Unicode MS" w:eastAsia="楷体_GB2312" w:cs="Arial Unicode MS"/>
      <w:kern w:val="0"/>
      <w:sz w:val="22"/>
      <w:szCs w:val="22"/>
    </w:rPr>
  </w:style>
  <w:style w:type="paragraph" w:customStyle="1" w:styleId="574">
    <w:name w:val="xl9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eastAsia="Arial Unicode MS"/>
      <w:kern w:val="0"/>
      <w:sz w:val="22"/>
      <w:szCs w:val="22"/>
    </w:rPr>
  </w:style>
  <w:style w:type="paragraph" w:customStyle="1" w:styleId="575">
    <w:name w:val="xl34"/>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pPr>
    <w:rPr>
      <w:rFonts w:eastAsia="Arial Unicode MS"/>
      <w:kern w:val="0"/>
      <w:sz w:val="24"/>
    </w:rPr>
  </w:style>
  <w:style w:type="paragraph" w:customStyle="1" w:styleId="576">
    <w:name w:val="Char5"/>
    <w:basedOn w:val="1"/>
    <w:next w:val="1"/>
    <w:qFormat/>
    <w:uiPriority w:val="0"/>
    <w:pPr>
      <w:tabs>
        <w:tab w:val="left" w:pos="845"/>
      </w:tabs>
      <w:spacing w:beforeLines="50" w:afterLines="100" w:line="360" w:lineRule="auto"/>
      <w:ind w:left="1105" w:hanging="748"/>
      <w:jc w:val="center"/>
    </w:pPr>
    <w:rPr>
      <w:kern w:val="0"/>
      <w:sz w:val="24"/>
    </w:rPr>
  </w:style>
  <w:style w:type="paragraph" w:customStyle="1" w:styleId="577">
    <w:name w:val="封面字体4"/>
    <w:basedOn w:val="1"/>
    <w:qFormat/>
    <w:uiPriority w:val="0"/>
    <w:pPr>
      <w:spacing w:line="240" w:lineRule="atLeast"/>
      <w:jc w:val="left"/>
    </w:pPr>
    <w:rPr>
      <w:rFonts w:ascii="华文细黑" w:hAnsi="华文细黑" w:cs="Arial"/>
      <w:b/>
      <w:bCs/>
      <w:spacing w:val="100"/>
      <w:kern w:val="0"/>
      <w:sz w:val="44"/>
      <w:szCs w:val="21"/>
    </w:rPr>
  </w:style>
  <w:style w:type="paragraph" w:customStyle="1" w:styleId="578">
    <w:name w:val="列出段落11"/>
    <w:basedOn w:val="1"/>
    <w:qFormat/>
    <w:uiPriority w:val="0"/>
    <w:pPr>
      <w:ind w:firstLine="420" w:firstLineChars="200"/>
    </w:pPr>
    <w:rPr>
      <w:rFonts w:ascii="Calibri" w:hAnsi="Calibri" w:cs="黑体"/>
      <w:szCs w:val="22"/>
    </w:rPr>
  </w:style>
  <w:style w:type="paragraph" w:customStyle="1" w:styleId="579">
    <w:name w:val="小标题"/>
    <w:basedOn w:val="1"/>
    <w:qFormat/>
    <w:uiPriority w:val="0"/>
    <w:pPr>
      <w:keepNext/>
      <w:tabs>
        <w:tab w:val="left" w:pos="1080"/>
      </w:tabs>
      <w:ind w:left="1080" w:hanging="1080"/>
      <w:outlineLvl w:val="2"/>
    </w:pPr>
    <w:rPr>
      <w:rFonts w:ascii="宋体" w:hAnsi="宋体"/>
      <w:b/>
      <w:bCs/>
      <w:sz w:val="44"/>
      <w:szCs w:val="20"/>
    </w:rPr>
  </w:style>
  <w:style w:type="paragraph" w:customStyle="1" w:styleId="580">
    <w:name w:val="封面样式1"/>
    <w:basedOn w:val="1"/>
    <w:qFormat/>
    <w:uiPriority w:val="0"/>
    <w:pPr>
      <w:spacing w:line="440" w:lineRule="exact"/>
      <w:ind w:firstLine="630" w:firstLineChars="300"/>
      <w:jc w:val="left"/>
    </w:pPr>
    <w:rPr>
      <w:rFonts w:ascii="华文细黑" w:hAnsi="华文细黑" w:cs="Arial"/>
      <w:kern w:val="0"/>
      <w:szCs w:val="21"/>
    </w:rPr>
  </w:style>
  <w:style w:type="paragraph" w:customStyle="1" w:styleId="581">
    <w:name w:val="CM28"/>
    <w:basedOn w:val="1"/>
    <w:next w:val="117"/>
    <w:qFormat/>
    <w:uiPriority w:val="0"/>
    <w:pPr>
      <w:autoSpaceDE w:val="0"/>
      <w:autoSpaceDN w:val="0"/>
      <w:adjustRightInd w:val="0"/>
      <w:jc w:val="left"/>
    </w:pPr>
    <w:rPr>
      <w:rFonts w:ascii="宋体"/>
      <w:kern w:val="0"/>
      <w:sz w:val="24"/>
    </w:rPr>
  </w:style>
  <w:style w:type="paragraph" w:customStyle="1" w:styleId="582">
    <w:name w:val="Document 1"/>
    <w:qFormat/>
    <w:uiPriority w:val="0"/>
    <w:pPr>
      <w:keepNext/>
      <w:keepLines/>
      <w:tabs>
        <w:tab w:val="left" w:pos="-720"/>
      </w:tabs>
      <w:suppressAutoHyphens/>
    </w:pPr>
    <w:rPr>
      <w:rFonts w:ascii="Courier New" w:hAnsi="Courier New" w:eastAsia="宋体" w:cs="Times New Roman"/>
      <w:lang w:val="en-US" w:eastAsia="en-US" w:bidi="ar-SA"/>
    </w:rPr>
  </w:style>
  <w:style w:type="paragraph" w:customStyle="1" w:styleId="583">
    <w:name w:val="Char Char Char Char1 Char Char Char Char Char Char"/>
    <w:basedOn w:val="1"/>
    <w:qFormat/>
    <w:uiPriority w:val="0"/>
    <w:pPr>
      <w:shd w:val="clear" w:color="auto" w:fill="000080"/>
      <w:spacing w:line="436" w:lineRule="exact"/>
    </w:pPr>
    <w:rPr>
      <w:rFonts w:ascii="Tahoma" w:hAnsi="Tahoma"/>
      <w:b/>
      <w:sz w:val="24"/>
    </w:rPr>
  </w:style>
  <w:style w:type="paragraph" w:customStyle="1" w:styleId="584">
    <w:name w:val="bt1bt1"/>
    <w:basedOn w:val="3"/>
    <w:qFormat/>
    <w:uiPriority w:val="0"/>
    <w:pPr>
      <w:spacing w:beforeLines="0" w:afterLines="0" w:line="240" w:lineRule="auto"/>
      <w:ind w:left="0"/>
    </w:pPr>
    <w:rPr>
      <w:rFonts w:ascii="黑体" w:eastAsia="黑体"/>
      <w:b w:val="0"/>
      <w:sz w:val="36"/>
      <w:szCs w:val="36"/>
    </w:rPr>
  </w:style>
  <w:style w:type="paragraph" w:customStyle="1" w:styleId="585">
    <w:name w:val="正文 A"/>
    <w:qFormat/>
    <w:uiPriority w:val="0"/>
    <w:pPr>
      <w:widowControl w:val="0"/>
      <w:jc w:val="both"/>
    </w:pPr>
    <w:rPr>
      <w:rFonts w:ascii="Times New Roman" w:hAnsi="Times New Roman" w:eastAsia="黑体" w:cs="Times New Roman"/>
      <w:color w:val="000000"/>
      <w:kern w:val="2"/>
      <w:sz w:val="21"/>
      <w:szCs w:val="21"/>
      <w:u w:color="000000"/>
      <w:lang w:val="en-US" w:eastAsia="zh-CN" w:bidi="ar-SA"/>
    </w:rPr>
  </w:style>
  <w:style w:type="paragraph" w:customStyle="1" w:styleId="586">
    <w:name w:val="正文 B"/>
    <w:qFormat/>
    <w:uiPriority w:val="0"/>
    <w:rPr>
      <w:rFonts w:hint="eastAsia" w:ascii="Arial Unicode MS" w:hAnsi="Arial Unicode MS" w:eastAsia="宋体" w:cs="Arial Unicode MS"/>
      <w:color w:val="000000"/>
      <w:sz w:val="24"/>
      <w:szCs w:val="24"/>
      <w:lang w:val="en-US" w:eastAsia="zh-CN" w:bidi="ar-SA"/>
    </w:rPr>
  </w:style>
  <w:style w:type="paragraph" w:customStyle="1" w:styleId="587">
    <w:name w:val="纯文本1"/>
    <w:basedOn w:val="1"/>
    <w:qFormat/>
    <w:uiPriority w:val="0"/>
    <w:rPr>
      <w:rFonts w:ascii="宋体" w:hAnsi="Courier New"/>
      <w:color w:val="000000"/>
      <w:szCs w:val="20"/>
    </w:rPr>
  </w:style>
  <w:style w:type="paragraph" w:customStyle="1" w:styleId="588">
    <w:name w:val="首行缩进"/>
    <w:basedOn w:val="1"/>
    <w:autoRedefine/>
    <w:qFormat/>
    <w:uiPriority w:val="0"/>
    <w:pPr>
      <w:ind w:firstLine="480" w:firstLineChars="200"/>
    </w:pPr>
    <w:rPr>
      <w:lang w:val="zh-CN"/>
    </w:rPr>
  </w:style>
  <w:style w:type="paragraph" w:customStyle="1" w:styleId="589">
    <w:name w:val="TOC 标题2"/>
    <w:basedOn w:val="3"/>
    <w:next w:val="1"/>
    <w:qFormat/>
    <w:uiPriority w:val="0"/>
    <w:pPr>
      <w:keepNext/>
      <w:keepLines/>
      <w:widowControl w:val="0"/>
      <w:adjustRightInd/>
      <w:snapToGrid/>
      <w:spacing w:before="260" w:after="260" w:line="413" w:lineRule="auto"/>
    </w:pPr>
    <w:rPr>
      <w:rFonts w:ascii="宋体" w:hAnsi="宋体" w:eastAsia="宋体" w:cs="Times New Roman"/>
      <w:sz w:val="36"/>
      <w:szCs w:val="44"/>
      <w:lang w:val="zh-CN"/>
    </w:rPr>
  </w:style>
  <w:style w:type="paragraph" w:customStyle="1" w:styleId="590">
    <w:name w:val="table"/>
    <w:qFormat/>
    <w:uiPriority w:val="0"/>
    <w:pPr>
      <w:framePr w:hSpace="180" w:wrap="around" w:vAnchor="text" w:hAnchor="margin" w:y="1418"/>
      <w:adjustRightInd w:val="0"/>
      <w:snapToGrid w:val="0"/>
    </w:pPr>
    <w:rPr>
      <w:rFonts w:ascii="宋体" w:hAnsi="Calibri" w:eastAsia="宋体" w:cs="Times New Roman"/>
      <w:kern w:val="2"/>
      <w:sz w:val="24"/>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7" Type="http://schemas.openxmlformats.org/officeDocument/2006/relationships/fontTable" Target="fontTable.xml"/><Relationship Id="rId26" Type="http://schemas.openxmlformats.org/officeDocument/2006/relationships/customXml" Target="../customXml/item3.xml"/><Relationship Id="rId25" Type="http://schemas.openxmlformats.org/officeDocument/2006/relationships/customXml" Target="../customXml/item2.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theme" Target="theme/theme1.xml"/><Relationship Id="rId21" Type="http://schemas.openxmlformats.org/officeDocument/2006/relationships/footer" Target="footer13.xml"/><Relationship Id="rId20" Type="http://schemas.openxmlformats.org/officeDocument/2006/relationships/footer" Target="footer12.xml"/><Relationship Id="rId2" Type="http://schemas.openxmlformats.org/officeDocument/2006/relationships/settings" Target="settings.xml"/><Relationship Id="rId19" Type="http://schemas.openxmlformats.org/officeDocument/2006/relationships/header" Target="header6.xml"/><Relationship Id="rId18" Type="http://schemas.openxmlformats.org/officeDocument/2006/relationships/header" Target="header5.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header" Target="header4.xml"/><Relationship Id="rId14" Type="http://schemas.openxmlformats.org/officeDocument/2006/relationships/header" Target="header3.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271a4306-643f-4de5-a0f2-644fb4e29f3c</errorID>
      <errorWord>为*. </errorWord>
      <group>L1_Grammar</group>
      <groupName>语法问题</groupName>
      <ability>L2_Grammar</ability>
      <abilityName>语法错误</abilityName>
      <candidateList>
        <item>为</item>
      </candidateList>
      <explain/>
      <paraID>32914C21</paraID>
      <start>49</start>
      <end>50</end>
      <status>modified</status>
      <modifiedWord>为</modifiedWord>
      <trackRevisions>false</trackRevisions>
    </reviewItem>
    <reviewItem>
      <errorID>7e3e2a4a-6704-48de-b549-e86c4ca159dd</errorID>
      <errorWord>了数字证书（CA）</errorWord>
      <group>L1_Grammar</group>
      <groupName>语法问题</groupName>
      <ability>L2_Grammar</ability>
      <abilityName>语法错误</abilityName>
      <candidateList>
        <item>了</item>
      </candidateList>
      <explain/>
      <paraID>5AB91F8B</paraID>
      <start>85</start>
      <end>94</end>
      <status>unmodified</status>
      <modifiedWord/>
      <trackRevisions>false</trackRevisions>
    </reviewItem>
    <reviewItem>
      <errorID>2560e48b-9a2c-4f5a-ac75-35f5b3c203fc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3F81A1FA</paraID>
      <start>133</start>
      <end>134</end>
      <status>ignored</status>
      <modifiedWord/>
      <trackRevisions>false</trackRevisions>
    </reviewItem>
    <reviewItem>
      <errorID>9ccd7f91-28e6-4244-81c7-d2aaab46ef4e</errorID>
      <errorWord>-T50358</errorWord>
      <group>L1_Word</group>
      <groupName>字词问题</groupName>
      <ability>L2_Typo</ability>
      <abilityName>字词错误</abilityName>
      <candidateList>
        <item>/T 50358</item>
      </candidateList>
      <explain/>
      <paraID>581C0502</paraID>
      <start>28</start>
      <end>36</end>
      <status>modified</status>
      <modifiedWord>/T 50358</modifiedWord>
      <trackRevisions>false</trackRevisions>
    </reviewItem>
    <reviewItem>
      <errorID>1a649ff2-2c2d-445b-9d6f-1dccc44a801c</errorID>
      <errorWord>一次性</errorWord>
      <group>L1_Punc</group>
      <groupName>标点问题</groupName>
      <ability>L2_Punc_CN</ability>
      <abilityName>标点符号问题</abilityName>
      <candidateList>
        <item>，一次性</item>
      </candidateList>
      <explain/>
      <paraID>581C0502</paraID>
      <start>61</start>
      <end>65</end>
      <status>modified</status>
      <modifiedWord>，一次性</modifiedWord>
      <trackRevisions>false</trackRevisions>
    </reviewItem>
    <reviewItem>
      <errorID>8249814b-426d-44db-89aa-6185493405aa</errorID>
      <errorWord>或</errorWord>
      <group>L1_Grammar</group>
      <groupName>语法问题</groupName>
      <ability>L2_Grammar</ability>
      <abilityName>语法错误</abilityName>
      <candidateList>
        <item>工程师或</item>
      </candidateList>
      <explain/>
      <paraID>10D7394A</paraID>
      <start>31</start>
      <end>35</end>
      <status>modified</status>
      <modifiedWord>工程师或</modifiedWord>
      <trackRevisions>false</trackRevisions>
    </reviewItem>
    <reviewItem>
      <errorID>4a1b68a5-9a5c-4ece-82e6-9e897e65d669</errorID>
      <errorWord>证书</errorWord>
      <group>L1_Grammar</group>
      <groupName>语法问题</groupName>
      <ability>L2_Grammar</ability>
      <abilityName>语法错误</abilityName>
      <candidateList>
        <item>工程师证书</item>
      </candidateList>
      <explain/>
      <paraID>10D7394A</paraID>
      <start>39</start>
      <end>44</end>
      <status>modified</status>
      <modifiedWord>工程师证书</modifiedWord>
      <trackRevisions>false</trackRevisions>
    </reviewItem>
    <reviewItem>
      <errorID>f1e81f82-757f-4f20-a51b-a3c80537dbc3</errorID>
      <errorWord>考核证</errorWord>
      <group>L1_Word</group>
      <groupName>字词问题</groupName>
      <ability>L2_Typo</ability>
      <abilityName>字词错误</abilityName>
      <candidateList>
        <item>考核</item>
      </candidateList>
      <explain/>
      <paraID>4C5B0132</paraID>
      <start>61</start>
      <end>63</end>
      <status>modified</status>
      <modifiedWord>考核</modifiedWord>
      <trackRevisions>false</trackRevisions>
    </reviewItem>
    <reviewItem>
      <errorID>2d909be8-2fdd-4d68-a548-ab74602720df</errorID>
      <errorWord>各方）（1</errorWord>
      <group>L1_Grammar</group>
      <groupName>语法问题</groupName>
      <ability>L2_Grammar</ability>
      <abilityName>语法错误</abilityName>
      <candidateList>
        <item>各方</item>
      </candidateList>
      <explain/>
      <paraID>3DE5A544</paraID>
      <start>17</start>
      <end>22</end>
      <status>unmodified</status>
      <modifiedWord/>
      <trackRevisions>false</trackRevisions>
    </reviewItem>
    <reviewItem>
      <errorID>d89c00db-00b8-4511-a518-b66fe7a777d8</errorID>
      <errorWord>，</errorWord>
      <group>L1_Punc</group>
      <groupName>标点问题</groupName>
      <ability>L2_Punc_CN</ability>
      <abilityName>标点符号问题</abilityName>
      <candidateList>
        <item>、</item>
      </candidateList>
      <explain/>
      <paraID>3DE5A544</paraID>
      <start>35</start>
      <end>36</end>
      <status>unmodified</status>
      <modifiedWord/>
      <trackRevisions>false</trackRevisions>
    </reviewItem>
    <reviewItem>
      <errorID>9d4413e9-eec9-4542-8f02-533cb0b10feb</errorID>
      <errorWord>，</errorWord>
      <group>L1_Punc</group>
      <groupName>标点问题</groupName>
      <ability>L2_Punc_CN</ability>
      <abilityName>标点符号问题</abilityName>
      <candidateList>
        <item>、</item>
      </candidateList>
      <explain/>
      <paraID>3DE5A544</paraID>
      <start>43</start>
      <end>44</end>
      <status>unmodified</status>
      <modifiedWord/>
      <trackRevisions>false</trackRevisions>
    </reviewItem>
    <reviewItem>
      <errorID>dc91d2a1-e64d-49c9-9e94-0cdba9470b5e</errorID>
      <errorWord>当日</errorWord>
      <group>L1_Punc</group>
      <groupName>标点问题</groupName>
      <ability>L2_Punc_CN</ability>
      <abilityName>标点符号问题</abilityName>
      <candidateList>
        <item>（当日</item>
      </candidateList>
      <explain/>
      <paraID>6210E258</paraID>
      <start>160</start>
      <end>162</end>
      <status>unmodified</status>
      <modifiedWord/>
      <trackRevisions>false</trackRevisions>
    </reviewItem>
    <reviewItem>
      <errorID>905378d7-0af0-4054-95e9-07a6de34d108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6210E258</paraID>
      <start>162</start>
      <end>163</end>
      <status>ignored</status>
      <modifiedWord/>
      <trackRevisions>false</trackRevisions>
    </reviewItem>
    <reviewItem>
      <errorID>2071c7df-0f14-4921-a905-96e326328040</errorID>
      <errorWord>日内有效</errorWord>
      <group>L1_Grammar</group>
      <groupName>语法问题</groupName>
      <ability>L2_Grammar</ability>
      <abilityName>语法错误</abilityName>
      <candidateList>
        <item>日</item>
      </candidateList>
      <explain/>
      <paraID>6210E258</paraID>
      <start>216</start>
      <end>220</end>
      <status>unmodified</status>
      <modifiedWord/>
      <trackRevisions>false</trackRevisions>
    </reviewItem>
    <reviewItem>
      <errorID>69c6a796-476c-4798-871b-ca27e5211241</errorID>
      <errorWord>不予以</errorWord>
      <group>L1_Word</group>
      <groupName>字词问题</groupName>
      <ability>L2_Typo</ability>
      <abilityName>字词错误</abilityName>
      <candidateList>
        <item>不予</item>
      </candidateList>
      <explain/>
      <paraID>6210E258</paraID>
      <start>409</start>
      <end>411</end>
      <status>modified</status>
      <modifiedWord>不予</modifiedWord>
      <trackRevisions>false</trackRevisions>
    </reviewItem>
    <reviewItem>
      <errorID>52d750af-05c6-4604-837c-b7e0067da26e</errorID>
      <errorWord>并</errorWord>
      <group>L1_Word</group>
      <groupName>字词问题</groupName>
      <ability>L2_Typo</ability>
      <abilityName>字词错误</abilityName>
      <candidateList>
        <item>并且</item>
      </candidateList>
      <explain/>
      <paraID>232AC8BD</paraID>
      <start>18</start>
      <end>20</end>
      <status>modified</status>
      <modifiedWord>并且</modifiedWord>
      <trackRevisions>false</trackRevisions>
    </reviewItem>
    <reviewItem>
      <errorID>600801b6-aedb-438d-94e0-10dadf99beac</errorID>
      <errorWord>、</errorWord>
      <group>L1_Punc</group>
      <groupName>标点问题</groupName>
      <ability>L2_Punc_CN</ability>
      <abilityName>标点符号问题</abilityName>
      <candidateList>
        <item>. </item>
      </candidateList>
      <explain/>
      <paraID>7F60A96C</paraID>
      <start>3</start>
      <end>5</end>
      <status>modified</status>
      <modifiedWord>. </modifiedWord>
      <trackRevisions>false</trackRevisions>
    </reviewItem>
    <reviewItem>
      <errorID>9356bb54-4a87-4d50-b4a9-d0744733d925</errorID>
      <errorWord>在</errorWord>
      <group>L1_Punc</group>
      <groupName>标点问题</groupName>
      <ability>L2_Punc_CN</ability>
      <abilityName>标点符号问题</abilityName>
      <candidateList>
        <item>，在</item>
      </candidateList>
      <explain/>
      <paraID>7F60A96C</paraID>
      <start>32</start>
      <end>34</end>
      <status>modified</status>
      <modifiedWord>，在</modifiedWord>
      <trackRevisions>false</trackRevisions>
    </reviewItem>
    <reviewItem>
      <errorID>cfd26288-7787-475e-96d6-ce0a12fce63e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3C22065F</paraID>
      <start>0</start>
      <end>2</end>
      <status>ignored</status>
      <modifiedWord/>
      <trackRevisions>false</trackRevisions>
    </reviewItem>
    <reviewItem>
      <errorID>908f7873-a8f0-4582-a849-ec6be1f6f147</errorID>
      <errorWord>在</errorWord>
      <group>L1_Punc</group>
      <groupName>标点问题</groupName>
      <ability>L2_Punc_CN</ability>
      <abilityName>标点符号问题</abilityName>
      <candidateList>
        <item>，在</item>
      </candidateList>
      <explain/>
      <paraID>3C22065F</paraID>
      <start>17</start>
      <end>19</end>
      <status>modified</status>
      <modifiedWord>，在</modifiedWord>
      <trackRevisions>false</trackRevisions>
    </reviewItem>
    <reviewItem>
      <errorID>42abd037-247b-4891-ade6-8ee72360ec3d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2831EA1</paraID>
      <start>0</start>
      <end>2</end>
      <status>ignored</status>
      <modifiedWord/>
      <trackRevisions>false</trackRevisions>
    </reviewItem>
    <reviewItem>
      <errorID>1463d183-2678-40ba-9944-f5fecdbab5fd</errorID>
      <errorWord>-T50358</errorWord>
      <group>L1_Word</group>
      <groupName>字词问题</groupName>
      <ability>L2_Typo</ability>
      <abilityName>字词错误</abilityName>
      <candidateList>
        <item>/T 50358</item>
      </candidateList>
      <explain/>
      <paraID>66838245</paraID>
      <start>20</start>
      <end>28</end>
      <status>modified</status>
      <modifiedWord>/T 50358</modifiedWord>
      <trackRevisions>false</trackRevisions>
    </reviewItem>
    <reviewItem>
      <errorID>d15a5fa5-c369-42b0-9995-162ff8fea3ce</errorID>
      <errorWord>一次性</errorWord>
      <group>L1_Punc</group>
      <groupName>标点问题</groupName>
      <ability>L2_Punc_CN</ability>
      <abilityName>标点符号问题</abilityName>
      <candidateList>
        <item>，一次性</item>
      </candidateList>
      <explain/>
      <paraID>66838245</paraID>
      <start>53</start>
      <end>57</end>
      <status>modified</status>
      <modifiedWord>，一次性</modifiedWord>
      <trackRevisions>false</trackRevisions>
    </reviewItem>
    <reviewItem>
      <errorID>385a4a9c-e316-440b-846f-c7a3dd40e74b</errorID>
      <errorWord>24</errorWord>
      <group>L1_Grammar</group>
      <groupName>语法问题</groupName>
      <ability>L2_Grammar</ability>
      <abilityName>语法错误</abilityName>
      <candidateList>
        <item>，为24</item>
      </candidateList>
      <explain/>
      <paraID>66838245</paraID>
      <start>81</start>
      <end>83</end>
      <status>unmodified</status>
      <modifiedWord/>
      <trackRevisions>false</trackRevisions>
    </reviewItem>
    <reviewItem>
      <errorID>ebedb821-696b-4a2f-b650-e4df3b55afa1</errorID>
      <errorWord>规费</errorWord>
      <group>L1_Punc</group>
      <groupName>标点问题</groupName>
      <ability>L2_Punc_CN</ability>
      <abilityName>标点符号问题</abilityName>
      <candidateList>
        <item>－规费</item>
      </candidateList>
      <explain/>
      <paraID>1E064DFA</paraID>
      <start>484</start>
      <end>487</end>
      <status>modified</status>
      <modifiedWord>－规费</modifiedWord>
      <trackRevisions>false</trackRevisions>
    </reviewItem>
    <reviewItem>
      <errorID>b1d22a8a-3b4c-4cf9-a401-d6bf5fda23e9</errorID>
      <errorWord>递交</errorWord>
      <group>L1_Word</group>
      <groupName>字词问题</groupName>
      <ability>L2_Typo</ability>
      <abilityName>字词错误</abilityName>
      <candidateList>
        <item>自递交</item>
      </candidateList>
      <explain/>
      <paraID>64B3BA46</paraID>
      <start>0</start>
      <end>3</end>
      <status>modified</status>
      <modifiedWord>自递交</modifiedWord>
      <trackRevisions>false</trackRevisions>
    </reviewItem>
    <reviewItem>
      <errorID>b4386978-64c3-4a87-9077-912b87a99f7e</errorID>
      <errorWord>或</errorWord>
      <group>L1_Word</group>
      <groupName>字词问题</groupName>
      <ability>L2_Typo</ability>
      <abilityName>字词错误</abilityName>
      <candidateList>
        <item>、</item>
      </candidateList>
      <explain/>
      <paraID>64643CC2</paraID>
      <start>21</start>
      <end>22</end>
      <status>unmodified</status>
      <modifiedWord/>
      <trackRevisions>false</trackRevisions>
    </reviewItem>
    <reviewItem>
      <errorID>4239d160-342c-48c3-830d-64ce9878e8bd</errorID>
      <errorWord>在</errorWord>
      <group>L1_Punc</group>
      <groupName>标点问题</groupName>
      <ability>L2_Punc_CN</ability>
      <abilityName>标点符号问题</abilityName>
      <candidateList>
        <item>，在</item>
      </candidateList>
      <explain/>
      <paraID>18EDD3B3</paraID>
      <start>31</start>
      <end>32</end>
      <status>unmodified</status>
      <modifiedWord/>
      <trackRevisions>false</trackRevisions>
    </reviewItem>
    <reviewItem>
      <errorID>e93fdcb2-0725-4b02-85be-bb84ba1ab80a</errorID>
      <errorWord>依次</errorWord>
      <group>L1_Punc</group>
      <groupName>标点问题</groupName>
      <ability>L2_Punc_CN</ability>
      <abilityName>标点符号问题</abilityName>
      <candidateList>
        <item>，依次</item>
      </candidateList>
      <explain/>
      <paraID>499952D5</paraID>
      <start>113</start>
      <end>115</end>
      <status>unmodified</status>
      <modifiedWord/>
      <trackRevisions>false</trackRevisions>
    </reviewItem>
    <reviewItem>
      <errorID>6f473fc7-568a-4ea1-bcf2-5c1a10ede665</errorID>
      <errorWord>或</errorWord>
      <group>L1_Punc</group>
      <groupName>标点问题</groupName>
      <ability>L2_Punc_CN</ability>
      <abilityName>标点符号问题</abilityName>
      <candidateList>
        <item>，或</item>
      </candidateList>
      <explain/>
      <paraID>499952D5</paraID>
      <start>117</start>
      <end>118</end>
      <status>unmodified</status>
      <modifiedWord/>
      <trackRevisions>false</trackRevisions>
    </reviewItem>
    <reviewItem>
      <errorID>9884ac51-d140-4377-82c8-c17c1cf163b7</errorID>
      <errorWord>“</errorWord>
      <group>L1_Punc</group>
      <groupName>标点问题</groupName>
      <ability>L2_Punc_CN</ability>
      <abilityName>标点符号问题</abilityName>
      <candidateList>
        <item/>
      </candidateList>
      <explain/>
      <paraID>2FD9E02B</paraID>
      <start>25</start>
      <end>26</end>
      <status>unmodified</status>
      <modifiedWord/>
      <trackRevisions>false</trackRevisions>
    </reviewItem>
    <reviewItem>
      <errorID>fe72bd25-24df-4df4-95b4-4f3ad4bb8af8</errorID>
      <errorWord>》”文件</errorWord>
      <group>L1_Grammar</group>
      <groupName>语法问题</groupName>
      <ability>L2_Grammar</ability>
      <abilityName>语法错误</abilityName>
      <candidateList>
        <item>》</item>
      </candidateList>
      <explain/>
      <paraID>2FD9E02B</paraID>
      <start>59</start>
      <end>63</end>
      <status>unmodified</status>
      <modifiedWord/>
      <trackRevisions>false</trackRevisions>
    </reviewItem>
    <reviewItem>
      <errorID>cefc2d21-0df5-41f3-88d3-0dfe9f91b68a</errorID>
      <errorWord>承包</errorWord>
      <group>L1_Word</group>
      <groupName>字词问题</groupName>
      <ability>L2_Typo</ability>
      <abilityName>字词错误</abilityName>
      <candidateList>
        <item> 承包</item>
      </candidateList>
      <explain/>
      <paraID>4A58A01C</paraID>
      <start>5</start>
      <end>7</end>
      <status>unmodified</status>
      <modifiedWord/>
      <trackRevisions>false</trackRevisions>
    </reviewItem>
    <reviewItem>
      <errorID>e2a2e231-28a1-406d-b5e0-af369c7fa9bd</errorID>
      <errorWord>费用</errorWord>
      <group>L1_Word</group>
      <groupName>字词问题</groupName>
      <ability>L2_Typo</ability>
      <abilityName>字词错误</abilityName>
      <candidateList>
        <item> 费用</item>
      </candidateList>
      <explain/>
      <paraID>67E37FA4</paraID>
      <start>3</start>
      <end>5</end>
      <status>unmodified</status>
      <modifiedWord/>
      <trackRevisions>false</trackRevisions>
    </reviewItem>
    <reviewItem>
      <errorID>94264858-0067-41ec-99c2-6dd83605d490</errorID>
      <errorWord>招标</errorWord>
      <group>L1_Word</group>
      <groupName>字词问题</groupName>
      <ability>L2_Typo</ability>
      <abilityName>字词错误</abilityName>
      <candidateList>
        <item> 招标</item>
      </candidateList>
      <explain/>
      <paraID>2D98011E</paraID>
      <start>2</start>
      <end>4</end>
      <status>unmodified</status>
      <modifiedWord/>
      <trackRevisions>false</trackRevisions>
    </reviewItem>
    <reviewItem>
      <errorID>40679d13-52ee-46b3-a9bc-e95e4ffb38fd</errorID>
      <errorWord>同</errorWord>
      <group>L1_Word</group>
      <groupName>字词问题</groupName>
      <ability>L2_Typo</ability>
      <abilityName>字词错误</abilityName>
      <candidateList>
        <item> 同</item>
      </candidateList>
      <explain/>
      <paraID>22897F51</paraID>
      <start>5</start>
      <end>6</end>
      <status>unmodified</status>
      <modifiedWord/>
      <trackRevisions>false</trackRevisions>
    </reviewItem>
    <reviewItem>
      <errorID>c8f4ecbe-2345-4dda-80f8-e9ef6204411d</errorID>
      <errorWord>投标</errorWord>
      <group>L1_Word</group>
      <groupName>字词问题</groupName>
      <ability>L2_Typo</ability>
      <abilityName>字词错误</abilityName>
      <candidateList>
        <item> 投标</item>
      </candidateList>
      <explain/>
      <paraID>5C36769B</paraID>
      <start>5</start>
      <end>7</end>
      <status>unmodified</status>
      <modifiedWord/>
      <trackRevisions>false</trackRevisions>
    </reviewItem>
    <reviewItem>
      <errorID>26691e27-410d-4233-8775-25cf452f99bc</errorID>
      <errorWord>招标</errorWord>
      <group>L1_Word</group>
      <groupName>字词问题</groupName>
      <ability>L2_Typo</ability>
      <abilityName>字词错误</abilityName>
      <candidateList>
        <item> 招标</item>
      </candidateList>
      <explain/>
      <paraID>10B2CF96</paraID>
      <start>5</start>
      <end>7</end>
      <status>unmodified</status>
      <modifiedWord/>
      <trackRevisions>false</trackRevisions>
    </reviewItem>
    <reviewItem>
      <errorID>7f3a4bc2-2853-4685-99f1-49c459da1aa6</errorID>
      <errorWord>在</errorWord>
      <group>L1_Word</group>
      <groupName>字词问题</groupName>
      <ability>L2_Typo</ability>
      <abilityName>字词错误</abilityName>
      <candidateList>
        <item> 在</item>
      </candidateList>
      <explain/>
      <paraID>79FBEF09</paraID>
      <start>5</start>
      <end>6</end>
      <status>unmodified</status>
      <modifiedWord/>
      <trackRevisions>false</trackRevisions>
    </reviewItem>
    <reviewItem>
      <errorID>b3148bb3-d53c-41b9-9067-b380c25d212c</errorID>
      <errorWord>确实</errorWord>
      <group>L1_Word</group>
      <groupName>字词问题</groupName>
      <ability>L2_Typo</ability>
      <abilityName>字词错误</abilityName>
      <candidateList>
        <item>若确实</item>
      </candidateList>
      <explain/>
      <paraID>79FBEF09</paraID>
      <start>17</start>
      <end>20</end>
      <status>modified</status>
      <modifiedWord>若确实</modifiedWord>
      <trackRevisions>false</trackRevisions>
    </reviewItem>
    <reviewItem>
      <errorID>fab2dc56-2b10-412c-8478-8d6abf8eacd1</errorID>
      <errorWord>内容的</errorWord>
      <group>L1_Word</group>
      <groupName>字词问题</groupName>
      <ability>L2_Typo</ability>
      <abilityName>字词错误</abilityName>
      <candidateList>
        <item>内容</item>
      </candidateList>
      <explain/>
      <paraID>79FBEF09</paraID>
      <start>28</start>
      <end>30</end>
      <status>modified</status>
      <modifiedWord>内容</modifiedWord>
      <trackRevisions>false</trackRevisions>
    </reviewItem>
    <reviewItem>
      <errorID>b31c7c4a-e55f-4534-b5d6-ef5c9e72ba0a</errorID>
      <errorWord>做出</errorWord>
      <group>L1_Word</group>
      <groupName>字词问题</groupName>
      <ability>L2_Typo</ability>
      <abilityName>字词错误</abilityName>
      <candidateList>
        <item>作出</item>
      </candidateList>
      <explain/>
      <paraID> 3EA04AC</paraID>
      <start>8</start>
      <end>10</end>
      <status>modified</status>
      <modifiedWord>作出</modifiedWord>
      <trackRevisions>false</trackRevisions>
    </reviewItem>
    <reviewItem>
      <errorID>b7f3bee6-6bb3-4bfa-a859-c008dcd1f06c</errorID>
      <errorWord>以</errorWord>
      <group>L1_Punc</group>
      <groupName>标点问题</groupName>
      <ability>L2_Punc_CN</ability>
      <abilityName>标点符号问题</abilityName>
      <candidateList>
        <item>，以</item>
      </candidateList>
      <explain/>
      <paraID> 3EA04AC</paraID>
      <start>45</start>
      <end>47</end>
      <status>modified</status>
      <modifiedWord>，以</modifiedWord>
      <trackRevisions>false</trackRevisions>
    </reviewItem>
    <reviewItem>
      <errorID>4c960344-0a59-4e88-9db8-515c7eb2ccaf</errorID>
      <errorWord>投标人</errorWord>
      <group>L1_Word</group>
      <groupName>字词问题</groupName>
      <ability>L2_Typo</ability>
      <abilityName>字词错误</abilityName>
      <candidateList>
        <item> 投标人</item>
      </candidateList>
      <explain/>
      <paraID>37E5D481</paraID>
      <start>5</start>
      <end>9</end>
      <status>modified</status>
      <modifiedWord> 投标人</modifiedWord>
      <trackRevisions>false</trackRevisions>
    </reviewItem>
    <reviewItem>
      <errorID>1f781906-ca16-4734-9b01-df33b1616e84</errorID>
      <errorWord>收取</errorWord>
      <group>L1_Word</group>
      <groupName>字词问题</groupName>
      <ability>L2_Typo</ability>
      <abilityName>字词错误</abilityName>
      <candidateList>
        <item>获取</item>
      </candidateList>
      <explain/>
      <paraID>37E5D481</paraID>
      <start>25</start>
      <end>27</end>
      <status>modified</status>
      <modifiedWord>获取</modifiedWord>
      <trackRevisions>false</trackRevisions>
    </reviewItem>
    <reviewItem>
      <errorID>fe6cc637-b243-4cca-9004-0d55f5788d80</errorID>
      <errorWord>提出</errorWord>
      <group>L1_Grammar</group>
      <groupName>语法问题</groupName>
      <ability>L2_Grammar</ability>
      <abilityName>语法错误</abilityName>
      <candidateList>
        <item>提出异议</item>
      </candidateList>
      <explain/>
      <paraID>45E673F0</paraID>
      <start>42</start>
      <end>44</end>
      <status>unmodified</status>
      <modifiedWord/>
      <trackRevisions>false</trackRevisions>
    </reviewItem>
    <reviewItem>
      <errorID>c1f6b3c1-7435-4c82-9822-28f31af5d364</errorID>
      <errorWord>招标</errorWord>
      <group>L1_Word</group>
      <groupName>字词问题</groupName>
      <ability>L2_Typo</ability>
      <abilityName>字词错误</abilityName>
      <candidateList>
        <item> 招标</item>
      </candidateList>
      <explain/>
      <paraID>5C508D25</paraID>
      <start>5</start>
      <end>7</end>
      <status>unmodified</status>
      <modifiedWord/>
      <trackRevisions>false</trackRevisions>
    </reviewItem>
    <reviewItem>
      <errorID>b1e872fe-6297-471e-bc47-a9422159df1d</errorID>
      <errorWord>，</errorWord>
      <group>L1_Punc</group>
      <groupName>标点问题</groupName>
      <ability>L2_Punc_CN</ability>
      <abilityName>标点符号问题</abilityName>
      <candidateList>
        <item>。</item>
      </candidateList>
      <explain/>
      <paraID>5C508D25</paraID>
      <start>36</start>
      <end>37</end>
      <status>unmodified</status>
      <modifiedWord/>
      <trackRevisions>false</trackRevisions>
    </reviewItem>
    <reviewItem>
      <errorID>220e9562-3d69-4f17-a71a-5c5a72e5db2e</errorID>
      <errorWord>为准</errorWord>
      <group>L1_Grammar</group>
      <groupName>语法问题</groupName>
      <ability>L2_Grammar</ability>
      <abilityName>语法错误</abilityName>
      <candidateList>
        <item>文件为准</item>
      </candidateList>
      <explain/>
      <paraID>5C508D25</paraID>
      <start>72</start>
      <end>76</end>
      <status>modified</status>
      <modifiedWord>文件为准</modifiedWord>
      <trackRevisions>false</trackRevisions>
    </reviewItem>
    <reviewItem>
      <errorID>4cf4efc8-1506-4c37-abee-2e9fde5e1631</errorID>
      <errorWord>投标</errorWord>
      <group>L1_Word</group>
      <groupName>字词问题</groupName>
      <ability>L2_Typo</ability>
      <abilityName>字词错误</abilityName>
      <candidateList>
        <item> 投标</item>
      </candidateList>
      <explain/>
      <paraID>4BCB0718</paraID>
      <start>3</start>
      <end>5</end>
      <status>unmodified</status>
      <modifiedWord/>
      <trackRevisions>false</trackRevisions>
    </reviewItem>
    <reviewItem>
      <errorID>f2659cf4-80b2-4d69-a09b-2a5ccd6290dd</errorID>
      <errorWord>如</errorWord>
      <group>L1_Word</group>
      <groupName>字词问题</groupName>
      <ability>L2_Typo</ability>
      <abilityName>字词错误</abilityName>
      <candidateList>
        <item> 如</item>
      </candidateList>
      <explain/>
      <paraID>11978188</paraID>
      <start>5</start>
      <end>6</end>
      <status>unmodified</status>
      <modifiedWord/>
      <trackRevisions>false</trackRevisions>
    </reviewItem>
    <reviewItem>
      <errorID>84a70542-a833-4aad-971a-3f488ab17dbe</errorID>
      <errorWord>或</errorWord>
      <group>L1_Punc</group>
      <groupName>标点问题</groupName>
      <ability>L2_Punc_CN</ability>
      <abilityName>标点符号问题</abilityName>
      <candidateList>
        <item>，或</item>
      </candidateList>
      <explain/>
      <paraID>11978188</paraID>
      <start>26</start>
      <end>27</end>
      <status>unmodified</status>
      <modifiedWord/>
      <trackRevisions>false</trackRevisions>
    </reviewItem>
    <reviewItem>
      <errorID>6b04bce1-6086-4957-92f8-2b5b08a16bb8</errorID>
      <errorWord>导入</errorWord>
      <group>L1_Punc</group>
      <groupName>标点问题</groupName>
      <ability>L2_Punc_CN</ability>
      <abilityName>标点符号问题</abilityName>
      <candidateList>
        <item>、导入</item>
      </candidateList>
      <explain/>
      <paraID>11978188</paraID>
      <start>34</start>
      <end>36</end>
      <status>unmodified</status>
      <modifiedWord/>
      <trackRevisions>false</trackRevisions>
    </reviewItem>
    <reviewItem>
      <errorID>9d7526e7-3cb7-4199-b708-65dea64ffb07</errorID>
      <errorWord>投标</errorWord>
      <group>L1_Word</group>
      <groupName>字词问题</groupName>
      <ability>L2_Typo</ability>
      <abilityName>字词错误</abilityName>
      <candidateList>
        <item> 投标</item>
      </candidateList>
      <explain/>
      <paraID>2D20614D</paraID>
      <start>2</start>
      <end>4</end>
      <status>unmodified</status>
      <modifiedWord/>
      <trackRevisions>false</trackRevisions>
    </reviewItem>
    <reviewItem>
      <errorID>1ccc8c33-bfb9-4b17-9f89-efa62bf22eb2</errorID>
      <errorWord>网上</errorWord>
      <group>L1_Word</group>
      <groupName>字词问题</groupName>
      <ability>L2_Typo</ability>
      <abilityName>字词错误</abilityName>
      <candidateList>
        <item> 网上</item>
      </candidateList>
      <explain/>
      <paraID>4E042886</paraID>
      <start>5</start>
      <end>7</end>
      <status>unmodified</status>
      <modifiedWord/>
      <trackRevisions>false</trackRevisions>
    </reviewItem>
    <reviewItem>
      <errorID>ee6f9a41-549c-4017-958f-3892e228a905</errorID>
      <errorWord>，投标人</errorWord>
      <group>L1_Grammar</group>
      <groupName>语法问题</groupName>
      <ability>L2_Grammar</ability>
      <abilityName>语法错误</abilityName>
      <candidateList>
        <item>，</item>
      </candidateList>
      <explain/>
      <paraID>4E042886</paraID>
      <start>33</start>
      <end>37</end>
      <status>unmodified</status>
      <modifiedWord/>
      <trackRevisions>false</trackRevisions>
    </reviewItem>
    <reviewItem>
      <errorID>52574b3f-8ed7-4f26-80e8-1b0baa37b7c6</errorID>
      <errorWord>拟要</errorWord>
      <group>L1_Word</group>
      <groupName>字词问题</groupName>
      <ability>L2_Typo</ability>
      <abilityName>字词错误</abilityName>
      <candidateList>
        <item>拟</item>
      </candidateList>
      <explain/>
      <paraID>4E042886</paraID>
      <start>39</start>
      <end>41</end>
      <status>unmodified</status>
      <modifiedWord/>
      <trackRevisions>false</trackRevisions>
    </reviewItem>
    <reviewItem>
      <errorID>9213aacc-8963-4c60-a9eb-cc2265f4072f</errorID>
      <errorWord>，</errorWord>
      <group>L1_Punc</group>
      <groupName>标点问题</groupName>
      <ability>L2_Punc_CN</ability>
      <abilityName>标点符号问题</abilityName>
      <candidateList>
        <item>。</item>
      </candidateList>
      <explain/>
      <paraID>4E042886</paraID>
      <start>65</start>
      <end>66</end>
      <status>unmodified</status>
      <modifiedWord/>
      <trackRevisions>false</trackRevisions>
    </reviewItem>
    <reviewItem>
      <errorID>a0b4e864-4e1b-4143-bbc2-4ace41cefa58</errorID>
      <errorWord>须</errorWord>
      <group>L1_Punc</group>
      <groupName>标点问题</groupName>
      <ability>L2_Punc_CN</ability>
      <abilityName>标点符号问题</abilityName>
      <candidateList>
        <item>，须</item>
      </candidateList>
      <explain/>
      <paraID>4E042886</paraID>
      <start>73</start>
      <end>74</end>
      <status>unmodified</status>
      <modifiedWord/>
      <trackRevisions>false</trackRevisions>
    </reviewItem>
    <reviewItem>
      <errorID>4e83d7a6-6c99-4507-a61e-36ef31b0ca6b</errorID>
      <errorWord>签名后</errorWord>
      <group>L1_Word</group>
      <groupName>字词问题</groupName>
      <ability>L2_Typo</ability>
      <abilityName>字词错误</abilityName>
      <candidateList>
        <item>签名</item>
      </candidateList>
      <explain/>
      <paraID>4E042886</paraID>
      <start>91</start>
      <end>94</end>
      <status>unmodified</status>
      <modifiedWord/>
      <trackRevisions>false</trackRevisions>
    </reviewItem>
    <reviewItem>
      <errorID>ae7c1c78-6927-4e8b-a1c0-9a1947eb30d3</errorID>
      <errorWord>，由</errorWord>
      <group>L1_Word</group>
      <groupName>字词问题</groupName>
      <ability>L2_Typo</ability>
      <abilityName>字词错误</abilityName>
      <candidateList>
        <item>，</item>
      </candidateList>
      <explain/>
      <paraID>11A9F57C</paraID>
      <start>25</start>
      <end>27</end>
      <status>unmodified</status>
      <modifiedWord/>
      <trackRevisions>false</trackRevisions>
    </reviewItem>
    <reviewItem>
      <errorID>1a3e2476-71e9-4685-9b1d-cb89c725963c</errorID>
      <errorWord>加密的</errorWord>
      <group>L1_Word</group>
      <groupName>字词问题</groupName>
      <ability>L2_Typo</ability>
      <abilityName>字词错误</abilityName>
      <candidateList>
        <item>的加密</item>
      </candidateList>
      <explain/>
      <paraID>11A9F57C</paraID>
      <start>36</start>
      <end>39</end>
      <status>unmodified</status>
      <modifiedWord/>
      <trackRevisions>false</trackRevisions>
    </reviewItem>
    <reviewItem>
      <errorID>80d2ceaa-05d8-4828-b5a5-5f25c482f10f</errorID>
      <errorWord>进行网上</errorWord>
      <group>L1_Grammar</group>
      <groupName>语法问题</groupName>
      <ability>L2_Grammar</ability>
      <abilityName>语法错误</abilityName>
      <candidateList>
        <item>进行</item>
      </candidateList>
      <explain/>
      <paraID>11A9F57C</paraID>
      <start>43</start>
      <end>47</end>
      <status>unmodified</status>
      <modifiedWord/>
      <trackRevisions>false</trackRevisions>
    </reviewItem>
    <reviewItem>
      <errorID>e53454b3-2a0d-4407-b308-f317c32460b1</errorID>
      <errorWord>，</errorWord>
      <group>L1_Punc</group>
      <groupName>标点问题</groupName>
      <ability>L2_Punc_CN</ability>
      <abilityName>标点符号问题</abilityName>
      <candidateList>
        <item>。</item>
      </candidateList>
      <explain/>
      <paraID>11A9F57C</paraID>
      <start>51</start>
      <end>52</end>
      <status>unmodified</status>
      <modifiedWord/>
      <trackRevisions>false</trackRevisions>
    </reviewItem>
    <reviewItem>
      <errorID>8917229e-dd9c-4c91-9919-f1fc1e9b37a7</errorID>
      <errorWord>导入</errorWord>
      <group>L1_Punc</group>
      <groupName>标点问题</groupName>
      <ability>L2_Punc_CN</ability>
      <abilityName>标点符号问题</abilityName>
      <candidateList>
        <item>，导入</item>
      </candidateList>
      <explain/>
      <paraID>11A9F57C</paraID>
      <start>57</start>
      <end>59</end>
      <status>unmodified</status>
      <modifiedWord/>
      <trackRevisions>false</trackRevisions>
    </reviewItem>
    <reviewItem>
      <errorID>fc012e88-b56f-4f73-9b27-153095b02d6a</errorID>
      <errorWord>：</errorWord>
      <group>L1_Punc</group>
      <groupName>标点问题</groupName>
      <ability>L2_Punc_CN</ability>
      <abilityName>标点符号问题</abilityName>
      <candidateList>
        <item> </item>
      </candidateList>
      <explain/>
      <paraID>11A9F57C</paraID>
      <start>75</start>
      <end>76</end>
      <status>unmodified</status>
      <modifiedWord/>
      <trackRevisions>false</trackRevisions>
    </reviewItem>
    <reviewItem>
      <errorID>adfb546e-9477-4323-bbf9-7a8e9d4dca83</errorID>
      <errorWord>进行</errorWord>
      <group>L1_Punc</group>
      <groupName>标点问题</groupName>
      <ability>L2_Punc_CN</ability>
      <abilityName>标点符号问题</abilityName>
      <candidateList>
        <item>，进行</item>
      </candidateList>
      <explain/>
      <paraID>11A9F57C</paraID>
      <start>97</start>
      <end>99</end>
      <status>unmodified</status>
      <modifiedWord/>
      <trackRevisions>false</trackRevisions>
    </reviewItem>
    <reviewItem>
      <errorID>e225eb57-4b47-4d3b-b9dc-457c9ae5c8e1</errorID>
      <errorWord>公布</errorWord>
      <group>L1_Punc</group>
      <groupName>标点问题</groupName>
      <ability>L2_Punc_CN</ability>
      <abilityName>标点符号问题</abilityName>
      <candidateList>
        <item>，公布</item>
      </candidateList>
      <explain/>
      <paraID>11A9F57C</paraID>
      <start>101</start>
      <end>103</end>
      <status>unmodified</status>
      <modifiedWord/>
      <trackRevisions>false</trackRevisions>
    </reviewItem>
    <reviewItem>
      <errorID>f4986165-da7d-467c-bd37-27b709edf584</errorID>
      <errorWord>及其他</errorWord>
      <group>L1_Grammar</group>
      <groupName>语法问题</groupName>
      <ability>L2_Grammar</ability>
      <abilityName>语法错误</abilityName>
      <candidateList>
        <item>等</item>
      </candidateList>
      <explain/>
      <paraID>11A9F57C</paraID>
      <start>132</start>
      <end>135</end>
      <status>unmodified</status>
      <modifiedWord/>
      <trackRevisions>false</trackRevisions>
    </reviewItem>
    <reviewItem>
      <errorID>498a5730-f490-45d2-883d-fb3c74ea9397</errorID>
      <errorWord>、</errorWord>
      <group>L1_Grammar</group>
      <groupName>语法问题</groupName>
      <ability>L2_Grammar</ability>
      <abilityName>语法错误</abilityName>
      <candidateList>
        <item>人员、</item>
      </candidateList>
      <explain/>
      <paraID>2CC50FC6</paraID>
      <start>11</start>
      <end>12</end>
      <status>unmodified</status>
      <modifiedWord/>
      <trackRevisions>false</trackRevisions>
    </reviewItem>
    <reviewItem>
      <errorID>af3c02d2-e889-4cd8-ae96-bc55f69908ed</errorID>
      <errorWord>中标</errorWord>
      <group>L1_Word</group>
      <groupName>字词问题</groupName>
      <ability>L2_Typo</ability>
      <abilityName>字词错误</abilityName>
      <candidateList>
        <item> 中标</item>
      </candidateList>
      <explain/>
      <paraID>71D5DFC8</paraID>
      <start>3</start>
      <end>5</end>
      <status>unmodified</status>
      <modifiedWord/>
      <trackRevisions>false</trackRevisions>
    </reviewItem>
    <reviewItem>
      <errorID>01270a09-154c-40cc-af5e-8cd100e5942c</errorID>
      <errorWord>招标人</errorWord>
      <group>L1_Word</group>
      <groupName>字词问题</groupName>
      <ability>L2_Typo</ability>
      <abilityName>字词错误</abilityName>
      <candidateList>
        <item>中标人</item>
      </candidateList>
      <explain/>
      <paraID>37598F37</paraID>
      <start>29</start>
      <end>32</end>
      <status>unmodified</status>
      <modifiedWord/>
      <trackRevisions>false</trackRevisions>
    </reviewItem>
    <reviewItem>
      <errorID>f5c7e7d9-2ab3-4c8a-87cc-528ddecb05a1</errorID>
      <errorWord>中标人退还</errorWord>
      <group>L1_Word</group>
      <groupName>字词问题</groupName>
      <ability>L2_Typo</ability>
      <abilityName>字词错误</abilityName>
      <candidateList>
        <item>招标人索要</item>
      </candidateList>
      <explain/>
      <paraID>37598F37</paraID>
      <start>33</start>
      <end>38</end>
      <status>unmodified</status>
      <modifiedWord/>
      <trackRevisions>false</trackRevisions>
    </reviewItem>
    <reviewItem>
      <errorID>5a4b65d3-4b90-4e6a-83c4-8aad6956c548</errorID>
      <errorWord>异议</errorWord>
      <group>L1_Word</group>
      <groupName>字词问题</groupName>
      <ability>L2_Typo</ability>
      <abilityName>字词错误</abilityName>
      <candidateList>
        <item> 异议</item>
      </candidateList>
      <explain/>
      <paraID>7DAD1A70</paraID>
      <start>3</start>
      <end>5</end>
      <status>unmodified</status>
      <modifiedWord/>
      <trackRevisions>false</trackRevisions>
    </reviewItem>
    <reviewItem>
      <errorID>fc7f3fb1-b287-40db-9197-1063d5a02cce</errorID>
      <errorWord>异议</errorWord>
      <group>L1_Word</group>
      <groupName>字词问题</groupName>
      <ability>L2_Typo</ability>
      <abilityName>字词错误</abilityName>
      <candidateList>
        <item> 异议</item>
      </candidateList>
      <explain/>
      <paraID>55F36300</paraID>
      <start>5</start>
      <end>7</end>
      <status>unmodified</status>
      <modifiedWord/>
      <trackRevisions>false</trackRevisions>
    </reviewItem>
    <reviewItem>
      <errorID>5774dc32-6a6e-408d-b1b3-ca5dc20e57fb</errorID>
      <errorWord>潜在</errorWord>
      <group>L1_Word</group>
      <groupName>字词问题</groupName>
      <ability>L2_Typo</ability>
      <abilityName>字词错误</abilityName>
      <candidateList>
        <item> 潜在</item>
      </candidateList>
      <explain/>
      <paraID>4F5371DA</paraID>
      <start>7</start>
      <end>9</end>
      <status>unmodified</status>
      <modifiedWord/>
      <trackRevisions>false</trackRevisions>
    </reviewItem>
    <reviewItem>
      <errorID>3f4782aa-f424-4464-b245-de90cdf42ecc</errorID>
      <errorWord>【查看开标异议】</errorWord>
      <group>L1_Punc</group>
      <groupName>标点问题</groupName>
      <ability>L2_Punc_CN</ability>
      <abilityName>标点符号问题</abilityName>
      <candidateList>
        <item>“查看开标异议”</item>
      </candidateList>
      <explain/>
      <paraID>   C2B9E</paraID>
      <start>35</start>
      <end>43</end>
      <status>unmodified</status>
      <modifiedWord/>
      <trackRevisions>false</trackRevisions>
    </reviewItem>
    <reviewItem>
      <errorID>20bd8ef1-9167-49b9-bd12-833c269afd36</errorID>
      <errorWord>投诉</errorWord>
      <group>L1_Word</group>
      <groupName>字词问题</groupName>
      <ability>L2_Typo</ability>
      <abilityName>字词错误</abilityName>
      <candidateList>
        <item> 投诉</item>
      </candidateList>
      <explain/>
      <paraID>69AF0A08</paraID>
      <start>5</start>
      <end>7</end>
      <status>unmodified</status>
      <modifiedWord/>
      <trackRevisions>false</trackRevisions>
    </reviewItem>
    <reviewItem>
      <errorID>06ba0d54-133a-4859-83f7-0546ee857573</errorID>
      <errorWord>投标人</errorWord>
      <group>L1_Word</group>
      <groupName>字词问题</groupName>
      <ability>L2_Typo</ability>
      <abilityName>字词错误</abilityName>
      <candidateList>
        <item> 投标人</item>
      </candidateList>
      <explain/>
      <paraID>2961268A</paraID>
      <start>7</start>
      <end>10</end>
      <status>unmodified</status>
      <modifiedWord/>
      <trackRevisions>false</trackRevisions>
    </reviewItem>
    <reviewItem>
      <errorID>5d2c8d79-f004-4ff0-8e39-e89bb8817512</errorID>
      <errorWord>，</errorWord>
      <group>L1_Punc</group>
      <groupName>标点问题</groupName>
      <ability>L2_Punc_CN</ability>
      <abilityName>标点符号问题</abilityName>
      <candidateList>
        <item>。</item>
      </candidateList>
      <explain/>
      <paraID>2961268A</paraID>
      <start>80</start>
      <end>81</end>
      <status>unmodified</status>
      <modifiedWord/>
      <trackRevisions>false</trackRevisions>
    </reviewItem>
    <reviewItem>
      <errorID>98e09a57-f110-4fd5-89ce-996dab405ef4</errorID>
      <errorWord>就</errorWord>
      <group>L1_Word</group>
      <groupName>字词问题</groupName>
      <ability>L2_Typo</ability>
      <abilityName>字词错误</abilityName>
      <candidateList>
        <item> 就</item>
      </candidateList>
      <explain/>
      <paraID> ABA118A</paraID>
      <start>7</start>
      <end>8</end>
      <status>unmodified</status>
      <modifiedWord/>
      <trackRevisions>false</trackRevisions>
    </reviewItem>
    <reviewItem>
      <errorID>2874e3a8-b121-4a32-90c6-c2bcb214d619</errorID>
      <errorWord>投诉</errorWord>
      <group>L1_Word</group>
      <groupName>字词问题</groupName>
      <ability>L2_Typo</ability>
      <abilityName>字词错误</abilityName>
      <candidateList>
        <item> 投诉</item>
      </candidateList>
      <explain/>
      <paraID> DF8568E</paraID>
      <start>7</start>
      <end>9</end>
      <status>unmodified</status>
      <modifiedWord/>
      <trackRevisions>false</trackRevisions>
    </reviewItem>
    <reviewItem>
      <errorID>cba26591-3e38-47b4-8208-d886357a9818</errorID>
      <errorWord>投诉</errorWord>
      <group>L1_Word</group>
      <groupName>字词问题</groupName>
      <ability>L2_Typo</ability>
      <abilityName>字词错误</abilityName>
      <candidateList>
        <item> 投诉</item>
      </candidateList>
      <explain/>
      <paraID>39F80683</paraID>
      <start>7</start>
      <end>9</end>
      <status>unmodified</status>
      <modifiedWord/>
      <trackRevisions>false</trackRevisions>
    </reviewItem>
    <reviewItem>
      <errorID>dd01600b-96da-4312-bfa7-852907d216b3</errorID>
      <errorWord>投诉</errorWord>
      <group>L1_Word</group>
      <groupName>字词问题</groupName>
      <ability>L2_Typo</ability>
      <abilityName>字词错误</abilityName>
      <candidateList>
        <item> 投诉</item>
      </candidateList>
      <explain/>
      <paraID> B25A72D</paraID>
      <start>7</start>
      <end>9</end>
      <status>unmodified</status>
      <modifiedWord/>
      <trackRevisions>false</trackRevisions>
    </reviewItem>
    <reviewItem>
      <errorID>1e82c66c-5a64-4e21-a2f6-8687bcea21e6</errorID>
      <errorWord>有</errorWord>
      <group>L1_Word</group>
      <groupName>字词问题</groupName>
      <ability>L2_Typo</ability>
      <abilityName>字词错误</abilityName>
      <candidateList>
        <item> 有</item>
      </candidateList>
      <explain/>
      <paraID>64402732</paraID>
      <start>7</start>
      <end>8</end>
      <status>unmodified</status>
      <modifiedWord/>
      <trackRevisions>false</trackRevisions>
    </reviewItem>
    <reviewItem>
      <errorID>bbd78d9f-7f3c-4b7e-85fa-a2bc35841e5e</errorID>
      <errorWord>未尽事宜</errorWord>
      <group>L1_Word</group>
      <groupName>字词问题</groupName>
      <ability>L2_Typo</ability>
      <abilityName>字词错误</abilityName>
      <candidateList>
        <item> 未尽事宜</item>
      </candidateList>
      <explain/>
      <paraID>613D6B12</paraID>
      <start>7</start>
      <end>11</end>
      <status>unmodified</status>
      <modifiedWord/>
      <trackRevisions>false</trackRevisions>
    </reviewItem>
    <reviewItem>
      <errorID>93ced95b-66fa-438b-a288-8c7799feb440</errorID>
      <errorWord>一般的</errorWord>
      <group>L1_Word</group>
      <groupName>字词问题</groupName>
      <ability>L2_Typo</ability>
      <abilityName>字词错误</abilityName>
      <candidateList>
        <item>一般</item>
      </candidateList>
      <explain/>
      <paraID>70F23CCA</paraID>
      <start>36</start>
      <end>39</end>
      <status>unmodified</status>
      <modifiedWord/>
      <trackRevisions>false</trackRevisions>
    </reviewItem>
    <reviewItem>
      <errorID>337c31b4-9094-4d9d-9a5e-eb8586248281</errorID>
      <errorWord>较差的</errorWord>
      <group>L1_Word</group>
      <groupName>字词问题</groupName>
      <ability>L2_Typo</ability>
      <abilityName>字词错误</abilityName>
      <candidateList>
        <item>较差</item>
      </candidateList>
      <explain/>
      <paraID> DF9B419</paraID>
      <start>36</start>
      <end>39</end>
      <status>unmodified</status>
      <modifiedWord/>
      <trackRevisions>false</trackRevisions>
    </reviewItem>
    <reviewItem>
      <errorID>087b97b5-62da-451a-9ce8-20c90929f2c0</errorID>
      <errorWord>粗劣</errorWord>
      <group>L1_Word</group>
      <groupName>字词问题</groupName>
      <ability>L2_Typo</ability>
      <abilityName>字词错误</abilityName>
      <candidateList>
        <item>粗略</item>
      </candidateList>
      <explain/>
      <paraID>3660E7E4</paraID>
      <start>22</start>
      <end>24</end>
      <status>unmodified</status>
      <modifiedWord/>
      <trackRevisions>false</trackRevisions>
    </reviewItem>
    <reviewItem>
      <errorID>4a5c4d66-6f53-490a-b35d-fa99257e0f77</errorID>
      <errorWord>、</errorWord>
      <group>L1_Punc</group>
      <groupName>标点问题</groupName>
      <ability>L2_Punc_CN</ability>
      <abilityName>标点符号问题</abilityName>
      <candidateList>
        <item>，</item>
      </candidateList>
      <explain/>
      <paraID>3660E7E4</paraID>
      <start>32</start>
      <end>33</end>
      <status>unmodified</status>
      <modifiedWord/>
      <trackRevisions>false</trackRevisions>
    </reviewItem>
    <reviewItem>
      <errorID>1ba9a4e0-bb68-45ed-93c9-6e9173386d59</errorID>
      <errorWord>措施的</errorWord>
      <group>L1_Word</group>
      <groupName>字词问题</groupName>
      <ability>L2_Typo</ability>
      <abilityName>字词错误</abilityName>
      <candidateList>
        <item>措施</item>
      </candidateList>
      <explain/>
      <paraID>3660E7E4</paraID>
      <start>62</start>
      <end>65</end>
      <status>unmodified</status>
      <modifiedWord/>
      <trackRevisions>false</trackRevisions>
    </reviewItem>
    <reviewItem>
      <errorID>723abf8c-8b46-4068-94c8-f6b45d4a0da3</errorID>
      <errorWord>欠缺的</errorWord>
      <group>L1_Word</group>
      <groupName>字词问题</groupName>
      <ability>L2_Typo</ability>
      <abilityName>字词错误</abilityName>
      <candidateList>
        <item>欠缺</item>
      </candidateList>
      <explain/>
      <paraID>3660E7E4</paraID>
      <start>136</start>
      <end>139</end>
      <status>unmodified</status>
      <modifiedWord/>
      <trackRevisions>false</trackRevisions>
    </reviewItem>
    <reviewItem>
      <errorID>bd20c014-f860-4476-8aa2-32fd5284e472</errorID>
      <errorWord>施工</errorWord>
      <group>L1_Punc</group>
      <groupName>标点问题</groupName>
      <ability>L2_Punc_CN</ability>
      <abilityName>标点符号问题</abilityName>
      <candidateList>
        <item>：施工</item>
      </candidateList>
      <explain/>
      <paraID> 95247FE</paraID>
      <start>7</start>
      <end>9</end>
      <status>unmodified</status>
      <modifiedWord/>
      <trackRevisions>false</trackRevisions>
    </reviewItem>
    <reviewItem>
      <errorID>264a2d37-c311-4000-80c1-8a93101373f0</errorID>
      <errorWord>由</errorWord>
      <group>L1_Punc</group>
      <groupName>标点问题</groupName>
      <ability>L2_Punc_CN</ability>
      <abilityName>标点符号问题</abilityName>
      <candidateList>
        <item>，由</item>
      </candidateList>
      <explain/>
      <paraID>45EBCDE7</paraID>
      <start>156</start>
      <end>157</end>
      <status>unmodified</status>
      <modifiedWord/>
      <trackRevisions>false</trackRevisions>
    </reviewItem>
    <reviewItem>
      <errorID>7ffef6e8-08fb-4948-b8b7-fdf07f937d0e</errorID>
      <errorWord>为</errorWord>
      <group>L1_Grammar</group>
      <groupName>语法问题</groupName>
      <ability>L2_Grammar</ability>
      <abilityName>语法错误</abilityName>
      <candidateList>
        <item>，作为</item>
      </candidateList>
      <explain/>
      <paraID>724B2D30</paraID>
      <start>18</start>
      <end>19</end>
      <status>unmodified</status>
      <modifiedWord/>
      <trackRevisions>false</trackRevisions>
    </reviewItem>
    <reviewItem>
      <errorID>da13a6c8-8d54-4340-9908-dce954523de4</errorID>
      <errorWord>A</errorWord>
      <group>L1_Punc</group>
      <groupName>标点问题</groupName>
      <ability>L2_Punc_CN</ability>
      <abilityName>标点符号问题</abilityName>
      <candidateList>
        <item>A。</item>
      </candidateList>
      <explain/>
      <paraID>724B2D30</paraID>
      <start>29</start>
      <end>30</end>
      <status>unmodified</status>
      <modifiedWord/>
      <trackRevisions>false</trackRevisions>
    </reviewItem>
    <reviewItem>
      <errorID>a8de7bb3-ad31-4094-98dc-c517d23a09cf</errorID>
      <errorWord> </errorWord>
      <group>L1_Punc</group>
      <groupName>标点问题</groupName>
      <ability>L2_Punc_CN</ability>
      <abilityName>标点符号问题</abilityName>
      <candidateList>
        <item/>
      </candidateList>
      <explain>此处空格冗余，建议删除。</explain>
      <paraID>1B953660</paraID>
      <start>86</start>
      <end>87</end>
      <status>unmodified</status>
      <modifiedWord/>
      <trackRevisions>false</trackRevisions>
    </reviewItem>
    <reviewItem>
      <errorID>32434bcc-9372-4348-9ded-0b2b2974f6d8</errorID>
      <errorWord>。</errorWord>
      <group>L1_Grammar</group>
      <groupName>语法问题</groupName>
      <ability>L2_Grammar</ability>
      <abilityName>语法错误</abilityName>
      <candidateList>
        <item>为依据。</item>
      </candidateList>
      <explain/>
      <paraID>28AC7DBD</paraID>
      <start>49</start>
      <end>50</end>
      <status>unmodified</status>
      <modifiedWord/>
      <trackRevisions>false</trackRevisions>
    </reviewItem>
    <reviewItem>
      <errorID>70bbf143-2dc4-4c25-817b-866af16e5d66</errorID>
      <errorWord>《</errorWord>
      <group>L1_Punc</group>
      <groupName>标点问题</groupName>
      <ability>L2_Punc_CN</ability>
      <abilityName>标点符号问题</abilityName>
      <candidateList>
        <item>〈</item>
      </candidateList>
      <explain/>
      <paraID>3315A896</paraID>
      <start>107</start>
      <end>108</end>
      <status>ignored</status>
      <modifiedWord/>
      <trackRevisions>false</trackRevisions>
    </reviewItem>
    <reviewItem>
      <errorID>bea5a0ac-2e45-445a-b3b6-f06e73507775</errorID>
      <errorWord>》</errorWord>
      <group>L1_Punc</group>
      <groupName>标点问题</groupName>
      <ability>L2_Punc_CN</ability>
      <abilityName>标点符号问题</abilityName>
      <candidateList>
        <item>〉</item>
      </candidateList>
      <explain/>
      <paraID>3315A896</paraID>
      <start>128</start>
      <end>129</end>
      <status>ignored</status>
      <modifiedWord/>
      <trackRevisions>false</trackRevisions>
    </reviewItem>
    <reviewItem>
      <errorID>7a58f071-ad30-4ed8-b6aa-5e546020ff1b</errorID>
      <errorWord>《</errorWord>
      <group>L1_Punc</group>
      <groupName>标点问题</groupName>
      <ability>L2_Punc_CN</ability>
      <abilityName>标点符号问题</abilityName>
      <candidateList/>
      <explain>同一形式括号套用。</explain>
      <paraID>51CA3522</paraID>
      <start>108</start>
      <end>109</end>
      <status>ignored</status>
      <modifiedWord/>
      <trackRevisions>false</trackRevisions>
    </reviewItem>
    <reviewItem>
      <errorID>46f69107-93b4-4a19-bf76-0e199439e3e5</errorID>
      <errorWord>》</errorWord>
      <group>L1_Punc</group>
      <groupName>标点问题</groupName>
      <ability>L2_Punc_CN</ability>
      <abilityName>标点符号问题</abilityName>
      <candidateList/>
      <explain>同一形式括号套用。</explain>
      <paraID>51CA3522</paraID>
      <start>129</start>
      <end>130</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BF379DF-9D09-490C-B2FF-062C12A5D3C6}">
  <ds:schemaRefs/>
</ds:datastoreItem>
</file>

<file path=customXml/itemProps3.xml><?xml version="1.0" encoding="utf-8"?>
<ds:datastoreItem xmlns:ds="http://schemas.openxmlformats.org/officeDocument/2006/customXml" ds:itemID="{c176c850-41b2-4274-b2f8-c9d38ecc1ea9}">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125</Pages>
  <Words>5287</Words>
  <Characters>5903</Characters>
  <Lines>795</Lines>
  <Paragraphs>223</Paragraphs>
  <TotalTime>11</TotalTime>
  <ScaleCrop>false</ScaleCrop>
  <LinksUpToDate>false</LinksUpToDate>
  <CharactersWithSpaces>5998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2022-03-11T08:20:00Z</dcterms:created>
  <dc:creator>朱磊</dc:creator>
  <cp:lastModifiedBy>杨付祥</cp:lastModifiedBy>
  <cp:lastPrinted>2024-09-13T06:19:00Z</cp:lastPrinted>
  <dcterms:modified xsi:type="dcterms:W3CDTF">2026-08-02T12:46:04Z</dcterms:modified>
  <dc:title>招标文件</dc:title>
  <cp:revision>76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6AD011BA8B0C413895D25324B8743D7F_13</vt:lpwstr>
  </property>
  <property fmtid="{D5CDD505-2E9C-101B-9397-08002B2CF9AE}" pid="3" name="KSOProductBuildVer">
    <vt:lpwstr>2052-12.1.0.28043</vt:lpwstr>
  </property>
  <property fmtid="{D5CDD505-2E9C-101B-9397-08002B2CF9AE}" pid="4" name="KSOTemplateDocerSaveRecord">
    <vt:lpwstr>eyJoZGlkIjoiYjkyZmNhZmMwYTRkMzdjNDc0ZDBiODA4ZTNmNjg2YzYiLCJ1c2VySWQiOiIyMzg4NTA4MTQifQ==</vt:lpwstr>
  </property>
</Properties>
</file>