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51550">
      <w:pPr>
        <w:spacing w:line="360" w:lineRule="auto"/>
        <w:jc w:val="center"/>
        <w:rPr>
          <w:rFonts w:hint="eastAsia" w:ascii="宋体" w:hAnsi="宋体" w:eastAsia="宋体" w:cs="宋体"/>
          <w:b/>
          <w:bCs/>
          <w:color w:val="auto"/>
          <w:sz w:val="36"/>
          <w:szCs w:val="36"/>
          <w:highlight w:val="none"/>
          <w:lang w:eastAsia="zh-CN"/>
        </w:rPr>
        <w:sectPr>
          <w:headerReference r:id="rId3" w:type="default"/>
          <w:footerReference r:id="rId4" w:type="default"/>
          <w:pgSz w:w="11906" w:h="16838"/>
          <w:pgMar w:top="1418" w:right="1134" w:bottom="1418" w:left="1134" w:header="851" w:footer="992" w:gutter="0"/>
          <w:pgNumType w:fmt="decimal" w:start="1"/>
          <w:cols w:space="708" w:num="1"/>
          <w:docGrid w:type="lines" w:linePitch="312" w:charSpace="0"/>
        </w:sectPr>
      </w:pPr>
      <w:r>
        <w:rPr>
          <w:rFonts w:hint="eastAsia" w:ascii="宋体" w:hAnsi="宋体" w:eastAsia="宋体" w:cs="宋体"/>
          <w:b/>
          <w:bCs/>
          <w:color w:val="auto"/>
          <w:sz w:val="36"/>
          <w:szCs w:val="36"/>
          <w:highlight w:val="none"/>
          <w:lang w:eastAsia="zh-CN"/>
        </w:rPr>
        <w:drawing>
          <wp:inline distT="0" distB="0" distL="114300" distR="114300">
            <wp:extent cx="5835650" cy="8887460"/>
            <wp:effectExtent l="0" t="0" r="12700" b="8890"/>
            <wp:docPr id="1" name="图片 1" descr="2e844cf9069c56c24bd470266f3d9c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e844cf9069c56c24bd470266f3d9c32"/>
                    <pic:cNvPicPr>
                      <a:picLocks noChangeAspect="1"/>
                    </pic:cNvPicPr>
                  </pic:nvPicPr>
                  <pic:blipFill>
                    <a:blip r:embed="rId10"/>
                    <a:stretch>
                      <a:fillRect/>
                    </a:stretch>
                  </pic:blipFill>
                  <pic:spPr>
                    <a:xfrm>
                      <a:off x="0" y="0"/>
                      <a:ext cx="5835650" cy="8887460"/>
                    </a:xfrm>
                    <a:prstGeom prst="rect">
                      <a:avLst/>
                    </a:prstGeom>
                  </pic:spPr>
                </pic:pic>
              </a:graphicData>
            </a:graphic>
          </wp:inline>
        </w:drawing>
      </w:r>
    </w:p>
    <w:p w14:paraId="625DEDF9">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14:paraId="2D01340E">
      <w:pPr>
        <w:pStyle w:val="19"/>
        <w:tabs>
          <w:tab w:val="right" w:leader="dot" w:pos="9638"/>
        </w:tabs>
        <w:rPr>
          <w:rFonts w:hint="eastAsia" w:ascii="宋体" w:hAnsi="宋体" w:eastAsia="宋体" w:cs="宋体"/>
          <w:sz w:val="28"/>
          <w:szCs w:val="28"/>
          <w:highlight w:val="none"/>
        </w:rPr>
      </w:pPr>
      <w:r>
        <w:rPr>
          <w:rFonts w:hint="eastAsia" w:ascii="宋体" w:hAnsi="宋体" w:eastAsia="宋体" w:cs="宋体"/>
          <w:b w:val="0"/>
          <w:bCs w:val="0"/>
          <w:i w:val="0"/>
          <w:iCs w:val="0"/>
          <w:caps w:val="0"/>
          <w:color w:val="auto"/>
          <w:sz w:val="22"/>
          <w:szCs w:val="22"/>
          <w:highlight w:val="none"/>
          <w:u w:val="single"/>
        </w:rPr>
        <w:fldChar w:fldCharType="begin"/>
      </w:r>
      <w:r>
        <w:rPr>
          <w:rFonts w:hint="eastAsia" w:ascii="宋体" w:hAnsi="宋体" w:eastAsia="宋体" w:cs="宋体"/>
          <w:b w:val="0"/>
          <w:bCs w:val="0"/>
          <w:i w:val="0"/>
          <w:iCs w:val="0"/>
          <w:caps w:val="0"/>
          <w:color w:val="auto"/>
          <w:sz w:val="22"/>
          <w:szCs w:val="22"/>
          <w:highlight w:val="none"/>
          <w:u w:val="single"/>
        </w:rPr>
        <w:instrText xml:space="preserve"> TOC \o "1-5" \h \z \u </w:instrText>
      </w:r>
      <w:r>
        <w:rPr>
          <w:rFonts w:hint="eastAsia" w:ascii="宋体" w:hAnsi="宋体" w:eastAsia="宋体" w:cs="宋体"/>
          <w:b w:val="0"/>
          <w:bCs w:val="0"/>
          <w:i w:val="0"/>
          <w:iCs w:val="0"/>
          <w:caps w:val="0"/>
          <w:color w:val="auto"/>
          <w:sz w:val="22"/>
          <w:szCs w:val="22"/>
          <w:highlight w:val="none"/>
          <w:u w:val="single"/>
        </w:rPr>
        <w:fldChar w:fldCharType="separate"/>
      </w:r>
      <w:r>
        <w:rPr>
          <w:highlight w:val="none"/>
        </w:rPr>
        <w:fldChar w:fldCharType="begin"/>
      </w:r>
      <w:r>
        <w:rPr>
          <w:highlight w:val="none"/>
        </w:rPr>
        <w:instrText xml:space="preserve"> HYPERLINK \l "_Toc22967" </w:instrText>
      </w:r>
      <w:r>
        <w:rPr>
          <w:highlight w:val="none"/>
        </w:rPr>
        <w:fldChar w:fldCharType="separate"/>
      </w:r>
      <w:r>
        <w:rPr>
          <w:rFonts w:hint="eastAsia" w:ascii="宋体" w:hAnsi="宋体" w:eastAsia="宋体" w:cs="宋体"/>
          <w:sz w:val="28"/>
          <w:szCs w:val="28"/>
          <w:highlight w:val="none"/>
        </w:rPr>
        <w:t>第一章  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_Toc22967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2BF9BF1">
      <w:pPr>
        <w:pStyle w:val="19"/>
        <w:tabs>
          <w:tab w:val="right" w:leader="dot" w:pos="963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"_Toc2153" </w:instrText>
      </w:r>
      <w:r>
        <w:rPr>
          <w:highlight w:val="none"/>
        </w:rPr>
        <w:fldChar w:fldCharType="separate"/>
      </w:r>
      <w:r>
        <w:rPr>
          <w:rFonts w:hint="eastAsia" w:ascii="宋体" w:hAnsi="宋体" w:eastAsia="宋体" w:cs="宋体"/>
          <w:sz w:val="28"/>
          <w:szCs w:val="28"/>
          <w:highlight w:val="none"/>
          <w:lang w:val="en-US" w:eastAsia="zh-CN"/>
        </w:rPr>
        <w:t>第二章  投标人须知</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9</w:t>
      </w:r>
      <w:r>
        <w:rPr>
          <w:rFonts w:hint="eastAsia" w:ascii="宋体" w:hAnsi="宋体" w:cs="宋体"/>
          <w:sz w:val="28"/>
          <w:szCs w:val="28"/>
          <w:highlight w:val="none"/>
          <w:lang w:val="en-US" w:eastAsia="zh-CN"/>
        </w:rPr>
        <w:fldChar w:fldCharType="end"/>
      </w:r>
    </w:p>
    <w:p w14:paraId="54D7B97B">
      <w:pPr>
        <w:pStyle w:val="19"/>
        <w:tabs>
          <w:tab w:val="right" w:leader="dot" w:pos="963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"_Toc3082" </w:instrText>
      </w:r>
      <w:r>
        <w:rPr>
          <w:highlight w:val="none"/>
        </w:rPr>
        <w:fldChar w:fldCharType="separate"/>
      </w:r>
      <w:r>
        <w:rPr>
          <w:rFonts w:hint="eastAsia" w:ascii="宋体" w:hAnsi="宋体" w:eastAsia="宋体" w:cs="宋体"/>
          <w:sz w:val="28"/>
          <w:szCs w:val="28"/>
          <w:highlight w:val="none"/>
        </w:rPr>
        <w:t>第三章  评标办法</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综合评估法</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_Toc3082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7F97585">
      <w:pPr>
        <w:pStyle w:val="19"/>
        <w:tabs>
          <w:tab w:val="right" w:leader="dot" w:pos="963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"_Toc13793" </w:instrText>
      </w:r>
      <w:r>
        <w:rPr>
          <w:highlight w:val="none"/>
        </w:rPr>
        <w:fldChar w:fldCharType="separate"/>
      </w:r>
      <w:r>
        <w:rPr>
          <w:rFonts w:hint="eastAsia" w:ascii="宋体" w:hAnsi="宋体" w:eastAsia="宋体" w:cs="宋体"/>
          <w:sz w:val="28"/>
          <w:szCs w:val="28"/>
          <w:highlight w:val="none"/>
        </w:rPr>
        <w:t>第四章  合同格式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_Toc13793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141BB6D">
      <w:pPr>
        <w:pStyle w:val="19"/>
        <w:tabs>
          <w:tab w:val="right" w:leader="dot" w:pos="963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"_Toc14322" </w:instrText>
      </w:r>
      <w:r>
        <w:rPr>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章  技术标准</w:t>
      </w:r>
      <w:r>
        <w:rPr>
          <w:rFonts w:hint="eastAsia" w:ascii="宋体" w:hAnsi="宋体" w:eastAsia="宋体" w:cs="宋体"/>
          <w:sz w:val="28"/>
          <w:szCs w:val="28"/>
          <w:highlight w:val="none"/>
          <w:lang w:val="en-US" w:eastAsia="zh-CN"/>
        </w:rPr>
        <w:t>及要求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_Toc14322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7E18392">
      <w:pPr>
        <w:pStyle w:val="19"/>
        <w:tabs>
          <w:tab w:val="right" w:leader="dot" w:pos="9638"/>
        </w:tabs>
        <w:rPr>
          <w:rFonts w:hint="eastAsia" w:ascii="宋体" w:hAnsi="宋体" w:eastAsia="宋体" w:cs="宋体"/>
          <w:sz w:val="28"/>
          <w:szCs w:val="28"/>
          <w:highlight w:val="none"/>
        </w:rPr>
      </w:pPr>
      <w:r>
        <w:rPr>
          <w:highlight w:val="none"/>
        </w:rPr>
        <w:fldChar w:fldCharType="begin"/>
      </w:r>
      <w:r>
        <w:rPr>
          <w:highlight w:val="none"/>
        </w:rPr>
        <w:instrText xml:space="preserve"> HYPERLINK \l "_Toc18898" </w:instrText>
      </w:r>
      <w:r>
        <w:rPr>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_Toc18898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C549A8E">
      <w:pPr>
        <w:pStyle w:val="19"/>
        <w:tabs>
          <w:tab w:val="right" w:leader="dot" w:pos="9638"/>
        </w:tabs>
        <w:rPr>
          <w:rFonts w:hint="eastAsia" w:ascii="宋体" w:hAnsi="宋体" w:eastAsia="宋体" w:cs="宋体"/>
          <w:highlight w:val="none"/>
        </w:rPr>
      </w:pPr>
      <w:r>
        <w:rPr>
          <w:highlight w:val="none"/>
        </w:rPr>
        <w:fldChar w:fldCharType="begin"/>
      </w:r>
      <w:r>
        <w:rPr>
          <w:highlight w:val="none"/>
        </w:rPr>
        <w:instrText xml:space="preserve"> HYPERLINK \l "_Toc22071" </w:instrText>
      </w:r>
      <w:r>
        <w:rPr>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val="en-US" w:eastAsia="zh-CN"/>
        </w:rPr>
        <w:t>七</w:t>
      </w:r>
      <w:r>
        <w:rPr>
          <w:rFonts w:hint="eastAsia" w:ascii="宋体" w:hAnsi="宋体" w:eastAsia="宋体" w:cs="宋体"/>
          <w:sz w:val="28"/>
          <w:szCs w:val="28"/>
          <w:highlight w:val="none"/>
        </w:rPr>
        <w:t xml:space="preserve">章  </w:t>
      </w:r>
      <w:r>
        <w:rPr>
          <w:rFonts w:hint="eastAsia" w:ascii="宋体" w:hAnsi="宋体" w:eastAsia="宋体" w:cs="宋体"/>
          <w:sz w:val="28"/>
          <w:szCs w:val="28"/>
          <w:highlight w:val="none"/>
          <w:lang w:val="en-US" w:eastAsia="zh-CN"/>
        </w:rPr>
        <w:t>招标工程量清单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_Toc22071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85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F8734CB">
      <w:pPr>
        <w:tabs>
          <w:tab w:val="right" w:leader="dot" w:pos="9061"/>
        </w:tabs>
        <w:spacing w:line="360" w:lineRule="auto"/>
        <w:rPr>
          <w:rFonts w:hint="eastAsia" w:ascii="宋体" w:hAnsi="宋体" w:eastAsia="宋体" w:cs="宋体"/>
          <w:b w:val="0"/>
          <w:bCs w:val="0"/>
          <w:color w:val="auto"/>
          <w:sz w:val="22"/>
          <w:szCs w:val="22"/>
          <w:highlight w:val="none"/>
        </w:rPr>
      </w:pPr>
      <w:r>
        <w:rPr>
          <w:rFonts w:hint="eastAsia" w:ascii="宋体" w:hAnsi="宋体" w:eastAsia="宋体" w:cs="宋体"/>
          <w:bCs w:val="0"/>
          <w:i w:val="0"/>
          <w:iCs w:val="0"/>
          <w:caps/>
          <w:color w:val="auto"/>
          <w:szCs w:val="22"/>
          <w:highlight w:val="none"/>
          <w:u w:val="single"/>
        </w:rPr>
        <w:fldChar w:fldCharType="end"/>
      </w:r>
    </w:p>
    <w:p w14:paraId="02AE5902">
      <w:pPr>
        <w:pStyle w:val="2"/>
        <w:keepLines w:val="0"/>
        <w:widowControl/>
        <w:spacing w:before="0" w:after="0" w:line="360" w:lineRule="auto"/>
        <w:jc w:val="center"/>
        <w:rPr>
          <w:rStyle w:val="39"/>
          <w:rFonts w:hint="eastAsia" w:ascii="宋体" w:hAnsi="宋体" w:eastAsia="宋体" w:cs="宋体"/>
          <w:b/>
          <w:bCs/>
          <w:highlight w:val="none"/>
        </w:rPr>
        <w:sectPr>
          <w:pgSz w:w="11906" w:h="16838"/>
          <w:pgMar w:top="1418" w:right="1134" w:bottom="1418" w:left="1134" w:header="851" w:footer="992" w:gutter="0"/>
          <w:pgNumType w:fmt="decimal" w:start="1"/>
          <w:cols w:space="708" w:num="1"/>
          <w:docGrid w:type="lines" w:linePitch="312" w:charSpace="0"/>
        </w:sectPr>
      </w:pPr>
      <w:bookmarkStart w:id="0" w:name="_Toc395964982"/>
      <w:bookmarkStart w:id="1" w:name="_Toc435016779"/>
    </w:p>
    <w:p w14:paraId="7DD19020">
      <w:pPr>
        <w:pStyle w:val="2"/>
        <w:bidi w:val="0"/>
        <w:rPr>
          <w:rFonts w:hint="eastAsia" w:ascii="宋体" w:hAnsi="宋体" w:eastAsia="宋体" w:cs="宋体"/>
          <w:highlight w:val="none"/>
        </w:rPr>
      </w:pPr>
      <w:bookmarkStart w:id="2" w:name="_Toc22967"/>
      <w:r>
        <w:rPr>
          <w:rFonts w:hint="eastAsia" w:ascii="宋体" w:hAnsi="宋体" w:eastAsia="宋体" w:cs="宋体"/>
          <w:highlight w:val="none"/>
        </w:rPr>
        <w:t>第一章</w:t>
      </w:r>
      <w:bookmarkEnd w:id="0"/>
      <w:bookmarkEnd w:id="1"/>
      <w:r>
        <w:rPr>
          <w:rFonts w:hint="eastAsia" w:ascii="宋体" w:hAnsi="宋体" w:eastAsia="宋体" w:cs="宋体"/>
          <w:highlight w:val="none"/>
        </w:rPr>
        <w:t xml:space="preserve"> 招标公告</w:t>
      </w:r>
      <w:bookmarkEnd w:id="2"/>
    </w:p>
    <w:p w14:paraId="65C9B58F">
      <w:pPr>
        <w:keepNext w:val="0"/>
        <w:keepLines w:val="0"/>
        <w:pageBreakBefore w:val="0"/>
        <w:widowControl w:val="0"/>
        <w:kinsoku/>
        <w:wordWrap/>
        <w:overflowPunct/>
        <w:topLinePunct w:val="0"/>
        <w:bidi w:val="0"/>
        <w:adjustRightInd w:val="0"/>
        <w:snapToGrid w:val="0"/>
        <w:spacing w:after="156" w:afterLines="50" w:line="400" w:lineRule="exact"/>
        <w:jc w:val="center"/>
        <w:outlineLvl w:val="9"/>
        <w:rPr>
          <w:rFonts w:hint="eastAsia" w:ascii="宋体" w:hAnsi="宋体" w:cs="宋体"/>
          <w:b/>
          <w:bCs/>
          <w:color w:val="auto"/>
          <w:kern w:val="0"/>
          <w:sz w:val="28"/>
          <w:szCs w:val="28"/>
          <w:highlight w:val="none"/>
          <w:u w:val="none"/>
          <w:lang w:val="en-US" w:eastAsia="zh-CN"/>
        </w:rPr>
      </w:pPr>
      <w:bookmarkStart w:id="3" w:name="_Toc435016788"/>
      <w:bookmarkStart w:id="4" w:name="_Toc395964991"/>
      <w:r>
        <w:rPr>
          <w:rFonts w:hint="eastAsia" w:ascii="宋体" w:hAnsi="宋体" w:cs="宋体"/>
          <w:b/>
          <w:bCs/>
          <w:color w:val="auto"/>
          <w:kern w:val="0"/>
          <w:sz w:val="28"/>
          <w:szCs w:val="28"/>
          <w:highlight w:val="none"/>
          <w:u w:val="none"/>
          <w:lang w:val="en-US" w:eastAsia="zh-CN"/>
        </w:rPr>
        <w:t>元谋县2026年高标准农田建设项目盐水井村片区二标段</w:t>
      </w:r>
    </w:p>
    <w:p w14:paraId="46527EE2">
      <w:pPr>
        <w:keepNext w:val="0"/>
        <w:keepLines w:val="0"/>
        <w:pageBreakBefore w:val="0"/>
        <w:widowControl w:val="0"/>
        <w:kinsoku/>
        <w:wordWrap/>
        <w:overflowPunct/>
        <w:topLinePunct w:val="0"/>
        <w:bidi w:val="0"/>
        <w:adjustRightInd w:val="0"/>
        <w:snapToGrid w:val="0"/>
        <w:spacing w:after="156" w:afterLines="50" w:line="400" w:lineRule="exact"/>
        <w:jc w:val="center"/>
        <w:outlineLvl w:val="9"/>
        <w:rPr>
          <w:rFonts w:hint="eastAsia" w:ascii="宋体" w:hAnsi="宋体" w:eastAsia="宋体" w:cs="宋体"/>
          <w:sz w:val="18"/>
          <w:szCs w:val="21"/>
          <w:highlight w:val="none"/>
        </w:rPr>
      </w:pPr>
      <w:r>
        <w:rPr>
          <w:rFonts w:hint="eastAsia" w:ascii="宋体" w:hAnsi="宋体" w:cs="宋体"/>
          <w:b/>
          <w:bCs/>
          <w:color w:val="auto"/>
          <w:kern w:val="0"/>
          <w:sz w:val="28"/>
          <w:szCs w:val="28"/>
          <w:highlight w:val="none"/>
          <w:u w:val="none"/>
          <w:lang w:val="en-US" w:eastAsia="zh-CN"/>
        </w:rPr>
        <w:t>公开</w:t>
      </w:r>
      <w:r>
        <w:rPr>
          <w:rFonts w:hint="eastAsia" w:ascii="宋体" w:hAnsi="宋体" w:eastAsia="宋体" w:cs="宋体"/>
          <w:b/>
          <w:bCs/>
          <w:color w:val="auto"/>
          <w:kern w:val="0"/>
          <w:sz w:val="28"/>
          <w:szCs w:val="28"/>
          <w:highlight w:val="none"/>
          <w:u w:val="none"/>
        </w:rPr>
        <w:t>招标公告</w:t>
      </w:r>
    </w:p>
    <w:p w14:paraId="22E82954">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1</w:t>
      </w:r>
      <w:r>
        <w:rPr>
          <w:rFonts w:hint="eastAsia" w:ascii="宋体" w:hAnsi="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none"/>
          <w:lang w:val="en-US" w:eastAsia="zh-CN"/>
        </w:rPr>
        <w:t>招标条件</w:t>
      </w:r>
    </w:p>
    <w:p w14:paraId="676DC902">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本项目</w:t>
      </w:r>
      <w:r>
        <w:rPr>
          <w:rFonts w:hint="eastAsia" w:ascii="宋体" w:hAnsi="宋体" w:eastAsia="宋体" w:cs="宋体"/>
          <w:color w:val="auto"/>
          <w:kern w:val="0"/>
          <w:sz w:val="24"/>
          <w:szCs w:val="24"/>
          <w:highlight w:val="none"/>
          <w:u w:val="single"/>
          <w:lang w:val="en-US" w:eastAsia="zh-CN"/>
        </w:rPr>
        <w:t>元谋县2026年高标准农田建设项目</w:t>
      </w:r>
      <w:r>
        <w:rPr>
          <w:rFonts w:hint="eastAsia" w:ascii="宋体" w:hAnsi="宋体" w:eastAsia="宋体" w:cs="宋体"/>
          <w:color w:val="auto"/>
          <w:kern w:val="0"/>
          <w:sz w:val="24"/>
          <w:szCs w:val="24"/>
          <w:highlight w:val="none"/>
          <w:u w:val="none"/>
          <w:lang w:val="en-US" w:eastAsia="zh-CN"/>
        </w:rPr>
        <w:t>已由</w:t>
      </w:r>
      <w:r>
        <w:rPr>
          <w:rFonts w:hint="eastAsia" w:ascii="宋体" w:hAnsi="宋体" w:eastAsia="宋体" w:cs="宋体"/>
          <w:color w:val="auto"/>
          <w:kern w:val="0"/>
          <w:sz w:val="24"/>
          <w:szCs w:val="24"/>
          <w:highlight w:val="none"/>
          <w:u w:val="single"/>
          <w:lang w:val="en-US" w:eastAsia="zh-CN"/>
        </w:rPr>
        <w:t>楚雄彝族自治州农业农村局</w:t>
      </w:r>
      <w:r>
        <w:rPr>
          <w:rFonts w:hint="eastAsia" w:ascii="宋体" w:hAnsi="宋体" w:eastAsia="宋体" w:cs="宋体"/>
          <w:color w:val="auto"/>
          <w:kern w:val="0"/>
          <w:sz w:val="24"/>
          <w:szCs w:val="24"/>
          <w:highlight w:val="none"/>
          <w:u w:val="none"/>
          <w:lang w:val="en-US" w:eastAsia="zh-CN"/>
        </w:rPr>
        <w:t>以</w:t>
      </w:r>
      <w:r>
        <w:rPr>
          <w:rFonts w:hint="eastAsia" w:ascii="宋体" w:hAnsi="宋体" w:eastAsia="宋体" w:cs="宋体"/>
          <w:color w:val="auto"/>
          <w:kern w:val="0"/>
          <w:sz w:val="24"/>
          <w:szCs w:val="24"/>
          <w:highlight w:val="none"/>
          <w:u w:val="single"/>
          <w:lang w:val="en-US" w:eastAsia="zh-CN"/>
        </w:rPr>
        <w:t>《楚雄州农业农村局关于元谋县2026年高标准农田建设项目初步设计报告的批复</w:t>
      </w:r>
      <w:r>
        <w:rPr>
          <w:rFonts w:hint="eastAsia" w:ascii="宋体" w:hAnsi="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lang w:val="en-US" w:eastAsia="zh-CN"/>
        </w:rPr>
        <w:t>楚农复〔2026〕6号）</w:t>
      </w:r>
      <w:r>
        <w:rPr>
          <w:rFonts w:hint="eastAsia" w:ascii="宋体" w:hAnsi="宋体" w:cs="宋体"/>
          <w:color w:val="auto"/>
          <w:kern w:val="0"/>
          <w:sz w:val="24"/>
          <w:szCs w:val="24"/>
          <w:highlight w:val="none"/>
          <w:u w:val="none"/>
          <w:lang w:val="en-US" w:eastAsia="zh-CN"/>
        </w:rPr>
        <w:t>文</w:t>
      </w:r>
      <w:r>
        <w:rPr>
          <w:rFonts w:hint="eastAsia" w:ascii="宋体" w:hAnsi="宋体" w:eastAsia="宋体" w:cs="宋体"/>
          <w:color w:val="auto"/>
          <w:kern w:val="0"/>
          <w:sz w:val="24"/>
          <w:szCs w:val="24"/>
          <w:highlight w:val="none"/>
          <w:u w:val="none"/>
          <w:lang w:val="en-US" w:eastAsia="zh-CN"/>
        </w:rPr>
        <w:t>批准建设，建设资金来自中央财政</w:t>
      </w:r>
      <w:r>
        <w:rPr>
          <w:rFonts w:hint="eastAsia" w:ascii="宋体" w:hAnsi="宋体" w:cs="宋体"/>
          <w:color w:val="auto"/>
          <w:kern w:val="0"/>
          <w:sz w:val="24"/>
          <w:szCs w:val="24"/>
          <w:highlight w:val="none"/>
          <w:u w:val="none"/>
          <w:lang w:val="en-US" w:eastAsia="zh-CN"/>
        </w:rPr>
        <w:t>资金</w:t>
      </w:r>
      <w:r>
        <w:rPr>
          <w:rFonts w:hint="eastAsia" w:ascii="宋体" w:hAnsi="宋体" w:eastAsia="宋体" w:cs="宋体"/>
          <w:color w:val="auto"/>
          <w:kern w:val="0"/>
          <w:sz w:val="24"/>
          <w:szCs w:val="24"/>
          <w:highlight w:val="none"/>
          <w:u w:val="none"/>
          <w:lang w:val="en-US" w:eastAsia="zh-CN"/>
        </w:rPr>
        <w:t>和省级</w:t>
      </w:r>
      <w:r>
        <w:rPr>
          <w:rFonts w:hint="eastAsia" w:ascii="宋体" w:hAnsi="宋体" w:cs="宋体"/>
          <w:color w:val="auto"/>
          <w:kern w:val="0"/>
          <w:sz w:val="24"/>
          <w:szCs w:val="24"/>
          <w:highlight w:val="none"/>
          <w:u w:val="none"/>
          <w:lang w:val="en-US" w:eastAsia="zh-CN"/>
        </w:rPr>
        <w:t>配套</w:t>
      </w:r>
      <w:r>
        <w:rPr>
          <w:rFonts w:hint="eastAsia" w:ascii="宋体" w:hAnsi="宋体" w:eastAsia="宋体" w:cs="宋体"/>
          <w:color w:val="auto"/>
          <w:kern w:val="0"/>
          <w:sz w:val="24"/>
          <w:szCs w:val="24"/>
          <w:highlight w:val="none"/>
          <w:u w:val="none"/>
          <w:lang w:val="en-US" w:eastAsia="zh-CN"/>
        </w:rPr>
        <w:t>资金</w:t>
      </w:r>
      <w:r>
        <w:rPr>
          <w:rFonts w:hint="eastAsia" w:ascii="宋体" w:hAnsi="宋体" w:cs="宋体"/>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招标人为</w:t>
      </w:r>
      <w:r>
        <w:rPr>
          <w:rFonts w:hint="eastAsia" w:ascii="宋体" w:hAnsi="宋体" w:cs="宋体"/>
          <w:color w:val="auto"/>
          <w:kern w:val="0"/>
          <w:sz w:val="24"/>
          <w:szCs w:val="24"/>
          <w:highlight w:val="none"/>
          <w:u w:val="none"/>
          <w:lang w:val="en-US" w:eastAsia="zh-CN"/>
        </w:rPr>
        <w:t>元谋县农业农村局</w:t>
      </w:r>
      <w:r>
        <w:rPr>
          <w:rFonts w:hint="eastAsia" w:ascii="宋体" w:hAnsi="宋体" w:eastAsia="宋体" w:cs="宋体"/>
          <w:color w:val="auto"/>
          <w:kern w:val="0"/>
          <w:sz w:val="24"/>
          <w:szCs w:val="24"/>
          <w:highlight w:val="none"/>
          <w:u w:val="none"/>
          <w:lang w:val="en-US" w:eastAsia="zh-CN"/>
        </w:rPr>
        <w:t>，招标代理机构为云南科律工程管理咨询有限公司，项目已具备招标条件，现对该项目</w:t>
      </w:r>
      <w:r>
        <w:rPr>
          <w:rFonts w:hint="eastAsia" w:ascii="宋体" w:hAnsi="宋体" w:cs="宋体"/>
          <w:color w:val="auto"/>
          <w:kern w:val="0"/>
          <w:sz w:val="24"/>
          <w:szCs w:val="24"/>
          <w:highlight w:val="none"/>
          <w:u w:val="none"/>
          <w:lang w:val="en-US" w:eastAsia="zh-CN"/>
        </w:rPr>
        <w:t>盐水井村片区二标段施工</w:t>
      </w:r>
      <w:r>
        <w:rPr>
          <w:rFonts w:hint="eastAsia" w:ascii="宋体" w:hAnsi="宋体" w:eastAsia="宋体" w:cs="宋体"/>
          <w:color w:val="auto"/>
          <w:kern w:val="0"/>
          <w:sz w:val="24"/>
          <w:szCs w:val="24"/>
          <w:highlight w:val="none"/>
          <w:u w:val="none"/>
          <w:lang w:val="en-US" w:eastAsia="zh-CN"/>
        </w:rPr>
        <w:t>进行公开招标。</w:t>
      </w:r>
    </w:p>
    <w:p w14:paraId="5F95AD5B">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default"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w:t>
      </w:r>
      <w:r>
        <w:rPr>
          <w:rFonts w:hint="eastAsia" w:ascii="宋体" w:hAnsi="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none"/>
          <w:lang w:val="en-US" w:eastAsia="zh-CN"/>
        </w:rPr>
        <w:t>项目概况与招标范围</w:t>
      </w:r>
    </w:p>
    <w:p w14:paraId="29EBF584">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2.1项目名称：</w:t>
      </w:r>
      <w:r>
        <w:rPr>
          <w:rFonts w:hint="eastAsia" w:ascii="宋体" w:hAnsi="宋体" w:cs="宋体"/>
          <w:b w:val="0"/>
          <w:bCs w:val="0"/>
          <w:color w:val="auto"/>
          <w:kern w:val="0"/>
          <w:sz w:val="24"/>
          <w:szCs w:val="24"/>
          <w:highlight w:val="none"/>
          <w:u w:val="none"/>
          <w:lang w:val="en-US" w:eastAsia="zh-CN"/>
        </w:rPr>
        <w:t>元谋县2026年高标准农田建设项目盐水井村片区二标段</w:t>
      </w:r>
      <w:r>
        <w:rPr>
          <w:rFonts w:hint="eastAsia" w:ascii="宋体" w:hAnsi="宋体" w:cs="宋体"/>
          <w:color w:val="auto"/>
          <w:kern w:val="0"/>
          <w:sz w:val="24"/>
          <w:szCs w:val="24"/>
          <w:highlight w:val="none"/>
          <w:u w:val="none"/>
          <w:lang w:val="en-US" w:eastAsia="zh-CN"/>
        </w:rPr>
        <w:t>。</w:t>
      </w:r>
    </w:p>
    <w:p w14:paraId="7EC661CC">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w:t>
      </w:r>
      <w:r>
        <w:rPr>
          <w:rFonts w:hint="eastAsia" w:ascii="宋体" w:hAnsi="宋体" w:cs="宋体"/>
          <w:b/>
          <w:bCs/>
          <w:color w:val="auto"/>
          <w:kern w:val="0"/>
          <w:sz w:val="24"/>
          <w:szCs w:val="24"/>
          <w:highlight w:val="none"/>
          <w:u w:val="none"/>
          <w:lang w:val="en-US" w:eastAsia="zh-CN"/>
        </w:rPr>
        <w:t>2</w:t>
      </w:r>
      <w:r>
        <w:rPr>
          <w:rFonts w:hint="eastAsia" w:ascii="宋体" w:hAnsi="宋体" w:eastAsia="宋体" w:cs="宋体"/>
          <w:b/>
          <w:bCs/>
          <w:color w:val="auto"/>
          <w:kern w:val="0"/>
          <w:sz w:val="24"/>
          <w:szCs w:val="24"/>
          <w:highlight w:val="none"/>
          <w:u w:val="none"/>
          <w:lang w:val="en-US" w:eastAsia="zh-CN"/>
        </w:rPr>
        <w:t>建设地点：</w:t>
      </w:r>
      <w:r>
        <w:rPr>
          <w:rFonts w:hint="eastAsia" w:ascii="宋体" w:hAnsi="宋体" w:cs="宋体"/>
          <w:b w:val="0"/>
          <w:bCs w:val="0"/>
          <w:color w:val="auto"/>
          <w:kern w:val="0"/>
          <w:sz w:val="24"/>
          <w:szCs w:val="24"/>
          <w:highlight w:val="none"/>
          <w:u w:val="none"/>
          <w:lang w:val="en-US" w:eastAsia="zh-CN"/>
        </w:rPr>
        <w:t>元谋县江边乡盐水井村辖区</w:t>
      </w:r>
      <w:r>
        <w:rPr>
          <w:rFonts w:hint="eastAsia" w:ascii="宋体" w:hAnsi="宋体" w:eastAsia="宋体" w:cs="宋体"/>
          <w:color w:val="auto"/>
          <w:kern w:val="0"/>
          <w:sz w:val="24"/>
          <w:szCs w:val="24"/>
          <w:highlight w:val="none"/>
          <w:u w:val="none"/>
          <w:lang w:val="en-US" w:eastAsia="zh-CN"/>
        </w:rPr>
        <w:t>。</w:t>
      </w:r>
    </w:p>
    <w:p w14:paraId="61BB8E72">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w:t>
      </w:r>
      <w:r>
        <w:rPr>
          <w:rFonts w:hint="eastAsia" w:ascii="宋体" w:hAnsi="宋体" w:cs="宋体"/>
          <w:b/>
          <w:bCs/>
          <w:color w:val="auto"/>
          <w:kern w:val="0"/>
          <w:sz w:val="24"/>
          <w:szCs w:val="24"/>
          <w:highlight w:val="none"/>
          <w:u w:val="none"/>
          <w:lang w:val="en-US" w:eastAsia="zh-CN"/>
        </w:rPr>
        <w:t>3</w:t>
      </w:r>
      <w:r>
        <w:rPr>
          <w:rFonts w:hint="eastAsia" w:ascii="宋体" w:hAnsi="宋体" w:eastAsia="宋体" w:cs="宋体"/>
          <w:b/>
          <w:bCs/>
          <w:color w:val="auto"/>
          <w:kern w:val="0"/>
          <w:sz w:val="24"/>
          <w:szCs w:val="24"/>
          <w:highlight w:val="none"/>
          <w:u w:val="none"/>
          <w:lang w:val="en-US" w:eastAsia="zh-CN"/>
        </w:rPr>
        <w:t>建设</w:t>
      </w:r>
      <w:r>
        <w:rPr>
          <w:rFonts w:hint="eastAsia" w:ascii="宋体" w:hAnsi="宋体" w:cs="宋体"/>
          <w:b/>
          <w:bCs/>
          <w:color w:val="auto"/>
          <w:kern w:val="0"/>
          <w:sz w:val="24"/>
          <w:szCs w:val="24"/>
          <w:highlight w:val="none"/>
          <w:u w:val="none"/>
          <w:lang w:val="en-US" w:eastAsia="zh-CN"/>
        </w:rPr>
        <w:t>内容及规模</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val="0"/>
          <w:bCs w:val="0"/>
          <w:color w:val="auto"/>
          <w:kern w:val="0"/>
          <w:sz w:val="24"/>
          <w:szCs w:val="24"/>
          <w:highlight w:val="none"/>
          <w:u w:val="none"/>
          <w:lang w:val="en-US" w:eastAsia="zh-CN"/>
        </w:rPr>
        <w:t>（1）田块整治工程经统计在盐水井片区土地开发平整面积为1200.00亩。土方开挖110495.00m³，土方回填110495.00m³，石方开挖10216.70m³，石方回填8839.60m³，表土回填摊平230843.00m³，表土剥离230843.00m³。（2）灌溉与排水工程本项目修建农沟4条，长2502m；修建支管29条，长6644.00m，阀门井47座；镇墩32座；支墩82座；管涵8座。（3）田间道路工程本项目修建4.0m宽泥结碎石路面新建机耕路1条，长500.00m；C25砼路面铺设（包括配套工艺）改建机耕路5条，长4391.00m（3m 宽改建机耕路2条；3.5m宽改建机耕路3条）。错车道15段，道路挡墙共230.00m。</w:t>
      </w:r>
    </w:p>
    <w:p w14:paraId="6A8BCD3B">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本标段概算投资</w:t>
      </w:r>
      <w:r>
        <w:rPr>
          <w:rFonts w:hint="eastAsia" w:ascii="宋体" w:hAnsi="宋体" w:cs="宋体"/>
          <w:b w:val="0"/>
          <w:bCs w:val="0"/>
          <w:color w:val="auto"/>
          <w:kern w:val="0"/>
          <w:sz w:val="24"/>
          <w:szCs w:val="24"/>
          <w:highlight w:val="none"/>
          <w:u w:val="none"/>
          <w:lang w:val="en-US" w:eastAsia="zh-CN"/>
        </w:rPr>
        <w:t>994.68</w:t>
      </w:r>
      <w:r>
        <w:rPr>
          <w:rFonts w:hint="eastAsia" w:ascii="宋体" w:hAnsi="宋体" w:eastAsia="宋体" w:cs="宋体"/>
          <w:b w:val="0"/>
          <w:bCs w:val="0"/>
          <w:color w:val="auto"/>
          <w:kern w:val="0"/>
          <w:sz w:val="24"/>
          <w:szCs w:val="24"/>
          <w:highlight w:val="none"/>
          <w:u w:val="none"/>
          <w:lang w:val="en-US" w:eastAsia="zh-CN"/>
        </w:rPr>
        <w:t>万元，本次招标总金额为</w:t>
      </w:r>
      <w:r>
        <w:rPr>
          <w:rFonts w:hint="eastAsia" w:ascii="宋体" w:hAnsi="宋体" w:cs="宋体"/>
          <w:b w:val="0"/>
          <w:bCs w:val="0"/>
          <w:color w:val="auto"/>
          <w:kern w:val="0"/>
          <w:sz w:val="24"/>
          <w:szCs w:val="24"/>
          <w:highlight w:val="none"/>
          <w:u w:val="none"/>
          <w:lang w:val="en-US" w:eastAsia="zh-CN"/>
        </w:rPr>
        <w:t>992.342526</w:t>
      </w:r>
      <w:r>
        <w:rPr>
          <w:rFonts w:hint="eastAsia" w:ascii="宋体" w:hAnsi="宋体" w:eastAsia="宋体" w:cs="宋体"/>
          <w:b w:val="0"/>
          <w:bCs w:val="0"/>
          <w:color w:val="auto"/>
          <w:kern w:val="0"/>
          <w:sz w:val="24"/>
          <w:szCs w:val="24"/>
          <w:highlight w:val="none"/>
          <w:u w:val="none"/>
          <w:lang w:val="en-US" w:eastAsia="zh-CN"/>
        </w:rPr>
        <w:t>万元</w:t>
      </w:r>
      <w:r>
        <w:rPr>
          <w:rFonts w:hint="eastAsia" w:ascii="宋体" w:hAnsi="宋体" w:cs="宋体"/>
          <w:b w:val="0"/>
          <w:bCs w:val="0"/>
          <w:color w:val="auto"/>
          <w:kern w:val="0"/>
          <w:sz w:val="24"/>
          <w:szCs w:val="24"/>
          <w:highlight w:val="none"/>
          <w:u w:val="none"/>
          <w:lang w:val="en-US" w:eastAsia="zh-CN"/>
        </w:rPr>
        <w:t>。</w:t>
      </w:r>
    </w:p>
    <w:p w14:paraId="145E72F2">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cs="宋体"/>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w:t>
      </w:r>
      <w:r>
        <w:rPr>
          <w:rFonts w:hint="eastAsia" w:ascii="宋体" w:hAnsi="宋体" w:cs="宋体"/>
          <w:b/>
          <w:bCs/>
          <w:color w:val="auto"/>
          <w:kern w:val="0"/>
          <w:sz w:val="24"/>
          <w:szCs w:val="24"/>
          <w:highlight w:val="none"/>
          <w:u w:val="none"/>
          <w:lang w:val="en-US" w:eastAsia="zh-CN"/>
        </w:rPr>
        <w:t>4工期要求：</w:t>
      </w:r>
      <w:r>
        <w:rPr>
          <w:rFonts w:hint="eastAsia" w:ascii="宋体" w:hAnsi="宋体" w:cs="宋体"/>
          <w:color w:val="auto"/>
          <w:kern w:val="0"/>
          <w:sz w:val="24"/>
          <w:szCs w:val="24"/>
          <w:highlight w:val="green"/>
          <w:u w:val="none"/>
          <w:lang w:val="en-US" w:eastAsia="zh-CN"/>
        </w:rPr>
        <w:t>210日</w:t>
      </w:r>
      <w:r>
        <w:rPr>
          <w:rFonts w:hint="eastAsia" w:ascii="宋体" w:hAnsi="宋体" w:cs="宋体"/>
          <w:color w:val="auto"/>
          <w:kern w:val="0"/>
          <w:sz w:val="24"/>
          <w:szCs w:val="24"/>
          <w:highlight w:val="none"/>
          <w:u w:val="none"/>
          <w:lang w:val="en-US" w:eastAsia="zh-CN"/>
        </w:rPr>
        <w:t>历天。</w:t>
      </w:r>
    </w:p>
    <w:p w14:paraId="27B9FB20">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w:t>
      </w:r>
      <w:r>
        <w:rPr>
          <w:rFonts w:hint="eastAsia" w:ascii="宋体" w:hAnsi="宋体" w:cs="宋体"/>
          <w:b/>
          <w:bCs/>
          <w:color w:val="auto"/>
          <w:kern w:val="0"/>
          <w:sz w:val="24"/>
          <w:szCs w:val="24"/>
          <w:highlight w:val="none"/>
          <w:u w:val="none"/>
          <w:lang w:val="en-US" w:eastAsia="zh-CN"/>
        </w:rPr>
        <w:t>5</w:t>
      </w:r>
      <w:r>
        <w:rPr>
          <w:rFonts w:hint="eastAsia" w:ascii="宋体" w:hAnsi="宋体" w:eastAsia="宋体" w:cs="宋体"/>
          <w:b/>
          <w:bCs/>
          <w:color w:val="auto"/>
          <w:kern w:val="0"/>
          <w:sz w:val="24"/>
          <w:szCs w:val="24"/>
          <w:highlight w:val="none"/>
          <w:u w:val="none"/>
          <w:lang w:val="en-US" w:eastAsia="zh-CN"/>
        </w:rPr>
        <w:t>标段划分：</w:t>
      </w:r>
      <w:r>
        <w:rPr>
          <w:rFonts w:hint="eastAsia" w:ascii="宋体" w:hAnsi="宋体" w:eastAsia="宋体" w:cs="宋体"/>
          <w:b w:val="0"/>
          <w:bCs w:val="0"/>
          <w:color w:val="auto"/>
          <w:kern w:val="0"/>
          <w:sz w:val="24"/>
          <w:szCs w:val="24"/>
          <w:highlight w:val="none"/>
          <w:u w:val="none"/>
          <w:lang w:val="en-US" w:eastAsia="zh-CN"/>
        </w:rPr>
        <w:t>本项目</w:t>
      </w:r>
      <w:r>
        <w:rPr>
          <w:rFonts w:hint="eastAsia" w:ascii="宋体" w:hAnsi="宋体" w:cs="宋体"/>
          <w:b w:val="0"/>
          <w:bCs w:val="0"/>
          <w:color w:val="auto"/>
          <w:kern w:val="0"/>
          <w:sz w:val="24"/>
          <w:szCs w:val="24"/>
          <w:highlight w:val="none"/>
          <w:u w:val="none"/>
          <w:lang w:val="en-US" w:eastAsia="zh-CN"/>
        </w:rPr>
        <w:t>只设一个标段</w:t>
      </w:r>
      <w:r>
        <w:rPr>
          <w:rFonts w:hint="eastAsia" w:ascii="宋体" w:hAnsi="宋体" w:eastAsia="宋体" w:cs="宋体"/>
          <w:b w:val="0"/>
          <w:bCs w:val="0"/>
          <w:color w:val="auto"/>
          <w:kern w:val="0"/>
          <w:sz w:val="24"/>
          <w:szCs w:val="24"/>
          <w:highlight w:val="none"/>
          <w:u w:val="none"/>
          <w:lang w:val="en-US" w:eastAsia="zh-CN"/>
        </w:rPr>
        <w:t>。</w:t>
      </w:r>
    </w:p>
    <w:p w14:paraId="12BA7EDF">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w:t>
      </w:r>
      <w:r>
        <w:rPr>
          <w:rFonts w:hint="eastAsia" w:ascii="宋体" w:hAnsi="宋体" w:cs="宋体"/>
          <w:b/>
          <w:bCs/>
          <w:color w:val="auto"/>
          <w:kern w:val="0"/>
          <w:sz w:val="24"/>
          <w:szCs w:val="24"/>
          <w:highlight w:val="none"/>
          <w:u w:val="none"/>
          <w:lang w:val="en-US" w:eastAsia="zh-CN"/>
        </w:rPr>
        <w:t>6</w:t>
      </w:r>
      <w:r>
        <w:rPr>
          <w:rFonts w:hint="eastAsia" w:ascii="宋体" w:hAnsi="宋体" w:eastAsia="宋体" w:cs="宋体"/>
          <w:b/>
          <w:bCs/>
          <w:color w:val="auto"/>
          <w:kern w:val="0"/>
          <w:sz w:val="24"/>
          <w:szCs w:val="24"/>
          <w:highlight w:val="none"/>
          <w:u w:val="none"/>
          <w:lang w:val="en-US" w:eastAsia="zh-CN"/>
        </w:rPr>
        <w:t>招标范围</w:t>
      </w:r>
      <w:r>
        <w:rPr>
          <w:rFonts w:hint="eastAsia" w:ascii="宋体" w:hAnsi="宋体" w:cs="宋体"/>
          <w:b/>
          <w:bCs/>
          <w:color w:val="auto"/>
          <w:kern w:val="0"/>
          <w:sz w:val="24"/>
          <w:szCs w:val="24"/>
          <w:highlight w:val="none"/>
          <w:u w:val="none"/>
          <w:lang w:val="en-US" w:eastAsia="zh-CN"/>
        </w:rPr>
        <w:t>：</w:t>
      </w:r>
      <w:r>
        <w:rPr>
          <w:rFonts w:hint="eastAsia" w:ascii="宋体" w:hAnsi="宋体" w:cs="宋体"/>
          <w:color w:val="auto"/>
          <w:kern w:val="0"/>
          <w:sz w:val="24"/>
          <w:szCs w:val="24"/>
          <w:highlight w:val="none"/>
          <w:u w:val="none"/>
          <w:lang w:val="en-US" w:eastAsia="zh-CN"/>
        </w:rPr>
        <w:t>完成本项目经审查通过的施工图设计及工程量清单（含变更）包含的全部施工内容及相关工作；组织自检初检验收、完成项目质量评定、竣工图的编制、资料归档；工程缺陷责任期内的缺陷修复和工程质量保修期内的保修工作等。</w:t>
      </w:r>
    </w:p>
    <w:p w14:paraId="5A7AAB2B">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cs="宋体"/>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w:t>
      </w:r>
      <w:r>
        <w:rPr>
          <w:rFonts w:hint="eastAsia" w:ascii="宋体" w:hAnsi="宋体" w:cs="宋体"/>
          <w:b/>
          <w:bCs/>
          <w:color w:val="auto"/>
          <w:kern w:val="0"/>
          <w:sz w:val="24"/>
          <w:szCs w:val="24"/>
          <w:highlight w:val="none"/>
          <w:u w:val="none"/>
          <w:lang w:val="en-US" w:eastAsia="zh-CN"/>
        </w:rPr>
        <w:t>7</w:t>
      </w:r>
      <w:r>
        <w:rPr>
          <w:rFonts w:hint="eastAsia" w:ascii="宋体" w:hAnsi="宋体" w:eastAsia="宋体" w:cs="宋体"/>
          <w:b/>
          <w:bCs/>
          <w:color w:val="auto"/>
          <w:kern w:val="0"/>
          <w:sz w:val="24"/>
          <w:szCs w:val="24"/>
          <w:highlight w:val="none"/>
          <w:u w:val="none"/>
          <w:lang w:val="en-US" w:eastAsia="zh-CN"/>
        </w:rPr>
        <w:t>质量标准</w:t>
      </w:r>
      <w:r>
        <w:rPr>
          <w:rFonts w:hint="eastAsia" w:ascii="宋体" w:hAnsi="宋体" w:cs="宋体"/>
          <w:b/>
          <w:bCs/>
          <w:color w:val="auto"/>
          <w:kern w:val="0"/>
          <w:sz w:val="24"/>
          <w:szCs w:val="24"/>
          <w:highlight w:val="none"/>
          <w:u w:val="none"/>
          <w:lang w:val="en-US" w:eastAsia="zh-CN"/>
        </w:rPr>
        <w:t>：</w:t>
      </w:r>
      <w:r>
        <w:rPr>
          <w:rFonts w:hint="eastAsia" w:ascii="宋体" w:hAnsi="宋体" w:cs="宋体"/>
          <w:color w:val="auto"/>
          <w:kern w:val="0"/>
          <w:sz w:val="24"/>
          <w:szCs w:val="24"/>
          <w:highlight w:val="none"/>
          <w:u w:val="none"/>
          <w:lang w:val="en-US" w:eastAsia="zh-CN"/>
        </w:rPr>
        <w:t>符合国家、行业及地方现行的相关标准和规范，一次性验收合格。</w:t>
      </w:r>
    </w:p>
    <w:p w14:paraId="44E1B477">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2.</w:t>
      </w:r>
      <w:r>
        <w:rPr>
          <w:rFonts w:hint="eastAsia" w:ascii="宋体" w:hAnsi="宋体" w:cs="宋体"/>
          <w:b/>
          <w:bCs/>
          <w:color w:val="auto"/>
          <w:kern w:val="0"/>
          <w:sz w:val="24"/>
          <w:szCs w:val="24"/>
          <w:highlight w:val="none"/>
          <w:u w:val="none"/>
          <w:lang w:val="en-US" w:eastAsia="zh-CN"/>
        </w:rPr>
        <w:t>8</w:t>
      </w:r>
      <w:r>
        <w:rPr>
          <w:rFonts w:hint="eastAsia" w:ascii="宋体" w:hAnsi="宋体" w:eastAsia="宋体" w:cs="宋体"/>
          <w:b/>
          <w:bCs/>
          <w:color w:val="auto"/>
          <w:kern w:val="0"/>
          <w:sz w:val="24"/>
          <w:szCs w:val="24"/>
          <w:highlight w:val="none"/>
          <w:u w:val="none"/>
          <w:lang w:val="en-US" w:eastAsia="zh-CN"/>
        </w:rPr>
        <w:t>资格审查方式：</w:t>
      </w:r>
      <w:r>
        <w:rPr>
          <w:rFonts w:hint="eastAsia" w:ascii="宋体" w:hAnsi="宋体" w:eastAsia="宋体" w:cs="宋体"/>
          <w:color w:val="auto"/>
          <w:kern w:val="0"/>
          <w:sz w:val="24"/>
          <w:szCs w:val="24"/>
          <w:highlight w:val="none"/>
          <w:u w:val="none"/>
          <w:lang w:val="en-US" w:eastAsia="zh-CN"/>
        </w:rPr>
        <w:t>资格后审。</w:t>
      </w:r>
    </w:p>
    <w:p w14:paraId="290B2B7A">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3</w:t>
      </w:r>
      <w:r>
        <w:rPr>
          <w:rFonts w:hint="eastAsia" w:ascii="宋体" w:hAnsi="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none"/>
          <w:lang w:val="en-US" w:eastAsia="zh-CN"/>
        </w:rPr>
        <w:t>投标人资格要求</w:t>
      </w:r>
    </w:p>
    <w:p w14:paraId="4044DC14">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3.1资质要求</w:t>
      </w:r>
      <w:r>
        <w:rPr>
          <w:rFonts w:hint="eastAsia" w:ascii="宋体" w:hAnsi="宋体" w:cs="宋体"/>
          <w:b/>
          <w:bCs/>
          <w:color w:val="auto"/>
          <w:kern w:val="0"/>
          <w:sz w:val="24"/>
          <w:szCs w:val="24"/>
          <w:highlight w:val="none"/>
          <w:u w:val="none"/>
          <w:lang w:val="en-US" w:eastAsia="zh-CN"/>
        </w:rPr>
        <w:t>：</w:t>
      </w:r>
    </w:p>
    <w:p w14:paraId="4C3D6F8C">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投标人必须是在中华人民共和国境内依法成立，具备独立承担民事责任能力的独立法人企业或其他组织，具备有效的营业执照，并具备</w:t>
      </w:r>
      <w:r>
        <w:rPr>
          <w:rFonts w:hint="eastAsia" w:ascii="宋体" w:hAnsi="宋体" w:cs="宋体"/>
          <w:color w:val="auto"/>
          <w:kern w:val="0"/>
          <w:sz w:val="24"/>
          <w:szCs w:val="24"/>
          <w:highlight w:val="none"/>
          <w:u w:val="none"/>
          <w:lang w:val="en-US" w:eastAsia="zh-CN"/>
        </w:rPr>
        <w:t>建设</w:t>
      </w:r>
      <w:r>
        <w:rPr>
          <w:rFonts w:hint="eastAsia" w:ascii="宋体" w:hAnsi="宋体" w:eastAsia="宋体" w:cs="宋体"/>
          <w:color w:val="auto"/>
          <w:kern w:val="0"/>
          <w:sz w:val="24"/>
          <w:szCs w:val="24"/>
          <w:highlight w:val="none"/>
          <w:u w:val="none"/>
          <w:lang w:val="en-US" w:eastAsia="zh-CN"/>
        </w:rPr>
        <w:t>行政主管部门核发的水利水电工程施工总承包叁级以上（含叁级）资质，具备有效的企业安全生产许可证，并在人员、设备、资金等方面具有相应的施工能力。</w:t>
      </w:r>
    </w:p>
    <w:p w14:paraId="77043A8D">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default"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3.2项目主要人员配备要求</w:t>
      </w:r>
      <w:r>
        <w:rPr>
          <w:rFonts w:hint="eastAsia" w:ascii="宋体" w:hAnsi="宋体" w:cs="宋体"/>
          <w:b/>
          <w:bCs/>
          <w:color w:val="auto"/>
          <w:kern w:val="0"/>
          <w:sz w:val="24"/>
          <w:szCs w:val="24"/>
          <w:highlight w:val="none"/>
          <w:u w:val="none"/>
          <w:lang w:val="en-US" w:eastAsia="zh-CN"/>
        </w:rPr>
        <w:t>：</w:t>
      </w:r>
    </w:p>
    <w:p w14:paraId="36B7D51B">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3.</w:t>
      </w:r>
      <w:r>
        <w:rPr>
          <w:rFonts w:hint="eastAsia" w:ascii="宋体" w:hAnsi="宋体" w:cs="宋体"/>
          <w:b w:val="0"/>
          <w:bCs w:val="0"/>
          <w:color w:val="auto"/>
          <w:kern w:val="0"/>
          <w:sz w:val="24"/>
          <w:szCs w:val="24"/>
          <w:highlight w:val="none"/>
          <w:u w:val="none"/>
          <w:lang w:val="en-US" w:eastAsia="zh-CN"/>
        </w:rPr>
        <w:t>2.1</w:t>
      </w:r>
      <w:r>
        <w:rPr>
          <w:rFonts w:hint="eastAsia" w:ascii="宋体" w:hAnsi="宋体" w:eastAsia="宋体" w:cs="宋体"/>
          <w:b w:val="0"/>
          <w:bCs w:val="0"/>
          <w:color w:val="auto"/>
          <w:kern w:val="0"/>
          <w:sz w:val="24"/>
          <w:szCs w:val="24"/>
          <w:highlight w:val="none"/>
          <w:u w:val="none"/>
          <w:lang w:val="en-US" w:eastAsia="zh-CN"/>
        </w:rPr>
        <w:t>项目负责人（项目经理）资格要求：拟投入本项目的项目负责人应具备</w:t>
      </w:r>
      <w:r>
        <w:rPr>
          <w:rFonts w:hint="eastAsia" w:ascii="宋体" w:hAnsi="宋体" w:cs="宋体"/>
          <w:b w:val="0"/>
          <w:bCs w:val="0"/>
          <w:color w:val="auto"/>
          <w:kern w:val="0"/>
          <w:sz w:val="24"/>
          <w:szCs w:val="24"/>
          <w:highlight w:val="none"/>
          <w:u w:val="none"/>
          <w:lang w:val="en-US" w:eastAsia="zh-CN"/>
        </w:rPr>
        <w:t>水利水电工程专业</w:t>
      </w:r>
      <w:r>
        <w:rPr>
          <w:rFonts w:hint="eastAsia" w:ascii="宋体" w:hAnsi="宋体" w:eastAsia="宋体" w:cs="宋体"/>
          <w:b w:val="0"/>
          <w:bCs w:val="0"/>
          <w:color w:val="auto"/>
          <w:kern w:val="0"/>
          <w:sz w:val="24"/>
          <w:szCs w:val="24"/>
          <w:highlight w:val="none"/>
          <w:u w:val="none"/>
          <w:lang w:val="en-US" w:eastAsia="zh-CN"/>
        </w:rPr>
        <w:t>二级以上（含二级）注册建造师资格，</w:t>
      </w:r>
      <w:r>
        <w:rPr>
          <w:rFonts w:hint="eastAsia" w:ascii="宋体" w:hAnsi="宋体" w:cs="宋体"/>
          <w:b w:val="0"/>
          <w:bCs w:val="0"/>
          <w:color w:val="auto"/>
          <w:kern w:val="0"/>
          <w:sz w:val="24"/>
          <w:szCs w:val="24"/>
          <w:highlight w:val="none"/>
          <w:u w:val="none"/>
          <w:lang w:val="en-US" w:eastAsia="zh-CN"/>
        </w:rPr>
        <w:t>持</w:t>
      </w:r>
      <w:r>
        <w:rPr>
          <w:rFonts w:hint="eastAsia" w:ascii="宋体" w:hAnsi="宋体" w:eastAsia="宋体" w:cs="宋体"/>
          <w:b w:val="0"/>
          <w:bCs w:val="0"/>
          <w:color w:val="auto"/>
          <w:kern w:val="0"/>
          <w:sz w:val="24"/>
          <w:szCs w:val="24"/>
          <w:highlight w:val="none"/>
          <w:u w:val="none"/>
          <w:lang w:val="en-US" w:eastAsia="zh-CN"/>
        </w:rPr>
        <w:t>有效的安全生产考核合格证（B证），提供2026年1月1日至</w:t>
      </w:r>
      <w:r>
        <w:rPr>
          <w:rFonts w:hint="eastAsia" w:ascii="宋体" w:hAnsi="宋体" w:cs="宋体"/>
          <w:b w:val="0"/>
          <w:bCs w:val="0"/>
          <w:color w:val="auto"/>
          <w:kern w:val="0"/>
          <w:sz w:val="24"/>
          <w:szCs w:val="24"/>
          <w:highlight w:val="none"/>
          <w:u w:val="none"/>
          <w:lang w:val="en-US" w:eastAsia="zh-CN"/>
        </w:rPr>
        <w:t>投标截止日期前连续3个月</w:t>
      </w:r>
      <w:r>
        <w:rPr>
          <w:rFonts w:hint="eastAsia" w:ascii="宋体" w:hAnsi="宋体" w:eastAsia="宋体" w:cs="宋体"/>
          <w:b w:val="0"/>
          <w:bCs w:val="0"/>
          <w:color w:val="auto"/>
          <w:kern w:val="0"/>
          <w:sz w:val="24"/>
          <w:szCs w:val="24"/>
          <w:highlight w:val="none"/>
          <w:u w:val="none"/>
          <w:lang w:val="en-US" w:eastAsia="zh-CN"/>
        </w:rPr>
        <w:t>在投标单位</w:t>
      </w:r>
      <w:r>
        <w:rPr>
          <w:rFonts w:hint="eastAsia" w:ascii="宋体" w:hAnsi="宋体" w:cs="宋体"/>
          <w:b w:val="0"/>
          <w:bCs w:val="0"/>
          <w:color w:val="auto"/>
          <w:kern w:val="0"/>
          <w:sz w:val="24"/>
          <w:szCs w:val="24"/>
          <w:highlight w:val="none"/>
          <w:u w:val="none"/>
          <w:lang w:val="en-US" w:eastAsia="zh-CN"/>
        </w:rPr>
        <w:t>参保</w:t>
      </w:r>
      <w:r>
        <w:rPr>
          <w:rFonts w:hint="eastAsia" w:ascii="宋体" w:hAnsi="宋体" w:eastAsia="宋体" w:cs="宋体"/>
          <w:b w:val="0"/>
          <w:bCs w:val="0"/>
          <w:color w:val="auto"/>
          <w:kern w:val="0"/>
          <w:sz w:val="24"/>
          <w:szCs w:val="24"/>
          <w:highlight w:val="none"/>
          <w:u w:val="none"/>
          <w:lang w:val="en-US" w:eastAsia="zh-CN"/>
        </w:rPr>
        <w:t>的</w:t>
      </w:r>
      <w:r>
        <w:rPr>
          <w:rFonts w:hint="eastAsia" w:ascii="宋体" w:hAnsi="宋体" w:cs="宋体"/>
          <w:b w:val="0"/>
          <w:bCs w:val="0"/>
          <w:color w:val="auto"/>
          <w:kern w:val="0"/>
          <w:sz w:val="24"/>
          <w:szCs w:val="24"/>
          <w:highlight w:val="none"/>
          <w:u w:val="none"/>
          <w:lang w:val="en-US" w:eastAsia="zh-CN"/>
        </w:rPr>
        <w:t>职工</w:t>
      </w:r>
      <w:r>
        <w:rPr>
          <w:rFonts w:hint="eastAsia" w:ascii="宋体" w:hAnsi="宋体" w:eastAsia="宋体" w:cs="宋体"/>
          <w:b w:val="0"/>
          <w:bCs w:val="0"/>
          <w:color w:val="auto"/>
          <w:kern w:val="0"/>
          <w:sz w:val="24"/>
          <w:szCs w:val="24"/>
          <w:highlight w:val="none"/>
          <w:u w:val="none"/>
          <w:lang w:val="en-US" w:eastAsia="zh-CN"/>
        </w:rPr>
        <w:t>基本养老保险参保证明或社保证明，且不得担任其他在建工程项目的项目负责人</w:t>
      </w:r>
      <w:r>
        <w:rPr>
          <w:rFonts w:hint="eastAsia" w:ascii="宋体" w:hAnsi="宋体" w:cs="宋体"/>
          <w:b w:val="0"/>
          <w:bCs w:val="0"/>
          <w:color w:val="auto"/>
          <w:kern w:val="0"/>
          <w:sz w:val="24"/>
          <w:szCs w:val="24"/>
          <w:highlight w:val="none"/>
          <w:u w:val="none"/>
          <w:lang w:val="en-US" w:eastAsia="zh-CN"/>
        </w:rPr>
        <w:t>（提供承诺书）</w:t>
      </w:r>
      <w:r>
        <w:rPr>
          <w:rFonts w:hint="eastAsia" w:ascii="宋体" w:hAnsi="宋体" w:eastAsia="宋体" w:cs="宋体"/>
          <w:b w:val="0"/>
          <w:bCs w:val="0"/>
          <w:color w:val="auto"/>
          <w:kern w:val="0"/>
          <w:sz w:val="24"/>
          <w:szCs w:val="24"/>
          <w:highlight w:val="none"/>
          <w:u w:val="none"/>
          <w:lang w:val="en-US" w:eastAsia="zh-CN"/>
        </w:rPr>
        <w:t>。</w:t>
      </w:r>
    </w:p>
    <w:p w14:paraId="3EC685C8">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3.</w:t>
      </w:r>
      <w:r>
        <w:rPr>
          <w:rFonts w:hint="eastAsia" w:ascii="宋体" w:hAnsi="宋体" w:cs="宋体"/>
          <w:b w:val="0"/>
          <w:bCs w:val="0"/>
          <w:color w:val="auto"/>
          <w:kern w:val="0"/>
          <w:sz w:val="24"/>
          <w:szCs w:val="24"/>
          <w:highlight w:val="none"/>
          <w:u w:val="none"/>
          <w:lang w:val="en-US" w:eastAsia="zh-CN"/>
        </w:rPr>
        <w:t>2.2</w:t>
      </w:r>
      <w:r>
        <w:rPr>
          <w:rFonts w:hint="eastAsia" w:ascii="宋体" w:hAnsi="宋体" w:eastAsia="宋体" w:cs="宋体"/>
          <w:b w:val="0"/>
          <w:bCs w:val="0"/>
          <w:color w:val="auto"/>
          <w:kern w:val="0"/>
          <w:sz w:val="24"/>
          <w:szCs w:val="24"/>
          <w:highlight w:val="none"/>
          <w:u w:val="none"/>
          <w:lang w:val="en-US" w:eastAsia="zh-CN"/>
        </w:rPr>
        <w:t>技术负责人资格</w:t>
      </w:r>
      <w:r>
        <w:rPr>
          <w:rFonts w:hint="eastAsia" w:ascii="宋体" w:hAnsi="宋体" w:cs="宋体"/>
          <w:b w:val="0"/>
          <w:bCs w:val="0"/>
          <w:color w:val="auto"/>
          <w:kern w:val="0"/>
          <w:sz w:val="24"/>
          <w:szCs w:val="24"/>
          <w:highlight w:val="none"/>
          <w:u w:val="none"/>
          <w:lang w:val="en-US" w:eastAsia="zh-CN"/>
        </w:rPr>
        <w:t>要求</w:t>
      </w:r>
      <w:r>
        <w:rPr>
          <w:rFonts w:hint="eastAsia" w:ascii="宋体" w:hAnsi="宋体" w:eastAsia="宋体" w:cs="宋体"/>
          <w:b w:val="0"/>
          <w:bCs w:val="0"/>
          <w:color w:val="auto"/>
          <w:kern w:val="0"/>
          <w:sz w:val="24"/>
          <w:szCs w:val="24"/>
          <w:highlight w:val="none"/>
          <w:u w:val="none"/>
          <w:lang w:val="en-US" w:eastAsia="zh-CN"/>
        </w:rPr>
        <w:t>：拟投入本项目的技术负责人应具备工程类中级</w:t>
      </w:r>
      <w:r>
        <w:rPr>
          <w:rFonts w:hint="eastAsia" w:ascii="宋体" w:hAnsi="宋体" w:cs="宋体"/>
          <w:b w:val="0"/>
          <w:bCs w:val="0"/>
          <w:color w:val="auto"/>
          <w:kern w:val="0"/>
          <w:sz w:val="24"/>
          <w:szCs w:val="24"/>
          <w:highlight w:val="none"/>
          <w:u w:val="none"/>
          <w:lang w:val="en-US" w:eastAsia="zh-CN"/>
        </w:rPr>
        <w:t>以</w:t>
      </w:r>
      <w:r>
        <w:rPr>
          <w:rFonts w:hint="eastAsia" w:ascii="宋体" w:hAnsi="宋体" w:eastAsia="宋体" w:cs="宋体"/>
          <w:b w:val="0"/>
          <w:bCs w:val="0"/>
          <w:color w:val="auto"/>
          <w:kern w:val="0"/>
          <w:sz w:val="24"/>
          <w:szCs w:val="24"/>
          <w:highlight w:val="none"/>
          <w:u w:val="none"/>
          <w:lang w:val="en-US" w:eastAsia="zh-CN"/>
        </w:rPr>
        <w:t>上</w:t>
      </w:r>
      <w:r>
        <w:rPr>
          <w:rFonts w:hint="eastAsia" w:ascii="宋体" w:hAnsi="宋体" w:cs="宋体"/>
          <w:b w:val="0"/>
          <w:bCs w:val="0"/>
          <w:color w:val="auto"/>
          <w:kern w:val="0"/>
          <w:sz w:val="24"/>
          <w:szCs w:val="24"/>
          <w:highlight w:val="none"/>
          <w:u w:val="none"/>
          <w:lang w:val="en-US" w:eastAsia="zh-CN"/>
        </w:rPr>
        <w:t>（含中级）</w:t>
      </w:r>
      <w:r>
        <w:rPr>
          <w:rFonts w:hint="eastAsia" w:ascii="宋体" w:hAnsi="宋体" w:eastAsia="宋体" w:cs="宋体"/>
          <w:b w:val="0"/>
          <w:bCs w:val="0"/>
          <w:color w:val="auto"/>
          <w:kern w:val="0"/>
          <w:sz w:val="24"/>
          <w:szCs w:val="24"/>
          <w:highlight w:val="none"/>
          <w:u w:val="none"/>
          <w:lang w:val="en-US" w:eastAsia="zh-CN"/>
        </w:rPr>
        <w:t>技术职称，提供</w:t>
      </w:r>
      <w:r>
        <w:rPr>
          <w:rFonts w:hint="eastAsia" w:ascii="宋体" w:hAnsi="宋体" w:cs="宋体"/>
          <w:b w:val="0"/>
          <w:bCs w:val="0"/>
          <w:color w:val="auto"/>
          <w:kern w:val="0"/>
          <w:sz w:val="24"/>
          <w:szCs w:val="24"/>
          <w:highlight w:val="none"/>
          <w:u w:val="none"/>
          <w:lang w:val="en-US" w:eastAsia="zh-CN"/>
        </w:rPr>
        <w:t>2026年1月1日至投标截止日期前连续3个月</w:t>
      </w:r>
      <w:r>
        <w:rPr>
          <w:rFonts w:hint="eastAsia" w:ascii="宋体" w:hAnsi="宋体" w:eastAsia="宋体" w:cs="宋体"/>
          <w:b w:val="0"/>
          <w:bCs w:val="0"/>
          <w:color w:val="auto"/>
          <w:kern w:val="0"/>
          <w:sz w:val="24"/>
          <w:szCs w:val="24"/>
          <w:highlight w:val="none"/>
          <w:u w:val="none"/>
          <w:lang w:val="en-US" w:eastAsia="zh-CN"/>
        </w:rPr>
        <w:t>在投标单位</w:t>
      </w:r>
      <w:r>
        <w:rPr>
          <w:rFonts w:hint="eastAsia" w:ascii="宋体" w:hAnsi="宋体" w:cs="宋体"/>
          <w:b w:val="0"/>
          <w:bCs w:val="0"/>
          <w:color w:val="auto"/>
          <w:kern w:val="0"/>
          <w:sz w:val="24"/>
          <w:szCs w:val="24"/>
          <w:highlight w:val="none"/>
          <w:u w:val="none"/>
          <w:lang w:val="en-US" w:eastAsia="zh-CN"/>
        </w:rPr>
        <w:t>参保</w:t>
      </w:r>
      <w:r>
        <w:rPr>
          <w:rFonts w:hint="eastAsia" w:ascii="宋体" w:hAnsi="宋体" w:eastAsia="宋体" w:cs="宋体"/>
          <w:b w:val="0"/>
          <w:bCs w:val="0"/>
          <w:color w:val="auto"/>
          <w:kern w:val="0"/>
          <w:sz w:val="24"/>
          <w:szCs w:val="24"/>
          <w:highlight w:val="none"/>
          <w:u w:val="none"/>
          <w:lang w:val="en-US" w:eastAsia="zh-CN"/>
        </w:rPr>
        <w:t>的</w:t>
      </w:r>
      <w:r>
        <w:rPr>
          <w:rFonts w:hint="eastAsia" w:ascii="宋体" w:hAnsi="宋体" w:cs="宋体"/>
          <w:b w:val="0"/>
          <w:bCs w:val="0"/>
          <w:color w:val="auto"/>
          <w:kern w:val="0"/>
          <w:sz w:val="24"/>
          <w:szCs w:val="24"/>
          <w:highlight w:val="none"/>
          <w:u w:val="none"/>
          <w:lang w:val="en-US" w:eastAsia="zh-CN"/>
        </w:rPr>
        <w:t>职工</w:t>
      </w:r>
      <w:r>
        <w:rPr>
          <w:rFonts w:hint="eastAsia" w:ascii="宋体" w:hAnsi="宋体" w:eastAsia="宋体" w:cs="宋体"/>
          <w:b w:val="0"/>
          <w:bCs w:val="0"/>
          <w:color w:val="auto"/>
          <w:kern w:val="0"/>
          <w:sz w:val="24"/>
          <w:szCs w:val="24"/>
          <w:highlight w:val="none"/>
          <w:u w:val="none"/>
          <w:lang w:val="en-US" w:eastAsia="zh-CN"/>
        </w:rPr>
        <w:t>基本养老保险参保证明或社保证明，且不得担任其他在建工程项目的技术负责人，技术负责人与项目负责人不能为同一人。</w:t>
      </w:r>
    </w:p>
    <w:p w14:paraId="653D2FE6">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3.</w:t>
      </w:r>
      <w:r>
        <w:rPr>
          <w:rFonts w:hint="eastAsia" w:ascii="宋体" w:hAnsi="宋体" w:cs="宋体"/>
          <w:b w:val="0"/>
          <w:bCs w:val="0"/>
          <w:color w:val="auto"/>
          <w:kern w:val="0"/>
          <w:sz w:val="24"/>
          <w:szCs w:val="24"/>
          <w:highlight w:val="none"/>
          <w:u w:val="none"/>
          <w:lang w:val="en-US" w:eastAsia="zh-CN"/>
        </w:rPr>
        <w:t>2.3</w:t>
      </w:r>
      <w:r>
        <w:rPr>
          <w:rFonts w:hint="eastAsia" w:ascii="宋体" w:hAnsi="宋体" w:eastAsia="宋体" w:cs="宋体"/>
          <w:b w:val="0"/>
          <w:bCs w:val="0"/>
          <w:color w:val="auto"/>
          <w:kern w:val="0"/>
          <w:sz w:val="24"/>
          <w:szCs w:val="24"/>
          <w:highlight w:val="none"/>
          <w:u w:val="none"/>
          <w:lang w:val="en-US" w:eastAsia="zh-CN"/>
        </w:rPr>
        <w:t>项目施工现场专业（管理）人员配备要求：详见《施工现场专业（管理）人员配备表》规定，拟派本项目的施工现场专业（管理）人员均须为投标单位在职人员，并具备相关岗位资格证书，</w:t>
      </w:r>
      <w:r>
        <w:rPr>
          <w:rFonts w:hint="eastAsia" w:ascii="宋体" w:hAnsi="宋体" w:cs="宋体"/>
          <w:b w:val="0"/>
          <w:bCs w:val="0"/>
          <w:color w:val="auto"/>
          <w:kern w:val="0"/>
          <w:sz w:val="24"/>
          <w:szCs w:val="24"/>
          <w:highlight w:val="none"/>
          <w:u w:val="none"/>
          <w:lang w:val="en-US" w:eastAsia="zh-CN"/>
        </w:rPr>
        <w:t>提供2026年1月1日至投标截止日期前连续3个月在投标单位参保的职工基本养老保险参保证明或社保证明。</w:t>
      </w:r>
    </w:p>
    <w:p w14:paraId="4FA52D9B">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cs="宋体"/>
          <w:b/>
          <w:bCs/>
          <w:color w:val="auto"/>
          <w:kern w:val="0"/>
          <w:sz w:val="24"/>
          <w:szCs w:val="24"/>
          <w:highlight w:val="none"/>
          <w:u w:val="none"/>
          <w:lang w:val="en-US" w:eastAsia="zh-CN"/>
        </w:rPr>
        <w:t>3.3</w:t>
      </w:r>
      <w:r>
        <w:rPr>
          <w:rFonts w:hint="eastAsia" w:ascii="宋体" w:hAnsi="宋体" w:eastAsia="宋体" w:cs="宋体"/>
          <w:b/>
          <w:bCs/>
          <w:color w:val="auto"/>
          <w:kern w:val="0"/>
          <w:sz w:val="24"/>
          <w:szCs w:val="24"/>
          <w:highlight w:val="none"/>
          <w:u w:val="none"/>
          <w:lang w:val="en-US" w:eastAsia="zh-CN"/>
        </w:rPr>
        <w:t>财务要求</w:t>
      </w:r>
      <w:r>
        <w:rPr>
          <w:rFonts w:hint="eastAsia" w:ascii="宋体" w:hAnsi="宋体" w:cs="宋体"/>
          <w:b/>
          <w:bCs/>
          <w:color w:val="auto"/>
          <w:kern w:val="0"/>
          <w:sz w:val="24"/>
          <w:szCs w:val="24"/>
          <w:highlight w:val="none"/>
          <w:u w:val="none"/>
          <w:lang w:val="en-US" w:eastAsia="zh-CN"/>
        </w:rPr>
        <w:t>：</w:t>
      </w:r>
    </w:p>
    <w:p w14:paraId="6CCA4F00">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eastAsia="zh-CN"/>
        </w:rPr>
      </w:pPr>
      <w:r>
        <w:rPr>
          <w:rFonts w:hint="eastAsia" w:ascii="宋体" w:hAnsi="宋体" w:eastAsia="宋体" w:cs="宋体"/>
          <w:color w:val="auto"/>
          <w:kern w:val="0"/>
          <w:sz w:val="24"/>
          <w:szCs w:val="24"/>
          <w:highlight w:val="none"/>
          <w:u w:val="none"/>
          <w:lang w:val="en-US" w:eastAsia="zh-CN"/>
        </w:rPr>
        <w:t>投标人财务状况良</w:t>
      </w:r>
      <w:r>
        <w:rPr>
          <w:rFonts w:hint="eastAsia" w:ascii="宋体" w:hAnsi="宋体" w:eastAsia="宋体" w:cs="宋体"/>
          <w:bCs/>
          <w:color w:val="auto"/>
          <w:sz w:val="24"/>
          <w:szCs w:val="24"/>
          <w:highlight w:val="none"/>
        </w:rPr>
        <w:t>好，</w:t>
      </w:r>
      <w:r>
        <w:rPr>
          <w:rFonts w:hint="eastAsia" w:ascii="宋体" w:hAnsi="宋体" w:cs="宋体"/>
          <w:bCs/>
          <w:color w:val="auto"/>
          <w:sz w:val="24"/>
          <w:szCs w:val="24"/>
          <w:highlight w:val="none"/>
          <w:lang w:val="en-US" w:eastAsia="zh-CN"/>
        </w:rPr>
        <w:t>当前</w:t>
      </w:r>
      <w:r>
        <w:rPr>
          <w:rFonts w:hint="eastAsia" w:ascii="宋体" w:hAnsi="宋体" w:eastAsia="宋体" w:cs="宋体"/>
          <w:bCs/>
          <w:color w:val="auto"/>
          <w:sz w:val="24"/>
          <w:szCs w:val="24"/>
          <w:highlight w:val="none"/>
        </w:rPr>
        <w:t>未处于财产被接管、冻结或破产状态，具有健全的财务会计制度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提供近三年（</w:t>
      </w:r>
      <w:r>
        <w:rPr>
          <w:rFonts w:hint="eastAsia" w:ascii="宋体" w:hAnsi="宋体" w:eastAsia="宋体" w:cs="宋体"/>
          <w:bCs/>
          <w:color w:val="auto"/>
          <w:sz w:val="24"/>
          <w:szCs w:val="24"/>
          <w:highlight w:val="none"/>
          <w:lang w:eastAsia="zh-CN"/>
        </w:rPr>
        <w:t>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年</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年</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其中任意1年</w:t>
      </w:r>
      <w:r>
        <w:rPr>
          <w:rFonts w:hint="eastAsia" w:ascii="宋体" w:hAnsi="宋体" w:eastAsia="宋体" w:cs="宋体"/>
          <w:bCs/>
          <w:color w:val="auto"/>
          <w:sz w:val="24"/>
          <w:szCs w:val="24"/>
          <w:highlight w:val="none"/>
        </w:rPr>
        <w:t>经会计师事务所或其他第三方机构审计的财务报表（含资产负债表、利润表或损益表、现金流量表）及审计报告；近三年内新成立的企业提供成立年度至今经会计师事务所或其他第三方机构审计的财务报表及审计报告；</w:t>
      </w:r>
      <w:r>
        <w:rPr>
          <w:rFonts w:hint="eastAsia" w:ascii="宋体" w:hAnsi="宋体" w:cs="宋体"/>
          <w:bCs/>
          <w:color w:val="auto"/>
          <w:sz w:val="24"/>
          <w:szCs w:val="24"/>
          <w:highlight w:val="none"/>
          <w:lang w:eastAsia="zh-CN"/>
        </w:rPr>
        <w:t>202</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年新成立的企业（成立时间以企业安全生产许可证颁发时间为准）提供公司财务情况说明。</w:t>
      </w:r>
    </w:p>
    <w:p w14:paraId="34AC6C04">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rPr>
      </w:pPr>
      <w:r>
        <w:rPr>
          <w:rFonts w:hint="eastAsia" w:ascii="宋体" w:hAnsi="宋体" w:eastAsia="宋体" w:cs="宋体"/>
          <w:b/>
          <w:bCs/>
          <w:color w:val="auto"/>
          <w:kern w:val="0"/>
          <w:sz w:val="24"/>
          <w:szCs w:val="24"/>
          <w:highlight w:val="none"/>
          <w:u w:val="none"/>
          <w:lang w:val="en-US" w:eastAsia="zh-CN"/>
        </w:rPr>
        <w:t>3.4</w:t>
      </w:r>
      <w:r>
        <w:rPr>
          <w:rFonts w:hint="eastAsia" w:ascii="宋体" w:hAnsi="宋体" w:eastAsia="宋体" w:cs="宋体"/>
          <w:b/>
          <w:bCs/>
          <w:color w:val="auto"/>
          <w:kern w:val="0"/>
          <w:sz w:val="24"/>
          <w:szCs w:val="24"/>
          <w:highlight w:val="none"/>
          <w:u w:val="none"/>
        </w:rPr>
        <w:t>信誉要求</w:t>
      </w:r>
      <w:r>
        <w:rPr>
          <w:rFonts w:hint="eastAsia" w:ascii="宋体" w:hAnsi="宋体" w:cs="宋体"/>
          <w:b/>
          <w:bCs/>
          <w:color w:val="auto"/>
          <w:kern w:val="0"/>
          <w:sz w:val="24"/>
          <w:szCs w:val="24"/>
          <w:highlight w:val="none"/>
          <w:u w:val="none"/>
          <w:lang w:val="en-US" w:eastAsia="zh-CN"/>
        </w:rPr>
        <w:t>：</w:t>
      </w:r>
    </w:p>
    <w:p w14:paraId="60F024FB">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.1投标人当前没有处于被责令停产、投标资格取消、财产被接管或冻结、破产等状态；投标人近三年内（202</w:t>
      </w:r>
      <w:r>
        <w:rPr>
          <w:rFonts w:hint="eastAsia" w:ascii="宋体" w:hAnsi="宋体" w:cs="宋体"/>
          <w:bCs/>
          <w:color w:val="auto"/>
          <w:sz w:val="24"/>
          <w:szCs w:val="24"/>
          <w:highlight w:val="none"/>
          <w:lang w:val="en-US" w:eastAsia="zh-CN"/>
        </w:rPr>
        <w:t>3年1月1日</w:t>
      </w:r>
      <w:r>
        <w:rPr>
          <w:rFonts w:hint="eastAsia" w:ascii="宋体" w:hAnsi="宋体" w:eastAsia="宋体" w:cs="宋体"/>
          <w:bCs/>
          <w:color w:val="auto"/>
          <w:sz w:val="24"/>
          <w:szCs w:val="24"/>
          <w:highlight w:val="none"/>
        </w:rPr>
        <w:t>至今）未曾骗取中标或严重违约或发生重大工程质量、安全事故，没有被建设行政主管部门列入黑名单的情况（</w:t>
      </w:r>
      <w:r>
        <w:rPr>
          <w:rFonts w:hint="eastAsia" w:ascii="宋体" w:hAnsi="宋体" w:eastAsia="宋体" w:cs="宋体"/>
          <w:bCs/>
          <w:color w:val="auto"/>
          <w:sz w:val="24"/>
          <w:szCs w:val="24"/>
          <w:highlight w:val="none"/>
          <w:lang w:val="zh-CN"/>
        </w:rPr>
        <w:t>如未出现上述情况，投标人须</w:t>
      </w:r>
      <w:r>
        <w:rPr>
          <w:rFonts w:hint="eastAsia" w:ascii="宋体" w:hAnsi="宋体" w:eastAsia="宋体" w:cs="宋体"/>
          <w:bCs/>
          <w:color w:val="auto"/>
          <w:sz w:val="24"/>
          <w:szCs w:val="24"/>
          <w:highlight w:val="none"/>
          <w:lang w:val="en-US" w:eastAsia="zh-CN"/>
        </w:rPr>
        <w:t>作</w:t>
      </w:r>
      <w:r>
        <w:rPr>
          <w:rFonts w:hint="eastAsia" w:ascii="宋体" w:hAnsi="宋体" w:eastAsia="宋体" w:cs="宋体"/>
          <w:bCs/>
          <w:color w:val="auto"/>
          <w:sz w:val="24"/>
          <w:szCs w:val="24"/>
          <w:highlight w:val="none"/>
          <w:lang w:val="zh-CN"/>
        </w:rPr>
        <w:t>出承诺，并</w:t>
      </w:r>
      <w:r>
        <w:rPr>
          <w:rFonts w:hint="eastAsia" w:ascii="宋体" w:hAnsi="宋体" w:eastAsia="宋体" w:cs="宋体"/>
          <w:color w:val="auto"/>
          <w:kern w:val="0"/>
          <w:sz w:val="24"/>
          <w:szCs w:val="24"/>
          <w:highlight w:val="none"/>
          <w:u w:val="none"/>
          <w:lang w:val="zh-CN"/>
        </w:rPr>
        <w:t>对其真实性负责</w:t>
      </w:r>
      <w:r>
        <w:rPr>
          <w:rFonts w:hint="eastAsia" w:ascii="宋体" w:hAnsi="宋体" w:eastAsia="宋体" w:cs="宋体"/>
          <w:color w:val="auto"/>
          <w:kern w:val="0"/>
          <w:sz w:val="24"/>
          <w:szCs w:val="24"/>
          <w:highlight w:val="none"/>
          <w:u w:val="none"/>
        </w:rPr>
        <w:t>）。</w:t>
      </w:r>
    </w:p>
    <w:p w14:paraId="3542F09D">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3.</w:t>
      </w:r>
      <w:r>
        <w:rPr>
          <w:rFonts w:hint="eastAsia" w:ascii="宋体" w:hAnsi="宋体" w:eastAsia="宋体" w:cs="宋体"/>
          <w:color w:val="auto"/>
          <w:kern w:val="0"/>
          <w:sz w:val="24"/>
          <w:szCs w:val="24"/>
          <w:highlight w:val="none"/>
          <w:u w:val="none"/>
          <w:lang w:val="en-US" w:eastAsia="zh-CN"/>
        </w:rPr>
        <w:t>4</w:t>
      </w:r>
      <w:r>
        <w:rPr>
          <w:rFonts w:hint="eastAsia" w:ascii="宋体" w:hAnsi="宋体" w:eastAsia="宋体" w:cs="宋体"/>
          <w:color w:val="auto"/>
          <w:kern w:val="0"/>
          <w:sz w:val="24"/>
          <w:szCs w:val="24"/>
          <w:highlight w:val="none"/>
          <w:u w:val="none"/>
        </w:rPr>
        <w:t>.2近三年（202</w:t>
      </w:r>
      <w:r>
        <w:rPr>
          <w:rFonts w:hint="eastAsia" w:ascii="宋体" w:hAnsi="宋体" w:cs="宋体"/>
          <w:color w:val="auto"/>
          <w:kern w:val="0"/>
          <w:sz w:val="24"/>
          <w:szCs w:val="24"/>
          <w:highlight w:val="none"/>
          <w:u w:val="none"/>
          <w:lang w:val="en-US" w:eastAsia="zh-CN"/>
        </w:rPr>
        <w:t>3</w:t>
      </w:r>
      <w:r>
        <w:rPr>
          <w:rFonts w:hint="eastAsia" w:ascii="宋体" w:hAnsi="宋体" w:eastAsia="宋体" w:cs="宋体"/>
          <w:color w:val="auto"/>
          <w:kern w:val="0"/>
          <w:sz w:val="24"/>
          <w:szCs w:val="24"/>
          <w:highlight w:val="none"/>
          <w:u w:val="none"/>
        </w:rPr>
        <w:t>年1月1日至今）企业、企业法定代表人及拟派项目负责人无行贿犯罪记录（投标人自行在中国裁判文书网查询，提供承诺函及查询结果截图</w:t>
      </w:r>
      <w:r>
        <w:rPr>
          <w:rFonts w:hint="eastAsia" w:ascii="宋体" w:hAnsi="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rPr>
        <w:t>截图内容应清晰可辨，否则不予认可，查询时间应为本项目招标公告发布之日后）。</w:t>
      </w:r>
    </w:p>
    <w:p w14:paraId="2CD85B67">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3.</w:t>
      </w:r>
      <w:r>
        <w:rPr>
          <w:rFonts w:hint="eastAsia" w:ascii="宋体" w:hAnsi="宋体" w:eastAsia="宋体" w:cs="宋体"/>
          <w:color w:val="auto"/>
          <w:kern w:val="0"/>
          <w:sz w:val="24"/>
          <w:szCs w:val="24"/>
          <w:highlight w:val="none"/>
          <w:u w:val="none"/>
          <w:lang w:val="en-US" w:eastAsia="zh-CN"/>
        </w:rPr>
        <w:t>4</w:t>
      </w:r>
      <w:r>
        <w:rPr>
          <w:rFonts w:hint="eastAsia" w:ascii="宋体" w:hAnsi="宋体" w:eastAsia="宋体" w:cs="宋体"/>
          <w:color w:val="auto"/>
          <w:kern w:val="0"/>
          <w:sz w:val="24"/>
          <w:szCs w:val="24"/>
          <w:highlight w:val="none"/>
          <w:u w:val="none"/>
        </w:rPr>
        <w:t>.3近三年（202</w:t>
      </w:r>
      <w:r>
        <w:rPr>
          <w:rFonts w:hint="eastAsia" w:ascii="宋体" w:hAnsi="宋体" w:cs="宋体"/>
          <w:color w:val="auto"/>
          <w:kern w:val="0"/>
          <w:sz w:val="24"/>
          <w:szCs w:val="24"/>
          <w:highlight w:val="none"/>
          <w:u w:val="none"/>
          <w:lang w:val="en-US" w:eastAsia="zh-CN"/>
        </w:rPr>
        <w:t>3</w:t>
      </w:r>
      <w:r>
        <w:rPr>
          <w:rFonts w:hint="eastAsia" w:ascii="宋体" w:hAnsi="宋体" w:eastAsia="宋体" w:cs="宋体"/>
          <w:color w:val="auto"/>
          <w:kern w:val="0"/>
          <w:sz w:val="24"/>
          <w:szCs w:val="24"/>
          <w:highlight w:val="none"/>
          <w:u w:val="none"/>
        </w:rPr>
        <w:t>年1月1日至今）企业、企业法定代表人及拟派项目负责人未被列为失信被执行人，投标人须作出书面承诺并自行在“中国执行信息公开网”查询，提供查询结果截图（截图内容应清晰可辨，否则不予认可，查询时间应为本项目招标公告发布之日后）。</w:t>
      </w:r>
    </w:p>
    <w:p w14:paraId="56A918F3">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3.</w:t>
      </w:r>
      <w:r>
        <w:rPr>
          <w:rFonts w:hint="eastAsia" w:ascii="宋体" w:hAnsi="宋体" w:eastAsia="宋体" w:cs="宋体"/>
          <w:color w:val="auto"/>
          <w:kern w:val="0"/>
          <w:sz w:val="24"/>
          <w:szCs w:val="24"/>
          <w:highlight w:val="none"/>
          <w:u w:val="none"/>
          <w:lang w:val="en-US" w:eastAsia="zh-CN"/>
        </w:rPr>
        <w:t>4</w:t>
      </w:r>
      <w:r>
        <w:rPr>
          <w:rFonts w:hint="eastAsia" w:ascii="宋体" w:hAnsi="宋体" w:eastAsia="宋体" w:cs="宋体"/>
          <w:color w:val="auto"/>
          <w:kern w:val="0"/>
          <w:sz w:val="24"/>
          <w:szCs w:val="24"/>
          <w:highlight w:val="none"/>
          <w:u w:val="none"/>
        </w:rPr>
        <w:t>.4投标人近3年未出现拖欠农民工工资情况（投标人自行到工商注册地人力资源和社会保障部门劳动监察机构出具相关证明或相关网站查询“企业工资支付信用记录”，并提供相关证明或查询结果原件扫描件；省外企业可提供工商注册地人力资源和社会保障部门劳动监察机构出具的无拖欠农民工工资记录证明原件扫描件或未出现拖欠农民工工资情况的承诺，成立不满三年的企业提供成立至今的查询结果）。</w:t>
      </w:r>
    </w:p>
    <w:p w14:paraId="00AD7896">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rPr>
      </w:pPr>
      <w:r>
        <w:rPr>
          <w:rFonts w:hint="eastAsia" w:ascii="宋体" w:hAnsi="宋体" w:eastAsia="宋体" w:cs="宋体"/>
          <w:color w:val="auto"/>
          <w:kern w:val="0"/>
          <w:sz w:val="24"/>
          <w:szCs w:val="24"/>
          <w:highlight w:val="none"/>
          <w:u w:val="none"/>
        </w:rPr>
        <w:t>3.</w:t>
      </w:r>
      <w:r>
        <w:rPr>
          <w:rFonts w:hint="eastAsia" w:ascii="宋体" w:hAnsi="宋体" w:eastAsia="宋体" w:cs="宋体"/>
          <w:color w:val="auto"/>
          <w:kern w:val="0"/>
          <w:sz w:val="24"/>
          <w:szCs w:val="24"/>
          <w:highlight w:val="none"/>
          <w:u w:val="none"/>
          <w:lang w:val="en-US" w:eastAsia="zh-CN"/>
        </w:rPr>
        <w:t>4</w:t>
      </w:r>
      <w:r>
        <w:rPr>
          <w:rFonts w:hint="eastAsia" w:ascii="宋体" w:hAnsi="宋体" w:eastAsia="宋体" w:cs="宋体"/>
          <w:color w:val="auto"/>
          <w:kern w:val="0"/>
          <w:sz w:val="24"/>
          <w:szCs w:val="24"/>
          <w:highlight w:val="none"/>
          <w:u w:val="none"/>
        </w:rPr>
        <w:t>.5诉讼及仲裁：诉讼及仲裁：投标人</w:t>
      </w:r>
      <w:r>
        <w:rPr>
          <w:rFonts w:hint="eastAsia" w:ascii="宋体" w:hAnsi="宋体" w:cs="宋体"/>
          <w:color w:val="auto"/>
          <w:kern w:val="0"/>
          <w:sz w:val="24"/>
          <w:szCs w:val="24"/>
          <w:highlight w:val="none"/>
          <w:u w:val="none"/>
          <w:lang w:val="en-US" w:eastAsia="zh-CN"/>
        </w:rPr>
        <w:t>须承诺</w:t>
      </w:r>
      <w:r>
        <w:rPr>
          <w:rFonts w:hint="eastAsia" w:ascii="宋体" w:hAnsi="宋体" w:eastAsia="宋体" w:cs="宋体"/>
          <w:color w:val="auto"/>
          <w:kern w:val="0"/>
          <w:sz w:val="24"/>
          <w:szCs w:val="24"/>
          <w:highlight w:val="none"/>
          <w:u w:val="none"/>
        </w:rPr>
        <w:t>涉及诉讼事件不影响</w:t>
      </w:r>
      <w:r>
        <w:rPr>
          <w:rFonts w:hint="eastAsia" w:ascii="宋体" w:hAnsi="宋体" w:cs="宋体"/>
          <w:color w:val="auto"/>
          <w:kern w:val="0"/>
          <w:sz w:val="24"/>
          <w:szCs w:val="24"/>
          <w:highlight w:val="none"/>
          <w:u w:val="none"/>
          <w:lang w:val="en-US" w:eastAsia="zh-CN"/>
        </w:rPr>
        <w:t>投标人</w:t>
      </w:r>
      <w:r>
        <w:rPr>
          <w:rFonts w:hint="eastAsia" w:ascii="宋体" w:hAnsi="宋体" w:eastAsia="宋体" w:cs="宋体"/>
          <w:color w:val="auto"/>
          <w:kern w:val="0"/>
          <w:sz w:val="24"/>
          <w:szCs w:val="24"/>
          <w:highlight w:val="none"/>
          <w:u w:val="none"/>
        </w:rPr>
        <w:t>在本招标项目的履约能力（提供承诺书）。</w:t>
      </w:r>
    </w:p>
    <w:p w14:paraId="056ACAC4">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rPr>
      </w:pPr>
      <w:r>
        <w:rPr>
          <w:rFonts w:hint="eastAsia" w:ascii="宋体" w:hAnsi="宋体" w:cs="宋体"/>
          <w:color w:val="auto"/>
          <w:kern w:val="0"/>
          <w:sz w:val="24"/>
          <w:szCs w:val="24"/>
          <w:highlight w:val="none"/>
          <w:u w:val="none"/>
          <w:lang w:val="en-US" w:eastAsia="zh-CN"/>
        </w:rPr>
        <w:t>3.4.6</w:t>
      </w:r>
      <w:r>
        <w:rPr>
          <w:rFonts w:hint="eastAsia" w:ascii="宋体" w:hAnsi="宋体" w:eastAsia="宋体" w:cs="宋体"/>
          <w:color w:val="auto"/>
          <w:kern w:val="0"/>
          <w:sz w:val="24"/>
          <w:szCs w:val="24"/>
          <w:highlight w:val="none"/>
          <w:u w:val="none"/>
        </w:rPr>
        <w:t>根据中华人民共和国国务院令第724号《保障农民工工资支付条例》要求，针对农民工工资支付事项，承包人须在工程项目所在地人社部门足额缴纳农民工工资保证金，并严格按人社部门的相关要求支付农民工工资（提供承诺书）。</w:t>
      </w:r>
    </w:p>
    <w:p w14:paraId="546ADFAC">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default"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3.4.7投标人须提供工程质量承诺书，不转包、不违法分包承诺书，不拖延工期承诺书，项目经理及技术负责人不更换及常驻现场承诺书。</w:t>
      </w:r>
    </w:p>
    <w:p w14:paraId="30E22EBA">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default" w:ascii="宋体" w:hAnsi="宋体" w:eastAsia="宋体" w:cs="宋体"/>
          <w:b/>
          <w:bCs/>
          <w:color w:val="auto"/>
          <w:kern w:val="0"/>
          <w:sz w:val="24"/>
          <w:szCs w:val="24"/>
          <w:highlight w:val="none"/>
          <w:u w:val="none"/>
          <w:lang w:val="en-US" w:eastAsia="zh-CN"/>
        </w:rPr>
      </w:pPr>
      <w:r>
        <w:rPr>
          <w:rFonts w:hint="eastAsia" w:ascii="宋体" w:hAnsi="宋体" w:cs="宋体"/>
          <w:b w:val="0"/>
          <w:bCs w:val="0"/>
          <w:color w:val="auto"/>
          <w:kern w:val="0"/>
          <w:sz w:val="24"/>
          <w:szCs w:val="24"/>
          <w:highlight w:val="none"/>
          <w:u w:val="none"/>
          <w:lang w:val="en-US" w:eastAsia="zh-CN"/>
        </w:rPr>
        <w:t>3.4.8投标人对提供的证明材料、承诺及说明必须真实、有效，招标人或行政监管单位保留复核查询的权利。若招标人发现投标单位提供虚假资料骗取投标资格或中标的，一经查实取消投标资格或中标资格，骗取投标资格或中标的，将按照相关法律法规进行严肃处罚。投标人的资格审查和诚信承诺贯穿招投标工作和施工全过程，在招投标和施工全过程任何一个环节若发现投标人不符合投标资格条件和提供虚假材料的，不论是评标过程中还是结果公示中，或者已签订合同并执行完毕，招标人、监管单位均可追究由其造成的一切后果（包括但不限于刑事及民事责任）。</w:t>
      </w:r>
    </w:p>
    <w:p w14:paraId="225C5DA9">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eastAsia="zh-CN"/>
        </w:rPr>
      </w:pPr>
      <w:r>
        <w:rPr>
          <w:rFonts w:hint="eastAsia" w:ascii="宋体" w:hAnsi="宋体" w:eastAsia="宋体" w:cs="宋体"/>
          <w:b/>
          <w:bCs/>
          <w:color w:val="auto"/>
          <w:kern w:val="0"/>
          <w:sz w:val="24"/>
          <w:szCs w:val="24"/>
          <w:highlight w:val="none"/>
          <w:u w:val="none"/>
          <w:lang w:val="en-US" w:eastAsia="zh-CN"/>
        </w:rPr>
        <w:t>3</w:t>
      </w:r>
      <w:r>
        <w:rPr>
          <w:rFonts w:hint="eastAsia" w:ascii="宋体" w:hAnsi="宋体" w:eastAsia="宋体" w:cs="宋体"/>
          <w:b/>
          <w:bCs/>
          <w:color w:val="auto"/>
          <w:kern w:val="0"/>
          <w:sz w:val="24"/>
          <w:szCs w:val="24"/>
          <w:highlight w:val="none"/>
          <w:u w:val="none"/>
        </w:rPr>
        <w:t>.</w:t>
      </w:r>
      <w:r>
        <w:rPr>
          <w:rFonts w:hint="eastAsia" w:ascii="宋体" w:hAnsi="宋体" w:eastAsia="宋体" w:cs="宋体"/>
          <w:b/>
          <w:bCs/>
          <w:color w:val="auto"/>
          <w:kern w:val="0"/>
          <w:sz w:val="24"/>
          <w:szCs w:val="24"/>
          <w:highlight w:val="none"/>
          <w:u w:val="none"/>
          <w:lang w:val="en-US" w:eastAsia="zh-CN"/>
        </w:rPr>
        <w:t>5</w:t>
      </w:r>
      <w:r>
        <w:rPr>
          <w:rFonts w:hint="eastAsia" w:ascii="宋体" w:hAnsi="宋体" w:eastAsia="宋体" w:cs="宋体"/>
          <w:b/>
          <w:bCs/>
          <w:color w:val="auto"/>
          <w:kern w:val="0"/>
          <w:sz w:val="24"/>
          <w:szCs w:val="24"/>
          <w:highlight w:val="none"/>
          <w:u w:val="none"/>
          <w:lang w:eastAsia="zh-CN"/>
        </w:rPr>
        <w:t>其他</w:t>
      </w:r>
      <w:r>
        <w:rPr>
          <w:rFonts w:hint="eastAsia" w:ascii="宋体" w:hAnsi="宋体" w:eastAsia="宋体" w:cs="宋体"/>
          <w:b/>
          <w:bCs/>
          <w:color w:val="auto"/>
          <w:kern w:val="0"/>
          <w:sz w:val="24"/>
          <w:szCs w:val="24"/>
          <w:highlight w:val="none"/>
          <w:u w:val="none"/>
        </w:rPr>
        <w:t>要求</w:t>
      </w:r>
      <w:r>
        <w:rPr>
          <w:rFonts w:hint="eastAsia" w:ascii="宋体" w:hAnsi="宋体" w:cs="宋体"/>
          <w:b/>
          <w:bCs/>
          <w:color w:val="auto"/>
          <w:kern w:val="0"/>
          <w:sz w:val="24"/>
          <w:szCs w:val="24"/>
          <w:highlight w:val="none"/>
          <w:u w:val="none"/>
          <w:lang w:val="en-US" w:eastAsia="zh-CN"/>
        </w:rPr>
        <w:t>：</w:t>
      </w:r>
    </w:p>
    <w:p w14:paraId="0A1835F3">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default"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3.5.1本项目不接受联合体投标。</w:t>
      </w:r>
    </w:p>
    <w:p w14:paraId="4232988D">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cs="宋体"/>
          <w:b w:val="0"/>
          <w:bCs w:val="0"/>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3.5.2</w:t>
      </w:r>
      <w:r>
        <w:rPr>
          <w:rFonts w:hint="eastAsia" w:ascii="宋体" w:hAnsi="宋体" w:eastAsia="宋体" w:cs="宋体"/>
          <w:color w:val="auto"/>
          <w:kern w:val="0"/>
          <w:sz w:val="24"/>
          <w:szCs w:val="24"/>
          <w:highlight w:val="none"/>
          <w:u w:val="none"/>
          <w:lang w:val="en-US" w:eastAsia="zh-CN"/>
        </w:rPr>
        <w:t>与招标人存在利害关系可能影响招标公正性的法人、其他组织或者个人，不得参加投标。单位负责人为同一人或者存在控股、管理关系的不同单位，不得参加同一标段的投标。具有投标参股关系的关联企业，或具有直接管理和被管理关系的母子公司，或同一母公司的子公司，或法定代表人为同一人的两个及两个以上法人不得同时对</w:t>
      </w:r>
      <w:r>
        <w:rPr>
          <w:rFonts w:hint="eastAsia" w:ascii="宋体" w:hAnsi="宋体" w:cs="宋体"/>
          <w:color w:val="auto"/>
          <w:kern w:val="0"/>
          <w:sz w:val="24"/>
          <w:szCs w:val="24"/>
          <w:highlight w:val="none"/>
          <w:u w:val="none"/>
          <w:lang w:val="en-US" w:eastAsia="zh-CN"/>
        </w:rPr>
        <w:t>同一标段</w:t>
      </w:r>
      <w:r>
        <w:rPr>
          <w:rFonts w:hint="eastAsia" w:ascii="宋体" w:hAnsi="宋体" w:eastAsia="宋体" w:cs="宋体"/>
          <w:color w:val="auto"/>
          <w:kern w:val="0"/>
          <w:sz w:val="24"/>
          <w:szCs w:val="24"/>
          <w:highlight w:val="none"/>
          <w:u w:val="none"/>
          <w:lang w:val="en-US" w:eastAsia="zh-CN"/>
        </w:rPr>
        <w:t>提出投标申请，否则，相关投标均无效</w:t>
      </w:r>
      <w:r>
        <w:rPr>
          <w:rFonts w:hint="eastAsia" w:ascii="宋体" w:hAnsi="宋体" w:eastAsia="宋体" w:cs="宋体"/>
          <w:color w:val="auto"/>
          <w:kern w:val="0"/>
          <w:sz w:val="24"/>
          <w:szCs w:val="24"/>
          <w:highlight w:val="none"/>
          <w:u w:val="none"/>
        </w:rPr>
        <w:t>。</w:t>
      </w:r>
    </w:p>
    <w:p w14:paraId="5A479DA5">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cs="宋体"/>
          <w:b/>
          <w:bCs/>
          <w:color w:val="auto"/>
          <w:kern w:val="0"/>
          <w:sz w:val="24"/>
          <w:szCs w:val="24"/>
          <w:highlight w:val="none"/>
          <w:u w:val="none"/>
          <w:lang w:val="en-US" w:eastAsia="zh-CN"/>
        </w:rPr>
        <w:t>4</w:t>
      </w:r>
      <w:r>
        <w:rPr>
          <w:rFonts w:hint="eastAsia" w:ascii="宋体" w:hAnsi="宋体" w:eastAsia="宋体" w:cs="宋体"/>
          <w:b/>
          <w:bCs/>
          <w:color w:val="auto"/>
          <w:kern w:val="0"/>
          <w:sz w:val="24"/>
          <w:szCs w:val="24"/>
          <w:highlight w:val="none"/>
          <w:u w:val="none"/>
          <w:lang w:val="en-US" w:eastAsia="zh-CN"/>
        </w:rPr>
        <w:t>.招标文件的获取</w:t>
      </w:r>
    </w:p>
    <w:p w14:paraId="5E0D5871">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b w:val="0"/>
          <w:bCs w:val="0"/>
          <w:color w:val="auto"/>
          <w:kern w:val="0"/>
          <w:sz w:val="24"/>
          <w:szCs w:val="24"/>
          <w:highlight w:val="none"/>
          <w:u w:val="none"/>
          <w:lang w:val="en-US" w:eastAsia="zh-CN"/>
        </w:rPr>
      </w:pPr>
      <w:bookmarkStart w:id="5" w:name="_Toc10563"/>
      <w:bookmarkStart w:id="6" w:name="_Toc1750"/>
      <w:bookmarkStart w:id="7" w:name="_Toc14809"/>
      <w:bookmarkStart w:id="8" w:name="_Toc22162"/>
      <w:bookmarkStart w:id="9" w:name="_Toc17815"/>
      <w:r>
        <w:rPr>
          <w:rFonts w:hint="eastAsia" w:ascii="宋体" w:hAnsi="宋体" w:eastAsia="宋体" w:cs="宋体"/>
          <w:b w:val="0"/>
          <w:bCs w:val="0"/>
          <w:color w:val="auto"/>
          <w:kern w:val="0"/>
          <w:sz w:val="24"/>
          <w:szCs w:val="24"/>
          <w:highlight w:val="none"/>
          <w:u w:val="none"/>
          <w:lang w:val="en-US" w:eastAsia="zh-CN"/>
        </w:rPr>
        <w:t>凡有意参加投标者，请于</w:t>
      </w:r>
      <w:r>
        <w:rPr>
          <w:rFonts w:hint="eastAsia" w:ascii="宋体" w:hAnsi="宋体" w:eastAsia="宋体" w:cs="宋体"/>
          <w:b w:val="0"/>
          <w:bCs w:val="0"/>
          <w:color w:val="auto"/>
          <w:kern w:val="0"/>
          <w:sz w:val="24"/>
          <w:szCs w:val="24"/>
          <w:highlight w:val="green"/>
          <w:u w:val="none"/>
          <w:shd w:val="clear" w:fill="92D050"/>
          <w:lang w:val="en-US" w:eastAsia="zh-CN"/>
        </w:rPr>
        <w:t>2026年  月  日至2026年  月  日23时59分</w:t>
      </w:r>
      <w:r>
        <w:rPr>
          <w:rFonts w:hint="eastAsia" w:ascii="宋体" w:hAnsi="宋体" w:eastAsia="宋体" w:cs="宋体"/>
          <w:b w:val="0"/>
          <w:bCs w:val="0"/>
          <w:color w:val="auto"/>
          <w:kern w:val="0"/>
          <w:sz w:val="24"/>
          <w:szCs w:val="24"/>
          <w:highlight w:val="none"/>
          <w:u w:val="none"/>
          <w:lang w:val="en-US" w:eastAsia="zh-CN"/>
        </w:rPr>
        <w:t>，登录云南省公共资源交易信息网（网址：http://ggzy.yn.gov.cn）选择“楚雄州”，凭企业数字证书（CA）在网上获取电子招标文件（格式为*.BZBJ）。未办理企业数字证书（CA）的企业需要按照云南省公共资源交易电子认证的要求，办理企业数字证书（CA），并在楚雄州公共资源交易电子服务系统完成注册通过后，便可获取电子招标文件，此为获取招标文件的唯一途径。</w:t>
      </w:r>
    </w:p>
    <w:p w14:paraId="0EE9CDF0">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zh-CN" w:eastAsia="zh-CN"/>
        </w:rPr>
      </w:pPr>
      <w:r>
        <w:rPr>
          <w:rFonts w:hint="eastAsia" w:ascii="宋体" w:hAnsi="宋体" w:cs="宋体"/>
          <w:b/>
          <w:bCs/>
          <w:color w:val="auto"/>
          <w:kern w:val="0"/>
          <w:sz w:val="24"/>
          <w:szCs w:val="24"/>
          <w:highlight w:val="none"/>
          <w:u w:val="none"/>
          <w:lang w:val="en-US" w:eastAsia="zh-CN"/>
        </w:rPr>
        <w:t>5.</w:t>
      </w:r>
      <w:r>
        <w:rPr>
          <w:rFonts w:hint="eastAsia" w:ascii="宋体" w:hAnsi="宋体" w:eastAsia="宋体" w:cs="宋体"/>
          <w:b/>
          <w:bCs/>
          <w:color w:val="auto"/>
          <w:kern w:val="0"/>
          <w:sz w:val="24"/>
          <w:szCs w:val="24"/>
          <w:highlight w:val="none"/>
          <w:u w:val="none"/>
          <w:lang w:val="zh-CN" w:eastAsia="zh-CN"/>
        </w:rPr>
        <w:t>投标文件的递交</w:t>
      </w:r>
      <w:bookmarkEnd w:id="5"/>
      <w:bookmarkEnd w:id="6"/>
      <w:bookmarkEnd w:id="7"/>
      <w:bookmarkEnd w:id="8"/>
      <w:bookmarkEnd w:id="9"/>
    </w:p>
    <w:p w14:paraId="11306366">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bookmarkStart w:id="10" w:name="_Toc20754"/>
      <w:bookmarkStart w:id="11" w:name="_Toc31438"/>
      <w:bookmarkStart w:id="12" w:name="_Toc8535"/>
      <w:bookmarkStart w:id="13" w:name="_Toc4557"/>
      <w:r>
        <w:rPr>
          <w:rFonts w:hint="eastAsia" w:ascii="宋体" w:hAnsi="宋体" w:eastAsia="宋体" w:cs="宋体"/>
          <w:color w:val="auto"/>
          <w:kern w:val="0"/>
          <w:sz w:val="24"/>
          <w:szCs w:val="24"/>
          <w:highlight w:val="none"/>
          <w:u w:val="none"/>
          <w:lang w:val="en-US" w:eastAsia="zh-CN"/>
        </w:rPr>
        <w:t>5.1投标文件递交截止时间（投标截止时间，下同）为</w:t>
      </w:r>
      <w:r>
        <w:rPr>
          <w:rFonts w:hint="eastAsia" w:ascii="宋体" w:hAnsi="宋体" w:eastAsia="宋体" w:cs="宋体"/>
          <w:color w:val="auto"/>
          <w:kern w:val="0"/>
          <w:sz w:val="24"/>
          <w:szCs w:val="24"/>
          <w:highlight w:val="green"/>
          <w:u w:val="none"/>
          <w:lang w:val="en-US" w:eastAsia="zh-CN"/>
        </w:rPr>
        <w:t>2026年  月  日09时00分</w:t>
      </w:r>
      <w:r>
        <w:rPr>
          <w:rFonts w:hint="eastAsia" w:ascii="宋体" w:hAnsi="宋体" w:eastAsia="宋体" w:cs="宋体"/>
          <w:color w:val="auto"/>
          <w:kern w:val="0"/>
          <w:sz w:val="24"/>
          <w:szCs w:val="24"/>
          <w:highlight w:val="none"/>
          <w:u w:val="none"/>
          <w:lang w:val="en-US" w:eastAsia="zh-CN"/>
        </w:rPr>
        <w:t>(北京时间)，开标地点：元谋县公共资源交易中心。</w:t>
      </w:r>
    </w:p>
    <w:p w14:paraId="2A06ECE1">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5.2网上递交：投标人须在投标截止时间前登录云南省公共资源交易信息网（https://ggzy.yn.gov.cn）选择“楚雄州”，完成所有电子投标文件的上传，网上确认电子签名，并打印“上传投标文件回执”，投标截止时间前未完成投标文件传输的，视为撤回投标文件（如因修改重新上传投标文件后，需再次确认并打印回执）。</w:t>
      </w:r>
    </w:p>
    <w:p w14:paraId="60B2ECEA">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5.2.1 开标方式：采用网上开标远程解密方式；</w:t>
      </w:r>
    </w:p>
    <w:p w14:paraId="509B0351">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5.2.1.1开标时投标单位无须到现场出席开标会。各投标单位对上传的相关证件及证明资料真实性负责(确保上传的相关资料清晰可辨，如评标过程中，评标委员会无法辨别影响评标的，责任由投标人自行承担)，在到达开标时间之后投标人自行登录云南省公共资源交易信息网（https://ggzy.yn.gov.cn）选择“楚雄州”，点击【智能开标系统】，进入网上开标大厅，至投标截止时间后方能找到对应项目，点击项目后方的【进入】按钮进入开标室页面，进行系统自动签到(温馨提示:登录及电子签名时需要用企业CA锁，解密时需要用投标文件加密的CA锁，为了不频繁更换CA锁影响解密及签名确认，故建议投标文件加密时采用企业CA锁进行加密)；</w:t>
      </w:r>
    </w:p>
    <w:p w14:paraId="1F8F12B9">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5.2.1.2开标系统下达网上解密指令后，投标单位点击上方【网上解密】进入网上解密界面，各投标单位必须在系统下达的时间内完成解密工作；</w:t>
      </w:r>
    </w:p>
    <w:p w14:paraId="7FAC6211">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5.2.1.3开标过程中，待全部投标单位解密成功唱标后投标单位如有问题，可以在线发起异议，点击右上角的【提出异议】按钮，填写异议详细内容之后进行提交，由招标人(招标代理机构)给予对应的回复；</w:t>
      </w:r>
    </w:p>
    <w:p w14:paraId="430C11DF">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5.2.1.4各投标人应当提前熟悉和掌握网上开标远程解密详细操作，操作步骤可登录云南省公共资源交易信息网（https://ggzy.yn.gov.cn）选择“楚雄州”，从“办事指南”处下载《云南省公共资源交易电子化平台智能开标系统培训教材》进行学习。</w:t>
      </w:r>
    </w:p>
    <w:p w14:paraId="3CF88CC9">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5.2.1.5开标当天投标人无法正常登录系统、无法正常解密的，应及时联系筑龙客服说明问题并请求远程协助检查确认问题，同时联系招标人(招标代理机构)说明情况；</w:t>
      </w:r>
    </w:p>
    <w:p w14:paraId="064451FB">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5.2.1.6有关电子化远程解密网上开标未尽事宜，可登录云南省公共资源交易信息网（https://ggzy.yn.gov.cn）选择“楚雄州”，参照“管理制度-本级交易管理制度”内的相关规定执行。</w:t>
      </w:r>
    </w:p>
    <w:p w14:paraId="5CFBF237">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cs="宋体"/>
          <w:b/>
          <w:bCs/>
          <w:color w:val="auto"/>
          <w:kern w:val="0"/>
          <w:sz w:val="24"/>
          <w:szCs w:val="24"/>
          <w:highlight w:val="none"/>
          <w:u w:val="none"/>
          <w:lang w:val="en-US" w:eastAsia="zh-CN"/>
        </w:rPr>
      </w:pPr>
      <w:r>
        <w:rPr>
          <w:rFonts w:hint="eastAsia" w:ascii="宋体" w:hAnsi="宋体" w:cs="宋体"/>
          <w:b/>
          <w:bCs/>
          <w:color w:val="auto"/>
          <w:kern w:val="0"/>
          <w:sz w:val="24"/>
          <w:szCs w:val="24"/>
          <w:highlight w:val="none"/>
          <w:u w:val="none"/>
          <w:lang w:val="en-US" w:eastAsia="zh-CN"/>
        </w:rPr>
        <w:t>6.异议(质疑)及投诉</w:t>
      </w:r>
    </w:p>
    <w:p w14:paraId="3834F4AE">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cs="宋体"/>
          <w:b w:val="0"/>
          <w:bCs w:val="0"/>
          <w:color w:val="auto"/>
          <w:kern w:val="0"/>
          <w:sz w:val="24"/>
          <w:szCs w:val="24"/>
          <w:highlight w:val="green"/>
          <w:u w:val="none"/>
          <w:shd w:val="clear" w:fill="00B050"/>
          <w:lang w:val="en-US" w:eastAsia="zh-CN"/>
        </w:rPr>
      </w:pPr>
      <w:r>
        <w:rPr>
          <w:rFonts w:hint="eastAsia" w:ascii="宋体" w:hAnsi="宋体" w:cs="宋体"/>
          <w:b w:val="0"/>
          <w:bCs w:val="0"/>
          <w:color w:val="auto"/>
          <w:kern w:val="0"/>
          <w:sz w:val="24"/>
          <w:szCs w:val="24"/>
          <w:highlight w:val="none"/>
          <w:u w:val="none"/>
          <w:lang w:val="en-US" w:eastAsia="zh-CN"/>
        </w:rPr>
        <w:t>6.1根据系统功能和要求，直接参与具体项目交易的投标人线上异议及投诉，使用CA数字证书通过全国公共资源交易平台（云南省）云南省公共资源交易信息网（网址：https://ggzy.yn.gov.cn/）“投标人”模块进行提交</w:t>
      </w:r>
      <w:r>
        <w:rPr>
          <w:rFonts w:hint="eastAsia" w:ascii="宋体" w:hAnsi="宋体" w:cs="宋体"/>
          <w:b w:val="0"/>
          <w:bCs w:val="0"/>
          <w:color w:val="auto"/>
          <w:kern w:val="0"/>
          <w:sz w:val="24"/>
          <w:szCs w:val="24"/>
          <w:highlight w:val="green"/>
          <w:u w:val="none"/>
          <w:shd w:val="clear" w:fill="00B050"/>
          <w:lang w:val="en-US" w:eastAsia="zh-CN"/>
        </w:rPr>
        <w:t>（详见招标文件投标人须知前附表10.1.7条）。</w:t>
      </w:r>
    </w:p>
    <w:p w14:paraId="7B70806F">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cs="宋体"/>
          <w:b/>
          <w:bCs/>
          <w:color w:val="auto"/>
          <w:kern w:val="0"/>
          <w:sz w:val="24"/>
          <w:szCs w:val="24"/>
          <w:highlight w:val="none"/>
          <w:u w:val="none"/>
          <w:lang w:val="en-US" w:eastAsia="zh-CN"/>
        </w:rPr>
      </w:pPr>
      <w:r>
        <w:rPr>
          <w:rFonts w:hint="eastAsia" w:ascii="宋体" w:hAnsi="宋体" w:cs="宋体"/>
          <w:b w:val="0"/>
          <w:bCs w:val="0"/>
          <w:color w:val="auto"/>
          <w:kern w:val="0"/>
          <w:sz w:val="24"/>
          <w:szCs w:val="24"/>
          <w:highlight w:val="none"/>
          <w:u w:val="none"/>
          <w:lang w:val="en-US" w:eastAsia="zh-CN"/>
        </w:rPr>
        <w:t>6.2招标人及招标代理机构和行政监管部门对线上异议（质疑）及投诉的，采用线上方式受理答复。鉴于已经实行全流程电子化交易和在线监督，鼓励异议及投诉通过线上方式进行，也可采用线下纸质方式进行。</w:t>
      </w:r>
    </w:p>
    <w:p w14:paraId="48D82A9C">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en-US" w:eastAsia="zh-CN"/>
        </w:rPr>
      </w:pPr>
      <w:r>
        <w:rPr>
          <w:rFonts w:hint="eastAsia" w:ascii="宋体" w:hAnsi="宋体" w:cs="宋体"/>
          <w:b/>
          <w:bCs/>
          <w:color w:val="auto"/>
          <w:kern w:val="0"/>
          <w:sz w:val="24"/>
          <w:szCs w:val="24"/>
          <w:highlight w:val="none"/>
          <w:u w:val="none"/>
          <w:lang w:val="en-US" w:eastAsia="zh-CN"/>
        </w:rPr>
        <w:t>7.</w:t>
      </w:r>
      <w:r>
        <w:rPr>
          <w:rFonts w:hint="eastAsia" w:ascii="宋体" w:hAnsi="宋体" w:eastAsia="宋体" w:cs="宋体"/>
          <w:b/>
          <w:bCs/>
          <w:color w:val="auto"/>
          <w:kern w:val="0"/>
          <w:sz w:val="24"/>
          <w:szCs w:val="24"/>
          <w:highlight w:val="none"/>
          <w:u w:val="none"/>
          <w:lang w:val="zh-CN" w:eastAsia="zh-CN"/>
        </w:rPr>
        <w:t>发布公告的媒介</w:t>
      </w:r>
      <w:bookmarkEnd w:id="10"/>
      <w:bookmarkEnd w:id="11"/>
      <w:bookmarkEnd w:id="12"/>
      <w:bookmarkEnd w:id="13"/>
    </w:p>
    <w:p w14:paraId="64AA8BE5">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cs="宋体"/>
          <w:b/>
          <w:bCs/>
          <w:color w:val="auto"/>
          <w:kern w:val="0"/>
          <w:sz w:val="24"/>
          <w:szCs w:val="24"/>
          <w:highlight w:val="none"/>
          <w:u w:val="none"/>
          <w:lang w:val="en-US" w:eastAsia="zh-CN"/>
        </w:rPr>
      </w:pPr>
      <w:bookmarkStart w:id="14" w:name="_Toc351127934"/>
      <w:bookmarkStart w:id="15" w:name="_Toc288122588"/>
      <w:r>
        <w:rPr>
          <w:rFonts w:hint="eastAsia" w:ascii="宋体" w:hAnsi="宋体" w:eastAsia="宋体" w:cs="宋体"/>
          <w:color w:val="auto"/>
          <w:kern w:val="0"/>
          <w:sz w:val="24"/>
          <w:szCs w:val="24"/>
          <w:highlight w:val="none"/>
          <w:u w:val="none"/>
        </w:rPr>
        <w:t>本次招标公告同时在云南省公共资源交易信息网(http://ggzy.yn.gov.cn)</w:t>
      </w:r>
      <w:r>
        <w:rPr>
          <w:rFonts w:hint="eastAsia" w:ascii="宋体" w:hAnsi="宋体" w:cs="宋体"/>
          <w:color w:val="auto"/>
          <w:kern w:val="0"/>
          <w:sz w:val="24"/>
          <w:szCs w:val="24"/>
          <w:highlight w:val="none"/>
          <w:u w:val="none"/>
          <w:lang w:val="en-US" w:eastAsia="zh-CN"/>
        </w:rPr>
        <w:t>和</w:t>
      </w:r>
      <w:r>
        <w:rPr>
          <w:rFonts w:hint="eastAsia" w:ascii="宋体" w:hAnsi="宋体" w:eastAsia="宋体" w:cs="宋体"/>
          <w:color w:val="auto"/>
          <w:kern w:val="0"/>
          <w:sz w:val="24"/>
          <w:szCs w:val="24"/>
          <w:highlight w:val="none"/>
          <w:u w:val="none"/>
        </w:rPr>
        <w:t>中国招标投标公共服务平台（</w:t>
      </w:r>
      <w:r>
        <w:rPr>
          <w:rFonts w:hint="eastAsia" w:ascii="宋体" w:hAnsi="宋体" w:cs="宋体"/>
          <w:color w:val="auto"/>
          <w:kern w:val="0"/>
          <w:sz w:val="24"/>
          <w:szCs w:val="24"/>
          <w:highlight w:val="none"/>
          <w:u w:val="none"/>
          <w:lang w:val="en-US" w:eastAsia="zh-CN"/>
        </w:rPr>
        <w:t>网址：</w:t>
      </w:r>
      <w:r>
        <w:rPr>
          <w:rFonts w:hint="eastAsia" w:ascii="宋体" w:hAnsi="宋体" w:eastAsia="宋体" w:cs="宋体"/>
          <w:color w:val="auto"/>
          <w:kern w:val="0"/>
          <w:sz w:val="24"/>
          <w:szCs w:val="24"/>
          <w:highlight w:val="none"/>
          <w:u w:val="none"/>
        </w:rPr>
        <w:t>http</w:t>
      </w:r>
      <w:r>
        <w:rPr>
          <w:rFonts w:hint="eastAsia" w:ascii="宋体" w:hAnsi="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rPr>
        <w:t>//www.CebpubService.com/）上公开发布，招标人及招标代理机构对其他网站或媒体转载的公告及公告内容不承担任何责任</w:t>
      </w:r>
      <w:r>
        <w:rPr>
          <w:rFonts w:hint="eastAsia" w:ascii="宋体" w:hAnsi="宋体" w:cs="宋体"/>
          <w:color w:val="auto"/>
          <w:kern w:val="0"/>
          <w:sz w:val="24"/>
          <w:szCs w:val="24"/>
          <w:highlight w:val="none"/>
          <w:u w:val="none"/>
          <w:lang w:eastAsia="zh-CN"/>
        </w:rPr>
        <w:t>，请各投标人在递交投标文件前随时查看，以获取最新消息</w:t>
      </w:r>
      <w:r>
        <w:rPr>
          <w:rFonts w:hint="eastAsia" w:ascii="宋体" w:hAnsi="宋体" w:eastAsia="宋体" w:cs="宋体"/>
          <w:color w:val="auto"/>
          <w:kern w:val="0"/>
          <w:sz w:val="24"/>
          <w:szCs w:val="24"/>
          <w:highlight w:val="none"/>
          <w:u w:val="none"/>
        </w:rPr>
        <w:t>。</w:t>
      </w:r>
      <w:bookmarkStart w:id="16" w:name="_Toc17248"/>
      <w:bookmarkStart w:id="17" w:name="_Toc505944256"/>
      <w:bookmarkStart w:id="18" w:name="_Toc20402"/>
      <w:bookmarkStart w:id="19" w:name="_Toc21367"/>
      <w:bookmarkStart w:id="20" w:name="_Toc11354"/>
      <w:bookmarkStart w:id="21" w:name="_Toc28441"/>
    </w:p>
    <w:p w14:paraId="479B3276">
      <w:pPr>
        <w:keepNext w:val="0"/>
        <w:keepLines w:val="0"/>
        <w:pageBreakBefore w:val="0"/>
        <w:widowControl w:val="0"/>
        <w:kinsoku/>
        <w:wordWrap/>
        <w:overflowPunct/>
        <w:topLinePunct w:val="0"/>
        <w:autoSpaceDE/>
        <w:autoSpaceDN/>
        <w:bidi w:val="0"/>
        <w:adjustRightInd w:val="0"/>
        <w:snapToGrid w:val="0"/>
        <w:spacing w:after="10" w:line="440" w:lineRule="exact"/>
        <w:ind w:firstLine="482" w:firstLineChars="200"/>
        <w:textAlignment w:val="auto"/>
        <w:rPr>
          <w:rFonts w:hint="eastAsia" w:ascii="宋体" w:hAnsi="宋体" w:eastAsia="宋体" w:cs="宋体"/>
          <w:b/>
          <w:bCs/>
          <w:color w:val="auto"/>
          <w:kern w:val="0"/>
          <w:sz w:val="24"/>
          <w:szCs w:val="24"/>
          <w:highlight w:val="none"/>
          <w:u w:val="none"/>
          <w:lang w:val="zh-CN" w:eastAsia="zh-CN"/>
        </w:rPr>
      </w:pPr>
      <w:r>
        <w:rPr>
          <w:rFonts w:hint="eastAsia" w:ascii="宋体" w:hAnsi="宋体" w:cs="宋体"/>
          <w:b/>
          <w:bCs/>
          <w:color w:val="auto"/>
          <w:kern w:val="0"/>
          <w:sz w:val="24"/>
          <w:szCs w:val="24"/>
          <w:highlight w:val="none"/>
          <w:u w:val="none"/>
          <w:lang w:val="en-US" w:eastAsia="zh-CN"/>
        </w:rPr>
        <w:t>8.</w:t>
      </w:r>
      <w:r>
        <w:rPr>
          <w:rFonts w:hint="eastAsia" w:ascii="宋体" w:hAnsi="宋体" w:eastAsia="宋体" w:cs="宋体"/>
          <w:b/>
          <w:bCs/>
          <w:color w:val="auto"/>
          <w:kern w:val="0"/>
          <w:sz w:val="24"/>
          <w:szCs w:val="24"/>
          <w:highlight w:val="none"/>
          <w:u w:val="none"/>
          <w:lang w:val="zh-CN" w:eastAsia="zh-CN"/>
        </w:rPr>
        <w:t>联系方式</w:t>
      </w:r>
      <w:bookmarkEnd w:id="14"/>
      <w:bookmarkEnd w:id="15"/>
      <w:bookmarkEnd w:id="16"/>
      <w:bookmarkEnd w:id="17"/>
      <w:bookmarkEnd w:id="18"/>
      <w:bookmarkEnd w:id="19"/>
      <w:bookmarkEnd w:id="20"/>
      <w:bookmarkEnd w:id="21"/>
    </w:p>
    <w:p w14:paraId="73471E33">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eastAsia="zh-CN"/>
        </w:rPr>
      </w:pPr>
      <w:r>
        <w:rPr>
          <w:rFonts w:hint="eastAsia" w:ascii="宋体" w:hAnsi="宋体" w:eastAsia="宋体" w:cs="宋体"/>
          <w:color w:val="auto"/>
          <w:kern w:val="0"/>
          <w:sz w:val="24"/>
          <w:szCs w:val="24"/>
          <w:highlight w:val="none"/>
          <w:u w:val="none"/>
        </w:rPr>
        <w:t>招标人：</w:t>
      </w:r>
      <w:r>
        <w:rPr>
          <w:rFonts w:hint="eastAsia" w:ascii="宋体" w:hAnsi="宋体" w:cs="宋体"/>
          <w:color w:val="auto"/>
          <w:kern w:val="0"/>
          <w:sz w:val="24"/>
          <w:szCs w:val="24"/>
          <w:highlight w:val="none"/>
          <w:u w:val="none"/>
          <w:lang w:eastAsia="zh-CN"/>
        </w:rPr>
        <w:t>元谋县农业农村局</w:t>
      </w:r>
    </w:p>
    <w:p w14:paraId="78176C1D">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green"/>
          <w:u w:val="none"/>
          <w:lang w:eastAsia="zh-CN"/>
        </w:rPr>
      </w:pPr>
      <w:r>
        <w:rPr>
          <w:rFonts w:hint="eastAsia" w:ascii="宋体" w:hAnsi="宋体" w:eastAsia="宋体" w:cs="宋体"/>
          <w:color w:val="auto"/>
          <w:kern w:val="0"/>
          <w:sz w:val="24"/>
          <w:szCs w:val="24"/>
          <w:highlight w:val="green"/>
          <w:u w:val="none"/>
        </w:rPr>
        <w:t>地址：</w:t>
      </w:r>
      <w:r>
        <w:rPr>
          <w:rFonts w:hint="eastAsia" w:ascii="宋体" w:hAnsi="宋体" w:cs="宋体"/>
          <w:color w:val="auto"/>
          <w:kern w:val="0"/>
          <w:sz w:val="24"/>
          <w:szCs w:val="24"/>
          <w:highlight w:val="green"/>
          <w:u w:val="none"/>
          <w:lang w:eastAsia="zh-CN"/>
        </w:rPr>
        <w:t>元谋县元马镇108国道沙地段（县消防队对面）</w:t>
      </w:r>
    </w:p>
    <w:p w14:paraId="6CDE6353">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green"/>
          <w:u w:val="none"/>
          <w:lang w:val="en-US" w:eastAsia="zh-CN"/>
        </w:rPr>
      </w:pPr>
      <w:r>
        <w:rPr>
          <w:rFonts w:hint="eastAsia" w:ascii="宋体" w:hAnsi="宋体" w:eastAsia="宋体" w:cs="宋体"/>
          <w:color w:val="auto"/>
          <w:kern w:val="0"/>
          <w:sz w:val="24"/>
          <w:szCs w:val="24"/>
          <w:highlight w:val="green"/>
          <w:u w:val="none"/>
        </w:rPr>
        <w:t>联系人：</w:t>
      </w:r>
      <w:r>
        <w:rPr>
          <w:rFonts w:hint="eastAsia" w:ascii="宋体" w:hAnsi="宋体" w:cs="宋体"/>
          <w:color w:val="auto"/>
          <w:kern w:val="0"/>
          <w:sz w:val="24"/>
          <w:szCs w:val="24"/>
          <w:highlight w:val="green"/>
          <w:u w:val="none"/>
          <w:lang w:eastAsia="zh-CN"/>
        </w:rPr>
        <w:t>仲老师</w:t>
      </w:r>
    </w:p>
    <w:p w14:paraId="2E5EA7BA">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green"/>
          <w:u w:val="none"/>
          <w:lang w:eastAsia="zh-CN"/>
        </w:rPr>
      </w:pPr>
      <w:r>
        <w:rPr>
          <w:rFonts w:hint="eastAsia" w:ascii="宋体" w:hAnsi="宋体" w:eastAsia="宋体" w:cs="宋体"/>
          <w:color w:val="auto"/>
          <w:kern w:val="0"/>
          <w:sz w:val="24"/>
          <w:szCs w:val="24"/>
          <w:highlight w:val="green"/>
          <w:u w:val="none"/>
        </w:rPr>
        <w:t>电话：</w:t>
      </w:r>
      <w:r>
        <w:rPr>
          <w:rFonts w:hint="eastAsia" w:ascii="宋体" w:hAnsi="宋体" w:cs="宋体"/>
          <w:color w:val="auto"/>
          <w:kern w:val="0"/>
          <w:sz w:val="24"/>
          <w:szCs w:val="24"/>
          <w:highlight w:val="green"/>
          <w:u w:val="none"/>
          <w:lang w:eastAsia="zh-CN"/>
        </w:rPr>
        <w:t>0878-8211779</w:t>
      </w:r>
    </w:p>
    <w:p w14:paraId="69128D9F">
      <w:pPr>
        <w:keepNext w:val="0"/>
        <w:keepLines w:val="0"/>
        <w:pageBreakBefore w:val="0"/>
        <w:widowControl w:val="0"/>
        <w:kinsoku/>
        <w:wordWrap/>
        <w:overflowPunct/>
        <w:topLinePunct w:val="0"/>
        <w:autoSpaceDE/>
        <w:autoSpaceDN/>
        <w:bidi w:val="0"/>
        <w:adjustRightInd w:val="0"/>
        <w:snapToGrid w:val="0"/>
        <w:spacing w:after="10" w:line="440" w:lineRule="exact"/>
        <w:textAlignment w:val="auto"/>
        <w:rPr>
          <w:rFonts w:hint="eastAsia" w:ascii="宋体" w:hAnsi="宋体" w:eastAsia="宋体" w:cs="宋体"/>
          <w:color w:val="auto"/>
          <w:kern w:val="0"/>
          <w:sz w:val="24"/>
          <w:szCs w:val="24"/>
          <w:highlight w:val="none"/>
          <w:u w:val="none"/>
        </w:rPr>
      </w:pPr>
    </w:p>
    <w:p w14:paraId="20C89AA3">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eastAsia="zh-CN"/>
        </w:rPr>
      </w:pPr>
      <w:r>
        <w:rPr>
          <w:rFonts w:hint="eastAsia" w:ascii="宋体" w:hAnsi="宋体" w:eastAsia="宋体" w:cs="宋体"/>
          <w:color w:val="auto"/>
          <w:kern w:val="0"/>
          <w:sz w:val="24"/>
          <w:szCs w:val="24"/>
          <w:highlight w:val="none"/>
          <w:u w:val="none"/>
        </w:rPr>
        <w:t>招标代理机构：</w:t>
      </w:r>
      <w:r>
        <w:rPr>
          <w:rFonts w:hint="eastAsia" w:ascii="宋体" w:hAnsi="宋体" w:cs="宋体"/>
          <w:color w:val="auto"/>
          <w:kern w:val="0"/>
          <w:sz w:val="24"/>
          <w:szCs w:val="24"/>
          <w:highlight w:val="none"/>
          <w:u w:val="none"/>
          <w:lang w:eastAsia="zh-CN"/>
        </w:rPr>
        <w:t>云南科律工程管理咨询有限公司</w:t>
      </w:r>
    </w:p>
    <w:p w14:paraId="427C0556">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green"/>
          <w:u w:val="none"/>
          <w:lang w:val="en-US" w:eastAsia="zh-CN"/>
        </w:rPr>
      </w:pPr>
      <w:r>
        <w:rPr>
          <w:rFonts w:hint="eastAsia" w:ascii="宋体" w:hAnsi="宋体" w:eastAsia="宋体" w:cs="宋体"/>
          <w:color w:val="auto"/>
          <w:kern w:val="0"/>
          <w:sz w:val="24"/>
          <w:szCs w:val="24"/>
          <w:highlight w:val="green"/>
          <w:u w:val="none"/>
        </w:rPr>
        <w:t>地址：</w:t>
      </w:r>
      <w:r>
        <w:rPr>
          <w:rFonts w:hint="eastAsia" w:ascii="宋体" w:hAnsi="宋体" w:cs="宋体"/>
          <w:color w:val="auto"/>
          <w:kern w:val="0"/>
          <w:sz w:val="24"/>
          <w:szCs w:val="24"/>
          <w:highlight w:val="green"/>
          <w:u w:val="none"/>
          <w:lang w:eastAsia="zh-CN"/>
        </w:rPr>
        <w:t>楚雄市高新区轻纺城9幢5单元540室</w:t>
      </w:r>
    </w:p>
    <w:p w14:paraId="0ABB0B7F">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default" w:ascii="宋体" w:hAnsi="宋体" w:eastAsia="宋体" w:cs="宋体"/>
          <w:color w:val="auto"/>
          <w:kern w:val="0"/>
          <w:sz w:val="24"/>
          <w:szCs w:val="24"/>
          <w:highlight w:val="green"/>
          <w:u w:val="none"/>
          <w:lang w:val="en-US" w:eastAsia="zh-CN"/>
        </w:rPr>
      </w:pPr>
      <w:r>
        <w:rPr>
          <w:rFonts w:hint="eastAsia" w:ascii="宋体" w:hAnsi="宋体" w:eastAsia="宋体" w:cs="宋体"/>
          <w:color w:val="auto"/>
          <w:kern w:val="0"/>
          <w:sz w:val="24"/>
          <w:szCs w:val="24"/>
          <w:highlight w:val="green"/>
          <w:u w:val="none"/>
        </w:rPr>
        <w:t>联系人：</w:t>
      </w:r>
      <w:r>
        <w:rPr>
          <w:rFonts w:hint="eastAsia" w:ascii="宋体" w:hAnsi="宋体" w:cs="宋体"/>
          <w:color w:val="auto"/>
          <w:kern w:val="0"/>
          <w:sz w:val="24"/>
          <w:szCs w:val="24"/>
          <w:highlight w:val="green"/>
          <w:u w:val="none"/>
          <w:lang w:val="en-US" w:eastAsia="zh-CN"/>
        </w:rPr>
        <w:t>韦杰</w:t>
      </w:r>
    </w:p>
    <w:p w14:paraId="4328D910">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green"/>
          <w:u w:val="none"/>
          <w:lang w:val="en-US" w:eastAsia="zh-CN"/>
        </w:rPr>
      </w:pPr>
      <w:r>
        <w:rPr>
          <w:rFonts w:hint="eastAsia" w:ascii="宋体" w:hAnsi="宋体" w:eastAsia="宋体" w:cs="宋体"/>
          <w:color w:val="auto"/>
          <w:kern w:val="0"/>
          <w:sz w:val="24"/>
          <w:szCs w:val="24"/>
          <w:highlight w:val="green"/>
          <w:u w:val="none"/>
        </w:rPr>
        <w:t>电话：</w:t>
      </w:r>
      <w:r>
        <w:rPr>
          <w:rFonts w:hint="eastAsia" w:ascii="宋体" w:hAnsi="宋体" w:cs="宋体"/>
          <w:color w:val="auto"/>
          <w:kern w:val="0"/>
          <w:sz w:val="24"/>
          <w:szCs w:val="24"/>
          <w:highlight w:val="green"/>
          <w:u w:val="none"/>
          <w:lang w:eastAsia="zh-CN"/>
        </w:rPr>
        <w:t xml:space="preserve">0878-3111876 15987832356 </w:t>
      </w:r>
    </w:p>
    <w:p w14:paraId="50157BA7">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none"/>
          <w:u w:val="none"/>
          <w:lang w:val="en-US" w:eastAsia="zh-CN"/>
        </w:rPr>
      </w:pPr>
    </w:p>
    <w:p w14:paraId="701137AE">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green"/>
          <w:u w:val="none"/>
          <w:lang w:val="en-US" w:eastAsia="zh-CN"/>
        </w:rPr>
      </w:pPr>
      <w:r>
        <w:rPr>
          <w:rFonts w:hint="eastAsia" w:ascii="宋体" w:hAnsi="宋体" w:eastAsia="宋体" w:cs="宋体"/>
          <w:color w:val="auto"/>
          <w:kern w:val="0"/>
          <w:sz w:val="24"/>
          <w:szCs w:val="24"/>
          <w:highlight w:val="green"/>
          <w:u w:val="none"/>
          <w:lang w:val="en-US" w:eastAsia="zh-CN"/>
        </w:rPr>
        <w:t>行政监督部门：</w:t>
      </w:r>
      <w:r>
        <w:rPr>
          <w:rFonts w:hint="eastAsia" w:ascii="宋体" w:hAnsi="宋体" w:cs="宋体"/>
          <w:color w:val="auto"/>
          <w:kern w:val="0"/>
          <w:sz w:val="24"/>
          <w:szCs w:val="24"/>
          <w:highlight w:val="green"/>
          <w:u w:val="none"/>
          <w:lang w:val="en-US" w:eastAsia="zh-CN"/>
        </w:rPr>
        <w:t>元谋县农业农村局</w:t>
      </w:r>
    </w:p>
    <w:p w14:paraId="7CCE5FF7">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ascii="宋体" w:hAnsi="宋体" w:eastAsia="宋体" w:cs="宋体"/>
          <w:color w:val="auto"/>
          <w:kern w:val="0"/>
          <w:sz w:val="24"/>
          <w:szCs w:val="24"/>
          <w:highlight w:val="green"/>
          <w:u w:val="none"/>
          <w:lang w:eastAsia="zh-CN"/>
        </w:rPr>
      </w:pPr>
      <w:r>
        <w:rPr>
          <w:rFonts w:hint="eastAsia" w:ascii="宋体" w:hAnsi="宋体" w:eastAsia="宋体" w:cs="宋体"/>
          <w:color w:val="auto"/>
          <w:kern w:val="0"/>
          <w:sz w:val="24"/>
          <w:szCs w:val="24"/>
          <w:highlight w:val="green"/>
          <w:u w:val="none"/>
        </w:rPr>
        <w:t>地址：</w:t>
      </w:r>
      <w:r>
        <w:rPr>
          <w:rFonts w:hint="eastAsia" w:ascii="宋体" w:hAnsi="宋体" w:cs="宋体"/>
          <w:color w:val="auto"/>
          <w:kern w:val="0"/>
          <w:sz w:val="24"/>
          <w:szCs w:val="24"/>
          <w:highlight w:val="green"/>
          <w:u w:val="none"/>
          <w:lang w:eastAsia="zh-CN"/>
        </w:rPr>
        <w:t>元谋县元马镇108国道沙地段（县消防队对面）</w:t>
      </w:r>
    </w:p>
    <w:p w14:paraId="2924F6CC">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default" w:ascii="宋体" w:hAnsi="宋体" w:eastAsia="宋体" w:cs="宋体"/>
          <w:color w:val="auto"/>
          <w:kern w:val="0"/>
          <w:sz w:val="24"/>
          <w:szCs w:val="24"/>
          <w:highlight w:val="green"/>
          <w:u w:val="none"/>
          <w:lang w:val="en-US" w:eastAsia="zh-CN"/>
        </w:rPr>
      </w:pPr>
      <w:r>
        <w:rPr>
          <w:rFonts w:hint="eastAsia" w:ascii="宋体" w:hAnsi="宋体" w:eastAsia="宋体" w:cs="宋体"/>
          <w:color w:val="auto"/>
          <w:kern w:val="0"/>
          <w:sz w:val="24"/>
          <w:szCs w:val="24"/>
          <w:highlight w:val="green"/>
          <w:u w:val="none"/>
        </w:rPr>
        <w:t>联系人：</w:t>
      </w:r>
      <w:r>
        <w:rPr>
          <w:rFonts w:hint="eastAsia" w:ascii="宋体" w:hAnsi="宋体" w:cs="宋体"/>
          <w:color w:val="auto"/>
          <w:kern w:val="0"/>
          <w:sz w:val="24"/>
          <w:szCs w:val="24"/>
          <w:highlight w:val="green"/>
          <w:u w:val="none"/>
          <w:lang w:val="en-US" w:eastAsia="zh-CN"/>
        </w:rPr>
        <w:t>闻国武</w:t>
      </w:r>
    </w:p>
    <w:p w14:paraId="20BB171F">
      <w:pPr>
        <w:keepNext w:val="0"/>
        <w:keepLines w:val="0"/>
        <w:pageBreakBefore w:val="0"/>
        <w:widowControl w:val="0"/>
        <w:kinsoku/>
        <w:wordWrap/>
        <w:overflowPunct/>
        <w:topLinePunct w:val="0"/>
        <w:autoSpaceDE/>
        <w:autoSpaceDN/>
        <w:bidi w:val="0"/>
        <w:adjustRightInd w:val="0"/>
        <w:snapToGrid w:val="0"/>
        <w:spacing w:after="10" w:line="440" w:lineRule="exact"/>
        <w:ind w:firstLine="480" w:firstLineChars="200"/>
        <w:textAlignment w:val="auto"/>
        <w:rPr>
          <w:rFonts w:hint="eastAsia"/>
          <w:highlight w:val="green"/>
          <w:lang w:val="en-US" w:eastAsia="zh-CN"/>
        </w:rPr>
      </w:pPr>
      <w:r>
        <w:rPr>
          <w:rFonts w:hint="eastAsia" w:ascii="宋体" w:hAnsi="宋体" w:eastAsia="宋体" w:cs="宋体"/>
          <w:color w:val="auto"/>
          <w:kern w:val="0"/>
          <w:sz w:val="24"/>
          <w:szCs w:val="24"/>
          <w:highlight w:val="green"/>
          <w:u w:val="none"/>
          <w:lang w:val="en-US" w:eastAsia="zh-CN"/>
        </w:rPr>
        <w:t>电话：</w:t>
      </w:r>
      <w:bookmarkStart w:id="22" w:name="_Toc2153"/>
      <w:r>
        <w:rPr>
          <w:rFonts w:hint="eastAsia" w:ascii="宋体" w:hAnsi="宋体" w:cs="宋体"/>
          <w:color w:val="auto"/>
          <w:kern w:val="0"/>
          <w:sz w:val="24"/>
          <w:szCs w:val="24"/>
          <w:highlight w:val="green"/>
          <w:u w:val="none"/>
          <w:lang w:eastAsia="zh-CN"/>
        </w:rPr>
        <w:t>0878-8211779</w:t>
      </w:r>
    </w:p>
    <w:p w14:paraId="4BD07FD6">
      <w:pPr>
        <w:rPr>
          <w:rFonts w:hint="eastAsia"/>
          <w:lang w:val="en-US" w:eastAsia="zh-CN"/>
        </w:rPr>
      </w:pPr>
    </w:p>
    <w:p w14:paraId="399464F5">
      <w:pPr>
        <w:pStyle w:val="2"/>
        <w:jc w:val="both"/>
        <w:rPr>
          <w:rFonts w:hint="default"/>
          <w:lang w:val="en-US" w:eastAsia="zh-CN"/>
        </w:rPr>
      </w:pPr>
      <w:r>
        <w:rPr>
          <w:rFonts w:hint="eastAsia" w:ascii="宋体" w:hAnsi="宋体" w:eastAsia="宋体" w:cs="宋体"/>
          <w:sz w:val="28"/>
          <w:szCs w:val="36"/>
          <w:highlight w:val="none"/>
          <w:lang w:val="en-US" w:eastAsia="zh-CN"/>
        </w:rPr>
        <w:t>附表1：</w:t>
      </w:r>
    </w:p>
    <w:p w14:paraId="43DB1C35">
      <w:pPr>
        <w:pStyle w:val="2"/>
        <w:jc w:val="center"/>
        <w:rPr>
          <w:rFonts w:hint="eastAsia" w:ascii="宋体" w:hAnsi="宋体" w:eastAsia="宋体" w:cs="宋体"/>
          <w:sz w:val="28"/>
          <w:szCs w:val="36"/>
          <w:highlight w:val="none"/>
          <w:lang w:val="en-US" w:eastAsia="zh-CN"/>
        </w:rPr>
      </w:pPr>
      <w:r>
        <w:rPr>
          <w:rFonts w:hint="eastAsia" w:ascii="宋体" w:hAnsi="宋体" w:eastAsia="宋体" w:cs="宋体"/>
          <w:sz w:val="28"/>
          <w:szCs w:val="36"/>
          <w:highlight w:val="none"/>
          <w:lang w:val="en-US" w:eastAsia="zh-CN"/>
        </w:rPr>
        <w:t>施工现场专业（管理）人员配备表</w:t>
      </w:r>
    </w:p>
    <w:tbl>
      <w:tblPr>
        <w:tblStyle w:val="28"/>
        <w:tblW w:w="9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07"/>
        <w:gridCol w:w="1338"/>
        <w:gridCol w:w="1342"/>
        <w:gridCol w:w="1548"/>
        <w:gridCol w:w="3834"/>
      </w:tblGrid>
      <w:tr w14:paraId="2DC18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jc w:val="center"/>
        </w:trPr>
        <w:tc>
          <w:tcPr>
            <w:tcW w:w="1607" w:type="dxa"/>
            <w:noWrap w:val="0"/>
            <w:vAlign w:val="center"/>
          </w:tcPr>
          <w:p w14:paraId="2EFA738B">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专业岗位</w:t>
            </w:r>
          </w:p>
        </w:tc>
        <w:tc>
          <w:tcPr>
            <w:tcW w:w="1338" w:type="dxa"/>
            <w:noWrap w:val="0"/>
            <w:vAlign w:val="center"/>
          </w:tcPr>
          <w:p w14:paraId="6B858054">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人员数量最低要求</w:t>
            </w:r>
          </w:p>
        </w:tc>
        <w:tc>
          <w:tcPr>
            <w:tcW w:w="1342" w:type="dxa"/>
            <w:noWrap w:val="0"/>
            <w:vAlign w:val="center"/>
          </w:tcPr>
          <w:p w14:paraId="00458C2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岗位资格要求</w:t>
            </w:r>
          </w:p>
        </w:tc>
        <w:tc>
          <w:tcPr>
            <w:tcW w:w="1548" w:type="dxa"/>
            <w:noWrap w:val="0"/>
            <w:vAlign w:val="center"/>
          </w:tcPr>
          <w:p w14:paraId="28B955AB">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岗位要求</w:t>
            </w:r>
          </w:p>
        </w:tc>
        <w:tc>
          <w:tcPr>
            <w:tcW w:w="3834" w:type="dxa"/>
            <w:noWrap w:val="0"/>
            <w:vAlign w:val="center"/>
          </w:tcPr>
          <w:p w14:paraId="573E6A6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备注</w:t>
            </w:r>
          </w:p>
        </w:tc>
      </w:tr>
      <w:tr w14:paraId="49D75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60A822E3">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项目负责人</w:t>
            </w:r>
          </w:p>
          <w:p w14:paraId="1DC211B6">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（项目经理）</w:t>
            </w:r>
          </w:p>
        </w:tc>
        <w:tc>
          <w:tcPr>
            <w:tcW w:w="1338" w:type="dxa"/>
            <w:noWrap w:val="0"/>
            <w:vAlign w:val="center"/>
          </w:tcPr>
          <w:p w14:paraId="384E4664">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input538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rPr>
              <w:fldChar w:fldCharType="end"/>
            </w:r>
          </w:p>
        </w:tc>
        <w:tc>
          <w:tcPr>
            <w:tcW w:w="1342" w:type="dxa"/>
            <w:noWrap w:val="0"/>
            <w:vAlign w:val="center"/>
          </w:tcPr>
          <w:p w14:paraId="51781A80">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input539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3871051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input540 \* MERGEFORMAT </w:instrText>
            </w:r>
            <w:r>
              <w:rPr>
                <w:rFonts w:hint="eastAsia" w:ascii="宋体" w:hAnsi="宋体" w:eastAsia="宋体" w:cs="宋体"/>
                <w:color w:val="auto"/>
                <w:sz w:val="20"/>
                <w:szCs w:val="20"/>
                <w:highlight w:val="none"/>
              </w:rPr>
              <w:fldChar w:fldCharType="separate"/>
            </w:r>
            <w:r>
              <w:rPr>
                <w:rFonts w:hint="eastAsia" w:ascii="宋体" w:hAnsi="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1548" w:type="dxa"/>
            <w:noWrap w:val="0"/>
            <w:vAlign w:val="center"/>
          </w:tcPr>
          <w:p w14:paraId="26201A1D">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364B410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3834" w:type="dxa"/>
            <w:noWrap w:val="0"/>
            <w:vAlign w:val="center"/>
          </w:tcPr>
          <w:p w14:paraId="6A94FC34">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3A8AD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220247CA">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技术负责人</w:t>
            </w:r>
          </w:p>
        </w:tc>
        <w:tc>
          <w:tcPr>
            <w:tcW w:w="1338" w:type="dxa"/>
            <w:noWrap w:val="0"/>
            <w:vAlign w:val="center"/>
          </w:tcPr>
          <w:p w14:paraId="3DE898A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input544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rPr>
              <w:fldChar w:fldCharType="end"/>
            </w:r>
          </w:p>
        </w:tc>
        <w:tc>
          <w:tcPr>
            <w:tcW w:w="1342" w:type="dxa"/>
            <w:noWrap w:val="0"/>
            <w:vAlign w:val="center"/>
          </w:tcPr>
          <w:p w14:paraId="73C67238">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input545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6798114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input546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1AA2853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0E618E1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3834" w:type="dxa"/>
            <w:noWrap w:val="0"/>
            <w:vAlign w:val="center"/>
          </w:tcPr>
          <w:p w14:paraId="3DC68E6F">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7F135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30B7394D">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施工员</w:t>
            </w:r>
          </w:p>
        </w:tc>
        <w:tc>
          <w:tcPr>
            <w:tcW w:w="1338" w:type="dxa"/>
            <w:noWrap w:val="0"/>
            <w:vAlign w:val="center"/>
          </w:tcPr>
          <w:p w14:paraId="43B4E45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w:t>
            </w:r>
          </w:p>
        </w:tc>
        <w:tc>
          <w:tcPr>
            <w:tcW w:w="1342" w:type="dxa"/>
            <w:noWrap w:val="0"/>
            <w:vAlign w:val="center"/>
          </w:tcPr>
          <w:p w14:paraId="6BC3273C">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555DC9F8">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519AF17A">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3201F39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3834" w:type="dxa"/>
            <w:noWrap w:val="0"/>
            <w:vAlign w:val="center"/>
          </w:tcPr>
          <w:p w14:paraId="50A04BE2">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796DE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181C551F">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安全员</w:t>
            </w:r>
          </w:p>
        </w:tc>
        <w:tc>
          <w:tcPr>
            <w:tcW w:w="1338" w:type="dxa"/>
            <w:noWrap w:val="0"/>
            <w:vAlign w:val="center"/>
          </w:tcPr>
          <w:p w14:paraId="2082C463">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w:t>
            </w:r>
          </w:p>
        </w:tc>
        <w:tc>
          <w:tcPr>
            <w:tcW w:w="1342" w:type="dxa"/>
            <w:noWrap w:val="0"/>
            <w:vAlign w:val="center"/>
          </w:tcPr>
          <w:p w14:paraId="754779CF">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input557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551147A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input558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46ABEBD7">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04ED521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3834" w:type="dxa"/>
            <w:noWrap w:val="0"/>
            <w:vAlign w:val="center"/>
          </w:tcPr>
          <w:p w14:paraId="1CED93BF">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37AFD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3962EFCB">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质量员</w:t>
            </w:r>
          </w:p>
        </w:tc>
        <w:tc>
          <w:tcPr>
            <w:tcW w:w="1338" w:type="dxa"/>
            <w:noWrap w:val="0"/>
            <w:vAlign w:val="center"/>
          </w:tcPr>
          <w:p w14:paraId="20B81D16">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w:t>
            </w:r>
          </w:p>
        </w:tc>
        <w:tc>
          <w:tcPr>
            <w:tcW w:w="1342" w:type="dxa"/>
            <w:noWrap w:val="0"/>
            <w:vAlign w:val="center"/>
          </w:tcPr>
          <w:p w14:paraId="2B875AD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input563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5438D0C6">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input564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4A6D47FE">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59A3AB93">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3834" w:type="dxa"/>
            <w:noWrap w:val="0"/>
            <w:vAlign w:val="center"/>
          </w:tcPr>
          <w:p w14:paraId="56388A17">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0BB5B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57C9C6B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标准员</w:t>
            </w:r>
          </w:p>
        </w:tc>
        <w:tc>
          <w:tcPr>
            <w:tcW w:w="1338" w:type="dxa"/>
            <w:noWrap w:val="0"/>
            <w:vAlign w:val="center"/>
          </w:tcPr>
          <w:p w14:paraId="6F144E8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input568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rPr>
              <w:fldChar w:fldCharType="end"/>
            </w:r>
          </w:p>
        </w:tc>
        <w:tc>
          <w:tcPr>
            <w:tcW w:w="1342" w:type="dxa"/>
            <w:noWrap w:val="0"/>
            <w:vAlign w:val="center"/>
          </w:tcPr>
          <w:p w14:paraId="6CABF73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0836C6FA">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6850F5B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351C2F66">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3834" w:type="dxa"/>
            <w:noWrap w:val="0"/>
            <w:vAlign w:val="center"/>
          </w:tcPr>
          <w:p w14:paraId="73E91E17">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39F2B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429D5E68">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材料员</w:t>
            </w:r>
          </w:p>
        </w:tc>
        <w:tc>
          <w:tcPr>
            <w:tcW w:w="1338" w:type="dxa"/>
            <w:noWrap w:val="0"/>
            <w:vAlign w:val="center"/>
          </w:tcPr>
          <w:p w14:paraId="6229BC3D">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w:t>
            </w:r>
          </w:p>
        </w:tc>
        <w:tc>
          <w:tcPr>
            <w:tcW w:w="1342" w:type="dxa"/>
            <w:noWrap w:val="0"/>
            <w:vAlign w:val="center"/>
          </w:tcPr>
          <w:p w14:paraId="5604B35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458A7CCD">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586534D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641BE200">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3834" w:type="dxa"/>
            <w:noWrap w:val="0"/>
            <w:vAlign w:val="center"/>
          </w:tcPr>
          <w:p w14:paraId="01F0B696">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323FA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40FCFF2A">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机械员</w:t>
            </w:r>
          </w:p>
        </w:tc>
        <w:tc>
          <w:tcPr>
            <w:tcW w:w="1338" w:type="dxa"/>
            <w:noWrap w:val="0"/>
            <w:vAlign w:val="center"/>
          </w:tcPr>
          <w:p w14:paraId="085789D0">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input580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rPr>
              <w:fldChar w:fldCharType="end"/>
            </w:r>
          </w:p>
        </w:tc>
        <w:tc>
          <w:tcPr>
            <w:tcW w:w="1342" w:type="dxa"/>
            <w:noWrap w:val="0"/>
            <w:vAlign w:val="center"/>
          </w:tcPr>
          <w:p w14:paraId="7EA14AD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69AA9B81">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3DFB2A23">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3F4A3B63">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3834" w:type="dxa"/>
            <w:noWrap w:val="0"/>
            <w:vAlign w:val="center"/>
          </w:tcPr>
          <w:p w14:paraId="481A03CA">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5A2DB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0A422901">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劳务员</w:t>
            </w:r>
          </w:p>
        </w:tc>
        <w:tc>
          <w:tcPr>
            <w:tcW w:w="1338" w:type="dxa"/>
            <w:noWrap w:val="0"/>
            <w:vAlign w:val="center"/>
          </w:tcPr>
          <w:p w14:paraId="3FC212D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input586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rPr>
              <w:fldChar w:fldCharType="end"/>
            </w:r>
          </w:p>
        </w:tc>
        <w:tc>
          <w:tcPr>
            <w:tcW w:w="1342" w:type="dxa"/>
            <w:noWrap w:val="0"/>
            <w:vAlign w:val="center"/>
          </w:tcPr>
          <w:p w14:paraId="1A9E308E">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72AA466D">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16372201">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26D44926">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3834" w:type="dxa"/>
            <w:noWrap w:val="0"/>
            <w:vAlign w:val="center"/>
          </w:tcPr>
          <w:p w14:paraId="5D0BC2C7">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r w14:paraId="79126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exact"/>
          <w:jc w:val="center"/>
        </w:trPr>
        <w:tc>
          <w:tcPr>
            <w:tcW w:w="1607" w:type="dxa"/>
            <w:noWrap w:val="0"/>
            <w:vAlign w:val="center"/>
          </w:tcPr>
          <w:p w14:paraId="25DBC2C7">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资料员</w:t>
            </w:r>
          </w:p>
        </w:tc>
        <w:tc>
          <w:tcPr>
            <w:tcW w:w="1338" w:type="dxa"/>
            <w:noWrap w:val="0"/>
            <w:vAlign w:val="center"/>
          </w:tcPr>
          <w:p w14:paraId="4887826B">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input592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1</w:t>
            </w:r>
            <w:r>
              <w:rPr>
                <w:rFonts w:hint="eastAsia" w:ascii="宋体" w:hAnsi="宋体" w:eastAsia="宋体" w:cs="宋体"/>
                <w:color w:val="auto"/>
                <w:sz w:val="20"/>
                <w:szCs w:val="20"/>
                <w:highlight w:val="none"/>
              </w:rPr>
              <w:fldChar w:fldCharType="end"/>
            </w:r>
          </w:p>
        </w:tc>
        <w:tc>
          <w:tcPr>
            <w:tcW w:w="1342" w:type="dxa"/>
            <w:noWrap w:val="0"/>
            <w:vAlign w:val="center"/>
          </w:tcPr>
          <w:p w14:paraId="1B5F0DFF">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62CCE56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1548" w:type="dxa"/>
            <w:noWrap w:val="0"/>
            <w:vAlign w:val="center"/>
          </w:tcPr>
          <w:p w14:paraId="20717F74">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2D1DC76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可兼任：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3834" w:type="dxa"/>
            <w:noWrap w:val="0"/>
            <w:vAlign w:val="center"/>
          </w:tcPr>
          <w:p w14:paraId="302148F3">
            <w:pPr>
              <w:keepNext w:val="0"/>
              <w:keepLines w:val="0"/>
              <w:pageBreakBefore w:val="0"/>
              <w:widowControl w:val="0"/>
              <w:kinsoku/>
              <w:wordWrap/>
              <w:overflowPunct/>
              <w:topLinePunct w:val="0"/>
              <w:autoSpaceDE/>
              <w:autoSpaceDN/>
              <w:bidi w:val="0"/>
              <w:adjustRightInd/>
              <w:snapToGrid/>
              <w:spacing w:after="0" w:line="360" w:lineRule="exact"/>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提供相关资格证书、身份证、</w:t>
            </w:r>
            <w:r>
              <w:rPr>
                <w:rFonts w:hint="eastAsia" w:ascii="宋体" w:hAnsi="宋体" w:cs="宋体"/>
                <w:color w:val="auto"/>
                <w:sz w:val="20"/>
                <w:szCs w:val="20"/>
                <w:highlight w:val="none"/>
                <w:lang w:val="en-US" w:eastAsia="zh-CN"/>
              </w:rPr>
              <w:t>投标截止日期前连续3个月</w:t>
            </w:r>
            <w:r>
              <w:rPr>
                <w:rFonts w:hint="eastAsia" w:ascii="宋体" w:hAnsi="宋体" w:eastAsia="宋体" w:cs="宋体"/>
                <w:color w:val="auto"/>
                <w:sz w:val="20"/>
                <w:szCs w:val="20"/>
                <w:highlight w:val="none"/>
                <w:lang w:eastAsia="zh-CN"/>
              </w:rPr>
              <w:t>在投标单位</w:t>
            </w:r>
            <w:r>
              <w:rPr>
                <w:rFonts w:hint="eastAsia" w:ascii="宋体" w:hAnsi="宋体" w:eastAsia="宋体" w:cs="宋体"/>
                <w:color w:val="auto"/>
                <w:sz w:val="20"/>
                <w:szCs w:val="20"/>
                <w:highlight w:val="none"/>
                <w:lang w:val="en-US" w:eastAsia="zh-CN"/>
              </w:rPr>
              <w:t>参保</w:t>
            </w:r>
            <w:r>
              <w:rPr>
                <w:rFonts w:hint="eastAsia" w:ascii="宋体" w:hAnsi="宋体" w:eastAsia="宋体" w:cs="宋体"/>
                <w:color w:val="auto"/>
                <w:sz w:val="20"/>
                <w:szCs w:val="20"/>
                <w:highlight w:val="none"/>
                <w:lang w:eastAsia="zh-CN"/>
              </w:rPr>
              <w:t>的职工基本养老保险参保证明</w:t>
            </w:r>
            <w:r>
              <w:rPr>
                <w:rFonts w:hint="eastAsia" w:ascii="宋体" w:hAnsi="宋体" w:eastAsia="宋体" w:cs="宋体"/>
                <w:color w:val="auto"/>
                <w:sz w:val="20"/>
                <w:szCs w:val="20"/>
                <w:highlight w:val="none"/>
                <w:lang w:val="en-US" w:eastAsia="zh-CN"/>
              </w:rPr>
              <w:t>或社保证明</w:t>
            </w:r>
            <w:r>
              <w:rPr>
                <w:rFonts w:hint="eastAsia" w:ascii="宋体" w:hAnsi="宋体" w:cs="宋体"/>
                <w:color w:val="auto"/>
                <w:sz w:val="20"/>
                <w:szCs w:val="20"/>
                <w:highlight w:val="none"/>
                <w:lang w:val="en-US" w:eastAsia="zh-CN"/>
              </w:rPr>
              <w:t>。</w:t>
            </w:r>
          </w:p>
        </w:tc>
      </w:tr>
    </w:tbl>
    <w:p w14:paraId="1A947B87">
      <w:pPr>
        <w:rPr>
          <w:rStyle w:val="39"/>
          <w:rFonts w:hint="eastAsia" w:ascii="宋体" w:hAnsi="宋体" w:eastAsia="宋体" w:cs="宋体"/>
          <w:highlight w:val="none"/>
          <w:lang w:val="en-US" w:eastAsia="zh-CN"/>
        </w:rPr>
      </w:pPr>
      <w:r>
        <w:rPr>
          <w:rStyle w:val="39"/>
          <w:rFonts w:hint="eastAsia" w:ascii="宋体" w:hAnsi="宋体" w:eastAsia="宋体" w:cs="宋体"/>
          <w:highlight w:val="none"/>
          <w:lang w:val="en-US" w:eastAsia="zh-CN"/>
        </w:rPr>
        <w:br w:type="page"/>
      </w:r>
    </w:p>
    <w:p w14:paraId="05CF72AF">
      <w:pPr>
        <w:jc w:val="center"/>
        <w:rPr>
          <w:rFonts w:hint="eastAsia" w:ascii="宋体" w:hAnsi="宋体" w:eastAsia="宋体" w:cs="宋体"/>
          <w:b/>
          <w:bCs/>
          <w:iCs/>
          <w:color w:val="auto"/>
          <w:kern w:val="0"/>
          <w:sz w:val="24"/>
          <w:szCs w:val="24"/>
          <w:highlight w:val="none"/>
          <w:lang w:val="en-US" w:eastAsia="zh-CN" w:bidi="en-US"/>
        </w:rPr>
      </w:pPr>
      <w:r>
        <w:rPr>
          <w:rStyle w:val="39"/>
          <w:rFonts w:hint="eastAsia" w:ascii="宋体" w:hAnsi="宋体" w:eastAsia="宋体" w:cs="宋体"/>
          <w:highlight w:val="none"/>
          <w:lang w:val="en-US" w:eastAsia="zh-CN"/>
        </w:rPr>
        <w:t>第二章  投标人须知</w:t>
      </w:r>
      <w:bookmarkEnd w:id="3"/>
      <w:bookmarkEnd w:id="4"/>
      <w:bookmarkEnd w:id="22"/>
    </w:p>
    <w:p w14:paraId="608F4763">
      <w:pPr>
        <w:pStyle w:val="3"/>
        <w:keepLines w:val="0"/>
        <w:widowControl/>
        <w:spacing w:before="0" w:after="0" w:line="360" w:lineRule="auto"/>
        <w:ind w:left="478" w:hanging="479" w:hangingChars="199"/>
        <w:jc w:val="center"/>
        <w:rPr>
          <w:rFonts w:hint="eastAsia" w:ascii="宋体" w:hAnsi="宋体" w:eastAsia="宋体" w:cs="宋体"/>
          <w:b/>
          <w:bCs/>
          <w:iCs/>
          <w:color w:val="auto"/>
          <w:kern w:val="0"/>
          <w:sz w:val="24"/>
          <w:szCs w:val="24"/>
          <w:highlight w:val="none"/>
          <w:lang w:bidi="en-US"/>
        </w:rPr>
      </w:pPr>
      <w:bookmarkStart w:id="23" w:name="_Toc435016789"/>
      <w:bookmarkStart w:id="24" w:name="_Toc16649"/>
      <w:bookmarkStart w:id="25" w:name="_Toc395964992"/>
      <w:bookmarkStart w:id="26" w:name="_Toc19677"/>
      <w:r>
        <w:rPr>
          <w:rFonts w:hint="eastAsia" w:ascii="宋体" w:hAnsi="宋体" w:eastAsia="宋体" w:cs="宋体"/>
          <w:b/>
          <w:bCs/>
          <w:iCs/>
          <w:color w:val="auto"/>
          <w:kern w:val="0"/>
          <w:sz w:val="24"/>
          <w:szCs w:val="24"/>
          <w:highlight w:val="none"/>
          <w:lang w:bidi="en-US"/>
        </w:rPr>
        <w:t>一</w:t>
      </w:r>
      <w:r>
        <w:rPr>
          <w:rFonts w:hint="eastAsia" w:ascii="宋体" w:hAnsi="宋体" w:eastAsia="宋体" w:cs="宋体"/>
          <w:b/>
          <w:bCs/>
          <w:iCs/>
          <w:color w:val="auto"/>
          <w:kern w:val="0"/>
          <w:sz w:val="24"/>
          <w:szCs w:val="24"/>
          <w:highlight w:val="none"/>
          <w:lang w:eastAsia="zh-CN" w:bidi="en-US"/>
        </w:rPr>
        <w:t>、</w:t>
      </w:r>
      <w:r>
        <w:rPr>
          <w:rFonts w:hint="eastAsia" w:ascii="宋体" w:hAnsi="宋体" w:eastAsia="宋体" w:cs="宋体"/>
          <w:b/>
          <w:bCs/>
          <w:iCs/>
          <w:color w:val="auto"/>
          <w:kern w:val="0"/>
          <w:sz w:val="24"/>
          <w:szCs w:val="24"/>
          <w:highlight w:val="none"/>
          <w:lang w:bidi="en-US"/>
        </w:rPr>
        <w:t>投标人须知前附表</w:t>
      </w:r>
      <w:bookmarkEnd w:id="23"/>
      <w:bookmarkEnd w:id="24"/>
      <w:bookmarkEnd w:id="25"/>
      <w:bookmarkEnd w:id="26"/>
    </w:p>
    <w:tbl>
      <w:tblPr>
        <w:tblStyle w:val="28"/>
        <w:tblW w:w="8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535"/>
        <w:gridCol w:w="6621"/>
      </w:tblGrid>
      <w:tr w14:paraId="0C7A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15" w:type="dxa"/>
            <w:tcMar>
              <w:top w:w="28" w:type="dxa"/>
              <w:left w:w="28" w:type="dxa"/>
              <w:bottom w:w="28" w:type="dxa"/>
              <w:right w:w="28" w:type="dxa"/>
            </w:tcMar>
            <w:vAlign w:val="center"/>
          </w:tcPr>
          <w:p w14:paraId="7BE52435">
            <w:pPr>
              <w:widowControl/>
              <w:spacing w:line="240" w:lineRule="auto"/>
              <w:jc w:val="center"/>
              <w:rPr>
                <w:rFonts w:hint="eastAsia" w:ascii="宋体" w:hAnsi="宋体" w:eastAsia="宋体" w:cs="宋体"/>
                <w:b/>
                <w:bCs/>
                <w:color w:val="auto"/>
                <w:kern w:val="0"/>
                <w:sz w:val="24"/>
                <w:szCs w:val="24"/>
                <w:highlight w:val="none"/>
                <w:lang w:bidi="en-US"/>
              </w:rPr>
            </w:pPr>
            <w:bookmarkStart w:id="27" w:name="_Toc395964993"/>
            <w:bookmarkStart w:id="28" w:name="_Toc435016790"/>
            <w:bookmarkStart w:id="29" w:name="_Toc184635071"/>
            <w:r>
              <w:rPr>
                <w:rFonts w:hint="eastAsia" w:ascii="宋体" w:hAnsi="宋体" w:eastAsia="宋体" w:cs="宋体"/>
                <w:b/>
                <w:bCs/>
                <w:color w:val="auto"/>
                <w:kern w:val="0"/>
                <w:sz w:val="24"/>
                <w:szCs w:val="24"/>
                <w:highlight w:val="none"/>
                <w:lang w:bidi="en-US"/>
              </w:rPr>
              <w:t>条款号</w:t>
            </w:r>
          </w:p>
        </w:tc>
        <w:tc>
          <w:tcPr>
            <w:tcW w:w="1535" w:type="dxa"/>
            <w:tcMar>
              <w:top w:w="28" w:type="dxa"/>
              <w:left w:w="28" w:type="dxa"/>
              <w:bottom w:w="28" w:type="dxa"/>
              <w:right w:w="28" w:type="dxa"/>
            </w:tcMar>
            <w:vAlign w:val="center"/>
          </w:tcPr>
          <w:p w14:paraId="1C19293E">
            <w:pPr>
              <w:widowControl/>
              <w:spacing w:line="240" w:lineRule="auto"/>
              <w:jc w:val="center"/>
              <w:rPr>
                <w:rFonts w:hint="eastAsia" w:ascii="宋体" w:hAnsi="宋体" w:eastAsia="宋体" w:cs="宋体"/>
                <w:b/>
                <w:bCs/>
                <w:color w:val="auto"/>
                <w:kern w:val="0"/>
                <w:sz w:val="24"/>
                <w:szCs w:val="24"/>
                <w:highlight w:val="none"/>
                <w:lang w:bidi="en-US"/>
              </w:rPr>
            </w:pPr>
            <w:r>
              <w:rPr>
                <w:rFonts w:hint="eastAsia" w:ascii="宋体" w:hAnsi="宋体" w:eastAsia="宋体" w:cs="宋体"/>
                <w:b/>
                <w:bCs/>
                <w:color w:val="auto"/>
                <w:kern w:val="0"/>
                <w:sz w:val="24"/>
                <w:szCs w:val="24"/>
                <w:highlight w:val="none"/>
                <w:lang w:bidi="en-US"/>
              </w:rPr>
              <w:t>条款名称</w:t>
            </w:r>
          </w:p>
        </w:tc>
        <w:tc>
          <w:tcPr>
            <w:tcW w:w="6621" w:type="dxa"/>
            <w:tcMar>
              <w:top w:w="28" w:type="dxa"/>
              <w:left w:w="28" w:type="dxa"/>
              <w:bottom w:w="28" w:type="dxa"/>
              <w:right w:w="28" w:type="dxa"/>
            </w:tcMar>
            <w:vAlign w:val="center"/>
          </w:tcPr>
          <w:p w14:paraId="5902F0B1">
            <w:pPr>
              <w:widowControl/>
              <w:spacing w:line="240" w:lineRule="auto"/>
              <w:jc w:val="center"/>
              <w:rPr>
                <w:rFonts w:hint="eastAsia" w:ascii="宋体" w:hAnsi="宋体" w:eastAsia="宋体" w:cs="宋体"/>
                <w:b/>
                <w:bCs/>
                <w:color w:val="auto"/>
                <w:kern w:val="0"/>
                <w:sz w:val="24"/>
                <w:szCs w:val="24"/>
                <w:highlight w:val="none"/>
                <w:lang w:bidi="en-US"/>
              </w:rPr>
            </w:pPr>
            <w:r>
              <w:rPr>
                <w:rFonts w:hint="eastAsia" w:ascii="宋体" w:hAnsi="宋体" w:eastAsia="宋体" w:cs="宋体"/>
                <w:b/>
                <w:bCs/>
                <w:color w:val="auto"/>
                <w:kern w:val="0"/>
                <w:sz w:val="24"/>
                <w:szCs w:val="24"/>
                <w:highlight w:val="none"/>
                <w:lang w:bidi="en-US"/>
              </w:rPr>
              <w:t>编列内容</w:t>
            </w:r>
          </w:p>
        </w:tc>
      </w:tr>
      <w:tr w14:paraId="620E5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48715515">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1.1.2</w:t>
            </w:r>
          </w:p>
        </w:tc>
        <w:tc>
          <w:tcPr>
            <w:tcW w:w="1535" w:type="dxa"/>
            <w:tcMar>
              <w:top w:w="28" w:type="dxa"/>
              <w:left w:w="28" w:type="dxa"/>
              <w:bottom w:w="28" w:type="dxa"/>
              <w:right w:w="28" w:type="dxa"/>
            </w:tcMar>
            <w:vAlign w:val="center"/>
          </w:tcPr>
          <w:p w14:paraId="06451144">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招标人</w:t>
            </w:r>
          </w:p>
        </w:tc>
        <w:tc>
          <w:tcPr>
            <w:tcW w:w="6621" w:type="dxa"/>
            <w:tcMar>
              <w:top w:w="28" w:type="dxa"/>
              <w:left w:w="28" w:type="dxa"/>
              <w:bottom w:w="28" w:type="dxa"/>
              <w:right w:w="28" w:type="dxa"/>
            </w:tcMar>
            <w:vAlign w:val="center"/>
          </w:tcPr>
          <w:p w14:paraId="750DB4A1">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cs="宋体"/>
                <w:b w:val="0"/>
                <w:bCs w:val="0"/>
                <w:color w:val="auto"/>
                <w:kern w:val="0"/>
                <w:sz w:val="24"/>
                <w:szCs w:val="24"/>
                <w:highlight w:val="none"/>
                <w:lang w:val="en-US" w:eastAsia="zh-CN" w:bidi="en-US"/>
              </w:rPr>
              <w:t>名称</w:t>
            </w:r>
            <w:r>
              <w:rPr>
                <w:rFonts w:hint="eastAsia" w:ascii="宋体" w:hAnsi="宋体" w:eastAsia="宋体" w:cs="宋体"/>
                <w:b w:val="0"/>
                <w:bCs w:val="0"/>
                <w:color w:val="auto"/>
                <w:kern w:val="0"/>
                <w:sz w:val="24"/>
                <w:szCs w:val="24"/>
                <w:highlight w:val="none"/>
                <w:lang w:eastAsia="zh-CN" w:bidi="en-US"/>
              </w:rPr>
              <w:t>：</w:t>
            </w:r>
            <w:r>
              <w:rPr>
                <w:rFonts w:hint="eastAsia" w:ascii="宋体" w:hAnsi="宋体" w:cs="宋体"/>
                <w:b w:val="0"/>
                <w:bCs w:val="0"/>
                <w:color w:val="auto"/>
                <w:kern w:val="0"/>
                <w:sz w:val="24"/>
                <w:szCs w:val="24"/>
                <w:highlight w:val="none"/>
                <w:lang w:eastAsia="zh-CN" w:bidi="en-US"/>
              </w:rPr>
              <w:t>元谋县农业农村局</w:t>
            </w:r>
          </w:p>
          <w:p w14:paraId="7345BDB0">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地址：</w:t>
            </w:r>
            <w:r>
              <w:rPr>
                <w:rFonts w:hint="eastAsia" w:ascii="宋体" w:hAnsi="宋体" w:cs="宋体"/>
                <w:b w:val="0"/>
                <w:bCs w:val="0"/>
                <w:color w:val="auto"/>
                <w:kern w:val="0"/>
                <w:sz w:val="24"/>
                <w:szCs w:val="24"/>
                <w:highlight w:val="none"/>
                <w:lang w:eastAsia="zh-CN" w:bidi="en-US"/>
              </w:rPr>
              <w:t>元谋县元马镇108国道沙地段（县消防队对面）</w:t>
            </w:r>
          </w:p>
          <w:p w14:paraId="122A5524">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联系人：</w:t>
            </w:r>
            <w:r>
              <w:rPr>
                <w:rFonts w:hint="eastAsia" w:ascii="宋体" w:hAnsi="宋体" w:cs="宋体"/>
                <w:b w:val="0"/>
                <w:bCs w:val="0"/>
                <w:color w:val="auto"/>
                <w:kern w:val="0"/>
                <w:sz w:val="24"/>
                <w:szCs w:val="24"/>
                <w:highlight w:val="none"/>
                <w:lang w:eastAsia="zh-CN" w:bidi="en-US"/>
              </w:rPr>
              <w:t>仲老师</w:t>
            </w:r>
          </w:p>
          <w:p w14:paraId="67FCC441">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电话：</w:t>
            </w:r>
            <w:r>
              <w:rPr>
                <w:rFonts w:hint="eastAsia" w:ascii="宋体" w:hAnsi="宋体" w:cs="宋体"/>
                <w:b w:val="0"/>
                <w:bCs w:val="0"/>
                <w:color w:val="auto"/>
                <w:kern w:val="0"/>
                <w:sz w:val="24"/>
                <w:szCs w:val="24"/>
                <w:highlight w:val="none"/>
                <w:lang w:eastAsia="zh-CN" w:bidi="en-US"/>
              </w:rPr>
              <w:t>0878-8211779</w:t>
            </w:r>
          </w:p>
        </w:tc>
      </w:tr>
      <w:tr w14:paraId="391C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27A66857">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1.1.3</w:t>
            </w:r>
          </w:p>
        </w:tc>
        <w:tc>
          <w:tcPr>
            <w:tcW w:w="1535" w:type="dxa"/>
            <w:tcMar>
              <w:top w:w="28" w:type="dxa"/>
              <w:left w:w="28" w:type="dxa"/>
              <w:bottom w:w="28" w:type="dxa"/>
              <w:right w:w="28" w:type="dxa"/>
            </w:tcMar>
            <w:vAlign w:val="center"/>
          </w:tcPr>
          <w:p w14:paraId="12D7DA62">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招标代理机构</w:t>
            </w:r>
          </w:p>
        </w:tc>
        <w:tc>
          <w:tcPr>
            <w:tcW w:w="6621" w:type="dxa"/>
            <w:tcMar>
              <w:top w:w="28" w:type="dxa"/>
              <w:left w:w="28" w:type="dxa"/>
              <w:bottom w:w="28" w:type="dxa"/>
              <w:right w:w="28" w:type="dxa"/>
            </w:tcMar>
            <w:vAlign w:val="center"/>
          </w:tcPr>
          <w:p w14:paraId="3B0ECCF4">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bidi="en-US"/>
              </w:rPr>
            </w:pPr>
            <w:r>
              <w:rPr>
                <w:rFonts w:hint="eastAsia" w:ascii="宋体" w:hAnsi="宋体" w:cs="宋体"/>
                <w:b w:val="0"/>
                <w:bCs w:val="0"/>
                <w:color w:val="auto"/>
                <w:kern w:val="0"/>
                <w:sz w:val="24"/>
                <w:szCs w:val="24"/>
                <w:highlight w:val="none"/>
                <w:lang w:val="en-US" w:eastAsia="zh-CN" w:bidi="en-US"/>
              </w:rPr>
              <w:t>名称</w:t>
            </w:r>
            <w:r>
              <w:rPr>
                <w:rFonts w:hint="eastAsia" w:ascii="宋体" w:hAnsi="宋体" w:eastAsia="宋体" w:cs="宋体"/>
                <w:b w:val="0"/>
                <w:bCs w:val="0"/>
                <w:color w:val="auto"/>
                <w:kern w:val="0"/>
                <w:sz w:val="24"/>
                <w:szCs w:val="24"/>
                <w:highlight w:val="none"/>
                <w:lang w:val="en-US" w:bidi="en-US"/>
              </w:rPr>
              <w:t>：云南科律工程管理咨询有限公司</w:t>
            </w:r>
          </w:p>
          <w:p w14:paraId="10BC325C">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bidi="en-US"/>
              </w:rPr>
              <w:t>地址：</w:t>
            </w:r>
            <w:r>
              <w:rPr>
                <w:rFonts w:hint="eastAsia" w:ascii="宋体" w:hAnsi="宋体" w:cs="宋体"/>
                <w:b w:val="0"/>
                <w:bCs w:val="0"/>
                <w:color w:val="auto"/>
                <w:kern w:val="0"/>
                <w:sz w:val="24"/>
                <w:szCs w:val="24"/>
                <w:highlight w:val="none"/>
                <w:lang w:val="en-US" w:eastAsia="zh-CN" w:bidi="en-US"/>
              </w:rPr>
              <w:t>楚雄市高新区轻纺城9幢5单元540室</w:t>
            </w:r>
          </w:p>
          <w:p w14:paraId="7F03AD0C">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bidi="en-US"/>
              </w:rPr>
              <w:t>联系人：</w:t>
            </w:r>
            <w:r>
              <w:rPr>
                <w:rFonts w:hint="eastAsia" w:ascii="宋体" w:hAnsi="宋体" w:cs="宋体"/>
                <w:b w:val="0"/>
                <w:bCs w:val="0"/>
                <w:color w:val="auto"/>
                <w:kern w:val="0"/>
                <w:sz w:val="24"/>
                <w:szCs w:val="24"/>
                <w:highlight w:val="none"/>
                <w:lang w:val="en-US" w:eastAsia="zh-CN" w:bidi="en-US"/>
              </w:rPr>
              <w:t>韦杰</w:t>
            </w:r>
          </w:p>
          <w:p w14:paraId="29CE7132">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bidi="en-US"/>
              </w:rPr>
              <w:t>电话：</w:t>
            </w:r>
            <w:r>
              <w:rPr>
                <w:rFonts w:hint="eastAsia" w:ascii="宋体" w:hAnsi="宋体" w:cs="宋体"/>
                <w:b w:val="0"/>
                <w:bCs w:val="0"/>
                <w:color w:val="auto"/>
                <w:kern w:val="0"/>
                <w:sz w:val="24"/>
                <w:szCs w:val="24"/>
                <w:highlight w:val="none"/>
                <w:lang w:val="en-US" w:eastAsia="zh-CN" w:bidi="en-US"/>
              </w:rPr>
              <w:t>0878-3111876 15987832356</w:t>
            </w:r>
          </w:p>
        </w:tc>
      </w:tr>
      <w:tr w14:paraId="00B5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74E858C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1.1.4</w:t>
            </w:r>
          </w:p>
        </w:tc>
        <w:tc>
          <w:tcPr>
            <w:tcW w:w="1535" w:type="dxa"/>
            <w:tcMar>
              <w:top w:w="28" w:type="dxa"/>
              <w:left w:w="28" w:type="dxa"/>
              <w:bottom w:w="28" w:type="dxa"/>
              <w:right w:w="28" w:type="dxa"/>
            </w:tcMar>
            <w:vAlign w:val="center"/>
          </w:tcPr>
          <w:p w14:paraId="0E8D9303">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zh-CN" w:bidi="en-US"/>
              </w:rPr>
            </w:pPr>
            <w:r>
              <w:rPr>
                <w:rFonts w:hint="eastAsia" w:ascii="宋体" w:hAnsi="宋体" w:eastAsia="宋体" w:cs="宋体"/>
                <w:b w:val="0"/>
                <w:bCs w:val="0"/>
                <w:color w:val="auto"/>
                <w:kern w:val="0"/>
                <w:sz w:val="24"/>
                <w:szCs w:val="24"/>
                <w:highlight w:val="none"/>
                <w:lang w:val="zh-CN" w:bidi="en-US"/>
              </w:rPr>
              <w:t>项目名称</w:t>
            </w:r>
          </w:p>
        </w:tc>
        <w:tc>
          <w:tcPr>
            <w:tcW w:w="6621" w:type="dxa"/>
            <w:tcMar>
              <w:top w:w="28" w:type="dxa"/>
              <w:left w:w="28" w:type="dxa"/>
              <w:bottom w:w="28" w:type="dxa"/>
              <w:right w:w="28" w:type="dxa"/>
            </w:tcMar>
            <w:vAlign w:val="center"/>
          </w:tcPr>
          <w:p w14:paraId="173F65A6">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FF0000"/>
                <w:kern w:val="0"/>
                <w:sz w:val="24"/>
                <w:szCs w:val="24"/>
                <w:highlight w:val="none"/>
                <w:lang w:val="en-US" w:eastAsia="zh-CN" w:bidi="en-US"/>
              </w:rPr>
            </w:pPr>
            <w:r>
              <w:rPr>
                <w:rFonts w:hint="eastAsia" w:ascii="宋体" w:hAnsi="宋体" w:cs="宋体"/>
                <w:b w:val="0"/>
                <w:bCs w:val="0"/>
                <w:color w:val="auto"/>
                <w:kern w:val="0"/>
                <w:sz w:val="24"/>
                <w:szCs w:val="24"/>
                <w:highlight w:val="none"/>
                <w:lang w:val="en-US" w:eastAsia="zh-CN" w:bidi="en-US"/>
              </w:rPr>
              <w:t>元谋县2026年高标准农田建设项目盐水井村片区二标段</w:t>
            </w:r>
          </w:p>
        </w:tc>
      </w:tr>
      <w:tr w14:paraId="1EF75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3" w:hRule="atLeast"/>
          <w:jc w:val="center"/>
        </w:trPr>
        <w:tc>
          <w:tcPr>
            <w:tcW w:w="815" w:type="dxa"/>
            <w:tcMar>
              <w:top w:w="28" w:type="dxa"/>
              <w:left w:w="28" w:type="dxa"/>
              <w:bottom w:w="28" w:type="dxa"/>
              <w:right w:w="28" w:type="dxa"/>
            </w:tcMar>
            <w:vAlign w:val="center"/>
          </w:tcPr>
          <w:p w14:paraId="10EEC746">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1.1.5</w:t>
            </w:r>
          </w:p>
        </w:tc>
        <w:tc>
          <w:tcPr>
            <w:tcW w:w="1535" w:type="dxa"/>
            <w:tcMar>
              <w:top w:w="28" w:type="dxa"/>
              <w:left w:w="28" w:type="dxa"/>
              <w:bottom w:w="28" w:type="dxa"/>
              <w:right w:w="28" w:type="dxa"/>
            </w:tcMar>
            <w:vAlign w:val="center"/>
          </w:tcPr>
          <w:p w14:paraId="11CB292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建设地点</w:t>
            </w:r>
          </w:p>
          <w:p w14:paraId="49782E8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及内容</w:t>
            </w:r>
          </w:p>
        </w:tc>
        <w:tc>
          <w:tcPr>
            <w:tcW w:w="6621" w:type="dxa"/>
            <w:tcMar>
              <w:top w:w="28" w:type="dxa"/>
              <w:left w:w="28" w:type="dxa"/>
              <w:bottom w:w="28" w:type="dxa"/>
              <w:right w:w="28" w:type="dxa"/>
            </w:tcMar>
            <w:vAlign w:val="center"/>
          </w:tcPr>
          <w:p w14:paraId="55F46F65">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建设地点：</w:t>
            </w:r>
            <w:r>
              <w:rPr>
                <w:rFonts w:hint="eastAsia" w:ascii="宋体" w:hAnsi="宋体" w:cs="宋体"/>
                <w:b w:val="0"/>
                <w:bCs w:val="0"/>
                <w:color w:val="auto"/>
                <w:kern w:val="0"/>
                <w:sz w:val="24"/>
                <w:szCs w:val="24"/>
                <w:highlight w:val="none"/>
                <w:u w:val="none"/>
                <w:lang w:val="en-US" w:eastAsia="zh-CN"/>
              </w:rPr>
              <w:t>元谋县江边乡盐水井村辖区</w:t>
            </w:r>
            <w:r>
              <w:rPr>
                <w:rFonts w:hint="eastAsia" w:ascii="宋体" w:hAnsi="宋体" w:eastAsia="宋体" w:cs="宋体"/>
                <w:b w:val="0"/>
                <w:bCs w:val="0"/>
                <w:color w:val="auto"/>
                <w:kern w:val="0"/>
                <w:sz w:val="24"/>
                <w:szCs w:val="24"/>
                <w:highlight w:val="none"/>
                <w:lang w:val="en-US" w:eastAsia="zh-CN" w:bidi="en-US"/>
              </w:rPr>
              <w:t>。</w:t>
            </w:r>
          </w:p>
          <w:p w14:paraId="67F591E3">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建设内容：（1）田块整治工程经统计在盐水井片区土地开发平整面积为1200.00亩。土方开挖110495.00m³，土方回填110495.00m³，石方开挖10216.70m³，石方回填8839.60m³，表土回填摊平230843.00m³，表土剥离230843.00m³。（2）灌溉与排水工程本项目修建农沟4条，长2502m；修建支管29条，长6644.00m，阀门井47座；镇墩32座；支墩82座；管涵8座。（3）田间道路工程本项目修建4.0m宽泥结碎石路面新建机耕路1条，长500.00m；C25砼路面铺设（包括配套工艺）改建机耕路5条，长4391.00m（3m 宽改建机耕路2条；3.5m宽改建机耕路3条）。错车道15段，道路挡墙共230.00m。</w:t>
            </w:r>
          </w:p>
          <w:p w14:paraId="76BBA4B4">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本标段概算投资994.68万元，本次招标总金额为992.342526万元。</w:t>
            </w:r>
          </w:p>
        </w:tc>
      </w:tr>
      <w:tr w14:paraId="09A9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3F1D9071">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1.2.1</w:t>
            </w:r>
          </w:p>
        </w:tc>
        <w:tc>
          <w:tcPr>
            <w:tcW w:w="1535" w:type="dxa"/>
            <w:tcMar>
              <w:top w:w="28" w:type="dxa"/>
              <w:left w:w="28" w:type="dxa"/>
              <w:bottom w:w="28" w:type="dxa"/>
              <w:right w:w="28" w:type="dxa"/>
            </w:tcMar>
            <w:vAlign w:val="center"/>
          </w:tcPr>
          <w:p w14:paraId="69495A6D">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000000" w:themeColor="text1"/>
                <w:kern w:val="0"/>
                <w:sz w:val="24"/>
                <w:szCs w:val="24"/>
                <w:highlight w:val="none"/>
                <w:lang w:val="zh-CN" w:bidi="en-US"/>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zh-CN" w:bidi="en-US"/>
                <w14:textFill>
                  <w14:solidFill>
                    <w14:schemeClr w14:val="tx1"/>
                  </w14:solidFill>
                </w14:textFill>
              </w:rPr>
              <w:t>资金来源</w:t>
            </w:r>
          </w:p>
        </w:tc>
        <w:tc>
          <w:tcPr>
            <w:tcW w:w="6621" w:type="dxa"/>
            <w:tcMar>
              <w:top w:w="28" w:type="dxa"/>
              <w:left w:w="28" w:type="dxa"/>
              <w:bottom w:w="28" w:type="dxa"/>
              <w:right w:w="28" w:type="dxa"/>
            </w:tcMar>
            <w:vAlign w:val="center"/>
          </w:tcPr>
          <w:p w14:paraId="5CD6702F">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000000" w:themeColor="text1"/>
                <w:kern w:val="0"/>
                <w:sz w:val="24"/>
                <w:szCs w:val="24"/>
                <w:highlight w:val="none"/>
                <w:lang w:val="zh-CN" w:bidi="en-US"/>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zh-CN" w:bidi="en-US"/>
                <w14:textFill>
                  <w14:solidFill>
                    <w14:schemeClr w14:val="tx1"/>
                  </w14:solidFill>
                </w14:textFill>
              </w:rPr>
              <w:t>中央财政资金和省级配套资金</w:t>
            </w:r>
          </w:p>
        </w:tc>
      </w:tr>
      <w:tr w14:paraId="0A29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06A0680">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1.2.2</w:t>
            </w:r>
          </w:p>
        </w:tc>
        <w:tc>
          <w:tcPr>
            <w:tcW w:w="1535" w:type="dxa"/>
            <w:tcMar>
              <w:top w:w="28" w:type="dxa"/>
              <w:left w:w="28" w:type="dxa"/>
              <w:bottom w:w="28" w:type="dxa"/>
              <w:right w:w="28" w:type="dxa"/>
            </w:tcMar>
            <w:vAlign w:val="center"/>
          </w:tcPr>
          <w:p w14:paraId="1B7BA83C">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zh-CN" w:bidi="en-US"/>
              </w:rPr>
            </w:pPr>
            <w:r>
              <w:rPr>
                <w:rFonts w:hint="eastAsia" w:ascii="宋体" w:hAnsi="宋体" w:eastAsia="宋体" w:cs="宋体"/>
                <w:b w:val="0"/>
                <w:bCs w:val="0"/>
                <w:color w:val="auto"/>
                <w:kern w:val="0"/>
                <w:sz w:val="24"/>
                <w:szCs w:val="24"/>
                <w:highlight w:val="none"/>
                <w:lang w:val="zh-CN" w:bidi="en-US"/>
              </w:rPr>
              <w:t>出资比例</w:t>
            </w:r>
          </w:p>
        </w:tc>
        <w:tc>
          <w:tcPr>
            <w:tcW w:w="6621" w:type="dxa"/>
            <w:tcMar>
              <w:top w:w="28" w:type="dxa"/>
              <w:left w:w="28" w:type="dxa"/>
              <w:bottom w:w="28" w:type="dxa"/>
              <w:right w:w="28" w:type="dxa"/>
            </w:tcMar>
            <w:vAlign w:val="center"/>
          </w:tcPr>
          <w:p w14:paraId="1AC3BBE2">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zh-CN" w:bidi="en-US"/>
              </w:rPr>
            </w:pPr>
            <w:r>
              <w:rPr>
                <w:rFonts w:hint="eastAsia" w:ascii="宋体" w:hAnsi="宋体" w:eastAsia="宋体" w:cs="宋体"/>
                <w:b w:val="0"/>
                <w:bCs w:val="0"/>
                <w:color w:val="auto"/>
                <w:kern w:val="0"/>
                <w:sz w:val="24"/>
                <w:szCs w:val="24"/>
                <w:highlight w:val="none"/>
                <w:lang w:val="zh-CN" w:bidi="en-US"/>
              </w:rPr>
              <w:t>100%</w:t>
            </w:r>
          </w:p>
        </w:tc>
      </w:tr>
      <w:tr w14:paraId="56F1C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323323B">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1.2.3</w:t>
            </w:r>
          </w:p>
        </w:tc>
        <w:tc>
          <w:tcPr>
            <w:tcW w:w="1535" w:type="dxa"/>
            <w:tcMar>
              <w:top w:w="28" w:type="dxa"/>
              <w:left w:w="28" w:type="dxa"/>
              <w:bottom w:w="28" w:type="dxa"/>
              <w:right w:w="28" w:type="dxa"/>
            </w:tcMar>
            <w:vAlign w:val="center"/>
          </w:tcPr>
          <w:p w14:paraId="742C83F2">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zh-CN" w:bidi="en-US"/>
              </w:rPr>
            </w:pPr>
            <w:r>
              <w:rPr>
                <w:rFonts w:hint="eastAsia" w:ascii="宋体" w:hAnsi="宋体" w:eastAsia="宋体" w:cs="宋体"/>
                <w:b w:val="0"/>
                <w:bCs w:val="0"/>
                <w:color w:val="auto"/>
                <w:kern w:val="0"/>
                <w:sz w:val="24"/>
                <w:szCs w:val="24"/>
                <w:highlight w:val="none"/>
                <w:lang w:val="zh-CN" w:bidi="en-US"/>
              </w:rPr>
              <w:t>资金落实情况</w:t>
            </w:r>
          </w:p>
        </w:tc>
        <w:tc>
          <w:tcPr>
            <w:tcW w:w="6621" w:type="dxa"/>
            <w:tcMar>
              <w:top w:w="28" w:type="dxa"/>
              <w:left w:w="28" w:type="dxa"/>
              <w:bottom w:w="28" w:type="dxa"/>
              <w:right w:w="28" w:type="dxa"/>
            </w:tcMar>
            <w:vAlign w:val="center"/>
          </w:tcPr>
          <w:p w14:paraId="7BD0D01C">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zh-CN" w:bidi="en-US"/>
              </w:rPr>
            </w:pPr>
            <w:r>
              <w:rPr>
                <w:rFonts w:hint="eastAsia" w:ascii="宋体" w:hAnsi="宋体" w:eastAsia="宋体" w:cs="宋体"/>
                <w:b w:val="0"/>
                <w:bCs w:val="0"/>
                <w:color w:val="auto"/>
                <w:kern w:val="0"/>
                <w:sz w:val="24"/>
                <w:szCs w:val="24"/>
                <w:highlight w:val="none"/>
                <w:lang w:val="zh-CN" w:bidi="en-US"/>
              </w:rPr>
              <w:t>已落实。</w:t>
            </w:r>
          </w:p>
        </w:tc>
      </w:tr>
      <w:tr w14:paraId="5FE28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5" w:type="dxa"/>
            <w:tcMar>
              <w:top w:w="28" w:type="dxa"/>
              <w:left w:w="28" w:type="dxa"/>
              <w:bottom w:w="28" w:type="dxa"/>
              <w:right w:w="28" w:type="dxa"/>
            </w:tcMar>
            <w:vAlign w:val="center"/>
          </w:tcPr>
          <w:p w14:paraId="233598CE">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1.3.1</w:t>
            </w:r>
          </w:p>
        </w:tc>
        <w:tc>
          <w:tcPr>
            <w:tcW w:w="1535" w:type="dxa"/>
            <w:tcMar>
              <w:top w:w="28" w:type="dxa"/>
              <w:left w:w="28" w:type="dxa"/>
              <w:bottom w:w="28" w:type="dxa"/>
              <w:right w:w="28" w:type="dxa"/>
            </w:tcMar>
            <w:vAlign w:val="center"/>
          </w:tcPr>
          <w:p w14:paraId="60D4BC55">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招标范围</w:t>
            </w:r>
          </w:p>
        </w:tc>
        <w:tc>
          <w:tcPr>
            <w:tcW w:w="6621" w:type="dxa"/>
            <w:tcMar>
              <w:top w:w="28" w:type="dxa"/>
              <w:left w:w="28" w:type="dxa"/>
              <w:bottom w:w="28" w:type="dxa"/>
              <w:right w:w="28" w:type="dxa"/>
            </w:tcMar>
            <w:vAlign w:val="center"/>
          </w:tcPr>
          <w:p w14:paraId="110E406D">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kern w:val="0"/>
                <w:sz w:val="24"/>
                <w:szCs w:val="24"/>
                <w:highlight w:val="none"/>
                <w:lang w:val="zh-CN" w:bidi="en-US"/>
              </w:rPr>
            </w:pPr>
            <w:r>
              <w:rPr>
                <w:rFonts w:hint="eastAsia" w:ascii="宋体" w:hAnsi="宋体" w:eastAsia="宋体" w:cs="宋体"/>
                <w:color w:val="auto"/>
                <w:kern w:val="0"/>
                <w:sz w:val="24"/>
                <w:szCs w:val="24"/>
                <w:highlight w:val="none"/>
                <w:u w:val="none"/>
                <w:lang w:val="en-US" w:eastAsia="zh-CN"/>
              </w:rPr>
              <w:t>完成本项目经审查通过的施工图设计及工程量清单（含变更）包含的全部施工内容及相关工作；组织自检初检验收、完成项目质量评定、竣工图的编制、资料归档；工程缺陷责任期内的缺陷修复和工程质量保修期内的保修工作等</w:t>
            </w:r>
            <w:r>
              <w:rPr>
                <w:rFonts w:hint="eastAsia" w:ascii="宋体" w:hAnsi="宋体" w:cs="宋体"/>
                <w:b w:val="0"/>
                <w:bCs w:val="0"/>
                <w:color w:val="auto"/>
                <w:kern w:val="0"/>
                <w:sz w:val="24"/>
                <w:szCs w:val="24"/>
                <w:highlight w:val="none"/>
                <w:lang w:val="zh-CN" w:bidi="en-US"/>
              </w:rPr>
              <w:t>。</w:t>
            </w:r>
          </w:p>
        </w:tc>
      </w:tr>
      <w:tr w14:paraId="4AE90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2E97A69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1.3.2</w:t>
            </w:r>
          </w:p>
        </w:tc>
        <w:tc>
          <w:tcPr>
            <w:tcW w:w="1535" w:type="dxa"/>
            <w:tcMar>
              <w:top w:w="28" w:type="dxa"/>
              <w:left w:w="28" w:type="dxa"/>
              <w:bottom w:w="28" w:type="dxa"/>
              <w:right w:w="28" w:type="dxa"/>
            </w:tcMar>
            <w:vAlign w:val="center"/>
          </w:tcPr>
          <w:p w14:paraId="7647AA03">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t>工期要求</w:t>
            </w:r>
          </w:p>
        </w:tc>
        <w:tc>
          <w:tcPr>
            <w:tcW w:w="6621" w:type="dxa"/>
            <w:tcMar>
              <w:top w:w="28" w:type="dxa"/>
              <w:left w:w="28" w:type="dxa"/>
              <w:bottom w:w="28" w:type="dxa"/>
              <w:right w:w="28" w:type="dxa"/>
            </w:tcMar>
            <w:vAlign w:val="center"/>
          </w:tcPr>
          <w:p w14:paraId="5BE24D9F">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cs="宋体"/>
                <w:b w:val="0"/>
                <w:bCs w:val="0"/>
                <w:color w:val="auto"/>
                <w:kern w:val="0"/>
                <w:sz w:val="24"/>
                <w:szCs w:val="24"/>
                <w:highlight w:val="green"/>
                <w:lang w:val="en-US" w:eastAsia="zh-CN" w:bidi="en-US"/>
              </w:rPr>
              <w:t>210</w:t>
            </w:r>
            <w:r>
              <w:rPr>
                <w:rFonts w:hint="eastAsia" w:ascii="宋体" w:hAnsi="宋体" w:cs="宋体"/>
                <w:b w:val="0"/>
                <w:bCs w:val="0"/>
                <w:color w:val="auto"/>
                <w:kern w:val="0"/>
                <w:sz w:val="24"/>
                <w:szCs w:val="24"/>
                <w:highlight w:val="none"/>
                <w:lang w:val="en-US" w:eastAsia="zh-CN" w:bidi="en-US"/>
              </w:rPr>
              <w:t>日历天</w:t>
            </w:r>
            <w:r>
              <w:rPr>
                <w:rFonts w:hint="eastAsia" w:ascii="宋体" w:hAnsi="宋体" w:eastAsia="宋体" w:cs="宋体"/>
                <w:b w:val="0"/>
                <w:bCs w:val="0"/>
                <w:color w:val="auto"/>
                <w:kern w:val="0"/>
                <w:sz w:val="24"/>
                <w:szCs w:val="24"/>
                <w:highlight w:val="none"/>
                <w:lang w:val="en-US" w:eastAsia="zh-CN" w:bidi="en-US"/>
              </w:rPr>
              <w:t>。</w:t>
            </w:r>
          </w:p>
        </w:tc>
      </w:tr>
      <w:tr w14:paraId="2490F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36521BB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1.3.3</w:t>
            </w:r>
          </w:p>
        </w:tc>
        <w:tc>
          <w:tcPr>
            <w:tcW w:w="1535" w:type="dxa"/>
            <w:tcMar>
              <w:top w:w="28" w:type="dxa"/>
              <w:left w:w="28" w:type="dxa"/>
              <w:bottom w:w="28" w:type="dxa"/>
              <w:right w:w="28" w:type="dxa"/>
            </w:tcMar>
            <w:vAlign w:val="center"/>
          </w:tcPr>
          <w:p w14:paraId="4E1EC94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质量要求</w:t>
            </w:r>
          </w:p>
        </w:tc>
        <w:tc>
          <w:tcPr>
            <w:tcW w:w="6621" w:type="dxa"/>
            <w:tcMar>
              <w:top w:w="28" w:type="dxa"/>
              <w:left w:w="28" w:type="dxa"/>
              <w:bottom w:w="28" w:type="dxa"/>
              <w:right w:w="28" w:type="dxa"/>
            </w:tcMar>
            <w:vAlign w:val="center"/>
          </w:tcPr>
          <w:p w14:paraId="566FF895">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符合国家、行业及地方现行的相关标准和规范，一次性验收合格。</w:t>
            </w:r>
          </w:p>
        </w:tc>
      </w:tr>
      <w:tr w14:paraId="4C19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902EA16">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1.3.4</w:t>
            </w:r>
          </w:p>
        </w:tc>
        <w:tc>
          <w:tcPr>
            <w:tcW w:w="1535" w:type="dxa"/>
            <w:tcMar>
              <w:top w:w="28" w:type="dxa"/>
              <w:left w:w="28" w:type="dxa"/>
              <w:bottom w:w="28" w:type="dxa"/>
              <w:right w:w="28" w:type="dxa"/>
            </w:tcMar>
            <w:vAlign w:val="center"/>
          </w:tcPr>
          <w:p w14:paraId="0BC42D80">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标段划分</w:t>
            </w:r>
          </w:p>
        </w:tc>
        <w:tc>
          <w:tcPr>
            <w:tcW w:w="6621" w:type="dxa"/>
            <w:tcMar>
              <w:top w:w="28" w:type="dxa"/>
              <w:left w:w="28" w:type="dxa"/>
              <w:bottom w:w="28" w:type="dxa"/>
              <w:right w:w="28" w:type="dxa"/>
            </w:tcMar>
            <w:vAlign w:val="center"/>
          </w:tcPr>
          <w:p w14:paraId="0A935877">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eastAsia" w:ascii="宋体" w:hAnsi="宋体" w:cs="宋体"/>
                <w:b w:val="0"/>
                <w:bCs w:val="0"/>
                <w:color w:val="auto"/>
                <w:kern w:val="0"/>
                <w:sz w:val="24"/>
                <w:szCs w:val="24"/>
                <w:highlight w:val="none"/>
                <w:lang w:val="en-US" w:eastAsia="zh-CN" w:bidi="en-US"/>
              </w:rPr>
              <w:t>本项目只设一个标段。</w:t>
            </w:r>
          </w:p>
        </w:tc>
      </w:tr>
      <w:tr w14:paraId="0F538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4A8AF9A1">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1.4.1</w:t>
            </w:r>
          </w:p>
        </w:tc>
        <w:tc>
          <w:tcPr>
            <w:tcW w:w="1535" w:type="dxa"/>
            <w:tcMar>
              <w:top w:w="28" w:type="dxa"/>
              <w:left w:w="28" w:type="dxa"/>
              <w:bottom w:w="28" w:type="dxa"/>
              <w:right w:w="28" w:type="dxa"/>
            </w:tcMar>
            <w:vAlign w:val="center"/>
          </w:tcPr>
          <w:p w14:paraId="210523CD">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bidi="en-US"/>
              </w:rPr>
              <w:t>投标人资质、能力和信誉</w:t>
            </w:r>
            <w:r>
              <w:rPr>
                <w:rFonts w:hint="eastAsia" w:ascii="宋体" w:hAnsi="宋体" w:eastAsia="宋体" w:cs="宋体"/>
                <w:b w:val="0"/>
                <w:bCs w:val="0"/>
                <w:color w:val="auto"/>
                <w:kern w:val="0"/>
                <w:sz w:val="24"/>
                <w:szCs w:val="24"/>
                <w:highlight w:val="none"/>
                <w:lang w:val="en-US" w:eastAsia="zh-CN" w:bidi="en-US"/>
              </w:rPr>
              <w:t>要求</w:t>
            </w:r>
          </w:p>
        </w:tc>
        <w:tc>
          <w:tcPr>
            <w:tcW w:w="6621" w:type="dxa"/>
            <w:tcMar>
              <w:top w:w="28" w:type="dxa"/>
              <w:left w:w="28" w:type="dxa"/>
              <w:bottom w:w="28" w:type="dxa"/>
              <w:right w:w="28" w:type="dxa"/>
            </w:tcMar>
            <w:vAlign w:val="center"/>
          </w:tcPr>
          <w:p w14:paraId="6847FC5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cs="宋体"/>
                <w:b/>
                <w:bCs/>
                <w:color w:val="auto"/>
                <w:kern w:val="0"/>
                <w:sz w:val="24"/>
                <w:szCs w:val="24"/>
                <w:highlight w:val="none"/>
                <w:lang w:val="en-US" w:eastAsia="zh-CN" w:bidi="en-US"/>
              </w:rPr>
              <w:t>1.</w:t>
            </w:r>
            <w:r>
              <w:rPr>
                <w:rFonts w:hint="eastAsia" w:ascii="宋体" w:hAnsi="宋体" w:eastAsia="宋体" w:cs="宋体"/>
                <w:b/>
                <w:bCs/>
                <w:color w:val="auto"/>
                <w:kern w:val="0"/>
                <w:sz w:val="24"/>
                <w:szCs w:val="24"/>
                <w:highlight w:val="none"/>
                <w:lang w:eastAsia="zh-CN" w:bidi="en-US"/>
              </w:rPr>
              <w:t>资质要求：</w:t>
            </w:r>
            <w:r>
              <w:rPr>
                <w:rFonts w:hint="eastAsia" w:ascii="宋体" w:hAnsi="宋体" w:eastAsia="宋体" w:cs="宋体"/>
                <w:b w:val="0"/>
                <w:bCs w:val="0"/>
                <w:color w:val="auto"/>
                <w:kern w:val="0"/>
                <w:sz w:val="24"/>
                <w:szCs w:val="24"/>
                <w:highlight w:val="none"/>
                <w:lang w:eastAsia="zh-CN" w:bidi="en-US"/>
              </w:rPr>
              <w:t>投标人必须是在中华人民共和国境内依法成立，具备独立承担民事责任能力的独立法人企业或其他组织，具备有效的营业执照，并具备建设行政主管部门核发的水利水电工程施工总承包叁级以上（含叁级）资质，具备有效的企业安全生产许可证，并在人员、设备、资金等方面具有相应的施工能力。</w:t>
            </w:r>
          </w:p>
          <w:p w14:paraId="5815AC7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0"/>
                <w:sz w:val="24"/>
                <w:szCs w:val="24"/>
                <w:highlight w:val="none"/>
                <w:lang w:eastAsia="zh-CN" w:bidi="en-US"/>
              </w:rPr>
            </w:pPr>
            <w:r>
              <w:rPr>
                <w:rFonts w:hint="eastAsia" w:ascii="宋体" w:hAnsi="宋体" w:cs="宋体"/>
                <w:b/>
                <w:bCs/>
                <w:color w:val="auto"/>
                <w:kern w:val="0"/>
                <w:sz w:val="24"/>
                <w:szCs w:val="24"/>
                <w:highlight w:val="none"/>
                <w:lang w:val="en-US" w:eastAsia="zh-CN" w:bidi="en-US"/>
              </w:rPr>
              <w:t>2.</w:t>
            </w:r>
            <w:r>
              <w:rPr>
                <w:rFonts w:hint="eastAsia" w:ascii="宋体" w:hAnsi="宋体" w:eastAsia="宋体" w:cs="宋体"/>
                <w:b/>
                <w:bCs/>
                <w:color w:val="auto"/>
                <w:kern w:val="0"/>
                <w:sz w:val="24"/>
                <w:szCs w:val="24"/>
                <w:highlight w:val="none"/>
                <w:lang w:eastAsia="zh-CN" w:bidi="en-US"/>
              </w:rPr>
              <w:t>项目主要人员配备要求：</w:t>
            </w:r>
          </w:p>
          <w:p w14:paraId="7FA9A2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2.1项目负责人（项目经理）资格要求：拟投入本项目的项目负责人应具备水利水电工程专业二级以上（含二级）注册建造师资格，持有效的安全生产考核合格证（B证），提供2026年1月1日至投标截止日期前连续3个月在投标单位参保的职工基本养老保险参保证明或社保证明，且不得担任其他在建工程项目的项目负责人（提供承诺书）。</w:t>
            </w:r>
          </w:p>
          <w:p w14:paraId="400C8A6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2.2技术负责人资格要求：拟投入本项目的技术负责人应具备工程类中级以上（含中级）技术职称，提供2026年1月1日至投标截止日期前连续3个月在投标单位参保的职工基本养老保险参保证明或社保证明，且不得担任其他在建工程项目的技术负责人，技术负责人与项目负责人不能为同一人。</w:t>
            </w:r>
          </w:p>
          <w:p w14:paraId="2E93A07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lang w:eastAsia="zh-CN" w:bidi="en-US"/>
              </w:rPr>
              <w:t>2.3</w:t>
            </w:r>
            <w:r>
              <w:rPr>
                <w:rFonts w:hint="eastAsia" w:ascii="宋体" w:hAnsi="宋体" w:eastAsia="宋体" w:cs="宋体"/>
                <w:b w:val="0"/>
                <w:bCs w:val="0"/>
                <w:color w:val="auto"/>
                <w:kern w:val="0"/>
                <w:sz w:val="24"/>
                <w:szCs w:val="24"/>
                <w:highlight w:val="none"/>
                <w:u w:val="none"/>
                <w:lang w:val="en-US" w:eastAsia="zh-CN"/>
              </w:rPr>
              <w:t>项目施工现场专业（管理）人员配备要求：详见《施工现场专业（管理）人员配备表》规定，拟派本项目的施工现场专业（管理）人员均须为投标单位在职人员，并具备相关岗位资格证书，</w:t>
            </w:r>
            <w:r>
              <w:rPr>
                <w:rFonts w:hint="eastAsia" w:ascii="宋体" w:hAnsi="宋体" w:cs="宋体"/>
                <w:b w:val="0"/>
                <w:bCs w:val="0"/>
                <w:color w:val="auto"/>
                <w:kern w:val="0"/>
                <w:sz w:val="24"/>
                <w:szCs w:val="24"/>
                <w:highlight w:val="none"/>
                <w:u w:val="none"/>
                <w:lang w:val="en-US" w:eastAsia="zh-CN"/>
              </w:rPr>
              <w:t>提供2026年1月1日至投标截止日期前连续3个月在投标单位参保的职工基本养老保险参保证明或社保证明。</w:t>
            </w:r>
          </w:p>
          <w:p w14:paraId="619C6E0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bCs/>
                <w:color w:val="auto"/>
                <w:kern w:val="0"/>
                <w:sz w:val="24"/>
                <w:szCs w:val="24"/>
                <w:highlight w:val="none"/>
                <w:lang w:eastAsia="zh-CN" w:bidi="en-US"/>
              </w:rPr>
              <w:t>3.财务要求：</w:t>
            </w:r>
            <w:r>
              <w:rPr>
                <w:rFonts w:hint="eastAsia" w:ascii="宋体" w:hAnsi="宋体" w:eastAsia="宋体" w:cs="宋体"/>
                <w:b w:val="0"/>
                <w:bCs w:val="0"/>
                <w:color w:val="auto"/>
                <w:kern w:val="0"/>
                <w:sz w:val="24"/>
                <w:szCs w:val="24"/>
                <w:highlight w:val="none"/>
                <w:lang w:eastAsia="zh-CN" w:bidi="en-US"/>
              </w:rPr>
              <w:t>投标人财务状况良好，当前未处于财产被接管、冻结或破产状态，具有健全的财务会计制度，提供近三年（2023年—2025年）其中任意1年经会计师事务所或其他第三方机构审计的财务报表（含资产负债表、利润表或损益表、现金流量表）及审计报告；近三年内新成立的企业提供成立年度至今经会计师事务所或其他第三方机构审计的财务报表及审计报告；2025年新成立的企业（成立时间以企业安全生产许可证颁发时间为准）提供公司财务情况说明。</w:t>
            </w:r>
          </w:p>
          <w:p w14:paraId="0CB7923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0"/>
                <w:sz w:val="24"/>
                <w:szCs w:val="24"/>
                <w:highlight w:val="none"/>
                <w:lang w:eastAsia="zh-CN" w:bidi="en-US"/>
              </w:rPr>
            </w:pPr>
            <w:r>
              <w:rPr>
                <w:rFonts w:hint="eastAsia" w:ascii="宋体" w:hAnsi="宋体" w:cs="宋体"/>
                <w:b/>
                <w:bCs/>
                <w:color w:val="auto"/>
                <w:kern w:val="0"/>
                <w:sz w:val="24"/>
                <w:szCs w:val="24"/>
                <w:highlight w:val="none"/>
                <w:lang w:val="en-US" w:eastAsia="zh-CN" w:bidi="en-US"/>
              </w:rPr>
              <w:t>4.</w:t>
            </w:r>
            <w:r>
              <w:rPr>
                <w:rFonts w:hint="eastAsia" w:ascii="宋体" w:hAnsi="宋体" w:eastAsia="宋体" w:cs="宋体"/>
                <w:b/>
                <w:bCs/>
                <w:color w:val="auto"/>
                <w:kern w:val="0"/>
                <w:sz w:val="24"/>
                <w:szCs w:val="24"/>
                <w:highlight w:val="none"/>
                <w:lang w:eastAsia="zh-CN" w:bidi="en-US"/>
              </w:rPr>
              <w:t>信誉要求：</w:t>
            </w:r>
          </w:p>
          <w:p w14:paraId="4290113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4.1</w:t>
            </w:r>
            <w:r>
              <w:rPr>
                <w:rFonts w:hint="eastAsia" w:ascii="宋体" w:hAnsi="宋体" w:eastAsia="宋体" w:cs="宋体"/>
                <w:bCs/>
                <w:color w:val="auto"/>
                <w:sz w:val="24"/>
                <w:szCs w:val="24"/>
                <w:highlight w:val="none"/>
              </w:rPr>
              <w:t>投标人当前没有处于被责令停产、投标资格取消、财产被接管或冻结、破产等状态；投标人近三年内（202</w:t>
            </w:r>
            <w:r>
              <w:rPr>
                <w:rFonts w:hint="eastAsia" w:ascii="宋体" w:hAnsi="宋体" w:eastAsia="宋体" w:cs="宋体"/>
                <w:bCs/>
                <w:color w:val="auto"/>
                <w:sz w:val="24"/>
                <w:szCs w:val="24"/>
                <w:highlight w:val="none"/>
                <w:lang w:val="en-US" w:eastAsia="zh-CN"/>
              </w:rPr>
              <w:t>3年1月1日</w:t>
            </w:r>
            <w:r>
              <w:rPr>
                <w:rFonts w:hint="eastAsia" w:ascii="宋体" w:hAnsi="宋体" w:eastAsia="宋体" w:cs="宋体"/>
                <w:bCs/>
                <w:color w:val="auto"/>
                <w:sz w:val="24"/>
                <w:szCs w:val="24"/>
                <w:highlight w:val="none"/>
              </w:rPr>
              <w:t>至今）未曾骗取中标或严重违约或发生重大工程质量、安全事故，没有被建设行政主管部门列入黑名单的情况（</w:t>
            </w:r>
            <w:r>
              <w:rPr>
                <w:rFonts w:hint="eastAsia" w:ascii="宋体" w:hAnsi="宋体" w:eastAsia="宋体" w:cs="宋体"/>
                <w:bCs/>
                <w:color w:val="auto"/>
                <w:sz w:val="24"/>
                <w:szCs w:val="24"/>
                <w:highlight w:val="none"/>
                <w:lang w:val="zh-CN"/>
              </w:rPr>
              <w:t>如未出现上述情况，投标人须</w:t>
            </w:r>
            <w:r>
              <w:rPr>
                <w:rFonts w:hint="eastAsia" w:ascii="宋体" w:hAnsi="宋体" w:eastAsia="宋体" w:cs="宋体"/>
                <w:bCs/>
                <w:color w:val="auto"/>
                <w:sz w:val="24"/>
                <w:szCs w:val="24"/>
                <w:highlight w:val="none"/>
                <w:lang w:val="en-US" w:eastAsia="zh-CN"/>
              </w:rPr>
              <w:t>作</w:t>
            </w:r>
            <w:r>
              <w:rPr>
                <w:rFonts w:hint="eastAsia" w:ascii="宋体" w:hAnsi="宋体" w:eastAsia="宋体" w:cs="宋体"/>
                <w:bCs/>
                <w:color w:val="auto"/>
                <w:sz w:val="24"/>
                <w:szCs w:val="24"/>
                <w:highlight w:val="none"/>
                <w:lang w:val="zh-CN"/>
              </w:rPr>
              <w:t>出承诺，并</w:t>
            </w:r>
            <w:r>
              <w:rPr>
                <w:rFonts w:hint="eastAsia" w:ascii="宋体" w:hAnsi="宋体" w:eastAsia="宋体" w:cs="宋体"/>
                <w:color w:val="auto"/>
                <w:kern w:val="0"/>
                <w:sz w:val="24"/>
                <w:szCs w:val="24"/>
                <w:highlight w:val="none"/>
                <w:u w:val="none"/>
                <w:lang w:val="zh-CN"/>
              </w:rPr>
              <w:t>对其真实性负责</w:t>
            </w:r>
            <w:r>
              <w:rPr>
                <w:rFonts w:hint="eastAsia" w:ascii="宋体" w:hAnsi="宋体" w:eastAsia="宋体" w:cs="宋体"/>
                <w:color w:val="auto"/>
                <w:kern w:val="0"/>
                <w:sz w:val="24"/>
                <w:szCs w:val="24"/>
                <w:highlight w:val="none"/>
                <w:u w:val="none"/>
              </w:rPr>
              <w:t>）</w:t>
            </w:r>
            <w:r>
              <w:rPr>
                <w:rFonts w:hint="eastAsia" w:ascii="宋体" w:hAnsi="宋体" w:eastAsia="宋体" w:cs="宋体"/>
                <w:b w:val="0"/>
                <w:bCs w:val="0"/>
                <w:color w:val="auto"/>
                <w:kern w:val="0"/>
                <w:sz w:val="24"/>
                <w:szCs w:val="24"/>
                <w:highlight w:val="none"/>
                <w:lang w:eastAsia="zh-CN" w:bidi="en-US"/>
              </w:rPr>
              <w:t>。</w:t>
            </w:r>
          </w:p>
          <w:p w14:paraId="11CEAD0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4.2</w:t>
            </w:r>
            <w:r>
              <w:rPr>
                <w:rFonts w:hint="eastAsia" w:ascii="宋体" w:hAnsi="宋体" w:eastAsia="宋体" w:cs="宋体"/>
                <w:color w:val="auto"/>
                <w:kern w:val="0"/>
                <w:sz w:val="24"/>
                <w:szCs w:val="24"/>
                <w:highlight w:val="none"/>
                <w:u w:val="none"/>
              </w:rPr>
              <w:t>近三年（202</w:t>
            </w:r>
            <w:r>
              <w:rPr>
                <w:rFonts w:hint="eastAsia" w:ascii="宋体" w:hAnsi="宋体" w:eastAsia="宋体" w:cs="宋体"/>
                <w:color w:val="auto"/>
                <w:kern w:val="0"/>
                <w:sz w:val="24"/>
                <w:szCs w:val="24"/>
                <w:highlight w:val="none"/>
                <w:u w:val="none"/>
                <w:lang w:val="en-US" w:eastAsia="zh-CN"/>
              </w:rPr>
              <w:t>3</w:t>
            </w:r>
            <w:r>
              <w:rPr>
                <w:rFonts w:hint="eastAsia" w:ascii="宋体" w:hAnsi="宋体" w:eastAsia="宋体" w:cs="宋体"/>
                <w:color w:val="auto"/>
                <w:kern w:val="0"/>
                <w:sz w:val="24"/>
                <w:szCs w:val="24"/>
                <w:highlight w:val="none"/>
                <w:u w:val="none"/>
              </w:rPr>
              <w:t>年1月1日至今）企业、企业法定代表人及拟派项目负责人无行贿犯罪记录（投标人自行在中国裁判文书网查询，提供承诺函及查询结果截图</w:t>
            </w:r>
            <w:r>
              <w:rPr>
                <w:rFonts w:hint="eastAsia" w:ascii="宋体" w:hAnsi="宋体" w:eastAsia="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rPr>
              <w:t>截图内容应清晰可辨，否则不予认可，查询时间应为本项目招标公告发布之日后）</w:t>
            </w:r>
            <w:r>
              <w:rPr>
                <w:rFonts w:hint="eastAsia" w:ascii="宋体" w:hAnsi="宋体" w:eastAsia="宋体" w:cs="宋体"/>
                <w:b w:val="0"/>
                <w:bCs w:val="0"/>
                <w:color w:val="auto"/>
                <w:kern w:val="0"/>
                <w:sz w:val="24"/>
                <w:szCs w:val="24"/>
                <w:highlight w:val="none"/>
                <w:lang w:eastAsia="zh-CN" w:bidi="en-US"/>
              </w:rPr>
              <w:t>。</w:t>
            </w:r>
          </w:p>
          <w:p w14:paraId="70AF444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4.3</w:t>
            </w:r>
            <w:r>
              <w:rPr>
                <w:rFonts w:hint="eastAsia" w:ascii="宋体" w:hAnsi="宋体" w:eastAsia="宋体" w:cs="宋体"/>
                <w:color w:val="auto"/>
                <w:kern w:val="0"/>
                <w:sz w:val="24"/>
                <w:szCs w:val="24"/>
                <w:highlight w:val="none"/>
                <w:u w:val="none"/>
              </w:rPr>
              <w:t>近三年（202</w:t>
            </w:r>
            <w:r>
              <w:rPr>
                <w:rFonts w:hint="eastAsia" w:ascii="宋体" w:hAnsi="宋体" w:eastAsia="宋体" w:cs="宋体"/>
                <w:color w:val="auto"/>
                <w:kern w:val="0"/>
                <w:sz w:val="24"/>
                <w:szCs w:val="24"/>
                <w:highlight w:val="none"/>
                <w:u w:val="none"/>
                <w:lang w:val="en-US" w:eastAsia="zh-CN"/>
              </w:rPr>
              <w:t>3</w:t>
            </w:r>
            <w:r>
              <w:rPr>
                <w:rFonts w:hint="eastAsia" w:ascii="宋体" w:hAnsi="宋体" w:eastAsia="宋体" w:cs="宋体"/>
                <w:color w:val="auto"/>
                <w:kern w:val="0"/>
                <w:sz w:val="24"/>
                <w:szCs w:val="24"/>
                <w:highlight w:val="none"/>
                <w:u w:val="none"/>
              </w:rPr>
              <w:t>年1月1日至今）企业、企业法定代表人及拟派项目负责人未被列为失信被执行人，投标人须作出书面承诺并自行在“中国执行信息公开网”查询，提供查询结果截图（截图内容应清晰可辨，否则不予认可，查询时间应为本项目招标公告发布之日后）</w:t>
            </w:r>
            <w:r>
              <w:rPr>
                <w:rFonts w:hint="eastAsia" w:ascii="宋体" w:hAnsi="宋体" w:eastAsia="宋体" w:cs="宋体"/>
                <w:b w:val="0"/>
                <w:bCs w:val="0"/>
                <w:color w:val="auto"/>
                <w:kern w:val="0"/>
                <w:sz w:val="24"/>
                <w:szCs w:val="24"/>
                <w:highlight w:val="none"/>
                <w:lang w:eastAsia="zh-CN" w:bidi="en-US"/>
              </w:rPr>
              <w:t>。</w:t>
            </w:r>
          </w:p>
          <w:p w14:paraId="1F972B2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4.4</w:t>
            </w:r>
            <w:r>
              <w:rPr>
                <w:rFonts w:hint="eastAsia" w:ascii="宋体" w:hAnsi="宋体" w:eastAsia="宋体" w:cs="宋体"/>
                <w:color w:val="auto"/>
                <w:kern w:val="0"/>
                <w:sz w:val="24"/>
                <w:szCs w:val="24"/>
                <w:highlight w:val="none"/>
                <w:u w:val="none"/>
              </w:rPr>
              <w:t>投标人近3年未出现拖欠农民工工资情况（投标人自行到工商注册地人力资源和社会保障部门劳动监察机构出具相关证明或相关网站查询“企业工资支付信用记录”，并提供相关证明或查询结果原件扫描件；省外企业可提供工商注册地人力资源和社会保障部门劳动监察机构出具的无拖欠农民工工资记录证明原件扫描件或未出现拖欠农民工工资情况的承诺，成立不满三年的企业提供成立至今的查询结果）</w:t>
            </w:r>
            <w:r>
              <w:rPr>
                <w:rFonts w:hint="eastAsia" w:ascii="宋体" w:hAnsi="宋体" w:eastAsia="宋体" w:cs="宋体"/>
                <w:b w:val="0"/>
                <w:bCs w:val="0"/>
                <w:color w:val="auto"/>
                <w:kern w:val="0"/>
                <w:sz w:val="24"/>
                <w:szCs w:val="24"/>
                <w:highlight w:val="none"/>
                <w:lang w:eastAsia="zh-CN" w:bidi="en-US"/>
              </w:rPr>
              <w:t>。</w:t>
            </w:r>
          </w:p>
          <w:p w14:paraId="2DAC3B1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4.5诉讼及仲裁：投标人须承诺涉及诉讼事件不影响投标人在本招标项目的履约能力</w:t>
            </w:r>
            <w:r>
              <w:rPr>
                <w:rFonts w:hint="eastAsia" w:ascii="宋体" w:hAnsi="宋体" w:eastAsia="宋体" w:cs="宋体"/>
                <w:b/>
                <w:bCs/>
                <w:color w:val="auto"/>
                <w:kern w:val="0"/>
                <w:sz w:val="24"/>
                <w:szCs w:val="24"/>
                <w:highlight w:val="none"/>
                <w:lang w:eastAsia="zh-CN" w:bidi="en-US"/>
              </w:rPr>
              <w:t>（提供承诺书）</w:t>
            </w:r>
            <w:r>
              <w:rPr>
                <w:rFonts w:hint="eastAsia" w:ascii="宋体" w:hAnsi="宋体" w:eastAsia="宋体" w:cs="宋体"/>
                <w:b w:val="0"/>
                <w:bCs w:val="0"/>
                <w:color w:val="auto"/>
                <w:kern w:val="0"/>
                <w:sz w:val="24"/>
                <w:szCs w:val="24"/>
                <w:highlight w:val="none"/>
                <w:lang w:eastAsia="zh-CN" w:bidi="en-US"/>
              </w:rPr>
              <w:t>。</w:t>
            </w:r>
          </w:p>
          <w:p w14:paraId="4DE3566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4.6根据中华人民共和国国务院令第724号《保障农民工工资支付条例》要求，针对农民工工资支付事项，承包人须在工程项目所在地人社部门足额缴纳农民工工资保证金，并严格按人社部门的相关要求支付农民工工资（提供承诺书）。</w:t>
            </w:r>
          </w:p>
          <w:p w14:paraId="328491F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4.7投标人须提供工程质量承诺书，不转包、不违法分包承诺书，不拖延工期承诺书，项目经理及技术负责人不更换及常驻现场承诺书。</w:t>
            </w:r>
          </w:p>
          <w:p w14:paraId="5738CD7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4.8投标人对提供的证明材料、承诺及说明必须真实、有效，招标人或行政监管单位保留复核查询的权利。若招标人发现投标单位提供虚假资料骗取投标资格或中标的，一经查实取消投标资格或中标资格，骗取投标资格或中标的，将按照相关法律法规进行严肃处罚。投标人的资格审查和诚信承诺贯穿招投标工作和施工全过程，在招投标和施工全过程任何一个环节若发现投标人不符合投标资格条件和提供虚假材料的，不论是评标过程中还是结果公示中，或者已签订合同并执行完毕，招标人、监管单位均可追究由其造成的一切后果（包括但不限于刑事及民事责任）。</w:t>
            </w:r>
          </w:p>
          <w:p w14:paraId="22949CE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0"/>
                <w:sz w:val="24"/>
                <w:szCs w:val="24"/>
                <w:highlight w:val="none"/>
                <w:lang w:eastAsia="zh-CN" w:bidi="en-US"/>
              </w:rPr>
            </w:pPr>
            <w:r>
              <w:rPr>
                <w:rFonts w:hint="eastAsia" w:ascii="宋体" w:hAnsi="宋体" w:cs="宋体"/>
                <w:b/>
                <w:bCs/>
                <w:color w:val="auto"/>
                <w:kern w:val="0"/>
                <w:sz w:val="24"/>
                <w:szCs w:val="24"/>
                <w:highlight w:val="none"/>
                <w:lang w:val="en-US" w:eastAsia="zh-CN" w:bidi="en-US"/>
              </w:rPr>
              <w:t>5.</w:t>
            </w:r>
            <w:r>
              <w:rPr>
                <w:rFonts w:hint="eastAsia" w:ascii="宋体" w:hAnsi="宋体" w:eastAsia="宋体" w:cs="宋体"/>
                <w:b/>
                <w:bCs/>
                <w:color w:val="auto"/>
                <w:kern w:val="0"/>
                <w:sz w:val="24"/>
                <w:szCs w:val="24"/>
                <w:highlight w:val="none"/>
                <w:lang w:eastAsia="zh-CN" w:bidi="en-US"/>
              </w:rPr>
              <w:t>其他要求：</w:t>
            </w:r>
          </w:p>
          <w:p w14:paraId="2EACB3A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5.1本项目不接受联合体投标。</w:t>
            </w:r>
          </w:p>
          <w:p w14:paraId="20A1BBE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eastAsia="zh-CN" w:bidi="en-US"/>
              </w:rPr>
              <w:t>5.2与招标人存在利害关系可能影响招标公正性的法人、其他组织或者个人，不得参加投标。单位负责人为同一人或者存在控股、管理关系的不同单位，不得参加同一标段的投标。具有投标参股关系的关联企业，或具有直接管理和被管理关系的母子公司，或同一母公司的子公司，或法定代表人为同一人的两个及两个以上法人不得同时对同一标段提出投标申请，否则，相关投标均无效。</w:t>
            </w:r>
          </w:p>
        </w:tc>
      </w:tr>
      <w:tr w14:paraId="16AD8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643C413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1.4.2</w:t>
            </w:r>
          </w:p>
        </w:tc>
        <w:tc>
          <w:tcPr>
            <w:tcW w:w="1535" w:type="dxa"/>
            <w:tcMar>
              <w:top w:w="28" w:type="dxa"/>
              <w:left w:w="28" w:type="dxa"/>
              <w:bottom w:w="28" w:type="dxa"/>
              <w:right w:w="28" w:type="dxa"/>
            </w:tcMar>
            <w:vAlign w:val="center"/>
          </w:tcPr>
          <w:p w14:paraId="1A5FBAC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是否接受联合体投标</w:t>
            </w:r>
          </w:p>
        </w:tc>
        <w:tc>
          <w:tcPr>
            <w:tcW w:w="6621" w:type="dxa"/>
            <w:tcMar>
              <w:top w:w="28" w:type="dxa"/>
              <w:left w:w="28" w:type="dxa"/>
              <w:bottom w:w="28" w:type="dxa"/>
              <w:right w:w="28" w:type="dxa"/>
            </w:tcMar>
            <w:vAlign w:val="center"/>
          </w:tcPr>
          <w:p w14:paraId="18D14B8B">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不接受</w:t>
            </w:r>
            <w:r>
              <w:rPr>
                <w:rFonts w:hint="eastAsia" w:ascii="宋体" w:hAnsi="宋体" w:cs="宋体"/>
                <w:b w:val="0"/>
                <w:bCs w:val="0"/>
                <w:color w:val="auto"/>
                <w:sz w:val="24"/>
                <w:szCs w:val="24"/>
                <w:highlight w:val="none"/>
                <w:lang w:val="en-US" w:eastAsia="zh-CN"/>
              </w:rPr>
              <w:t>。</w:t>
            </w:r>
          </w:p>
        </w:tc>
      </w:tr>
      <w:tr w14:paraId="59E2C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448B216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1.9.1</w:t>
            </w:r>
          </w:p>
        </w:tc>
        <w:tc>
          <w:tcPr>
            <w:tcW w:w="1535" w:type="dxa"/>
            <w:tcMar>
              <w:top w:w="28" w:type="dxa"/>
              <w:left w:w="28" w:type="dxa"/>
              <w:bottom w:w="28" w:type="dxa"/>
              <w:right w:w="28" w:type="dxa"/>
            </w:tcMar>
            <w:vAlign w:val="center"/>
          </w:tcPr>
          <w:p w14:paraId="38791DC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踏勘现场</w:t>
            </w:r>
          </w:p>
        </w:tc>
        <w:tc>
          <w:tcPr>
            <w:tcW w:w="6621" w:type="dxa"/>
            <w:tcMar>
              <w:top w:w="28" w:type="dxa"/>
              <w:left w:w="28" w:type="dxa"/>
              <w:bottom w:w="28" w:type="dxa"/>
              <w:right w:w="28" w:type="dxa"/>
            </w:tcMar>
            <w:vAlign w:val="center"/>
          </w:tcPr>
          <w:p w14:paraId="6349E209">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不统一组织。1.投标人自行踏勘；2.投标人踏勘现场发生的费用自理；3.投标人在踏勘现场</w:t>
            </w:r>
            <w:r>
              <w:rPr>
                <w:rFonts w:hint="eastAsia" w:ascii="宋体" w:hAnsi="宋体" w:cs="宋体"/>
                <w:b w:val="0"/>
                <w:bCs w:val="0"/>
                <w:color w:val="auto"/>
                <w:kern w:val="0"/>
                <w:sz w:val="24"/>
                <w:szCs w:val="24"/>
                <w:highlight w:val="none"/>
                <w:lang w:val="en-US" w:eastAsia="zh-CN" w:bidi="en-US"/>
              </w:rPr>
              <w:t>过程中所有责任自负</w:t>
            </w:r>
            <w:r>
              <w:rPr>
                <w:rFonts w:hint="eastAsia" w:ascii="宋体" w:hAnsi="宋体" w:eastAsia="宋体" w:cs="宋体"/>
                <w:b w:val="0"/>
                <w:bCs w:val="0"/>
                <w:color w:val="auto"/>
                <w:kern w:val="0"/>
                <w:sz w:val="24"/>
                <w:szCs w:val="24"/>
                <w:highlight w:val="none"/>
                <w:lang w:bidi="en-US"/>
              </w:rPr>
              <w:t>。</w:t>
            </w:r>
          </w:p>
        </w:tc>
      </w:tr>
      <w:tr w14:paraId="502DE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4058BCD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1.10.1</w:t>
            </w:r>
          </w:p>
        </w:tc>
        <w:tc>
          <w:tcPr>
            <w:tcW w:w="1535" w:type="dxa"/>
            <w:tcMar>
              <w:top w:w="28" w:type="dxa"/>
              <w:left w:w="28" w:type="dxa"/>
              <w:bottom w:w="28" w:type="dxa"/>
              <w:right w:w="28" w:type="dxa"/>
            </w:tcMar>
            <w:vAlign w:val="center"/>
          </w:tcPr>
          <w:p w14:paraId="29EC83E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投标预备会</w:t>
            </w:r>
          </w:p>
        </w:tc>
        <w:tc>
          <w:tcPr>
            <w:tcW w:w="6621" w:type="dxa"/>
            <w:tcMar>
              <w:top w:w="28" w:type="dxa"/>
              <w:left w:w="28" w:type="dxa"/>
              <w:bottom w:w="28" w:type="dxa"/>
              <w:right w:w="28" w:type="dxa"/>
            </w:tcMar>
            <w:vAlign w:val="center"/>
          </w:tcPr>
          <w:p w14:paraId="72737FC8">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不召开</w:t>
            </w:r>
          </w:p>
        </w:tc>
      </w:tr>
      <w:tr w14:paraId="555B8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6E1C2C42">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1.10.2</w:t>
            </w:r>
          </w:p>
        </w:tc>
        <w:tc>
          <w:tcPr>
            <w:tcW w:w="1535" w:type="dxa"/>
            <w:tcMar>
              <w:top w:w="28" w:type="dxa"/>
              <w:left w:w="28" w:type="dxa"/>
              <w:bottom w:w="28" w:type="dxa"/>
              <w:right w:w="28" w:type="dxa"/>
            </w:tcMar>
            <w:vAlign w:val="center"/>
          </w:tcPr>
          <w:p w14:paraId="3A806AEB">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投标人提出问题的截止时间</w:t>
            </w:r>
          </w:p>
        </w:tc>
        <w:tc>
          <w:tcPr>
            <w:tcW w:w="6621" w:type="dxa"/>
            <w:tcMar>
              <w:top w:w="28" w:type="dxa"/>
              <w:left w:w="28" w:type="dxa"/>
              <w:bottom w:w="28" w:type="dxa"/>
              <w:right w:w="28" w:type="dxa"/>
            </w:tcMar>
            <w:vAlign w:val="center"/>
          </w:tcPr>
          <w:p w14:paraId="464667F6">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截止时间10日以前，所有获取了招标文件的潜在投标人凭企业数字证书（CA）登录云南省公共资源交易信息网（网址：http://ggzy.yn.gov.cn）选择“楚雄州”进入楚雄州公共资源交易电子服务系统，通过网络在线方式向招标人或招标代理进行不署名提问。</w:t>
            </w:r>
          </w:p>
        </w:tc>
      </w:tr>
      <w:tr w14:paraId="62C50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61C91E24">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1.10.3</w:t>
            </w:r>
          </w:p>
        </w:tc>
        <w:tc>
          <w:tcPr>
            <w:tcW w:w="1535" w:type="dxa"/>
            <w:tcMar>
              <w:top w:w="28" w:type="dxa"/>
              <w:left w:w="28" w:type="dxa"/>
              <w:bottom w:w="28" w:type="dxa"/>
              <w:right w:w="28" w:type="dxa"/>
            </w:tcMar>
            <w:vAlign w:val="center"/>
          </w:tcPr>
          <w:p w14:paraId="4A8A3D6F">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招标人书面澄清的时间</w:t>
            </w:r>
          </w:p>
        </w:tc>
        <w:tc>
          <w:tcPr>
            <w:tcW w:w="6621" w:type="dxa"/>
            <w:tcMar>
              <w:top w:w="28" w:type="dxa"/>
              <w:left w:w="28" w:type="dxa"/>
              <w:bottom w:w="28" w:type="dxa"/>
              <w:right w:w="28" w:type="dxa"/>
            </w:tcMar>
            <w:vAlign w:val="center"/>
          </w:tcPr>
          <w:p w14:paraId="04B82825">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截止时间至少15日前，由招标人以补遗书方式按程序报有关主管部门备案后，提交公共资源交易中心统一通过网络向潜在投标人发布，所有获取了招标文件的潜在投标人登录云南省公共资源交易信息网（网址：http://ggzy.yn.gov.cn）选择“楚雄州”进入楚雄州公共资源交易电子服务系统凭企业身份认证数字证书（CA）查看澄清内容。</w:t>
            </w:r>
          </w:p>
        </w:tc>
      </w:tr>
      <w:tr w14:paraId="26A3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164480F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1.11</w:t>
            </w:r>
          </w:p>
        </w:tc>
        <w:tc>
          <w:tcPr>
            <w:tcW w:w="1535" w:type="dxa"/>
            <w:tcMar>
              <w:top w:w="28" w:type="dxa"/>
              <w:left w:w="28" w:type="dxa"/>
              <w:bottom w:w="28" w:type="dxa"/>
              <w:right w:w="28" w:type="dxa"/>
            </w:tcMar>
            <w:vAlign w:val="center"/>
          </w:tcPr>
          <w:p w14:paraId="1AB8F23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分包</w:t>
            </w:r>
          </w:p>
        </w:tc>
        <w:tc>
          <w:tcPr>
            <w:tcW w:w="6621" w:type="dxa"/>
            <w:tcMar>
              <w:top w:w="28" w:type="dxa"/>
              <w:left w:w="28" w:type="dxa"/>
              <w:bottom w:w="28" w:type="dxa"/>
              <w:right w:w="28" w:type="dxa"/>
            </w:tcMar>
            <w:vAlign w:val="center"/>
          </w:tcPr>
          <w:p w14:paraId="6846BA49">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不允许</w:t>
            </w:r>
          </w:p>
        </w:tc>
      </w:tr>
      <w:tr w14:paraId="74FFB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9BC378B">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1.12</w:t>
            </w:r>
          </w:p>
        </w:tc>
        <w:tc>
          <w:tcPr>
            <w:tcW w:w="1535" w:type="dxa"/>
            <w:tcMar>
              <w:top w:w="28" w:type="dxa"/>
              <w:left w:w="28" w:type="dxa"/>
              <w:bottom w:w="28" w:type="dxa"/>
              <w:right w:w="28" w:type="dxa"/>
            </w:tcMar>
            <w:vAlign w:val="center"/>
          </w:tcPr>
          <w:p w14:paraId="13B96160">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偏离</w:t>
            </w:r>
          </w:p>
        </w:tc>
        <w:tc>
          <w:tcPr>
            <w:tcW w:w="6621" w:type="dxa"/>
            <w:tcMar>
              <w:top w:w="28" w:type="dxa"/>
              <w:left w:w="28" w:type="dxa"/>
              <w:bottom w:w="28" w:type="dxa"/>
              <w:right w:w="28" w:type="dxa"/>
            </w:tcMar>
            <w:vAlign w:val="center"/>
          </w:tcPr>
          <w:p w14:paraId="35E7EB15">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en-US"/>
              </w:rPr>
              <w:t>不允许</w:t>
            </w:r>
          </w:p>
        </w:tc>
      </w:tr>
      <w:tr w14:paraId="69A6F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4940752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2.2.1</w:t>
            </w:r>
          </w:p>
        </w:tc>
        <w:tc>
          <w:tcPr>
            <w:tcW w:w="1535" w:type="dxa"/>
            <w:tcMar>
              <w:top w:w="28" w:type="dxa"/>
              <w:left w:w="28" w:type="dxa"/>
              <w:bottom w:w="28" w:type="dxa"/>
              <w:right w:w="28" w:type="dxa"/>
            </w:tcMar>
            <w:vAlign w:val="center"/>
          </w:tcPr>
          <w:p w14:paraId="7D2B8F5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投标人要求澄清招标文件的截止时间</w:t>
            </w:r>
          </w:p>
        </w:tc>
        <w:tc>
          <w:tcPr>
            <w:tcW w:w="6621" w:type="dxa"/>
            <w:tcMar>
              <w:top w:w="28" w:type="dxa"/>
              <w:left w:w="28" w:type="dxa"/>
              <w:bottom w:w="28" w:type="dxa"/>
              <w:right w:w="28" w:type="dxa"/>
            </w:tcMar>
            <w:vAlign w:val="center"/>
          </w:tcPr>
          <w:p w14:paraId="3088C03D">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同1.10.2的时间要求</w:t>
            </w:r>
          </w:p>
          <w:p w14:paraId="44B19792">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人应仔细阅读和检查招标文件的全部内容。如发现缺页或附件不全，应及时向招标人提出，以便补齐。如有疑问，应在投标人须知前附表规定的时间前以在线不署名提交方式登录云南省公共资源交易信息网（https://ggzy.yn.gov.cn）选择“楚雄州”，要求招标人对招标文件予以澄清。</w:t>
            </w:r>
          </w:p>
        </w:tc>
      </w:tr>
      <w:tr w14:paraId="0DD05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310A581D">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t>2.2.2</w:t>
            </w:r>
          </w:p>
        </w:tc>
        <w:tc>
          <w:tcPr>
            <w:tcW w:w="1535" w:type="dxa"/>
            <w:tcMar>
              <w:top w:w="28" w:type="dxa"/>
              <w:left w:w="28" w:type="dxa"/>
              <w:bottom w:w="28" w:type="dxa"/>
              <w:right w:w="28" w:type="dxa"/>
            </w:tcMar>
            <w:vAlign w:val="center"/>
          </w:tcPr>
          <w:p w14:paraId="3230573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投标截止时间</w:t>
            </w:r>
          </w:p>
        </w:tc>
        <w:tc>
          <w:tcPr>
            <w:tcW w:w="6621" w:type="dxa"/>
            <w:tcMar>
              <w:top w:w="28" w:type="dxa"/>
              <w:left w:w="28" w:type="dxa"/>
              <w:bottom w:w="28" w:type="dxa"/>
              <w:right w:w="28" w:type="dxa"/>
            </w:tcMar>
            <w:vAlign w:val="center"/>
          </w:tcPr>
          <w:p w14:paraId="41D05D0A">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kern w:val="0"/>
                <w:sz w:val="24"/>
                <w:szCs w:val="24"/>
                <w:highlight w:val="green"/>
                <w:lang w:val="en-US" w:eastAsia="zh-CN" w:bidi="en-US"/>
              </w:rPr>
              <w:t>2026年  月  日</w:t>
            </w:r>
            <w:r>
              <w:rPr>
                <w:rFonts w:hint="eastAsia" w:ascii="宋体" w:hAnsi="宋体" w:eastAsia="宋体" w:cs="宋体"/>
                <w:b w:val="0"/>
                <w:bCs w:val="0"/>
                <w:color w:val="auto"/>
                <w:kern w:val="0"/>
                <w:sz w:val="24"/>
                <w:szCs w:val="24"/>
                <w:highlight w:val="green"/>
                <w:lang w:val="en-US" w:eastAsia="zh-CN" w:bidi="en-US"/>
              </w:rPr>
              <w:t>09时00分(北京时间)</w:t>
            </w:r>
          </w:p>
        </w:tc>
      </w:tr>
      <w:tr w14:paraId="49081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52556FD5">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2.2.3</w:t>
            </w:r>
          </w:p>
        </w:tc>
        <w:tc>
          <w:tcPr>
            <w:tcW w:w="1535" w:type="dxa"/>
            <w:tcMar>
              <w:top w:w="28" w:type="dxa"/>
              <w:left w:w="28" w:type="dxa"/>
              <w:bottom w:w="28" w:type="dxa"/>
              <w:right w:w="28" w:type="dxa"/>
            </w:tcMar>
            <w:vAlign w:val="center"/>
          </w:tcPr>
          <w:p w14:paraId="6004008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投标人确认收到招标文件澄清的时间</w:t>
            </w:r>
          </w:p>
        </w:tc>
        <w:tc>
          <w:tcPr>
            <w:tcW w:w="6621" w:type="dxa"/>
            <w:tcMar>
              <w:top w:w="28" w:type="dxa"/>
              <w:left w:w="28" w:type="dxa"/>
              <w:bottom w:w="28" w:type="dxa"/>
              <w:right w:w="28" w:type="dxa"/>
            </w:tcMar>
            <w:vAlign w:val="center"/>
          </w:tcPr>
          <w:p w14:paraId="70DA67D9">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投标人自行登录全国公共资源交易平台（云南省）云南省公共资源交易信息网（</w:t>
            </w:r>
            <w:r>
              <w:rPr>
                <w:rFonts w:hint="eastAsia" w:ascii="宋体" w:hAnsi="宋体" w:cs="宋体"/>
                <w:b w:val="0"/>
                <w:bCs w:val="0"/>
                <w:color w:val="auto"/>
                <w:sz w:val="24"/>
                <w:szCs w:val="24"/>
                <w:highlight w:val="none"/>
                <w:lang w:val="en-US" w:eastAsia="zh-CN"/>
              </w:rPr>
              <w:t>http://ggzy.yn.gov.cn</w:t>
            </w:r>
            <w:r>
              <w:rPr>
                <w:rFonts w:hint="eastAsia" w:ascii="宋体" w:hAnsi="宋体" w:eastAsia="宋体" w:cs="宋体"/>
                <w:b w:val="0"/>
                <w:bCs w:val="0"/>
                <w:color w:val="auto"/>
                <w:sz w:val="24"/>
                <w:szCs w:val="24"/>
                <w:highlight w:val="none"/>
                <w:lang w:val="en-US" w:eastAsia="zh-CN"/>
              </w:rPr>
              <w:t>），选择“楚雄州”获取澄清，无须回复确认已收到该澄清。</w:t>
            </w:r>
          </w:p>
        </w:tc>
      </w:tr>
      <w:tr w14:paraId="4A66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79809BA0">
            <w:pPr>
              <w:keepNext w:val="0"/>
              <w:keepLines w:val="0"/>
              <w:pageBreakBefore w:val="0"/>
              <w:widowControl/>
              <w:kinsoku/>
              <w:wordWrap/>
              <w:overflowPunct/>
              <w:topLinePunct w:val="0"/>
              <w:bidi w:val="0"/>
              <w:adjustRightInd/>
              <w:snapToGrid/>
              <w:spacing w:line="360" w:lineRule="auto"/>
              <w:ind w:hanging="20"/>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2.3.2</w:t>
            </w:r>
          </w:p>
        </w:tc>
        <w:tc>
          <w:tcPr>
            <w:tcW w:w="1535" w:type="dxa"/>
            <w:tcMar>
              <w:top w:w="28" w:type="dxa"/>
              <w:left w:w="28" w:type="dxa"/>
              <w:bottom w:w="28" w:type="dxa"/>
              <w:right w:w="28" w:type="dxa"/>
            </w:tcMar>
            <w:vAlign w:val="center"/>
          </w:tcPr>
          <w:p w14:paraId="7A2E5B00">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投标人确认收到招标文件修改的时间</w:t>
            </w:r>
          </w:p>
        </w:tc>
        <w:tc>
          <w:tcPr>
            <w:tcW w:w="6621" w:type="dxa"/>
            <w:tcMar>
              <w:top w:w="28" w:type="dxa"/>
              <w:left w:w="28" w:type="dxa"/>
              <w:bottom w:w="28" w:type="dxa"/>
              <w:right w:w="28" w:type="dxa"/>
            </w:tcMar>
            <w:vAlign w:val="center"/>
          </w:tcPr>
          <w:p w14:paraId="20D44C53">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投标人自行登录全国公共资源交易平台（云南省）云南省公共资源交易信息网（</w:t>
            </w:r>
            <w:r>
              <w:rPr>
                <w:rFonts w:hint="eastAsia" w:ascii="宋体" w:hAnsi="宋体" w:cs="宋体"/>
                <w:b w:val="0"/>
                <w:bCs w:val="0"/>
                <w:color w:val="auto"/>
                <w:kern w:val="0"/>
                <w:sz w:val="24"/>
                <w:szCs w:val="24"/>
                <w:highlight w:val="none"/>
                <w:lang w:eastAsia="zh-CN" w:bidi="en-US"/>
              </w:rPr>
              <w:t>http://ggzy.yn.gov.cn</w:t>
            </w:r>
            <w:r>
              <w:rPr>
                <w:rFonts w:hint="eastAsia" w:ascii="宋体" w:hAnsi="宋体" w:eastAsia="宋体" w:cs="宋体"/>
                <w:b w:val="0"/>
                <w:bCs w:val="0"/>
                <w:color w:val="auto"/>
                <w:kern w:val="0"/>
                <w:sz w:val="24"/>
                <w:szCs w:val="24"/>
                <w:highlight w:val="none"/>
                <w:lang w:bidi="en-US"/>
              </w:rPr>
              <w:t>），选择“楚雄州”获取修改内容，无须回复确认已收到该修改。</w:t>
            </w:r>
          </w:p>
        </w:tc>
      </w:tr>
      <w:tr w14:paraId="5F0D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1887B6D2">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rPr>
              <w:t>3.1.1</w:t>
            </w:r>
          </w:p>
        </w:tc>
        <w:tc>
          <w:tcPr>
            <w:tcW w:w="1535" w:type="dxa"/>
            <w:tcMar>
              <w:top w:w="28" w:type="dxa"/>
              <w:left w:w="28" w:type="dxa"/>
              <w:bottom w:w="28" w:type="dxa"/>
              <w:right w:w="28" w:type="dxa"/>
            </w:tcMar>
            <w:vAlign w:val="center"/>
          </w:tcPr>
          <w:p w14:paraId="7916DFA8">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rPr>
              <w:t>构成投标文件的其他资料</w:t>
            </w:r>
          </w:p>
        </w:tc>
        <w:tc>
          <w:tcPr>
            <w:tcW w:w="6621" w:type="dxa"/>
            <w:tcMar>
              <w:top w:w="28" w:type="dxa"/>
              <w:left w:w="28" w:type="dxa"/>
              <w:bottom w:w="28" w:type="dxa"/>
              <w:right w:w="28" w:type="dxa"/>
            </w:tcMar>
            <w:vAlign w:val="center"/>
          </w:tcPr>
          <w:p w14:paraId="7E821909">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2"/>
                <w:sz w:val="24"/>
                <w:szCs w:val="24"/>
                <w:highlight w:val="none"/>
                <w:lang w:val="zh-TW" w:eastAsia="zh-CN" w:bidi="ar-SA"/>
              </w:rPr>
              <w:t>在投标文件递交截止时间前提交的补充、修改资料及承诺书和投标人认为能证明自身实力的材料等</w:t>
            </w:r>
            <w:r>
              <w:rPr>
                <w:rFonts w:hint="eastAsia" w:ascii="宋体" w:hAnsi="宋体" w:eastAsia="宋体" w:cs="宋体"/>
                <w:b w:val="0"/>
                <w:bCs w:val="0"/>
                <w:color w:val="auto"/>
                <w:kern w:val="2"/>
                <w:sz w:val="24"/>
                <w:szCs w:val="24"/>
                <w:highlight w:val="none"/>
                <w:shd w:val="clear" w:color="auto" w:fill="auto"/>
                <w:lang w:val="zh-TW" w:eastAsia="zh-CN" w:bidi="ar-SA"/>
              </w:rPr>
              <w:t>。</w:t>
            </w:r>
          </w:p>
        </w:tc>
      </w:tr>
      <w:tr w14:paraId="0F161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26861E85">
            <w:pPr>
              <w:keepNext w:val="0"/>
              <w:keepLines w:val="0"/>
              <w:pageBreakBefore w:val="0"/>
              <w:widowControl/>
              <w:kinsoku/>
              <w:wordWrap/>
              <w:overflowPunct/>
              <w:topLinePunct w:val="0"/>
              <w:bidi w:val="0"/>
              <w:adjustRightInd/>
              <w:snapToGrid/>
              <w:spacing w:line="360" w:lineRule="auto"/>
              <w:ind w:hanging="20"/>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3.2.1</w:t>
            </w:r>
          </w:p>
        </w:tc>
        <w:tc>
          <w:tcPr>
            <w:tcW w:w="1535" w:type="dxa"/>
            <w:tcMar>
              <w:top w:w="28" w:type="dxa"/>
              <w:left w:w="28" w:type="dxa"/>
              <w:bottom w:w="28" w:type="dxa"/>
              <w:right w:w="28" w:type="dxa"/>
            </w:tcMar>
            <w:vAlign w:val="center"/>
          </w:tcPr>
          <w:p w14:paraId="0F30B277">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投标报价</w:t>
            </w:r>
            <w:r>
              <w:rPr>
                <w:rFonts w:hint="eastAsia" w:ascii="宋体" w:hAnsi="宋体" w:eastAsia="宋体" w:cs="宋体"/>
                <w:b w:val="0"/>
                <w:bCs w:val="0"/>
                <w:color w:val="auto"/>
                <w:sz w:val="24"/>
                <w:szCs w:val="24"/>
                <w:highlight w:val="none"/>
                <w:lang w:val="en-US" w:eastAsia="zh-CN"/>
              </w:rPr>
              <w:t>方式</w:t>
            </w:r>
          </w:p>
        </w:tc>
        <w:tc>
          <w:tcPr>
            <w:tcW w:w="6621" w:type="dxa"/>
            <w:tcMar>
              <w:top w:w="28" w:type="dxa"/>
              <w:left w:w="28" w:type="dxa"/>
              <w:bottom w:w="28" w:type="dxa"/>
              <w:right w:w="28" w:type="dxa"/>
            </w:tcMar>
            <w:vAlign w:val="center"/>
          </w:tcPr>
          <w:p w14:paraId="06FC58B4">
            <w:pPr>
              <w:keepNext w:val="0"/>
              <w:keepLines w:val="0"/>
              <w:pageBreakBefore w:val="0"/>
              <w:widowControl/>
              <w:kinsoku/>
              <w:wordWrap/>
              <w:overflowPunct/>
              <w:topLinePunct w:val="0"/>
              <w:bidi w:val="0"/>
              <w:adjustRightInd/>
              <w:snapToGrid/>
              <w:spacing w:line="360" w:lineRule="auto"/>
              <w:jc w:val="left"/>
              <w:textAlignment w:val="auto"/>
              <w:rPr>
                <w:rFonts w:hint="default"/>
                <w:highlight w:val="none"/>
                <w:lang w:val="en-US" w:eastAsia="zh-CN"/>
              </w:rPr>
            </w:pPr>
            <w:r>
              <w:rPr>
                <w:rFonts w:hint="eastAsia" w:ascii="宋体" w:hAnsi="宋体" w:eastAsia="宋体" w:cs="宋体"/>
                <w:b w:val="0"/>
                <w:bCs w:val="0"/>
                <w:color w:val="auto"/>
                <w:sz w:val="24"/>
                <w:szCs w:val="24"/>
                <w:highlight w:val="none"/>
                <w:lang w:val="en-US" w:eastAsia="zh-CN"/>
              </w:rPr>
              <w:t>投标人综合考虑市场价并结合自身水平及实力，以工程量清单报价方式报价。</w:t>
            </w:r>
          </w:p>
        </w:tc>
      </w:tr>
      <w:tr w14:paraId="520D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218048A">
            <w:pPr>
              <w:keepNext w:val="0"/>
              <w:keepLines w:val="0"/>
              <w:pageBreakBefore w:val="0"/>
              <w:widowControl/>
              <w:kinsoku/>
              <w:wordWrap/>
              <w:overflowPunct/>
              <w:topLinePunct w:val="0"/>
              <w:bidi w:val="0"/>
              <w:adjustRightInd/>
              <w:snapToGrid/>
              <w:spacing w:line="360" w:lineRule="auto"/>
              <w:ind w:hanging="20"/>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3.2.3</w:t>
            </w:r>
          </w:p>
        </w:tc>
        <w:tc>
          <w:tcPr>
            <w:tcW w:w="1535" w:type="dxa"/>
            <w:tcMar>
              <w:top w:w="28" w:type="dxa"/>
              <w:left w:w="28" w:type="dxa"/>
              <w:bottom w:w="28" w:type="dxa"/>
              <w:right w:w="28" w:type="dxa"/>
            </w:tcMar>
            <w:vAlign w:val="center"/>
          </w:tcPr>
          <w:p w14:paraId="0C33029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招标控制价</w:t>
            </w:r>
          </w:p>
        </w:tc>
        <w:tc>
          <w:tcPr>
            <w:tcW w:w="6621" w:type="dxa"/>
            <w:tcMar>
              <w:top w:w="28" w:type="dxa"/>
              <w:left w:w="28" w:type="dxa"/>
              <w:bottom w:w="28" w:type="dxa"/>
              <w:right w:w="28" w:type="dxa"/>
            </w:tcMar>
            <w:vAlign w:val="center"/>
          </w:tcPr>
          <w:p w14:paraId="73057A7C">
            <w:pPr>
              <w:keepNext w:val="0"/>
              <w:keepLines w:val="0"/>
              <w:pageBreakBefore w:val="0"/>
              <w:widowControl/>
              <w:suppressLineNumbers w:val="0"/>
              <w:kinsoku/>
              <w:wordWrap/>
              <w:overflowPunct/>
              <w:topLinePunct w:val="0"/>
              <w:bidi w:val="0"/>
              <w:adjustRightInd/>
              <w:snapToGrid/>
              <w:spacing w:line="360" w:lineRule="auto"/>
              <w:ind w:firstLine="241" w:firstLineChars="100"/>
              <w:jc w:val="left"/>
              <w:textAlignment w:val="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9923425.26元（玖佰玖拾贰万叁仟肆佰贰拾伍元贰角陆分）</w:t>
            </w:r>
          </w:p>
          <w:p w14:paraId="2B719A1B">
            <w:pPr>
              <w:keepNext w:val="0"/>
              <w:keepLines w:val="0"/>
              <w:pageBreakBefore w:val="0"/>
              <w:widowControl/>
              <w:suppressLineNumbers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（1）投标总价高于最高投标限价的作为否决投标处理。</w:t>
            </w:r>
          </w:p>
          <w:p w14:paraId="1856EF7E">
            <w:pPr>
              <w:keepNext w:val="0"/>
              <w:keepLines w:val="0"/>
              <w:pageBreakBefore w:val="0"/>
              <w:widowControl/>
              <w:suppressLineNumbers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（2）招标人公布工程量清单单价的，已报价工程量清单单价任何一项超过公布工程量清单单价的，将作否决其投标文件处理。</w:t>
            </w:r>
          </w:p>
        </w:tc>
      </w:tr>
      <w:tr w14:paraId="3B5B0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7865535F">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3.3.1</w:t>
            </w:r>
          </w:p>
        </w:tc>
        <w:tc>
          <w:tcPr>
            <w:tcW w:w="1535" w:type="dxa"/>
            <w:tcMar>
              <w:top w:w="28" w:type="dxa"/>
              <w:left w:w="28" w:type="dxa"/>
              <w:bottom w:w="28" w:type="dxa"/>
              <w:right w:w="28" w:type="dxa"/>
            </w:tcMar>
            <w:vAlign w:val="center"/>
          </w:tcPr>
          <w:p w14:paraId="6FB93583">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投标有效期</w:t>
            </w:r>
          </w:p>
        </w:tc>
        <w:tc>
          <w:tcPr>
            <w:tcW w:w="6621" w:type="dxa"/>
            <w:tcMar>
              <w:top w:w="28" w:type="dxa"/>
              <w:left w:w="28" w:type="dxa"/>
              <w:bottom w:w="28" w:type="dxa"/>
              <w:right w:w="28" w:type="dxa"/>
            </w:tcMar>
            <w:vAlign w:val="center"/>
          </w:tcPr>
          <w:p w14:paraId="37C4CD8C">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投标截止之日起</w:t>
            </w:r>
            <w:r>
              <w:rPr>
                <w:rFonts w:hint="eastAsia" w:ascii="宋体" w:hAnsi="宋体" w:eastAsia="宋体" w:cs="宋体"/>
                <w:b w:val="0"/>
                <w:bCs w:val="0"/>
                <w:color w:val="auto"/>
                <w:kern w:val="0"/>
                <w:sz w:val="24"/>
                <w:szCs w:val="24"/>
                <w:highlight w:val="none"/>
                <w:lang w:bidi="en-US"/>
              </w:rPr>
              <w:t>90日历天。</w:t>
            </w:r>
          </w:p>
        </w:tc>
      </w:tr>
      <w:tr w14:paraId="6E2BE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5941AAD7">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3.4.1</w:t>
            </w:r>
          </w:p>
        </w:tc>
        <w:tc>
          <w:tcPr>
            <w:tcW w:w="1535" w:type="dxa"/>
            <w:tcMar>
              <w:top w:w="28" w:type="dxa"/>
              <w:left w:w="28" w:type="dxa"/>
              <w:bottom w:w="28" w:type="dxa"/>
              <w:right w:w="28" w:type="dxa"/>
            </w:tcMar>
            <w:vAlign w:val="center"/>
          </w:tcPr>
          <w:p w14:paraId="7472588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投标保证金</w:t>
            </w:r>
          </w:p>
        </w:tc>
        <w:tc>
          <w:tcPr>
            <w:tcW w:w="6621" w:type="dxa"/>
            <w:tcMar>
              <w:top w:w="28" w:type="dxa"/>
              <w:left w:w="28" w:type="dxa"/>
              <w:bottom w:w="28" w:type="dxa"/>
              <w:right w:w="28" w:type="dxa"/>
            </w:tcMar>
            <w:vAlign w:val="center"/>
          </w:tcPr>
          <w:p w14:paraId="6027BBBF">
            <w:pPr>
              <w:adjustRightInd w:val="0"/>
              <w:snapToGrid w:val="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AUTOTEXT  input142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要求递交投标保证金</w:t>
            </w:r>
          </w:p>
          <w:p w14:paraId="77205238">
            <w:pPr>
              <w:keepNext w:val="0"/>
              <w:keepLines w:val="0"/>
              <w:pageBreakBefore w:val="0"/>
              <w:kinsoku/>
              <w:wordWrap/>
              <w:overflowPunct/>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本项目为政府投资项目，</w:t>
            </w:r>
            <w:r>
              <w:rPr>
                <w:rFonts w:hint="eastAsia" w:ascii="宋体" w:hAnsi="宋体" w:eastAsia="宋体" w:cs="宋体"/>
                <w:color w:val="auto"/>
                <w:sz w:val="24"/>
                <w:szCs w:val="24"/>
                <w:highlight w:val="none"/>
                <w:lang w:val="en-US" w:eastAsia="zh-CN"/>
              </w:rPr>
              <w:t>招标金额为</w:t>
            </w:r>
            <w:r>
              <w:rPr>
                <w:rFonts w:hint="eastAsia" w:ascii="宋体" w:hAnsi="宋体" w:cs="宋体"/>
                <w:b w:val="0"/>
                <w:bCs w:val="0"/>
                <w:color w:val="auto"/>
                <w:kern w:val="0"/>
                <w:sz w:val="24"/>
                <w:szCs w:val="24"/>
                <w:highlight w:val="none"/>
                <w:u w:val="none"/>
                <w:lang w:val="en-US" w:eastAsia="zh-CN"/>
              </w:rPr>
              <w:t>992.342526</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根据投标保证金减免相关规定，对本项目投标保证金给予减免。投标人根据自身情况自行选择确定享受免于收取、降低收取数额等政策。选择享受降低收取数额政策的，投标人可采用保险保函、银行转账等任一形式缴纳投标保证金。</w:t>
            </w:r>
          </w:p>
          <w:p w14:paraId="15965C9C">
            <w:pPr>
              <w:keepNext w:val="0"/>
              <w:keepLines w:val="0"/>
              <w:pageBreakBefore w:val="0"/>
              <w:numPr>
                <w:ilvl w:val="0"/>
                <w:numId w:val="0"/>
              </w:numPr>
              <w:kinsoku/>
              <w:wordWrap/>
              <w:overflowPunct/>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sz w:val="24"/>
                <w:szCs w:val="24"/>
                <w:highlight w:val="none"/>
              </w:rPr>
              <w:t>降低收取金额。</w:t>
            </w:r>
            <w:r>
              <w:rPr>
                <w:rFonts w:hint="eastAsia" w:ascii="宋体" w:hAnsi="宋体" w:eastAsia="宋体" w:cs="宋体"/>
                <w:color w:val="auto"/>
                <w:sz w:val="24"/>
                <w:szCs w:val="24"/>
                <w:highlight w:val="none"/>
              </w:rPr>
              <w:t>按照投标保证金不得超过招标项目估算价的2%的规定，</w:t>
            </w:r>
            <w:r>
              <w:rPr>
                <w:rFonts w:hint="eastAsia" w:ascii="宋体" w:hAnsi="宋体" w:cs="宋体"/>
                <w:color w:val="auto"/>
                <w:sz w:val="24"/>
                <w:szCs w:val="24"/>
                <w:highlight w:val="none"/>
                <w:lang w:val="en-US" w:eastAsia="zh-CN"/>
              </w:rPr>
              <w:t>本项目</w:t>
            </w:r>
            <w:r>
              <w:rPr>
                <w:rFonts w:hint="eastAsia" w:ascii="宋体" w:hAnsi="宋体" w:eastAsia="宋体" w:cs="宋体"/>
                <w:color w:val="auto"/>
                <w:sz w:val="24"/>
                <w:szCs w:val="24"/>
                <w:highlight w:val="none"/>
                <w:lang w:val="en-US" w:eastAsia="zh-CN"/>
              </w:rPr>
              <w:t>应收取投标保证金金额为：</w:t>
            </w:r>
            <w:r>
              <w:rPr>
                <w:rFonts w:hint="eastAsia" w:ascii="宋体" w:hAnsi="宋体" w:cs="宋体"/>
                <w:color w:val="auto"/>
                <w:sz w:val="24"/>
                <w:szCs w:val="24"/>
                <w:highlight w:val="none"/>
                <w:lang w:val="en-US" w:eastAsia="zh-CN"/>
              </w:rPr>
              <w:t>19.85</w:t>
            </w:r>
            <w:r>
              <w:rPr>
                <w:rFonts w:hint="eastAsia" w:ascii="宋体" w:hAnsi="宋体" w:eastAsia="宋体" w:cs="宋体"/>
                <w:color w:val="auto"/>
                <w:sz w:val="24"/>
                <w:szCs w:val="24"/>
                <w:highlight w:val="none"/>
                <w:lang w:val="en-US" w:eastAsia="zh-CN"/>
              </w:rPr>
              <w:t>万元。现落实减免投标保证金降幅不得低于现收取金额的50%的政策要求，实际收取</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万元，降幅为</w:t>
            </w:r>
            <w:r>
              <w:rPr>
                <w:rFonts w:hint="eastAsia" w:ascii="宋体" w:hAnsi="宋体" w:cs="宋体"/>
                <w:color w:val="auto"/>
                <w:sz w:val="24"/>
                <w:szCs w:val="24"/>
                <w:highlight w:val="none"/>
                <w:lang w:val="en-US" w:eastAsia="zh-CN"/>
              </w:rPr>
              <w:t>59.70%</w:t>
            </w:r>
            <w:r>
              <w:rPr>
                <w:rFonts w:hint="eastAsia" w:ascii="宋体" w:hAnsi="宋体" w:eastAsia="宋体" w:cs="宋体"/>
                <w:color w:val="auto"/>
                <w:sz w:val="24"/>
                <w:szCs w:val="24"/>
                <w:highlight w:val="none"/>
                <w:lang w:val="en-US" w:eastAsia="zh-CN"/>
              </w:rPr>
              <w:t>。</w:t>
            </w:r>
          </w:p>
          <w:p w14:paraId="07CA27C6">
            <w:pPr>
              <w:keepNext w:val="0"/>
              <w:keepLines w:val="0"/>
              <w:pageBreakBefore w:val="0"/>
              <w:numPr>
                <w:ilvl w:val="0"/>
                <w:numId w:val="0"/>
              </w:numPr>
              <w:kinsoku/>
              <w:wordWrap/>
              <w:overflowPunct/>
              <w:bidi w:val="0"/>
              <w:adjustRightInd w:val="0"/>
              <w:snapToGrid w:val="0"/>
              <w:spacing w:line="360" w:lineRule="auto"/>
              <w:ind w:firstLine="482" w:firstLineChars="200"/>
              <w:textAlignment w:val="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（二）免于收取情况。</w:t>
            </w:r>
            <w:r>
              <w:rPr>
                <w:rFonts w:hint="eastAsia" w:ascii="宋体" w:hAnsi="宋体" w:cs="宋体"/>
                <w:b w:val="0"/>
                <w:bCs w:val="0"/>
                <w:color w:val="auto"/>
                <w:sz w:val="24"/>
                <w:szCs w:val="24"/>
                <w:highlight w:val="none"/>
                <w:lang w:eastAsia="zh-CN"/>
              </w:rPr>
              <w:t>本项目免于收取无失信记录企业投标保证金。对提交无失信记录免交投标保证金的项目，投标人可在交易系统保证金缴纳页面直接获取信用报告，签名确认后即可完成无失信记录证明材料的提交工作。若无法获取信用报告，则需登录信用中国等网站，对照招标文件要求自行下载相关信用信息并按要求上传至系统。开标后，将组织对投标人提交的无失信记录信息进行核验。如发现上传信息错误、存在失信记录等情况的，将不予受理通过，相关后果将由投标人自行承担。</w:t>
            </w:r>
          </w:p>
          <w:p w14:paraId="693319EC">
            <w:pPr>
              <w:keepNext w:val="0"/>
              <w:keepLines w:val="0"/>
              <w:pageBreakBefore w:val="0"/>
              <w:numPr>
                <w:ilvl w:val="0"/>
                <w:numId w:val="0"/>
              </w:numPr>
              <w:kinsoku/>
              <w:wordWrap/>
              <w:overflowPunct/>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银行转账。</w:t>
            </w:r>
            <w:r>
              <w:rPr>
                <w:rFonts w:hint="eastAsia" w:ascii="宋体" w:hAnsi="宋体" w:eastAsia="宋体" w:cs="宋体"/>
                <w:color w:val="auto"/>
                <w:sz w:val="24"/>
                <w:szCs w:val="24"/>
                <w:highlight w:val="none"/>
              </w:rPr>
              <w:t>投标人使用注册企业数字证书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CA</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时提供的基本账户，向本项目交易保证金账户转账，收款银行及</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动态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账号如下。</w:t>
            </w:r>
          </w:p>
          <w:p w14:paraId="265B7AC4">
            <w:pPr>
              <w:keepNext w:val="0"/>
              <w:keepLines w:val="0"/>
              <w:pageBreakBefore w:val="0"/>
              <w:numPr>
                <w:ilvl w:val="0"/>
                <w:numId w:val="0"/>
              </w:numPr>
              <w:kinsoku/>
              <w:wordWrap/>
              <w:overflowPunct/>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户名：元谋县公共资源交易中心</w:t>
            </w:r>
          </w:p>
          <w:p w14:paraId="3CBFBFA9">
            <w:pPr>
              <w:keepNext w:val="0"/>
              <w:keepLines w:val="0"/>
              <w:pageBreakBefore w:val="0"/>
              <w:numPr>
                <w:ilvl w:val="0"/>
                <w:numId w:val="0"/>
              </w:numPr>
              <w:kinsoku/>
              <w:wordWrap/>
              <w:overflowPunct/>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银行：云南元谋农村商业银行股份有限公司元马支行</w:t>
            </w:r>
          </w:p>
          <w:p w14:paraId="37ACDB5F">
            <w:pPr>
              <w:keepNext w:val="0"/>
              <w:keepLines w:val="0"/>
              <w:pageBreakBefore w:val="0"/>
              <w:numPr>
                <w:ilvl w:val="0"/>
                <w:numId w:val="0"/>
              </w:numPr>
              <w:kinsoku/>
              <w:wordWrap/>
              <w:overflowPunct/>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账号：3300006507101012-</w:t>
            </w:r>
            <w:r>
              <w:rPr>
                <w:rFonts w:hint="eastAsia" w:ascii="宋体" w:hAnsi="宋体" w:eastAsia="宋体" w:cs="宋体"/>
                <w:color w:val="auto"/>
                <w:sz w:val="24"/>
                <w:szCs w:val="24"/>
                <w:highlight w:val="green"/>
                <w:shd w:val="clear" w:fill="00B050"/>
              </w:rPr>
              <w:t>xxxx</w:t>
            </w:r>
          </w:p>
          <w:p w14:paraId="1FA57ADF">
            <w:pPr>
              <w:keepNext w:val="0"/>
              <w:keepLines w:val="0"/>
              <w:pageBreakBefore w:val="0"/>
              <w:numPr>
                <w:ilvl w:val="0"/>
                <w:numId w:val="0"/>
              </w:numPr>
              <w:kinsoku/>
              <w:wordWrap/>
              <w:overflowPunct/>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转账成功后，登录交易服务系统，进入“我的项目—选择我确认投标的项目—缴纳保证金—确认投标保证金—保证金”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按系统指引确认绑定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绑定后打印保证金缴纳回执，将保证金缴纳回执、银行付款回单附于投标文件中。</w:t>
            </w:r>
          </w:p>
          <w:p w14:paraId="3DC3F789">
            <w:pPr>
              <w:keepNext w:val="0"/>
              <w:keepLines w:val="0"/>
              <w:pageBreakBefore w:val="0"/>
              <w:numPr>
                <w:ilvl w:val="0"/>
                <w:numId w:val="0"/>
              </w:numPr>
              <w:kinsoku/>
              <w:wordWrap/>
              <w:overflowPunct/>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四</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保险保函。</w:t>
            </w:r>
            <w:r>
              <w:rPr>
                <w:rFonts w:hint="eastAsia" w:ascii="宋体" w:hAnsi="宋体" w:eastAsia="宋体" w:cs="宋体"/>
                <w:b w:val="0"/>
                <w:bCs w:val="0"/>
                <w:color w:val="auto"/>
                <w:sz w:val="24"/>
                <w:szCs w:val="24"/>
                <w:highlight w:val="none"/>
              </w:rPr>
              <w:t>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w:t>
            </w:r>
          </w:p>
          <w:p w14:paraId="15C4ECD7">
            <w:pPr>
              <w:pStyle w:val="10"/>
              <w:rPr>
                <w:rFonts w:hint="eastAsia"/>
                <w:highlight w:val="none"/>
              </w:rPr>
            </w:pPr>
            <w:r>
              <w:rPr>
                <w:rFonts w:hint="eastAsia" w:ascii="宋体" w:hAnsi="宋体" w:eastAsia="宋体" w:cs="宋体"/>
                <w:color w:val="auto"/>
                <w:sz w:val="24"/>
                <w:szCs w:val="24"/>
                <w:highlight w:val="none"/>
              </w:rPr>
              <w:t>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w:t>
            </w:r>
          </w:p>
        </w:tc>
      </w:tr>
      <w:tr w14:paraId="1C8E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6A13D82B">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3.4.3</w:t>
            </w:r>
          </w:p>
        </w:tc>
        <w:tc>
          <w:tcPr>
            <w:tcW w:w="1535" w:type="dxa"/>
            <w:tcMar>
              <w:top w:w="28" w:type="dxa"/>
              <w:left w:w="28" w:type="dxa"/>
              <w:bottom w:w="28" w:type="dxa"/>
              <w:right w:w="28" w:type="dxa"/>
            </w:tcMar>
            <w:vAlign w:val="center"/>
          </w:tcPr>
          <w:p w14:paraId="0649D38B">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投标保证金的退还</w:t>
            </w:r>
          </w:p>
        </w:tc>
        <w:tc>
          <w:tcPr>
            <w:tcW w:w="6621" w:type="dxa"/>
            <w:tcMar>
              <w:top w:w="28" w:type="dxa"/>
              <w:left w:w="28" w:type="dxa"/>
              <w:bottom w:w="28" w:type="dxa"/>
              <w:right w:w="28" w:type="dxa"/>
            </w:tcMar>
            <w:vAlign w:val="center"/>
          </w:tcPr>
          <w:p w14:paraId="69D7BA95">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cs="宋体"/>
                <w:b w:val="0"/>
                <w:bCs w:val="0"/>
                <w:color w:val="auto"/>
                <w:kern w:val="0"/>
                <w:sz w:val="24"/>
                <w:szCs w:val="24"/>
                <w:highlight w:val="none"/>
                <w:lang w:val="en-US" w:eastAsia="zh-CN" w:bidi="en-US"/>
              </w:rPr>
            </w:pPr>
            <w:r>
              <w:rPr>
                <w:rFonts w:hint="eastAsia" w:ascii="宋体" w:hAnsi="宋体" w:cs="宋体"/>
                <w:b w:val="0"/>
                <w:bCs w:val="0"/>
                <w:color w:val="auto"/>
                <w:kern w:val="0"/>
                <w:sz w:val="24"/>
                <w:szCs w:val="24"/>
                <w:highlight w:val="none"/>
                <w:lang w:val="en-US" w:eastAsia="zh-CN" w:bidi="en-US"/>
              </w:rPr>
              <w:t>1.未中标人的投标保证金在中标通知书发出后5日内，由招标代理机构在系统上提出退还申请，交易中心审核通过后银行自动退还。</w:t>
            </w:r>
          </w:p>
          <w:p w14:paraId="345894C5">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cs="宋体"/>
                <w:b w:val="0"/>
                <w:bCs w:val="0"/>
                <w:color w:val="auto"/>
                <w:kern w:val="0"/>
                <w:sz w:val="24"/>
                <w:szCs w:val="24"/>
                <w:highlight w:val="none"/>
                <w:lang w:val="en-US" w:eastAsia="zh-CN" w:bidi="en-US"/>
              </w:rPr>
              <w:t>2.中标人的投标保证金在合同签订后5日内，由招标代理机构在系统上提出退还申请，交易中心审核通过后银行自动退还。</w:t>
            </w:r>
          </w:p>
        </w:tc>
      </w:tr>
      <w:tr w14:paraId="1CCB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4581ACD6">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3.5.2</w:t>
            </w:r>
          </w:p>
        </w:tc>
        <w:tc>
          <w:tcPr>
            <w:tcW w:w="1535" w:type="dxa"/>
            <w:tcMar>
              <w:top w:w="28" w:type="dxa"/>
              <w:left w:w="28" w:type="dxa"/>
              <w:bottom w:w="28" w:type="dxa"/>
              <w:right w:w="28" w:type="dxa"/>
            </w:tcMar>
            <w:vAlign w:val="center"/>
          </w:tcPr>
          <w:p w14:paraId="18484C38">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近年财务状况的年份要求</w:t>
            </w:r>
          </w:p>
        </w:tc>
        <w:tc>
          <w:tcPr>
            <w:tcW w:w="6621" w:type="dxa"/>
            <w:tcMar>
              <w:top w:w="28" w:type="dxa"/>
              <w:left w:w="28" w:type="dxa"/>
              <w:bottom w:w="28" w:type="dxa"/>
              <w:right w:w="28" w:type="dxa"/>
            </w:tcMar>
            <w:vAlign w:val="center"/>
          </w:tcPr>
          <w:p w14:paraId="4BE6E915">
            <w:pPr>
              <w:pStyle w:val="64"/>
              <w:ind w:left="0" w:leftChars="0" w:firstLine="0" w:firstLineChars="0"/>
              <w:rPr>
                <w:rFonts w:hint="default" w:eastAsia="宋体"/>
                <w:highlight w:val="none"/>
                <w:lang w:val="en-US" w:eastAsia="zh-CN"/>
              </w:rPr>
            </w:pPr>
            <w:r>
              <w:rPr>
                <w:rFonts w:hint="eastAsia" w:cs="宋体"/>
                <w:b w:val="0"/>
                <w:bCs w:val="0"/>
                <w:color w:val="auto"/>
                <w:sz w:val="24"/>
                <w:szCs w:val="24"/>
                <w:highlight w:val="none"/>
                <w:u w:val="none"/>
                <w:lang w:val="en-US" w:eastAsia="zh-CN"/>
              </w:rPr>
              <w:t>近3年（2023年度至2025年度）其中任意1年，新成立企业要求详见招标公告。</w:t>
            </w:r>
          </w:p>
        </w:tc>
      </w:tr>
      <w:tr w14:paraId="0135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2ED6C3D3">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sz w:val="24"/>
                <w:szCs w:val="24"/>
                <w:highlight w:val="none"/>
              </w:rPr>
              <w:t>3.5.</w:t>
            </w:r>
            <w:r>
              <w:rPr>
                <w:rFonts w:hint="eastAsia" w:ascii="宋体" w:hAnsi="宋体" w:eastAsia="宋体" w:cs="宋体"/>
                <w:b w:val="0"/>
                <w:bCs w:val="0"/>
                <w:color w:val="auto"/>
                <w:sz w:val="24"/>
                <w:szCs w:val="24"/>
                <w:highlight w:val="none"/>
                <w:lang w:val="en-US" w:eastAsia="zh-CN"/>
              </w:rPr>
              <w:t>3</w:t>
            </w:r>
          </w:p>
        </w:tc>
        <w:tc>
          <w:tcPr>
            <w:tcW w:w="1535" w:type="dxa"/>
            <w:tcMar>
              <w:top w:w="28" w:type="dxa"/>
              <w:left w:w="28" w:type="dxa"/>
              <w:bottom w:w="28" w:type="dxa"/>
              <w:right w:w="28" w:type="dxa"/>
            </w:tcMar>
            <w:vAlign w:val="center"/>
          </w:tcPr>
          <w:p w14:paraId="46383800">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rPr>
              <w:t>近年发生的重大诉讼及仲裁情况</w:t>
            </w:r>
          </w:p>
        </w:tc>
        <w:tc>
          <w:tcPr>
            <w:tcW w:w="6621" w:type="dxa"/>
            <w:tcMar>
              <w:top w:w="28" w:type="dxa"/>
              <w:left w:w="28" w:type="dxa"/>
              <w:bottom w:w="28" w:type="dxa"/>
              <w:right w:w="28" w:type="dxa"/>
            </w:tcMar>
            <w:vAlign w:val="center"/>
          </w:tcPr>
          <w:p w14:paraId="43ADAC45">
            <w:pPr>
              <w:keepNext w:val="0"/>
              <w:keepLines w:val="0"/>
              <w:pageBreakBefore w:val="0"/>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sz w:val="24"/>
                <w:szCs w:val="24"/>
                <w:highlight w:val="none"/>
              </w:rPr>
              <w:t>20</w:t>
            </w: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lang w:val="en-US" w:eastAsia="zh-CN"/>
              </w:rPr>
              <w:t>1月1日</w:t>
            </w:r>
            <w:r>
              <w:rPr>
                <w:rFonts w:hint="eastAsia" w:ascii="宋体" w:hAnsi="宋体" w:eastAsia="宋体" w:cs="宋体"/>
                <w:b w:val="0"/>
                <w:bCs w:val="0"/>
                <w:color w:val="auto"/>
                <w:sz w:val="24"/>
                <w:szCs w:val="24"/>
                <w:highlight w:val="none"/>
              </w:rPr>
              <w:t>至今（202</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年以后成立的公司提供公司成立至今发生的重大诉讼及仲裁情况）</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要求详见招标公告。</w:t>
            </w:r>
          </w:p>
        </w:tc>
      </w:tr>
      <w:tr w14:paraId="2AE69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27F936EF">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3.6</w:t>
            </w:r>
          </w:p>
        </w:tc>
        <w:tc>
          <w:tcPr>
            <w:tcW w:w="1535" w:type="dxa"/>
            <w:tcMar>
              <w:top w:w="28" w:type="dxa"/>
              <w:left w:w="28" w:type="dxa"/>
              <w:bottom w:w="28" w:type="dxa"/>
              <w:right w:w="28" w:type="dxa"/>
            </w:tcMar>
            <w:vAlign w:val="center"/>
          </w:tcPr>
          <w:p w14:paraId="31CFE34D">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是否允许递交</w:t>
            </w:r>
          </w:p>
          <w:p w14:paraId="1CBCA12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备选投标方案</w:t>
            </w:r>
          </w:p>
        </w:tc>
        <w:tc>
          <w:tcPr>
            <w:tcW w:w="6621" w:type="dxa"/>
            <w:tcMar>
              <w:top w:w="28" w:type="dxa"/>
              <w:left w:w="28" w:type="dxa"/>
              <w:bottom w:w="28" w:type="dxa"/>
              <w:right w:w="28" w:type="dxa"/>
            </w:tcMar>
            <w:vAlign w:val="center"/>
          </w:tcPr>
          <w:p w14:paraId="05391BE7">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u w:val="single"/>
                <w:lang w:bidi="en-US"/>
              </w:rPr>
            </w:pPr>
            <w:r>
              <w:rPr>
                <w:rFonts w:hint="eastAsia" w:ascii="宋体" w:hAnsi="宋体" w:eastAsia="宋体" w:cs="宋体"/>
                <w:b w:val="0"/>
                <w:bCs w:val="0"/>
                <w:color w:val="auto"/>
                <w:kern w:val="0"/>
                <w:sz w:val="24"/>
                <w:szCs w:val="24"/>
                <w:highlight w:val="none"/>
                <w:lang w:bidi="en-US"/>
              </w:rPr>
              <w:t>不允许。</w:t>
            </w:r>
          </w:p>
        </w:tc>
      </w:tr>
      <w:tr w14:paraId="5E394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6E2507C6">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3.7.1</w:t>
            </w:r>
          </w:p>
        </w:tc>
        <w:tc>
          <w:tcPr>
            <w:tcW w:w="1535" w:type="dxa"/>
            <w:tcMar>
              <w:top w:w="28" w:type="dxa"/>
              <w:left w:w="28" w:type="dxa"/>
              <w:bottom w:w="28" w:type="dxa"/>
              <w:right w:w="28" w:type="dxa"/>
            </w:tcMar>
            <w:vAlign w:val="center"/>
          </w:tcPr>
          <w:p w14:paraId="2427F9D4">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投标文件格式</w:t>
            </w:r>
          </w:p>
        </w:tc>
        <w:tc>
          <w:tcPr>
            <w:tcW w:w="6621" w:type="dxa"/>
            <w:tcMar>
              <w:top w:w="28" w:type="dxa"/>
              <w:left w:w="28" w:type="dxa"/>
              <w:bottom w:w="28" w:type="dxa"/>
              <w:right w:w="28" w:type="dxa"/>
            </w:tcMar>
            <w:vAlign w:val="center"/>
          </w:tcPr>
          <w:p w14:paraId="7D4AF07D">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（1）投标文件全部采用电子文档，格式为*.BTBJ，应使用《云南省工程建设模块化投标文件编制系统》制作，并进行电子签名（或签字）及加密。</w:t>
            </w:r>
          </w:p>
          <w:p w14:paraId="7AC4A71B">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（2）在编制标投文件时，粘贴图片建议使用JPG格式的文件。</w:t>
            </w:r>
          </w:p>
        </w:tc>
      </w:tr>
      <w:tr w14:paraId="7A82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57796E3D">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3.7.3</w:t>
            </w:r>
          </w:p>
        </w:tc>
        <w:tc>
          <w:tcPr>
            <w:tcW w:w="1535" w:type="dxa"/>
            <w:tcMar>
              <w:top w:w="28" w:type="dxa"/>
              <w:left w:w="28" w:type="dxa"/>
              <w:bottom w:w="28" w:type="dxa"/>
              <w:right w:w="28" w:type="dxa"/>
            </w:tcMar>
            <w:vAlign w:val="center"/>
          </w:tcPr>
          <w:p w14:paraId="0626047D">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投标文件的</w:t>
            </w:r>
          </w:p>
          <w:p w14:paraId="5114FCC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签署</w:t>
            </w:r>
          </w:p>
        </w:tc>
        <w:tc>
          <w:tcPr>
            <w:tcW w:w="6621" w:type="dxa"/>
            <w:tcMar>
              <w:top w:w="28" w:type="dxa"/>
              <w:left w:w="28" w:type="dxa"/>
              <w:bottom w:w="28" w:type="dxa"/>
              <w:right w:w="28" w:type="dxa"/>
            </w:tcMar>
            <w:vAlign w:val="center"/>
          </w:tcPr>
          <w:p w14:paraId="536B831A">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val="en-US" w:eastAsia="zh-CN" w:bidi="en-US"/>
              </w:rPr>
              <w:t>1</w:t>
            </w:r>
            <w:r>
              <w:rPr>
                <w:rFonts w:hint="eastAsia" w:ascii="宋体" w:hAnsi="宋体" w:eastAsia="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按照投标文件格式，采用单位和个人数字证书电子签章（或盖章）及电子签名（或签字）</w:t>
            </w:r>
            <w:r>
              <w:rPr>
                <w:rFonts w:hint="eastAsia" w:ascii="宋体" w:hAnsi="宋体" w:eastAsia="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投标文件在需要电子签章（或盖章）的地方进行电子签章（或盖章），</w:t>
            </w:r>
            <w:r>
              <w:rPr>
                <w:rFonts w:hint="eastAsia" w:ascii="宋体" w:hAnsi="宋体" w:cs="宋体"/>
                <w:b w:val="0"/>
                <w:bCs w:val="0"/>
                <w:color w:val="auto"/>
                <w:kern w:val="0"/>
                <w:sz w:val="24"/>
                <w:szCs w:val="24"/>
                <w:highlight w:val="none"/>
                <w:lang w:val="en-US" w:eastAsia="zh-CN" w:bidi="en-US"/>
              </w:rPr>
              <w:t>无须</w:t>
            </w:r>
            <w:r>
              <w:rPr>
                <w:rFonts w:hint="eastAsia" w:ascii="宋体" w:hAnsi="宋体" w:cs="宋体"/>
                <w:b w:val="0"/>
                <w:bCs w:val="0"/>
                <w:color w:val="auto"/>
                <w:kern w:val="0"/>
                <w:sz w:val="24"/>
                <w:szCs w:val="24"/>
                <w:highlight w:val="none"/>
                <w:lang w:eastAsia="zh-CN" w:bidi="en-US"/>
              </w:rPr>
              <w:t>逐页电子签章（或盖章）</w:t>
            </w:r>
            <w:r>
              <w:rPr>
                <w:rFonts w:hint="eastAsia" w:ascii="宋体" w:hAnsi="宋体" w:eastAsia="宋体" w:cs="宋体"/>
                <w:b w:val="0"/>
                <w:bCs w:val="0"/>
                <w:color w:val="auto"/>
                <w:kern w:val="0"/>
                <w:sz w:val="24"/>
                <w:szCs w:val="24"/>
                <w:highlight w:val="none"/>
                <w:lang w:bidi="en-US"/>
              </w:rPr>
              <w:t>。</w:t>
            </w:r>
          </w:p>
          <w:p w14:paraId="595F6D29">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val="en-US" w:eastAsia="zh-CN" w:bidi="en-US"/>
              </w:rPr>
              <w:t>2</w:t>
            </w:r>
            <w:r>
              <w:rPr>
                <w:rFonts w:hint="eastAsia" w:ascii="宋体" w:hAnsi="宋体" w:eastAsia="宋体" w:cs="宋体"/>
                <w:b w:val="0"/>
                <w:bCs w:val="0"/>
                <w:color w:val="auto"/>
                <w:kern w:val="0"/>
                <w:sz w:val="24"/>
                <w:szCs w:val="24"/>
                <w:highlight w:val="none"/>
                <w:lang w:eastAsia="zh-CN" w:bidi="en-US"/>
              </w:rPr>
              <w:t>）商务报价部分（已标价工程量清单）造价人员签章不作实质性要求。</w:t>
            </w:r>
          </w:p>
        </w:tc>
      </w:tr>
      <w:tr w14:paraId="04C4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28E186DD">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3.7.5</w:t>
            </w:r>
          </w:p>
        </w:tc>
        <w:tc>
          <w:tcPr>
            <w:tcW w:w="1535" w:type="dxa"/>
            <w:tcMar>
              <w:top w:w="28" w:type="dxa"/>
              <w:left w:w="28" w:type="dxa"/>
              <w:bottom w:w="28" w:type="dxa"/>
              <w:right w:w="28" w:type="dxa"/>
            </w:tcMar>
            <w:vAlign w:val="center"/>
          </w:tcPr>
          <w:p w14:paraId="06A34F6F">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rPr>
              <w:t>投标文件的递交要求</w:t>
            </w:r>
          </w:p>
        </w:tc>
        <w:tc>
          <w:tcPr>
            <w:tcW w:w="6621" w:type="dxa"/>
            <w:tcMar>
              <w:top w:w="28" w:type="dxa"/>
              <w:left w:w="28" w:type="dxa"/>
              <w:bottom w:w="28" w:type="dxa"/>
              <w:right w:w="28" w:type="dxa"/>
            </w:tcMar>
            <w:vAlign w:val="center"/>
          </w:tcPr>
          <w:p w14:paraId="7D17E97B">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网上递交：网上递交网址为全国公共资源交易平台(云南省)云南省公共资源交易信息网选择“楚雄州”楚雄州公共资源交易电子服务系统，投标人须在投标截止时间前完成所有投标文件的上传，网上确认电子签名，并打印“上传投标文件回执”，投标截止时间前未完成投标文件传输的，视为撤回投标文件。</w:t>
            </w:r>
          </w:p>
          <w:p w14:paraId="47BAA5BE">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2</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纸质文件</w:t>
            </w:r>
            <w:r>
              <w:rPr>
                <w:rFonts w:hint="eastAsia" w:ascii="宋体" w:hAnsi="宋体" w:cs="宋体"/>
                <w:b w:val="0"/>
                <w:bCs w:val="0"/>
                <w:color w:val="auto"/>
                <w:kern w:val="0"/>
                <w:sz w:val="24"/>
                <w:szCs w:val="24"/>
                <w:highlight w:val="none"/>
                <w:lang w:val="en-US" w:eastAsia="zh-CN" w:bidi="en-US"/>
              </w:rPr>
              <w:t>要求</w:t>
            </w:r>
            <w:r>
              <w:rPr>
                <w:rFonts w:hint="eastAsia" w:ascii="宋体" w:hAnsi="宋体" w:eastAsia="宋体" w:cs="宋体"/>
                <w:b w:val="0"/>
                <w:bCs w:val="0"/>
                <w:color w:val="auto"/>
                <w:kern w:val="0"/>
                <w:sz w:val="24"/>
                <w:szCs w:val="24"/>
                <w:highlight w:val="none"/>
                <w:lang w:bidi="en-US"/>
              </w:rPr>
              <w:t>：</w:t>
            </w:r>
            <w:r>
              <w:rPr>
                <w:rFonts w:hint="eastAsia" w:ascii="宋体" w:hAnsi="宋体" w:cs="宋体"/>
                <w:b w:val="0"/>
                <w:bCs w:val="0"/>
                <w:color w:val="auto"/>
                <w:kern w:val="0"/>
                <w:sz w:val="24"/>
                <w:szCs w:val="24"/>
                <w:highlight w:val="none"/>
                <w:lang w:val="en-US" w:eastAsia="zh-CN" w:bidi="en-US"/>
              </w:rPr>
              <w:t>中标人在与招标人签订合同时</w:t>
            </w:r>
            <w:r>
              <w:rPr>
                <w:rFonts w:hint="eastAsia" w:ascii="宋体" w:hAnsi="宋体" w:eastAsia="宋体" w:cs="宋体"/>
                <w:b w:val="0"/>
                <w:bCs w:val="0"/>
                <w:color w:val="auto"/>
                <w:kern w:val="0"/>
                <w:sz w:val="24"/>
                <w:szCs w:val="24"/>
                <w:highlight w:val="none"/>
                <w:lang w:bidi="en-US"/>
              </w:rPr>
              <w:t>须提交</w:t>
            </w:r>
            <w:r>
              <w:rPr>
                <w:rFonts w:hint="eastAsia" w:ascii="宋体" w:hAnsi="宋体" w:cs="宋体"/>
                <w:b w:val="0"/>
                <w:bCs w:val="0"/>
                <w:color w:val="auto"/>
                <w:kern w:val="0"/>
                <w:sz w:val="24"/>
                <w:szCs w:val="24"/>
                <w:highlight w:val="none"/>
                <w:lang w:val="en-US" w:eastAsia="zh-CN" w:bidi="en-US"/>
              </w:rPr>
              <w:t>3</w:t>
            </w:r>
            <w:r>
              <w:rPr>
                <w:rFonts w:hint="eastAsia" w:ascii="宋体" w:hAnsi="宋体" w:eastAsia="宋体" w:cs="宋体"/>
                <w:b w:val="0"/>
                <w:bCs w:val="0"/>
                <w:color w:val="auto"/>
                <w:kern w:val="0"/>
                <w:sz w:val="24"/>
                <w:szCs w:val="24"/>
                <w:highlight w:val="none"/>
                <w:lang w:bidi="en-US"/>
              </w:rPr>
              <w:t>份与网上上传的电子投标文件完全一致的纸质</w:t>
            </w:r>
            <w:r>
              <w:rPr>
                <w:rFonts w:hint="eastAsia" w:ascii="宋体" w:hAnsi="宋体" w:cs="宋体"/>
                <w:b w:val="0"/>
                <w:bCs w:val="0"/>
                <w:color w:val="auto"/>
                <w:kern w:val="0"/>
                <w:sz w:val="24"/>
                <w:szCs w:val="24"/>
                <w:highlight w:val="none"/>
                <w:lang w:val="en-US" w:eastAsia="zh-CN" w:bidi="en-US"/>
              </w:rPr>
              <w:t>投标文件</w:t>
            </w:r>
            <w:r>
              <w:rPr>
                <w:rFonts w:hint="eastAsia" w:ascii="宋体" w:hAnsi="宋体" w:eastAsia="宋体" w:cs="宋体"/>
                <w:b w:val="0"/>
                <w:bCs w:val="0"/>
                <w:color w:val="auto"/>
                <w:kern w:val="0"/>
                <w:sz w:val="24"/>
                <w:szCs w:val="24"/>
                <w:highlight w:val="none"/>
                <w:lang w:bidi="en-US"/>
              </w:rPr>
              <w:t>给招标人。</w:t>
            </w:r>
          </w:p>
        </w:tc>
      </w:tr>
      <w:tr w14:paraId="542A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52A383E5">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bookmarkStart w:id="30" w:name="_Toc493082514"/>
            <w:bookmarkStart w:id="31" w:name="_Toc492845586"/>
            <w:bookmarkStart w:id="32" w:name="_Toc494051491"/>
            <w:bookmarkStart w:id="33" w:name="_Toc494048434"/>
            <w:r>
              <w:rPr>
                <w:rFonts w:hint="eastAsia" w:ascii="宋体" w:hAnsi="宋体" w:eastAsia="宋体" w:cs="宋体"/>
                <w:b w:val="0"/>
                <w:bCs w:val="0"/>
                <w:color w:val="auto"/>
                <w:kern w:val="0"/>
                <w:sz w:val="24"/>
                <w:szCs w:val="24"/>
                <w:highlight w:val="none"/>
                <w:lang w:bidi="en-US"/>
              </w:rPr>
              <w:t>4.2.2</w:t>
            </w:r>
            <w:bookmarkEnd w:id="30"/>
            <w:bookmarkEnd w:id="31"/>
            <w:bookmarkEnd w:id="32"/>
            <w:bookmarkEnd w:id="33"/>
          </w:p>
        </w:tc>
        <w:tc>
          <w:tcPr>
            <w:tcW w:w="1535" w:type="dxa"/>
            <w:tcMar>
              <w:top w:w="28" w:type="dxa"/>
              <w:left w:w="28" w:type="dxa"/>
              <w:bottom w:w="28" w:type="dxa"/>
              <w:right w:w="28" w:type="dxa"/>
            </w:tcMar>
            <w:vAlign w:val="center"/>
          </w:tcPr>
          <w:p w14:paraId="640DEEF0">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rPr>
              <w:t>递交投标文件的地点</w:t>
            </w:r>
          </w:p>
        </w:tc>
        <w:tc>
          <w:tcPr>
            <w:tcW w:w="6621" w:type="dxa"/>
            <w:tcMar>
              <w:top w:w="28" w:type="dxa"/>
              <w:left w:w="28" w:type="dxa"/>
              <w:bottom w:w="28" w:type="dxa"/>
              <w:right w:w="28" w:type="dxa"/>
            </w:tcMar>
            <w:vAlign w:val="center"/>
          </w:tcPr>
          <w:p w14:paraId="55CC1095">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bCs/>
                <w:color w:val="auto"/>
                <w:sz w:val="24"/>
                <w:szCs w:val="24"/>
                <w:highlight w:val="none"/>
                <w:lang w:val="en-US" w:eastAsia="zh-CN"/>
              </w:rPr>
              <w:t>网上递交</w:t>
            </w:r>
          </w:p>
        </w:tc>
      </w:tr>
      <w:tr w14:paraId="7DEA4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114D77C7">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rPr>
              <w:t>4.2.3</w:t>
            </w:r>
          </w:p>
        </w:tc>
        <w:tc>
          <w:tcPr>
            <w:tcW w:w="1535" w:type="dxa"/>
            <w:tcMar>
              <w:top w:w="28" w:type="dxa"/>
              <w:left w:w="28" w:type="dxa"/>
              <w:bottom w:w="28" w:type="dxa"/>
              <w:right w:w="28" w:type="dxa"/>
            </w:tcMar>
            <w:vAlign w:val="center"/>
          </w:tcPr>
          <w:p w14:paraId="1C06D03A">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rPr>
              <w:t>是否退还投标文件</w:t>
            </w:r>
          </w:p>
        </w:tc>
        <w:tc>
          <w:tcPr>
            <w:tcW w:w="6621" w:type="dxa"/>
            <w:tcMar>
              <w:top w:w="28" w:type="dxa"/>
              <w:left w:w="28" w:type="dxa"/>
              <w:bottom w:w="28" w:type="dxa"/>
              <w:right w:w="28" w:type="dxa"/>
            </w:tcMar>
            <w:vAlign w:val="center"/>
          </w:tcPr>
          <w:p w14:paraId="6D512F0B">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sz w:val="24"/>
                <w:szCs w:val="24"/>
                <w:highlight w:val="none"/>
                <w:lang w:val="en-US" w:eastAsia="zh-CN"/>
              </w:rPr>
              <w:t>否</w:t>
            </w:r>
          </w:p>
        </w:tc>
      </w:tr>
      <w:tr w14:paraId="17DA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22DB0D1D">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5.1</w:t>
            </w:r>
          </w:p>
        </w:tc>
        <w:tc>
          <w:tcPr>
            <w:tcW w:w="1535" w:type="dxa"/>
            <w:tcMar>
              <w:top w:w="28" w:type="dxa"/>
              <w:left w:w="28" w:type="dxa"/>
              <w:bottom w:w="28" w:type="dxa"/>
              <w:right w:w="28" w:type="dxa"/>
            </w:tcMar>
            <w:vAlign w:val="center"/>
          </w:tcPr>
          <w:p w14:paraId="760E492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t>开标时间和地点</w:t>
            </w:r>
          </w:p>
        </w:tc>
        <w:tc>
          <w:tcPr>
            <w:tcW w:w="6621" w:type="dxa"/>
            <w:tcMar>
              <w:top w:w="28" w:type="dxa"/>
              <w:left w:w="28" w:type="dxa"/>
              <w:bottom w:w="28" w:type="dxa"/>
              <w:right w:w="28" w:type="dxa"/>
            </w:tcMar>
            <w:vAlign w:val="center"/>
          </w:tcPr>
          <w:p w14:paraId="0323FE05">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t>开标时间：同投标截止时间；</w:t>
            </w:r>
          </w:p>
          <w:p w14:paraId="502DA102">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bidi="en-US"/>
                <w14:textFill>
                  <w14:solidFill>
                    <w14:schemeClr w14:val="tx1"/>
                  </w14:solidFill>
                </w14:textFill>
              </w:rPr>
              <w:t>开标地点：元谋县公共资源交易中心，投标单位人员无需到达开标地点，在规定时间完成投标文件远程解密即可。</w:t>
            </w:r>
          </w:p>
        </w:tc>
      </w:tr>
      <w:tr w14:paraId="32323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2EC87F8B">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5.2</w:t>
            </w:r>
          </w:p>
        </w:tc>
        <w:tc>
          <w:tcPr>
            <w:tcW w:w="1535" w:type="dxa"/>
            <w:tcMar>
              <w:top w:w="28" w:type="dxa"/>
              <w:left w:w="28" w:type="dxa"/>
              <w:bottom w:w="28" w:type="dxa"/>
              <w:right w:w="28" w:type="dxa"/>
            </w:tcMar>
            <w:vAlign w:val="center"/>
          </w:tcPr>
          <w:p w14:paraId="2040B892">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开标程序</w:t>
            </w:r>
          </w:p>
        </w:tc>
        <w:tc>
          <w:tcPr>
            <w:tcW w:w="6621" w:type="dxa"/>
            <w:tcMar>
              <w:top w:w="28" w:type="dxa"/>
              <w:left w:w="28" w:type="dxa"/>
              <w:bottom w:w="28" w:type="dxa"/>
              <w:right w:w="28" w:type="dxa"/>
            </w:tcMar>
            <w:vAlign w:val="center"/>
          </w:tcPr>
          <w:p w14:paraId="67A51E4C">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lang w:val="en-US" w:eastAsia="zh-CN" w:bidi="en-US"/>
              </w:rPr>
              <w:t>（1）</w:t>
            </w:r>
            <w:r>
              <w:rPr>
                <w:rFonts w:hint="eastAsia" w:ascii="宋体" w:hAnsi="宋体" w:eastAsia="宋体" w:cs="宋体"/>
                <w:b w:val="0"/>
                <w:bCs w:val="0"/>
                <w:color w:val="auto"/>
                <w:kern w:val="0"/>
                <w:sz w:val="24"/>
                <w:szCs w:val="24"/>
                <w:highlight w:val="none"/>
                <w:lang w:val="en-US" w:eastAsia="zh-CN" w:bidi="en-US"/>
              </w:rPr>
              <w:t>开标方式：</w:t>
            </w:r>
            <w:r>
              <w:rPr>
                <w:rFonts w:hint="eastAsia" w:ascii="宋体" w:hAnsi="宋体" w:eastAsia="宋体" w:cs="宋体"/>
                <w:b w:val="0"/>
                <w:bCs w:val="0"/>
                <w:color w:val="auto"/>
                <w:kern w:val="0"/>
                <w:sz w:val="24"/>
                <w:szCs w:val="24"/>
                <w:highlight w:val="none"/>
                <w:lang w:bidi="en-US"/>
              </w:rPr>
              <w:t xml:space="preserve">采用网上开标远程解密方式。                         </w:t>
            </w:r>
          </w:p>
          <w:p w14:paraId="12881426">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cs="宋体"/>
                <w:b w:val="0"/>
                <w:bCs w:val="0"/>
                <w:color w:val="auto"/>
                <w:kern w:val="0"/>
                <w:sz w:val="24"/>
                <w:szCs w:val="24"/>
                <w:highlight w:val="none"/>
                <w:lang w:eastAsia="zh-CN" w:bidi="en-US"/>
              </w:rPr>
              <w:t>开标时投标单位不需要到现场出席开标会</w:t>
            </w:r>
            <w:r>
              <w:rPr>
                <w:rFonts w:hint="eastAsia" w:ascii="宋体" w:hAnsi="宋体" w:eastAsia="宋体" w:cs="宋体"/>
                <w:b w:val="0"/>
                <w:bCs w:val="0"/>
                <w:color w:val="auto"/>
                <w:kern w:val="0"/>
                <w:sz w:val="24"/>
                <w:szCs w:val="24"/>
                <w:highlight w:val="none"/>
                <w:lang w:bidi="en-US"/>
              </w:rPr>
              <w:t>。各投标单位对上传的相关证件及证明资料真实性负责</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确保上传的相关资料清晰可辨，如评标过程中，评标委员会无法辨别影响评标的，责任由投标人自行承担</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 xml:space="preserve"> ，如发现提供虚假材料的，一经查实取消投标资格，并依据相关</w:t>
            </w:r>
            <w:r>
              <w:rPr>
                <w:rFonts w:hint="eastAsia" w:ascii="宋体" w:hAnsi="宋体" w:cs="宋体"/>
                <w:b w:val="0"/>
                <w:bCs w:val="0"/>
                <w:color w:val="auto"/>
                <w:kern w:val="0"/>
                <w:sz w:val="24"/>
                <w:szCs w:val="24"/>
                <w:highlight w:val="none"/>
                <w:lang w:eastAsia="zh-CN" w:bidi="en-US"/>
              </w:rPr>
              <w:t>法律法规</w:t>
            </w:r>
            <w:r>
              <w:rPr>
                <w:rFonts w:hint="eastAsia" w:ascii="宋体" w:hAnsi="宋体" w:eastAsia="宋体" w:cs="宋体"/>
                <w:b w:val="0"/>
                <w:bCs w:val="0"/>
                <w:color w:val="auto"/>
                <w:kern w:val="0"/>
                <w:sz w:val="24"/>
                <w:szCs w:val="24"/>
                <w:highlight w:val="none"/>
                <w:lang w:bidi="en-US"/>
              </w:rPr>
              <w:t>进行处罚</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在到达开标时间之后投标人自行</w:t>
            </w:r>
            <w:r>
              <w:rPr>
                <w:rFonts w:hint="eastAsia" w:ascii="宋体" w:hAnsi="宋体" w:cs="宋体"/>
                <w:b w:val="0"/>
                <w:bCs w:val="0"/>
                <w:color w:val="auto"/>
                <w:kern w:val="0"/>
                <w:sz w:val="24"/>
                <w:szCs w:val="24"/>
                <w:highlight w:val="none"/>
                <w:lang w:eastAsia="zh-CN" w:bidi="en-US"/>
              </w:rPr>
              <w:t>登录全国公共资源交易平台（云南省）云南省公共资源交易信息网（http://ggzy.yn.gov.cn）</w:t>
            </w:r>
            <w:r>
              <w:rPr>
                <w:rFonts w:hint="eastAsia" w:ascii="宋体" w:hAnsi="宋体" w:eastAsia="宋体" w:cs="宋体"/>
                <w:b w:val="0"/>
                <w:bCs w:val="0"/>
                <w:color w:val="auto"/>
                <w:kern w:val="0"/>
                <w:sz w:val="24"/>
                <w:szCs w:val="24"/>
                <w:highlight w:val="none"/>
                <w:lang w:bidi="en-US"/>
              </w:rPr>
              <w:t>，点击【智能开标系统】，进入网上开标大厅，至投标截止时间后方能找到对应项目，点击项目后方的【进入】按钮进入开标室页面，进行系统自动 签到</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温馨提示</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登录及电子签名时需要用企业CA锁，解密时需要用投标文件加密的CA锁，为了不频繁更换CA锁影响解密及签名确认，故建议投标文件 加密时采用企业CA锁进行加密</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eastAsia="zh-CN" w:bidi="en-US"/>
              </w:rPr>
              <w:t>。</w:t>
            </w:r>
          </w:p>
          <w:p w14:paraId="69F76AD3">
            <w:pPr>
              <w:keepNext w:val="0"/>
              <w:keepLines w:val="0"/>
              <w:pageBreakBefore w:val="0"/>
              <w:widowControl/>
              <w:numPr>
                <w:ilvl w:val="0"/>
                <w:numId w:val="0"/>
              </w:numPr>
              <w:kinsoku/>
              <w:wordWrap/>
              <w:overflowPunct/>
              <w:topLinePunct w:val="0"/>
              <w:bidi w:val="0"/>
              <w:adjustRightInd/>
              <w:snapToGrid/>
              <w:spacing w:line="360" w:lineRule="auto"/>
              <w:ind w:left="0" w:leftChars="0" w:firstLine="0" w:firstLineChars="0"/>
              <w:jc w:val="left"/>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lang w:val="en-US" w:eastAsia="zh-CN" w:bidi="en-US"/>
              </w:rPr>
              <w:t>（2）</w:t>
            </w:r>
            <w:r>
              <w:rPr>
                <w:rFonts w:hint="eastAsia" w:ascii="宋体" w:hAnsi="宋体" w:eastAsia="宋体" w:cs="宋体"/>
                <w:b w:val="0"/>
                <w:bCs w:val="0"/>
                <w:color w:val="auto"/>
                <w:kern w:val="0"/>
                <w:sz w:val="24"/>
                <w:szCs w:val="24"/>
                <w:highlight w:val="none"/>
                <w:lang w:bidi="en-US"/>
              </w:rPr>
              <w:t>开标系统下达网上解密指令后，投标单位点击上方【网上解密】进入网上解密界面，各投标单位必须在系统下达的时间内完成解密</w:t>
            </w:r>
            <w:r>
              <w:rPr>
                <w:rFonts w:hint="eastAsia" w:ascii="宋体" w:hAnsi="宋体" w:eastAsia="宋体" w:cs="宋体"/>
                <w:b w:val="0"/>
                <w:bCs w:val="0"/>
                <w:color w:val="auto"/>
                <w:kern w:val="0"/>
                <w:sz w:val="24"/>
                <w:szCs w:val="24"/>
                <w:highlight w:val="none"/>
                <w:lang w:val="en-US" w:eastAsia="zh-CN" w:bidi="en-US"/>
              </w:rPr>
              <w:t>工</w:t>
            </w:r>
            <w:r>
              <w:rPr>
                <w:rFonts w:hint="eastAsia" w:ascii="宋体" w:hAnsi="宋体" w:eastAsia="宋体" w:cs="宋体"/>
                <w:b w:val="0"/>
                <w:bCs w:val="0"/>
                <w:color w:val="auto"/>
                <w:kern w:val="0"/>
                <w:sz w:val="24"/>
                <w:szCs w:val="24"/>
                <w:highlight w:val="none"/>
                <w:lang w:bidi="en-US"/>
              </w:rPr>
              <w:t>作</w:t>
            </w:r>
            <w:r>
              <w:rPr>
                <w:rFonts w:hint="eastAsia" w:ascii="宋体" w:hAnsi="宋体" w:eastAsia="宋体" w:cs="宋体"/>
                <w:b w:val="0"/>
                <w:bCs w:val="0"/>
                <w:color w:val="auto"/>
                <w:kern w:val="0"/>
                <w:sz w:val="24"/>
                <w:szCs w:val="24"/>
                <w:highlight w:val="none"/>
                <w:lang w:eastAsia="zh-CN" w:bidi="en-US"/>
              </w:rPr>
              <w:t>。</w:t>
            </w:r>
          </w:p>
          <w:p w14:paraId="31918D48">
            <w:pPr>
              <w:keepNext w:val="0"/>
              <w:keepLines w:val="0"/>
              <w:pageBreakBefore w:val="0"/>
              <w:widowControl/>
              <w:numPr>
                <w:ilvl w:val="0"/>
                <w:numId w:val="0"/>
              </w:numPr>
              <w:kinsoku/>
              <w:wordWrap/>
              <w:overflowPunct/>
              <w:topLinePunct w:val="0"/>
              <w:bidi w:val="0"/>
              <w:adjustRightInd/>
              <w:snapToGrid/>
              <w:spacing w:line="360" w:lineRule="auto"/>
              <w:ind w:left="0" w:leftChars="0" w:firstLine="0" w:firstLineChars="0"/>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lang w:val="en-US" w:eastAsia="zh-CN" w:bidi="en-US"/>
              </w:rPr>
              <w:t>（3）</w:t>
            </w:r>
            <w:r>
              <w:rPr>
                <w:rFonts w:hint="eastAsia" w:ascii="宋体" w:hAnsi="宋体" w:eastAsia="宋体" w:cs="宋体"/>
                <w:b w:val="0"/>
                <w:bCs w:val="0"/>
                <w:color w:val="auto"/>
                <w:kern w:val="0"/>
                <w:sz w:val="24"/>
                <w:szCs w:val="24"/>
                <w:highlight w:val="none"/>
                <w:lang w:eastAsia="zh-CN" w:bidi="en-US"/>
              </w:rPr>
              <w:t>开标过程中，待全部投标单位解密成功唱标后投标单位如有问题，在系统默认3分钟内在线发起异议，点击右上角的【提出异议】按钮，填写异议详细内容之后进行提交，由招标人（招标代理机构）给予对应的回复，时间截止后即开标结束。</w:t>
            </w:r>
          </w:p>
          <w:p w14:paraId="6ED914B1">
            <w:pPr>
              <w:keepNext w:val="0"/>
              <w:keepLines w:val="0"/>
              <w:pageBreakBefore w:val="0"/>
              <w:widowControl/>
              <w:numPr>
                <w:ilvl w:val="0"/>
                <w:numId w:val="0"/>
              </w:numPr>
              <w:kinsoku/>
              <w:wordWrap/>
              <w:overflowPunct/>
              <w:topLinePunct w:val="0"/>
              <w:bidi w:val="0"/>
              <w:adjustRightInd/>
              <w:snapToGrid/>
              <w:spacing w:line="360" w:lineRule="auto"/>
              <w:ind w:left="0" w:leftChars="0" w:firstLine="0" w:firstLineChars="0"/>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lang w:val="en-US" w:eastAsia="zh-CN" w:bidi="en-US"/>
              </w:rPr>
              <w:t>（</w:t>
            </w:r>
            <w:r>
              <w:rPr>
                <w:rFonts w:hint="eastAsia" w:ascii="宋体" w:hAnsi="宋体" w:cs="宋体"/>
                <w:b w:val="0"/>
                <w:bCs w:val="0"/>
                <w:color w:val="auto"/>
                <w:kern w:val="0"/>
                <w:sz w:val="24"/>
                <w:szCs w:val="24"/>
                <w:lang w:val="en-US" w:eastAsia="zh-CN" w:bidi="en-US"/>
              </w:rPr>
              <w:t>4</w:t>
            </w:r>
            <w:r>
              <w:rPr>
                <w:rFonts w:hint="eastAsia" w:ascii="宋体" w:hAnsi="宋体" w:eastAsia="宋体" w:cs="宋体"/>
                <w:b w:val="0"/>
                <w:bCs w:val="0"/>
                <w:color w:val="auto"/>
                <w:kern w:val="0"/>
                <w:sz w:val="24"/>
                <w:szCs w:val="24"/>
                <w:lang w:val="en-US" w:eastAsia="zh-CN" w:bidi="en-US"/>
              </w:rPr>
              <w:t>）</w:t>
            </w:r>
            <w:r>
              <w:rPr>
                <w:rFonts w:hint="eastAsia" w:ascii="宋体" w:hAnsi="宋体" w:eastAsia="宋体" w:cs="宋体"/>
                <w:b w:val="0"/>
                <w:bCs w:val="0"/>
                <w:color w:val="auto"/>
                <w:kern w:val="0"/>
                <w:sz w:val="24"/>
                <w:szCs w:val="24"/>
                <w:highlight w:val="none"/>
                <w:lang w:bidi="en-US"/>
              </w:rPr>
              <w:t xml:space="preserve">投标人应充分考虑所在地网络条件、供电状况和其他突发情况的影响。投标人无法正常登录系统或无法正常解密的，应及时联系筑龙客服说明问题并请求远程协助，同时联系招标代理机构说明情况，解密不成功的投标文件无效。因网络、设备 </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包括CA数字证书</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或供电异常、操作不当或其他突发情况等影响，导致投标人无法正常登录系统、无法正常解密的，责任自负。</w:t>
            </w:r>
          </w:p>
        </w:tc>
      </w:tr>
      <w:tr w14:paraId="2FABA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E3EB9B4">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6.1.1</w:t>
            </w:r>
          </w:p>
        </w:tc>
        <w:tc>
          <w:tcPr>
            <w:tcW w:w="1535" w:type="dxa"/>
            <w:tcMar>
              <w:top w:w="28" w:type="dxa"/>
              <w:left w:w="28" w:type="dxa"/>
              <w:bottom w:w="28" w:type="dxa"/>
              <w:right w:w="28" w:type="dxa"/>
            </w:tcMar>
            <w:vAlign w:val="center"/>
          </w:tcPr>
          <w:p w14:paraId="72E26A7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评标委员会的</w:t>
            </w:r>
          </w:p>
          <w:p w14:paraId="63CB7BC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组建</w:t>
            </w:r>
          </w:p>
        </w:tc>
        <w:tc>
          <w:tcPr>
            <w:tcW w:w="6621" w:type="dxa"/>
            <w:tcMar>
              <w:top w:w="28" w:type="dxa"/>
              <w:left w:w="28" w:type="dxa"/>
              <w:bottom w:w="28" w:type="dxa"/>
              <w:right w:w="28" w:type="dxa"/>
            </w:tcMar>
            <w:vAlign w:val="center"/>
          </w:tcPr>
          <w:p w14:paraId="0372ED74">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评标委员会由招标人的代表和有关技术、经济等方面的专家组成，成员人数为五人以上单数，其中技术、经济等方面的专家不得少于成员总数的三分之二。</w:t>
            </w:r>
          </w:p>
          <w:p w14:paraId="7E097CED">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评标专家确定方式:云南省综合评标专家库中随机抽取。</w:t>
            </w:r>
          </w:p>
        </w:tc>
      </w:tr>
      <w:tr w14:paraId="7FA21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6EEF52AD">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6.2</w:t>
            </w:r>
          </w:p>
        </w:tc>
        <w:tc>
          <w:tcPr>
            <w:tcW w:w="1535" w:type="dxa"/>
            <w:tcMar>
              <w:top w:w="28" w:type="dxa"/>
              <w:left w:w="28" w:type="dxa"/>
              <w:bottom w:w="28" w:type="dxa"/>
              <w:right w:w="28" w:type="dxa"/>
            </w:tcMar>
            <w:vAlign w:val="center"/>
          </w:tcPr>
          <w:p w14:paraId="06EEE9B9">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评标办法</w:t>
            </w:r>
          </w:p>
        </w:tc>
        <w:tc>
          <w:tcPr>
            <w:tcW w:w="6621" w:type="dxa"/>
            <w:tcMar>
              <w:top w:w="28" w:type="dxa"/>
              <w:left w:w="28" w:type="dxa"/>
              <w:bottom w:w="28" w:type="dxa"/>
              <w:right w:w="28" w:type="dxa"/>
            </w:tcMar>
            <w:vAlign w:val="center"/>
          </w:tcPr>
          <w:p w14:paraId="10181F76">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AUTOTEXT  input157 \* MERGEFORMAT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kern w:val="0"/>
                <w:sz w:val="24"/>
                <w:szCs w:val="24"/>
                <w:highlight w:val="none"/>
                <w:lang w:bidi="en-US"/>
              </w:rPr>
              <w:t>综合评估法</w:t>
            </w:r>
            <w:r>
              <w:rPr>
                <w:rFonts w:hint="eastAsia" w:ascii="宋体" w:hAnsi="宋体" w:eastAsia="宋体" w:cs="宋体"/>
                <w:b w:val="0"/>
                <w:bCs w:val="0"/>
                <w:color w:val="auto"/>
                <w:kern w:val="0"/>
                <w:sz w:val="24"/>
                <w:szCs w:val="24"/>
                <w:highlight w:val="none"/>
                <w:lang w:bidi="en-US"/>
              </w:rPr>
              <w:fldChar w:fldCharType="end"/>
            </w:r>
          </w:p>
        </w:tc>
      </w:tr>
      <w:tr w14:paraId="1612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394EC044">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6.3</w:t>
            </w:r>
          </w:p>
        </w:tc>
        <w:tc>
          <w:tcPr>
            <w:tcW w:w="1535" w:type="dxa"/>
            <w:tcMar>
              <w:top w:w="28" w:type="dxa"/>
              <w:left w:w="28" w:type="dxa"/>
              <w:bottom w:w="28" w:type="dxa"/>
              <w:right w:w="28" w:type="dxa"/>
            </w:tcMar>
            <w:vAlign w:val="center"/>
          </w:tcPr>
          <w:p w14:paraId="1DB1831F">
            <w:pPr>
              <w:wordWrap w:val="0"/>
              <w:spacing w:after="0" w:line="240" w:lineRule="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sz w:val="24"/>
                <w:szCs w:val="24"/>
                <w:highlight w:val="none"/>
              </w:rPr>
              <w:t>暗标形式评审</w:t>
            </w:r>
          </w:p>
        </w:tc>
        <w:tc>
          <w:tcPr>
            <w:tcW w:w="6621" w:type="dxa"/>
            <w:tcMar>
              <w:top w:w="28" w:type="dxa"/>
              <w:left w:w="28" w:type="dxa"/>
              <w:bottom w:w="28" w:type="dxa"/>
              <w:right w:w="28" w:type="dxa"/>
            </w:tcMar>
            <w:vAlign w:val="center"/>
          </w:tcPr>
          <w:p w14:paraId="14755344">
            <w:pPr>
              <w:pStyle w:val="63"/>
              <w:wordWrap w:val="0"/>
              <w:spacing w:before="0" w:after="0" w:line="360" w:lineRule="exact"/>
              <w:jc w:val="both"/>
              <w:rPr>
                <w:rFonts w:hint="eastAsia" w:ascii="宋体" w:hAnsi="宋体" w:eastAsia="宋体" w:cs="宋体"/>
                <w:b w:val="0"/>
                <w:bCs w:val="0"/>
                <w:color w:val="auto"/>
                <w:sz w:val="24"/>
                <w:szCs w:val="24"/>
                <w:highlight w:val="none"/>
              </w:rPr>
            </w:pPr>
            <w:r>
              <w:rPr>
                <w:rFonts w:ascii="Wingdings" w:hAnsi="Wingdings" w:eastAsia="宋体" w:cs="宋体"/>
                <w:b w:val="0"/>
                <w:bCs w:val="0"/>
                <w:sz w:val="24"/>
                <w:szCs w:val="24"/>
                <w:highlight w:val="none"/>
              </w:rPr>
              <w:sym w:font="Wingdings" w:char="00FE"/>
            </w:r>
            <w:r>
              <w:rPr>
                <w:rFonts w:hint="eastAsia" w:ascii="宋体" w:hAnsi="宋体" w:eastAsia="宋体" w:cs="宋体"/>
                <w:b w:val="0"/>
                <w:bCs w:val="0"/>
                <w:sz w:val="24"/>
                <w:szCs w:val="24"/>
                <w:highlight w:val="none"/>
              </w:rPr>
              <w:t>不采用。</w:t>
            </w:r>
          </w:p>
        </w:tc>
      </w:tr>
      <w:tr w14:paraId="04E2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5C39B01A">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7.1</w:t>
            </w:r>
          </w:p>
        </w:tc>
        <w:tc>
          <w:tcPr>
            <w:tcW w:w="1535" w:type="dxa"/>
            <w:tcMar>
              <w:top w:w="28" w:type="dxa"/>
              <w:left w:w="28" w:type="dxa"/>
              <w:bottom w:w="28" w:type="dxa"/>
              <w:right w:w="28" w:type="dxa"/>
            </w:tcMar>
            <w:vAlign w:val="center"/>
          </w:tcPr>
          <w:p w14:paraId="1E207EDE">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是否授权评标委员会确定中标人</w:t>
            </w:r>
          </w:p>
        </w:tc>
        <w:tc>
          <w:tcPr>
            <w:tcW w:w="6621" w:type="dxa"/>
            <w:tcMar>
              <w:top w:w="28" w:type="dxa"/>
              <w:left w:w="28" w:type="dxa"/>
              <w:bottom w:w="28" w:type="dxa"/>
              <w:right w:w="28" w:type="dxa"/>
            </w:tcMar>
            <w:vAlign w:val="center"/>
          </w:tcPr>
          <w:p w14:paraId="635FB19F">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否，推荐中标</w:t>
            </w:r>
            <w:r>
              <w:rPr>
                <w:rFonts w:hint="eastAsia" w:ascii="宋体" w:hAnsi="宋体" w:cs="宋体"/>
                <w:b w:val="0"/>
                <w:bCs w:val="0"/>
                <w:color w:val="auto"/>
                <w:kern w:val="0"/>
                <w:sz w:val="24"/>
                <w:szCs w:val="24"/>
                <w:highlight w:val="none"/>
                <w:lang w:eastAsia="zh-CN" w:bidi="en-US"/>
              </w:rPr>
              <w:t>候选人数</w:t>
            </w:r>
            <w:r>
              <w:rPr>
                <w:rFonts w:hint="eastAsia" w:ascii="宋体" w:hAnsi="宋体" w:eastAsia="宋体" w:cs="宋体"/>
                <w:b w:val="0"/>
                <w:bCs w:val="0"/>
                <w:color w:val="auto"/>
                <w:kern w:val="0"/>
                <w:sz w:val="24"/>
                <w:szCs w:val="24"/>
                <w:highlight w:val="none"/>
                <w:lang w:bidi="en-US"/>
              </w:rPr>
              <w:t>：</w:t>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AUTOTEXT  input160 \* MERGEFORMAT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kern w:val="0"/>
                <w:sz w:val="24"/>
                <w:szCs w:val="24"/>
                <w:highlight w:val="none"/>
                <w:lang w:bidi="en-US"/>
              </w:rPr>
              <w:t>3</w:t>
            </w:r>
            <w:r>
              <w:rPr>
                <w:rFonts w:hint="eastAsia" w:ascii="宋体" w:hAnsi="宋体" w:eastAsia="宋体" w:cs="宋体"/>
                <w:b w:val="0"/>
                <w:bCs w:val="0"/>
                <w:color w:val="auto"/>
                <w:kern w:val="0"/>
                <w:sz w:val="24"/>
                <w:szCs w:val="24"/>
                <w:highlight w:val="none"/>
                <w:lang w:bidi="en-US"/>
              </w:rPr>
              <w:fldChar w:fldCharType="end"/>
            </w:r>
            <w:r>
              <w:rPr>
                <w:rFonts w:hint="eastAsia" w:ascii="宋体" w:hAnsi="宋体" w:eastAsia="宋体" w:cs="宋体"/>
                <w:b w:val="0"/>
                <w:bCs w:val="0"/>
                <w:color w:val="auto"/>
                <w:kern w:val="0"/>
                <w:sz w:val="24"/>
                <w:szCs w:val="24"/>
                <w:highlight w:val="none"/>
                <w:lang w:val="en-US" w:eastAsia="zh-CN" w:bidi="en-US"/>
              </w:rPr>
              <w:t>名</w:t>
            </w:r>
            <w:r>
              <w:rPr>
                <w:rFonts w:hint="eastAsia" w:ascii="宋体" w:hAnsi="宋体" w:eastAsia="宋体" w:cs="宋体"/>
                <w:b w:val="0"/>
                <w:bCs w:val="0"/>
                <w:color w:val="auto"/>
                <w:kern w:val="0"/>
                <w:sz w:val="24"/>
                <w:szCs w:val="24"/>
                <w:highlight w:val="none"/>
                <w:lang w:bidi="en-US"/>
              </w:rPr>
              <w:t>。</w:t>
            </w:r>
          </w:p>
        </w:tc>
      </w:tr>
      <w:tr w14:paraId="1B39B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3500AFB1">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rPr>
              <w:t>7.3.1</w:t>
            </w:r>
          </w:p>
        </w:tc>
        <w:tc>
          <w:tcPr>
            <w:tcW w:w="1535" w:type="dxa"/>
            <w:tcMar>
              <w:top w:w="28" w:type="dxa"/>
              <w:left w:w="28" w:type="dxa"/>
              <w:bottom w:w="28" w:type="dxa"/>
              <w:right w:w="28" w:type="dxa"/>
            </w:tcMar>
            <w:vAlign w:val="center"/>
          </w:tcPr>
          <w:p w14:paraId="07698C5D">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履约担保</w:t>
            </w:r>
          </w:p>
        </w:tc>
        <w:tc>
          <w:tcPr>
            <w:tcW w:w="6621" w:type="dxa"/>
            <w:tcMar>
              <w:top w:w="28" w:type="dxa"/>
              <w:left w:w="28" w:type="dxa"/>
              <w:bottom w:w="28" w:type="dxa"/>
              <w:right w:w="28" w:type="dxa"/>
            </w:tcMar>
            <w:vAlign w:val="center"/>
          </w:tcPr>
          <w:p w14:paraId="03CF00BC">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（1）履约保证金</w:t>
            </w:r>
            <w:r>
              <w:rPr>
                <w:rFonts w:hint="eastAsia" w:ascii="宋体" w:hAnsi="宋体" w:eastAsia="宋体" w:cs="宋体"/>
                <w:b w:val="0"/>
                <w:bCs w:val="0"/>
                <w:color w:val="auto"/>
                <w:sz w:val="24"/>
                <w:szCs w:val="24"/>
                <w:highlight w:val="none"/>
                <w:lang w:eastAsia="zh-CN"/>
              </w:rPr>
              <w:t>金额：</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rPr>
              <w:t>价</w:t>
            </w:r>
            <w:r>
              <w:rPr>
                <w:rFonts w:hint="eastAsia" w:ascii="宋体" w:hAnsi="宋体" w:eastAsia="宋体" w:cs="宋体"/>
                <w:b w:val="0"/>
                <w:bCs w:val="0"/>
                <w:color w:val="auto"/>
                <w:sz w:val="24"/>
                <w:szCs w:val="24"/>
                <w:highlight w:val="none"/>
                <w:lang w:eastAsia="zh-CN"/>
              </w:rPr>
              <w:t>的</w:t>
            </w:r>
            <w:r>
              <w:rPr>
                <w:rFonts w:hint="eastAsia" w:ascii="宋体" w:hAnsi="宋体" w:eastAsia="宋体" w:cs="宋体"/>
                <w:b w:val="0"/>
                <w:bCs w:val="0"/>
                <w:color w:val="auto"/>
                <w:sz w:val="24"/>
                <w:szCs w:val="24"/>
                <w:highlight w:val="none"/>
              </w:rPr>
              <w:t>5%。</w:t>
            </w:r>
          </w:p>
          <w:p w14:paraId="2E342AA0">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（2）履约保证金的提交方式：银行转账或银行保函或保证保险等。</w:t>
            </w:r>
          </w:p>
          <w:p w14:paraId="40682285">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rPr>
              <w:t>（3）提交时间：收到中标通知书后，签订合同协议书之前。</w:t>
            </w:r>
          </w:p>
        </w:tc>
      </w:tr>
      <w:tr w14:paraId="259D9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0F60C66">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8.1</w:t>
            </w:r>
          </w:p>
        </w:tc>
        <w:tc>
          <w:tcPr>
            <w:tcW w:w="1535" w:type="dxa"/>
            <w:tcMar>
              <w:top w:w="28" w:type="dxa"/>
              <w:left w:w="28" w:type="dxa"/>
              <w:bottom w:w="28" w:type="dxa"/>
              <w:right w:w="28" w:type="dxa"/>
            </w:tcMar>
            <w:vAlign w:val="center"/>
          </w:tcPr>
          <w:p w14:paraId="4CAC0376">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监督部门</w:t>
            </w:r>
          </w:p>
        </w:tc>
        <w:tc>
          <w:tcPr>
            <w:tcW w:w="6621" w:type="dxa"/>
            <w:tcMar>
              <w:top w:w="28" w:type="dxa"/>
              <w:left w:w="28" w:type="dxa"/>
              <w:bottom w:w="28" w:type="dxa"/>
              <w:right w:w="28" w:type="dxa"/>
            </w:tcMar>
            <w:vAlign w:val="center"/>
          </w:tcPr>
          <w:p w14:paraId="22A68054">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行政监督部门：</w:t>
            </w:r>
            <w:r>
              <w:rPr>
                <w:rFonts w:hint="eastAsia" w:ascii="宋体" w:hAnsi="宋体" w:cs="宋体"/>
                <w:b w:val="0"/>
                <w:bCs w:val="0"/>
                <w:color w:val="auto"/>
                <w:sz w:val="24"/>
                <w:szCs w:val="24"/>
                <w:highlight w:val="none"/>
                <w:lang w:val="en-US" w:eastAsia="zh-CN"/>
              </w:rPr>
              <w:t>元谋县农业农村局</w:t>
            </w:r>
          </w:p>
          <w:p w14:paraId="628BBA91">
            <w:pPr>
              <w:keepNext w:val="0"/>
              <w:keepLines w:val="0"/>
              <w:pageBreakBefore w:val="0"/>
              <w:kinsoku/>
              <w:wordWrap/>
              <w:overflowPunct/>
              <w:topLinePunct w:val="0"/>
              <w:bidi w:val="0"/>
              <w:adjustRightInd/>
              <w:snapToGrid/>
              <w:spacing w:line="360" w:lineRule="auto"/>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电话：0878-8211779</w:t>
            </w:r>
          </w:p>
        </w:tc>
      </w:tr>
      <w:tr w14:paraId="7C5AB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71" w:type="dxa"/>
            <w:gridSpan w:val="3"/>
            <w:tcMar>
              <w:top w:w="28" w:type="dxa"/>
              <w:left w:w="28" w:type="dxa"/>
              <w:bottom w:w="28" w:type="dxa"/>
              <w:right w:w="28" w:type="dxa"/>
            </w:tcMar>
            <w:vAlign w:val="center"/>
          </w:tcPr>
          <w:p w14:paraId="5D3FCCA3">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10.1  需要补充的其他内容</w:t>
            </w:r>
          </w:p>
        </w:tc>
      </w:tr>
      <w:tr w14:paraId="4B2B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47068550">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10.1.1</w:t>
            </w:r>
          </w:p>
        </w:tc>
        <w:tc>
          <w:tcPr>
            <w:tcW w:w="1535" w:type="dxa"/>
            <w:tcMar>
              <w:top w:w="28" w:type="dxa"/>
              <w:left w:w="28" w:type="dxa"/>
              <w:bottom w:w="28" w:type="dxa"/>
              <w:right w:w="28" w:type="dxa"/>
            </w:tcMar>
            <w:vAlign w:val="center"/>
          </w:tcPr>
          <w:p w14:paraId="65A5E3BF">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sz w:val="24"/>
                <w:szCs w:val="24"/>
              </w:rPr>
              <w:t>中标候选人公示媒介及期限</w:t>
            </w:r>
          </w:p>
        </w:tc>
        <w:tc>
          <w:tcPr>
            <w:tcW w:w="6621" w:type="dxa"/>
            <w:tcMar>
              <w:top w:w="28" w:type="dxa"/>
              <w:left w:w="28" w:type="dxa"/>
              <w:bottom w:w="28" w:type="dxa"/>
              <w:right w:w="28" w:type="dxa"/>
            </w:tcMar>
            <w:vAlign w:val="center"/>
          </w:tcPr>
          <w:p w14:paraId="3F51D743">
            <w:pPr>
              <w:spacing w:line="360" w:lineRule="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公示媒介:招标公告发布的同一媒介;</w:t>
            </w:r>
          </w:p>
          <w:p w14:paraId="7B5E3893">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lang w:val="en-US" w:eastAsia="zh-CN"/>
              </w:rPr>
              <w:t>公示期限:不少于3日。</w:t>
            </w:r>
          </w:p>
        </w:tc>
      </w:tr>
      <w:tr w14:paraId="6E83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6925496">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10.1.2</w:t>
            </w:r>
          </w:p>
        </w:tc>
        <w:tc>
          <w:tcPr>
            <w:tcW w:w="1535" w:type="dxa"/>
            <w:tcMar>
              <w:top w:w="28" w:type="dxa"/>
              <w:left w:w="28" w:type="dxa"/>
              <w:bottom w:w="28" w:type="dxa"/>
              <w:right w:w="28" w:type="dxa"/>
            </w:tcMar>
            <w:vAlign w:val="center"/>
          </w:tcPr>
          <w:p w14:paraId="3E9FC573">
            <w:pPr>
              <w:keepNext w:val="0"/>
              <w:keepLines w:val="0"/>
              <w:pageBreakBefore w:val="0"/>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sz w:val="24"/>
                <w:szCs w:val="24"/>
                <w:highlight w:val="none"/>
                <w:lang w:eastAsia="zh-CN"/>
              </w:rPr>
              <w:t>农民工工资保证金</w:t>
            </w:r>
          </w:p>
        </w:tc>
        <w:tc>
          <w:tcPr>
            <w:tcW w:w="6621" w:type="dxa"/>
            <w:tcMar>
              <w:top w:w="28" w:type="dxa"/>
              <w:left w:w="28" w:type="dxa"/>
              <w:bottom w:w="28" w:type="dxa"/>
              <w:right w:w="28" w:type="dxa"/>
            </w:tcMar>
            <w:vAlign w:val="center"/>
          </w:tcPr>
          <w:p w14:paraId="172CCBB8">
            <w:pPr>
              <w:keepNext w:val="0"/>
              <w:keepLines w:val="0"/>
              <w:pageBreakBefore w:val="0"/>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cs="宋体"/>
                <w:b w:val="0"/>
                <w:bCs w:val="0"/>
                <w:color w:val="auto"/>
                <w:sz w:val="24"/>
                <w:szCs w:val="24"/>
                <w:highlight w:val="none"/>
                <w:lang w:val="en-US" w:eastAsia="zh-CN"/>
              </w:rPr>
              <w:t>按相关部门文件规定执行</w:t>
            </w:r>
            <w:r>
              <w:rPr>
                <w:rFonts w:hint="eastAsia" w:ascii="宋体" w:hAnsi="宋体" w:eastAsia="宋体" w:cs="宋体"/>
                <w:b w:val="0"/>
                <w:bCs w:val="0"/>
                <w:color w:val="auto"/>
                <w:sz w:val="24"/>
                <w:szCs w:val="24"/>
                <w:highlight w:val="none"/>
              </w:rPr>
              <w:t>。</w:t>
            </w:r>
          </w:p>
        </w:tc>
      </w:tr>
      <w:tr w14:paraId="304B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shd w:val="clear" w:color="auto" w:fill="auto"/>
            <w:tcMar>
              <w:top w:w="28" w:type="dxa"/>
              <w:left w:w="28" w:type="dxa"/>
              <w:bottom w:w="28" w:type="dxa"/>
              <w:right w:w="28" w:type="dxa"/>
            </w:tcMar>
            <w:vAlign w:val="center"/>
          </w:tcPr>
          <w:p w14:paraId="5BD0B0F4">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bidi="en-US"/>
              </w:rPr>
              <w:t>10.1.</w:t>
            </w:r>
            <w:r>
              <w:rPr>
                <w:rFonts w:hint="eastAsia" w:ascii="宋体" w:hAnsi="宋体" w:eastAsia="宋体" w:cs="宋体"/>
                <w:b w:val="0"/>
                <w:bCs w:val="0"/>
                <w:color w:val="auto"/>
                <w:kern w:val="0"/>
                <w:sz w:val="24"/>
                <w:szCs w:val="24"/>
                <w:highlight w:val="none"/>
                <w:lang w:val="en-US" w:eastAsia="zh-CN" w:bidi="en-US"/>
              </w:rPr>
              <w:t>3</w:t>
            </w:r>
          </w:p>
        </w:tc>
        <w:tc>
          <w:tcPr>
            <w:tcW w:w="1535" w:type="dxa"/>
            <w:shd w:val="clear" w:color="auto" w:fill="auto"/>
            <w:tcMar>
              <w:top w:w="28" w:type="dxa"/>
              <w:left w:w="28" w:type="dxa"/>
              <w:bottom w:w="28" w:type="dxa"/>
              <w:right w:w="28" w:type="dxa"/>
            </w:tcMar>
            <w:vAlign w:val="center"/>
          </w:tcPr>
          <w:p w14:paraId="7192DB46">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bidi="en-US"/>
              </w:rPr>
              <w:t>知识产权</w:t>
            </w:r>
          </w:p>
        </w:tc>
        <w:tc>
          <w:tcPr>
            <w:tcW w:w="6621" w:type="dxa"/>
            <w:shd w:val="clear" w:color="auto" w:fill="auto"/>
            <w:tcMar>
              <w:top w:w="28" w:type="dxa"/>
              <w:left w:w="28" w:type="dxa"/>
              <w:bottom w:w="28" w:type="dxa"/>
              <w:right w:w="28" w:type="dxa"/>
            </w:tcMar>
            <w:vAlign w:val="center"/>
          </w:tcPr>
          <w:p w14:paraId="0B9E0C22">
            <w:pPr>
              <w:keepNext w:val="0"/>
              <w:keepLines w:val="0"/>
              <w:pageBreakBefore w:val="0"/>
              <w:widowControl/>
              <w:numPr>
                <w:ilvl w:val="0"/>
                <w:numId w:val="2"/>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投标人保证投标文件及资料均未侵犯他人的知识产权，否则必须承担由此引起的全部法律责任和经济责任。</w:t>
            </w:r>
          </w:p>
          <w:p w14:paraId="6EF83464">
            <w:pPr>
              <w:keepNext w:val="0"/>
              <w:keepLines w:val="0"/>
              <w:pageBreakBefore w:val="0"/>
              <w:widowControl/>
              <w:numPr>
                <w:ilvl w:val="0"/>
                <w:numId w:val="2"/>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若</w:t>
            </w:r>
            <w:r>
              <w:rPr>
                <w:rFonts w:hint="eastAsia" w:ascii="宋体" w:hAnsi="宋体" w:cs="宋体"/>
                <w:b w:val="0"/>
                <w:bCs w:val="0"/>
                <w:color w:val="auto"/>
                <w:kern w:val="0"/>
                <w:sz w:val="24"/>
                <w:szCs w:val="24"/>
                <w:highlight w:val="none"/>
                <w:lang w:eastAsia="zh-CN" w:bidi="en-US"/>
              </w:rPr>
              <w:t>投标人</w:t>
            </w:r>
            <w:r>
              <w:rPr>
                <w:rFonts w:hint="eastAsia" w:ascii="宋体" w:hAnsi="宋体" w:eastAsia="宋体" w:cs="宋体"/>
                <w:b w:val="0"/>
                <w:bCs w:val="0"/>
                <w:color w:val="auto"/>
                <w:kern w:val="0"/>
                <w:sz w:val="24"/>
                <w:szCs w:val="24"/>
                <w:highlight w:val="none"/>
                <w:lang w:bidi="en-US"/>
              </w:rPr>
              <w:t>使用了他人的专利、专有技术，涉及的费用由投标人负责。</w:t>
            </w:r>
          </w:p>
          <w:p w14:paraId="1231685D">
            <w:pPr>
              <w:keepNext w:val="0"/>
              <w:keepLines w:val="0"/>
              <w:pageBreakBefore w:val="0"/>
              <w:widowControl/>
              <w:numPr>
                <w:ilvl w:val="0"/>
                <w:numId w:val="2"/>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招标人有权</w:t>
            </w:r>
            <w:r>
              <w:rPr>
                <w:rFonts w:hint="eastAsia" w:ascii="宋体" w:hAnsi="宋体" w:cs="宋体"/>
                <w:b w:val="0"/>
                <w:bCs w:val="0"/>
                <w:color w:val="auto"/>
                <w:kern w:val="0"/>
                <w:sz w:val="24"/>
                <w:szCs w:val="24"/>
                <w:highlight w:val="none"/>
                <w:lang w:val="en-US" w:eastAsia="zh-CN" w:bidi="en-US"/>
              </w:rPr>
              <w:t>无须</w:t>
            </w:r>
            <w:r>
              <w:rPr>
                <w:rFonts w:hint="eastAsia" w:ascii="宋体" w:hAnsi="宋体" w:eastAsia="宋体" w:cs="宋体"/>
                <w:b w:val="0"/>
                <w:bCs w:val="0"/>
                <w:color w:val="auto"/>
                <w:kern w:val="0"/>
                <w:sz w:val="24"/>
                <w:szCs w:val="24"/>
                <w:highlight w:val="none"/>
                <w:lang w:bidi="en-US"/>
              </w:rPr>
              <w:t>事先征求中标人的同意而披露关于中标人的名称、地址、合同条款。</w:t>
            </w:r>
          </w:p>
          <w:p w14:paraId="27B938C3">
            <w:pPr>
              <w:keepNext w:val="0"/>
              <w:keepLines w:val="0"/>
              <w:pageBreakBefore w:val="0"/>
              <w:widowControl/>
              <w:numPr>
                <w:ilvl w:val="0"/>
                <w:numId w:val="2"/>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bidi="en-US"/>
              </w:rPr>
              <w:t>构成本招标文件各个组成部分的文件，未经招标人书面同意，投标人不得擅自复印和用于非本招标项目所需的其他目的。招标人全部或部分使用未中标人投标文件中的技术成果或技术方案时，</w:t>
            </w:r>
            <w:r>
              <w:rPr>
                <w:rFonts w:hint="eastAsia" w:ascii="宋体" w:hAnsi="宋体" w:cs="宋体"/>
                <w:b w:val="0"/>
                <w:bCs w:val="0"/>
                <w:color w:val="auto"/>
                <w:kern w:val="0"/>
                <w:sz w:val="24"/>
                <w:szCs w:val="24"/>
                <w:highlight w:val="none"/>
                <w:lang w:val="en-US" w:eastAsia="zh-CN" w:bidi="en-US"/>
              </w:rPr>
              <w:t>须</w:t>
            </w:r>
            <w:r>
              <w:rPr>
                <w:rFonts w:hint="eastAsia" w:ascii="宋体" w:hAnsi="宋体" w:eastAsia="宋体" w:cs="宋体"/>
                <w:b w:val="0"/>
                <w:bCs w:val="0"/>
                <w:color w:val="auto"/>
                <w:kern w:val="0"/>
                <w:sz w:val="24"/>
                <w:szCs w:val="24"/>
                <w:highlight w:val="none"/>
                <w:lang w:bidi="en-US"/>
              </w:rPr>
              <w:t>征得其书面同意，并不得擅自复印或提供给第三人。</w:t>
            </w:r>
          </w:p>
        </w:tc>
      </w:tr>
      <w:tr w14:paraId="2B06B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02F59672">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10.1.4</w:t>
            </w:r>
          </w:p>
        </w:tc>
        <w:tc>
          <w:tcPr>
            <w:tcW w:w="1535" w:type="dxa"/>
            <w:tcMar>
              <w:top w:w="28" w:type="dxa"/>
              <w:left w:w="28" w:type="dxa"/>
              <w:bottom w:w="28" w:type="dxa"/>
              <w:right w:w="28" w:type="dxa"/>
            </w:tcMar>
            <w:vAlign w:val="center"/>
          </w:tcPr>
          <w:p w14:paraId="46F17164">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招标文件解释</w:t>
            </w:r>
          </w:p>
        </w:tc>
        <w:tc>
          <w:tcPr>
            <w:tcW w:w="6621" w:type="dxa"/>
            <w:tcMar>
              <w:top w:w="28" w:type="dxa"/>
              <w:left w:w="28" w:type="dxa"/>
              <w:bottom w:w="28" w:type="dxa"/>
              <w:right w:w="28" w:type="dxa"/>
            </w:tcMar>
            <w:vAlign w:val="center"/>
          </w:tcPr>
          <w:p w14:paraId="198963E9">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（1）</w:t>
            </w:r>
            <w:r>
              <w:rPr>
                <w:rFonts w:hint="eastAsia" w:ascii="宋体" w:hAnsi="宋体" w:eastAsia="宋体" w:cs="宋体"/>
                <w:b w:val="0"/>
                <w:bCs w:val="0"/>
                <w:color w:val="auto"/>
                <w:kern w:val="0"/>
                <w:sz w:val="24"/>
                <w:szCs w:val="24"/>
                <w:highlight w:val="none"/>
                <w:lang w:bidi="en-US"/>
              </w:rPr>
              <w:t>构成本招标文件的各个组成文件应互为解释，互为说明；如有不明确或不一致，构成合同文件组成内容的，以合同文件约定内容为准，且以专用合同条款约定的合同文件优先顺序解释；投标人不得修改投标文件中招标人约定内容等实质要求，但投标人对投标文件格式中相关表格进行自行延展的内容以及自行增加的承诺等补充说明类的内容不属于修改投标文件格式；同一组成文件中就同一事项的规定或约定不一致的，以编排顺序在后者为准；同一组成文件不同版本之间有不一致的，以形成时间在后者为准；按本款前述规定仍不能形成结论的，按照</w:t>
            </w:r>
            <w:r>
              <w:rPr>
                <w:rFonts w:hint="eastAsia" w:ascii="宋体" w:hAnsi="宋体" w:cs="宋体"/>
                <w:b w:val="0"/>
                <w:bCs w:val="0"/>
                <w:color w:val="auto"/>
                <w:kern w:val="0"/>
                <w:sz w:val="24"/>
                <w:szCs w:val="24"/>
                <w:highlight w:val="none"/>
                <w:lang w:eastAsia="zh-CN" w:bidi="en-US"/>
              </w:rPr>
              <w:t>有利于</w:t>
            </w:r>
            <w:r>
              <w:rPr>
                <w:rFonts w:hint="eastAsia" w:ascii="宋体" w:hAnsi="宋体" w:eastAsia="宋体" w:cs="宋体"/>
                <w:b w:val="0"/>
                <w:bCs w:val="0"/>
                <w:color w:val="auto"/>
                <w:kern w:val="0"/>
                <w:sz w:val="24"/>
                <w:szCs w:val="24"/>
                <w:highlight w:val="none"/>
                <w:lang w:bidi="en-US"/>
              </w:rPr>
              <w:t>所有投标人进行解释。本招标文件解释权由招标人（招标代理机构）进行解释。</w:t>
            </w:r>
          </w:p>
          <w:p w14:paraId="4139EEBB">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（2）</w:t>
            </w:r>
            <w:r>
              <w:rPr>
                <w:rFonts w:hint="eastAsia" w:ascii="宋体" w:hAnsi="宋体" w:eastAsia="宋体" w:cs="宋体"/>
                <w:b w:val="0"/>
                <w:bCs w:val="0"/>
                <w:color w:val="auto"/>
                <w:kern w:val="0"/>
                <w:sz w:val="24"/>
                <w:szCs w:val="24"/>
                <w:highlight w:val="none"/>
                <w:lang w:bidi="en-US"/>
              </w:rPr>
              <w:t>投标文件中要求提供身份证正面和背面的，投标人需分别将“正面”和</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背面</w:t>
            </w:r>
            <w:r>
              <w:rPr>
                <w:rFonts w:hint="eastAsia" w:ascii="宋体" w:hAnsi="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提供即可</w:t>
            </w:r>
            <w:r>
              <w:rPr>
                <w:rFonts w:hint="eastAsia" w:ascii="宋体" w:hAnsi="宋体" w:eastAsia="宋体" w:cs="宋体"/>
                <w:b w:val="0"/>
                <w:bCs w:val="0"/>
                <w:color w:val="auto"/>
                <w:kern w:val="0"/>
                <w:sz w:val="24"/>
                <w:szCs w:val="24"/>
                <w:highlight w:val="none"/>
                <w:lang w:eastAsia="zh-CN" w:bidi="en-US"/>
              </w:rPr>
              <w:t>。</w:t>
            </w:r>
          </w:p>
          <w:p w14:paraId="6D581218">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（3）</w:t>
            </w:r>
            <w:r>
              <w:rPr>
                <w:rFonts w:hint="eastAsia" w:ascii="宋体" w:hAnsi="宋体" w:eastAsia="宋体" w:cs="宋体"/>
                <w:b w:val="0"/>
                <w:bCs w:val="0"/>
                <w:color w:val="auto"/>
                <w:kern w:val="0"/>
                <w:sz w:val="24"/>
                <w:szCs w:val="24"/>
                <w:highlight w:val="none"/>
                <w:lang w:bidi="en-US"/>
              </w:rPr>
              <w:t>本招标文件中“等”字的理解：招标文件中要求投标人提供相关证明材料要求的，“等”前所列举的内容作为评审项，“等”后所省略的内容为自选项不作为评审项内容</w:t>
            </w:r>
            <w:r>
              <w:rPr>
                <w:rFonts w:hint="eastAsia" w:ascii="宋体" w:hAnsi="宋体" w:eastAsia="宋体" w:cs="宋体"/>
                <w:b w:val="0"/>
                <w:bCs w:val="0"/>
                <w:color w:val="auto"/>
                <w:kern w:val="0"/>
                <w:sz w:val="24"/>
                <w:szCs w:val="24"/>
                <w:highlight w:val="none"/>
                <w:lang w:eastAsia="zh-CN" w:bidi="en-US"/>
              </w:rPr>
              <w:t>。</w:t>
            </w:r>
          </w:p>
          <w:p w14:paraId="0E36B76E">
            <w:pPr>
              <w:pStyle w:val="10"/>
              <w:ind w:left="0" w:leftChars="0" w:firstLine="0" w:firstLineChars="0"/>
              <w:rPr>
                <w:rFonts w:hint="eastAsia"/>
                <w:highlight w:val="none"/>
              </w:rPr>
            </w:pPr>
            <w:r>
              <w:rPr>
                <w:rFonts w:hint="eastAsia" w:cs="宋体"/>
                <w:b w:val="0"/>
                <w:bCs w:val="0"/>
                <w:color w:val="auto"/>
                <w:kern w:val="0"/>
                <w:sz w:val="24"/>
                <w:szCs w:val="24"/>
                <w:highlight w:val="none"/>
                <w:lang w:eastAsia="zh-CN" w:bidi="en-US"/>
              </w:rPr>
              <w:t>（</w:t>
            </w:r>
            <w:r>
              <w:rPr>
                <w:rFonts w:hint="eastAsia" w:cs="宋体"/>
                <w:b w:val="0"/>
                <w:bCs w:val="0"/>
                <w:color w:val="auto"/>
                <w:kern w:val="0"/>
                <w:sz w:val="24"/>
                <w:szCs w:val="24"/>
                <w:highlight w:val="none"/>
                <w:lang w:val="en-US" w:eastAsia="zh-CN" w:bidi="en-US"/>
              </w:rPr>
              <w:t>4</w:t>
            </w:r>
            <w:r>
              <w:rPr>
                <w:rFonts w:hint="eastAsia" w:cs="宋体"/>
                <w:b w:val="0"/>
                <w:bCs w:val="0"/>
                <w:color w:val="auto"/>
                <w:kern w:val="0"/>
                <w:sz w:val="24"/>
                <w:szCs w:val="24"/>
                <w:highlight w:val="none"/>
                <w:lang w:eastAsia="zh-CN" w:bidi="en-US"/>
              </w:rPr>
              <w:t>）本项目投标文件编制过程中：若发现招标工程量清单描述与施工图纸不一致，在工程招标投标阶段以招标工程量清单描述为准，施工阶段以施工图纸优先于工程量清单。</w:t>
            </w:r>
          </w:p>
          <w:p w14:paraId="17E9466F">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w:t>
            </w:r>
            <w:r>
              <w:rPr>
                <w:rFonts w:hint="eastAsia" w:ascii="宋体" w:hAnsi="宋体" w:cs="宋体"/>
                <w:b w:val="0"/>
                <w:bCs w:val="0"/>
                <w:color w:val="auto"/>
                <w:kern w:val="0"/>
                <w:sz w:val="24"/>
                <w:szCs w:val="24"/>
                <w:highlight w:val="none"/>
                <w:lang w:val="en-US" w:eastAsia="zh-CN" w:bidi="en-US"/>
              </w:rPr>
              <w:t>5</w:t>
            </w:r>
            <w:r>
              <w:rPr>
                <w:rFonts w:hint="eastAsia" w:ascii="宋体" w:hAnsi="宋体" w:eastAsia="宋体" w:cs="宋体"/>
                <w:b w:val="0"/>
                <w:bCs w:val="0"/>
                <w:color w:val="auto"/>
                <w:kern w:val="0"/>
                <w:sz w:val="24"/>
                <w:szCs w:val="24"/>
                <w:highlight w:val="none"/>
                <w:lang w:val="en-US" w:eastAsia="zh-CN" w:bidi="en-US"/>
              </w:rPr>
              <w:t>）</w:t>
            </w:r>
            <w:r>
              <w:rPr>
                <w:rFonts w:hint="eastAsia" w:ascii="宋体" w:hAnsi="宋体" w:eastAsia="宋体" w:cs="宋体"/>
                <w:b w:val="0"/>
                <w:bCs w:val="0"/>
                <w:color w:val="auto"/>
                <w:kern w:val="0"/>
                <w:sz w:val="24"/>
                <w:szCs w:val="24"/>
                <w:highlight w:val="none"/>
                <w:lang w:bidi="en-US"/>
              </w:rPr>
              <w:t>按本款前述规定仍不能形成结论的，评标委员会对招标文件中含义不明确、对同类问题表述不一致或者有明显文字和计算错误的。评标委员会应按有利于投标人进行解释或判断</w:t>
            </w:r>
            <w:r>
              <w:rPr>
                <w:rFonts w:hint="eastAsia" w:ascii="宋体" w:hAnsi="宋体" w:eastAsia="宋体" w:cs="宋体"/>
                <w:b w:val="0"/>
                <w:bCs w:val="0"/>
                <w:color w:val="auto"/>
                <w:kern w:val="0"/>
                <w:sz w:val="24"/>
                <w:szCs w:val="24"/>
                <w:highlight w:val="none"/>
                <w:lang w:eastAsia="zh-CN" w:bidi="en-US"/>
              </w:rPr>
              <w:t>。</w:t>
            </w:r>
          </w:p>
          <w:p w14:paraId="1B96F603">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w:t>
            </w:r>
            <w:r>
              <w:rPr>
                <w:rFonts w:hint="eastAsia" w:ascii="宋体" w:hAnsi="宋体" w:cs="宋体"/>
                <w:b w:val="0"/>
                <w:bCs w:val="0"/>
                <w:color w:val="auto"/>
                <w:kern w:val="0"/>
                <w:sz w:val="24"/>
                <w:szCs w:val="24"/>
                <w:highlight w:val="none"/>
                <w:lang w:val="en-US" w:eastAsia="zh-CN" w:bidi="en-US"/>
              </w:rPr>
              <w:t>6</w:t>
            </w:r>
            <w:r>
              <w:rPr>
                <w:rFonts w:hint="eastAsia" w:ascii="宋体" w:hAnsi="宋体" w:eastAsia="宋体" w:cs="宋体"/>
                <w:b w:val="0"/>
                <w:bCs w:val="0"/>
                <w:color w:val="auto"/>
                <w:kern w:val="0"/>
                <w:sz w:val="24"/>
                <w:szCs w:val="24"/>
                <w:highlight w:val="none"/>
                <w:lang w:val="en-US" w:eastAsia="zh-CN" w:bidi="en-US"/>
              </w:rPr>
              <w:t>）</w:t>
            </w:r>
            <w:r>
              <w:rPr>
                <w:rFonts w:hint="eastAsia" w:ascii="宋体" w:hAnsi="宋体" w:eastAsia="宋体" w:cs="宋体"/>
                <w:b w:val="0"/>
                <w:bCs w:val="0"/>
                <w:color w:val="auto"/>
                <w:kern w:val="0"/>
                <w:sz w:val="24"/>
                <w:szCs w:val="24"/>
                <w:highlight w:val="none"/>
                <w:lang w:bidi="en-US"/>
              </w:rPr>
              <w:t>除了法律法规明确的规定外，评标委员会应严格按照招标文件规定的评审标准进行评标，本招标文件中未规定的其他条件不作为本项目评标和定标依据。</w:t>
            </w:r>
          </w:p>
          <w:p w14:paraId="677CED83">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（7）投标人所持有的营业执照、资质证书、安全生产许可证等相关证件具有正本及副本的，正本和副本具有同等法律效力，招标文件中没有明确要求的，投标人可根据自身实际情况提供相关证件（扫描件）即可</w:t>
            </w:r>
            <w:r>
              <w:rPr>
                <w:rFonts w:hint="eastAsia" w:ascii="宋体" w:hAnsi="宋体" w:cs="宋体"/>
                <w:b w:val="0"/>
                <w:bCs w:val="0"/>
                <w:color w:val="auto"/>
                <w:kern w:val="0"/>
                <w:sz w:val="24"/>
                <w:szCs w:val="24"/>
                <w:highlight w:val="none"/>
                <w:lang w:val="en-US" w:eastAsia="zh-CN" w:bidi="en-US"/>
              </w:rPr>
              <w:t>。</w:t>
            </w:r>
          </w:p>
          <w:p w14:paraId="6A91E894">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w:t>
            </w:r>
            <w:r>
              <w:rPr>
                <w:rFonts w:hint="eastAsia" w:ascii="宋体" w:hAnsi="宋体" w:cs="宋体"/>
                <w:b w:val="0"/>
                <w:bCs w:val="0"/>
                <w:color w:val="auto"/>
                <w:kern w:val="0"/>
                <w:sz w:val="24"/>
                <w:szCs w:val="24"/>
                <w:highlight w:val="none"/>
                <w:lang w:val="en-US" w:eastAsia="zh-CN" w:bidi="en-US"/>
              </w:rPr>
              <w:t>8</w:t>
            </w:r>
            <w:r>
              <w:rPr>
                <w:rFonts w:hint="eastAsia" w:ascii="宋体" w:hAnsi="宋体" w:eastAsia="宋体" w:cs="宋体"/>
                <w:b w:val="0"/>
                <w:bCs w:val="0"/>
                <w:color w:val="auto"/>
                <w:kern w:val="0"/>
                <w:sz w:val="24"/>
                <w:szCs w:val="24"/>
                <w:highlight w:val="none"/>
                <w:lang w:val="en-US" w:eastAsia="zh-CN" w:bidi="en-US"/>
              </w:rPr>
              <w:t>）在本项目中，如需提供社保证明材料的，投标人至少提供养老保险或医疗保险证明材料</w:t>
            </w:r>
            <w:r>
              <w:rPr>
                <w:rFonts w:hint="eastAsia" w:ascii="宋体" w:hAnsi="宋体" w:cs="宋体"/>
                <w:b w:val="0"/>
                <w:bCs w:val="0"/>
                <w:color w:val="auto"/>
                <w:kern w:val="0"/>
                <w:sz w:val="24"/>
                <w:szCs w:val="24"/>
                <w:highlight w:val="none"/>
                <w:lang w:val="en-US" w:eastAsia="zh-CN" w:bidi="en-US"/>
              </w:rPr>
              <w:t>。</w:t>
            </w:r>
          </w:p>
          <w:p w14:paraId="6B0C8C44">
            <w:pPr>
              <w:keepNext w:val="0"/>
              <w:keepLines w:val="0"/>
              <w:pageBreakBefore w:val="0"/>
              <w:widowControl/>
              <w:numPr>
                <w:ilvl w:val="0"/>
                <w:numId w:val="0"/>
              </w:numPr>
              <w:kinsoku/>
              <w:wordWrap/>
              <w:overflowPunct/>
              <w:topLinePunct w:val="0"/>
              <w:bidi w:val="0"/>
              <w:adjustRightInd/>
              <w:snapToGrid/>
              <w:spacing w:line="360" w:lineRule="auto"/>
              <w:jc w:val="left"/>
              <w:textAlignment w:val="auto"/>
              <w:rPr>
                <w:rFonts w:hint="eastAsia"/>
                <w:highlight w:val="none"/>
              </w:rPr>
            </w:pPr>
            <w:r>
              <w:rPr>
                <w:rFonts w:hint="eastAsia" w:ascii="宋体" w:hAnsi="宋体" w:eastAsia="宋体" w:cs="宋体"/>
                <w:b w:val="0"/>
                <w:bCs w:val="0"/>
                <w:color w:val="auto"/>
                <w:kern w:val="0"/>
                <w:sz w:val="24"/>
                <w:szCs w:val="24"/>
                <w:highlight w:val="none"/>
                <w:lang w:val="en-US" w:eastAsia="zh-CN" w:bidi="en-US"/>
              </w:rPr>
              <w:t>（</w:t>
            </w:r>
            <w:r>
              <w:rPr>
                <w:rFonts w:hint="eastAsia" w:ascii="宋体" w:hAnsi="宋体" w:cs="宋体"/>
                <w:b w:val="0"/>
                <w:bCs w:val="0"/>
                <w:color w:val="auto"/>
                <w:kern w:val="0"/>
                <w:sz w:val="24"/>
                <w:szCs w:val="24"/>
                <w:highlight w:val="none"/>
                <w:lang w:val="en-US" w:eastAsia="zh-CN" w:bidi="en-US"/>
              </w:rPr>
              <w:t>9</w:t>
            </w:r>
            <w:r>
              <w:rPr>
                <w:rFonts w:hint="eastAsia" w:ascii="宋体" w:hAnsi="宋体" w:eastAsia="宋体" w:cs="宋体"/>
                <w:b w:val="0"/>
                <w:bCs w:val="0"/>
                <w:color w:val="auto"/>
                <w:kern w:val="0"/>
                <w:sz w:val="24"/>
                <w:szCs w:val="24"/>
                <w:highlight w:val="none"/>
                <w:lang w:val="en-US" w:eastAsia="zh-CN" w:bidi="en-US"/>
              </w:rPr>
              <w:t>）本项目招标文件中涉及“以上”“以下”“以内”“届满”“不满”“超过”“以外”参照</w:t>
            </w:r>
            <w:r>
              <w:rPr>
                <w:rFonts w:hint="eastAsia" w:ascii="宋体" w:hAnsi="宋体" w:cs="宋体"/>
                <w:b w:val="0"/>
                <w:bCs w:val="0"/>
                <w:color w:val="auto"/>
                <w:kern w:val="0"/>
                <w:sz w:val="24"/>
                <w:szCs w:val="24"/>
                <w:highlight w:val="none"/>
                <w:lang w:val="en-US" w:eastAsia="zh-CN" w:bidi="en-US"/>
              </w:rPr>
              <w:t>《中华人民共和国民法典》</w:t>
            </w:r>
            <w:r>
              <w:rPr>
                <w:rFonts w:hint="eastAsia" w:ascii="宋体" w:hAnsi="宋体" w:eastAsia="宋体" w:cs="宋体"/>
                <w:b w:val="0"/>
                <w:bCs w:val="0"/>
                <w:color w:val="auto"/>
                <w:kern w:val="0"/>
                <w:sz w:val="24"/>
                <w:szCs w:val="24"/>
                <w:highlight w:val="none"/>
                <w:lang w:val="en-US" w:eastAsia="zh-CN" w:bidi="en-US"/>
              </w:rPr>
              <w:t>第</w:t>
            </w:r>
            <w:r>
              <w:rPr>
                <w:rFonts w:hint="eastAsia" w:ascii="宋体" w:hAnsi="宋体" w:cs="宋体"/>
                <w:b w:val="0"/>
                <w:bCs w:val="0"/>
                <w:color w:val="auto"/>
                <w:kern w:val="0"/>
                <w:sz w:val="24"/>
                <w:szCs w:val="24"/>
                <w:highlight w:val="none"/>
                <w:lang w:val="en-US" w:eastAsia="zh-CN" w:bidi="en-US"/>
              </w:rPr>
              <w:t>一千二百五十九</w:t>
            </w:r>
            <w:r>
              <w:rPr>
                <w:rFonts w:hint="eastAsia" w:ascii="宋体" w:hAnsi="宋体" w:eastAsia="宋体" w:cs="宋体"/>
                <w:b w:val="0"/>
                <w:bCs w:val="0"/>
                <w:color w:val="auto"/>
                <w:kern w:val="0"/>
                <w:sz w:val="24"/>
                <w:szCs w:val="24"/>
                <w:highlight w:val="none"/>
                <w:lang w:val="en-US" w:eastAsia="zh-CN" w:bidi="en-US"/>
              </w:rPr>
              <w:t>条的规定进行解释。根据</w:t>
            </w:r>
            <w:r>
              <w:rPr>
                <w:rFonts w:hint="eastAsia" w:ascii="宋体" w:hAnsi="宋体" w:cs="宋体"/>
                <w:b w:val="0"/>
                <w:bCs w:val="0"/>
                <w:color w:val="auto"/>
                <w:kern w:val="0"/>
                <w:sz w:val="24"/>
                <w:szCs w:val="24"/>
                <w:highlight w:val="none"/>
                <w:lang w:val="en-US" w:eastAsia="zh-CN" w:bidi="en-US"/>
              </w:rPr>
              <w:t>《中华人民共和国民法典》</w:t>
            </w:r>
            <w:r>
              <w:rPr>
                <w:rFonts w:hint="eastAsia" w:ascii="宋体" w:hAnsi="宋体" w:eastAsia="宋体" w:cs="宋体"/>
                <w:b w:val="0"/>
                <w:bCs w:val="0"/>
                <w:color w:val="auto"/>
                <w:kern w:val="0"/>
                <w:sz w:val="24"/>
                <w:szCs w:val="24"/>
                <w:highlight w:val="none"/>
                <w:lang w:val="en-US" w:eastAsia="zh-CN" w:bidi="en-US"/>
              </w:rPr>
              <w:t>第</w:t>
            </w:r>
            <w:r>
              <w:rPr>
                <w:rFonts w:hint="eastAsia" w:ascii="宋体" w:hAnsi="宋体" w:cs="宋体"/>
                <w:b w:val="0"/>
                <w:bCs w:val="0"/>
                <w:color w:val="auto"/>
                <w:kern w:val="0"/>
                <w:sz w:val="24"/>
                <w:szCs w:val="24"/>
                <w:highlight w:val="none"/>
                <w:lang w:val="en-US" w:eastAsia="zh-CN" w:bidi="en-US"/>
              </w:rPr>
              <w:t>一千二百五十九</w:t>
            </w:r>
            <w:r>
              <w:rPr>
                <w:rFonts w:hint="eastAsia" w:ascii="宋体" w:hAnsi="宋体" w:eastAsia="宋体" w:cs="宋体"/>
                <w:b w:val="0"/>
                <w:bCs w:val="0"/>
                <w:color w:val="auto"/>
                <w:kern w:val="0"/>
                <w:sz w:val="24"/>
                <w:szCs w:val="24"/>
                <w:highlight w:val="none"/>
                <w:lang w:val="en-US" w:eastAsia="zh-CN" w:bidi="en-US"/>
              </w:rPr>
              <w:t>条的规定，民法所称的“以上”“以下”“以内”“届满”，包括本数，“不满”“超过”“以外”，不包括本数。</w:t>
            </w:r>
          </w:p>
        </w:tc>
      </w:tr>
      <w:tr w14:paraId="4BDE2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815" w:type="dxa"/>
            <w:tcMar>
              <w:top w:w="28" w:type="dxa"/>
              <w:left w:w="28" w:type="dxa"/>
              <w:bottom w:w="28" w:type="dxa"/>
              <w:right w:w="28" w:type="dxa"/>
            </w:tcMar>
            <w:vAlign w:val="center"/>
          </w:tcPr>
          <w:p w14:paraId="72641BDE">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10.1.5</w:t>
            </w:r>
          </w:p>
        </w:tc>
        <w:tc>
          <w:tcPr>
            <w:tcW w:w="1535" w:type="dxa"/>
            <w:tcMar>
              <w:top w:w="28" w:type="dxa"/>
              <w:left w:w="28" w:type="dxa"/>
              <w:bottom w:w="28" w:type="dxa"/>
              <w:right w:w="28" w:type="dxa"/>
            </w:tcMar>
            <w:vAlign w:val="center"/>
          </w:tcPr>
          <w:p w14:paraId="770F05FC">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同义词语</w:t>
            </w:r>
          </w:p>
        </w:tc>
        <w:tc>
          <w:tcPr>
            <w:tcW w:w="6621" w:type="dxa"/>
            <w:tcMar>
              <w:top w:w="28" w:type="dxa"/>
              <w:left w:w="28" w:type="dxa"/>
              <w:bottom w:w="28" w:type="dxa"/>
              <w:right w:w="28" w:type="dxa"/>
            </w:tcMar>
            <w:vAlign w:val="center"/>
          </w:tcPr>
          <w:p w14:paraId="69FB449F">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构成招</w:t>
            </w:r>
            <w:r>
              <w:rPr>
                <w:rFonts w:hint="eastAsia" w:ascii="宋体" w:hAnsi="宋体" w:eastAsia="宋体" w:cs="宋体"/>
                <w:b w:val="0"/>
                <w:bCs w:val="0"/>
                <w:color w:val="auto"/>
                <w:kern w:val="0"/>
                <w:sz w:val="24"/>
                <w:szCs w:val="24"/>
                <w:highlight w:val="none"/>
                <w:lang w:val="zh-CN" w:bidi="en-US"/>
              </w:rPr>
              <w:t>标文件组成部分的“通用合同条款</w:t>
            </w:r>
            <w:r>
              <w:rPr>
                <w:rFonts w:hint="eastAsia" w:ascii="宋体" w:hAnsi="宋体" w:cs="宋体"/>
                <w:b w:val="0"/>
                <w:bCs w:val="0"/>
                <w:color w:val="auto"/>
                <w:kern w:val="0"/>
                <w:sz w:val="24"/>
                <w:szCs w:val="24"/>
                <w:highlight w:val="none"/>
                <w:lang w:val="zh-CN" w:bidi="en-US"/>
              </w:rPr>
              <w:t>”“</w:t>
            </w:r>
            <w:r>
              <w:rPr>
                <w:rFonts w:hint="eastAsia" w:ascii="宋体" w:hAnsi="宋体" w:eastAsia="宋体" w:cs="宋体"/>
                <w:b w:val="0"/>
                <w:bCs w:val="0"/>
                <w:color w:val="auto"/>
                <w:kern w:val="0"/>
                <w:sz w:val="24"/>
                <w:szCs w:val="24"/>
                <w:highlight w:val="none"/>
                <w:lang w:val="zh-CN" w:bidi="en-US"/>
              </w:rPr>
              <w:t>专用合同条款</w:t>
            </w:r>
            <w:r>
              <w:rPr>
                <w:rFonts w:hint="eastAsia" w:ascii="宋体" w:hAnsi="宋体" w:cs="宋体"/>
                <w:b w:val="0"/>
                <w:bCs w:val="0"/>
                <w:color w:val="auto"/>
                <w:kern w:val="0"/>
                <w:sz w:val="24"/>
                <w:szCs w:val="24"/>
                <w:highlight w:val="none"/>
                <w:lang w:val="zh-CN" w:bidi="en-US"/>
              </w:rPr>
              <w:t>”“</w:t>
            </w:r>
            <w:r>
              <w:rPr>
                <w:rFonts w:hint="eastAsia" w:ascii="宋体" w:hAnsi="宋体" w:eastAsia="宋体" w:cs="宋体"/>
                <w:b w:val="0"/>
                <w:bCs w:val="0"/>
                <w:color w:val="auto"/>
                <w:kern w:val="0"/>
                <w:sz w:val="24"/>
                <w:szCs w:val="24"/>
                <w:highlight w:val="none"/>
                <w:lang w:val="zh-CN" w:bidi="en-US"/>
              </w:rPr>
              <w:t>技术标准和要求”和“工程量清单”等章节中出现的措辞“发包人”和“承包人”，在招标投标阶段应当分别按“项目法人（发包人）”和“投标人”进行理解。</w:t>
            </w:r>
          </w:p>
        </w:tc>
      </w:tr>
      <w:tr w14:paraId="438C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atLeast"/>
          <w:jc w:val="center"/>
        </w:trPr>
        <w:tc>
          <w:tcPr>
            <w:tcW w:w="815" w:type="dxa"/>
            <w:tcMar>
              <w:top w:w="28" w:type="dxa"/>
              <w:left w:w="28" w:type="dxa"/>
              <w:bottom w:w="28" w:type="dxa"/>
              <w:right w:w="28" w:type="dxa"/>
            </w:tcMar>
            <w:vAlign w:val="center"/>
          </w:tcPr>
          <w:p w14:paraId="7F944C6F">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bidi="en-US"/>
              </w:rPr>
              <w:t>10.1.</w:t>
            </w:r>
            <w:r>
              <w:rPr>
                <w:rFonts w:hint="eastAsia" w:ascii="宋体" w:hAnsi="宋体" w:eastAsia="宋体" w:cs="宋体"/>
                <w:b w:val="0"/>
                <w:bCs w:val="0"/>
                <w:color w:val="auto"/>
                <w:kern w:val="0"/>
                <w:sz w:val="24"/>
                <w:szCs w:val="24"/>
                <w:highlight w:val="none"/>
                <w:lang w:val="en-US" w:eastAsia="zh-CN" w:bidi="en-US"/>
              </w:rPr>
              <w:t>6</w:t>
            </w:r>
          </w:p>
        </w:tc>
        <w:tc>
          <w:tcPr>
            <w:tcW w:w="1535" w:type="dxa"/>
            <w:tcMar>
              <w:top w:w="28" w:type="dxa"/>
              <w:left w:w="28" w:type="dxa"/>
              <w:bottom w:w="28" w:type="dxa"/>
              <w:right w:w="28" w:type="dxa"/>
            </w:tcMar>
            <w:vAlign w:val="center"/>
          </w:tcPr>
          <w:p w14:paraId="29228284">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费用承担</w:t>
            </w:r>
          </w:p>
        </w:tc>
        <w:tc>
          <w:tcPr>
            <w:tcW w:w="6621" w:type="dxa"/>
            <w:tcMar>
              <w:top w:w="28" w:type="dxa"/>
              <w:left w:w="28" w:type="dxa"/>
              <w:bottom w:w="28" w:type="dxa"/>
              <w:right w:w="28" w:type="dxa"/>
            </w:tcMar>
            <w:vAlign w:val="center"/>
          </w:tcPr>
          <w:p w14:paraId="2A52AAFD">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val="en-US" w:eastAsia="zh-CN" w:bidi="en-US"/>
              </w:rPr>
              <w:t>1</w:t>
            </w:r>
            <w:r>
              <w:rPr>
                <w:rFonts w:hint="eastAsia" w:ascii="宋体" w:hAnsi="宋体" w:eastAsia="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不论投标结果如何，投标人均应自行承担所有与编写和提交响应文件有关的全部费用。</w:t>
            </w:r>
          </w:p>
          <w:p w14:paraId="5271839D">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val="en-US" w:eastAsia="zh-CN" w:bidi="en-US"/>
              </w:rPr>
              <w:t>2</w:t>
            </w:r>
            <w:r>
              <w:rPr>
                <w:rFonts w:hint="eastAsia" w:ascii="宋体" w:hAnsi="宋体" w:eastAsia="宋体" w:cs="宋体"/>
                <w:b w:val="0"/>
                <w:bCs w:val="0"/>
                <w:color w:val="auto"/>
                <w:kern w:val="0"/>
                <w:sz w:val="24"/>
                <w:szCs w:val="24"/>
                <w:highlight w:val="none"/>
                <w:lang w:eastAsia="zh-CN" w:bidi="en-US"/>
              </w:rPr>
              <w:t>）</w:t>
            </w:r>
            <w:r>
              <w:rPr>
                <w:rFonts w:hint="eastAsia" w:ascii="宋体" w:hAnsi="宋体" w:eastAsia="宋体" w:cs="宋体"/>
                <w:b w:val="0"/>
                <w:bCs w:val="0"/>
                <w:color w:val="auto"/>
                <w:kern w:val="0"/>
                <w:sz w:val="24"/>
                <w:szCs w:val="24"/>
                <w:highlight w:val="none"/>
                <w:lang w:bidi="en-US"/>
              </w:rPr>
              <w:t>招标代理服务费：</w:t>
            </w:r>
            <w:r>
              <w:rPr>
                <w:rFonts w:hint="eastAsia" w:ascii="宋体" w:hAnsi="宋体" w:cs="宋体"/>
                <w:b w:val="0"/>
                <w:bCs w:val="0"/>
                <w:color w:val="auto"/>
                <w:kern w:val="0"/>
                <w:sz w:val="24"/>
                <w:szCs w:val="24"/>
                <w:highlight w:val="none"/>
                <w:lang w:val="en-US" w:eastAsia="zh-CN" w:bidi="en-US"/>
              </w:rPr>
              <w:t>依据</w:t>
            </w:r>
            <w:r>
              <w:rPr>
                <w:rFonts w:hint="eastAsia" w:ascii="宋体" w:hAnsi="宋体" w:eastAsia="宋体" w:cs="宋体"/>
                <w:b w:val="0"/>
                <w:bCs w:val="0"/>
                <w:color w:val="auto"/>
                <w:kern w:val="0"/>
                <w:sz w:val="24"/>
                <w:szCs w:val="24"/>
                <w:highlight w:val="none"/>
                <w:lang w:bidi="en-US"/>
              </w:rPr>
              <w:t>《云南省建设工程及政府采购代理服务收费参考意见》的通知（云建招协〔2026〕11号）文收费标准执行，由中标人在领取中标通知书时一次性向招标代理机构支付</w:t>
            </w:r>
            <w:r>
              <w:rPr>
                <w:rFonts w:hint="eastAsia" w:ascii="宋体" w:hAnsi="宋体" w:eastAsia="宋体" w:cs="宋体"/>
                <w:b w:val="0"/>
                <w:bCs w:val="0"/>
                <w:color w:val="auto"/>
                <w:kern w:val="0"/>
                <w:sz w:val="24"/>
                <w:szCs w:val="24"/>
                <w:highlight w:val="none"/>
                <w:lang w:val="en-US" w:eastAsia="zh-CN" w:bidi="en-US"/>
              </w:rPr>
              <w:t>。</w:t>
            </w:r>
          </w:p>
        </w:tc>
      </w:tr>
      <w:tr w14:paraId="0A93E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18076963">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eastAsia="zh-CN" w:bidi="en-US"/>
              </w:rPr>
            </w:pPr>
            <w:r>
              <w:rPr>
                <w:rFonts w:hint="eastAsia" w:ascii="宋体" w:hAnsi="宋体" w:eastAsia="宋体" w:cs="宋体"/>
                <w:b w:val="0"/>
                <w:bCs w:val="0"/>
                <w:color w:val="auto"/>
                <w:kern w:val="0"/>
                <w:sz w:val="24"/>
                <w:szCs w:val="24"/>
                <w:highlight w:val="none"/>
                <w:lang w:bidi="en-US"/>
              </w:rPr>
              <w:t>10.1.</w:t>
            </w:r>
            <w:r>
              <w:rPr>
                <w:rFonts w:hint="eastAsia" w:ascii="宋体" w:hAnsi="宋体" w:eastAsia="宋体" w:cs="宋体"/>
                <w:b w:val="0"/>
                <w:bCs w:val="0"/>
                <w:color w:val="auto"/>
                <w:kern w:val="0"/>
                <w:sz w:val="24"/>
                <w:szCs w:val="24"/>
                <w:highlight w:val="none"/>
                <w:lang w:val="en-US" w:eastAsia="zh-CN" w:bidi="en-US"/>
              </w:rPr>
              <w:t>7</w:t>
            </w:r>
          </w:p>
        </w:tc>
        <w:tc>
          <w:tcPr>
            <w:tcW w:w="1535" w:type="dxa"/>
            <w:tcMar>
              <w:top w:w="28" w:type="dxa"/>
              <w:left w:w="28" w:type="dxa"/>
              <w:bottom w:w="28" w:type="dxa"/>
              <w:right w:w="28" w:type="dxa"/>
            </w:tcMar>
            <w:vAlign w:val="center"/>
          </w:tcPr>
          <w:p w14:paraId="64AA3CE3">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询问、质疑及投诉</w:t>
            </w:r>
          </w:p>
        </w:tc>
        <w:tc>
          <w:tcPr>
            <w:tcW w:w="6621" w:type="dxa"/>
            <w:tcMar>
              <w:top w:w="28" w:type="dxa"/>
              <w:left w:w="28" w:type="dxa"/>
              <w:bottom w:w="28" w:type="dxa"/>
              <w:right w:w="28" w:type="dxa"/>
            </w:tcMar>
            <w:vAlign w:val="center"/>
          </w:tcPr>
          <w:p w14:paraId="4AB0B3A5">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default" w:ascii="宋体" w:hAnsi="宋体" w:eastAsia="宋体" w:cs="宋体"/>
                <w:b w:val="0"/>
                <w:bCs w:val="0"/>
                <w:color w:val="auto"/>
                <w:kern w:val="0"/>
                <w:sz w:val="24"/>
                <w:szCs w:val="24"/>
                <w:highlight w:val="none"/>
                <w:lang w:val="en-US" w:eastAsia="zh-CN" w:bidi="en-US"/>
              </w:rPr>
              <w:t>（</w:t>
            </w:r>
            <w:r>
              <w:rPr>
                <w:rFonts w:hint="eastAsia" w:ascii="宋体" w:hAnsi="宋体" w:eastAsia="宋体" w:cs="宋体"/>
                <w:b w:val="0"/>
                <w:bCs w:val="0"/>
                <w:color w:val="auto"/>
                <w:kern w:val="0"/>
                <w:sz w:val="24"/>
                <w:szCs w:val="24"/>
                <w:highlight w:val="none"/>
                <w:lang w:val="en-US" w:eastAsia="zh-CN" w:bidi="en-US"/>
              </w:rPr>
              <w:t>1</w:t>
            </w:r>
            <w:r>
              <w:rPr>
                <w:rFonts w:hint="default" w:ascii="宋体" w:hAnsi="宋体" w:eastAsia="宋体" w:cs="宋体"/>
                <w:b w:val="0"/>
                <w:bCs w:val="0"/>
                <w:color w:val="auto"/>
                <w:kern w:val="0"/>
                <w:sz w:val="24"/>
                <w:szCs w:val="24"/>
                <w:highlight w:val="none"/>
                <w:lang w:val="en-US" w:eastAsia="zh-CN" w:bidi="en-US"/>
              </w:rPr>
              <w:t>）潜在投标人或者其他利害关系人对资格预审文件有异议的，应当在提交资格预审申请文件截止时间2日前提出。对招标文件有异议的，应当在投标截止时间10日前提出。对开标的异议应当在开标会上当场提出。对依法必须进行招标项目的评标结果有异议的，应当在中标候选人公示期间提出。</w:t>
            </w:r>
          </w:p>
          <w:p w14:paraId="097D6EF5">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default" w:ascii="宋体" w:hAnsi="宋体" w:eastAsia="宋体" w:cs="宋体"/>
                <w:b w:val="0"/>
                <w:bCs w:val="0"/>
                <w:color w:val="auto"/>
                <w:kern w:val="0"/>
                <w:sz w:val="24"/>
                <w:szCs w:val="24"/>
                <w:highlight w:val="none"/>
                <w:lang w:val="en-US" w:eastAsia="zh-CN" w:bidi="en-US"/>
              </w:rPr>
              <w:t>（</w:t>
            </w:r>
            <w:r>
              <w:rPr>
                <w:rFonts w:hint="eastAsia" w:ascii="宋体" w:hAnsi="宋体" w:eastAsia="宋体" w:cs="宋体"/>
                <w:b w:val="0"/>
                <w:bCs w:val="0"/>
                <w:color w:val="auto"/>
                <w:kern w:val="0"/>
                <w:sz w:val="24"/>
                <w:szCs w:val="24"/>
                <w:highlight w:val="none"/>
                <w:lang w:val="en-US" w:eastAsia="zh-CN" w:bidi="en-US"/>
              </w:rPr>
              <w:t>2</w:t>
            </w:r>
            <w:r>
              <w:rPr>
                <w:rFonts w:hint="default" w:ascii="宋体" w:hAnsi="宋体" w:eastAsia="宋体" w:cs="宋体"/>
                <w:b w:val="0"/>
                <w:bCs w:val="0"/>
                <w:color w:val="auto"/>
                <w:kern w:val="0"/>
                <w:sz w:val="24"/>
                <w:szCs w:val="24"/>
                <w:highlight w:val="none"/>
                <w:lang w:val="en-US" w:eastAsia="zh-CN" w:bidi="en-US"/>
              </w:rPr>
              <w:t>）投标人或者其他利害关系人认为招标投标活动不符合法律、行政法规规定的，应当在知道或者应当知道其权益受到侵害之日起十日内向有关行政监督部门提出投诉。</w:t>
            </w:r>
          </w:p>
          <w:p w14:paraId="3A60CDED">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default" w:ascii="宋体" w:hAnsi="宋体" w:eastAsia="宋体" w:cs="宋体"/>
                <w:b w:val="0"/>
                <w:bCs w:val="0"/>
                <w:color w:val="auto"/>
                <w:kern w:val="0"/>
                <w:sz w:val="24"/>
                <w:szCs w:val="24"/>
                <w:highlight w:val="none"/>
                <w:lang w:val="en-US" w:eastAsia="zh-CN" w:bidi="en-US"/>
              </w:rPr>
              <w:t>投诉应当有明确的请求和必要的证明材料</w:t>
            </w:r>
            <w:r>
              <w:rPr>
                <w:rFonts w:hint="eastAsia" w:ascii="宋体" w:hAnsi="宋体" w:eastAsia="宋体" w:cs="宋体"/>
                <w:b w:val="0"/>
                <w:bCs w:val="0"/>
                <w:color w:val="auto"/>
                <w:kern w:val="0"/>
                <w:sz w:val="24"/>
                <w:szCs w:val="24"/>
                <w:highlight w:val="none"/>
                <w:lang w:val="en-US" w:eastAsia="zh-CN" w:bidi="en-US"/>
              </w:rPr>
              <w:t>。</w:t>
            </w:r>
          </w:p>
          <w:p w14:paraId="49225CB9">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default" w:ascii="宋体" w:hAnsi="宋体" w:eastAsia="宋体" w:cs="宋体"/>
                <w:b w:val="0"/>
                <w:bCs w:val="0"/>
                <w:color w:val="auto"/>
                <w:kern w:val="0"/>
                <w:sz w:val="24"/>
                <w:szCs w:val="24"/>
                <w:highlight w:val="none"/>
                <w:lang w:val="en-US" w:eastAsia="zh-CN" w:bidi="en-US"/>
              </w:rPr>
              <w:t>对资格预审文件、招标文件、开标和评标结果的投诉，应当以向招标人提出异议为前提，先向招标人提出异议，对招标人在规定时限内不答复或对招标人答复不满意时才能进行投诉。</w:t>
            </w:r>
          </w:p>
          <w:p w14:paraId="034E33BE">
            <w:pPr>
              <w:keepNext w:val="0"/>
              <w:keepLines w:val="0"/>
              <w:pageBreakBefore w:val="0"/>
              <w:widowControl/>
              <w:kinsoku/>
              <w:wordWrap/>
              <w:overflowPunct/>
              <w:topLinePunct w:val="0"/>
              <w:bidi w:val="0"/>
              <w:adjustRightInd/>
              <w:snapToGrid/>
              <w:spacing w:line="360" w:lineRule="auto"/>
              <w:jc w:val="left"/>
              <w:textAlignment w:val="auto"/>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（3）</w:t>
            </w:r>
            <w:r>
              <w:rPr>
                <w:rFonts w:hint="default" w:ascii="宋体" w:hAnsi="宋体" w:eastAsia="宋体" w:cs="宋体"/>
                <w:b w:val="0"/>
                <w:bCs w:val="0"/>
                <w:color w:val="auto"/>
                <w:kern w:val="0"/>
                <w:sz w:val="24"/>
                <w:szCs w:val="24"/>
                <w:highlight w:val="none"/>
                <w:lang w:val="en-US" w:eastAsia="zh-CN" w:bidi="en-US"/>
              </w:rPr>
              <w:t>鉴于已经实行全流程电子化交易和在线监督，鼓励异议及投诉通过线上方式进行，也可采用线下纸质方式进行。</w:t>
            </w:r>
            <w:r>
              <w:rPr>
                <w:rFonts w:hint="eastAsia" w:ascii="宋体" w:hAnsi="宋体" w:eastAsia="宋体" w:cs="宋体"/>
                <w:b w:val="0"/>
                <w:bCs w:val="0"/>
                <w:color w:val="auto"/>
                <w:kern w:val="0"/>
                <w:sz w:val="24"/>
                <w:szCs w:val="24"/>
                <w:highlight w:val="none"/>
                <w:lang w:val="en-US" w:eastAsia="zh-CN" w:bidi="en-US"/>
              </w:rPr>
              <w:t xml:space="preserve">        </w:t>
            </w:r>
          </w:p>
          <w:p w14:paraId="16EEF85D">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default" w:ascii="宋体" w:hAnsi="宋体" w:eastAsia="宋体" w:cs="宋体"/>
                <w:b w:val="0"/>
                <w:bCs w:val="0"/>
                <w:color w:val="auto"/>
                <w:kern w:val="0"/>
                <w:sz w:val="24"/>
                <w:szCs w:val="24"/>
                <w:highlight w:val="none"/>
                <w:lang w:val="en-US" w:eastAsia="zh-CN" w:bidi="en-US"/>
              </w:rPr>
              <w:t>根据系统功能和要求，直接参与具体项目交易的投标人线上异议及投诉，使用 CA 数字证书通过全国公共资源交易平台（云南省）暨云南省公共资源交易信息网“投标人”模块进行提交，其他利害关系人通过全国公共资源交易平台（云南省）暨云南省公共资源交易信息网“交易监督” 模块进行提交。</w:t>
            </w:r>
          </w:p>
          <w:p w14:paraId="1870FA7D">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default" w:ascii="宋体" w:hAnsi="宋体" w:eastAsia="宋体" w:cs="宋体"/>
                <w:b w:val="0"/>
                <w:bCs w:val="0"/>
                <w:color w:val="auto"/>
                <w:kern w:val="0"/>
                <w:sz w:val="24"/>
                <w:szCs w:val="24"/>
                <w:highlight w:val="none"/>
                <w:lang w:val="en-US" w:eastAsia="zh-CN" w:bidi="en-US"/>
              </w:rPr>
              <w:t>（</w:t>
            </w:r>
            <w:r>
              <w:rPr>
                <w:rFonts w:hint="eastAsia" w:ascii="宋体" w:hAnsi="宋体" w:eastAsia="宋体" w:cs="宋体"/>
                <w:b w:val="0"/>
                <w:bCs w:val="0"/>
                <w:color w:val="auto"/>
                <w:kern w:val="0"/>
                <w:sz w:val="24"/>
                <w:szCs w:val="24"/>
                <w:highlight w:val="none"/>
                <w:lang w:val="en-US" w:eastAsia="zh-CN" w:bidi="en-US"/>
              </w:rPr>
              <w:t>4</w:t>
            </w:r>
            <w:r>
              <w:rPr>
                <w:rFonts w:hint="default" w:ascii="宋体" w:hAnsi="宋体" w:eastAsia="宋体" w:cs="宋体"/>
                <w:b w:val="0"/>
                <w:bCs w:val="0"/>
                <w:color w:val="auto"/>
                <w:kern w:val="0"/>
                <w:sz w:val="24"/>
                <w:szCs w:val="24"/>
                <w:highlight w:val="none"/>
                <w:lang w:val="en-US" w:eastAsia="zh-CN" w:bidi="en-US"/>
              </w:rPr>
              <w:t>）招标人及招标代理机构和行政监督部门对线上异议及投诉的，采用线上方式进行受理答复，对通过线下纸质方式进行异议及投诉的，按纸质方式进行受理答复。</w:t>
            </w:r>
          </w:p>
          <w:p w14:paraId="6D7E620A">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default" w:ascii="宋体" w:hAnsi="宋体" w:eastAsia="宋体" w:cs="宋体"/>
                <w:b w:val="0"/>
                <w:bCs w:val="0"/>
                <w:color w:val="auto"/>
                <w:kern w:val="0"/>
                <w:sz w:val="24"/>
                <w:szCs w:val="24"/>
                <w:highlight w:val="none"/>
                <w:lang w:val="en-US" w:eastAsia="zh-CN" w:bidi="en-US"/>
              </w:rPr>
              <w:t>同一内容同时进行线上异议及投诉和提交纸质进行异议及投诉的，以线上答复为主，通过在线答复后不再进行书面答复。</w:t>
            </w:r>
          </w:p>
          <w:p w14:paraId="518B14C2">
            <w:pPr>
              <w:keepNext w:val="0"/>
              <w:keepLines w:val="0"/>
              <w:pageBreakBefore w:val="0"/>
              <w:widowControl/>
              <w:kinsoku/>
              <w:wordWrap/>
              <w:overflowPunct/>
              <w:topLinePunct w:val="0"/>
              <w:bidi w:val="0"/>
              <w:adjustRightInd/>
              <w:snapToGrid/>
              <w:spacing w:line="360" w:lineRule="auto"/>
              <w:jc w:val="left"/>
              <w:textAlignment w:val="auto"/>
              <w:rPr>
                <w:rFonts w:hint="default"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就</w:t>
            </w:r>
            <w:r>
              <w:rPr>
                <w:rFonts w:hint="default" w:ascii="宋体" w:hAnsi="宋体" w:eastAsia="宋体" w:cs="宋体"/>
                <w:b w:val="0"/>
                <w:bCs w:val="0"/>
                <w:color w:val="auto"/>
                <w:kern w:val="0"/>
                <w:sz w:val="24"/>
                <w:szCs w:val="24"/>
                <w:highlight w:val="none"/>
                <w:lang w:val="en-US" w:eastAsia="zh-CN" w:bidi="en-US"/>
              </w:rPr>
              <w:t>同一内容同时通过两个模块提交异议及投诉的，招标人及行政监督部门只通过“投标人”模块进行受理答复，在“交易监督”模块作简要告知。</w:t>
            </w:r>
          </w:p>
          <w:p w14:paraId="44880BE2">
            <w:pPr>
              <w:pStyle w:val="6"/>
              <w:wordWrap w:val="0"/>
              <w:spacing w:after="0" w:line="360" w:lineRule="auto"/>
              <w:ind w:firstLine="0" w:firstLineChars="0"/>
              <w:rPr>
                <w:rFonts w:hint="eastAsia" w:ascii="宋体" w:hAnsi="宋体" w:eastAsia="宋体" w:cs="宋体"/>
                <w:b w:val="0"/>
                <w:bCs w:val="0"/>
                <w:color w:val="auto"/>
                <w:kern w:val="0"/>
                <w:sz w:val="24"/>
                <w:szCs w:val="24"/>
                <w:highlight w:val="none"/>
                <w:lang w:val="en-US" w:eastAsia="zh-CN" w:bidi="en-US"/>
              </w:rPr>
            </w:pPr>
            <w:r>
              <w:rPr>
                <w:rFonts w:hint="default" w:ascii="宋体" w:hAnsi="宋体" w:eastAsia="宋体" w:cs="宋体"/>
                <w:b w:val="0"/>
                <w:bCs w:val="0"/>
                <w:color w:val="auto"/>
                <w:kern w:val="0"/>
                <w:sz w:val="24"/>
                <w:szCs w:val="24"/>
                <w:highlight w:val="none"/>
                <w:lang w:val="en-US" w:eastAsia="zh-CN" w:bidi="en-US"/>
              </w:rPr>
              <w:t>（</w:t>
            </w:r>
            <w:r>
              <w:rPr>
                <w:rFonts w:hint="eastAsia" w:ascii="宋体" w:hAnsi="宋体" w:eastAsia="宋体" w:cs="宋体"/>
                <w:b w:val="0"/>
                <w:bCs w:val="0"/>
                <w:color w:val="auto"/>
                <w:kern w:val="0"/>
                <w:sz w:val="24"/>
                <w:szCs w:val="24"/>
                <w:highlight w:val="none"/>
                <w:lang w:val="en-US" w:eastAsia="zh-CN" w:bidi="en-US"/>
              </w:rPr>
              <w:t>5</w:t>
            </w:r>
            <w:r>
              <w:rPr>
                <w:rFonts w:hint="default" w:ascii="宋体" w:hAnsi="宋体" w:eastAsia="宋体" w:cs="宋体"/>
                <w:b w:val="0"/>
                <w:bCs w:val="0"/>
                <w:color w:val="auto"/>
                <w:kern w:val="0"/>
                <w:sz w:val="24"/>
                <w:szCs w:val="24"/>
                <w:highlight w:val="none"/>
                <w:lang w:val="en-US" w:eastAsia="zh-CN" w:bidi="en-US"/>
              </w:rPr>
              <w:t>）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bookmarkStart w:id="1052" w:name="_GoBack"/>
            <w:bookmarkEnd w:id="1052"/>
          </w:p>
        </w:tc>
      </w:tr>
      <w:tr w14:paraId="60DB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4C86F34B">
            <w:pPr>
              <w:keepNext w:val="0"/>
              <w:keepLines w:val="0"/>
              <w:pageBreakBefore w:val="0"/>
              <w:widowControl/>
              <w:kinsoku/>
              <w:wordWrap/>
              <w:overflowPunct/>
              <w:topLinePunct w:val="0"/>
              <w:bidi w:val="0"/>
              <w:adjustRightInd/>
              <w:snapToGrid/>
              <w:spacing w:line="360" w:lineRule="auto"/>
              <w:jc w:val="center"/>
              <w:textAlignment w:val="auto"/>
              <w:rPr>
                <w:rFonts w:hint="default" w:ascii="宋体" w:hAnsi="宋体" w:eastAsia="宋体" w:cs="宋体"/>
                <w:b w:val="0"/>
                <w:bCs w:val="0"/>
                <w:color w:val="auto"/>
                <w:kern w:val="0"/>
                <w:sz w:val="24"/>
                <w:szCs w:val="24"/>
                <w:highlight w:val="none"/>
                <w:lang w:val="en-US" w:eastAsia="zh-CN" w:bidi="en-US"/>
              </w:rPr>
            </w:pPr>
            <w:bookmarkStart w:id="34" w:name="_Toc17224"/>
            <w:r>
              <w:rPr>
                <w:rFonts w:hint="eastAsia" w:ascii="宋体" w:hAnsi="宋体" w:eastAsia="宋体" w:cs="宋体"/>
                <w:b w:val="0"/>
                <w:bCs w:val="0"/>
                <w:color w:val="auto"/>
                <w:kern w:val="0"/>
                <w:sz w:val="24"/>
                <w:szCs w:val="24"/>
                <w:highlight w:val="none"/>
                <w:lang w:val="en-US" w:eastAsia="zh-CN" w:bidi="en-US"/>
              </w:rPr>
              <w:t>10.1.8</w:t>
            </w:r>
          </w:p>
        </w:tc>
        <w:tc>
          <w:tcPr>
            <w:tcW w:w="1535" w:type="dxa"/>
            <w:tcMar>
              <w:top w:w="28" w:type="dxa"/>
              <w:left w:w="28" w:type="dxa"/>
              <w:bottom w:w="28" w:type="dxa"/>
              <w:right w:w="28" w:type="dxa"/>
            </w:tcMar>
            <w:vAlign w:val="center"/>
          </w:tcPr>
          <w:p w14:paraId="58359F35">
            <w:pPr>
              <w:keepNext w:val="0"/>
              <w:keepLines w:val="0"/>
              <w:pageBreakBefore w:val="0"/>
              <w:widowControl/>
              <w:kinsoku/>
              <w:wordWrap/>
              <w:overflowPunct/>
              <w:topLinePunct w:val="0"/>
              <w:bidi w:val="0"/>
              <w:adjustRightInd/>
              <w:snapToGrid/>
              <w:spacing w:line="360" w:lineRule="auto"/>
              <w:jc w:val="center"/>
              <w:textAlignment w:val="auto"/>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eastAsia="zh-CN" w:bidi="en-US"/>
              </w:rPr>
              <w:t>诚信投标原则</w:t>
            </w:r>
          </w:p>
        </w:tc>
        <w:tc>
          <w:tcPr>
            <w:tcW w:w="6621" w:type="dxa"/>
            <w:tcMar>
              <w:top w:w="28" w:type="dxa"/>
              <w:left w:w="28" w:type="dxa"/>
              <w:bottom w:w="28" w:type="dxa"/>
              <w:right w:w="28" w:type="dxa"/>
            </w:tcMar>
            <w:vAlign w:val="center"/>
          </w:tcPr>
          <w:p w14:paraId="758E3EE6">
            <w:pPr>
              <w:pStyle w:val="6"/>
              <w:wordWrap w:val="0"/>
              <w:spacing w:after="0" w:line="360" w:lineRule="auto"/>
              <w:ind w:firstLine="0" w:firstLineChars="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投标人应本着诚实守信原则进行投标，中标候选公示期间，招标人或招标代理机构有权对投标文件真实性进行核查，若发现存在虚假应标行为，将取消其中标资格，由此引起的后果由投标人自行承担。</w:t>
            </w:r>
          </w:p>
        </w:tc>
      </w:tr>
      <w:tr w14:paraId="486A2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571F2699">
            <w:pPr>
              <w:keepNext w:val="0"/>
              <w:keepLines w:val="0"/>
              <w:pageBreakBefore w:val="0"/>
              <w:widowControl/>
              <w:kinsoku/>
              <w:wordWrap/>
              <w:overflowPunct/>
              <w:topLinePunct w:val="0"/>
              <w:bidi w:val="0"/>
              <w:adjustRightInd/>
              <w:snapToGrid/>
              <w:spacing w:line="360" w:lineRule="auto"/>
              <w:jc w:val="center"/>
              <w:textAlignment w:val="auto"/>
              <w:rPr>
                <w:rFonts w:hint="default" w:ascii="宋体" w:hAnsi="宋体" w:eastAsia="宋体" w:cs="宋体"/>
                <w:b w:val="0"/>
                <w:bCs w:val="0"/>
                <w:color w:val="auto"/>
                <w:kern w:val="0"/>
                <w:sz w:val="24"/>
                <w:szCs w:val="24"/>
                <w:highlight w:val="none"/>
                <w:lang w:val="en-US" w:eastAsia="zh-CN" w:bidi="en-US"/>
              </w:rPr>
            </w:pPr>
            <w:r>
              <w:rPr>
                <w:rFonts w:hint="eastAsia" w:ascii="宋体" w:hAnsi="宋体" w:cs="宋体"/>
                <w:b w:val="0"/>
                <w:bCs w:val="0"/>
                <w:color w:val="auto"/>
                <w:kern w:val="0"/>
                <w:sz w:val="24"/>
                <w:szCs w:val="24"/>
                <w:highlight w:val="none"/>
                <w:lang w:val="en-US" w:eastAsia="zh-CN" w:bidi="en-US"/>
              </w:rPr>
              <w:t>10.1.9</w:t>
            </w:r>
          </w:p>
        </w:tc>
        <w:tc>
          <w:tcPr>
            <w:tcW w:w="1535" w:type="dxa"/>
            <w:tcMar>
              <w:top w:w="28" w:type="dxa"/>
              <w:left w:w="28" w:type="dxa"/>
              <w:bottom w:w="28" w:type="dxa"/>
              <w:right w:w="28" w:type="dxa"/>
            </w:tcMar>
            <w:vAlign w:val="center"/>
          </w:tcPr>
          <w:p w14:paraId="7D09851A">
            <w:pPr>
              <w:keepNext w:val="0"/>
              <w:keepLines w:val="0"/>
              <w:pageBreakBefore w:val="0"/>
              <w:widowControl/>
              <w:kinsoku/>
              <w:wordWrap/>
              <w:overflowPunct/>
              <w:topLinePunct w:val="0"/>
              <w:bidi w:val="0"/>
              <w:adjustRightInd/>
              <w:snapToGrid/>
              <w:spacing w:line="360" w:lineRule="auto"/>
              <w:jc w:val="center"/>
              <w:textAlignment w:val="auto"/>
              <w:rPr>
                <w:rFonts w:hint="default" w:ascii="宋体" w:hAnsi="宋体" w:eastAsia="宋体" w:cs="宋体"/>
                <w:b w:val="0"/>
                <w:bCs w:val="0"/>
                <w:color w:val="auto"/>
                <w:kern w:val="0"/>
                <w:sz w:val="24"/>
                <w:szCs w:val="24"/>
                <w:highlight w:val="none"/>
                <w:lang w:val="en-US" w:eastAsia="zh-CN" w:bidi="en-US"/>
              </w:rPr>
            </w:pPr>
            <w:r>
              <w:rPr>
                <w:rFonts w:hint="eastAsia" w:ascii="宋体" w:hAnsi="宋体" w:cs="宋体"/>
                <w:b w:val="0"/>
                <w:bCs w:val="0"/>
                <w:color w:val="auto"/>
                <w:kern w:val="0"/>
                <w:sz w:val="24"/>
                <w:szCs w:val="24"/>
                <w:highlight w:val="none"/>
                <w:lang w:val="en-US" w:eastAsia="zh-CN" w:bidi="en-US"/>
              </w:rPr>
              <w:t>其他注意事项</w:t>
            </w:r>
          </w:p>
        </w:tc>
        <w:tc>
          <w:tcPr>
            <w:tcW w:w="6621" w:type="dxa"/>
            <w:tcMar>
              <w:top w:w="28" w:type="dxa"/>
              <w:left w:w="28" w:type="dxa"/>
              <w:bottom w:w="28" w:type="dxa"/>
              <w:right w:w="28" w:type="dxa"/>
            </w:tcMar>
            <w:vAlign w:val="center"/>
          </w:tcPr>
          <w:p w14:paraId="5F31141F">
            <w:pPr>
              <w:pStyle w:val="6"/>
              <w:wordWrap w:val="0"/>
              <w:spacing w:after="0" w:line="360" w:lineRule="auto"/>
              <w:ind w:firstLine="0" w:firstLineChars="0"/>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1．投标人须对其投标过程中提供的所有资料的真实性、合法性负责。一旦被有关部门或系统认定投标人提供虚假资料，投标人应承担相应法律责任和后果。投标人应在投标文件中作出承诺。</w:t>
            </w:r>
          </w:p>
          <w:p w14:paraId="2E1D0E29">
            <w:pPr>
              <w:pStyle w:val="6"/>
              <w:wordWrap w:val="0"/>
              <w:spacing w:after="0" w:line="360" w:lineRule="auto"/>
              <w:ind w:firstLine="0" w:firstLineChars="0"/>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2．本项目使用电子招标投标系统，除了电子投标系统中设置相关模块外，本项目不对投标文件的目录及页码等作出格式要求。投标人只需按照电子投标文件上传系统相应要求上传相关文件即可。</w:t>
            </w:r>
          </w:p>
          <w:p w14:paraId="5961D1E0">
            <w:pPr>
              <w:pStyle w:val="6"/>
              <w:wordWrap w:val="0"/>
              <w:spacing w:after="0" w:line="360" w:lineRule="auto"/>
              <w:ind w:firstLine="0" w:firstLineChars="0"/>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3．投标人未按招标文件要求办理投标保证金缴纳手续的视为投标文件不通过资格审查。</w:t>
            </w:r>
          </w:p>
          <w:p w14:paraId="05138F5E">
            <w:pPr>
              <w:pStyle w:val="6"/>
              <w:wordWrap w:val="0"/>
              <w:spacing w:after="0" w:line="360" w:lineRule="auto"/>
              <w:ind w:firstLine="0" w:firstLineChars="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0"/>
                <w:sz w:val="24"/>
                <w:szCs w:val="24"/>
                <w:highlight w:val="none"/>
                <w:lang w:val="en-US" w:eastAsia="zh-CN" w:bidi="en-US"/>
              </w:rPr>
              <w:t>4.投标人须知前附表全部内容均应理解为实质内容，投标人应无偏差响应相关要求。</w:t>
            </w:r>
          </w:p>
        </w:tc>
      </w:tr>
      <w:tr w14:paraId="30DE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 w:type="dxa"/>
            <w:tcMar>
              <w:top w:w="28" w:type="dxa"/>
              <w:left w:w="28" w:type="dxa"/>
              <w:bottom w:w="28" w:type="dxa"/>
              <w:right w:w="28" w:type="dxa"/>
            </w:tcMar>
            <w:vAlign w:val="center"/>
          </w:tcPr>
          <w:p w14:paraId="16136268">
            <w:pPr>
              <w:keepNext w:val="0"/>
              <w:keepLines w:val="0"/>
              <w:pageBreakBefore w:val="0"/>
              <w:widowControl/>
              <w:kinsoku/>
              <w:wordWrap/>
              <w:overflowPunct/>
              <w:topLinePunct w:val="0"/>
              <w:bidi w:val="0"/>
              <w:adjustRightInd/>
              <w:snapToGrid/>
              <w:spacing w:line="360" w:lineRule="auto"/>
              <w:jc w:val="center"/>
              <w:textAlignment w:val="auto"/>
              <w:rPr>
                <w:rFonts w:hint="default" w:ascii="宋体" w:hAnsi="宋体" w:cs="宋体"/>
                <w:b w:val="0"/>
                <w:bCs w:val="0"/>
                <w:color w:val="auto"/>
                <w:kern w:val="0"/>
                <w:sz w:val="24"/>
                <w:szCs w:val="24"/>
                <w:highlight w:val="none"/>
                <w:lang w:val="en-US" w:eastAsia="zh-CN" w:bidi="en-US"/>
              </w:rPr>
            </w:pPr>
            <w:r>
              <w:rPr>
                <w:rFonts w:hint="eastAsia" w:ascii="宋体" w:hAnsi="宋体" w:cs="宋体"/>
                <w:b w:val="0"/>
                <w:bCs w:val="0"/>
                <w:color w:val="auto"/>
                <w:kern w:val="0"/>
                <w:sz w:val="24"/>
                <w:szCs w:val="24"/>
                <w:highlight w:val="none"/>
                <w:lang w:val="en-US" w:eastAsia="zh-CN" w:bidi="en-US"/>
              </w:rPr>
              <w:t>10.1.10</w:t>
            </w:r>
          </w:p>
        </w:tc>
        <w:tc>
          <w:tcPr>
            <w:tcW w:w="1535" w:type="dxa"/>
            <w:tcMar>
              <w:top w:w="28" w:type="dxa"/>
              <w:left w:w="28" w:type="dxa"/>
              <w:bottom w:w="28" w:type="dxa"/>
              <w:right w:w="28" w:type="dxa"/>
            </w:tcMar>
            <w:vAlign w:val="center"/>
          </w:tcPr>
          <w:p w14:paraId="053EC4E2">
            <w:pPr>
              <w:spacing w:line="360" w:lineRule="auto"/>
              <w:jc w:val="center"/>
              <w:rPr>
                <w:rFonts w:hint="eastAsia" w:ascii="宋体" w:hAnsi="宋体" w:cs="宋体"/>
                <w:b w:val="0"/>
                <w:bCs w:val="0"/>
                <w:color w:val="auto"/>
                <w:kern w:val="0"/>
                <w:sz w:val="24"/>
                <w:szCs w:val="24"/>
                <w:highlight w:val="none"/>
                <w:lang w:val="en-US" w:eastAsia="zh-CN" w:bidi="en-US"/>
              </w:rPr>
            </w:pPr>
            <w:r>
              <w:rPr>
                <w:rFonts w:ascii="宋体" w:hAnsi="宋体" w:eastAsia="宋体" w:cs="宋体"/>
                <w:color w:val="auto"/>
                <w:sz w:val="24"/>
                <w:szCs w:val="24"/>
              </w:rPr>
              <w:t xml:space="preserve">中标通知书和合同签订 </w:t>
            </w:r>
          </w:p>
        </w:tc>
        <w:tc>
          <w:tcPr>
            <w:tcW w:w="6621" w:type="dxa"/>
            <w:tcMar>
              <w:top w:w="28" w:type="dxa"/>
              <w:left w:w="28" w:type="dxa"/>
              <w:bottom w:w="28" w:type="dxa"/>
              <w:right w:w="28" w:type="dxa"/>
            </w:tcMar>
            <w:vAlign w:val="center"/>
          </w:tcPr>
          <w:p w14:paraId="5A48CB54">
            <w:pPr>
              <w:spacing w:line="360" w:lineRule="auto"/>
              <w:jc w:val="both"/>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color w:val="auto"/>
                <w:sz w:val="24"/>
                <w:szCs w:val="24"/>
                <w:highlight w:val="none"/>
                <w:lang w:val="en-US" w:eastAsia="zh-CN"/>
              </w:rPr>
              <w:t>中标通知书和合同签订以在线方式发放（布），实施全流程电子化交易。</w:t>
            </w:r>
          </w:p>
        </w:tc>
      </w:tr>
    </w:tbl>
    <w:p w14:paraId="1975B409">
      <w:pPr>
        <w:rPr>
          <w:rFonts w:hint="eastAsia" w:ascii="宋体" w:hAnsi="宋体" w:eastAsia="宋体" w:cs="宋体"/>
          <w:b w:val="0"/>
          <w:bCs w:val="0"/>
          <w:iCs/>
          <w:color w:val="auto"/>
          <w:kern w:val="0"/>
          <w:sz w:val="21"/>
          <w:szCs w:val="21"/>
          <w:highlight w:val="none"/>
          <w:lang w:bidi="en-US"/>
        </w:rPr>
      </w:pPr>
      <w:r>
        <w:rPr>
          <w:rFonts w:hint="eastAsia" w:ascii="宋体" w:hAnsi="宋体" w:eastAsia="宋体" w:cs="宋体"/>
          <w:b w:val="0"/>
          <w:bCs w:val="0"/>
          <w:iCs/>
          <w:color w:val="auto"/>
          <w:kern w:val="0"/>
          <w:sz w:val="21"/>
          <w:szCs w:val="21"/>
          <w:highlight w:val="none"/>
          <w:lang w:bidi="en-US"/>
        </w:rPr>
        <w:br w:type="page"/>
      </w:r>
    </w:p>
    <w:p w14:paraId="66359E50">
      <w:pPr>
        <w:pStyle w:val="3"/>
        <w:keepLines w:val="0"/>
        <w:widowControl/>
        <w:spacing w:before="0" w:after="0" w:line="360" w:lineRule="auto"/>
        <w:ind w:left="478" w:hanging="479" w:hangingChars="199"/>
        <w:jc w:val="center"/>
        <w:rPr>
          <w:rFonts w:hint="eastAsia" w:ascii="宋体" w:hAnsi="宋体" w:eastAsia="宋体" w:cs="宋体"/>
          <w:b/>
          <w:bCs/>
          <w:iCs/>
          <w:color w:val="auto"/>
          <w:kern w:val="0"/>
          <w:sz w:val="24"/>
          <w:szCs w:val="24"/>
          <w:highlight w:val="none"/>
          <w:lang w:bidi="en-US"/>
        </w:rPr>
      </w:pPr>
      <w:bookmarkStart w:id="35" w:name="_Toc28417"/>
      <w:r>
        <w:rPr>
          <w:rFonts w:hint="eastAsia" w:ascii="宋体" w:hAnsi="宋体" w:eastAsia="宋体" w:cs="宋体"/>
          <w:b/>
          <w:bCs/>
          <w:iCs/>
          <w:color w:val="auto"/>
          <w:kern w:val="0"/>
          <w:sz w:val="24"/>
          <w:szCs w:val="24"/>
          <w:highlight w:val="none"/>
          <w:lang w:bidi="en-US"/>
        </w:rPr>
        <w:t>二</w:t>
      </w:r>
      <w:r>
        <w:rPr>
          <w:rFonts w:hint="eastAsia" w:ascii="宋体" w:hAnsi="宋体" w:eastAsia="宋体" w:cs="宋体"/>
          <w:b/>
          <w:bCs/>
          <w:iCs/>
          <w:color w:val="auto"/>
          <w:kern w:val="0"/>
          <w:sz w:val="24"/>
          <w:szCs w:val="24"/>
          <w:highlight w:val="none"/>
          <w:lang w:eastAsia="zh-CN" w:bidi="en-US"/>
        </w:rPr>
        <w:t>、</w:t>
      </w:r>
      <w:r>
        <w:rPr>
          <w:rFonts w:hint="eastAsia" w:ascii="宋体" w:hAnsi="宋体" w:eastAsia="宋体" w:cs="宋体"/>
          <w:b/>
          <w:bCs/>
          <w:iCs/>
          <w:color w:val="auto"/>
          <w:kern w:val="0"/>
          <w:sz w:val="24"/>
          <w:szCs w:val="24"/>
          <w:highlight w:val="none"/>
          <w:lang w:bidi="en-US"/>
        </w:rPr>
        <w:t>投标须知</w:t>
      </w:r>
      <w:r>
        <w:rPr>
          <w:rFonts w:hint="eastAsia" w:ascii="宋体" w:hAnsi="宋体" w:eastAsia="宋体" w:cs="宋体"/>
          <w:b/>
          <w:bCs/>
          <w:iCs/>
          <w:color w:val="auto"/>
          <w:kern w:val="0"/>
          <w:sz w:val="24"/>
          <w:szCs w:val="24"/>
          <w:highlight w:val="none"/>
          <w:lang w:eastAsia="zh-CN" w:bidi="en-US"/>
        </w:rPr>
        <w:t>正文</w:t>
      </w:r>
      <w:bookmarkEnd w:id="27"/>
      <w:bookmarkEnd w:id="28"/>
      <w:r>
        <w:rPr>
          <w:rFonts w:hint="eastAsia" w:ascii="宋体" w:hAnsi="宋体" w:eastAsia="宋体" w:cs="宋体"/>
          <w:b/>
          <w:bCs/>
          <w:iCs/>
          <w:color w:val="auto"/>
          <w:kern w:val="0"/>
          <w:sz w:val="24"/>
          <w:szCs w:val="24"/>
          <w:highlight w:val="none"/>
          <w:lang w:bidi="en-US"/>
        </w:rPr>
        <w:t>部分</w:t>
      </w:r>
      <w:bookmarkEnd w:id="34"/>
      <w:bookmarkEnd w:id="35"/>
    </w:p>
    <w:p w14:paraId="52A24402">
      <w:pPr>
        <w:pStyle w:val="4"/>
        <w:spacing w:before="0" w:after="0"/>
        <w:ind w:firstLine="482" w:firstLineChars="201"/>
        <w:rPr>
          <w:rFonts w:hint="eastAsia" w:ascii="宋体" w:hAnsi="宋体" w:eastAsia="宋体" w:cs="宋体"/>
          <w:b w:val="0"/>
          <w:bCs w:val="0"/>
          <w:color w:val="auto"/>
          <w:sz w:val="24"/>
          <w:szCs w:val="24"/>
          <w:highlight w:val="none"/>
        </w:rPr>
      </w:pPr>
      <w:bookmarkStart w:id="36" w:name="_Toc435016791"/>
      <w:bookmarkStart w:id="37" w:name="_Toc16447"/>
      <w:bookmarkStart w:id="38" w:name="_Toc395964994"/>
      <w:bookmarkStart w:id="39" w:name="_Toc242"/>
      <w:r>
        <w:rPr>
          <w:rFonts w:hint="eastAsia" w:ascii="宋体" w:hAnsi="宋体" w:eastAsia="宋体" w:cs="宋体"/>
          <w:b w:val="0"/>
          <w:bCs w:val="0"/>
          <w:color w:val="auto"/>
          <w:sz w:val="24"/>
          <w:szCs w:val="24"/>
          <w:highlight w:val="none"/>
        </w:rPr>
        <w:t>1．</w:t>
      </w:r>
      <w:bookmarkEnd w:id="29"/>
      <w:r>
        <w:rPr>
          <w:rFonts w:hint="eastAsia" w:ascii="宋体" w:hAnsi="宋体" w:eastAsia="宋体" w:cs="宋体"/>
          <w:b w:val="0"/>
          <w:bCs w:val="0"/>
          <w:color w:val="auto"/>
          <w:sz w:val="24"/>
          <w:szCs w:val="24"/>
          <w:highlight w:val="none"/>
        </w:rPr>
        <w:t>总则</w:t>
      </w:r>
      <w:bookmarkEnd w:id="36"/>
      <w:bookmarkEnd w:id="37"/>
      <w:bookmarkEnd w:id="38"/>
      <w:bookmarkEnd w:id="39"/>
    </w:p>
    <w:p w14:paraId="5E9164D6">
      <w:pPr>
        <w:pStyle w:val="5"/>
        <w:spacing w:before="0" w:after="0"/>
        <w:ind w:firstLine="482" w:firstLineChars="201"/>
        <w:rPr>
          <w:rFonts w:hint="eastAsia" w:ascii="宋体" w:hAnsi="宋体" w:eastAsia="宋体" w:cs="宋体"/>
          <w:b w:val="0"/>
          <w:bCs w:val="0"/>
          <w:color w:val="auto"/>
          <w:sz w:val="24"/>
          <w:szCs w:val="24"/>
          <w:highlight w:val="none"/>
        </w:rPr>
      </w:pPr>
      <w:bookmarkStart w:id="40" w:name="_Toc395964995"/>
      <w:bookmarkStart w:id="41" w:name="_Toc532397594"/>
      <w:bookmarkStart w:id="42" w:name="_Toc21253"/>
      <w:bookmarkStart w:id="43" w:name="_Toc10727"/>
      <w:bookmarkStart w:id="44" w:name="_Toc435016792"/>
      <w:r>
        <w:rPr>
          <w:rFonts w:hint="eastAsia" w:ascii="宋体" w:hAnsi="宋体" w:eastAsia="宋体" w:cs="宋体"/>
          <w:b w:val="0"/>
          <w:bCs w:val="0"/>
          <w:color w:val="auto"/>
          <w:sz w:val="24"/>
          <w:szCs w:val="24"/>
          <w:highlight w:val="none"/>
        </w:rPr>
        <w:t>1.1 项目概况</w:t>
      </w:r>
      <w:bookmarkEnd w:id="40"/>
      <w:bookmarkEnd w:id="41"/>
      <w:bookmarkEnd w:id="42"/>
      <w:bookmarkEnd w:id="43"/>
      <w:bookmarkEnd w:id="44"/>
    </w:p>
    <w:p w14:paraId="41C3509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1.1.1 根据《中华人民共和国招标投标法》等有关</w:t>
      </w:r>
      <w:r>
        <w:rPr>
          <w:rFonts w:hint="eastAsia" w:ascii="宋体" w:hAnsi="宋体" w:cs="宋体"/>
          <w:b w:val="0"/>
          <w:bCs w:val="0"/>
          <w:color w:val="auto"/>
          <w:sz w:val="24"/>
          <w:szCs w:val="24"/>
          <w:highlight w:val="none"/>
          <w:lang w:eastAsia="zh-CN"/>
        </w:rPr>
        <w:t>法律法规</w:t>
      </w:r>
      <w:r>
        <w:rPr>
          <w:rFonts w:hint="eastAsia" w:ascii="宋体" w:hAnsi="宋体" w:eastAsia="宋体" w:cs="宋体"/>
          <w:b w:val="0"/>
          <w:bCs w:val="0"/>
          <w:color w:val="auto"/>
          <w:sz w:val="24"/>
          <w:szCs w:val="24"/>
          <w:highlight w:val="none"/>
        </w:rPr>
        <w:t>和规章的规定，本招标项目</w:t>
      </w:r>
      <w:r>
        <w:rPr>
          <w:rFonts w:hint="eastAsia" w:ascii="宋体" w:hAnsi="宋体" w:cs="宋体"/>
          <w:b w:val="0"/>
          <w:bCs w:val="0"/>
          <w:color w:val="auto"/>
          <w:sz w:val="24"/>
          <w:szCs w:val="24"/>
          <w:highlight w:val="none"/>
          <w:lang w:eastAsia="zh-CN"/>
        </w:rPr>
        <w:t>已具备</w:t>
      </w:r>
      <w:r>
        <w:rPr>
          <w:rFonts w:hint="eastAsia" w:ascii="宋体" w:hAnsi="宋体" w:eastAsia="宋体" w:cs="宋体"/>
          <w:b w:val="0"/>
          <w:bCs w:val="0"/>
          <w:color w:val="auto"/>
          <w:sz w:val="24"/>
          <w:szCs w:val="24"/>
          <w:highlight w:val="none"/>
        </w:rPr>
        <w:t>招标条件，现对本招标项目进行招标。</w:t>
      </w:r>
    </w:p>
    <w:p w14:paraId="775DE60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1.1.2 本招标项目招标人：见投标人须知前附表。</w:t>
      </w:r>
    </w:p>
    <w:p w14:paraId="3AD26B48">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1.1.3 本招标项目招标代理机构：见投标人须知前附表。</w:t>
      </w:r>
    </w:p>
    <w:p w14:paraId="617E9F4C">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1.1.4 本招标项目名称：见投标人须知前附表。</w:t>
      </w:r>
    </w:p>
    <w:p w14:paraId="3B466AD6">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1.1.5 本招标项目</w:t>
      </w:r>
      <w:r>
        <w:rPr>
          <w:rFonts w:hint="eastAsia" w:ascii="宋体" w:hAnsi="宋体" w:eastAsia="宋体" w:cs="宋体"/>
          <w:b w:val="0"/>
          <w:bCs w:val="0"/>
          <w:color w:val="auto"/>
          <w:sz w:val="24"/>
          <w:szCs w:val="24"/>
          <w:highlight w:val="none"/>
          <w:lang w:bidi="en-US"/>
        </w:rPr>
        <w:t>建设地点及内容</w:t>
      </w:r>
      <w:r>
        <w:rPr>
          <w:rFonts w:hint="eastAsia" w:ascii="宋体" w:hAnsi="宋体" w:eastAsia="宋体" w:cs="宋体"/>
          <w:b w:val="0"/>
          <w:bCs w:val="0"/>
          <w:color w:val="auto"/>
          <w:sz w:val="24"/>
          <w:szCs w:val="24"/>
          <w:highlight w:val="none"/>
        </w:rPr>
        <w:t>：见投标人须知前附表。</w:t>
      </w:r>
    </w:p>
    <w:p w14:paraId="56B15004">
      <w:pPr>
        <w:pStyle w:val="5"/>
        <w:spacing w:before="0" w:after="0"/>
        <w:ind w:firstLine="482" w:firstLineChars="201"/>
        <w:rPr>
          <w:rFonts w:hint="eastAsia" w:ascii="宋体" w:hAnsi="宋体" w:eastAsia="宋体" w:cs="宋体"/>
          <w:b w:val="0"/>
          <w:bCs w:val="0"/>
          <w:color w:val="auto"/>
          <w:sz w:val="24"/>
          <w:szCs w:val="24"/>
          <w:highlight w:val="none"/>
        </w:rPr>
      </w:pPr>
      <w:bookmarkStart w:id="45" w:name="_Toc32611"/>
      <w:bookmarkStart w:id="46" w:name="_Toc435016793"/>
      <w:bookmarkStart w:id="47" w:name="_Toc395964996"/>
      <w:bookmarkStart w:id="48" w:name="_Toc532397595"/>
      <w:bookmarkStart w:id="49" w:name="_Toc31516"/>
      <w:r>
        <w:rPr>
          <w:rFonts w:hint="eastAsia" w:ascii="宋体" w:hAnsi="宋体" w:eastAsia="宋体" w:cs="宋体"/>
          <w:b w:val="0"/>
          <w:bCs w:val="0"/>
          <w:color w:val="auto"/>
          <w:sz w:val="24"/>
          <w:szCs w:val="24"/>
          <w:highlight w:val="none"/>
        </w:rPr>
        <w:t>1.2 资金来源和落实情况</w:t>
      </w:r>
      <w:bookmarkEnd w:id="45"/>
      <w:bookmarkEnd w:id="46"/>
      <w:bookmarkEnd w:id="47"/>
      <w:bookmarkEnd w:id="48"/>
      <w:bookmarkEnd w:id="49"/>
    </w:p>
    <w:p w14:paraId="77FB5C03">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1.2.1 本招标项目的资金来源：见投标人须知前附表。</w:t>
      </w:r>
    </w:p>
    <w:p w14:paraId="54EC6ECC">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1.2.2 本招标项目的出资比例：见投标人须知前附表。</w:t>
      </w:r>
    </w:p>
    <w:p w14:paraId="1C71ACA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1.2.3 本招标项目的资金落实情况：见投标人须知前附表。</w:t>
      </w:r>
    </w:p>
    <w:p w14:paraId="5BCA1F69">
      <w:pPr>
        <w:pStyle w:val="5"/>
        <w:spacing w:before="0" w:after="0"/>
        <w:ind w:firstLine="482" w:firstLineChars="201"/>
        <w:rPr>
          <w:rFonts w:hint="eastAsia" w:ascii="宋体" w:hAnsi="宋体" w:eastAsia="宋体" w:cs="宋体"/>
          <w:b w:val="0"/>
          <w:bCs w:val="0"/>
          <w:color w:val="auto"/>
          <w:sz w:val="24"/>
          <w:szCs w:val="24"/>
          <w:highlight w:val="none"/>
        </w:rPr>
      </w:pPr>
      <w:bookmarkStart w:id="50" w:name="_Toc532397596"/>
      <w:bookmarkStart w:id="51" w:name="_Toc3440"/>
      <w:bookmarkStart w:id="52" w:name="_Toc9132"/>
      <w:bookmarkStart w:id="53" w:name="_Toc395964997"/>
      <w:bookmarkStart w:id="54" w:name="_Toc435016794"/>
      <w:r>
        <w:rPr>
          <w:rFonts w:hint="eastAsia" w:ascii="宋体" w:hAnsi="宋体" w:eastAsia="宋体" w:cs="宋体"/>
          <w:b w:val="0"/>
          <w:bCs w:val="0"/>
          <w:color w:val="auto"/>
          <w:sz w:val="24"/>
          <w:szCs w:val="24"/>
          <w:highlight w:val="none"/>
        </w:rPr>
        <w:t>1.3 招标范围和质量要求</w:t>
      </w:r>
      <w:bookmarkEnd w:id="50"/>
      <w:bookmarkEnd w:id="51"/>
      <w:bookmarkEnd w:id="52"/>
      <w:bookmarkEnd w:id="53"/>
      <w:bookmarkEnd w:id="54"/>
    </w:p>
    <w:p w14:paraId="17F7EE2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1.3.1 本次招标范围：见投标人须知前附表。</w:t>
      </w:r>
    </w:p>
    <w:p w14:paraId="5FFDD0A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1.3.2 本招标项目的工期要求：见投标人须知前附表。</w:t>
      </w:r>
    </w:p>
    <w:p w14:paraId="3907E95F">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1.3.3 本招标项目的质量要求：见投标人须知前附表。</w:t>
      </w:r>
    </w:p>
    <w:p w14:paraId="144D2308">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1.3.4 本招标项目的</w:t>
      </w:r>
      <w:r>
        <w:rPr>
          <w:rFonts w:hint="eastAsia" w:ascii="宋体" w:hAnsi="宋体" w:eastAsia="宋体" w:cs="宋体"/>
          <w:b w:val="0"/>
          <w:bCs w:val="0"/>
          <w:color w:val="auto"/>
          <w:sz w:val="24"/>
          <w:szCs w:val="24"/>
          <w:highlight w:val="none"/>
          <w:lang w:bidi="en-US"/>
        </w:rPr>
        <w:t>标段划分</w:t>
      </w:r>
      <w:r>
        <w:rPr>
          <w:rFonts w:hint="eastAsia" w:ascii="宋体" w:hAnsi="宋体" w:eastAsia="宋体" w:cs="宋体"/>
          <w:b w:val="0"/>
          <w:bCs w:val="0"/>
          <w:color w:val="auto"/>
          <w:sz w:val="24"/>
          <w:szCs w:val="24"/>
          <w:highlight w:val="none"/>
        </w:rPr>
        <w:t>：见投标人须知前附表。</w:t>
      </w:r>
    </w:p>
    <w:p w14:paraId="41606252">
      <w:pPr>
        <w:pStyle w:val="5"/>
        <w:spacing w:before="0" w:after="0"/>
        <w:ind w:firstLine="482" w:firstLineChars="201"/>
        <w:rPr>
          <w:rFonts w:hint="eastAsia" w:ascii="宋体" w:hAnsi="宋体" w:eastAsia="宋体" w:cs="宋体"/>
          <w:b w:val="0"/>
          <w:bCs w:val="0"/>
          <w:color w:val="auto"/>
          <w:sz w:val="24"/>
          <w:szCs w:val="24"/>
          <w:highlight w:val="none"/>
        </w:rPr>
      </w:pPr>
      <w:bookmarkStart w:id="55" w:name="_Toc29784"/>
      <w:bookmarkStart w:id="56" w:name="_Toc395964998"/>
      <w:bookmarkStart w:id="57" w:name="_Toc17933"/>
      <w:bookmarkStart w:id="58" w:name="_Toc435016795"/>
      <w:bookmarkStart w:id="59" w:name="_Toc532397597"/>
      <w:r>
        <w:rPr>
          <w:rFonts w:hint="eastAsia" w:ascii="宋体" w:hAnsi="宋体" w:eastAsia="宋体" w:cs="宋体"/>
          <w:b w:val="0"/>
          <w:bCs w:val="0"/>
          <w:color w:val="auto"/>
          <w:sz w:val="24"/>
          <w:szCs w:val="24"/>
          <w:highlight w:val="none"/>
        </w:rPr>
        <w:t>1.4 投标人资格要求</w:t>
      </w:r>
      <w:bookmarkEnd w:id="55"/>
      <w:bookmarkEnd w:id="56"/>
      <w:bookmarkEnd w:id="57"/>
      <w:bookmarkEnd w:id="58"/>
      <w:bookmarkEnd w:id="59"/>
    </w:p>
    <w:p w14:paraId="49C51DD8">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1.4.1 投标人应具备承担本招标项目资质条件、能力和信誉。</w:t>
      </w:r>
    </w:p>
    <w:p w14:paraId="6B2750AE">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（1）资质要求：见投标人须知前附表；</w:t>
      </w:r>
    </w:p>
    <w:p w14:paraId="6895A409">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（2）财务要求：见投标人须知前附表；</w:t>
      </w:r>
    </w:p>
    <w:p w14:paraId="73D508BE">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）信誉要求：见投标人须知前附表；</w:t>
      </w:r>
    </w:p>
    <w:p w14:paraId="6D9648F1">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拟派人员配备</w:t>
      </w:r>
      <w:r>
        <w:rPr>
          <w:rFonts w:hint="eastAsia" w:ascii="宋体" w:hAnsi="宋体" w:eastAsia="宋体" w:cs="宋体"/>
          <w:b w:val="0"/>
          <w:bCs w:val="0"/>
          <w:color w:val="auto"/>
          <w:sz w:val="24"/>
          <w:szCs w:val="24"/>
          <w:highlight w:val="none"/>
        </w:rPr>
        <w:t>资格要求：具体要求见投标人须知前附表；</w:t>
      </w:r>
    </w:p>
    <w:p w14:paraId="6E6022D2">
      <w:pPr>
        <w:spacing w:line="360" w:lineRule="auto"/>
        <w:ind w:firstLine="484" w:firstLineChars="20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其他要求</w:t>
      </w:r>
      <w:r>
        <w:rPr>
          <w:rFonts w:hint="eastAsia" w:ascii="宋体" w:hAnsi="宋体" w:eastAsia="宋体" w:cs="宋体"/>
          <w:b w:val="0"/>
          <w:bCs w:val="0"/>
          <w:color w:val="auto"/>
          <w:sz w:val="24"/>
          <w:szCs w:val="24"/>
          <w:highlight w:val="none"/>
        </w:rPr>
        <w:t>：见投标人须知前附表</w:t>
      </w:r>
      <w:r>
        <w:rPr>
          <w:rFonts w:hint="eastAsia" w:ascii="宋体" w:hAnsi="宋体" w:eastAsia="宋体" w:cs="宋体"/>
          <w:b w:val="0"/>
          <w:bCs w:val="0"/>
          <w:color w:val="auto"/>
          <w:sz w:val="24"/>
          <w:szCs w:val="24"/>
          <w:highlight w:val="none"/>
          <w:lang w:eastAsia="zh-CN"/>
        </w:rPr>
        <w:t>。</w:t>
      </w:r>
    </w:p>
    <w:p w14:paraId="178EC71C">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 xml:space="preserve"> 投标人不得存在下列情形之一：</w:t>
      </w:r>
    </w:p>
    <w:p w14:paraId="652617F2">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（1）为招标人不具有独立法人资格的附属机构（单位）；</w:t>
      </w:r>
    </w:p>
    <w:p w14:paraId="276CAFC3">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（2）为本招标项目的监理人；</w:t>
      </w:r>
    </w:p>
    <w:p w14:paraId="4B3B1EBC">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（3）为本招标项目的代建人；</w:t>
      </w:r>
    </w:p>
    <w:p w14:paraId="2B3E9012">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（4）为本招标项目提供招标代理服务的；</w:t>
      </w:r>
    </w:p>
    <w:p w14:paraId="4586E87B">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（5）与本招标项目的监理人或代建人或招标代理机构同为一个法定代表人的；</w:t>
      </w:r>
    </w:p>
    <w:p w14:paraId="56E6579C">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（6）与本招标项目的监理人或代建人或招标代理机构相互控股或参股的；</w:t>
      </w:r>
    </w:p>
    <w:p w14:paraId="7A269D13">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（7）与本招标项目的监理人或代建人或招标代理机构相互任职或工作的；</w:t>
      </w:r>
    </w:p>
    <w:p w14:paraId="265EA5CB">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（8）被责令停业的；</w:t>
      </w:r>
    </w:p>
    <w:p w14:paraId="250F25FA">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（9）被暂停或取消投标资格的；</w:t>
      </w:r>
    </w:p>
    <w:p w14:paraId="78F88ADB">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（10）财产被接管或冻结的；</w:t>
      </w:r>
    </w:p>
    <w:p w14:paraId="1DF067A0">
      <w:pPr>
        <w:spacing w:line="360" w:lineRule="auto"/>
        <w:ind w:firstLine="484" w:firstLineChars="202"/>
        <w:rPr>
          <w:rFonts w:hint="eastAsia" w:ascii="宋体" w:hAnsi="宋体" w:eastAsia="宋体" w:cs="宋体"/>
          <w:b w:val="0"/>
          <w:bCs w:val="0"/>
          <w:color w:val="auto"/>
          <w:sz w:val="24"/>
          <w:szCs w:val="24"/>
          <w:highlight w:val="none"/>
          <w:lang w:eastAsia="zh-CN" w:bidi="en-US"/>
        </w:rPr>
      </w:pPr>
      <w:r>
        <w:rPr>
          <w:rFonts w:hint="eastAsia" w:ascii="宋体" w:hAnsi="宋体" w:eastAsia="宋体" w:cs="宋体"/>
          <w:b w:val="0"/>
          <w:bCs w:val="0"/>
          <w:color w:val="auto"/>
          <w:sz w:val="24"/>
          <w:szCs w:val="24"/>
          <w:highlight w:val="none"/>
          <w:lang w:bidi="en-US"/>
        </w:rPr>
        <w:t>（11）在最近三年内有骗取中标或严重违约或重大工程质量问题的</w:t>
      </w:r>
      <w:r>
        <w:rPr>
          <w:rFonts w:hint="eastAsia" w:ascii="宋体" w:hAnsi="宋体" w:cs="宋体"/>
          <w:b w:val="0"/>
          <w:bCs w:val="0"/>
          <w:color w:val="auto"/>
          <w:sz w:val="24"/>
          <w:szCs w:val="24"/>
          <w:highlight w:val="none"/>
          <w:lang w:eastAsia="zh-CN" w:bidi="en-US"/>
        </w:rPr>
        <w:t>；</w:t>
      </w:r>
    </w:p>
    <w:p w14:paraId="172F0116">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en-US"/>
        </w:rPr>
        <w:t>（12）单位负责人为同一人或者存在控股、管理关系的不同单位，不得参加同一标段投标或者未划分标段的同一招标项目投标。</w:t>
      </w:r>
    </w:p>
    <w:p w14:paraId="4187FB4E">
      <w:pPr>
        <w:pStyle w:val="5"/>
        <w:spacing w:before="0" w:after="0"/>
        <w:ind w:firstLine="482" w:firstLineChars="201"/>
        <w:rPr>
          <w:rFonts w:hint="eastAsia" w:ascii="宋体" w:hAnsi="宋体" w:eastAsia="宋体" w:cs="宋体"/>
          <w:b w:val="0"/>
          <w:bCs w:val="0"/>
          <w:color w:val="auto"/>
          <w:sz w:val="24"/>
          <w:szCs w:val="24"/>
          <w:highlight w:val="none"/>
        </w:rPr>
      </w:pPr>
      <w:bookmarkStart w:id="60" w:name="_Toc23725"/>
      <w:bookmarkStart w:id="61" w:name="_Toc435016796"/>
      <w:bookmarkStart w:id="62" w:name="_Toc395964999"/>
      <w:bookmarkStart w:id="63" w:name="_Toc532397598"/>
      <w:bookmarkStart w:id="64" w:name="_Toc2326"/>
      <w:r>
        <w:rPr>
          <w:rFonts w:hint="eastAsia" w:ascii="宋体" w:hAnsi="宋体" w:eastAsia="宋体" w:cs="宋体"/>
          <w:b w:val="0"/>
          <w:bCs w:val="0"/>
          <w:color w:val="auto"/>
          <w:sz w:val="24"/>
          <w:szCs w:val="24"/>
          <w:highlight w:val="none"/>
        </w:rPr>
        <w:t>1.5 费用承担</w:t>
      </w:r>
      <w:bookmarkEnd w:id="60"/>
      <w:bookmarkEnd w:id="61"/>
      <w:bookmarkEnd w:id="62"/>
      <w:bookmarkEnd w:id="63"/>
      <w:bookmarkEnd w:id="64"/>
    </w:p>
    <w:p w14:paraId="4AC851CC">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1.5.1 投标人准备和参加投标活动发生的费用自理。</w:t>
      </w:r>
    </w:p>
    <w:p w14:paraId="72FCB91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1.5.2 其他费用按国家、省、市相关规定收取。</w:t>
      </w:r>
    </w:p>
    <w:p w14:paraId="674002DE">
      <w:pPr>
        <w:pStyle w:val="5"/>
        <w:spacing w:before="0" w:after="0"/>
        <w:ind w:firstLine="482" w:firstLineChars="201"/>
        <w:rPr>
          <w:rFonts w:hint="eastAsia" w:ascii="宋体" w:hAnsi="宋体" w:eastAsia="宋体" w:cs="宋体"/>
          <w:b w:val="0"/>
          <w:bCs w:val="0"/>
          <w:color w:val="auto"/>
          <w:sz w:val="24"/>
          <w:szCs w:val="24"/>
          <w:highlight w:val="none"/>
        </w:rPr>
      </w:pPr>
      <w:bookmarkStart w:id="65" w:name="_Toc395965001"/>
      <w:bookmarkStart w:id="66" w:name="_Toc435016798"/>
      <w:bookmarkStart w:id="67" w:name="_Toc1614"/>
      <w:bookmarkStart w:id="68" w:name="_Toc532397599"/>
      <w:bookmarkStart w:id="69" w:name="_Toc7126"/>
      <w:r>
        <w:rPr>
          <w:rFonts w:hint="eastAsia" w:ascii="宋体" w:hAnsi="宋体" w:eastAsia="宋体" w:cs="宋体"/>
          <w:b w:val="0"/>
          <w:bCs w:val="0"/>
          <w:color w:val="auto"/>
          <w:sz w:val="24"/>
          <w:szCs w:val="24"/>
          <w:highlight w:val="none"/>
        </w:rPr>
        <w:t>1.6 保密</w:t>
      </w:r>
      <w:bookmarkEnd w:id="65"/>
      <w:bookmarkEnd w:id="66"/>
      <w:bookmarkEnd w:id="67"/>
      <w:bookmarkEnd w:id="68"/>
      <w:bookmarkEnd w:id="69"/>
    </w:p>
    <w:p w14:paraId="252A8EF0">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参与招标投标活动的各方应对招标文件和投标文件中的商业和技术等秘密保密，违者应对由此造成的后果承担法律责任。</w:t>
      </w:r>
    </w:p>
    <w:p w14:paraId="3DE98A29">
      <w:pPr>
        <w:pStyle w:val="5"/>
        <w:spacing w:before="0" w:after="0"/>
        <w:ind w:firstLine="482" w:firstLineChars="201"/>
        <w:rPr>
          <w:rFonts w:hint="eastAsia" w:ascii="宋体" w:hAnsi="宋体" w:eastAsia="宋体" w:cs="宋体"/>
          <w:b w:val="0"/>
          <w:bCs w:val="0"/>
          <w:color w:val="auto"/>
          <w:sz w:val="24"/>
          <w:szCs w:val="24"/>
          <w:highlight w:val="none"/>
        </w:rPr>
      </w:pPr>
      <w:bookmarkStart w:id="70" w:name="_Toc8274"/>
      <w:bookmarkStart w:id="71" w:name="_Toc21721"/>
      <w:bookmarkStart w:id="72" w:name="_Toc435016797"/>
      <w:bookmarkStart w:id="73" w:name="_Toc532397600"/>
      <w:bookmarkStart w:id="74" w:name="_Toc395965000"/>
      <w:r>
        <w:rPr>
          <w:rFonts w:hint="eastAsia" w:ascii="宋体" w:hAnsi="宋体" w:eastAsia="宋体" w:cs="宋体"/>
          <w:b w:val="0"/>
          <w:bCs w:val="0"/>
          <w:color w:val="auto"/>
          <w:sz w:val="24"/>
          <w:szCs w:val="24"/>
          <w:highlight w:val="none"/>
        </w:rPr>
        <w:t>1.7 语言文字</w:t>
      </w:r>
      <w:bookmarkEnd w:id="70"/>
      <w:bookmarkEnd w:id="71"/>
      <w:bookmarkEnd w:id="72"/>
      <w:bookmarkEnd w:id="73"/>
      <w:bookmarkEnd w:id="74"/>
    </w:p>
    <w:p w14:paraId="3D344B79">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除专用术语外，与招标投标有关的语言均使用中文。必要时专用术语应附有中文注释。</w:t>
      </w:r>
    </w:p>
    <w:p w14:paraId="43FBD8D9">
      <w:pPr>
        <w:pStyle w:val="5"/>
        <w:spacing w:before="0" w:after="0"/>
        <w:ind w:firstLine="482" w:firstLineChars="201"/>
        <w:rPr>
          <w:rFonts w:hint="eastAsia" w:ascii="宋体" w:hAnsi="宋体" w:eastAsia="宋体" w:cs="宋体"/>
          <w:b w:val="0"/>
          <w:bCs w:val="0"/>
          <w:color w:val="auto"/>
          <w:sz w:val="24"/>
          <w:szCs w:val="24"/>
          <w:highlight w:val="none"/>
        </w:rPr>
      </w:pPr>
      <w:bookmarkStart w:id="75" w:name="_Toc3492"/>
      <w:bookmarkStart w:id="76" w:name="_Toc435016800"/>
      <w:bookmarkStart w:id="77" w:name="_Toc395965003"/>
      <w:bookmarkStart w:id="78" w:name="_Toc532397601"/>
      <w:bookmarkStart w:id="79" w:name="_Toc2833"/>
      <w:r>
        <w:rPr>
          <w:rFonts w:hint="eastAsia" w:ascii="宋体" w:hAnsi="宋体" w:eastAsia="宋体" w:cs="宋体"/>
          <w:b w:val="0"/>
          <w:bCs w:val="0"/>
          <w:color w:val="auto"/>
          <w:sz w:val="24"/>
          <w:szCs w:val="24"/>
          <w:highlight w:val="none"/>
        </w:rPr>
        <w:t>1.8 计量单位</w:t>
      </w:r>
      <w:bookmarkEnd w:id="75"/>
      <w:bookmarkEnd w:id="76"/>
      <w:bookmarkEnd w:id="77"/>
      <w:bookmarkEnd w:id="78"/>
      <w:bookmarkEnd w:id="79"/>
    </w:p>
    <w:p w14:paraId="45B8BBD0">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所有计量均采用中华人民共和国法定计量单位。</w:t>
      </w:r>
    </w:p>
    <w:p w14:paraId="7EA5BD13">
      <w:pPr>
        <w:pStyle w:val="5"/>
        <w:spacing w:before="0" w:after="0"/>
        <w:ind w:firstLine="482" w:firstLineChars="201"/>
        <w:rPr>
          <w:rFonts w:hint="eastAsia" w:ascii="宋体" w:hAnsi="宋体" w:eastAsia="宋体" w:cs="宋体"/>
          <w:b w:val="0"/>
          <w:bCs w:val="0"/>
          <w:color w:val="auto"/>
          <w:sz w:val="24"/>
          <w:szCs w:val="24"/>
          <w:highlight w:val="none"/>
        </w:rPr>
      </w:pPr>
      <w:bookmarkStart w:id="80" w:name="_Toc532397602"/>
      <w:bookmarkStart w:id="81" w:name="_Toc395965004"/>
      <w:bookmarkStart w:id="82" w:name="_Toc435016801"/>
      <w:bookmarkStart w:id="83" w:name="_Toc21321"/>
      <w:bookmarkStart w:id="84" w:name="_Toc25998"/>
      <w:r>
        <w:rPr>
          <w:rFonts w:hint="eastAsia" w:ascii="宋体" w:hAnsi="宋体" w:eastAsia="宋体" w:cs="宋体"/>
          <w:b w:val="0"/>
          <w:bCs w:val="0"/>
          <w:color w:val="auto"/>
          <w:sz w:val="24"/>
          <w:szCs w:val="24"/>
          <w:highlight w:val="none"/>
        </w:rPr>
        <w:t>1.9 踏勘现场</w:t>
      </w:r>
      <w:bookmarkEnd w:id="80"/>
      <w:bookmarkEnd w:id="81"/>
      <w:bookmarkEnd w:id="82"/>
      <w:bookmarkEnd w:id="83"/>
      <w:bookmarkEnd w:id="84"/>
    </w:p>
    <w:p w14:paraId="0962A915">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1.9.1 “投标人须知前附表”规定组织踏勘现场的。</w:t>
      </w:r>
    </w:p>
    <w:p w14:paraId="4E181188">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1.9.2 投标人踏勘现场发生的费用自理。</w:t>
      </w:r>
    </w:p>
    <w:p w14:paraId="31E6577F">
      <w:pPr>
        <w:spacing w:line="360" w:lineRule="auto"/>
        <w:ind w:firstLine="484" w:firstLineChars="202"/>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1.9.3 除招标人的原因外，投标人自行负责在踏勘现场中所发生的人员伤亡和财产损失。</w:t>
      </w:r>
    </w:p>
    <w:p w14:paraId="7024DED5">
      <w:pPr>
        <w:pStyle w:val="5"/>
        <w:spacing w:before="0" w:after="0"/>
        <w:ind w:firstLine="482" w:firstLineChars="201"/>
        <w:rPr>
          <w:rFonts w:hint="eastAsia" w:ascii="宋体" w:hAnsi="宋体" w:eastAsia="宋体" w:cs="宋体"/>
          <w:b w:val="0"/>
          <w:bCs w:val="0"/>
          <w:color w:val="auto"/>
          <w:sz w:val="24"/>
          <w:szCs w:val="24"/>
          <w:highlight w:val="none"/>
        </w:rPr>
      </w:pPr>
      <w:bookmarkStart w:id="85" w:name="_Toc30360"/>
      <w:bookmarkStart w:id="86" w:name="_Toc395965005"/>
      <w:bookmarkStart w:id="87" w:name="_Toc8119"/>
      <w:bookmarkStart w:id="88" w:name="_Toc532397603"/>
      <w:bookmarkStart w:id="89" w:name="_Toc435016802"/>
      <w:r>
        <w:rPr>
          <w:rFonts w:hint="eastAsia" w:ascii="宋体" w:hAnsi="宋体" w:eastAsia="宋体" w:cs="宋体"/>
          <w:b w:val="0"/>
          <w:bCs w:val="0"/>
          <w:color w:val="auto"/>
          <w:sz w:val="24"/>
          <w:szCs w:val="24"/>
          <w:highlight w:val="none"/>
        </w:rPr>
        <w:t>1.10 投标预备会</w:t>
      </w:r>
      <w:bookmarkEnd w:id="85"/>
      <w:bookmarkEnd w:id="86"/>
      <w:bookmarkEnd w:id="87"/>
      <w:bookmarkEnd w:id="88"/>
      <w:bookmarkEnd w:id="89"/>
    </w:p>
    <w:p w14:paraId="60238BB8">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1.10.1 招标人不集中召开投标预备会，实行网上答疑。投标人若有疑问，需要招标人予以答疑的，应以不署名的形式在</w:t>
      </w:r>
      <w:r>
        <w:rPr>
          <w:rFonts w:hint="eastAsia" w:ascii="宋体" w:hAnsi="宋体" w:eastAsia="宋体" w:cs="宋体"/>
          <w:b w:val="0"/>
          <w:bCs w:val="0"/>
          <w:color w:val="auto"/>
          <w:sz w:val="24"/>
          <w:szCs w:val="24"/>
          <w:highlight w:val="none"/>
          <w:lang w:eastAsia="zh-CN"/>
        </w:rPr>
        <w:t>《全国公共资源交易平台</w:t>
      </w:r>
      <w:r>
        <w:rPr>
          <w:rFonts w:hint="eastAsia" w:ascii="宋体" w:hAnsi="宋体" w:cs="宋体"/>
          <w:b w:val="0"/>
          <w:bCs w:val="0"/>
          <w:color w:val="auto"/>
          <w:sz w:val="24"/>
          <w:szCs w:val="24"/>
          <w:highlight w:val="none"/>
          <w:lang w:eastAsia="zh-CN"/>
        </w:rPr>
        <w:t>（云南省）</w:t>
      </w:r>
      <w:r>
        <w:rPr>
          <w:rFonts w:hint="eastAsia" w:ascii="宋体" w:hAnsi="宋体" w:eastAsia="宋体" w:cs="宋体"/>
          <w:b w:val="0"/>
          <w:bCs w:val="0"/>
          <w:color w:val="auto"/>
          <w:sz w:val="24"/>
          <w:szCs w:val="24"/>
          <w:highlight w:val="none"/>
          <w:lang w:eastAsia="zh-CN"/>
        </w:rPr>
        <w:t>云南省公共资源交易信息网》</w:t>
      </w:r>
      <w:r>
        <w:rPr>
          <w:rFonts w:hint="eastAsia" w:ascii="宋体" w:hAnsi="宋体" w:eastAsia="宋体" w:cs="宋体"/>
          <w:b w:val="0"/>
          <w:bCs w:val="0"/>
          <w:color w:val="auto"/>
          <w:kern w:val="2"/>
          <w:sz w:val="24"/>
          <w:szCs w:val="24"/>
          <w:highlight w:val="none"/>
          <w:lang w:val="en-US" w:eastAsia="zh-CN" w:bidi="ar-SA"/>
        </w:rPr>
        <w:t>（网址：</w:t>
      </w:r>
      <w:r>
        <w:rPr>
          <w:rFonts w:hint="eastAsia" w:ascii="宋体" w:hAnsi="宋体" w:cs="宋体"/>
          <w:b w:val="0"/>
          <w:bCs w:val="0"/>
          <w:color w:val="auto"/>
          <w:kern w:val="2"/>
          <w:sz w:val="24"/>
          <w:szCs w:val="24"/>
          <w:highlight w:val="none"/>
          <w:lang w:val="en-US" w:eastAsia="zh-CN" w:bidi="ar-SA"/>
        </w:rPr>
        <w:t>http://ggzy.yn.gov.cn</w:t>
      </w:r>
      <w:r>
        <w:rPr>
          <w:rFonts w:hint="eastAsia" w:ascii="宋体" w:hAnsi="宋体" w:eastAsia="宋体" w:cs="宋体"/>
          <w:b w:val="0"/>
          <w:bCs w:val="0"/>
          <w:color w:val="auto"/>
          <w:kern w:val="2"/>
          <w:sz w:val="24"/>
          <w:szCs w:val="24"/>
          <w:highlight w:val="none"/>
          <w:lang w:val="en-US" w:eastAsia="zh-CN" w:bidi="ar-SA"/>
        </w:rPr>
        <w:t>）选择“楚雄州”）</w:t>
      </w:r>
      <w:r>
        <w:rPr>
          <w:rFonts w:hint="eastAsia" w:ascii="宋体" w:hAnsi="宋体" w:eastAsia="宋体" w:cs="宋体"/>
          <w:b w:val="0"/>
          <w:bCs w:val="0"/>
          <w:color w:val="auto"/>
          <w:sz w:val="24"/>
          <w:szCs w:val="24"/>
          <w:highlight w:val="none"/>
        </w:rPr>
        <w:t>提出。</w:t>
      </w:r>
    </w:p>
    <w:p w14:paraId="5F0ABF6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1.10.2 投标人提出问题的截止时间和方法：见投标人须知前附表。</w:t>
      </w:r>
    </w:p>
    <w:p w14:paraId="5881D7C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1.10.3 招标人澄清的时间和方法：见投标人须知前附表。</w:t>
      </w:r>
    </w:p>
    <w:p w14:paraId="61A08DA1">
      <w:pPr>
        <w:pStyle w:val="5"/>
        <w:spacing w:before="0" w:after="0"/>
        <w:ind w:firstLine="482" w:firstLineChars="201"/>
        <w:rPr>
          <w:rFonts w:hint="eastAsia" w:ascii="宋体" w:hAnsi="宋体" w:eastAsia="宋体" w:cs="宋体"/>
          <w:b w:val="0"/>
          <w:bCs w:val="0"/>
          <w:color w:val="auto"/>
          <w:sz w:val="24"/>
          <w:szCs w:val="24"/>
          <w:highlight w:val="none"/>
        </w:rPr>
      </w:pPr>
      <w:bookmarkStart w:id="90" w:name="_Toc20425"/>
      <w:bookmarkStart w:id="91" w:name="_Toc532397604"/>
      <w:bookmarkStart w:id="92" w:name="_Toc23080"/>
      <w:r>
        <w:rPr>
          <w:rFonts w:hint="eastAsia" w:ascii="宋体" w:hAnsi="宋体" w:eastAsia="宋体" w:cs="宋体"/>
          <w:b w:val="0"/>
          <w:bCs w:val="0"/>
          <w:color w:val="auto"/>
          <w:sz w:val="24"/>
          <w:szCs w:val="24"/>
          <w:highlight w:val="none"/>
        </w:rPr>
        <w:t>1.11 分包</w:t>
      </w:r>
      <w:bookmarkEnd w:id="90"/>
      <w:bookmarkEnd w:id="91"/>
      <w:bookmarkEnd w:id="92"/>
    </w:p>
    <w:p w14:paraId="0E4F5D5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见投标人须知前附表。</w:t>
      </w:r>
    </w:p>
    <w:p w14:paraId="6CD7862D">
      <w:pPr>
        <w:pStyle w:val="5"/>
        <w:spacing w:before="0" w:after="0"/>
        <w:ind w:firstLine="482" w:firstLineChars="201"/>
        <w:rPr>
          <w:rFonts w:hint="eastAsia" w:ascii="宋体" w:hAnsi="宋体" w:eastAsia="宋体" w:cs="宋体"/>
          <w:b w:val="0"/>
          <w:bCs w:val="0"/>
          <w:color w:val="auto"/>
          <w:sz w:val="24"/>
          <w:szCs w:val="24"/>
          <w:highlight w:val="none"/>
        </w:rPr>
      </w:pPr>
      <w:bookmarkStart w:id="93" w:name="_Toc17114"/>
      <w:bookmarkStart w:id="94" w:name="_Toc532397605"/>
      <w:bookmarkStart w:id="95" w:name="_Toc490405148"/>
      <w:bookmarkStart w:id="96" w:name="_Toc30516"/>
      <w:r>
        <w:rPr>
          <w:rFonts w:hint="eastAsia" w:ascii="宋体" w:hAnsi="宋体" w:eastAsia="宋体" w:cs="宋体"/>
          <w:b w:val="0"/>
          <w:bCs w:val="0"/>
          <w:color w:val="auto"/>
          <w:sz w:val="24"/>
          <w:szCs w:val="24"/>
          <w:highlight w:val="none"/>
        </w:rPr>
        <w:t>1.12 偏离</w:t>
      </w:r>
      <w:bookmarkEnd w:id="93"/>
      <w:bookmarkEnd w:id="94"/>
      <w:bookmarkEnd w:id="95"/>
      <w:bookmarkEnd w:id="96"/>
    </w:p>
    <w:p w14:paraId="0EB6D855">
      <w:pPr>
        <w:spacing w:line="360" w:lineRule="auto"/>
        <w:ind w:firstLine="484" w:firstLineChars="202"/>
        <w:rPr>
          <w:rFonts w:hint="eastAsia" w:ascii="宋体" w:hAnsi="宋体" w:eastAsia="宋体" w:cs="宋体"/>
          <w:b w:val="0"/>
          <w:bCs w:val="0"/>
          <w:color w:val="auto"/>
          <w:sz w:val="24"/>
          <w:szCs w:val="24"/>
          <w:highlight w:val="none"/>
        </w:rPr>
      </w:pPr>
      <w:bookmarkStart w:id="97" w:name="_Toc184635072"/>
      <w:bookmarkStart w:id="98" w:name="_Toc2125"/>
      <w:bookmarkStart w:id="99" w:name="_Toc435016803"/>
      <w:bookmarkStart w:id="100" w:name="_Toc395965006"/>
      <w:bookmarkStart w:id="101" w:name="_Toc13054"/>
      <w:bookmarkStart w:id="102" w:name="_Toc184635073"/>
      <w:r>
        <w:rPr>
          <w:rFonts w:hint="eastAsia" w:ascii="宋体" w:hAnsi="宋体" w:eastAsia="宋体" w:cs="宋体"/>
          <w:b w:val="0"/>
          <w:bCs w:val="0"/>
          <w:color w:val="auto"/>
          <w:sz w:val="24"/>
          <w:szCs w:val="24"/>
          <w:highlight w:val="none"/>
        </w:rPr>
        <w:t>见投标人须知前附表。</w:t>
      </w:r>
    </w:p>
    <w:p w14:paraId="3CD649AC">
      <w:pPr>
        <w:pStyle w:val="4"/>
        <w:spacing w:before="0" w:after="0"/>
        <w:ind w:firstLine="482" w:firstLineChars="20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bookmarkEnd w:id="97"/>
      <w:r>
        <w:rPr>
          <w:rFonts w:hint="eastAsia" w:ascii="宋体" w:hAnsi="宋体" w:eastAsia="宋体" w:cs="宋体"/>
          <w:b w:val="0"/>
          <w:bCs w:val="0"/>
          <w:color w:val="auto"/>
          <w:sz w:val="24"/>
          <w:szCs w:val="24"/>
          <w:highlight w:val="none"/>
        </w:rPr>
        <w:t>招标文件</w:t>
      </w:r>
      <w:bookmarkEnd w:id="98"/>
      <w:bookmarkEnd w:id="99"/>
      <w:bookmarkEnd w:id="100"/>
      <w:bookmarkEnd w:id="101"/>
    </w:p>
    <w:p w14:paraId="56B38F46">
      <w:pPr>
        <w:pStyle w:val="5"/>
        <w:spacing w:before="0" w:after="0"/>
        <w:ind w:firstLine="482" w:firstLineChars="201"/>
        <w:rPr>
          <w:rFonts w:hint="eastAsia" w:ascii="宋体" w:hAnsi="宋体" w:eastAsia="宋体" w:cs="宋体"/>
          <w:b w:val="0"/>
          <w:bCs w:val="0"/>
          <w:color w:val="auto"/>
          <w:sz w:val="24"/>
          <w:szCs w:val="24"/>
          <w:highlight w:val="none"/>
        </w:rPr>
      </w:pPr>
      <w:bookmarkStart w:id="103" w:name="_Toc435016804"/>
      <w:bookmarkStart w:id="104" w:name="_Toc7853"/>
      <w:bookmarkStart w:id="105" w:name="_Toc19534"/>
      <w:bookmarkStart w:id="106" w:name="_Toc532397607"/>
      <w:bookmarkStart w:id="107" w:name="_Toc395965007"/>
      <w:r>
        <w:rPr>
          <w:rFonts w:hint="eastAsia" w:ascii="宋体" w:hAnsi="宋体" w:eastAsia="宋体" w:cs="宋体"/>
          <w:b w:val="0"/>
          <w:bCs w:val="0"/>
          <w:color w:val="auto"/>
          <w:sz w:val="24"/>
          <w:szCs w:val="24"/>
          <w:highlight w:val="none"/>
        </w:rPr>
        <w:t>2.1 招标文件的组成</w:t>
      </w:r>
      <w:bookmarkEnd w:id="103"/>
      <w:bookmarkEnd w:id="104"/>
      <w:bookmarkEnd w:id="105"/>
      <w:bookmarkEnd w:id="106"/>
      <w:bookmarkEnd w:id="107"/>
    </w:p>
    <w:p w14:paraId="736D05F9">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本招标文件包括：</w:t>
      </w:r>
    </w:p>
    <w:p w14:paraId="796F5D6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（1）电子招标文件，格式为*.</w:t>
      </w:r>
      <w:r>
        <w:rPr>
          <w:rFonts w:hint="eastAsia" w:ascii="宋体" w:hAnsi="宋体" w:eastAsia="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rPr>
        <w:t>ZBJ，包含招标公告、投标人须知、评标办法、技术规范和要求、合同条款及格式、投标文件格式、投标人须知前附表规定的其他材料；</w:t>
      </w:r>
    </w:p>
    <w:p w14:paraId="3DBA159C">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（2）其他附件（电子版）。</w:t>
      </w:r>
    </w:p>
    <w:p w14:paraId="760F643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根据本章第1.10款、第2.2款和第2.3款对招标文件所</w:t>
      </w:r>
      <w:r>
        <w:rPr>
          <w:rFonts w:hint="eastAsia" w:ascii="宋体" w:hAnsi="宋体" w:cs="宋体"/>
          <w:b w:val="0"/>
          <w:bCs w:val="0"/>
          <w:color w:val="auto"/>
          <w:sz w:val="24"/>
          <w:szCs w:val="24"/>
          <w:highlight w:val="none"/>
          <w:lang w:eastAsia="zh-CN"/>
        </w:rPr>
        <w:t>做</w:t>
      </w:r>
      <w:r>
        <w:rPr>
          <w:rFonts w:hint="eastAsia" w:ascii="宋体" w:hAnsi="宋体" w:eastAsia="宋体" w:cs="宋体"/>
          <w:b w:val="0"/>
          <w:bCs w:val="0"/>
          <w:color w:val="auto"/>
          <w:sz w:val="24"/>
          <w:szCs w:val="24"/>
          <w:highlight w:val="none"/>
        </w:rPr>
        <w:t>的澄清、修改，构成招标文件的组成部分。</w:t>
      </w:r>
    </w:p>
    <w:p w14:paraId="583391CF">
      <w:pPr>
        <w:pStyle w:val="5"/>
        <w:spacing w:before="0" w:after="0"/>
        <w:ind w:firstLine="482" w:firstLineChars="201"/>
        <w:rPr>
          <w:rFonts w:hint="eastAsia" w:ascii="宋体" w:hAnsi="宋体" w:eastAsia="宋体" w:cs="宋体"/>
          <w:b w:val="0"/>
          <w:bCs w:val="0"/>
          <w:color w:val="auto"/>
          <w:sz w:val="24"/>
          <w:szCs w:val="24"/>
          <w:highlight w:val="none"/>
        </w:rPr>
      </w:pPr>
      <w:bookmarkStart w:id="108" w:name="_Toc19058"/>
      <w:bookmarkStart w:id="109" w:name="_Toc435016805"/>
      <w:bookmarkStart w:id="110" w:name="_Toc532397608"/>
      <w:bookmarkStart w:id="111" w:name="_Toc7913"/>
      <w:bookmarkStart w:id="112" w:name="_Toc395965008"/>
      <w:r>
        <w:rPr>
          <w:rFonts w:hint="eastAsia" w:ascii="宋体" w:hAnsi="宋体" w:eastAsia="宋体" w:cs="宋体"/>
          <w:b w:val="0"/>
          <w:bCs w:val="0"/>
          <w:color w:val="auto"/>
          <w:sz w:val="24"/>
          <w:szCs w:val="24"/>
          <w:highlight w:val="none"/>
        </w:rPr>
        <w:t>2.2 招标文件的澄清</w:t>
      </w:r>
      <w:bookmarkEnd w:id="108"/>
      <w:bookmarkEnd w:id="109"/>
      <w:bookmarkEnd w:id="110"/>
      <w:bookmarkEnd w:id="111"/>
      <w:bookmarkEnd w:id="112"/>
    </w:p>
    <w:p w14:paraId="7864D551">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2.2.1 同1.10.2的时间要求。投标人应仔细阅读和检查招标文件的全部内容。如发现缺项或内容不全，应及时向招标人提出，以便补齐。如有疑问，应在投标人须知前附表规定的截止时间前凭身份认证</w:t>
      </w:r>
      <w:r>
        <w:rPr>
          <w:rFonts w:hint="eastAsia" w:ascii="宋体" w:hAnsi="宋体" w:cs="宋体"/>
          <w:b w:val="0"/>
          <w:bCs w:val="0"/>
          <w:color w:val="auto"/>
          <w:sz w:val="24"/>
          <w:szCs w:val="24"/>
          <w:highlight w:val="none"/>
          <w:lang w:eastAsia="zh-CN"/>
        </w:rPr>
        <w:t>密码</w:t>
      </w:r>
      <w:r>
        <w:rPr>
          <w:rFonts w:hint="eastAsia" w:ascii="宋体" w:hAnsi="宋体" w:eastAsia="宋体" w:cs="宋体"/>
          <w:b w:val="0"/>
          <w:bCs w:val="0"/>
          <w:color w:val="auto"/>
          <w:sz w:val="24"/>
          <w:szCs w:val="24"/>
          <w:highlight w:val="none"/>
        </w:rPr>
        <w:t>登录</w:t>
      </w:r>
      <w:r>
        <w:rPr>
          <w:rFonts w:hint="eastAsia" w:ascii="宋体" w:hAnsi="宋体" w:eastAsia="宋体" w:cs="宋体"/>
          <w:b w:val="0"/>
          <w:bCs w:val="0"/>
          <w:color w:val="auto"/>
          <w:sz w:val="24"/>
          <w:szCs w:val="24"/>
          <w:highlight w:val="none"/>
          <w:lang w:eastAsia="zh-CN"/>
        </w:rPr>
        <w:t>《全国公共资源交易平台</w:t>
      </w:r>
      <w:r>
        <w:rPr>
          <w:rFonts w:hint="eastAsia" w:ascii="宋体" w:hAnsi="宋体" w:cs="宋体"/>
          <w:b w:val="0"/>
          <w:bCs w:val="0"/>
          <w:color w:val="auto"/>
          <w:sz w:val="24"/>
          <w:szCs w:val="24"/>
          <w:highlight w:val="none"/>
          <w:lang w:eastAsia="zh-CN"/>
        </w:rPr>
        <w:t>（云南省）</w:t>
      </w:r>
      <w:r>
        <w:rPr>
          <w:rFonts w:hint="eastAsia" w:ascii="宋体" w:hAnsi="宋体" w:eastAsia="宋体" w:cs="宋体"/>
          <w:b w:val="0"/>
          <w:bCs w:val="0"/>
          <w:color w:val="auto"/>
          <w:sz w:val="24"/>
          <w:szCs w:val="24"/>
          <w:highlight w:val="none"/>
          <w:lang w:eastAsia="zh-CN"/>
        </w:rPr>
        <w:t>云南省公共资源交易信息网》（</w:t>
      </w:r>
      <w:r>
        <w:rPr>
          <w:rFonts w:hint="eastAsia" w:ascii="宋体" w:hAnsi="宋体" w:eastAsia="宋体" w:cs="宋体"/>
          <w:b w:val="0"/>
          <w:bCs w:val="0"/>
          <w:color w:val="auto"/>
          <w:sz w:val="24"/>
          <w:szCs w:val="24"/>
          <w:highlight w:val="none"/>
          <w:lang w:val="en-US" w:eastAsia="zh-CN"/>
        </w:rPr>
        <w:t>网址：</w:t>
      </w:r>
      <w:r>
        <w:rPr>
          <w:rFonts w:hint="eastAsia" w:ascii="宋体" w:hAnsi="宋体" w:cs="宋体"/>
          <w:b w:val="0"/>
          <w:bCs w:val="0"/>
          <w:color w:val="auto"/>
          <w:sz w:val="24"/>
          <w:szCs w:val="24"/>
          <w:highlight w:val="none"/>
          <w:lang w:eastAsia="zh-CN"/>
        </w:rPr>
        <w:t>http://ggzy.yn.gov.cn</w:t>
      </w:r>
      <w:r>
        <w:rPr>
          <w:rFonts w:hint="eastAsia" w:ascii="宋体" w:hAnsi="宋体" w:eastAsia="宋体" w:cs="宋体"/>
          <w:b w:val="0"/>
          <w:bCs w:val="0"/>
          <w:color w:val="auto"/>
          <w:sz w:val="24"/>
          <w:szCs w:val="24"/>
          <w:highlight w:val="none"/>
          <w:lang w:eastAsia="zh-CN"/>
        </w:rPr>
        <w:t>，选择“楚雄州”）</w:t>
      </w:r>
      <w:r>
        <w:rPr>
          <w:rFonts w:hint="eastAsia" w:ascii="宋体" w:hAnsi="宋体" w:eastAsia="宋体" w:cs="宋体"/>
          <w:b w:val="0"/>
          <w:bCs w:val="0"/>
          <w:color w:val="auto"/>
          <w:sz w:val="24"/>
          <w:szCs w:val="24"/>
          <w:highlight w:val="none"/>
        </w:rPr>
        <w:t>，要求招标人对招标文件予以澄清。</w:t>
      </w:r>
    </w:p>
    <w:p w14:paraId="430E3D0F">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2.2.2 投标截止时间：见投标人须知前附表。</w:t>
      </w:r>
    </w:p>
    <w:p w14:paraId="7E231B15">
      <w:pPr>
        <w:spacing w:line="360" w:lineRule="auto"/>
        <w:ind w:firstLine="484" w:firstLineChars="202"/>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2.2.3 招标澄清和补遗全部通过网络送达，请投标人在投标截止日前，务必查询</w:t>
      </w:r>
      <w:r>
        <w:rPr>
          <w:rFonts w:hint="eastAsia" w:ascii="宋体" w:hAnsi="宋体" w:eastAsia="宋体" w:cs="宋体"/>
          <w:b w:val="0"/>
          <w:bCs w:val="0"/>
          <w:color w:val="auto"/>
          <w:sz w:val="24"/>
          <w:szCs w:val="24"/>
          <w:highlight w:val="none"/>
          <w:lang w:eastAsia="zh-CN"/>
        </w:rPr>
        <w:t>《全国公共资源交易平台</w:t>
      </w:r>
      <w:r>
        <w:rPr>
          <w:rFonts w:hint="eastAsia" w:ascii="宋体" w:hAnsi="宋体" w:cs="宋体"/>
          <w:b w:val="0"/>
          <w:bCs w:val="0"/>
          <w:color w:val="auto"/>
          <w:sz w:val="24"/>
          <w:szCs w:val="24"/>
          <w:highlight w:val="none"/>
          <w:lang w:eastAsia="zh-CN"/>
        </w:rPr>
        <w:t>（云南省）</w:t>
      </w:r>
      <w:r>
        <w:rPr>
          <w:rFonts w:hint="eastAsia" w:ascii="宋体" w:hAnsi="宋体" w:eastAsia="宋体" w:cs="宋体"/>
          <w:b w:val="0"/>
          <w:bCs w:val="0"/>
          <w:color w:val="auto"/>
          <w:sz w:val="24"/>
          <w:szCs w:val="24"/>
          <w:highlight w:val="none"/>
          <w:lang w:eastAsia="zh-CN"/>
        </w:rPr>
        <w:t>云南省公共资源交易信息网》（网址：</w:t>
      </w:r>
      <w:r>
        <w:rPr>
          <w:rFonts w:hint="eastAsia" w:ascii="宋体" w:hAnsi="宋体" w:cs="宋体"/>
          <w:b w:val="0"/>
          <w:bCs w:val="0"/>
          <w:color w:val="auto"/>
          <w:sz w:val="24"/>
          <w:szCs w:val="24"/>
          <w:highlight w:val="none"/>
          <w:lang w:eastAsia="zh-CN"/>
        </w:rPr>
        <w:t>http://ggzy.yn.gov.cn</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，投标人自行登录获取澄清，无须回复确认已收到该澄清，招标人不再另行通知。如果澄清发出的时间距投标截止时间不足</w:t>
      </w:r>
      <w:r>
        <w:rPr>
          <w:rFonts w:hint="eastAsia" w:ascii="宋体" w:hAnsi="宋体" w:eastAsia="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日，并且澄清内容影响投标文件编制的，应相应延长投标截止时间。</w:t>
      </w:r>
    </w:p>
    <w:p w14:paraId="1C77E3AB">
      <w:pPr>
        <w:pStyle w:val="5"/>
        <w:spacing w:before="0" w:after="0"/>
        <w:ind w:firstLine="482" w:firstLineChars="201"/>
        <w:rPr>
          <w:rFonts w:hint="eastAsia" w:ascii="宋体" w:hAnsi="宋体" w:eastAsia="宋体" w:cs="宋体"/>
          <w:b w:val="0"/>
          <w:bCs w:val="0"/>
          <w:color w:val="auto"/>
          <w:sz w:val="24"/>
          <w:szCs w:val="24"/>
          <w:highlight w:val="none"/>
        </w:rPr>
      </w:pPr>
      <w:bookmarkStart w:id="113" w:name="_Toc13068"/>
      <w:bookmarkStart w:id="114" w:name="_Toc395965009"/>
      <w:bookmarkStart w:id="115" w:name="_Toc532397609"/>
      <w:bookmarkStart w:id="116" w:name="_Toc435016806"/>
      <w:bookmarkStart w:id="117" w:name="_Toc7167"/>
      <w:r>
        <w:rPr>
          <w:rFonts w:hint="eastAsia" w:ascii="宋体" w:hAnsi="宋体" w:eastAsia="宋体" w:cs="宋体"/>
          <w:b w:val="0"/>
          <w:bCs w:val="0"/>
          <w:color w:val="auto"/>
          <w:sz w:val="24"/>
          <w:szCs w:val="24"/>
          <w:highlight w:val="none"/>
        </w:rPr>
        <w:t>2.3 招标文件的修改</w:t>
      </w:r>
      <w:bookmarkEnd w:id="113"/>
      <w:bookmarkEnd w:id="114"/>
      <w:bookmarkEnd w:id="115"/>
      <w:bookmarkEnd w:id="116"/>
      <w:bookmarkEnd w:id="117"/>
    </w:p>
    <w:p w14:paraId="74C6DF7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2.3.1 在投标截止时间15天前，招标人确需要变更招标文件内容的，招标人可主动或在解答投标人提出的澄清问题时对招标文件进行修改，并同时报主管部门备案。招标人无论对评标办法、评审项目等重要评审内容作何种变更，都要重新制作电子招标文件（*.</w:t>
      </w:r>
      <w:r>
        <w:rPr>
          <w:rFonts w:hint="eastAsia" w:ascii="宋体" w:hAnsi="宋体" w:eastAsia="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rPr>
        <w:t>ZBJ），并重新备案，同时发布补遗文件进行说明以保证各投标人都能重新下载最新的电子招标文件用于编制电子投标文件。招标文件的修改将在</w:t>
      </w:r>
      <w:r>
        <w:rPr>
          <w:rFonts w:hint="eastAsia" w:ascii="宋体" w:hAnsi="宋体" w:eastAsia="宋体" w:cs="宋体"/>
          <w:b w:val="0"/>
          <w:bCs w:val="0"/>
          <w:color w:val="auto"/>
          <w:sz w:val="24"/>
          <w:szCs w:val="24"/>
          <w:highlight w:val="none"/>
          <w:lang w:eastAsia="zh-CN"/>
        </w:rPr>
        <w:t>《全国公共资源交易平台</w:t>
      </w:r>
      <w:r>
        <w:rPr>
          <w:rFonts w:hint="eastAsia" w:ascii="宋体" w:hAnsi="宋体" w:cs="宋体"/>
          <w:b w:val="0"/>
          <w:bCs w:val="0"/>
          <w:color w:val="auto"/>
          <w:sz w:val="24"/>
          <w:szCs w:val="24"/>
          <w:highlight w:val="none"/>
          <w:lang w:eastAsia="zh-CN"/>
        </w:rPr>
        <w:t>（云南省）</w:t>
      </w:r>
      <w:r>
        <w:rPr>
          <w:rFonts w:hint="eastAsia" w:ascii="宋体" w:hAnsi="宋体" w:eastAsia="宋体" w:cs="宋体"/>
          <w:b w:val="0"/>
          <w:bCs w:val="0"/>
          <w:color w:val="auto"/>
          <w:sz w:val="24"/>
          <w:szCs w:val="24"/>
          <w:highlight w:val="none"/>
          <w:lang w:eastAsia="zh-CN"/>
        </w:rPr>
        <w:t>云南省公共资源交易信息网》（网址：</w:t>
      </w:r>
      <w:r>
        <w:rPr>
          <w:rFonts w:hint="eastAsia" w:ascii="宋体" w:hAnsi="宋体" w:cs="宋体"/>
          <w:b w:val="0"/>
          <w:bCs w:val="0"/>
          <w:color w:val="auto"/>
          <w:sz w:val="24"/>
          <w:szCs w:val="24"/>
          <w:highlight w:val="none"/>
          <w:lang w:eastAsia="zh-CN"/>
        </w:rPr>
        <w:t>http://ggzy.yn.gov.cn</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发布，招标文件的修改作为招标文件的组成部分，并具有约束力。如果修改招标文件的时间距投标截止时间不足</w:t>
      </w:r>
      <w:r>
        <w:rPr>
          <w:rFonts w:hint="eastAsia" w:ascii="宋体" w:hAnsi="宋体" w:eastAsia="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日，并且修改内容影响投标文件编制的，应相应延长投标截止时间。</w:t>
      </w:r>
    </w:p>
    <w:p w14:paraId="4FD2941C">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2.3.2 投标人自行登录</w:t>
      </w:r>
      <w:r>
        <w:rPr>
          <w:rFonts w:hint="eastAsia" w:ascii="宋体" w:hAnsi="宋体" w:eastAsia="宋体" w:cs="宋体"/>
          <w:b w:val="0"/>
          <w:bCs w:val="0"/>
          <w:color w:val="auto"/>
          <w:sz w:val="24"/>
          <w:szCs w:val="24"/>
          <w:highlight w:val="none"/>
          <w:lang w:eastAsia="zh-CN"/>
        </w:rPr>
        <w:t>《全国公共资源交易平台</w:t>
      </w:r>
      <w:r>
        <w:rPr>
          <w:rFonts w:hint="eastAsia" w:ascii="宋体" w:hAnsi="宋体" w:cs="宋体"/>
          <w:b w:val="0"/>
          <w:bCs w:val="0"/>
          <w:color w:val="auto"/>
          <w:sz w:val="24"/>
          <w:szCs w:val="24"/>
          <w:highlight w:val="none"/>
          <w:lang w:eastAsia="zh-CN"/>
        </w:rPr>
        <w:t>（云南省）</w:t>
      </w:r>
      <w:r>
        <w:rPr>
          <w:rFonts w:hint="eastAsia" w:ascii="宋体" w:hAnsi="宋体" w:eastAsia="宋体" w:cs="宋体"/>
          <w:b w:val="0"/>
          <w:bCs w:val="0"/>
          <w:color w:val="auto"/>
          <w:sz w:val="24"/>
          <w:szCs w:val="24"/>
          <w:highlight w:val="none"/>
          <w:lang w:eastAsia="zh-CN"/>
        </w:rPr>
        <w:t>云南省公共资源交易信息网》（网址：</w:t>
      </w:r>
      <w:r>
        <w:rPr>
          <w:rFonts w:hint="eastAsia" w:ascii="宋体" w:hAnsi="宋体" w:cs="宋体"/>
          <w:b w:val="0"/>
          <w:bCs w:val="0"/>
          <w:color w:val="auto"/>
          <w:sz w:val="24"/>
          <w:szCs w:val="24"/>
          <w:highlight w:val="none"/>
          <w:lang w:eastAsia="zh-CN"/>
        </w:rPr>
        <w:t>http://ggzy.yn.gov.cn</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收取修改内容，无须回复确认已收到该修改。投标人应在截标时间前随时查看</w:t>
      </w:r>
      <w:r>
        <w:rPr>
          <w:rFonts w:hint="eastAsia" w:ascii="宋体" w:hAnsi="宋体" w:eastAsia="宋体" w:cs="宋体"/>
          <w:b w:val="0"/>
          <w:bCs w:val="0"/>
          <w:color w:val="auto"/>
          <w:sz w:val="24"/>
          <w:szCs w:val="24"/>
          <w:highlight w:val="none"/>
          <w:lang w:eastAsia="zh-CN"/>
        </w:rPr>
        <w:t>《全国公共资源交易平台</w:t>
      </w:r>
      <w:r>
        <w:rPr>
          <w:rFonts w:hint="eastAsia" w:ascii="宋体" w:hAnsi="宋体" w:cs="宋体"/>
          <w:b w:val="0"/>
          <w:bCs w:val="0"/>
          <w:color w:val="auto"/>
          <w:sz w:val="24"/>
          <w:szCs w:val="24"/>
          <w:highlight w:val="none"/>
          <w:lang w:eastAsia="zh-CN"/>
        </w:rPr>
        <w:t>（云南省）</w:t>
      </w:r>
      <w:r>
        <w:rPr>
          <w:rFonts w:hint="eastAsia" w:ascii="宋体" w:hAnsi="宋体" w:eastAsia="宋体" w:cs="宋体"/>
          <w:b w:val="0"/>
          <w:bCs w:val="0"/>
          <w:color w:val="auto"/>
          <w:sz w:val="24"/>
          <w:szCs w:val="24"/>
          <w:highlight w:val="none"/>
          <w:lang w:eastAsia="zh-CN"/>
        </w:rPr>
        <w:t>云南省公共资源交易信息网》（网址：</w:t>
      </w:r>
      <w:r>
        <w:rPr>
          <w:rFonts w:hint="eastAsia" w:ascii="宋体" w:hAnsi="宋体" w:cs="宋体"/>
          <w:b w:val="0"/>
          <w:bCs w:val="0"/>
          <w:color w:val="auto"/>
          <w:sz w:val="24"/>
          <w:szCs w:val="24"/>
          <w:highlight w:val="none"/>
          <w:lang w:eastAsia="zh-CN"/>
        </w:rPr>
        <w:t>http://ggzy.yn.gov.cn</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中有关该工程招标文件的答疑、补遗内容。否则，由此引起的投标损失自负。</w:t>
      </w:r>
    </w:p>
    <w:p w14:paraId="0DF11D61">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2.3.3潜在投标人或者其他利害关系人对招标文件有异议的，应当在投标截止时间10日前提出。招标人应当自收到异议之日起3日内作出答复；作出答复前，应当暂停招标投标活动。</w:t>
      </w:r>
    </w:p>
    <w:p w14:paraId="043BB05A">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2.3.4 招标文件、招标文件澄清、招标文件修改文件内容均以网上发布的为准，当招标文件、招标文件澄清、招标文件修改文件内容相互矛盾时，以最后发出的为准。</w:t>
      </w:r>
    </w:p>
    <w:p w14:paraId="16F7D0A1">
      <w:pPr>
        <w:pStyle w:val="4"/>
        <w:spacing w:before="0" w:after="0"/>
        <w:ind w:firstLine="482" w:firstLineChars="201"/>
        <w:rPr>
          <w:rFonts w:hint="eastAsia" w:ascii="宋体" w:hAnsi="宋体" w:eastAsia="宋体" w:cs="宋体"/>
          <w:b w:val="0"/>
          <w:bCs w:val="0"/>
          <w:color w:val="auto"/>
          <w:sz w:val="24"/>
          <w:szCs w:val="24"/>
          <w:highlight w:val="none"/>
        </w:rPr>
      </w:pPr>
      <w:bookmarkStart w:id="118" w:name="_Toc23563"/>
      <w:bookmarkStart w:id="119" w:name="_Toc395965010"/>
      <w:bookmarkStart w:id="120" w:name="_Toc435016807"/>
      <w:bookmarkStart w:id="121" w:name="_Toc1055"/>
      <w:r>
        <w:rPr>
          <w:rFonts w:hint="eastAsia" w:ascii="宋体" w:hAnsi="宋体" w:eastAsia="宋体" w:cs="宋体"/>
          <w:b w:val="0"/>
          <w:bCs w:val="0"/>
          <w:color w:val="auto"/>
          <w:sz w:val="24"/>
          <w:szCs w:val="24"/>
          <w:highlight w:val="none"/>
        </w:rPr>
        <w:t>3．</w:t>
      </w:r>
      <w:bookmarkEnd w:id="102"/>
      <w:r>
        <w:rPr>
          <w:rFonts w:hint="eastAsia" w:ascii="宋体" w:hAnsi="宋体" w:eastAsia="宋体" w:cs="宋体"/>
          <w:b w:val="0"/>
          <w:bCs w:val="0"/>
          <w:color w:val="auto"/>
          <w:sz w:val="24"/>
          <w:szCs w:val="24"/>
          <w:highlight w:val="none"/>
        </w:rPr>
        <w:t>投标文件</w:t>
      </w:r>
      <w:bookmarkEnd w:id="118"/>
      <w:bookmarkEnd w:id="119"/>
      <w:bookmarkEnd w:id="120"/>
      <w:bookmarkEnd w:id="121"/>
    </w:p>
    <w:p w14:paraId="79702C1A">
      <w:pPr>
        <w:pStyle w:val="5"/>
        <w:spacing w:before="0" w:after="0"/>
        <w:ind w:firstLine="482" w:firstLineChars="201"/>
        <w:rPr>
          <w:rFonts w:hint="eastAsia" w:ascii="宋体" w:hAnsi="宋体" w:eastAsia="宋体" w:cs="宋体"/>
          <w:b w:val="0"/>
          <w:bCs w:val="0"/>
          <w:color w:val="auto"/>
          <w:sz w:val="24"/>
          <w:szCs w:val="24"/>
          <w:highlight w:val="none"/>
        </w:rPr>
      </w:pPr>
      <w:bookmarkStart w:id="122" w:name="_Toc395965011"/>
      <w:bookmarkStart w:id="123" w:name="_Toc532397611"/>
      <w:bookmarkStart w:id="124" w:name="_Toc13145"/>
      <w:bookmarkStart w:id="125" w:name="_Toc435016808"/>
      <w:bookmarkStart w:id="126" w:name="_Toc1288"/>
      <w:r>
        <w:rPr>
          <w:rFonts w:hint="eastAsia" w:ascii="宋体" w:hAnsi="宋体" w:eastAsia="宋体" w:cs="宋体"/>
          <w:b w:val="0"/>
          <w:bCs w:val="0"/>
          <w:color w:val="auto"/>
          <w:sz w:val="24"/>
          <w:szCs w:val="24"/>
          <w:highlight w:val="none"/>
        </w:rPr>
        <w:t>3.1 投标文件的组成</w:t>
      </w:r>
      <w:bookmarkEnd w:id="122"/>
      <w:bookmarkEnd w:id="123"/>
      <w:bookmarkEnd w:id="124"/>
      <w:bookmarkEnd w:id="125"/>
      <w:bookmarkEnd w:id="126"/>
    </w:p>
    <w:p w14:paraId="4344463C">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3.1.1 投标文件全部采用电子文档，由资格审查部分、商务部分、技术标部分组成。</w:t>
      </w:r>
    </w:p>
    <w:p w14:paraId="248150C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3.1.2 投标人须知前附表规定不接受联合体投标的，或投标人没有组成联合体的，投标文件不包括本章所指的联合体协议书。</w:t>
      </w:r>
    </w:p>
    <w:p w14:paraId="580C2617">
      <w:pPr>
        <w:pStyle w:val="5"/>
        <w:spacing w:before="0" w:after="0"/>
        <w:ind w:firstLine="482" w:firstLineChars="201"/>
        <w:rPr>
          <w:rFonts w:hint="eastAsia" w:ascii="宋体" w:hAnsi="宋体" w:eastAsia="宋体" w:cs="宋体"/>
          <w:b w:val="0"/>
          <w:bCs w:val="0"/>
          <w:color w:val="auto"/>
          <w:sz w:val="24"/>
          <w:szCs w:val="24"/>
          <w:highlight w:val="none"/>
        </w:rPr>
      </w:pPr>
      <w:bookmarkStart w:id="127" w:name="_Toc13577"/>
      <w:bookmarkStart w:id="128" w:name="_Toc532397612"/>
      <w:bookmarkStart w:id="129" w:name="_Toc395965012"/>
      <w:bookmarkStart w:id="130" w:name="_Toc435016809"/>
      <w:bookmarkStart w:id="131" w:name="_Toc24979"/>
      <w:r>
        <w:rPr>
          <w:rFonts w:hint="eastAsia" w:ascii="宋体" w:hAnsi="宋体" w:eastAsia="宋体" w:cs="宋体"/>
          <w:b w:val="0"/>
          <w:bCs w:val="0"/>
          <w:color w:val="auto"/>
          <w:sz w:val="24"/>
          <w:szCs w:val="24"/>
          <w:highlight w:val="none"/>
        </w:rPr>
        <w:t>3.2 投标报价</w:t>
      </w:r>
      <w:bookmarkEnd w:id="127"/>
      <w:bookmarkEnd w:id="128"/>
      <w:bookmarkEnd w:id="129"/>
      <w:bookmarkEnd w:id="130"/>
      <w:bookmarkEnd w:id="131"/>
    </w:p>
    <w:p w14:paraId="57098D2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3.2.1</w:t>
      </w:r>
      <w:r>
        <w:rPr>
          <w:rFonts w:hint="eastAsia" w:ascii="宋体" w:hAnsi="宋体" w:eastAsia="宋体" w:cs="宋体"/>
          <w:b w:val="0"/>
          <w:bCs w:val="0"/>
          <w:color w:val="auto"/>
          <w:sz w:val="24"/>
          <w:szCs w:val="24"/>
          <w:highlight w:val="none"/>
        </w:rPr>
        <w:t>投标人应按第</w:t>
      </w:r>
      <w:r>
        <w:rPr>
          <w:rFonts w:hint="eastAsia" w:ascii="宋体" w:hAnsi="宋体" w:eastAsia="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rPr>
        <w:t>章“投标文件格式”规定的格式和要求填写报价表。</w:t>
      </w:r>
    </w:p>
    <w:p w14:paraId="62399166">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3.2.2</w:t>
      </w:r>
      <w:r>
        <w:rPr>
          <w:rFonts w:hint="eastAsia" w:ascii="宋体" w:hAnsi="宋体" w:eastAsia="宋体" w:cs="宋体"/>
          <w:b w:val="0"/>
          <w:bCs w:val="0"/>
          <w:color w:val="auto"/>
          <w:sz w:val="24"/>
          <w:szCs w:val="24"/>
          <w:highlight w:val="none"/>
        </w:rPr>
        <w:t>投标报价指完成整个项目</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标段</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的全部费用（含工资，管理，利润，税收，重大活动及突发事件等一切费用）。</w:t>
      </w:r>
    </w:p>
    <w:p w14:paraId="306B804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3.2.3</w:t>
      </w:r>
      <w:r>
        <w:rPr>
          <w:rFonts w:hint="eastAsia" w:ascii="宋体" w:hAnsi="宋体" w:eastAsia="宋体" w:cs="宋体"/>
          <w:b w:val="0"/>
          <w:bCs w:val="0"/>
          <w:color w:val="auto"/>
          <w:sz w:val="24"/>
          <w:szCs w:val="24"/>
          <w:highlight w:val="none"/>
        </w:rPr>
        <w:t>投标人的投标报价应依据招标文件的要求及有关资料，执行国家规定的现行技术、经济标准、定额及规范，由投标人自行测算出现行市场的各类价格。合同一旦签订，此合同价格在合同执行期间将不随市场的变化而调整。</w:t>
      </w:r>
    </w:p>
    <w:p w14:paraId="3057B35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3.2.4投标货币：</w:t>
      </w:r>
      <w:r>
        <w:rPr>
          <w:rFonts w:hint="eastAsia" w:ascii="宋体" w:hAnsi="宋体" w:eastAsia="宋体" w:cs="宋体"/>
          <w:b w:val="0"/>
          <w:bCs w:val="0"/>
          <w:color w:val="auto"/>
          <w:sz w:val="24"/>
          <w:szCs w:val="24"/>
          <w:highlight w:val="none"/>
        </w:rPr>
        <w:t>投标应以人民币报价。</w:t>
      </w:r>
    </w:p>
    <w:p w14:paraId="3F6C23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highlight w:val="none"/>
          <w:lang w:eastAsia="zh-CN"/>
        </w:rPr>
      </w:pPr>
      <w:bookmarkStart w:id="132" w:name="_Toc488238522"/>
      <w:bookmarkStart w:id="133" w:name="_Toc493496532"/>
      <w:bookmarkStart w:id="134" w:name="_Toc488228215"/>
      <w:bookmarkStart w:id="135" w:name="_Toc462577031"/>
      <w:bookmarkStart w:id="136" w:name="_Toc455153814"/>
      <w:bookmarkStart w:id="137" w:name="_Toc487191001"/>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 xml:space="preserve"> 投标报价具体要求</w:t>
      </w:r>
      <w:bookmarkEnd w:id="132"/>
      <w:bookmarkEnd w:id="133"/>
      <w:bookmarkEnd w:id="134"/>
      <w:bookmarkEnd w:id="135"/>
      <w:bookmarkEnd w:id="136"/>
      <w:bookmarkEnd w:id="137"/>
      <w:r>
        <w:rPr>
          <w:rFonts w:hint="eastAsia" w:ascii="宋体" w:hAnsi="宋体" w:eastAsia="宋体" w:cs="宋体"/>
          <w:b w:val="0"/>
          <w:bCs w:val="0"/>
          <w:color w:val="auto"/>
          <w:sz w:val="24"/>
          <w:szCs w:val="24"/>
          <w:highlight w:val="none"/>
          <w:lang w:eastAsia="zh-CN"/>
        </w:rPr>
        <w:t>：</w:t>
      </w:r>
    </w:p>
    <w:p w14:paraId="099FF83E">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（1）本项目的计价方式采用本须知前附表所规定的方式。</w:t>
      </w:r>
    </w:p>
    <w:p w14:paraId="64E7296E">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（2）投标人应按照招标人提供的技术方案、技术要求及有关要求综合考虑各种风险后进行报价。</w:t>
      </w:r>
    </w:p>
    <w:p w14:paraId="3EE05CD6">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（3）本项目各项工作只允许有一个报价，任何有选择的报价将不予接受。</w:t>
      </w:r>
    </w:p>
    <w:p w14:paraId="01A996DA">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 xml:space="preserve"> 投标人可先到工地踏勘以充分了解工地位置、情况、道路、储存空间。装卸限制及任何其他足以影响投标报价的情况，任何因忽视或误解工地情况而导致的索赔或工期延长申请将不被批准。</w:t>
      </w:r>
    </w:p>
    <w:p w14:paraId="63AACBF9">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 xml:space="preserve"> 投标人在进行投标报价时，应充分考虑施工现场条件的限制和临时设施的搭建，并结合自身情况自行考虑。</w:t>
      </w:r>
    </w:p>
    <w:p w14:paraId="7822A8DA">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中标人在施工过程中造成对现有道路、管线、设备、建构筑物、绿化、装修等已完成品、半成品造成损毁的，应无偿进行修复或承担损失。</w:t>
      </w:r>
    </w:p>
    <w:p w14:paraId="21EAB86A">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 xml:space="preserve"> 项目实施过程中，工程量应当按照相关工程的现行国家计量规范规定的工程量计算规则计算，因承包人原因造成的超范围施工或返工的工程量不予计量。承包人应在合同约定的每个计量周期内，对已完成的工程进行计量，并向发包人提交达到工程形象目标完成的工程量和有关计量资料的报告，并经发包人、监理审核后作为结算的依据。</w:t>
      </w:r>
    </w:p>
    <w:p w14:paraId="41D55829">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 xml:space="preserve"> 由于发包人原因增加发包范围以外的工作内容，承包人应接受并积极配合，按发包人的具体要求及国家有关规定完成相关施工、安装工作。</w:t>
      </w:r>
    </w:p>
    <w:p w14:paraId="55FA626E">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11</w:t>
      </w:r>
      <w:r>
        <w:rPr>
          <w:rFonts w:hint="eastAsia" w:ascii="宋体" w:hAnsi="宋体" w:eastAsia="宋体" w:cs="宋体"/>
          <w:b w:val="0"/>
          <w:bCs w:val="0"/>
          <w:color w:val="auto"/>
          <w:sz w:val="24"/>
          <w:szCs w:val="24"/>
          <w:highlight w:val="none"/>
        </w:rPr>
        <w:t xml:space="preserve"> 检测费包括本项目的所有须进行的所有检测项目及通过验收须进行的所有检测项目包含的全部费用已包含在投标报价中，不单独计列。不包括发包人委托的第三方检测。</w:t>
      </w:r>
    </w:p>
    <w:p w14:paraId="4EA0B163">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12</w:t>
      </w:r>
      <w:r>
        <w:rPr>
          <w:rFonts w:hint="eastAsia" w:ascii="宋体" w:hAnsi="宋体" w:eastAsia="宋体" w:cs="宋体"/>
          <w:b w:val="0"/>
          <w:bCs w:val="0"/>
          <w:color w:val="auto"/>
          <w:sz w:val="24"/>
          <w:szCs w:val="24"/>
          <w:highlight w:val="none"/>
        </w:rPr>
        <w:t xml:space="preserve"> 材料价格及要求</w:t>
      </w:r>
    </w:p>
    <w:p w14:paraId="70C07B7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材料价格采用</w:t>
      </w:r>
      <w:r>
        <w:rPr>
          <w:rFonts w:hint="eastAsia" w:ascii="宋体" w:hAnsi="宋体" w:eastAsia="宋体" w:cs="宋体"/>
          <w:b w:val="0"/>
          <w:bCs w:val="0"/>
          <w:color w:val="auto"/>
          <w:sz w:val="24"/>
          <w:szCs w:val="24"/>
          <w:highlight w:val="none"/>
          <w:lang w:val="en-US" w:eastAsia="zh-CN"/>
        </w:rPr>
        <w:t>当地</w:t>
      </w:r>
      <w:r>
        <w:rPr>
          <w:rFonts w:hint="eastAsia" w:ascii="宋体" w:hAnsi="宋体" w:eastAsia="宋体" w:cs="宋体"/>
          <w:b w:val="0"/>
          <w:bCs w:val="0"/>
          <w:color w:val="auto"/>
          <w:sz w:val="24"/>
          <w:szCs w:val="24"/>
          <w:highlight w:val="none"/>
        </w:rPr>
        <w:t>《价格信息》开工当月的材料单价执行。《价格信息》中没有的材料，按发包人、监理单位及承包人共同询价确定。</w:t>
      </w:r>
    </w:p>
    <w:p w14:paraId="2673F9B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本工程所使用的材料确保环保、安全、合理、绿色、节能，并符合设计要求和国家现行相关材料设备的质量标准。</w:t>
      </w:r>
    </w:p>
    <w:p w14:paraId="551E7C09">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主材（除发包人供应主材外）：须经发包人、设计、监理认可。</w:t>
      </w:r>
    </w:p>
    <w:p w14:paraId="48E68B21">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人所采购的材料、设备如不符合设计要求和国家现行相关材料设备的质量标准规定的，监理、发包方代表可拒绝进场使用并拒绝验收，并由承包人按监理、发包方代表要求的时间退出施工现场，并在监理、发包方代表要求的时间内重新采购符合要求的材料，承包方若在规定时间内未按符合设计要求和国家现行相关材料设备的质量标准的材料、设备等采购到位，发包方有权代承包方采购，承包方配合办理采购相关手续并</w:t>
      </w:r>
      <w:r>
        <w:rPr>
          <w:rFonts w:hint="eastAsia" w:ascii="宋体" w:hAnsi="宋体" w:cs="宋体"/>
          <w:b w:val="0"/>
          <w:bCs w:val="0"/>
          <w:color w:val="auto"/>
          <w:sz w:val="24"/>
          <w:szCs w:val="24"/>
          <w:highlight w:val="none"/>
          <w:lang w:eastAsia="zh-CN"/>
        </w:rPr>
        <w:t>签订采购合同</w:t>
      </w:r>
      <w:r>
        <w:rPr>
          <w:rFonts w:hint="eastAsia" w:ascii="宋体" w:hAnsi="宋体" w:eastAsia="宋体" w:cs="宋体"/>
          <w:b w:val="0"/>
          <w:bCs w:val="0"/>
          <w:color w:val="auto"/>
          <w:sz w:val="24"/>
          <w:szCs w:val="24"/>
          <w:highlight w:val="none"/>
        </w:rPr>
        <w:t>。</w:t>
      </w:r>
    </w:p>
    <w:p w14:paraId="21DCAA31">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13</w:t>
      </w:r>
      <w:r>
        <w:rPr>
          <w:rFonts w:hint="eastAsia" w:ascii="宋体" w:hAnsi="宋体" w:eastAsia="宋体" w:cs="宋体"/>
          <w:b w:val="0"/>
          <w:bCs w:val="0"/>
          <w:color w:val="auto"/>
          <w:sz w:val="24"/>
          <w:szCs w:val="24"/>
          <w:highlight w:val="none"/>
        </w:rPr>
        <w:t xml:space="preserve"> 施工相关管理须符合项目所在地对施工现场管理、质量监督、环境卫生、安全文明的相关规定，由此产生的相关费用（如施工车辆进出清洗费、喷淋降尘费、质量监督远程视频监控系统、代保洁费等）均由承包人承担。</w:t>
      </w:r>
    </w:p>
    <w:p w14:paraId="4F379250">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eastAsia="宋体" w:cs="宋体"/>
          <w:b w:val="0"/>
          <w:bCs w:val="0"/>
          <w:color w:val="auto"/>
          <w:sz w:val="24"/>
          <w:szCs w:val="24"/>
          <w:highlight w:val="none"/>
          <w:lang w:val="en-US" w:eastAsia="zh-CN"/>
        </w:rPr>
        <w:t>14</w:t>
      </w:r>
      <w:r>
        <w:rPr>
          <w:rFonts w:hint="eastAsia" w:ascii="宋体" w:hAnsi="宋体" w:eastAsia="宋体" w:cs="宋体"/>
          <w:b w:val="0"/>
          <w:bCs w:val="0"/>
          <w:color w:val="auto"/>
          <w:sz w:val="24"/>
          <w:szCs w:val="24"/>
          <w:highlight w:val="none"/>
        </w:rPr>
        <w:t xml:space="preserve"> 报价应本着合理的原则，招标人不保证报价最低者一定中标。</w:t>
      </w:r>
    </w:p>
    <w:p w14:paraId="07510B9E">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3.2.</w:t>
      </w:r>
      <w:r>
        <w:rPr>
          <w:rFonts w:hint="eastAsia" w:ascii="宋体" w:hAnsi="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 xml:space="preserve"> 中标人在投标文件中采用专利技术的，专利技术的使用费包含在投标报价内。</w:t>
      </w:r>
    </w:p>
    <w:p w14:paraId="4BC43FA4">
      <w:pPr>
        <w:pStyle w:val="5"/>
        <w:spacing w:before="0" w:after="0"/>
        <w:ind w:firstLine="482" w:firstLineChars="201"/>
        <w:rPr>
          <w:rFonts w:hint="eastAsia" w:ascii="宋体" w:hAnsi="宋体" w:eastAsia="宋体" w:cs="宋体"/>
          <w:b w:val="0"/>
          <w:bCs w:val="0"/>
          <w:color w:val="auto"/>
          <w:sz w:val="24"/>
          <w:szCs w:val="24"/>
          <w:highlight w:val="none"/>
        </w:rPr>
      </w:pPr>
      <w:bookmarkStart w:id="138" w:name="_Toc15132"/>
      <w:bookmarkStart w:id="139" w:name="_Toc28499"/>
      <w:bookmarkStart w:id="140" w:name="_Toc532397613"/>
      <w:bookmarkStart w:id="141" w:name="_Toc435016811"/>
      <w:bookmarkStart w:id="142" w:name="_Toc395965014"/>
      <w:r>
        <w:rPr>
          <w:rFonts w:hint="eastAsia" w:ascii="宋体" w:hAnsi="宋体" w:eastAsia="宋体" w:cs="宋体"/>
          <w:b w:val="0"/>
          <w:bCs w:val="0"/>
          <w:color w:val="auto"/>
          <w:sz w:val="24"/>
          <w:szCs w:val="24"/>
          <w:highlight w:val="none"/>
        </w:rPr>
        <w:t>3.3 投标有效期</w:t>
      </w:r>
      <w:bookmarkEnd w:id="138"/>
      <w:bookmarkEnd w:id="139"/>
      <w:bookmarkEnd w:id="140"/>
      <w:bookmarkEnd w:id="141"/>
      <w:bookmarkEnd w:id="142"/>
    </w:p>
    <w:p w14:paraId="59F2217A">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3.3.1 在投标人须知前附表规定的投标有效期内，投标人不得要求撤销或修改其投标文件。</w:t>
      </w:r>
    </w:p>
    <w:p w14:paraId="73CBB2BF">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3.3.2 出现特殊情况需要延长投标有效期的，招标人以书面形式通知所有投标人延长投标有效期。投标人同意延长的，应相应延长其投标保证金有效期，但不得要求或被允许修改或撤销其投标文件；投标人拒绝延长的，其投标失效，但投标人有权收回其投标保证金。</w:t>
      </w:r>
    </w:p>
    <w:p w14:paraId="2B67A9C5">
      <w:pPr>
        <w:pStyle w:val="5"/>
        <w:spacing w:before="0" w:after="0"/>
        <w:ind w:firstLine="482" w:firstLineChars="201"/>
        <w:rPr>
          <w:rFonts w:hint="eastAsia" w:ascii="宋体" w:hAnsi="宋体" w:eastAsia="宋体" w:cs="宋体"/>
          <w:b w:val="0"/>
          <w:bCs w:val="0"/>
          <w:color w:val="auto"/>
          <w:sz w:val="24"/>
          <w:szCs w:val="24"/>
          <w:highlight w:val="none"/>
        </w:rPr>
      </w:pPr>
      <w:bookmarkStart w:id="143" w:name="_Toc532397614"/>
      <w:bookmarkStart w:id="144" w:name="_Toc16369"/>
      <w:bookmarkStart w:id="145" w:name="_Toc395965015"/>
      <w:bookmarkStart w:id="146" w:name="_Toc31253"/>
      <w:bookmarkStart w:id="147" w:name="_Toc435016812"/>
      <w:r>
        <w:rPr>
          <w:rFonts w:hint="eastAsia" w:ascii="宋体" w:hAnsi="宋体" w:eastAsia="宋体" w:cs="宋体"/>
          <w:b w:val="0"/>
          <w:bCs w:val="0"/>
          <w:color w:val="auto"/>
          <w:sz w:val="24"/>
          <w:szCs w:val="24"/>
          <w:highlight w:val="none"/>
        </w:rPr>
        <w:t>3.4 投标保证金</w:t>
      </w:r>
      <w:bookmarkEnd w:id="143"/>
      <w:bookmarkEnd w:id="144"/>
      <w:bookmarkEnd w:id="145"/>
      <w:bookmarkEnd w:id="146"/>
      <w:bookmarkEnd w:id="147"/>
    </w:p>
    <w:p w14:paraId="2C087FC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3.4.1 投标人在递交投标文件的同时，应按投标人须知前附表规定的金额、担保形式递交投标保证金。</w:t>
      </w:r>
    </w:p>
    <w:p w14:paraId="14A300A3">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3.4.2 投标人不按本章第3.4.1项要求提交投标保证金的，其投标文件作否决投标处理。</w:t>
      </w:r>
    </w:p>
    <w:p w14:paraId="569B59D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3.4.3 采用现金转账或电汇的，招标人与中标人签订合同后5日内，向未中标的投标人和中标人退还投标保证金及同期银行存款利息，投标保证金退还到投标人的基本账户</w:t>
      </w:r>
    </w:p>
    <w:p w14:paraId="5BE8840B">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3.4.4 投标保证金不予退还的情形：</w:t>
      </w:r>
    </w:p>
    <w:p w14:paraId="0E044BE8">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（1）投标人在规定的投标有效期内撤销或修改其投标文件；</w:t>
      </w:r>
    </w:p>
    <w:p w14:paraId="362F745A">
      <w:pPr>
        <w:adjustRightInd w:val="0"/>
        <w:snapToGrid w:val="0"/>
        <w:spacing w:line="360" w:lineRule="auto"/>
        <w:ind w:firstLine="480" w:firstLineChars="200"/>
        <w:jc w:val="left"/>
        <w:rPr>
          <w:rFonts w:hint="eastAsia" w:ascii="宋体" w:hAnsi="宋体" w:eastAsia="宋体" w:cs="宋体"/>
          <w:b w:val="0"/>
          <w:bCs w:val="0"/>
          <w:color w:val="auto"/>
          <w:kern w:val="0"/>
          <w:sz w:val="24"/>
          <w:szCs w:val="24"/>
          <w:highlight w:val="none"/>
        </w:rPr>
      </w:pPr>
      <w:bookmarkStart w:id="148" w:name="_Toc395965016"/>
      <w:bookmarkStart w:id="149" w:name="_Toc532397615"/>
      <w:bookmarkStart w:id="150" w:name="_Toc435016813"/>
      <w:r>
        <w:rPr>
          <w:rFonts w:hint="eastAsia" w:ascii="宋体" w:hAnsi="宋体" w:eastAsia="宋体" w:cs="宋体"/>
          <w:b w:val="0"/>
          <w:bCs w:val="0"/>
          <w:color w:val="auto"/>
          <w:kern w:val="0"/>
          <w:sz w:val="24"/>
          <w:szCs w:val="24"/>
          <w:highlight w:val="none"/>
        </w:rPr>
        <w:t xml:space="preserve"> (2) 中标人无正当理由不与招标人订立合同，在签订合同时向招标人提出附加条件，或者不按照招标文件要求提交履约保证金的。</w:t>
      </w:r>
    </w:p>
    <w:p w14:paraId="2DCDF0DF">
      <w:pPr>
        <w:pStyle w:val="5"/>
        <w:spacing w:before="0" w:after="0"/>
        <w:ind w:firstLine="482" w:firstLineChars="201"/>
        <w:rPr>
          <w:rFonts w:hint="eastAsia" w:ascii="宋体" w:hAnsi="宋体" w:eastAsia="宋体" w:cs="宋体"/>
          <w:b w:val="0"/>
          <w:bCs w:val="0"/>
          <w:color w:val="auto"/>
          <w:sz w:val="24"/>
          <w:szCs w:val="24"/>
          <w:highlight w:val="none"/>
        </w:rPr>
      </w:pPr>
      <w:bookmarkStart w:id="151" w:name="_Toc1500"/>
      <w:bookmarkStart w:id="152" w:name="_Toc8276"/>
      <w:r>
        <w:rPr>
          <w:rFonts w:hint="eastAsia" w:ascii="宋体" w:hAnsi="宋体" w:eastAsia="宋体" w:cs="宋体"/>
          <w:b w:val="0"/>
          <w:bCs w:val="0"/>
          <w:color w:val="auto"/>
          <w:sz w:val="24"/>
          <w:szCs w:val="24"/>
          <w:highlight w:val="none"/>
        </w:rPr>
        <w:t>3.5 资格审查资料</w:t>
      </w:r>
      <w:bookmarkEnd w:id="148"/>
      <w:bookmarkEnd w:id="149"/>
      <w:bookmarkEnd w:id="150"/>
      <w:bookmarkEnd w:id="151"/>
      <w:bookmarkEnd w:id="152"/>
    </w:p>
    <w:p w14:paraId="2DA1E307">
      <w:pPr>
        <w:spacing w:line="360" w:lineRule="auto"/>
        <w:ind w:firstLine="484" w:firstLineChars="202"/>
        <w:rPr>
          <w:rFonts w:hint="eastAsia" w:ascii="宋体" w:hAnsi="宋体" w:eastAsia="宋体" w:cs="宋体"/>
          <w:b w:val="0"/>
          <w:bCs w:val="0"/>
          <w:color w:val="auto"/>
          <w:sz w:val="24"/>
          <w:szCs w:val="24"/>
          <w:highlight w:val="none"/>
        </w:rPr>
      </w:pPr>
      <w:bookmarkStart w:id="153" w:name="_Toc532397616"/>
      <w:r>
        <w:rPr>
          <w:rFonts w:hint="eastAsia" w:ascii="宋体" w:hAnsi="宋体" w:eastAsia="宋体" w:cs="宋体"/>
          <w:b w:val="0"/>
          <w:bCs w:val="0"/>
          <w:color w:val="auto"/>
          <w:sz w:val="24"/>
          <w:szCs w:val="24"/>
          <w:highlight w:val="none"/>
        </w:rPr>
        <w:t>3.5.1 “投标人基本情况表”应附投标人营业执照、资质证书</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安全生产许可证</w:t>
      </w:r>
      <w:r>
        <w:rPr>
          <w:rFonts w:hint="eastAsia" w:ascii="宋体" w:hAnsi="宋体" w:eastAsia="宋体" w:cs="宋体"/>
          <w:b w:val="0"/>
          <w:bCs w:val="0"/>
          <w:color w:val="auto"/>
          <w:sz w:val="24"/>
          <w:szCs w:val="24"/>
          <w:highlight w:val="none"/>
        </w:rPr>
        <w:t>等材料的原件扫描件。</w:t>
      </w:r>
    </w:p>
    <w:p w14:paraId="293FBCD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3.5.2 “近年财务状况表”应附经会计师事务所或其他第三方机构审计的财务报表（含资产负债表、利润表或损益表、现金流量表）及审计报告等原件扫描件，具体年份要求见投标人须知前附表。</w:t>
      </w:r>
    </w:p>
    <w:p w14:paraId="20505CFE">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3.5.3 “近年发生的重大诉讼及仲裁情况”</w:t>
      </w:r>
      <w:r>
        <w:rPr>
          <w:rFonts w:hint="eastAsia" w:ascii="宋体" w:hAnsi="宋体" w:eastAsia="宋体" w:cs="宋体"/>
          <w:b w:val="0"/>
          <w:bCs w:val="0"/>
          <w:color w:val="auto"/>
          <w:sz w:val="24"/>
          <w:szCs w:val="24"/>
          <w:highlight w:val="none"/>
          <w:lang w:val="en-US" w:eastAsia="zh-CN"/>
        </w:rPr>
        <w:t>若投标人存在诉讼及仲裁相关情况，需说明当前有无因投标申请人违约或不恰当履约引起的合同终止、纠纷、争议、仲裁和诉讼，并承诺涉及诉讼事件不影响申请人在本招标项目的履约能力</w:t>
      </w:r>
      <w:r>
        <w:rPr>
          <w:rFonts w:hint="eastAsia" w:ascii="宋体" w:hAnsi="宋体" w:eastAsia="宋体" w:cs="宋体"/>
          <w:b w:val="0"/>
          <w:bCs w:val="0"/>
          <w:color w:val="auto"/>
          <w:sz w:val="24"/>
          <w:szCs w:val="24"/>
          <w:highlight w:val="none"/>
        </w:rPr>
        <w:t>，具体年份要求见投标人须知前附表。</w:t>
      </w:r>
    </w:p>
    <w:p w14:paraId="656B075F">
      <w:pPr>
        <w:pStyle w:val="5"/>
        <w:spacing w:before="0" w:after="0"/>
        <w:ind w:firstLine="482" w:firstLineChars="201"/>
        <w:rPr>
          <w:rFonts w:hint="eastAsia" w:ascii="宋体" w:hAnsi="宋体" w:eastAsia="宋体" w:cs="宋体"/>
          <w:b w:val="0"/>
          <w:bCs w:val="0"/>
          <w:color w:val="auto"/>
          <w:sz w:val="24"/>
          <w:szCs w:val="24"/>
          <w:highlight w:val="none"/>
        </w:rPr>
      </w:pPr>
      <w:bookmarkStart w:id="154" w:name="_Toc5013"/>
      <w:bookmarkStart w:id="155" w:name="_Toc2290"/>
      <w:r>
        <w:rPr>
          <w:rFonts w:hint="eastAsia" w:ascii="宋体" w:hAnsi="宋体" w:eastAsia="宋体" w:cs="宋体"/>
          <w:b w:val="0"/>
          <w:bCs w:val="0"/>
          <w:color w:val="auto"/>
          <w:sz w:val="24"/>
          <w:szCs w:val="24"/>
          <w:highlight w:val="none"/>
        </w:rPr>
        <w:t>3.6备选投标方案</w:t>
      </w:r>
      <w:bookmarkEnd w:id="153"/>
      <w:bookmarkEnd w:id="154"/>
      <w:bookmarkEnd w:id="155"/>
    </w:p>
    <w:p w14:paraId="705AEB0F">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除投标人须知前附表另有规定外，投标人不得递交备选投标方案。允许投标人递交备选投标方案的，只有中标人所递交的备选投标方案方可予以考虑。评标委员会认为中标人的</w:t>
      </w:r>
      <w:r>
        <w:rPr>
          <w:rFonts w:hint="eastAsia" w:ascii="宋体" w:hAnsi="宋体" w:cs="宋体"/>
          <w:b w:val="0"/>
          <w:bCs w:val="0"/>
          <w:color w:val="auto"/>
          <w:sz w:val="24"/>
          <w:szCs w:val="24"/>
          <w:highlight w:val="none"/>
          <w:lang w:eastAsia="zh-CN"/>
        </w:rPr>
        <w:t>备选</w:t>
      </w:r>
      <w:r>
        <w:rPr>
          <w:rFonts w:hint="eastAsia" w:ascii="宋体" w:hAnsi="宋体" w:eastAsia="宋体" w:cs="宋体"/>
          <w:b w:val="0"/>
          <w:bCs w:val="0"/>
          <w:color w:val="auto"/>
          <w:sz w:val="24"/>
          <w:szCs w:val="24"/>
          <w:highlight w:val="none"/>
        </w:rPr>
        <w:t>投标方案优于其按照招标文件要求编制的投标方案的，招标人可以接受该备选投标方案。</w:t>
      </w:r>
    </w:p>
    <w:p w14:paraId="21B722DE">
      <w:pPr>
        <w:pStyle w:val="5"/>
        <w:spacing w:before="0" w:after="0"/>
        <w:ind w:firstLine="482" w:firstLineChars="201"/>
        <w:rPr>
          <w:rFonts w:hint="eastAsia" w:ascii="宋体" w:hAnsi="宋体" w:eastAsia="宋体" w:cs="宋体"/>
          <w:b w:val="0"/>
          <w:bCs w:val="0"/>
          <w:color w:val="auto"/>
          <w:sz w:val="24"/>
          <w:szCs w:val="24"/>
          <w:highlight w:val="none"/>
        </w:rPr>
      </w:pPr>
      <w:bookmarkStart w:id="156" w:name="_Toc532397617"/>
      <w:bookmarkStart w:id="157" w:name="_Toc435016815"/>
      <w:bookmarkStart w:id="158" w:name="_Toc28274"/>
      <w:bookmarkStart w:id="159" w:name="_Toc30642"/>
      <w:bookmarkStart w:id="160" w:name="_Toc395965018"/>
      <w:r>
        <w:rPr>
          <w:rFonts w:hint="eastAsia" w:ascii="宋体" w:hAnsi="宋体" w:eastAsia="宋体" w:cs="宋体"/>
          <w:b w:val="0"/>
          <w:bCs w:val="0"/>
          <w:color w:val="auto"/>
          <w:sz w:val="24"/>
          <w:szCs w:val="24"/>
          <w:highlight w:val="none"/>
        </w:rPr>
        <w:t>3.7 投标文件的编制</w:t>
      </w:r>
      <w:bookmarkEnd w:id="156"/>
      <w:bookmarkEnd w:id="157"/>
      <w:bookmarkEnd w:id="158"/>
      <w:bookmarkEnd w:id="159"/>
      <w:bookmarkEnd w:id="160"/>
    </w:p>
    <w:p w14:paraId="638D370F">
      <w:pPr>
        <w:spacing w:line="360" w:lineRule="auto"/>
        <w:ind w:firstLine="484" w:firstLineChars="202"/>
        <w:rPr>
          <w:rFonts w:hint="eastAsia" w:ascii="宋体" w:hAnsi="宋体" w:eastAsia="宋体" w:cs="宋体"/>
          <w:b w:val="0"/>
          <w:bCs w:val="0"/>
          <w:color w:val="auto"/>
          <w:sz w:val="24"/>
          <w:szCs w:val="24"/>
          <w:highlight w:val="none"/>
        </w:rPr>
      </w:pPr>
      <w:bookmarkStart w:id="161" w:name="_Toc184635074"/>
      <w:bookmarkStart w:id="162" w:name="_Toc435016816"/>
      <w:bookmarkStart w:id="163" w:name="_Toc395965019"/>
      <w:r>
        <w:rPr>
          <w:rFonts w:hint="eastAsia" w:ascii="宋体" w:hAnsi="宋体" w:eastAsia="宋体" w:cs="宋体"/>
          <w:b w:val="0"/>
          <w:bCs w:val="0"/>
          <w:color w:val="auto"/>
          <w:sz w:val="24"/>
          <w:szCs w:val="24"/>
          <w:highlight w:val="none"/>
        </w:rPr>
        <w:t>3.7.1 投标文件应按第</w:t>
      </w:r>
      <w:r>
        <w:rPr>
          <w:rFonts w:hint="eastAsia" w:ascii="宋体" w:hAnsi="宋体" w:eastAsia="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rPr>
        <w:t xml:space="preserve">章“投标文件格式”进行编写，如有必要，可以增加附页，作为投标文件的组成部分。其中投标函附录在满足招标文件实质性要求的基础上，可以提出比招标文件要求更有利于招标人的承诺。 </w:t>
      </w:r>
    </w:p>
    <w:p w14:paraId="46B83E5A">
      <w:pPr>
        <w:spacing w:line="360" w:lineRule="auto"/>
        <w:ind w:firstLine="484" w:firstLineChars="202"/>
        <w:rPr>
          <w:rFonts w:hint="eastAsia" w:ascii="宋体"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3.7.</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 xml:space="preserve">  投标文件应当对招标文件有关招标范围、投标有效期、工期、质量标准、发包人要求等实质性内容作出响应</w:t>
      </w:r>
      <w:r>
        <w:rPr>
          <w:rFonts w:hint="eastAsia" w:ascii="宋体" w:hAnsi="宋体" w:cs="宋体"/>
          <w:b w:val="0"/>
          <w:bCs w:val="0"/>
          <w:color w:val="auto"/>
          <w:sz w:val="24"/>
          <w:szCs w:val="24"/>
          <w:highlight w:val="none"/>
          <w:lang w:eastAsia="zh-CN"/>
        </w:rPr>
        <w:t>。</w:t>
      </w:r>
    </w:p>
    <w:p w14:paraId="01B1B251">
      <w:pPr>
        <w:spacing w:line="360" w:lineRule="auto"/>
        <w:ind w:firstLine="484" w:firstLineChars="202"/>
        <w:rPr>
          <w:rFonts w:hint="eastAsia" w:ascii="宋体" w:hAnsi="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3.7.</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 xml:space="preserve"> 投标文件签字或盖章的具体要求见投标人须知前附表3.7.3。</w:t>
      </w:r>
    </w:p>
    <w:p w14:paraId="06A72D6C">
      <w:pPr>
        <w:pStyle w:val="4"/>
        <w:spacing w:before="0" w:after="0"/>
        <w:ind w:firstLine="482" w:firstLineChars="201"/>
        <w:rPr>
          <w:rFonts w:hint="eastAsia" w:ascii="宋体" w:hAnsi="宋体" w:eastAsia="宋体" w:cs="宋体"/>
          <w:b w:val="0"/>
          <w:bCs w:val="0"/>
          <w:color w:val="auto"/>
          <w:sz w:val="24"/>
          <w:szCs w:val="24"/>
          <w:highlight w:val="none"/>
        </w:rPr>
      </w:pPr>
      <w:bookmarkStart w:id="164" w:name="_Toc27095"/>
      <w:bookmarkStart w:id="165" w:name="_Toc563"/>
      <w:r>
        <w:rPr>
          <w:rFonts w:hint="eastAsia" w:ascii="宋体" w:hAnsi="宋体" w:eastAsia="宋体" w:cs="宋体"/>
          <w:b w:val="0"/>
          <w:bCs w:val="0"/>
          <w:color w:val="auto"/>
          <w:sz w:val="24"/>
          <w:szCs w:val="24"/>
          <w:highlight w:val="none"/>
        </w:rPr>
        <w:t>4．</w:t>
      </w:r>
      <w:bookmarkEnd w:id="161"/>
      <w:r>
        <w:rPr>
          <w:rFonts w:hint="eastAsia" w:ascii="宋体" w:hAnsi="宋体" w:eastAsia="宋体" w:cs="宋体"/>
          <w:b w:val="0"/>
          <w:bCs w:val="0"/>
          <w:color w:val="auto"/>
          <w:sz w:val="24"/>
          <w:szCs w:val="24"/>
          <w:highlight w:val="none"/>
        </w:rPr>
        <w:t>投标</w:t>
      </w:r>
      <w:bookmarkEnd w:id="162"/>
      <w:bookmarkEnd w:id="163"/>
      <w:bookmarkEnd w:id="164"/>
      <w:bookmarkEnd w:id="165"/>
    </w:p>
    <w:p w14:paraId="3FD495FD">
      <w:pPr>
        <w:pStyle w:val="5"/>
        <w:spacing w:before="0" w:after="0"/>
        <w:ind w:firstLine="482" w:firstLineChars="201"/>
        <w:rPr>
          <w:rFonts w:hint="eastAsia" w:ascii="宋体" w:hAnsi="宋体" w:eastAsia="宋体" w:cs="宋体"/>
          <w:b w:val="0"/>
          <w:bCs w:val="0"/>
          <w:color w:val="auto"/>
          <w:sz w:val="24"/>
          <w:szCs w:val="24"/>
          <w:highlight w:val="none"/>
        </w:rPr>
      </w:pPr>
      <w:bookmarkStart w:id="166" w:name="_Toc395965020"/>
      <w:bookmarkStart w:id="167" w:name="_Toc5678"/>
      <w:bookmarkStart w:id="168" w:name="_Toc435016817"/>
      <w:bookmarkStart w:id="169" w:name="_Toc25111"/>
      <w:bookmarkStart w:id="170" w:name="_Toc532397619"/>
      <w:r>
        <w:rPr>
          <w:rFonts w:hint="eastAsia" w:ascii="宋体" w:hAnsi="宋体" w:eastAsia="宋体" w:cs="宋体"/>
          <w:b w:val="0"/>
          <w:bCs w:val="0"/>
          <w:color w:val="auto"/>
          <w:sz w:val="24"/>
          <w:szCs w:val="24"/>
          <w:highlight w:val="none"/>
        </w:rPr>
        <w:t>4.1 投标文件的密封和标记</w:t>
      </w:r>
      <w:bookmarkEnd w:id="166"/>
      <w:bookmarkEnd w:id="167"/>
      <w:bookmarkEnd w:id="168"/>
      <w:bookmarkEnd w:id="169"/>
      <w:bookmarkEnd w:id="170"/>
    </w:p>
    <w:p w14:paraId="01281550">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4.1.1网上递交的投标文件需要对投标文件进行加密。 </w:t>
      </w:r>
    </w:p>
    <w:p w14:paraId="0A58B5C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4.1.2 未按本章第4.1.1项要求进行加密的投标文件，招标人不予受理。 </w:t>
      </w:r>
    </w:p>
    <w:p w14:paraId="753AB3AA">
      <w:pPr>
        <w:pStyle w:val="5"/>
        <w:spacing w:before="0" w:after="0"/>
        <w:ind w:firstLine="482" w:firstLineChars="201"/>
        <w:rPr>
          <w:rFonts w:hint="eastAsia" w:ascii="宋体" w:hAnsi="宋体" w:eastAsia="宋体" w:cs="宋体"/>
          <w:b w:val="0"/>
          <w:bCs w:val="0"/>
          <w:color w:val="auto"/>
          <w:sz w:val="24"/>
          <w:szCs w:val="24"/>
          <w:highlight w:val="none"/>
        </w:rPr>
      </w:pPr>
      <w:bookmarkStart w:id="171" w:name="_Toc532397620"/>
      <w:bookmarkStart w:id="172" w:name="_Toc6246"/>
      <w:bookmarkStart w:id="173" w:name="_Toc435016818"/>
      <w:bookmarkStart w:id="174" w:name="_Toc395965021"/>
      <w:bookmarkStart w:id="175" w:name="_Toc3841"/>
      <w:r>
        <w:rPr>
          <w:rFonts w:hint="eastAsia" w:ascii="宋体" w:hAnsi="宋体" w:eastAsia="宋体" w:cs="宋体"/>
          <w:b w:val="0"/>
          <w:bCs w:val="0"/>
          <w:color w:val="auto"/>
          <w:sz w:val="24"/>
          <w:szCs w:val="24"/>
          <w:highlight w:val="none"/>
        </w:rPr>
        <w:t>4.2 投标文件的递交</w:t>
      </w:r>
      <w:bookmarkEnd w:id="171"/>
      <w:bookmarkEnd w:id="172"/>
      <w:bookmarkEnd w:id="173"/>
      <w:bookmarkEnd w:id="174"/>
      <w:bookmarkEnd w:id="175"/>
    </w:p>
    <w:p w14:paraId="36C375B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4.2.1 投标人应在本章第2.2.2项规定的投标截止时间前递交投标文件。 </w:t>
      </w:r>
    </w:p>
    <w:p w14:paraId="7604E163">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4.2.2 投标人递交投标文件的地点：见投标人须知前附表。 </w:t>
      </w:r>
    </w:p>
    <w:p w14:paraId="6666203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4.2.3 除投标人须知前附表另有规定外，投标人所递交的投标文件不予退还。 </w:t>
      </w:r>
    </w:p>
    <w:p w14:paraId="6C3A08E0">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4.2.4逾期送达的或者未送达指定地点的投标文件，招标人不予受理。</w:t>
      </w:r>
    </w:p>
    <w:p w14:paraId="32DC0213">
      <w:pPr>
        <w:pStyle w:val="5"/>
        <w:spacing w:before="0" w:after="0"/>
        <w:ind w:firstLine="482" w:firstLineChars="201"/>
        <w:rPr>
          <w:rFonts w:hint="eastAsia" w:ascii="宋体" w:hAnsi="宋体" w:eastAsia="宋体" w:cs="宋体"/>
          <w:b w:val="0"/>
          <w:bCs w:val="0"/>
          <w:color w:val="auto"/>
          <w:sz w:val="24"/>
          <w:szCs w:val="24"/>
          <w:highlight w:val="none"/>
          <w:lang w:eastAsia="zh-CN"/>
        </w:rPr>
      </w:pPr>
      <w:bookmarkStart w:id="176" w:name="_Toc395965022"/>
      <w:bookmarkStart w:id="177" w:name="_Toc14074"/>
      <w:bookmarkStart w:id="178" w:name="_Toc24237"/>
      <w:bookmarkStart w:id="179" w:name="_Toc435016819"/>
      <w:bookmarkStart w:id="180" w:name="_Toc532397621"/>
      <w:r>
        <w:rPr>
          <w:rFonts w:hint="eastAsia" w:ascii="宋体" w:hAnsi="宋体" w:eastAsia="宋体" w:cs="宋体"/>
          <w:b w:val="0"/>
          <w:bCs w:val="0"/>
          <w:color w:val="auto"/>
          <w:sz w:val="24"/>
          <w:szCs w:val="24"/>
          <w:highlight w:val="none"/>
        </w:rPr>
        <w:t>4.3 投标文件的修改与撤回</w:t>
      </w:r>
      <w:bookmarkEnd w:id="176"/>
      <w:bookmarkEnd w:id="177"/>
      <w:bookmarkEnd w:id="178"/>
      <w:bookmarkEnd w:id="179"/>
      <w:bookmarkEnd w:id="180"/>
      <w:r>
        <w:rPr>
          <w:rFonts w:hint="eastAsia" w:ascii="宋体" w:hAnsi="宋体" w:eastAsia="宋体" w:cs="宋体"/>
          <w:b w:val="0"/>
          <w:bCs w:val="0"/>
          <w:color w:val="auto"/>
          <w:sz w:val="24"/>
          <w:szCs w:val="24"/>
          <w:highlight w:val="none"/>
          <w:lang w:eastAsia="zh-CN"/>
        </w:rPr>
        <w:t>。</w:t>
      </w:r>
    </w:p>
    <w:p w14:paraId="66796F4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在本章第2.2.2项规定的投标截止时间前，投标人可以修改或撤回已递交的投标文件，无须以书面形式通知招标人。</w:t>
      </w:r>
    </w:p>
    <w:p w14:paraId="78FC03F9">
      <w:pPr>
        <w:pStyle w:val="4"/>
        <w:spacing w:before="0" w:after="0"/>
        <w:ind w:firstLine="482" w:firstLineChars="201"/>
        <w:rPr>
          <w:rFonts w:hint="eastAsia" w:ascii="宋体" w:hAnsi="宋体" w:eastAsia="宋体" w:cs="宋体"/>
          <w:b w:val="0"/>
          <w:bCs w:val="0"/>
          <w:color w:val="auto"/>
          <w:sz w:val="24"/>
          <w:szCs w:val="24"/>
          <w:highlight w:val="none"/>
        </w:rPr>
      </w:pPr>
      <w:bookmarkStart w:id="181" w:name="_Toc184635075"/>
      <w:bookmarkStart w:id="182" w:name="_Toc395965023"/>
      <w:bookmarkStart w:id="183" w:name="_Toc26156"/>
      <w:bookmarkStart w:id="184" w:name="_Toc3177"/>
      <w:bookmarkStart w:id="185" w:name="_Toc435016820"/>
      <w:r>
        <w:rPr>
          <w:rFonts w:hint="eastAsia" w:ascii="宋体" w:hAnsi="宋体" w:eastAsia="宋体" w:cs="宋体"/>
          <w:b w:val="0"/>
          <w:bCs w:val="0"/>
          <w:color w:val="auto"/>
          <w:sz w:val="24"/>
          <w:szCs w:val="24"/>
          <w:highlight w:val="none"/>
        </w:rPr>
        <w:t>5．</w:t>
      </w:r>
      <w:bookmarkEnd w:id="181"/>
      <w:r>
        <w:rPr>
          <w:rFonts w:hint="eastAsia" w:ascii="宋体" w:hAnsi="宋体" w:eastAsia="宋体" w:cs="宋体"/>
          <w:b w:val="0"/>
          <w:bCs w:val="0"/>
          <w:color w:val="auto"/>
          <w:sz w:val="24"/>
          <w:szCs w:val="24"/>
          <w:highlight w:val="none"/>
        </w:rPr>
        <w:t>开标</w:t>
      </w:r>
      <w:bookmarkEnd w:id="182"/>
      <w:bookmarkEnd w:id="183"/>
      <w:bookmarkEnd w:id="184"/>
      <w:bookmarkEnd w:id="185"/>
    </w:p>
    <w:p w14:paraId="30FE82EE">
      <w:pPr>
        <w:pStyle w:val="5"/>
        <w:spacing w:before="0" w:after="0"/>
        <w:ind w:firstLine="482" w:firstLineChars="201"/>
        <w:rPr>
          <w:rFonts w:hint="eastAsia" w:ascii="宋体" w:hAnsi="宋体" w:eastAsia="宋体" w:cs="宋体"/>
          <w:b w:val="0"/>
          <w:bCs w:val="0"/>
          <w:color w:val="auto"/>
          <w:sz w:val="24"/>
          <w:szCs w:val="24"/>
          <w:highlight w:val="none"/>
        </w:rPr>
      </w:pPr>
      <w:bookmarkStart w:id="186" w:name="_Toc395965024"/>
      <w:bookmarkStart w:id="187" w:name="_Toc22411"/>
      <w:bookmarkStart w:id="188" w:name="_Toc435016821"/>
      <w:bookmarkStart w:id="189" w:name="_Toc15703"/>
      <w:bookmarkStart w:id="190" w:name="_Toc532397623"/>
      <w:r>
        <w:rPr>
          <w:rFonts w:hint="eastAsia" w:ascii="宋体" w:hAnsi="宋体" w:eastAsia="宋体" w:cs="宋体"/>
          <w:b w:val="0"/>
          <w:bCs w:val="0"/>
          <w:color w:val="auto"/>
          <w:sz w:val="24"/>
          <w:szCs w:val="24"/>
          <w:highlight w:val="none"/>
        </w:rPr>
        <w:t>5.1 开标时间和地点</w:t>
      </w:r>
      <w:bookmarkEnd w:id="186"/>
      <w:bookmarkEnd w:id="187"/>
      <w:bookmarkEnd w:id="188"/>
      <w:bookmarkEnd w:id="189"/>
      <w:bookmarkEnd w:id="190"/>
    </w:p>
    <w:p w14:paraId="6486C30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招标人在本章第2.2.2项规定的投标截止时间（开标时间）和投标人须知前附表规定的地点公开开标。</w:t>
      </w:r>
    </w:p>
    <w:p w14:paraId="415AEACA">
      <w:pPr>
        <w:pStyle w:val="5"/>
        <w:spacing w:before="0" w:after="0"/>
        <w:ind w:firstLine="482" w:firstLineChars="201"/>
        <w:rPr>
          <w:rFonts w:hint="eastAsia" w:ascii="宋体" w:hAnsi="宋体" w:eastAsia="宋体" w:cs="宋体"/>
          <w:b w:val="0"/>
          <w:bCs w:val="0"/>
          <w:color w:val="auto"/>
          <w:sz w:val="24"/>
          <w:szCs w:val="24"/>
          <w:highlight w:val="none"/>
        </w:rPr>
      </w:pPr>
      <w:bookmarkStart w:id="191" w:name="_Toc532397624"/>
      <w:bookmarkStart w:id="192" w:name="_Toc14088"/>
      <w:bookmarkStart w:id="193" w:name="_Toc15182"/>
      <w:bookmarkStart w:id="194" w:name="_Toc435016822"/>
      <w:bookmarkStart w:id="195" w:name="_Toc395965025"/>
      <w:r>
        <w:rPr>
          <w:rFonts w:hint="eastAsia" w:ascii="宋体" w:hAnsi="宋体" w:eastAsia="宋体" w:cs="宋体"/>
          <w:b w:val="0"/>
          <w:bCs w:val="0"/>
          <w:color w:val="auto"/>
          <w:sz w:val="24"/>
          <w:szCs w:val="24"/>
          <w:highlight w:val="none"/>
        </w:rPr>
        <w:t>5.2 开标程序</w:t>
      </w:r>
      <w:bookmarkEnd w:id="191"/>
      <w:bookmarkEnd w:id="192"/>
      <w:bookmarkEnd w:id="193"/>
      <w:bookmarkEnd w:id="194"/>
      <w:bookmarkEnd w:id="195"/>
    </w:p>
    <w:p w14:paraId="61C6FB01">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主持人按下列程序进行开标：</w:t>
      </w:r>
    </w:p>
    <w:p w14:paraId="382FEF7F">
      <w:pPr>
        <w:spacing w:line="360" w:lineRule="auto"/>
        <w:ind w:firstLine="484" w:firstLineChars="202"/>
        <w:rPr>
          <w:rFonts w:hint="eastAsia" w:ascii="宋体" w:hAnsi="宋体" w:eastAsia="宋体" w:cs="宋体"/>
          <w:b w:val="0"/>
          <w:bCs w:val="0"/>
          <w:color w:val="auto"/>
          <w:sz w:val="24"/>
          <w:szCs w:val="24"/>
          <w:highlight w:val="none"/>
        </w:rPr>
      </w:pPr>
      <w:bookmarkStart w:id="196" w:name="_Toc532397625"/>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宣布开标纪律。</w:t>
      </w:r>
    </w:p>
    <w:p w14:paraId="396D19E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2</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宣布开标人、唱标人、记录人、行政监督等有关人员姓名。</w:t>
      </w:r>
    </w:p>
    <w:p w14:paraId="2D54436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3</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宣布招标控制价。</w:t>
      </w:r>
    </w:p>
    <w:p w14:paraId="68ABB30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4</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公共资源交易平台提取所有已成功上传的投标文件，由投标人对网上上传已加密的投标文件进行</w:t>
      </w:r>
      <w:r>
        <w:rPr>
          <w:rFonts w:hint="eastAsia" w:ascii="宋体" w:hAnsi="宋体" w:eastAsia="宋体" w:cs="宋体"/>
          <w:b w:val="0"/>
          <w:bCs w:val="0"/>
          <w:color w:val="auto"/>
          <w:sz w:val="24"/>
          <w:szCs w:val="24"/>
          <w:highlight w:val="none"/>
          <w:lang w:eastAsia="zh-CN"/>
        </w:rPr>
        <w:t>远程</w:t>
      </w:r>
      <w:r>
        <w:rPr>
          <w:rFonts w:hint="eastAsia" w:ascii="宋体" w:hAnsi="宋体" w:eastAsia="宋体" w:cs="宋体"/>
          <w:b w:val="0"/>
          <w:bCs w:val="0"/>
          <w:color w:val="auto"/>
          <w:sz w:val="24"/>
          <w:szCs w:val="24"/>
          <w:highlight w:val="none"/>
        </w:rPr>
        <w:t>解密，解密完成后导入有效投标人的电子投标文件。因投标人原因造成投标文件未解密的，视为撤销其投标文件。</w:t>
      </w:r>
    </w:p>
    <w:p w14:paraId="74761523">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（5）所有有效投标文件导入完成后进行唱标公布投标人名称、项目名称、投标报价、质量目标、工期、投标保证金及其他内容，并记录在案。</w:t>
      </w:r>
    </w:p>
    <w:p w14:paraId="1CEFC2E2">
      <w:pPr>
        <w:spacing w:line="360" w:lineRule="auto"/>
        <w:ind w:firstLine="484" w:firstLineChars="202"/>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6</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招标人、投标人、行政监管人员、招标代理机构、交易中心有关人员在开标记录上签字确认</w:t>
      </w:r>
      <w:r>
        <w:rPr>
          <w:rFonts w:hint="eastAsia" w:ascii="宋体" w:hAnsi="宋体" w:eastAsia="宋体" w:cs="宋体"/>
          <w:b w:val="0"/>
          <w:bCs w:val="0"/>
          <w:color w:val="auto"/>
          <w:sz w:val="24"/>
          <w:szCs w:val="24"/>
          <w:highlight w:val="none"/>
          <w:lang w:eastAsia="zh-CN"/>
        </w:rPr>
        <w:t>。</w:t>
      </w:r>
    </w:p>
    <w:p w14:paraId="48ADC94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7</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开标结束。</w:t>
      </w:r>
    </w:p>
    <w:p w14:paraId="050805A0">
      <w:pPr>
        <w:pStyle w:val="5"/>
        <w:spacing w:before="0" w:after="0"/>
        <w:ind w:firstLine="482" w:firstLineChars="201"/>
        <w:rPr>
          <w:rFonts w:hint="eastAsia" w:ascii="宋体" w:hAnsi="宋体" w:eastAsia="宋体" w:cs="宋体"/>
          <w:b w:val="0"/>
          <w:bCs w:val="0"/>
          <w:color w:val="auto"/>
          <w:sz w:val="24"/>
          <w:szCs w:val="24"/>
          <w:highlight w:val="none"/>
        </w:rPr>
      </w:pPr>
      <w:bookmarkStart w:id="197" w:name="_Toc11351"/>
      <w:bookmarkStart w:id="198" w:name="_Toc4533"/>
      <w:r>
        <w:rPr>
          <w:rFonts w:hint="eastAsia" w:ascii="宋体" w:hAnsi="宋体" w:eastAsia="宋体" w:cs="宋体"/>
          <w:b w:val="0"/>
          <w:bCs w:val="0"/>
          <w:color w:val="auto"/>
          <w:sz w:val="24"/>
          <w:szCs w:val="24"/>
          <w:highlight w:val="none"/>
        </w:rPr>
        <w:t>5.3投标文件不予受理情形</w:t>
      </w:r>
      <w:bookmarkEnd w:id="196"/>
      <w:bookmarkEnd w:id="197"/>
      <w:bookmarkEnd w:id="198"/>
    </w:p>
    <w:p w14:paraId="7462F6D5">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投标文件有下列情形之一的，招标人不予受理：</w:t>
      </w:r>
    </w:p>
    <w:p w14:paraId="7CA14057">
      <w:pPr>
        <w:spacing w:line="360" w:lineRule="auto"/>
        <w:ind w:firstLine="484" w:firstLineChars="202"/>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（1）在投标人须知前附表2.2.2项规定的“投标截止时间”以后逾期网上上传或现场送达的</w:t>
      </w:r>
      <w:r>
        <w:rPr>
          <w:rFonts w:hint="eastAsia" w:ascii="宋体" w:hAnsi="宋体" w:eastAsia="宋体" w:cs="宋体"/>
          <w:b w:val="0"/>
          <w:bCs w:val="0"/>
          <w:color w:val="auto"/>
          <w:sz w:val="24"/>
          <w:szCs w:val="24"/>
          <w:highlight w:val="none"/>
          <w:lang w:eastAsia="zh-CN"/>
        </w:rPr>
        <w:t>。</w:t>
      </w:r>
    </w:p>
    <w:p w14:paraId="5D542F8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（2）投标人提交的电子标书格式不符合3.7.1项要求或开标后无法读取导入的。</w:t>
      </w:r>
    </w:p>
    <w:p w14:paraId="1E2B4DF7">
      <w:pPr>
        <w:pStyle w:val="4"/>
        <w:spacing w:before="0" w:after="0"/>
        <w:ind w:firstLine="482" w:firstLineChars="201"/>
        <w:rPr>
          <w:rFonts w:hint="eastAsia" w:ascii="宋体" w:hAnsi="宋体" w:eastAsia="宋体" w:cs="宋体"/>
          <w:b w:val="0"/>
          <w:bCs w:val="0"/>
          <w:color w:val="auto"/>
          <w:sz w:val="24"/>
          <w:szCs w:val="24"/>
          <w:highlight w:val="none"/>
        </w:rPr>
      </w:pPr>
      <w:bookmarkStart w:id="199" w:name="_Toc184635076"/>
      <w:bookmarkStart w:id="200" w:name="_Toc19909"/>
      <w:bookmarkStart w:id="201" w:name="_Toc395965026"/>
      <w:bookmarkStart w:id="202" w:name="_Toc435016823"/>
      <w:bookmarkStart w:id="203" w:name="_Toc19854"/>
      <w:r>
        <w:rPr>
          <w:rFonts w:hint="eastAsia" w:ascii="宋体" w:hAnsi="宋体" w:eastAsia="宋体" w:cs="宋体"/>
          <w:b w:val="0"/>
          <w:bCs w:val="0"/>
          <w:color w:val="auto"/>
          <w:sz w:val="24"/>
          <w:szCs w:val="24"/>
          <w:highlight w:val="none"/>
        </w:rPr>
        <w:t>6．</w:t>
      </w:r>
      <w:bookmarkEnd w:id="199"/>
      <w:r>
        <w:rPr>
          <w:rFonts w:hint="eastAsia" w:ascii="宋体" w:hAnsi="宋体" w:eastAsia="宋体" w:cs="宋体"/>
          <w:b w:val="0"/>
          <w:bCs w:val="0"/>
          <w:color w:val="auto"/>
          <w:sz w:val="24"/>
          <w:szCs w:val="24"/>
          <w:highlight w:val="none"/>
        </w:rPr>
        <w:t>评标</w:t>
      </w:r>
      <w:bookmarkEnd w:id="200"/>
      <w:bookmarkEnd w:id="201"/>
      <w:bookmarkEnd w:id="202"/>
      <w:bookmarkEnd w:id="203"/>
    </w:p>
    <w:p w14:paraId="4CA871D3">
      <w:pPr>
        <w:pStyle w:val="5"/>
        <w:spacing w:before="0" w:after="0"/>
        <w:ind w:firstLine="482" w:firstLineChars="201"/>
        <w:rPr>
          <w:rFonts w:hint="eastAsia" w:ascii="宋体" w:hAnsi="宋体" w:eastAsia="宋体" w:cs="宋体"/>
          <w:b w:val="0"/>
          <w:bCs w:val="0"/>
          <w:color w:val="auto"/>
          <w:sz w:val="24"/>
          <w:szCs w:val="24"/>
          <w:highlight w:val="none"/>
        </w:rPr>
      </w:pPr>
      <w:bookmarkStart w:id="204" w:name="_Toc435016824"/>
      <w:bookmarkStart w:id="205" w:name="_Toc532397627"/>
      <w:bookmarkStart w:id="206" w:name="_Toc28510"/>
      <w:bookmarkStart w:id="207" w:name="_Toc3335"/>
      <w:bookmarkStart w:id="208" w:name="_Toc395965027"/>
      <w:r>
        <w:rPr>
          <w:rFonts w:hint="eastAsia" w:ascii="宋体" w:hAnsi="宋体" w:eastAsia="宋体" w:cs="宋体"/>
          <w:b w:val="0"/>
          <w:bCs w:val="0"/>
          <w:color w:val="auto"/>
          <w:sz w:val="24"/>
          <w:szCs w:val="24"/>
          <w:highlight w:val="none"/>
        </w:rPr>
        <w:t>6.1 评标委员会</w:t>
      </w:r>
      <w:bookmarkEnd w:id="204"/>
      <w:bookmarkEnd w:id="205"/>
      <w:bookmarkEnd w:id="206"/>
      <w:bookmarkEnd w:id="207"/>
      <w:bookmarkEnd w:id="208"/>
    </w:p>
    <w:p w14:paraId="54C350B9">
      <w:pPr>
        <w:spacing w:line="360" w:lineRule="auto"/>
        <w:ind w:firstLine="484" w:firstLineChars="202"/>
        <w:rPr>
          <w:rFonts w:hint="eastAsia" w:ascii="宋体" w:hAnsi="宋体" w:eastAsia="宋体" w:cs="宋体"/>
          <w:b w:val="0"/>
          <w:bCs w:val="0"/>
          <w:color w:val="auto"/>
          <w:sz w:val="24"/>
          <w:szCs w:val="24"/>
          <w:highlight w:val="none"/>
        </w:rPr>
      </w:pPr>
      <w:bookmarkStart w:id="209" w:name="_Toc532397628"/>
      <w:bookmarkStart w:id="210" w:name="_Toc499666580"/>
      <w:bookmarkStart w:id="211" w:name="_Toc507769768"/>
      <w:r>
        <w:rPr>
          <w:rFonts w:hint="eastAsia" w:ascii="宋体" w:hAnsi="宋体" w:eastAsia="宋体" w:cs="宋体"/>
          <w:b w:val="0"/>
          <w:bCs w:val="0"/>
          <w:color w:val="auto"/>
          <w:sz w:val="24"/>
          <w:szCs w:val="24"/>
          <w:highlight w:val="none"/>
        </w:rPr>
        <w:t>6.1.1 评标由招标人依法组建的评标委员会负责。评标委员会由招标人或其委托的招标代理机构熟悉相关业务的代表，以及有关技术、经济等方面的专家组成。</w:t>
      </w:r>
      <w:bookmarkEnd w:id="209"/>
      <w:bookmarkEnd w:id="210"/>
      <w:bookmarkEnd w:id="211"/>
    </w:p>
    <w:p w14:paraId="17CAE96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评标委员会成员人数以及技术、经济等方面专家的确定方式</w:t>
      </w:r>
      <w:r>
        <w:rPr>
          <w:rFonts w:hint="eastAsia" w:ascii="宋体" w:hAnsi="宋体" w:cs="宋体"/>
          <w:b w:val="0"/>
          <w:bCs w:val="0"/>
          <w:color w:val="auto"/>
          <w:sz w:val="24"/>
          <w:szCs w:val="24"/>
          <w:highlight w:val="none"/>
          <w:lang w:val="en-US" w:eastAsia="zh-CN"/>
        </w:rPr>
        <w:t>详</w:t>
      </w:r>
      <w:r>
        <w:rPr>
          <w:rFonts w:hint="eastAsia" w:ascii="宋体" w:hAnsi="宋体" w:eastAsia="宋体" w:cs="宋体"/>
          <w:b w:val="0"/>
          <w:bCs w:val="0"/>
          <w:color w:val="auto"/>
          <w:sz w:val="24"/>
          <w:szCs w:val="24"/>
          <w:highlight w:val="none"/>
        </w:rPr>
        <w:t>见投标人须知前附表。</w:t>
      </w:r>
    </w:p>
    <w:p w14:paraId="402F5BB3">
      <w:pPr>
        <w:spacing w:line="360" w:lineRule="auto"/>
        <w:ind w:firstLine="484" w:firstLineChars="202"/>
        <w:rPr>
          <w:rFonts w:hint="eastAsia" w:ascii="宋体" w:hAnsi="宋体" w:eastAsia="宋体" w:cs="宋体"/>
          <w:b w:val="0"/>
          <w:bCs w:val="0"/>
          <w:color w:val="auto"/>
          <w:sz w:val="24"/>
          <w:szCs w:val="24"/>
          <w:highlight w:val="none"/>
        </w:rPr>
      </w:pPr>
      <w:bookmarkStart w:id="212" w:name="_Toc499666581"/>
      <w:bookmarkStart w:id="213" w:name="_Toc532397629"/>
      <w:bookmarkStart w:id="214" w:name="_Toc507769769"/>
      <w:r>
        <w:rPr>
          <w:rFonts w:hint="eastAsia" w:ascii="宋体" w:hAnsi="宋体" w:eastAsia="宋体" w:cs="宋体"/>
          <w:b w:val="0"/>
          <w:bCs w:val="0"/>
          <w:color w:val="auto"/>
          <w:sz w:val="24"/>
          <w:szCs w:val="24"/>
          <w:highlight w:val="none"/>
        </w:rPr>
        <w:t>6.1.2 评标委员会成员有下列情形之一的，应当回避：</w:t>
      </w:r>
      <w:bookmarkEnd w:id="212"/>
      <w:bookmarkEnd w:id="213"/>
      <w:bookmarkEnd w:id="214"/>
    </w:p>
    <w:p w14:paraId="287F676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（1）招标人或投标人的主要负责人的近亲属；</w:t>
      </w:r>
    </w:p>
    <w:p w14:paraId="5AF02CC0">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（2）项目主管部门或者行政监督部门的人员：</w:t>
      </w:r>
    </w:p>
    <w:p w14:paraId="32EC4B04">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（3）与投标人有经济利益关系，可能影响对投标公正评审的；</w:t>
      </w:r>
    </w:p>
    <w:p w14:paraId="23F4166E">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（4）曾因在招标、评标以及其他与招标投标有关活动中从事违法行为而受过行政处罚或刑事处罚的。</w:t>
      </w:r>
    </w:p>
    <w:p w14:paraId="2DC4E01D">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6.1.3 评审委员会成员应当客观、公正地履行职责，遵守职业道德，对所提出的评审意见承担个人责任。评审委员会成员和与评标活动有关的工作人员不得透露对投标文件的评审和比较、成交候选人的推荐情况以及与评标有关的其他情况。</w:t>
      </w:r>
    </w:p>
    <w:p w14:paraId="579A1340">
      <w:pPr>
        <w:pStyle w:val="5"/>
        <w:spacing w:before="0" w:after="0"/>
        <w:ind w:firstLine="482" w:firstLineChars="201"/>
        <w:rPr>
          <w:rFonts w:hint="eastAsia" w:ascii="宋体" w:hAnsi="宋体" w:eastAsia="宋体" w:cs="宋体"/>
          <w:b w:val="0"/>
          <w:bCs w:val="0"/>
          <w:color w:val="auto"/>
          <w:sz w:val="24"/>
          <w:szCs w:val="24"/>
          <w:highlight w:val="none"/>
        </w:rPr>
      </w:pPr>
      <w:bookmarkStart w:id="215" w:name="_Toc395965028"/>
      <w:bookmarkStart w:id="216" w:name="_Toc9469"/>
      <w:bookmarkStart w:id="217" w:name="_Toc435016825"/>
      <w:bookmarkStart w:id="218" w:name="_Toc532397630"/>
      <w:bookmarkStart w:id="219" w:name="_Toc6936"/>
      <w:r>
        <w:rPr>
          <w:rFonts w:hint="eastAsia" w:ascii="宋体" w:hAnsi="宋体" w:eastAsia="宋体" w:cs="宋体"/>
          <w:b w:val="0"/>
          <w:bCs w:val="0"/>
          <w:color w:val="auto"/>
          <w:sz w:val="24"/>
          <w:szCs w:val="24"/>
          <w:highlight w:val="none"/>
        </w:rPr>
        <w:t>6.2 评标原则</w:t>
      </w:r>
      <w:bookmarkEnd w:id="215"/>
      <w:bookmarkEnd w:id="216"/>
      <w:bookmarkEnd w:id="217"/>
      <w:bookmarkEnd w:id="218"/>
      <w:bookmarkEnd w:id="219"/>
    </w:p>
    <w:p w14:paraId="0EB46870">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评标活动遵循公平、公正、科学和择优的原则。</w:t>
      </w:r>
    </w:p>
    <w:p w14:paraId="0DE58269">
      <w:pPr>
        <w:pStyle w:val="5"/>
        <w:spacing w:before="0" w:after="0"/>
        <w:ind w:firstLine="482" w:firstLineChars="201"/>
        <w:rPr>
          <w:rFonts w:hint="eastAsia" w:ascii="宋体" w:hAnsi="宋体" w:eastAsia="宋体" w:cs="宋体"/>
          <w:b w:val="0"/>
          <w:bCs w:val="0"/>
          <w:color w:val="auto"/>
          <w:sz w:val="24"/>
          <w:szCs w:val="24"/>
          <w:highlight w:val="none"/>
        </w:rPr>
      </w:pPr>
      <w:bookmarkStart w:id="220" w:name="_Toc532397631"/>
      <w:bookmarkStart w:id="221" w:name="_Toc16324"/>
      <w:bookmarkStart w:id="222" w:name="_Toc2985"/>
      <w:bookmarkStart w:id="223" w:name="_Toc395965029"/>
      <w:bookmarkStart w:id="224" w:name="_Toc435016826"/>
      <w:r>
        <w:rPr>
          <w:rFonts w:hint="eastAsia" w:ascii="宋体" w:hAnsi="宋体" w:eastAsia="宋体" w:cs="宋体"/>
          <w:b w:val="0"/>
          <w:bCs w:val="0"/>
          <w:color w:val="auto"/>
          <w:sz w:val="24"/>
          <w:szCs w:val="24"/>
          <w:highlight w:val="none"/>
        </w:rPr>
        <w:t>6.3 评标</w:t>
      </w:r>
      <w:bookmarkEnd w:id="220"/>
      <w:bookmarkEnd w:id="221"/>
      <w:bookmarkEnd w:id="222"/>
      <w:bookmarkEnd w:id="223"/>
      <w:bookmarkEnd w:id="224"/>
    </w:p>
    <w:p w14:paraId="4F17DFC2">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评标委员会按照第三章“评标办法”规定的方法、评审因素、标准和程序对投标文件进行评审。第三章“评标办法”没有规定的方法、评审因素和标准，不作为评标依据。</w:t>
      </w:r>
    </w:p>
    <w:p w14:paraId="5E142E1B">
      <w:pPr>
        <w:pStyle w:val="4"/>
        <w:spacing w:before="0" w:after="0"/>
        <w:ind w:firstLine="482" w:firstLineChars="201"/>
        <w:rPr>
          <w:rFonts w:hint="eastAsia" w:ascii="宋体" w:hAnsi="宋体" w:eastAsia="宋体" w:cs="宋体"/>
          <w:b w:val="0"/>
          <w:bCs w:val="0"/>
          <w:color w:val="auto"/>
          <w:sz w:val="24"/>
          <w:szCs w:val="24"/>
          <w:highlight w:val="none"/>
        </w:rPr>
      </w:pPr>
      <w:bookmarkStart w:id="225" w:name="_Toc184635077"/>
      <w:bookmarkStart w:id="226" w:name="_Toc435016827"/>
      <w:bookmarkStart w:id="227" w:name="_Toc30443"/>
      <w:bookmarkStart w:id="228" w:name="_Toc395965030"/>
      <w:bookmarkStart w:id="229" w:name="_Toc3558"/>
      <w:r>
        <w:rPr>
          <w:rFonts w:hint="eastAsia" w:ascii="宋体" w:hAnsi="宋体" w:eastAsia="宋体" w:cs="宋体"/>
          <w:b w:val="0"/>
          <w:bCs w:val="0"/>
          <w:color w:val="auto"/>
          <w:sz w:val="24"/>
          <w:szCs w:val="24"/>
          <w:highlight w:val="none"/>
        </w:rPr>
        <w:t>7．</w:t>
      </w:r>
      <w:bookmarkEnd w:id="225"/>
      <w:r>
        <w:rPr>
          <w:rFonts w:hint="eastAsia" w:ascii="宋体" w:hAnsi="宋体" w:eastAsia="宋体" w:cs="宋体"/>
          <w:b w:val="0"/>
          <w:bCs w:val="0"/>
          <w:color w:val="auto"/>
          <w:sz w:val="24"/>
          <w:szCs w:val="24"/>
          <w:highlight w:val="none"/>
        </w:rPr>
        <w:t>合同授予</w:t>
      </w:r>
      <w:bookmarkEnd w:id="226"/>
      <w:bookmarkEnd w:id="227"/>
      <w:bookmarkEnd w:id="228"/>
      <w:bookmarkEnd w:id="229"/>
    </w:p>
    <w:p w14:paraId="31EDFE53">
      <w:pPr>
        <w:pStyle w:val="5"/>
        <w:spacing w:before="0" w:after="0"/>
        <w:ind w:firstLine="482" w:firstLineChars="201"/>
        <w:rPr>
          <w:rFonts w:hint="eastAsia" w:ascii="宋体" w:hAnsi="宋体" w:eastAsia="宋体" w:cs="宋体"/>
          <w:b w:val="0"/>
          <w:bCs w:val="0"/>
          <w:color w:val="auto"/>
          <w:sz w:val="24"/>
          <w:szCs w:val="24"/>
          <w:highlight w:val="none"/>
        </w:rPr>
      </w:pPr>
      <w:bookmarkStart w:id="230" w:name="_Toc395965031"/>
      <w:bookmarkStart w:id="231" w:name="_Toc532397634"/>
      <w:bookmarkStart w:id="232" w:name="_Toc5764"/>
      <w:bookmarkStart w:id="233" w:name="_Toc435016828"/>
      <w:bookmarkStart w:id="234" w:name="_Toc5122"/>
      <w:r>
        <w:rPr>
          <w:rFonts w:hint="eastAsia" w:ascii="宋体" w:hAnsi="宋体" w:eastAsia="宋体" w:cs="宋体"/>
          <w:b w:val="0"/>
          <w:bCs w:val="0"/>
          <w:color w:val="auto"/>
          <w:sz w:val="24"/>
          <w:szCs w:val="24"/>
          <w:highlight w:val="none"/>
        </w:rPr>
        <w:t>7.1 定标方式</w:t>
      </w:r>
      <w:bookmarkEnd w:id="230"/>
      <w:bookmarkEnd w:id="231"/>
      <w:bookmarkEnd w:id="232"/>
      <w:bookmarkEnd w:id="233"/>
      <w:bookmarkEnd w:id="234"/>
    </w:p>
    <w:p w14:paraId="1B920353">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除投标人须知前附表规定评标委员会直接确定中标人外，招标人依据评标委员会推荐的中标候选人确定中标人，评标委员会推荐中标候选人的人数见投标人须知前附表。</w:t>
      </w:r>
    </w:p>
    <w:p w14:paraId="38C355B1">
      <w:pPr>
        <w:pStyle w:val="5"/>
        <w:spacing w:before="0" w:after="0"/>
        <w:ind w:firstLine="482" w:firstLineChars="201"/>
        <w:rPr>
          <w:rFonts w:hint="eastAsia" w:ascii="宋体" w:hAnsi="宋体" w:eastAsia="宋体" w:cs="宋体"/>
          <w:b w:val="0"/>
          <w:bCs w:val="0"/>
          <w:color w:val="auto"/>
          <w:sz w:val="24"/>
          <w:szCs w:val="24"/>
          <w:highlight w:val="none"/>
        </w:rPr>
      </w:pPr>
      <w:bookmarkStart w:id="235" w:name="_Toc5647"/>
      <w:bookmarkStart w:id="236" w:name="_Toc395965032"/>
      <w:bookmarkStart w:id="237" w:name="_Toc532397635"/>
      <w:bookmarkStart w:id="238" w:name="_Toc343"/>
      <w:bookmarkStart w:id="239" w:name="_Toc435016829"/>
      <w:r>
        <w:rPr>
          <w:rFonts w:hint="eastAsia" w:ascii="宋体" w:hAnsi="宋体" w:eastAsia="宋体" w:cs="宋体"/>
          <w:b w:val="0"/>
          <w:bCs w:val="0"/>
          <w:color w:val="auto"/>
          <w:sz w:val="24"/>
          <w:szCs w:val="24"/>
          <w:highlight w:val="none"/>
        </w:rPr>
        <w:t>7.2 中标通知</w:t>
      </w:r>
      <w:bookmarkEnd w:id="235"/>
      <w:bookmarkEnd w:id="236"/>
      <w:bookmarkEnd w:id="237"/>
      <w:bookmarkEnd w:id="238"/>
      <w:bookmarkEnd w:id="239"/>
    </w:p>
    <w:p w14:paraId="542DD3D6">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在本章第3.3款规定的投标有效期内，招标人以书面形式向中标人发出中标通知书，同时将中标结果通知未中标的投标人。</w:t>
      </w:r>
    </w:p>
    <w:p w14:paraId="7069C970">
      <w:pPr>
        <w:pStyle w:val="5"/>
        <w:spacing w:before="0" w:after="0"/>
        <w:ind w:firstLine="482" w:firstLineChars="201"/>
        <w:rPr>
          <w:rFonts w:hint="eastAsia" w:ascii="宋体" w:hAnsi="宋体" w:eastAsia="宋体" w:cs="宋体"/>
          <w:b w:val="0"/>
          <w:bCs w:val="0"/>
          <w:color w:val="auto"/>
          <w:sz w:val="24"/>
          <w:szCs w:val="24"/>
          <w:highlight w:val="none"/>
        </w:rPr>
      </w:pPr>
      <w:bookmarkStart w:id="240" w:name="_Toc395965034"/>
      <w:bookmarkStart w:id="241" w:name="_Toc532397638"/>
      <w:bookmarkStart w:id="242" w:name="_Toc435016831"/>
      <w:bookmarkStart w:id="243" w:name="_Toc13593"/>
      <w:bookmarkStart w:id="244" w:name="_Toc1742"/>
      <w:r>
        <w:rPr>
          <w:rFonts w:hint="eastAsia" w:ascii="宋体" w:hAnsi="宋体" w:eastAsia="宋体" w:cs="宋体"/>
          <w:b w:val="0"/>
          <w:bCs w:val="0"/>
          <w:color w:val="auto"/>
          <w:sz w:val="24"/>
          <w:szCs w:val="24"/>
          <w:highlight w:val="none"/>
        </w:rPr>
        <w:t>7.3 签订合同</w:t>
      </w:r>
      <w:bookmarkEnd w:id="240"/>
      <w:bookmarkEnd w:id="241"/>
      <w:bookmarkEnd w:id="242"/>
      <w:bookmarkEnd w:id="243"/>
      <w:bookmarkEnd w:id="244"/>
    </w:p>
    <w:p w14:paraId="5537E247">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7.3.1 招标人和中标人应当自中标通知书发出之日起30天内，根据招标文件和中标人的投标文件</w:t>
      </w:r>
      <w:r>
        <w:rPr>
          <w:rFonts w:hint="eastAsia" w:ascii="宋体" w:hAnsi="宋体" w:cs="宋体"/>
          <w:b w:val="0"/>
          <w:bCs w:val="0"/>
          <w:color w:val="auto"/>
          <w:sz w:val="24"/>
          <w:szCs w:val="24"/>
          <w:highlight w:val="none"/>
          <w:lang w:val="en-US" w:eastAsia="zh-CN"/>
        </w:rPr>
        <w:t>的约定</w:t>
      </w:r>
      <w:r>
        <w:rPr>
          <w:rFonts w:hint="eastAsia" w:ascii="宋体" w:hAnsi="宋体" w:eastAsia="宋体" w:cs="宋体"/>
          <w:b w:val="0"/>
          <w:bCs w:val="0"/>
          <w:color w:val="auto"/>
          <w:sz w:val="24"/>
          <w:szCs w:val="24"/>
          <w:highlight w:val="none"/>
        </w:rPr>
        <w:t>订立书面合同。招标人和投标人不得再订立背离合同实质性内容的其他协议</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中标人无正当理由拒签合同的，招标人取消其中标资格，其投标保证金不予退还；给招标人造成的损失超过投标保证金数额的，中标人还应当对超过部分予以赔偿。</w:t>
      </w:r>
    </w:p>
    <w:p w14:paraId="5398DEB8">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7.3.2 发出中标通知书后，招标人无正当理由拒签合同的，招标人向中标人退还投标保证金；给中标人造成损失的，还应当赔偿损失。</w:t>
      </w:r>
    </w:p>
    <w:p w14:paraId="6FFEBDE5">
      <w:pPr>
        <w:pStyle w:val="4"/>
        <w:spacing w:before="0" w:after="0"/>
        <w:ind w:firstLine="482" w:firstLineChars="201"/>
        <w:rPr>
          <w:rFonts w:hint="eastAsia" w:ascii="宋体" w:hAnsi="宋体" w:eastAsia="宋体" w:cs="宋体"/>
          <w:b w:val="0"/>
          <w:bCs w:val="0"/>
          <w:color w:val="auto"/>
          <w:sz w:val="24"/>
          <w:szCs w:val="24"/>
          <w:highlight w:val="none"/>
        </w:rPr>
      </w:pPr>
      <w:bookmarkStart w:id="245" w:name="_Toc184635078"/>
      <w:bookmarkStart w:id="246" w:name="_Toc26804"/>
      <w:bookmarkStart w:id="247" w:name="_Toc5350"/>
      <w:bookmarkStart w:id="248" w:name="_Toc435016833"/>
      <w:bookmarkStart w:id="249" w:name="_Toc395965036"/>
      <w:r>
        <w:rPr>
          <w:rFonts w:hint="eastAsia" w:ascii="宋体" w:hAnsi="宋体" w:eastAsia="宋体" w:cs="宋体"/>
          <w:b w:val="0"/>
          <w:bCs w:val="0"/>
          <w:color w:val="auto"/>
          <w:sz w:val="24"/>
          <w:szCs w:val="24"/>
          <w:highlight w:val="none"/>
        </w:rPr>
        <w:t>8．</w:t>
      </w:r>
      <w:bookmarkEnd w:id="245"/>
      <w:r>
        <w:rPr>
          <w:rFonts w:hint="eastAsia" w:ascii="宋体" w:hAnsi="宋体" w:eastAsia="宋体" w:cs="宋体"/>
          <w:b w:val="0"/>
          <w:bCs w:val="0"/>
          <w:color w:val="auto"/>
          <w:sz w:val="24"/>
          <w:szCs w:val="24"/>
          <w:highlight w:val="none"/>
        </w:rPr>
        <w:t>重新招标</w:t>
      </w:r>
      <w:bookmarkEnd w:id="246"/>
      <w:bookmarkEnd w:id="247"/>
      <w:bookmarkEnd w:id="248"/>
      <w:bookmarkEnd w:id="249"/>
    </w:p>
    <w:p w14:paraId="343F6F90">
      <w:pPr>
        <w:pStyle w:val="5"/>
        <w:spacing w:before="0" w:after="0"/>
        <w:ind w:firstLine="482" w:firstLineChars="201"/>
        <w:rPr>
          <w:rFonts w:hint="eastAsia" w:ascii="宋体" w:hAnsi="宋体" w:eastAsia="宋体" w:cs="宋体"/>
          <w:b w:val="0"/>
          <w:bCs w:val="0"/>
          <w:color w:val="auto"/>
          <w:sz w:val="24"/>
          <w:szCs w:val="24"/>
          <w:highlight w:val="none"/>
        </w:rPr>
      </w:pPr>
      <w:bookmarkStart w:id="250" w:name="_Toc532397640"/>
      <w:bookmarkStart w:id="251" w:name="_Toc18075"/>
      <w:bookmarkStart w:id="252" w:name="_Toc29046"/>
      <w:bookmarkStart w:id="253" w:name="_Toc15602"/>
      <w:bookmarkStart w:id="254" w:name="_Toc7186"/>
      <w:bookmarkStart w:id="255" w:name="_Toc532397641"/>
      <w:r>
        <w:rPr>
          <w:rFonts w:hint="eastAsia" w:ascii="宋体" w:hAnsi="宋体" w:eastAsia="宋体" w:cs="宋体"/>
          <w:b w:val="0"/>
          <w:bCs w:val="0"/>
          <w:color w:val="auto"/>
          <w:sz w:val="24"/>
          <w:szCs w:val="24"/>
          <w:highlight w:val="none"/>
        </w:rPr>
        <w:t>8.1重新招标</w:t>
      </w:r>
      <w:bookmarkEnd w:id="250"/>
      <w:bookmarkEnd w:id="251"/>
      <w:bookmarkEnd w:id="252"/>
    </w:p>
    <w:p w14:paraId="43B2C605">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有下列情形之一的，招标人将重新招标：</w:t>
      </w:r>
    </w:p>
    <w:p w14:paraId="782EB205">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（1）投标截止时间止，投标人少于3个的；</w:t>
      </w:r>
    </w:p>
    <w:p w14:paraId="7FE96E6D">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（2）经评标委员会评审后否决所有投标的；</w:t>
      </w:r>
    </w:p>
    <w:p w14:paraId="0443C7E3">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（3）中标候选人均未与招标人签订合同的；</w:t>
      </w:r>
    </w:p>
    <w:p w14:paraId="2187719E">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（4）法律规定的其他情形。</w:t>
      </w:r>
    </w:p>
    <w:p w14:paraId="1345EE8C">
      <w:pPr>
        <w:pStyle w:val="5"/>
        <w:spacing w:before="0" w:after="0"/>
        <w:ind w:firstLine="482" w:firstLineChars="20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8.2不再招标</w:t>
      </w:r>
      <w:bookmarkEnd w:id="253"/>
      <w:bookmarkEnd w:id="254"/>
      <w:bookmarkEnd w:id="255"/>
    </w:p>
    <w:p w14:paraId="0F9B529A">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bidi="en-US"/>
        </w:rPr>
        <w:t>重新招标后投标人仍少于3个或者所有投标被否决的，属于必须审批或核准的工程建设项目，经原审批或核准部门批准后不再进行招标。</w:t>
      </w:r>
    </w:p>
    <w:p w14:paraId="1A1B3E97">
      <w:pPr>
        <w:pStyle w:val="4"/>
        <w:spacing w:before="0" w:after="0"/>
        <w:ind w:firstLine="482" w:firstLineChars="201"/>
        <w:rPr>
          <w:rFonts w:hint="eastAsia" w:ascii="宋体" w:hAnsi="宋体" w:eastAsia="宋体" w:cs="宋体"/>
          <w:b w:val="0"/>
          <w:bCs w:val="0"/>
          <w:color w:val="auto"/>
          <w:sz w:val="24"/>
          <w:szCs w:val="24"/>
          <w:highlight w:val="none"/>
        </w:rPr>
      </w:pPr>
      <w:bookmarkStart w:id="256" w:name="_Toc184635079"/>
      <w:bookmarkStart w:id="257" w:name="_Toc395965039"/>
      <w:bookmarkStart w:id="258" w:name="_Toc435016835"/>
      <w:bookmarkStart w:id="259" w:name="_Toc9981"/>
      <w:bookmarkStart w:id="260" w:name="_Toc13285"/>
      <w:r>
        <w:rPr>
          <w:rFonts w:hint="eastAsia" w:ascii="宋体" w:hAnsi="宋体" w:eastAsia="宋体" w:cs="宋体"/>
          <w:b w:val="0"/>
          <w:bCs w:val="0"/>
          <w:color w:val="auto"/>
          <w:sz w:val="24"/>
          <w:szCs w:val="24"/>
          <w:highlight w:val="none"/>
        </w:rPr>
        <w:t>9．</w:t>
      </w:r>
      <w:bookmarkEnd w:id="256"/>
      <w:r>
        <w:rPr>
          <w:rFonts w:hint="eastAsia" w:ascii="宋体" w:hAnsi="宋体" w:eastAsia="宋体" w:cs="宋体"/>
          <w:b w:val="0"/>
          <w:bCs w:val="0"/>
          <w:color w:val="auto"/>
          <w:sz w:val="24"/>
          <w:szCs w:val="24"/>
          <w:highlight w:val="none"/>
        </w:rPr>
        <w:t>纪律和监督</w:t>
      </w:r>
      <w:bookmarkEnd w:id="257"/>
      <w:bookmarkEnd w:id="258"/>
      <w:bookmarkEnd w:id="259"/>
      <w:bookmarkEnd w:id="260"/>
    </w:p>
    <w:p w14:paraId="4C7662BF">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9.1对招标人的纪律要求</w:t>
      </w:r>
    </w:p>
    <w:p w14:paraId="5A803147">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招标人不得</w:t>
      </w:r>
      <w:r>
        <w:rPr>
          <w:rFonts w:hint="eastAsia" w:ascii="宋体" w:hAnsi="宋体" w:cs="宋体"/>
          <w:b w:val="0"/>
          <w:bCs w:val="0"/>
          <w:color w:val="auto"/>
          <w:kern w:val="0"/>
          <w:sz w:val="24"/>
          <w:szCs w:val="24"/>
          <w:highlight w:val="none"/>
          <w:lang w:eastAsia="zh-CN" w:bidi="en-US"/>
        </w:rPr>
        <w:t>泄露</w:t>
      </w:r>
      <w:r>
        <w:rPr>
          <w:rFonts w:hint="eastAsia" w:ascii="宋体" w:hAnsi="宋体" w:eastAsia="宋体" w:cs="宋体"/>
          <w:b w:val="0"/>
          <w:bCs w:val="0"/>
          <w:color w:val="auto"/>
          <w:kern w:val="0"/>
          <w:sz w:val="24"/>
          <w:szCs w:val="24"/>
          <w:highlight w:val="none"/>
          <w:lang w:bidi="en-US"/>
        </w:rPr>
        <w:t>招标投标活动中应当保密的情况和资料，不得与投标人串通损害国家利益、社会公共利益或者他人合法权益。</w:t>
      </w:r>
    </w:p>
    <w:p w14:paraId="0E758F6A">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9.2对投标人的纪律和法律要求</w:t>
      </w:r>
    </w:p>
    <w:p w14:paraId="09531477">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9.2.1对投标人的纪律要求：投标人不得相互串通投标或者与招标人串通投标，不得向招标人或者评标委员会成员行贿谋取中标，不得以他人名义投标或者以其他方式弄虚作假骗取中标；投标人不得以任何方式干扰、影响评标工作。</w:t>
      </w:r>
    </w:p>
    <w:p w14:paraId="66CEC14C">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9.2.2根据《中华人民共和国刑法》第二百二十三条【串通投标罪】规定，投标人相互串通投标报价，损害招标人或者其他投标人利益，情节严重的，处三年以下有期徒刑或者拘役，并处或者单处罚金。投标人与招标人串通投标，损害国家、集体、公民的合法利益的，依照前款的规定处罚。</w:t>
      </w:r>
    </w:p>
    <w:p w14:paraId="0F5089AB">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投标人的行为涉及触犯【串通投标罪】相关规定的，将移送司法机关处理。</w:t>
      </w:r>
    </w:p>
    <w:p w14:paraId="09216CF9">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9.3对评标委员会成员的纪律要求</w:t>
      </w:r>
    </w:p>
    <w:p w14:paraId="058401CC">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评标委员会成员应严格遵守国家、省相关</w:t>
      </w:r>
      <w:r>
        <w:rPr>
          <w:rFonts w:hint="eastAsia" w:ascii="宋体" w:hAnsi="宋体" w:cs="宋体"/>
          <w:b w:val="0"/>
          <w:bCs w:val="0"/>
          <w:color w:val="auto"/>
          <w:kern w:val="0"/>
          <w:sz w:val="24"/>
          <w:szCs w:val="24"/>
          <w:highlight w:val="none"/>
          <w:lang w:eastAsia="zh-CN" w:bidi="en-US"/>
        </w:rPr>
        <w:t>法律法规</w:t>
      </w:r>
      <w:r>
        <w:rPr>
          <w:rFonts w:hint="eastAsia" w:ascii="宋体" w:hAnsi="宋体" w:eastAsia="宋体" w:cs="宋体"/>
          <w:b w:val="0"/>
          <w:bCs w:val="0"/>
          <w:color w:val="auto"/>
          <w:kern w:val="0"/>
          <w:sz w:val="24"/>
          <w:szCs w:val="24"/>
          <w:highlight w:val="none"/>
          <w:lang w:bidi="en-US"/>
        </w:rPr>
        <w:t>和规章，不得收受他人的财物或者其他好处，不得向他人</w:t>
      </w:r>
      <w:r>
        <w:rPr>
          <w:rFonts w:hint="eastAsia" w:ascii="宋体" w:hAnsi="宋体" w:cs="宋体"/>
          <w:b w:val="0"/>
          <w:bCs w:val="0"/>
          <w:color w:val="auto"/>
          <w:kern w:val="0"/>
          <w:sz w:val="24"/>
          <w:szCs w:val="24"/>
          <w:highlight w:val="none"/>
          <w:lang w:eastAsia="zh-CN" w:bidi="en-US"/>
        </w:rPr>
        <w:t>透露</w:t>
      </w:r>
      <w:r>
        <w:rPr>
          <w:rFonts w:hint="eastAsia" w:ascii="宋体" w:hAnsi="宋体" w:eastAsia="宋体" w:cs="宋体"/>
          <w:b w:val="0"/>
          <w:bCs w:val="0"/>
          <w:color w:val="auto"/>
          <w:kern w:val="0"/>
          <w:sz w:val="24"/>
          <w:szCs w:val="24"/>
          <w:highlight w:val="none"/>
          <w:lang w:bidi="en-US"/>
        </w:rPr>
        <w:t>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1A51113C">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9.4对与评标活动有关的工作人员的纪律要求</w:t>
      </w:r>
    </w:p>
    <w:p w14:paraId="0B6DC9F9">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与评标活动有关的工作人员不得收受他人的财物或者其他好处，不得向他人</w:t>
      </w:r>
      <w:r>
        <w:rPr>
          <w:rFonts w:hint="eastAsia" w:ascii="宋体" w:hAnsi="宋体" w:cs="宋体"/>
          <w:b w:val="0"/>
          <w:bCs w:val="0"/>
          <w:color w:val="auto"/>
          <w:kern w:val="0"/>
          <w:sz w:val="24"/>
          <w:szCs w:val="24"/>
          <w:highlight w:val="none"/>
          <w:lang w:eastAsia="zh-CN" w:bidi="en-US"/>
        </w:rPr>
        <w:t>透露</w:t>
      </w:r>
      <w:r>
        <w:rPr>
          <w:rFonts w:hint="eastAsia" w:ascii="宋体" w:hAnsi="宋体" w:eastAsia="宋体" w:cs="宋体"/>
          <w:b w:val="0"/>
          <w:bCs w:val="0"/>
          <w:color w:val="auto"/>
          <w:kern w:val="0"/>
          <w:sz w:val="24"/>
          <w:szCs w:val="24"/>
          <w:highlight w:val="none"/>
          <w:lang w:bidi="en-US"/>
        </w:rPr>
        <w:t>对投标文件的评审和比较、中标候选人的推荐情况以及评标有关的其他情况。在评标活动中，与评标活动有关的工作人员不得擅离职守，影响评标程序正常进行。</w:t>
      </w:r>
    </w:p>
    <w:p w14:paraId="307A24A2">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9.5异议和投诉</w:t>
      </w:r>
    </w:p>
    <w:p w14:paraId="090458EC">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9.5.1异议</w:t>
      </w:r>
    </w:p>
    <w:p w14:paraId="04CC3D42">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9.5.1.1潜在投标人或者其他利害关系人对招标文件有异议的，应当在投标截止时间10日前提出。招标人应当自收到异议之日起3日内作出答复；作出答复前，应当暂停招标投标活动。</w:t>
      </w:r>
    </w:p>
    <w:p w14:paraId="6BEDD959">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9.5.1.2投标人对开标有异议的，应当在开标现场提出，招标人应当当场作出答复，并制作记录。</w:t>
      </w:r>
    </w:p>
    <w:p w14:paraId="5F9A509B">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9.5.1.3投标人或者其他利害关系人对依法必须进行招标的项目的评标结果有异议的，应当在中标候选人公示期间提出。招标人应当自收到异议之日起3日内作出答复；作出答复前，应当暂停招标投标活动。</w:t>
      </w:r>
    </w:p>
    <w:p w14:paraId="3368DC71">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9.5.2投诉</w:t>
      </w:r>
    </w:p>
    <w:p w14:paraId="7F1B603B">
      <w:pPr>
        <w:spacing w:line="360" w:lineRule="auto"/>
        <w:ind w:firstLine="484" w:firstLineChars="20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bidi="en-US"/>
        </w:rPr>
        <w:t>9.5.2.1投标人或者其他利害关系人认为招标投标活动不符合法律、行政法规规定的，应当在知道或者应当知道其权益受到侵害之日起十日内向有关行政监督部门提出书面投诉，行政监督部门</w:t>
      </w:r>
      <w:r>
        <w:rPr>
          <w:rFonts w:hint="eastAsia" w:ascii="宋体" w:hAnsi="宋体" w:eastAsia="宋体" w:cs="宋体"/>
          <w:b w:val="0"/>
          <w:bCs w:val="0"/>
          <w:color w:val="auto"/>
          <w:sz w:val="24"/>
          <w:szCs w:val="24"/>
          <w:highlight w:val="none"/>
        </w:rPr>
        <w:t>联系方式见“投标人须知前附表”。</w:t>
      </w:r>
    </w:p>
    <w:p w14:paraId="6B173720">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其他利害关系人是指投标人以外的，与招标项目或者招标活动有直接和间接利益关系的法人、其他组织和个人。</w:t>
      </w:r>
    </w:p>
    <w:p w14:paraId="1E806A79">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9.5.2.2就本章9.5.1条规定事项投诉的，应当先向招标人提出异议，异议答复期间不计算在前款规定的期限内。</w:t>
      </w:r>
    </w:p>
    <w:p w14:paraId="2622BADC">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9.5.2.3投诉人投诉时，应当提交投诉书。投诉书应当包括下列内容：</w:t>
      </w:r>
    </w:p>
    <w:p w14:paraId="097C8980">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（一）投诉人的名称、地址及有效联系方式；</w:t>
      </w:r>
    </w:p>
    <w:p w14:paraId="027A6181">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（二）被投诉人的名称、地址及有效联系方式；</w:t>
      </w:r>
    </w:p>
    <w:p w14:paraId="3D7CEB8B">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（三）投诉事项的基本事实；</w:t>
      </w:r>
    </w:p>
    <w:p w14:paraId="68987489">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（四）相关请求及主张；</w:t>
      </w:r>
    </w:p>
    <w:p w14:paraId="2E658F66">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（五）有效线索和相关证明材料。</w:t>
      </w:r>
    </w:p>
    <w:p w14:paraId="0973234B">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1D7B6B64">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9.5.2.4投诉人不得以投诉为名排挤竞争对手，不得进行虚假、恶意投诉，阻碍招标投标活动的正常进行。</w:t>
      </w:r>
    </w:p>
    <w:p w14:paraId="0E50918A">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9.5.2.5投诉人可以直接投诉，也可以委托代理人办理投诉事务。代理人办理投诉事务时，应将授权委托书连同投诉书一并提交给行政监督部门。授权委托书应当明确有关委托代理权限和事项。</w:t>
      </w:r>
    </w:p>
    <w:p w14:paraId="6A384223">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9.5.2.6有下列情形之一的投诉，不予受理；</w:t>
      </w:r>
    </w:p>
    <w:p w14:paraId="55509534">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（一）投诉人不是所投诉招标投标活动的参与者，或者与投诉项目无任何利害关系；</w:t>
      </w:r>
    </w:p>
    <w:p w14:paraId="1B54631C">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（二）投诉事项不具体，且未提供有效线索，难以查证的；</w:t>
      </w:r>
    </w:p>
    <w:p w14:paraId="750EA5C7">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（三）投诉书未署具投诉人真实姓名、签字和有效联系方式的；以法人名义投诉的，投诉书未经法定代表人签字并加盖公章的；</w:t>
      </w:r>
    </w:p>
    <w:p w14:paraId="184DC628">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（四）超过投诉时效的；</w:t>
      </w:r>
    </w:p>
    <w:p w14:paraId="6EBA746F">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（五）已经作出处理决定，并且投诉人没有提出新的证据；</w:t>
      </w:r>
    </w:p>
    <w:p w14:paraId="54122BA1">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val="en-US" w:eastAsia="zh-CN" w:bidi="en-US"/>
        </w:rPr>
        <w:t xml:space="preserve">  </w:t>
      </w:r>
      <w:r>
        <w:rPr>
          <w:rFonts w:hint="eastAsia" w:ascii="宋体" w:hAnsi="宋体" w:eastAsia="宋体" w:cs="宋体"/>
          <w:b w:val="0"/>
          <w:bCs w:val="0"/>
          <w:color w:val="auto"/>
          <w:kern w:val="0"/>
          <w:sz w:val="24"/>
          <w:szCs w:val="24"/>
          <w:highlight w:val="none"/>
          <w:lang w:bidi="en-US"/>
        </w:rPr>
        <w:t>（六）投诉事项已进入行政复议或者行政诉讼程序的。</w:t>
      </w:r>
    </w:p>
    <w:p w14:paraId="0E8E3F6C">
      <w:pPr>
        <w:spacing w:line="360" w:lineRule="auto"/>
        <w:ind w:firstLine="484" w:firstLineChars="202"/>
        <w:rPr>
          <w:rFonts w:hint="eastAsia" w:ascii="宋体" w:hAnsi="宋体" w:eastAsia="宋体" w:cs="宋体"/>
          <w:b w:val="0"/>
          <w:bCs w:val="0"/>
          <w:color w:val="auto"/>
          <w:kern w:val="0"/>
          <w:sz w:val="24"/>
          <w:szCs w:val="24"/>
          <w:highlight w:val="none"/>
          <w:lang w:bidi="en-US"/>
        </w:rPr>
      </w:pPr>
      <w:r>
        <w:rPr>
          <w:rFonts w:hint="eastAsia" w:ascii="宋体" w:hAnsi="宋体" w:eastAsia="宋体" w:cs="宋体"/>
          <w:b w:val="0"/>
          <w:bCs w:val="0"/>
          <w:color w:val="auto"/>
          <w:kern w:val="0"/>
          <w:sz w:val="24"/>
          <w:szCs w:val="24"/>
          <w:highlight w:val="none"/>
          <w:lang w:bidi="en-US"/>
        </w:rPr>
        <w:t>9.5.2.7未尽事宜，按国家现行有关法律法规、七部委11号令《工程建设项目招标投标活动投诉处理办法》和《云南省招标投标活动投诉处理办法》的规定执行。</w:t>
      </w:r>
    </w:p>
    <w:p w14:paraId="7A4039FD">
      <w:pPr>
        <w:pStyle w:val="4"/>
        <w:spacing w:before="0" w:after="0"/>
        <w:ind w:firstLine="482" w:firstLineChars="201"/>
        <w:rPr>
          <w:rFonts w:hint="eastAsia" w:ascii="宋体" w:hAnsi="宋体" w:eastAsia="宋体" w:cs="宋体"/>
          <w:b w:val="0"/>
          <w:bCs w:val="0"/>
          <w:color w:val="auto"/>
          <w:sz w:val="24"/>
          <w:szCs w:val="24"/>
          <w:highlight w:val="none"/>
        </w:rPr>
      </w:pPr>
      <w:bookmarkStart w:id="261" w:name="_Toc184635080"/>
      <w:bookmarkStart w:id="262" w:name="_Toc435016841"/>
      <w:bookmarkStart w:id="263" w:name="_Toc22606"/>
      <w:bookmarkStart w:id="264" w:name="_Toc21426"/>
      <w:bookmarkStart w:id="265" w:name="_Toc395965045"/>
      <w:bookmarkStart w:id="266" w:name="_Toc17020"/>
      <w:r>
        <w:rPr>
          <w:rFonts w:hint="eastAsia" w:ascii="宋体" w:hAnsi="宋体" w:eastAsia="宋体" w:cs="宋体"/>
          <w:b w:val="0"/>
          <w:bCs w:val="0"/>
          <w:color w:val="auto"/>
          <w:sz w:val="24"/>
          <w:szCs w:val="24"/>
          <w:highlight w:val="none"/>
        </w:rPr>
        <w:t>10．</w:t>
      </w:r>
      <w:bookmarkEnd w:id="261"/>
      <w:r>
        <w:rPr>
          <w:rFonts w:hint="eastAsia" w:ascii="宋体" w:hAnsi="宋体" w:eastAsia="宋体" w:cs="宋体"/>
          <w:b w:val="0"/>
          <w:bCs w:val="0"/>
          <w:color w:val="auto"/>
          <w:sz w:val="24"/>
          <w:szCs w:val="24"/>
          <w:highlight w:val="none"/>
        </w:rPr>
        <w:t>需要补充的其他内容</w:t>
      </w:r>
      <w:bookmarkEnd w:id="262"/>
      <w:bookmarkEnd w:id="263"/>
      <w:bookmarkEnd w:id="264"/>
      <w:bookmarkEnd w:id="265"/>
      <w:bookmarkEnd w:id="266"/>
    </w:p>
    <w:p w14:paraId="626F9BD8">
      <w:pPr>
        <w:spacing w:line="360" w:lineRule="auto"/>
        <w:ind w:firstLine="484" w:firstLineChars="202"/>
        <w:rPr>
          <w:rFonts w:hint="eastAsia" w:ascii="宋体" w:hAnsi="宋体" w:eastAsia="宋体" w:cs="宋体"/>
          <w:b w:val="0"/>
          <w:bCs w:val="0"/>
          <w:color w:val="auto"/>
          <w:kern w:val="0"/>
          <w:sz w:val="24"/>
          <w:szCs w:val="24"/>
          <w:highlight w:val="none"/>
          <w:lang w:val="en-US" w:eastAsia="zh-CN" w:bidi="en-US"/>
        </w:rPr>
      </w:pPr>
      <w:r>
        <w:rPr>
          <w:rFonts w:hint="eastAsia" w:ascii="宋体" w:hAnsi="宋体" w:eastAsia="宋体" w:cs="宋体"/>
          <w:b w:val="0"/>
          <w:bCs w:val="0"/>
          <w:color w:val="auto"/>
          <w:kern w:val="0"/>
          <w:sz w:val="24"/>
          <w:szCs w:val="24"/>
          <w:highlight w:val="none"/>
          <w:lang w:val="en-US" w:eastAsia="zh-CN" w:bidi="en-US"/>
        </w:rPr>
        <w:t>详见投标人须知前附表。</w:t>
      </w:r>
    </w:p>
    <w:p w14:paraId="03807D47">
      <w:pPr>
        <w:pStyle w:val="4"/>
        <w:spacing w:line="240" w:lineRule="auto"/>
        <w:rPr>
          <w:rFonts w:cs="Times New Roman"/>
          <w:color w:val="auto"/>
          <w:highlight w:val="none"/>
        </w:rPr>
      </w:pPr>
      <w:bookmarkStart w:id="267" w:name="_Toc45896680"/>
      <w:bookmarkStart w:id="268" w:name="_Toc45896976"/>
      <w:r>
        <w:rPr>
          <w:rFonts w:hint="eastAsia" w:hAnsi="黑体"/>
          <w:b/>
          <w:bCs/>
          <w:color w:val="auto"/>
          <w:sz w:val="32"/>
          <w:szCs w:val="32"/>
          <w:highlight w:val="none"/>
        </w:rPr>
        <w:t>附件七：电子投标文件编制及上传要求</w:t>
      </w:r>
      <w:bookmarkEnd w:id="267"/>
      <w:bookmarkEnd w:id="268"/>
    </w:p>
    <w:p w14:paraId="005D7663">
      <w:pPr>
        <w:pStyle w:val="71"/>
        <w:spacing w:line="360" w:lineRule="auto"/>
        <w:rPr>
          <w:rFonts w:cs="Times New Roman"/>
          <w:color w:val="auto"/>
          <w:sz w:val="24"/>
          <w:szCs w:val="32"/>
          <w:highlight w:val="none"/>
        </w:rPr>
      </w:pPr>
      <w:r>
        <w:rPr>
          <w:color w:val="auto"/>
          <w:sz w:val="24"/>
          <w:szCs w:val="32"/>
          <w:highlight w:val="none"/>
        </w:rPr>
        <w:t>1</w:t>
      </w:r>
      <w:r>
        <w:rPr>
          <w:rFonts w:hint="eastAsia"/>
          <w:color w:val="auto"/>
          <w:sz w:val="24"/>
          <w:szCs w:val="32"/>
          <w:highlight w:val="none"/>
        </w:rPr>
        <w:t>、电子投标文件的制作应使用《云南省工程建设模块化投标文件编制系统》，生成电子签名（或签名）的投标文件，格式为</w:t>
      </w:r>
      <w:r>
        <w:rPr>
          <w:color w:val="auto"/>
          <w:sz w:val="24"/>
          <w:szCs w:val="32"/>
          <w:highlight w:val="none"/>
        </w:rPr>
        <w:t>*.BTBJ</w:t>
      </w:r>
      <w:r>
        <w:rPr>
          <w:rFonts w:hint="eastAsia"/>
          <w:color w:val="auto"/>
          <w:sz w:val="24"/>
          <w:szCs w:val="32"/>
          <w:highlight w:val="none"/>
        </w:rPr>
        <w:t>。如果要求提供电子效果图纸文件</w:t>
      </w:r>
      <w:r>
        <w:rPr>
          <w:color w:val="auto"/>
          <w:sz w:val="24"/>
          <w:szCs w:val="32"/>
          <w:highlight w:val="none"/>
        </w:rPr>
        <w:t>/</w:t>
      </w:r>
      <w:r>
        <w:rPr>
          <w:rFonts w:hint="eastAsia"/>
          <w:color w:val="auto"/>
          <w:sz w:val="24"/>
          <w:szCs w:val="32"/>
          <w:highlight w:val="none"/>
        </w:rPr>
        <w:t>电子视频演示文件，也必须使用《云南省工程建设模块化投标文件编制系统》制作生成电子签名的效果图纸文件（格式为</w:t>
      </w:r>
      <w:r>
        <w:rPr>
          <w:color w:val="auto"/>
          <w:sz w:val="24"/>
          <w:szCs w:val="32"/>
          <w:highlight w:val="none"/>
        </w:rPr>
        <w:t>*.BTBT</w:t>
      </w:r>
      <w:r>
        <w:rPr>
          <w:rFonts w:hint="eastAsia"/>
          <w:color w:val="auto"/>
          <w:sz w:val="24"/>
          <w:szCs w:val="32"/>
          <w:highlight w:val="none"/>
        </w:rPr>
        <w:t>）</w:t>
      </w:r>
      <w:r>
        <w:rPr>
          <w:color w:val="auto"/>
          <w:sz w:val="24"/>
          <w:szCs w:val="32"/>
          <w:highlight w:val="none"/>
        </w:rPr>
        <w:t>/</w:t>
      </w:r>
      <w:r>
        <w:rPr>
          <w:rFonts w:hint="eastAsia"/>
          <w:color w:val="auto"/>
          <w:sz w:val="24"/>
          <w:szCs w:val="32"/>
          <w:highlight w:val="none"/>
        </w:rPr>
        <w:t>视频演示文件（格式为</w:t>
      </w:r>
      <w:r>
        <w:rPr>
          <w:color w:val="auto"/>
          <w:sz w:val="24"/>
          <w:szCs w:val="32"/>
          <w:highlight w:val="none"/>
        </w:rPr>
        <w:t>*.BTBY</w:t>
      </w:r>
      <w:r>
        <w:rPr>
          <w:rFonts w:hint="eastAsia"/>
          <w:color w:val="auto"/>
          <w:sz w:val="24"/>
          <w:szCs w:val="32"/>
          <w:highlight w:val="none"/>
        </w:rPr>
        <w:t>），电子投标文件须在网上递交上传。</w:t>
      </w:r>
    </w:p>
    <w:p w14:paraId="1D59CA84">
      <w:pPr>
        <w:pStyle w:val="71"/>
        <w:spacing w:line="360" w:lineRule="auto"/>
        <w:rPr>
          <w:rFonts w:cs="Times New Roman"/>
          <w:color w:val="auto"/>
          <w:sz w:val="24"/>
          <w:szCs w:val="32"/>
          <w:highlight w:val="none"/>
        </w:rPr>
      </w:pPr>
      <w:r>
        <w:rPr>
          <w:color w:val="auto"/>
          <w:sz w:val="24"/>
          <w:szCs w:val="32"/>
          <w:highlight w:val="none"/>
        </w:rPr>
        <w:t>2</w:t>
      </w:r>
      <w:r>
        <w:rPr>
          <w:rFonts w:hint="eastAsia"/>
          <w:color w:val="auto"/>
          <w:sz w:val="24"/>
          <w:szCs w:val="32"/>
          <w:highlight w:val="none"/>
        </w:rPr>
        <w:t>、《云南省工程建设模块化投标文件编制系统》提供数字证书（</w:t>
      </w:r>
      <w:r>
        <w:rPr>
          <w:color w:val="auto"/>
          <w:sz w:val="24"/>
          <w:szCs w:val="32"/>
          <w:highlight w:val="none"/>
        </w:rPr>
        <w:t>CA</w:t>
      </w:r>
      <w:r>
        <w:rPr>
          <w:rFonts w:hint="eastAsia"/>
          <w:color w:val="auto"/>
          <w:sz w:val="24"/>
          <w:szCs w:val="32"/>
          <w:highlight w:val="none"/>
        </w:rPr>
        <w:t>）对投标文件进行加密功能。投标人对网上递交的投标文件应加密。如果投标人使用某个数字证书（</w:t>
      </w:r>
      <w:r>
        <w:rPr>
          <w:color w:val="auto"/>
          <w:sz w:val="24"/>
          <w:szCs w:val="32"/>
          <w:highlight w:val="none"/>
        </w:rPr>
        <w:t>CA</w:t>
      </w:r>
      <w:r>
        <w:rPr>
          <w:rFonts w:hint="eastAsia"/>
          <w:color w:val="auto"/>
          <w:sz w:val="24"/>
          <w:szCs w:val="32"/>
          <w:highlight w:val="none"/>
        </w:rPr>
        <w:t>）对投标文件进行了数字证书（</w:t>
      </w:r>
      <w:r>
        <w:rPr>
          <w:color w:val="auto"/>
          <w:sz w:val="24"/>
          <w:szCs w:val="32"/>
          <w:highlight w:val="none"/>
        </w:rPr>
        <w:t>CA</w:t>
      </w:r>
      <w:r>
        <w:rPr>
          <w:rFonts w:hint="eastAsia"/>
          <w:color w:val="auto"/>
          <w:sz w:val="24"/>
          <w:szCs w:val="32"/>
          <w:highlight w:val="none"/>
        </w:rPr>
        <w:t>）加密，需要在开标会上使用该数字证书（</w:t>
      </w:r>
      <w:r>
        <w:rPr>
          <w:color w:val="auto"/>
          <w:sz w:val="24"/>
          <w:szCs w:val="32"/>
          <w:highlight w:val="none"/>
        </w:rPr>
        <w:t>CA</w:t>
      </w:r>
      <w:r>
        <w:rPr>
          <w:rFonts w:hint="eastAsia"/>
          <w:color w:val="auto"/>
          <w:sz w:val="24"/>
          <w:szCs w:val="32"/>
          <w:highlight w:val="none"/>
        </w:rPr>
        <w:t>）进行现场解密，才能读取或导入投标文件，因投标人原因造成投标文件未解密的，视为撤回其投标文件。</w:t>
      </w:r>
    </w:p>
    <w:p w14:paraId="4CA93BEB">
      <w:pPr>
        <w:pStyle w:val="71"/>
        <w:spacing w:line="360" w:lineRule="auto"/>
        <w:rPr>
          <w:rFonts w:cs="Times New Roman"/>
          <w:color w:val="auto"/>
          <w:sz w:val="24"/>
          <w:szCs w:val="32"/>
          <w:highlight w:val="none"/>
        </w:rPr>
      </w:pPr>
      <w:r>
        <w:rPr>
          <w:color w:val="auto"/>
          <w:sz w:val="24"/>
          <w:szCs w:val="32"/>
          <w:highlight w:val="none"/>
        </w:rPr>
        <w:t>3</w:t>
      </w:r>
      <w:r>
        <w:rPr>
          <w:rFonts w:hint="eastAsia"/>
          <w:color w:val="auto"/>
          <w:sz w:val="24"/>
          <w:szCs w:val="32"/>
          <w:highlight w:val="none"/>
        </w:rPr>
        <w:t>、网上递交投标文件应根据招标文件要求，在投标截止时间前将电子投标文件上传至指定的开标项目，并打印“上传投标文件回执”，以表明上传成功。同时，应自行核验下载上传成功的投标文件，并进行查看和解密以确保上传投标文件的正确性。</w:t>
      </w:r>
    </w:p>
    <w:p w14:paraId="6F553E2A">
      <w:pPr>
        <w:pStyle w:val="71"/>
        <w:spacing w:line="360" w:lineRule="auto"/>
        <w:rPr>
          <w:rFonts w:cs="Times New Roman"/>
          <w:color w:val="auto"/>
          <w:sz w:val="24"/>
          <w:szCs w:val="32"/>
          <w:highlight w:val="none"/>
        </w:rPr>
      </w:pPr>
      <w:r>
        <w:rPr>
          <w:color w:val="auto"/>
          <w:sz w:val="24"/>
          <w:szCs w:val="32"/>
          <w:highlight w:val="none"/>
        </w:rPr>
        <w:t>4</w:t>
      </w:r>
      <w:r>
        <w:rPr>
          <w:rFonts w:hint="eastAsia"/>
          <w:color w:val="auto"/>
          <w:sz w:val="24"/>
          <w:szCs w:val="32"/>
          <w:highlight w:val="none"/>
        </w:rPr>
        <w:t>、投标人投标时，须按本附件“电子投标文件编制及报送要求”规定编制及网上递交电子投标文件。</w:t>
      </w:r>
    </w:p>
    <w:p w14:paraId="6B4AC042">
      <w:pPr>
        <w:pStyle w:val="71"/>
        <w:spacing w:line="360" w:lineRule="auto"/>
        <w:rPr>
          <w:rFonts w:cs="Times New Roman"/>
          <w:color w:val="auto"/>
          <w:sz w:val="24"/>
          <w:szCs w:val="32"/>
          <w:highlight w:val="none"/>
        </w:rPr>
      </w:pPr>
      <w:r>
        <w:rPr>
          <w:color w:val="auto"/>
          <w:sz w:val="24"/>
          <w:szCs w:val="32"/>
          <w:highlight w:val="none"/>
        </w:rPr>
        <w:t>5</w:t>
      </w:r>
      <w:r>
        <w:rPr>
          <w:rFonts w:hint="eastAsia"/>
          <w:color w:val="auto"/>
          <w:sz w:val="24"/>
          <w:szCs w:val="32"/>
          <w:highlight w:val="none"/>
        </w:rPr>
        <w:t>、该投标文件制作及报送要求如果与招标文件规定不一致，以此投标文件制作及报送要求为准。</w:t>
      </w:r>
    </w:p>
    <w:p w14:paraId="56F62230">
      <w:pPr>
        <w:pStyle w:val="71"/>
        <w:spacing w:line="360" w:lineRule="auto"/>
        <w:rPr>
          <w:rFonts w:cs="Times New Roman"/>
          <w:color w:val="auto"/>
          <w:sz w:val="24"/>
          <w:szCs w:val="32"/>
          <w:highlight w:val="none"/>
        </w:rPr>
      </w:pPr>
      <w:r>
        <w:rPr>
          <w:color w:val="auto"/>
          <w:sz w:val="24"/>
          <w:szCs w:val="32"/>
          <w:highlight w:val="none"/>
        </w:rPr>
        <w:t>6</w:t>
      </w:r>
      <w:r>
        <w:rPr>
          <w:rFonts w:hint="eastAsia"/>
          <w:color w:val="auto"/>
          <w:sz w:val="24"/>
          <w:szCs w:val="32"/>
          <w:highlight w:val="none"/>
        </w:rPr>
        <w:t>、在编制技术标投标文件时，</w:t>
      </w:r>
      <w:r>
        <w:rPr>
          <w:rFonts w:hint="eastAsia"/>
          <w:b/>
          <w:bCs/>
          <w:color w:val="auto"/>
          <w:sz w:val="24"/>
          <w:szCs w:val="32"/>
          <w:highlight w:val="none"/>
        </w:rPr>
        <w:t>粘贴图片使用</w:t>
      </w:r>
      <w:r>
        <w:rPr>
          <w:b/>
          <w:bCs/>
          <w:color w:val="auto"/>
          <w:sz w:val="24"/>
          <w:szCs w:val="32"/>
          <w:highlight w:val="none"/>
        </w:rPr>
        <w:t>JPG</w:t>
      </w:r>
      <w:r>
        <w:rPr>
          <w:rFonts w:hint="eastAsia"/>
          <w:b/>
          <w:bCs/>
          <w:color w:val="auto"/>
          <w:sz w:val="24"/>
          <w:szCs w:val="32"/>
          <w:highlight w:val="none"/>
        </w:rPr>
        <w:t>格式的文件，并且每张图片的</w:t>
      </w:r>
      <w:r>
        <w:rPr>
          <w:rFonts w:hint="eastAsia"/>
          <w:b/>
          <w:bCs/>
          <w:color w:val="auto"/>
          <w:sz w:val="24"/>
          <w:szCs w:val="32"/>
          <w:highlight w:val="none"/>
          <w:lang w:eastAsia="zh-CN"/>
        </w:rPr>
        <w:t>分辨率</w:t>
      </w:r>
      <w:r>
        <w:rPr>
          <w:rFonts w:hint="eastAsia"/>
          <w:b/>
          <w:bCs/>
          <w:color w:val="auto"/>
          <w:sz w:val="24"/>
          <w:szCs w:val="32"/>
          <w:highlight w:val="none"/>
        </w:rPr>
        <w:t>应小于</w:t>
      </w:r>
      <w:r>
        <w:rPr>
          <w:b/>
          <w:bCs/>
          <w:color w:val="auto"/>
          <w:sz w:val="24"/>
          <w:szCs w:val="32"/>
          <w:highlight w:val="none"/>
        </w:rPr>
        <w:t>100dpi</w:t>
      </w:r>
      <w:r>
        <w:rPr>
          <w:rFonts w:hint="eastAsia"/>
          <w:b/>
          <w:bCs/>
          <w:color w:val="auto"/>
          <w:sz w:val="24"/>
          <w:szCs w:val="32"/>
          <w:highlight w:val="none"/>
        </w:rPr>
        <w:t>，最终的每份标书文件所占用的磁盘空间必须小于</w:t>
      </w:r>
      <w:r>
        <w:rPr>
          <w:rFonts w:hint="eastAsia"/>
          <w:b/>
          <w:bCs/>
          <w:color w:val="auto"/>
          <w:sz w:val="24"/>
          <w:szCs w:val="32"/>
          <w:highlight w:val="none"/>
          <w:lang w:val="en-US" w:eastAsia="zh-CN"/>
        </w:rPr>
        <w:t>2</w:t>
      </w:r>
      <w:r>
        <w:rPr>
          <w:rFonts w:hint="eastAsia"/>
          <w:b/>
          <w:bCs/>
          <w:color w:val="auto"/>
          <w:sz w:val="24"/>
          <w:szCs w:val="32"/>
          <w:highlight w:val="none"/>
          <w:lang w:eastAsia="zh-CN"/>
        </w:rPr>
        <w:t>00M</w:t>
      </w:r>
      <w:r>
        <w:rPr>
          <w:rFonts w:hint="eastAsia"/>
          <w:b/>
          <w:bCs/>
          <w:color w:val="auto"/>
          <w:sz w:val="24"/>
          <w:szCs w:val="32"/>
          <w:highlight w:val="none"/>
        </w:rPr>
        <w:t>。</w:t>
      </w:r>
    </w:p>
    <w:p w14:paraId="0E39E27B">
      <w:pPr>
        <w:pStyle w:val="71"/>
        <w:spacing w:line="360" w:lineRule="auto"/>
        <w:rPr>
          <w:rFonts w:cs="Times New Roman"/>
          <w:b/>
          <w:bCs/>
          <w:color w:val="auto"/>
          <w:sz w:val="24"/>
          <w:szCs w:val="32"/>
          <w:highlight w:val="none"/>
        </w:rPr>
      </w:pPr>
      <w:bookmarkStart w:id="269" w:name="_Toc524363213"/>
      <w:bookmarkStart w:id="270" w:name="_Toc516230809"/>
      <w:bookmarkStart w:id="271" w:name="_Toc516609419"/>
      <w:bookmarkStart w:id="272" w:name="_Toc9368"/>
      <w:bookmarkStart w:id="273" w:name="_Toc497754411"/>
      <w:r>
        <w:rPr>
          <w:rFonts w:hint="eastAsia"/>
          <w:b/>
          <w:bCs/>
          <w:color w:val="auto"/>
          <w:sz w:val="24"/>
          <w:szCs w:val="32"/>
          <w:highlight w:val="none"/>
        </w:rPr>
        <w:t>注：不同单位的投标文件若芯片序列号、硬盘序列号、网卡序列号一致，视为由同一台电脑编制！</w:t>
      </w:r>
      <w:bookmarkEnd w:id="269"/>
      <w:bookmarkEnd w:id="270"/>
      <w:bookmarkEnd w:id="271"/>
      <w:bookmarkEnd w:id="272"/>
      <w:bookmarkEnd w:id="273"/>
    </w:p>
    <w:p w14:paraId="5C4541BA">
      <w:pPr>
        <w:pStyle w:val="71"/>
        <w:spacing w:line="360" w:lineRule="auto"/>
        <w:rPr>
          <w:rFonts w:cs="Times New Roman"/>
          <w:color w:val="auto"/>
          <w:sz w:val="24"/>
          <w:szCs w:val="32"/>
          <w:highlight w:val="none"/>
        </w:rPr>
      </w:pPr>
      <w:r>
        <w:rPr>
          <w:color w:val="auto"/>
          <w:sz w:val="24"/>
          <w:szCs w:val="32"/>
          <w:highlight w:val="none"/>
        </w:rPr>
        <w:t>7</w:t>
      </w:r>
      <w:r>
        <w:rPr>
          <w:rFonts w:hint="eastAsia"/>
          <w:color w:val="auto"/>
          <w:sz w:val="24"/>
          <w:szCs w:val="32"/>
          <w:highlight w:val="none"/>
        </w:rPr>
        <w:t>、技术支持</w:t>
      </w:r>
    </w:p>
    <w:p w14:paraId="7EF1A629">
      <w:pPr>
        <w:pStyle w:val="71"/>
        <w:spacing w:line="360" w:lineRule="auto"/>
        <w:rPr>
          <w:rFonts w:cs="Times New Roman"/>
          <w:color w:val="auto"/>
          <w:sz w:val="24"/>
          <w:szCs w:val="32"/>
          <w:highlight w:val="none"/>
        </w:rPr>
      </w:pPr>
      <w:r>
        <w:rPr>
          <w:rFonts w:hint="eastAsia"/>
          <w:color w:val="auto"/>
          <w:sz w:val="24"/>
          <w:szCs w:val="32"/>
          <w:highlight w:val="none"/>
        </w:rPr>
        <w:t>技术支持：北京筑龙信息技术有限责任公司</w:t>
      </w:r>
    </w:p>
    <w:p w14:paraId="5E0D6D4F">
      <w:pPr>
        <w:pStyle w:val="71"/>
        <w:spacing w:line="360" w:lineRule="auto"/>
        <w:rPr>
          <w:rFonts w:hint="eastAsia"/>
          <w:highlight w:val="none"/>
          <w:lang w:val="en-US" w:eastAsia="zh-CN"/>
        </w:rPr>
      </w:pPr>
      <w:r>
        <w:rPr>
          <w:rFonts w:hint="eastAsia"/>
          <w:color w:val="auto"/>
          <w:sz w:val="24"/>
          <w:szCs w:val="32"/>
          <w:highlight w:val="none"/>
        </w:rPr>
        <w:t>服务电话：</w:t>
      </w:r>
      <w:r>
        <w:rPr>
          <w:rFonts w:hint="eastAsia"/>
          <w:color w:val="auto"/>
          <w:sz w:val="24"/>
          <w:szCs w:val="32"/>
          <w:highlight w:val="none"/>
          <w:lang w:eastAsia="zh-CN"/>
        </w:rPr>
        <w:t>010-86483801</w:t>
      </w:r>
      <w:r>
        <w:rPr>
          <w:rFonts w:hint="eastAsia"/>
          <w:color w:val="auto"/>
          <w:sz w:val="24"/>
          <w:szCs w:val="32"/>
          <w:highlight w:val="none"/>
        </w:rPr>
        <w:t>，在线服务</w:t>
      </w:r>
      <w:r>
        <w:rPr>
          <w:color w:val="auto"/>
          <w:sz w:val="24"/>
          <w:szCs w:val="32"/>
          <w:highlight w:val="none"/>
        </w:rPr>
        <w:t>QQ</w:t>
      </w:r>
      <w:r>
        <w:rPr>
          <w:rFonts w:hint="eastAsia"/>
          <w:color w:val="auto"/>
          <w:sz w:val="24"/>
          <w:szCs w:val="32"/>
          <w:highlight w:val="none"/>
        </w:rPr>
        <w:t>：</w:t>
      </w:r>
      <w:r>
        <w:rPr>
          <w:color w:val="auto"/>
          <w:sz w:val="24"/>
          <w:szCs w:val="32"/>
          <w:highlight w:val="none"/>
        </w:rPr>
        <w:t>4009618998</w:t>
      </w:r>
    </w:p>
    <w:p w14:paraId="510155E6">
      <w:pPr>
        <w:pStyle w:val="37"/>
        <w:rPr>
          <w:rFonts w:hint="eastAsia" w:ascii="宋体" w:hAnsi="宋体" w:eastAsia="宋体" w:cs="宋体"/>
          <w:highlight w:val="none"/>
        </w:rPr>
      </w:pPr>
      <w:bookmarkStart w:id="274" w:name="_Toc435016848"/>
      <w:bookmarkStart w:id="275" w:name="_Toc395965054"/>
      <w:bookmarkStart w:id="276" w:name="_Toc3082"/>
    </w:p>
    <w:p w14:paraId="53BF7C44">
      <w:pPr>
        <w:rPr>
          <w:rFonts w:hint="eastAsia" w:ascii="宋体" w:hAnsi="宋体" w:eastAsia="宋体" w:cs="宋体"/>
          <w:highlight w:val="none"/>
        </w:rPr>
      </w:pPr>
      <w:r>
        <w:rPr>
          <w:rFonts w:hint="eastAsia" w:ascii="宋体" w:hAnsi="宋体" w:eastAsia="宋体" w:cs="宋体"/>
          <w:highlight w:val="none"/>
        </w:rPr>
        <w:br w:type="page"/>
      </w:r>
    </w:p>
    <w:p w14:paraId="07796300">
      <w:pPr>
        <w:pStyle w:val="2"/>
        <w:bidi w:val="0"/>
        <w:rPr>
          <w:rFonts w:hint="eastAsia" w:ascii="宋体" w:hAnsi="宋体" w:eastAsia="宋体" w:cs="宋体"/>
          <w:highlight w:val="none"/>
          <w:lang w:eastAsia="zh-CN"/>
        </w:rPr>
      </w:pPr>
      <w:r>
        <w:rPr>
          <w:rFonts w:hint="eastAsia" w:ascii="宋体" w:hAnsi="宋体" w:eastAsia="宋体" w:cs="宋体"/>
          <w:highlight w:val="none"/>
        </w:rPr>
        <w:t>第三章  评标办法</w:t>
      </w:r>
      <w:bookmarkEnd w:id="274"/>
      <w:bookmarkEnd w:id="275"/>
      <w:r>
        <w:rPr>
          <w:rFonts w:hint="eastAsia" w:ascii="宋体" w:hAnsi="宋体" w:eastAsia="宋体" w:cs="宋体"/>
          <w:highlight w:val="none"/>
          <w:lang w:eastAsia="zh-CN"/>
        </w:rPr>
        <w:t>（</w:t>
      </w:r>
      <w:r>
        <w:rPr>
          <w:rFonts w:hint="eastAsia" w:ascii="宋体" w:hAnsi="宋体" w:eastAsia="宋体" w:cs="宋体"/>
          <w:highlight w:val="none"/>
          <w:lang w:val="en-US" w:eastAsia="zh-CN"/>
        </w:rPr>
        <w:t>综合评估法</w:t>
      </w:r>
      <w:r>
        <w:rPr>
          <w:rFonts w:hint="eastAsia" w:ascii="宋体" w:hAnsi="宋体" w:eastAsia="宋体" w:cs="宋体"/>
          <w:highlight w:val="none"/>
          <w:lang w:eastAsia="zh-CN"/>
        </w:rPr>
        <w:t>）</w:t>
      </w:r>
      <w:bookmarkEnd w:id="276"/>
    </w:p>
    <w:p w14:paraId="7F9952FA">
      <w:pPr>
        <w:pStyle w:val="3"/>
        <w:keepLines w:val="0"/>
        <w:widowControl/>
        <w:spacing w:before="0" w:after="0" w:line="360" w:lineRule="auto"/>
        <w:ind w:left="478" w:hanging="479" w:hangingChars="199"/>
        <w:jc w:val="center"/>
        <w:rPr>
          <w:rFonts w:hint="eastAsia" w:ascii="宋体" w:hAnsi="宋体" w:eastAsia="宋体" w:cs="宋体"/>
          <w:b/>
          <w:bCs/>
          <w:iCs/>
          <w:color w:val="auto"/>
          <w:kern w:val="0"/>
          <w:sz w:val="24"/>
          <w:szCs w:val="24"/>
          <w:highlight w:val="none"/>
          <w:lang w:bidi="en-US"/>
        </w:rPr>
      </w:pPr>
      <w:bookmarkStart w:id="277" w:name="_Toc7886_WPSOffice_Level2"/>
      <w:bookmarkStart w:id="278" w:name="_Toc435016849"/>
      <w:bookmarkStart w:id="279" w:name="_Toc26239"/>
      <w:bookmarkStart w:id="280" w:name="_Toc29_WPSOffice_Level2"/>
      <w:bookmarkStart w:id="281" w:name="_Toc19423"/>
      <w:bookmarkStart w:id="282" w:name="_Toc395965055"/>
      <w:bookmarkStart w:id="283" w:name="_Toc20380"/>
      <w:r>
        <w:rPr>
          <w:rFonts w:hint="eastAsia" w:ascii="宋体" w:hAnsi="宋体" w:eastAsia="宋体" w:cs="宋体"/>
          <w:b/>
          <w:bCs/>
          <w:iCs/>
          <w:color w:val="auto"/>
          <w:kern w:val="0"/>
          <w:sz w:val="24"/>
          <w:szCs w:val="24"/>
          <w:highlight w:val="none"/>
          <w:lang w:val="en-US" w:eastAsia="zh-CN" w:bidi="en-US"/>
        </w:rPr>
        <w:t>一、</w:t>
      </w:r>
      <w:r>
        <w:rPr>
          <w:rFonts w:hint="eastAsia" w:ascii="宋体" w:hAnsi="宋体" w:eastAsia="宋体" w:cs="宋体"/>
          <w:b/>
          <w:bCs/>
          <w:iCs/>
          <w:color w:val="auto"/>
          <w:kern w:val="0"/>
          <w:sz w:val="24"/>
          <w:szCs w:val="24"/>
          <w:highlight w:val="none"/>
          <w:lang w:bidi="en-US"/>
        </w:rPr>
        <w:t>评标办法前附表</w:t>
      </w:r>
      <w:bookmarkEnd w:id="277"/>
      <w:bookmarkEnd w:id="278"/>
      <w:bookmarkEnd w:id="279"/>
      <w:bookmarkEnd w:id="280"/>
      <w:bookmarkEnd w:id="281"/>
      <w:bookmarkEnd w:id="282"/>
      <w:bookmarkEnd w:id="283"/>
    </w:p>
    <w:p w14:paraId="0AF2E94E">
      <w:pPr>
        <w:widowControl/>
        <w:jc w:val="left"/>
        <w:rPr>
          <w:rFonts w:hint="eastAsia" w:ascii="宋体" w:hAnsi="宋体" w:eastAsia="宋体" w:cs="宋体"/>
          <w:b w:val="0"/>
          <w:bCs w:val="0"/>
          <w:iCs/>
          <w:color w:val="auto"/>
          <w:kern w:val="0"/>
          <w:sz w:val="21"/>
          <w:szCs w:val="21"/>
          <w:highlight w:val="none"/>
          <w:lang w:bidi="en-US"/>
        </w:rPr>
      </w:pPr>
      <w:bookmarkStart w:id="284" w:name="_Toc435016850"/>
      <w:bookmarkStart w:id="285" w:name="_Toc395965056"/>
    </w:p>
    <w:tbl>
      <w:tblPr>
        <w:tblStyle w:val="28"/>
        <w:tblW w:w="895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1"/>
        <w:gridCol w:w="661"/>
        <w:gridCol w:w="1224"/>
        <w:gridCol w:w="2123"/>
        <w:gridCol w:w="4417"/>
      </w:tblGrid>
      <w:tr w14:paraId="323E58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2416" w:type="dxa"/>
            <w:gridSpan w:val="3"/>
            <w:vAlign w:val="center"/>
          </w:tcPr>
          <w:p w14:paraId="71D06314">
            <w:pPr>
              <w:spacing w:after="0" w:line="240" w:lineRule="auto"/>
              <w:jc w:val="center"/>
              <w:rPr>
                <w:rFonts w:hint="eastAsia" w:ascii="宋体" w:hAnsi="宋体" w:eastAsia="宋体" w:cs="宋体"/>
                <w:b/>
                <w:color w:val="auto"/>
                <w:highlight w:val="none"/>
              </w:rPr>
            </w:pPr>
            <w:r>
              <w:rPr>
                <w:rFonts w:hint="eastAsia" w:ascii="宋体" w:hAnsi="宋体" w:eastAsia="宋体" w:cs="宋体"/>
                <w:b/>
                <w:color w:val="auto"/>
                <w:szCs w:val="21"/>
                <w:highlight w:val="none"/>
              </w:rPr>
              <w:t>条款号</w:t>
            </w:r>
          </w:p>
        </w:tc>
        <w:tc>
          <w:tcPr>
            <w:tcW w:w="2123" w:type="dxa"/>
            <w:vAlign w:val="center"/>
          </w:tcPr>
          <w:p w14:paraId="6B96469E">
            <w:pPr>
              <w:spacing w:after="0" w:line="240" w:lineRule="auto"/>
              <w:jc w:val="center"/>
              <w:rPr>
                <w:rFonts w:hint="eastAsia" w:ascii="宋体" w:hAnsi="宋体" w:eastAsia="宋体" w:cs="宋体"/>
                <w:b/>
                <w:color w:val="auto"/>
                <w:highlight w:val="none"/>
              </w:rPr>
            </w:pPr>
            <w:r>
              <w:rPr>
                <w:rFonts w:hint="eastAsia" w:ascii="宋体" w:hAnsi="宋体" w:eastAsia="宋体" w:cs="宋体"/>
                <w:b/>
                <w:color w:val="auto"/>
                <w:szCs w:val="21"/>
                <w:highlight w:val="none"/>
              </w:rPr>
              <w:t>评审因素</w:t>
            </w:r>
          </w:p>
        </w:tc>
        <w:tc>
          <w:tcPr>
            <w:tcW w:w="4417" w:type="dxa"/>
            <w:vAlign w:val="center"/>
          </w:tcPr>
          <w:p w14:paraId="3934FFDF">
            <w:pPr>
              <w:spacing w:after="0" w:line="240" w:lineRule="auto"/>
              <w:jc w:val="center"/>
              <w:rPr>
                <w:rFonts w:hint="eastAsia" w:ascii="宋体" w:hAnsi="宋体" w:eastAsia="宋体" w:cs="宋体"/>
                <w:b/>
                <w:color w:val="auto"/>
                <w:highlight w:val="none"/>
              </w:rPr>
            </w:pPr>
            <w:r>
              <w:rPr>
                <w:rFonts w:hint="eastAsia" w:ascii="宋体" w:hAnsi="宋体" w:eastAsia="宋体" w:cs="宋体"/>
                <w:b/>
                <w:color w:val="auto"/>
                <w:szCs w:val="21"/>
                <w:highlight w:val="none"/>
              </w:rPr>
              <w:t>评审标准</w:t>
            </w:r>
          </w:p>
        </w:tc>
      </w:tr>
      <w:tr w14:paraId="697385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31" w:type="dxa"/>
            <w:vMerge w:val="restart"/>
            <w:vAlign w:val="center"/>
          </w:tcPr>
          <w:p w14:paraId="7175B45F">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661" w:type="dxa"/>
            <w:vMerge w:val="restart"/>
            <w:vAlign w:val="center"/>
          </w:tcPr>
          <w:p w14:paraId="19B95374">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2.1.1</w:t>
            </w:r>
          </w:p>
        </w:tc>
        <w:tc>
          <w:tcPr>
            <w:tcW w:w="1224" w:type="dxa"/>
            <w:vMerge w:val="restart"/>
            <w:vAlign w:val="center"/>
          </w:tcPr>
          <w:p w14:paraId="23C70400">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形式评审标准</w:t>
            </w:r>
          </w:p>
        </w:tc>
        <w:tc>
          <w:tcPr>
            <w:tcW w:w="2123" w:type="dxa"/>
            <w:vAlign w:val="center"/>
          </w:tcPr>
          <w:p w14:paraId="1E36EA9A">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投标人名称</w:t>
            </w:r>
          </w:p>
        </w:tc>
        <w:tc>
          <w:tcPr>
            <w:tcW w:w="4417" w:type="dxa"/>
            <w:vAlign w:val="center"/>
          </w:tcPr>
          <w:p w14:paraId="0ED16918">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与营业执照、资质证书一致</w:t>
            </w:r>
          </w:p>
        </w:tc>
      </w:tr>
      <w:tr w14:paraId="589E5F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31" w:type="dxa"/>
            <w:vMerge w:val="continue"/>
          </w:tcPr>
          <w:p w14:paraId="11263381">
            <w:pPr>
              <w:spacing w:after="0" w:line="240" w:lineRule="auto"/>
              <w:rPr>
                <w:rFonts w:hint="eastAsia" w:ascii="宋体" w:hAnsi="宋体" w:eastAsia="宋体" w:cs="宋体"/>
                <w:color w:val="auto"/>
                <w:highlight w:val="none"/>
              </w:rPr>
            </w:pPr>
          </w:p>
        </w:tc>
        <w:tc>
          <w:tcPr>
            <w:tcW w:w="661" w:type="dxa"/>
            <w:vMerge w:val="continue"/>
            <w:vAlign w:val="center"/>
          </w:tcPr>
          <w:p w14:paraId="0915125D">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2DC307E2">
            <w:pPr>
              <w:spacing w:after="0" w:line="240" w:lineRule="auto"/>
              <w:jc w:val="center"/>
              <w:rPr>
                <w:rFonts w:hint="eastAsia" w:ascii="宋体" w:hAnsi="宋体" w:eastAsia="宋体" w:cs="宋体"/>
                <w:color w:val="auto"/>
                <w:szCs w:val="21"/>
                <w:highlight w:val="none"/>
              </w:rPr>
            </w:pPr>
          </w:p>
        </w:tc>
        <w:tc>
          <w:tcPr>
            <w:tcW w:w="2123" w:type="dxa"/>
            <w:vAlign w:val="center"/>
          </w:tcPr>
          <w:p w14:paraId="26011A22">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投标文件的签字盖章</w:t>
            </w:r>
          </w:p>
        </w:tc>
        <w:tc>
          <w:tcPr>
            <w:tcW w:w="4417" w:type="dxa"/>
            <w:vAlign w:val="center"/>
          </w:tcPr>
          <w:p w14:paraId="0C043977">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符合第二章“投标人须知”第3.7</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款规定</w:t>
            </w:r>
          </w:p>
        </w:tc>
      </w:tr>
      <w:tr w14:paraId="51AB79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531" w:type="dxa"/>
            <w:vMerge w:val="continue"/>
          </w:tcPr>
          <w:p w14:paraId="64D6F436">
            <w:pPr>
              <w:spacing w:after="0" w:line="240" w:lineRule="auto"/>
              <w:rPr>
                <w:rFonts w:hint="eastAsia" w:ascii="宋体" w:hAnsi="宋体" w:eastAsia="宋体" w:cs="宋体"/>
                <w:color w:val="auto"/>
                <w:highlight w:val="none"/>
              </w:rPr>
            </w:pPr>
          </w:p>
        </w:tc>
        <w:tc>
          <w:tcPr>
            <w:tcW w:w="661" w:type="dxa"/>
            <w:vMerge w:val="continue"/>
            <w:vAlign w:val="center"/>
          </w:tcPr>
          <w:p w14:paraId="1B671B52">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158BB71B">
            <w:pPr>
              <w:spacing w:after="0" w:line="240" w:lineRule="auto"/>
              <w:jc w:val="center"/>
              <w:rPr>
                <w:rFonts w:hint="eastAsia" w:ascii="宋体" w:hAnsi="宋体" w:eastAsia="宋体" w:cs="宋体"/>
                <w:color w:val="auto"/>
                <w:szCs w:val="21"/>
                <w:highlight w:val="none"/>
              </w:rPr>
            </w:pPr>
          </w:p>
        </w:tc>
        <w:tc>
          <w:tcPr>
            <w:tcW w:w="2123" w:type="dxa"/>
            <w:vAlign w:val="center"/>
          </w:tcPr>
          <w:p w14:paraId="0370E8E5">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投标文件格式</w:t>
            </w:r>
          </w:p>
        </w:tc>
        <w:tc>
          <w:tcPr>
            <w:tcW w:w="4417" w:type="dxa"/>
            <w:vAlign w:val="center"/>
          </w:tcPr>
          <w:p w14:paraId="6807B826">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w:t>
            </w:r>
            <w:r>
              <w:rPr>
                <w:rFonts w:hint="eastAsia" w:ascii="宋体" w:hAnsi="宋体" w:eastAsia="宋体" w:cs="宋体"/>
                <w:color w:val="auto"/>
                <w:szCs w:val="21"/>
                <w:highlight w:val="none"/>
                <w:lang w:val="en-US" w:eastAsia="zh-CN"/>
              </w:rPr>
              <w:t>六</w:t>
            </w:r>
            <w:r>
              <w:rPr>
                <w:rFonts w:hint="eastAsia" w:ascii="宋体" w:hAnsi="宋体" w:eastAsia="宋体" w:cs="宋体"/>
                <w:color w:val="auto"/>
                <w:szCs w:val="21"/>
                <w:highlight w:val="none"/>
              </w:rPr>
              <w:t>章“投标文件格式”的</w:t>
            </w:r>
            <w:r>
              <w:rPr>
                <w:rFonts w:hint="eastAsia" w:ascii="宋体" w:hAnsi="宋体" w:eastAsia="宋体" w:cs="宋体"/>
                <w:color w:val="auto"/>
                <w:szCs w:val="21"/>
                <w:highlight w:val="none"/>
                <w:lang w:val="en-US" w:eastAsia="zh-CN"/>
              </w:rPr>
              <w:t>实质性</w:t>
            </w:r>
            <w:r>
              <w:rPr>
                <w:rFonts w:hint="eastAsia" w:ascii="宋体" w:hAnsi="宋体" w:eastAsia="宋体" w:cs="宋体"/>
                <w:color w:val="auto"/>
                <w:szCs w:val="21"/>
                <w:highlight w:val="none"/>
              </w:rPr>
              <w:t>要求</w:t>
            </w:r>
          </w:p>
        </w:tc>
      </w:tr>
      <w:tr w14:paraId="14C27B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531" w:type="dxa"/>
            <w:vMerge w:val="continue"/>
          </w:tcPr>
          <w:p w14:paraId="0540EF76">
            <w:pPr>
              <w:spacing w:after="0" w:line="240" w:lineRule="auto"/>
              <w:rPr>
                <w:rFonts w:hint="eastAsia" w:ascii="宋体" w:hAnsi="宋体" w:eastAsia="宋体" w:cs="宋体"/>
                <w:color w:val="auto"/>
                <w:highlight w:val="none"/>
              </w:rPr>
            </w:pPr>
          </w:p>
        </w:tc>
        <w:tc>
          <w:tcPr>
            <w:tcW w:w="661" w:type="dxa"/>
            <w:vMerge w:val="continue"/>
            <w:vAlign w:val="center"/>
          </w:tcPr>
          <w:p w14:paraId="0EDA10D7">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666782D9">
            <w:pPr>
              <w:spacing w:after="0" w:line="240" w:lineRule="auto"/>
              <w:jc w:val="center"/>
              <w:rPr>
                <w:rFonts w:hint="eastAsia" w:ascii="宋体" w:hAnsi="宋体" w:eastAsia="宋体" w:cs="宋体"/>
                <w:color w:val="auto"/>
                <w:szCs w:val="21"/>
                <w:highlight w:val="none"/>
              </w:rPr>
            </w:pPr>
          </w:p>
        </w:tc>
        <w:tc>
          <w:tcPr>
            <w:tcW w:w="2123" w:type="dxa"/>
            <w:vAlign w:val="center"/>
          </w:tcPr>
          <w:p w14:paraId="0439F38F">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投标报价</w:t>
            </w:r>
          </w:p>
        </w:tc>
        <w:tc>
          <w:tcPr>
            <w:tcW w:w="4417" w:type="dxa"/>
            <w:vAlign w:val="center"/>
          </w:tcPr>
          <w:p w14:paraId="76831991">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kern w:val="0"/>
                <w:szCs w:val="21"/>
                <w:highlight w:val="none"/>
              </w:rPr>
              <w:t>只能有一个有效报价</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投标报价应</w:t>
            </w:r>
            <w:r>
              <w:rPr>
                <w:rFonts w:hint="eastAsia" w:ascii="宋体" w:hAnsi="宋体" w:eastAsia="宋体" w:cs="宋体"/>
                <w:color w:val="auto"/>
                <w:kern w:val="0"/>
                <w:szCs w:val="21"/>
                <w:highlight w:val="none"/>
                <w:lang w:eastAsia="zh-CN"/>
              </w:rPr>
              <w:t>在</w:t>
            </w:r>
            <w:r>
              <w:rPr>
                <w:rFonts w:hint="eastAsia" w:ascii="宋体" w:hAnsi="宋体" w:eastAsia="宋体" w:cs="宋体"/>
                <w:color w:val="auto"/>
                <w:kern w:val="0"/>
                <w:szCs w:val="21"/>
                <w:highlight w:val="none"/>
              </w:rPr>
              <w:t>招标控制价</w:t>
            </w:r>
            <w:r>
              <w:rPr>
                <w:rFonts w:hint="eastAsia" w:ascii="宋体" w:hAnsi="宋体" w:eastAsia="宋体" w:cs="宋体"/>
                <w:color w:val="auto"/>
                <w:kern w:val="0"/>
                <w:szCs w:val="21"/>
                <w:highlight w:val="none"/>
                <w:lang w:eastAsia="zh-CN"/>
              </w:rPr>
              <w:t>范围内。</w:t>
            </w:r>
          </w:p>
        </w:tc>
      </w:tr>
      <w:tr w14:paraId="36797A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531" w:type="dxa"/>
            <w:vMerge w:val="continue"/>
          </w:tcPr>
          <w:p w14:paraId="375718CE">
            <w:pPr>
              <w:spacing w:after="0" w:line="240" w:lineRule="auto"/>
              <w:rPr>
                <w:rFonts w:hint="eastAsia" w:ascii="宋体" w:hAnsi="宋体" w:eastAsia="宋体" w:cs="宋体"/>
                <w:color w:val="auto"/>
                <w:highlight w:val="none"/>
              </w:rPr>
            </w:pPr>
          </w:p>
        </w:tc>
        <w:tc>
          <w:tcPr>
            <w:tcW w:w="661" w:type="dxa"/>
            <w:vMerge w:val="continue"/>
            <w:vAlign w:val="center"/>
          </w:tcPr>
          <w:p w14:paraId="1146FBF0">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28A7B350">
            <w:pPr>
              <w:spacing w:after="0" w:line="240" w:lineRule="auto"/>
              <w:jc w:val="center"/>
              <w:rPr>
                <w:rFonts w:hint="eastAsia" w:ascii="宋体" w:hAnsi="宋体" w:eastAsia="宋体" w:cs="宋体"/>
                <w:color w:val="auto"/>
                <w:szCs w:val="21"/>
                <w:highlight w:val="none"/>
              </w:rPr>
            </w:pPr>
          </w:p>
        </w:tc>
        <w:tc>
          <w:tcPr>
            <w:tcW w:w="2123" w:type="dxa"/>
            <w:vAlign w:val="center"/>
          </w:tcPr>
          <w:p w14:paraId="01679321">
            <w:pPr>
              <w:spacing w:after="0" w:line="24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其他</w:t>
            </w:r>
          </w:p>
        </w:tc>
        <w:tc>
          <w:tcPr>
            <w:tcW w:w="4417" w:type="dxa"/>
            <w:vAlign w:val="center"/>
          </w:tcPr>
          <w:p w14:paraId="66048E89">
            <w:pPr>
              <w:spacing w:after="0" w:line="24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符合第二章“投标人须知”</w:t>
            </w:r>
            <w:r>
              <w:rPr>
                <w:rFonts w:hint="eastAsia" w:ascii="宋体" w:hAnsi="宋体" w:eastAsia="宋体" w:cs="宋体"/>
                <w:color w:val="auto"/>
                <w:kern w:val="0"/>
                <w:szCs w:val="21"/>
                <w:highlight w:val="none"/>
                <w:lang w:val="en-US" w:eastAsia="zh-CN"/>
              </w:rPr>
              <w:t>其他</w:t>
            </w:r>
            <w:r>
              <w:rPr>
                <w:rFonts w:hint="eastAsia" w:ascii="宋体" w:hAnsi="宋体" w:eastAsia="宋体" w:cs="宋体"/>
                <w:color w:val="auto"/>
                <w:kern w:val="0"/>
                <w:szCs w:val="21"/>
                <w:highlight w:val="none"/>
              </w:rPr>
              <w:t>实质性要求</w:t>
            </w:r>
          </w:p>
        </w:tc>
      </w:tr>
      <w:tr w14:paraId="49ED2A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35836F7C">
            <w:pPr>
              <w:spacing w:after="0" w:line="240" w:lineRule="auto"/>
              <w:rPr>
                <w:rFonts w:hint="eastAsia" w:ascii="宋体" w:hAnsi="宋体" w:eastAsia="宋体" w:cs="宋体"/>
                <w:color w:val="auto"/>
                <w:highlight w:val="none"/>
              </w:rPr>
            </w:pPr>
          </w:p>
        </w:tc>
        <w:tc>
          <w:tcPr>
            <w:tcW w:w="661" w:type="dxa"/>
            <w:vMerge w:val="restart"/>
            <w:vAlign w:val="center"/>
          </w:tcPr>
          <w:p w14:paraId="7A8E8D24">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2.1.2</w:t>
            </w:r>
          </w:p>
        </w:tc>
        <w:tc>
          <w:tcPr>
            <w:tcW w:w="1224" w:type="dxa"/>
            <w:vMerge w:val="restart"/>
            <w:vAlign w:val="center"/>
          </w:tcPr>
          <w:p w14:paraId="433B3E2B">
            <w:pPr>
              <w:autoSpaceDE w:val="0"/>
              <w:autoSpaceDN w:val="0"/>
              <w:adjustRightInd w:val="0"/>
              <w:spacing w:after="0" w:line="24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资格评审标准</w:t>
            </w:r>
          </w:p>
        </w:tc>
        <w:tc>
          <w:tcPr>
            <w:tcW w:w="2123" w:type="dxa"/>
            <w:vAlign w:val="center"/>
          </w:tcPr>
          <w:p w14:paraId="2B964B90">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w:t>
            </w:r>
          </w:p>
        </w:tc>
        <w:tc>
          <w:tcPr>
            <w:tcW w:w="4417" w:type="dxa"/>
            <w:vAlign w:val="center"/>
          </w:tcPr>
          <w:p w14:paraId="3586C923">
            <w:pPr>
              <w:autoSpaceDE w:val="0"/>
              <w:autoSpaceDN w:val="0"/>
              <w:adjustRightInd w:val="0"/>
              <w:spacing w:after="0" w:line="24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具备有效的营业执照</w:t>
            </w:r>
          </w:p>
        </w:tc>
      </w:tr>
      <w:tr w14:paraId="3DC7EA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2B160592">
            <w:pPr>
              <w:spacing w:after="0" w:line="240" w:lineRule="auto"/>
              <w:rPr>
                <w:rFonts w:hint="eastAsia" w:ascii="宋体" w:hAnsi="宋体" w:eastAsia="宋体" w:cs="宋体"/>
                <w:color w:val="auto"/>
                <w:highlight w:val="none"/>
              </w:rPr>
            </w:pPr>
          </w:p>
        </w:tc>
        <w:tc>
          <w:tcPr>
            <w:tcW w:w="661" w:type="dxa"/>
            <w:vMerge w:val="continue"/>
            <w:vAlign w:val="center"/>
          </w:tcPr>
          <w:p w14:paraId="7BCA2CCF">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07F6A066">
            <w:pPr>
              <w:spacing w:after="0" w:line="240" w:lineRule="auto"/>
              <w:jc w:val="center"/>
              <w:rPr>
                <w:rFonts w:hint="eastAsia" w:ascii="宋体" w:hAnsi="宋体" w:eastAsia="宋体" w:cs="宋体"/>
                <w:color w:val="auto"/>
                <w:szCs w:val="21"/>
                <w:highlight w:val="none"/>
              </w:rPr>
            </w:pPr>
          </w:p>
        </w:tc>
        <w:tc>
          <w:tcPr>
            <w:tcW w:w="2123" w:type="dxa"/>
            <w:vAlign w:val="center"/>
          </w:tcPr>
          <w:p w14:paraId="5ACDAC9C">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4417" w:type="dxa"/>
            <w:vAlign w:val="center"/>
          </w:tcPr>
          <w:p w14:paraId="64DA433D">
            <w:pPr>
              <w:autoSpaceDE w:val="0"/>
              <w:autoSpaceDN w:val="0"/>
              <w:adjustRightInd w:val="0"/>
              <w:spacing w:after="0" w:line="24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符合第二章“投标人须知”第1.4.1 </w:t>
            </w:r>
            <w:r>
              <w:rPr>
                <w:rFonts w:hint="eastAsia" w:ascii="宋体" w:hAnsi="宋体" w:eastAsia="宋体" w:cs="宋体"/>
                <w:color w:val="auto"/>
                <w:szCs w:val="21"/>
                <w:highlight w:val="none"/>
              </w:rPr>
              <w:t>款</w:t>
            </w:r>
            <w:r>
              <w:rPr>
                <w:rFonts w:hint="eastAsia" w:ascii="宋体" w:hAnsi="宋体" w:eastAsia="宋体" w:cs="宋体"/>
                <w:color w:val="auto"/>
                <w:kern w:val="0"/>
                <w:szCs w:val="21"/>
                <w:highlight w:val="none"/>
              </w:rPr>
              <w:t>规定</w:t>
            </w:r>
          </w:p>
        </w:tc>
      </w:tr>
      <w:tr w14:paraId="61A4EE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0037DF70">
            <w:pPr>
              <w:spacing w:after="0" w:line="240" w:lineRule="auto"/>
              <w:rPr>
                <w:rFonts w:hint="eastAsia" w:ascii="宋体" w:hAnsi="宋体" w:eastAsia="宋体" w:cs="宋体"/>
                <w:color w:val="auto"/>
                <w:highlight w:val="none"/>
              </w:rPr>
            </w:pPr>
          </w:p>
        </w:tc>
        <w:tc>
          <w:tcPr>
            <w:tcW w:w="661" w:type="dxa"/>
            <w:vMerge w:val="continue"/>
            <w:vAlign w:val="center"/>
          </w:tcPr>
          <w:p w14:paraId="5F319588">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02ECE047">
            <w:pPr>
              <w:spacing w:after="0" w:line="240" w:lineRule="auto"/>
              <w:jc w:val="center"/>
              <w:rPr>
                <w:rFonts w:hint="eastAsia" w:ascii="宋体" w:hAnsi="宋体" w:eastAsia="宋体" w:cs="宋体"/>
                <w:color w:val="auto"/>
                <w:szCs w:val="21"/>
                <w:highlight w:val="none"/>
              </w:rPr>
            </w:pPr>
          </w:p>
        </w:tc>
        <w:tc>
          <w:tcPr>
            <w:tcW w:w="2123" w:type="dxa"/>
            <w:vAlign w:val="center"/>
          </w:tcPr>
          <w:p w14:paraId="304F0B30">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财务状况</w:t>
            </w:r>
          </w:p>
        </w:tc>
        <w:tc>
          <w:tcPr>
            <w:tcW w:w="4417" w:type="dxa"/>
            <w:vAlign w:val="center"/>
          </w:tcPr>
          <w:p w14:paraId="39E424B1">
            <w:pPr>
              <w:autoSpaceDE w:val="0"/>
              <w:autoSpaceDN w:val="0"/>
              <w:adjustRightInd w:val="0"/>
              <w:spacing w:after="0" w:line="24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符合第二章“投标人须知”第1.4.1 </w:t>
            </w:r>
            <w:r>
              <w:rPr>
                <w:rFonts w:hint="eastAsia" w:ascii="宋体" w:hAnsi="宋体" w:eastAsia="宋体" w:cs="宋体"/>
                <w:color w:val="auto"/>
                <w:szCs w:val="21"/>
                <w:highlight w:val="none"/>
              </w:rPr>
              <w:t>款</w:t>
            </w:r>
            <w:r>
              <w:rPr>
                <w:rFonts w:hint="eastAsia" w:ascii="宋体" w:hAnsi="宋体" w:eastAsia="宋体" w:cs="宋体"/>
                <w:color w:val="auto"/>
                <w:kern w:val="0"/>
                <w:szCs w:val="21"/>
                <w:highlight w:val="none"/>
              </w:rPr>
              <w:t>规定</w:t>
            </w:r>
          </w:p>
        </w:tc>
      </w:tr>
      <w:tr w14:paraId="41EBA2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7073171D">
            <w:pPr>
              <w:spacing w:after="0" w:line="240" w:lineRule="auto"/>
              <w:rPr>
                <w:rFonts w:hint="eastAsia" w:ascii="宋体" w:hAnsi="宋体" w:eastAsia="宋体" w:cs="宋体"/>
                <w:color w:val="auto"/>
                <w:highlight w:val="none"/>
              </w:rPr>
            </w:pPr>
          </w:p>
        </w:tc>
        <w:tc>
          <w:tcPr>
            <w:tcW w:w="661" w:type="dxa"/>
            <w:vMerge w:val="continue"/>
            <w:vAlign w:val="center"/>
          </w:tcPr>
          <w:p w14:paraId="0A51D16F">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754BE240">
            <w:pPr>
              <w:spacing w:after="0" w:line="240" w:lineRule="auto"/>
              <w:jc w:val="center"/>
              <w:rPr>
                <w:rFonts w:hint="eastAsia" w:ascii="宋体" w:hAnsi="宋体" w:eastAsia="宋体" w:cs="宋体"/>
                <w:color w:val="auto"/>
                <w:szCs w:val="21"/>
                <w:highlight w:val="none"/>
              </w:rPr>
            </w:pPr>
          </w:p>
        </w:tc>
        <w:tc>
          <w:tcPr>
            <w:tcW w:w="2123" w:type="dxa"/>
            <w:vAlign w:val="center"/>
          </w:tcPr>
          <w:p w14:paraId="69575B73">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信誉要求</w:t>
            </w:r>
          </w:p>
        </w:tc>
        <w:tc>
          <w:tcPr>
            <w:tcW w:w="4417" w:type="dxa"/>
            <w:vAlign w:val="center"/>
          </w:tcPr>
          <w:p w14:paraId="2A92EF62">
            <w:pPr>
              <w:autoSpaceDE w:val="0"/>
              <w:autoSpaceDN w:val="0"/>
              <w:adjustRightInd w:val="0"/>
              <w:spacing w:after="0" w:line="240" w:lineRule="auto"/>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 xml:space="preserve">符合第二章“投标人须知”第1.4.1 </w:t>
            </w:r>
            <w:r>
              <w:rPr>
                <w:rFonts w:hint="eastAsia" w:ascii="宋体" w:hAnsi="宋体" w:eastAsia="宋体" w:cs="宋体"/>
                <w:color w:val="auto"/>
                <w:szCs w:val="21"/>
                <w:highlight w:val="none"/>
              </w:rPr>
              <w:t>款</w:t>
            </w:r>
            <w:r>
              <w:rPr>
                <w:rFonts w:hint="eastAsia" w:ascii="宋体" w:hAnsi="宋体" w:eastAsia="宋体" w:cs="宋体"/>
                <w:color w:val="auto"/>
                <w:kern w:val="0"/>
                <w:szCs w:val="21"/>
                <w:highlight w:val="none"/>
              </w:rPr>
              <w:t>规定</w:t>
            </w:r>
          </w:p>
        </w:tc>
      </w:tr>
      <w:tr w14:paraId="343B7B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21EC9579">
            <w:pPr>
              <w:spacing w:after="0" w:line="240" w:lineRule="auto"/>
              <w:rPr>
                <w:rFonts w:hint="eastAsia" w:ascii="宋体" w:hAnsi="宋体" w:eastAsia="宋体" w:cs="宋体"/>
                <w:color w:val="auto"/>
                <w:highlight w:val="none"/>
              </w:rPr>
            </w:pPr>
          </w:p>
        </w:tc>
        <w:tc>
          <w:tcPr>
            <w:tcW w:w="661" w:type="dxa"/>
            <w:vMerge w:val="continue"/>
            <w:vAlign w:val="center"/>
          </w:tcPr>
          <w:p w14:paraId="199939CA">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5E5B94D0">
            <w:pPr>
              <w:spacing w:after="0" w:line="240" w:lineRule="auto"/>
              <w:jc w:val="center"/>
              <w:rPr>
                <w:rFonts w:hint="eastAsia" w:ascii="宋体" w:hAnsi="宋体" w:eastAsia="宋体" w:cs="宋体"/>
                <w:color w:val="auto"/>
                <w:szCs w:val="21"/>
                <w:highlight w:val="none"/>
              </w:rPr>
            </w:pPr>
          </w:p>
        </w:tc>
        <w:tc>
          <w:tcPr>
            <w:tcW w:w="2123" w:type="dxa"/>
            <w:vAlign w:val="center"/>
          </w:tcPr>
          <w:p w14:paraId="716988D0">
            <w:pPr>
              <w:pStyle w:val="49"/>
              <w:adjustRightInd w:val="0"/>
              <w:snapToGrid w:val="0"/>
              <w:spacing w:after="0"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拟配备人员要求</w:t>
            </w:r>
          </w:p>
        </w:tc>
        <w:tc>
          <w:tcPr>
            <w:tcW w:w="4417" w:type="dxa"/>
            <w:vAlign w:val="center"/>
          </w:tcPr>
          <w:p w14:paraId="399671AB">
            <w:pPr>
              <w:autoSpaceDE w:val="0"/>
              <w:autoSpaceDN w:val="0"/>
              <w:adjustRightInd w:val="0"/>
              <w:spacing w:after="0" w:line="240" w:lineRule="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符合第二章“投标人须知”第1.4.1 款规定</w:t>
            </w:r>
          </w:p>
        </w:tc>
      </w:tr>
      <w:tr w14:paraId="461AC1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31" w:type="dxa"/>
            <w:vMerge w:val="continue"/>
          </w:tcPr>
          <w:p w14:paraId="3A24B1C5">
            <w:pPr>
              <w:spacing w:after="0" w:line="240" w:lineRule="auto"/>
              <w:rPr>
                <w:rFonts w:hint="eastAsia" w:ascii="宋体" w:hAnsi="宋体" w:eastAsia="宋体" w:cs="宋体"/>
                <w:color w:val="auto"/>
                <w:highlight w:val="none"/>
              </w:rPr>
            </w:pPr>
          </w:p>
        </w:tc>
        <w:tc>
          <w:tcPr>
            <w:tcW w:w="661" w:type="dxa"/>
            <w:vMerge w:val="continue"/>
            <w:vAlign w:val="center"/>
          </w:tcPr>
          <w:p w14:paraId="236E4F72">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744277CF">
            <w:pPr>
              <w:spacing w:after="0" w:line="240" w:lineRule="auto"/>
              <w:jc w:val="center"/>
              <w:rPr>
                <w:rFonts w:hint="eastAsia" w:ascii="宋体" w:hAnsi="宋体" w:eastAsia="宋体" w:cs="宋体"/>
                <w:color w:val="auto"/>
                <w:szCs w:val="21"/>
                <w:highlight w:val="none"/>
              </w:rPr>
            </w:pPr>
          </w:p>
        </w:tc>
        <w:tc>
          <w:tcPr>
            <w:tcW w:w="2123" w:type="dxa"/>
            <w:vAlign w:val="center"/>
          </w:tcPr>
          <w:p w14:paraId="7F492A9A">
            <w:pPr>
              <w:pStyle w:val="49"/>
              <w:adjustRightInd w:val="0"/>
              <w:snapToGrid w:val="0"/>
              <w:spacing w:after="0"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其他要求</w:t>
            </w:r>
          </w:p>
        </w:tc>
        <w:tc>
          <w:tcPr>
            <w:tcW w:w="4417" w:type="dxa"/>
            <w:vAlign w:val="center"/>
          </w:tcPr>
          <w:p w14:paraId="448E5DFB">
            <w:pPr>
              <w:pStyle w:val="49"/>
              <w:adjustRightInd w:val="0"/>
              <w:snapToGrid w:val="0"/>
              <w:spacing w:after="0" w:line="240" w:lineRule="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符合第二章“投标人须知”第1.4.1 款规定</w:t>
            </w:r>
          </w:p>
        </w:tc>
      </w:tr>
      <w:tr w14:paraId="266CAA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531" w:type="dxa"/>
            <w:vMerge w:val="continue"/>
          </w:tcPr>
          <w:p w14:paraId="6C0C17A6">
            <w:pPr>
              <w:spacing w:after="0" w:line="240" w:lineRule="auto"/>
              <w:rPr>
                <w:rFonts w:hint="eastAsia" w:ascii="宋体" w:hAnsi="宋体" w:eastAsia="宋体" w:cs="宋体"/>
                <w:color w:val="auto"/>
                <w:highlight w:val="none"/>
              </w:rPr>
            </w:pPr>
          </w:p>
        </w:tc>
        <w:tc>
          <w:tcPr>
            <w:tcW w:w="661" w:type="dxa"/>
            <w:vMerge w:val="restart"/>
            <w:vAlign w:val="center"/>
          </w:tcPr>
          <w:p w14:paraId="1EE0AD29">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2.1.3</w:t>
            </w:r>
          </w:p>
        </w:tc>
        <w:tc>
          <w:tcPr>
            <w:tcW w:w="1224" w:type="dxa"/>
            <w:vMerge w:val="restart"/>
            <w:vAlign w:val="center"/>
          </w:tcPr>
          <w:p w14:paraId="7B061A94">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响应性评审标准</w:t>
            </w:r>
          </w:p>
        </w:tc>
        <w:tc>
          <w:tcPr>
            <w:tcW w:w="2123" w:type="dxa"/>
            <w:vAlign w:val="center"/>
          </w:tcPr>
          <w:p w14:paraId="0FE9FFD0">
            <w:pPr>
              <w:spacing w:after="0"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w:t>
            </w:r>
            <w:r>
              <w:rPr>
                <w:rFonts w:hint="eastAsia" w:ascii="宋体" w:hAnsi="宋体" w:cs="宋体"/>
                <w:color w:val="auto"/>
                <w:szCs w:val="21"/>
                <w:highlight w:val="none"/>
                <w:lang w:val="en-US" w:eastAsia="zh-CN"/>
              </w:rPr>
              <w:t>内容</w:t>
            </w:r>
          </w:p>
        </w:tc>
        <w:tc>
          <w:tcPr>
            <w:tcW w:w="4417" w:type="dxa"/>
            <w:vAlign w:val="center"/>
          </w:tcPr>
          <w:p w14:paraId="2E607B5A">
            <w:pPr>
              <w:spacing w:after="0" w:line="240" w:lineRule="auto"/>
              <w:ind w:right="248"/>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符合第二章“投标人须知”第1.3.1项规定</w:t>
            </w:r>
          </w:p>
        </w:tc>
      </w:tr>
      <w:tr w14:paraId="50C4C2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31" w:type="dxa"/>
            <w:vMerge w:val="continue"/>
          </w:tcPr>
          <w:p w14:paraId="52068D31">
            <w:pPr>
              <w:spacing w:after="0" w:line="240" w:lineRule="auto"/>
              <w:rPr>
                <w:rFonts w:hint="eastAsia" w:ascii="宋体" w:hAnsi="宋体" w:eastAsia="宋体" w:cs="宋体"/>
                <w:color w:val="auto"/>
                <w:highlight w:val="none"/>
              </w:rPr>
            </w:pPr>
          </w:p>
        </w:tc>
        <w:tc>
          <w:tcPr>
            <w:tcW w:w="661" w:type="dxa"/>
            <w:vMerge w:val="continue"/>
            <w:vAlign w:val="center"/>
          </w:tcPr>
          <w:p w14:paraId="2B599401">
            <w:pPr>
              <w:spacing w:after="0" w:line="240" w:lineRule="auto"/>
              <w:jc w:val="center"/>
              <w:rPr>
                <w:rFonts w:hint="eastAsia" w:ascii="宋体" w:hAnsi="宋体" w:eastAsia="宋体" w:cs="宋体"/>
                <w:color w:val="auto"/>
                <w:highlight w:val="none"/>
              </w:rPr>
            </w:pPr>
          </w:p>
        </w:tc>
        <w:tc>
          <w:tcPr>
            <w:tcW w:w="1224" w:type="dxa"/>
            <w:vMerge w:val="continue"/>
            <w:vAlign w:val="center"/>
          </w:tcPr>
          <w:p w14:paraId="625415FD">
            <w:pPr>
              <w:spacing w:after="0" w:line="240" w:lineRule="auto"/>
              <w:rPr>
                <w:rFonts w:hint="eastAsia" w:ascii="宋体" w:hAnsi="宋体" w:eastAsia="宋体" w:cs="宋体"/>
                <w:color w:val="auto"/>
                <w:szCs w:val="21"/>
                <w:highlight w:val="none"/>
              </w:rPr>
            </w:pPr>
          </w:p>
        </w:tc>
        <w:tc>
          <w:tcPr>
            <w:tcW w:w="2123" w:type="dxa"/>
            <w:vAlign w:val="center"/>
          </w:tcPr>
          <w:p w14:paraId="7BBD9FF9">
            <w:pPr>
              <w:spacing w:after="0" w:line="24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工期要求</w:t>
            </w:r>
          </w:p>
        </w:tc>
        <w:tc>
          <w:tcPr>
            <w:tcW w:w="4417" w:type="dxa"/>
            <w:vAlign w:val="center"/>
          </w:tcPr>
          <w:p w14:paraId="3E954C78">
            <w:pPr>
              <w:spacing w:after="0" w:line="240" w:lineRule="auto"/>
              <w:ind w:right="248"/>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符合第二章“投标人须知”第1.3.2项规定</w:t>
            </w:r>
          </w:p>
        </w:tc>
      </w:tr>
      <w:tr w14:paraId="091EBA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31" w:type="dxa"/>
            <w:vMerge w:val="continue"/>
          </w:tcPr>
          <w:p w14:paraId="0D3F3E04">
            <w:pPr>
              <w:spacing w:after="0" w:line="240" w:lineRule="auto"/>
              <w:rPr>
                <w:rFonts w:hint="eastAsia" w:ascii="宋体" w:hAnsi="宋体" w:eastAsia="宋体" w:cs="宋体"/>
                <w:color w:val="auto"/>
                <w:highlight w:val="none"/>
              </w:rPr>
            </w:pPr>
          </w:p>
        </w:tc>
        <w:tc>
          <w:tcPr>
            <w:tcW w:w="661" w:type="dxa"/>
            <w:vMerge w:val="continue"/>
          </w:tcPr>
          <w:p w14:paraId="731DDB53">
            <w:pPr>
              <w:spacing w:after="0" w:line="240" w:lineRule="auto"/>
              <w:rPr>
                <w:rFonts w:hint="eastAsia" w:ascii="宋体" w:hAnsi="宋体" w:eastAsia="宋体" w:cs="宋体"/>
                <w:color w:val="auto"/>
                <w:highlight w:val="none"/>
              </w:rPr>
            </w:pPr>
          </w:p>
        </w:tc>
        <w:tc>
          <w:tcPr>
            <w:tcW w:w="1224" w:type="dxa"/>
            <w:vMerge w:val="continue"/>
          </w:tcPr>
          <w:p w14:paraId="63674104">
            <w:pPr>
              <w:spacing w:after="0" w:line="240" w:lineRule="auto"/>
              <w:rPr>
                <w:rFonts w:hint="eastAsia" w:ascii="宋体" w:hAnsi="宋体" w:eastAsia="宋体" w:cs="宋体"/>
                <w:color w:val="auto"/>
                <w:highlight w:val="none"/>
              </w:rPr>
            </w:pPr>
          </w:p>
        </w:tc>
        <w:tc>
          <w:tcPr>
            <w:tcW w:w="2123" w:type="dxa"/>
            <w:vAlign w:val="center"/>
          </w:tcPr>
          <w:p w14:paraId="1DF51C6F">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质量要求</w:t>
            </w:r>
          </w:p>
        </w:tc>
        <w:tc>
          <w:tcPr>
            <w:tcW w:w="4417" w:type="dxa"/>
            <w:vAlign w:val="center"/>
          </w:tcPr>
          <w:p w14:paraId="5B229189">
            <w:pPr>
              <w:spacing w:after="0" w:line="240" w:lineRule="auto"/>
              <w:ind w:right="248"/>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符合第二章“投标人须知”第1.3.3项规定</w:t>
            </w:r>
          </w:p>
        </w:tc>
      </w:tr>
      <w:tr w14:paraId="5DB19C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531" w:type="dxa"/>
            <w:vMerge w:val="continue"/>
          </w:tcPr>
          <w:p w14:paraId="25BABA0C">
            <w:pPr>
              <w:spacing w:after="0" w:line="240" w:lineRule="auto"/>
              <w:rPr>
                <w:rFonts w:hint="eastAsia" w:ascii="宋体" w:hAnsi="宋体" w:eastAsia="宋体" w:cs="宋体"/>
                <w:color w:val="auto"/>
                <w:highlight w:val="none"/>
              </w:rPr>
            </w:pPr>
          </w:p>
        </w:tc>
        <w:tc>
          <w:tcPr>
            <w:tcW w:w="661" w:type="dxa"/>
            <w:vMerge w:val="continue"/>
          </w:tcPr>
          <w:p w14:paraId="47BCDE3D">
            <w:pPr>
              <w:spacing w:after="0" w:line="240" w:lineRule="auto"/>
              <w:rPr>
                <w:rFonts w:hint="eastAsia" w:ascii="宋体" w:hAnsi="宋体" w:eastAsia="宋体" w:cs="宋体"/>
                <w:color w:val="auto"/>
                <w:highlight w:val="none"/>
              </w:rPr>
            </w:pPr>
          </w:p>
        </w:tc>
        <w:tc>
          <w:tcPr>
            <w:tcW w:w="1224" w:type="dxa"/>
            <w:vMerge w:val="continue"/>
          </w:tcPr>
          <w:p w14:paraId="76795E4F">
            <w:pPr>
              <w:spacing w:after="0" w:line="240" w:lineRule="auto"/>
              <w:rPr>
                <w:rFonts w:hint="eastAsia" w:ascii="宋体" w:hAnsi="宋体" w:eastAsia="宋体" w:cs="宋体"/>
                <w:color w:val="auto"/>
                <w:highlight w:val="none"/>
              </w:rPr>
            </w:pPr>
          </w:p>
        </w:tc>
        <w:tc>
          <w:tcPr>
            <w:tcW w:w="2123" w:type="dxa"/>
            <w:vAlign w:val="center"/>
          </w:tcPr>
          <w:p w14:paraId="0CEFBF01">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4417" w:type="dxa"/>
            <w:vAlign w:val="center"/>
          </w:tcPr>
          <w:p w14:paraId="4198AF82">
            <w:pPr>
              <w:spacing w:after="0" w:line="240" w:lineRule="auto"/>
              <w:ind w:right="248"/>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符合第二章“投标人须知”第3.3.1款规定</w:t>
            </w:r>
          </w:p>
        </w:tc>
      </w:tr>
      <w:tr w14:paraId="4D808D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531" w:type="dxa"/>
            <w:vMerge w:val="continue"/>
          </w:tcPr>
          <w:p w14:paraId="5131AE15">
            <w:pPr>
              <w:spacing w:after="0" w:line="240" w:lineRule="auto"/>
              <w:rPr>
                <w:rFonts w:hint="eastAsia" w:ascii="宋体" w:hAnsi="宋体" w:eastAsia="宋体" w:cs="宋体"/>
                <w:color w:val="auto"/>
                <w:highlight w:val="none"/>
              </w:rPr>
            </w:pPr>
          </w:p>
        </w:tc>
        <w:tc>
          <w:tcPr>
            <w:tcW w:w="661" w:type="dxa"/>
            <w:vMerge w:val="continue"/>
          </w:tcPr>
          <w:p w14:paraId="74F0E26E">
            <w:pPr>
              <w:spacing w:after="0" w:line="240" w:lineRule="auto"/>
              <w:rPr>
                <w:rFonts w:hint="eastAsia" w:ascii="宋体" w:hAnsi="宋体" w:eastAsia="宋体" w:cs="宋体"/>
                <w:color w:val="auto"/>
                <w:highlight w:val="none"/>
              </w:rPr>
            </w:pPr>
          </w:p>
        </w:tc>
        <w:tc>
          <w:tcPr>
            <w:tcW w:w="1224" w:type="dxa"/>
            <w:vMerge w:val="continue"/>
          </w:tcPr>
          <w:p w14:paraId="63ED3318">
            <w:pPr>
              <w:spacing w:after="0" w:line="240" w:lineRule="auto"/>
              <w:rPr>
                <w:rFonts w:hint="eastAsia" w:ascii="宋体" w:hAnsi="宋体" w:eastAsia="宋体" w:cs="宋体"/>
                <w:color w:val="auto"/>
                <w:highlight w:val="none"/>
              </w:rPr>
            </w:pPr>
          </w:p>
        </w:tc>
        <w:tc>
          <w:tcPr>
            <w:tcW w:w="2123" w:type="dxa"/>
            <w:vAlign w:val="center"/>
          </w:tcPr>
          <w:p w14:paraId="16FDAB67">
            <w:pPr>
              <w:spacing w:after="0" w:line="24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投标保证金</w:t>
            </w:r>
          </w:p>
        </w:tc>
        <w:tc>
          <w:tcPr>
            <w:tcW w:w="4417" w:type="dxa"/>
            <w:vAlign w:val="center"/>
          </w:tcPr>
          <w:p w14:paraId="6056B3C4">
            <w:pPr>
              <w:spacing w:after="0" w:line="240" w:lineRule="auto"/>
              <w:ind w:right="248"/>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符合第二章“投标人须知”第3.4.1款规定</w:t>
            </w:r>
          </w:p>
        </w:tc>
      </w:tr>
      <w:tr w14:paraId="76A5B4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1" w:type="dxa"/>
            <w:vMerge w:val="continue"/>
          </w:tcPr>
          <w:p w14:paraId="635D9DED">
            <w:pPr>
              <w:spacing w:after="0" w:line="240" w:lineRule="auto"/>
              <w:rPr>
                <w:rFonts w:hint="eastAsia" w:ascii="宋体" w:hAnsi="宋体" w:eastAsia="宋体" w:cs="宋体"/>
                <w:color w:val="auto"/>
                <w:highlight w:val="none"/>
              </w:rPr>
            </w:pPr>
          </w:p>
        </w:tc>
        <w:tc>
          <w:tcPr>
            <w:tcW w:w="661" w:type="dxa"/>
            <w:vMerge w:val="continue"/>
          </w:tcPr>
          <w:p w14:paraId="53CA81C2">
            <w:pPr>
              <w:spacing w:after="0" w:line="240" w:lineRule="auto"/>
              <w:rPr>
                <w:rFonts w:hint="eastAsia" w:ascii="宋体" w:hAnsi="宋体" w:eastAsia="宋体" w:cs="宋体"/>
                <w:color w:val="auto"/>
                <w:highlight w:val="none"/>
              </w:rPr>
            </w:pPr>
          </w:p>
        </w:tc>
        <w:tc>
          <w:tcPr>
            <w:tcW w:w="1224" w:type="dxa"/>
            <w:vMerge w:val="continue"/>
          </w:tcPr>
          <w:p w14:paraId="6231C214">
            <w:pPr>
              <w:spacing w:after="0" w:line="240" w:lineRule="auto"/>
              <w:rPr>
                <w:rFonts w:hint="eastAsia" w:ascii="宋体" w:hAnsi="宋体" w:eastAsia="宋体" w:cs="宋体"/>
                <w:color w:val="auto"/>
                <w:highlight w:val="none"/>
              </w:rPr>
            </w:pPr>
          </w:p>
        </w:tc>
        <w:tc>
          <w:tcPr>
            <w:tcW w:w="2123" w:type="dxa"/>
            <w:vAlign w:val="center"/>
          </w:tcPr>
          <w:p w14:paraId="79B10AD3">
            <w:pPr>
              <w:spacing w:after="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已标价工程量清单</w:t>
            </w:r>
          </w:p>
        </w:tc>
        <w:tc>
          <w:tcPr>
            <w:tcW w:w="4417" w:type="dxa"/>
            <w:vAlign w:val="center"/>
          </w:tcPr>
          <w:p w14:paraId="59BE5FFC">
            <w:pPr>
              <w:spacing w:after="0" w:line="240" w:lineRule="auto"/>
              <w:ind w:right="248"/>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按照</w:t>
            </w:r>
            <w:r>
              <w:rPr>
                <w:rFonts w:hint="eastAsia" w:ascii="宋体" w:hAnsi="宋体" w:cs="宋体"/>
                <w:color w:val="auto"/>
                <w:szCs w:val="21"/>
                <w:highlight w:val="none"/>
                <w:lang w:val="en-US" w:eastAsia="zh-CN"/>
              </w:rPr>
              <w:t>已公布</w:t>
            </w:r>
            <w:r>
              <w:rPr>
                <w:rFonts w:hint="eastAsia" w:ascii="宋体" w:hAnsi="宋体" w:eastAsia="宋体" w:cs="宋体"/>
                <w:color w:val="auto"/>
                <w:szCs w:val="21"/>
                <w:highlight w:val="none"/>
                <w:lang w:val="en-US" w:eastAsia="zh-CN"/>
              </w:rPr>
              <w:t>招标工程量清单格式进行编制，内容完整。</w:t>
            </w:r>
          </w:p>
        </w:tc>
      </w:tr>
      <w:tr w14:paraId="1ED251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31" w:type="dxa"/>
            <w:vMerge w:val="continue"/>
          </w:tcPr>
          <w:p w14:paraId="56565E2E">
            <w:pPr>
              <w:spacing w:after="0" w:line="240" w:lineRule="auto"/>
              <w:rPr>
                <w:rFonts w:hint="eastAsia" w:ascii="宋体" w:hAnsi="宋体" w:eastAsia="宋体" w:cs="宋体"/>
                <w:color w:val="auto"/>
                <w:highlight w:val="none"/>
              </w:rPr>
            </w:pPr>
          </w:p>
        </w:tc>
        <w:tc>
          <w:tcPr>
            <w:tcW w:w="661" w:type="dxa"/>
            <w:vMerge w:val="continue"/>
          </w:tcPr>
          <w:p w14:paraId="5DCE4590">
            <w:pPr>
              <w:spacing w:after="0" w:line="240" w:lineRule="auto"/>
              <w:rPr>
                <w:rFonts w:hint="eastAsia" w:ascii="宋体" w:hAnsi="宋体" w:eastAsia="宋体" w:cs="宋体"/>
                <w:color w:val="auto"/>
                <w:highlight w:val="none"/>
              </w:rPr>
            </w:pPr>
          </w:p>
        </w:tc>
        <w:tc>
          <w:tcPr>
            <w:tcW w:w="1224" w:type="dxa"/>
            <w:vMerge w:val="continue"/>
          </w:tcPr>
          <w:p w14:paraId="34B89F91">
            <w:pPr>
              <w:spacing w:after="0" w:line="240" w:lineRule="auto"/>
              <w:rPr>
                <w:rFonts w:hint="eastAsia" w:ascii="宋体" w:hAnsi="宋体" w:eastAsia="宋体" w:cs="宋体"/>
                <w:color w:val="auto"/>
                <w:highlight w:val="none"/>
              </w:rPr>
            </w:pPr>
          </w:p>
        </w:tc>
        <w:tc>
          <w:tcPr>
            <w:tcW w:w="2123" w:type="dxa"/>
            <w:vAlign w:val="center"/>
          </w:tcPr>
          <w:p w14:paraId="190A462A">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其他实质性要求</w:t>
            </w:r>
          </w:p>
        </w:tc>
        <w:tc>
          <w:tcPr>
            <w:tcW w:w="4417" w:type="dxa"/>
            <w:vAlign w:val="center"/>
          </w:tcPr>
          <w:p w14:paraId="50739A0B">
            <w:pPr>
              <w:spacing w:after="0" w:line="240" w:lineRule="auto"/>
              <w:ind w:right="24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符合</w:t>
            </w:r>
            <w:r>
              <w:rPr>
                <w:rFonts w:hint="eastAsia" w:ascii="宋体" w:hAnsi="宋体" w:eastAsia="宋体" w:cs="宋体"/>
                <w:color w:val="auto"/>
                <w:szCs w:val="21"/>
                <w:highlight w:val="none"/>
                <w:lang w:val="en-US" w:eastAsia="zh-CN"/>
              </w:rPr>
              <w:t>招标文件规定的其他实质性要求</w:t>
            </w:r>
          </w:p>
        </w:tc>
      </w:tr>
      <w:tr w14:paraId="0A70F0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92" w:type="dxa"/>
            <w:gridSpan w:val="2"/>
            <w:vAlign w:val="center"/>
          </w:tcPr>
          <w:p w14:paraId="00AE823B">
            <w:pPr>
              <w:spacing w:after="0"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3347" w:type="dxa"/>
            <w:gridSpan w:val="2"/>
            <w:vAlign w:val="center"/>
          </w:tcPr>
          <w:p w14:paraId="6845885D">
            <w:pPr>
              <w:spacing w:after="0" w:line="24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条款内容</w:t>
            </w:r>
          </w:p>
        </w:tc>
        <w:tc>
          <w:tcPr>
            <w:tcW w:w="4417" w:type="dxa"/>
            <w:vAlign w:val="center"/>
          </w:tcPr>
          <w:p w14:paraId="19D2E069">
            <w:pPr>
              <w:spacing w:after="0" w:line="240" w:lineRule="auto"/>
              <w:jc w:val="center"/>
              <w:rPr>
                <w:rFonts w:hint="eastAsia" w:ascii="宋体" w:hAnsi="宋体" w:eastAsia="宋体" w:cs="宋体"/>
                <w:b/>
                <w:color w:val="auto"/>
                <w:highlight w:val="none"/>
              </w:rPr>
            </w:pPr>
            <w:r>
              <w:rPr>
                <w:rFonts w:hint="eastAsia" w:ascii="宋体" w:hAnsi="宋体" w:eastAsia="宋体" w:cs="宋体"/>
                <w:b/>
                <w:color w:val="auto"/>
                <w:szCs w:val="21"/>
                <w:highlight w:val="none"/>
              </w:rPr>
              <w:t>编列内容</w:t>
            </w:r>
          </w:p>
        </w:tc>
      </w:tr>
      <w:tr w14:paraId="787B46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92" w:type="dxa"/>
            <w:gridSpan w:val="2"/>
            <w:vAlign w:val="center"/>
          </w:tcPr>
          <w:p w14:paraId="45C0A782">
            <w:pPr>
              <w:spacing w:line="240" w:lineRule="auto"/>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2.2.1</w:t>
            </w:r>
          </w:p>
        </w:tc>
        <w:tc>
          <w:tcPr>
            <w:tcW w:w="3347" w:type="dxa"/>
            <w:gridSpan w:val="2"/>
            <w:vAlign w:val="center"/>
          </w:tcPr>
          <w:p w14:paraId="2DC541B9">
            <w:pPr>
              <w:snapToGrid w:val="0"/>
              <w:spacing w:line="240" w:lineRule="auto"/>
              <w:jc w:val="center"/>
              <w:rPr>
                <w:rFonts w:hint="eastAsia" w:ascii="宋体" w:hAnsi="宋体" w:eastAsia="宋体" w:cs="宋体"/>
                <w:b/>
                <w:color w:val="auto"/>
                <w:highlight w:val="none"/>
              </w:rPr>
            </w:pPr>
            <w:r>
              <w:rPr>
                <w:rFonts w:hint="eastAsia" w:ascii="宋体" w:hAnsi="宋体" w:eastAsia="宋体" w:cs="宋体"/>
                <w:color w:val="auto"/>
                <w:szCs w:val="21"/>
                <w:highlight w:val="none"/>
              </w:rPr>
              <w:t>分值构成</w:t>
            </w:r>
          </w:p>
        </w:tc>
        <w:tc>
          <w:tcPr>
            <w:tcW w:w="4417" w:type="dxa"/>
            <w:vAlign w:val="center"/>
          </w:tcPr>
          <w:p w14:paraId="13821A18">
            <w:pPr>
              <w:spacing w:line="240" w:lineRule="auto"/>
              <w:rPr>
                <w:rFonts w:hint="eastAsia" w:ascii="宋体" w:hAnsi="宋体" w:eastAsia="宋体" w:cs="宋体"/>
                <w:color w:val="FF0000"/>
                <w:szCs w:val="21"/>
                <w:highlight w:val="none"/>
              </w:rPr>
            </w:pPr>
            <w:r>
              <w:rPr>
                <w:rFonts w:hint="eastAsia" w:ascii="宋体" w:hAnsi="宋体" w:eastAsia="宋体" w:cs="宋体"/>
                <w:color w:val="auto"/>
                <w:szCs w:val="21"/>
                <w:highlight w:val="none"/>
              </w:rPr>
              <w:t>技术部分总分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100分</w:t>
            </w:r>
          </w:p>
          <w:p w14:paraId="090D4420">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商务部分总分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100分</w:t>
            </w:r>
          </w:p>
          <w:p w14:paraId="41DD71EA">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Z= a×S +（1-a）×J</w:t>
            </w:r>
          </w:p>
          <w:p w14:paraId="1DF31290">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63235B30">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Z：指投标人的最后得分；</w:t>
            </w:r>
          </w:p>
          <w:p w14:paraId="62F3EDDC">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S：指投标人的商务部分得分；</w:t>
            </w:r>
          </w:p>
          <w:p w14:paraId="7409F495">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J：指投标人的技术部分得分；</w:t>
            </w:r>
          </w:p>
          <w:p w14:paraId="74F7A852">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a：指商务部分的权重数；</w:t>
            </w:r>
          </w:p>
          <w:p w14:paraId="33E7F82B">
            <w:pP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a值由招标人根据工程技术复杂程度和施工技术要求进行取值，并在招标文件中予以明确</w:t>
            </w:r>
            <w:r>
              <w:rPr>
                <w:rFonts w:hint="eastAsia" w:ascii="宋体" w:hAnsi="宋体" w:cs="宋体"/>
                <w:b/>
                <w:bCs/>
                <w:color w:val="auto"/>
                <w:szCs w:val="21"/>
                <w:highlight w:val="none"/>
                <w:lang w:eastAsia="zh-CN"/>
              </w:rPr>
              <w:t>，</w:t>
            </w:r>
            <w:r>
              <w:rPr>
                <w:rFonts w:hint="eastAsia" w:ascii="宋体" w:hAnsi="宋体" w:eastAsia="宋体" w:cs="宋体"/>
                <w:b/>
                <w:bCs/>
                <w:color w:val="auto"/>
                <w:szCs w:val="21"/>
                <w:highlight w:val="none"/>
              </w:rPr>
              <w:t>本项目a值为0.</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rPr>
              <w:t>。</w:t>
            </w:r>
          </w:p>
        </w:tc>
      </w:tr>
      <w:tr w14:paraId="2FEF4B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92" w:type="dxa"/>
            <w:gridSpan w:val="2"/>
            <w:vAlign w:val="center"/>
          </w:tcPr>
          <w:p w14:paraId="285AAA90">
            <w:pPr>
              <w:spacing w:after="0"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3347" w:type="dxa"/>
            <w:gridSpan w:val="2"/>
            <w:vAlign w:val="center"/>
          </w:tcPr>
          <w:p w14:paraId="5C4BBFB6">
            <w:pPr>
              <w:spacing w:after="0" w:line="240" w:lineRule="auto"/>
              <w:jc w:val="center"/>
              <w:rPr>
                <w:rFonts w:hint="eastAsia" w:ascii="宋体" w:hAnsi="宋体" w:eastAsia="宋体" w:cs="宋体"/>
                <w:b/>
                <w:color w:val="auto"/>
                <w:highlight w:val="none"/>
              </w:rPr>
            </w:pPr>
            <w:r>
              <w:rPr>
                <w:rFonts w:hint="eastAsia" w:ascii="宋体" w:hAnsi="宋体" w:eastAsia="宋体" w:cs="宋体"/>
                <w:b/>
                <w:bCs/>
                <w:color w:val="auto"/>
                <w:sz w:val="24"/>
                <w:highlight w:val="none"/>
              </w:rPr>
              <w:t>评审内容</w:t>
            </w:r>
          </w:p>
        </w:tc>
        <w:tc>
          <w:tcPr>
            <w:tcW w:w="4417" w:type="dxa"/>
            <w:vAlign w:val="center"/>
          </w:tcPr>
          <w:p w14:paraId="40E464C0">
            <w:pPr>
              <w:spacing w:after="0" w:line="240" w:lineRule="auto"/>
              <w:jc w:val="center"/>
              <w:rPr>
                <w:rFonts w:hint="eastAsia" w:ascii="宋体" w:hAnsi="宋体" w:eastAsia="宋体" w:cs="宋体"/>
                <w:b/>
                <w:color w:val="auto"/>
                <w:szCs w:val="21"/>
                <w:highlight w:val="none"/>
              </w:rPr>
            </w:pPr>
            <w:r>
              <w:rPr>
                <w:rFonts w:hint="eastAsia" w:ascii="宋体" w:hAnsi="宋体" w:eastAsia="宋体" w:cs="宋体"/>
                <w:b/>
                <w:bCs/>
                <w:color w:val="auto"/>
                <w:sz w:val="24"/>
                <w:highlight w:val="none"/>
              </w:rPr>
              <w:t>评分说明</w:t>
            </w:r>
          </w:p>
        </w:tc>
      </w:tr>
      <w:tr w14:paraId="5CF4A6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92" w:type="dxa"/>
            <w:gridSpan w:val="2"/>
            <w:vMerge w:val="restart"/>
            <w:vAlign w:val="center"/>
          </w:tcPr>
          <w:p w14:paraId="71843380">
            <w:pPr>
              <w:spacing w:after="0" w:line="240" w:lineRule="auto"/>
              <w:jc w:val="center"/>
              <w:rPr>
                <w:rFonts w:hint="eastAsia" w:ascii="宋体" w:hAnsi="宋体" w:eastAsia="宋体" w:cs="宋体"/>
                <w:bCs/>
                <w:color w:val="auto"/>
                <w:szCs w:val="21"/>
                <w:highlight w:val="none"/>
              </w:rPr>
            </w:pPr>
          </w:p>
          <w:p w14:paraId="36732381">
            <w:pPr>
              <w:spacing w:after="0" w:line="240" w:lineRule="auto"/>
              <w:jc w:val="center"/>
              <w:rPr>
                <w:rFonts w:hint="eastAsia" w:ascii="宋体" w:hAnsi="宋体" w:eastAsia="宋体" w:cs="宋体"/>
                <w:bCs/>
                <w:color w:val="auto"/>
                <w:szCs w:val="21"/>
                <w:highlight w:val="none"/>
              </w:rPr>
            </w:pPr>
          </w:p>
          <w:p w14:paraId="7A9D3851">
            <w:pPr>
              <w:spacing w:after="0" w:line="240" w:lineRule="auto"/>
              <w:jc w:val="center"/>
              <w:rPr>
                <w:rFonts w:hint="eastAsia" w:ascii="宋体" w:hAnsi="宋体" w:eastAsia="宋体" w:cs="宋体"/>
                <w:bCs/>
                <w:color w:val="auto"/>
                <w:szCs w:val="21"/>
                <w:highlight w:val="none"/>
              </w:rPr>
            </w:pPr>
          </w:p>
          <w:p w14:paraId="6DF8F355">
            <w:pPr>
              <w:spacing w:after="0" w:line="240" w:lineRule="auto"/>
              <w:jc w:val="center"/>
              <w:rPr>
                <w:rFonts w:hint="eastAsia" w:ascii="宋体" w:hAnsi="宋体" w:eastAsia="宋体" w:cs="宋体"/>
                <w:bCs/>
                <w:color w:val="auto"/>
                <w:szCs w:val="21"/>
                <w:highlight w:val="none"/>
              </w:rPr>
            </w:pPr>
          </w:p>
          <w:p w14:paraId="108BDB27">
            <w:pPr>
              <w:spacing w:after="0" w:line="240" w:lineRule="auto"/>
              <w:jc w:val="center"/>
              <w:rPr>
                <w:rFonts w:hint="eastAsia" w:ascii="宋体" w:hAnsi="宋体" w:eastAsia="宋体" w:cs="宋体"/>
                <w:bCs/>
                <w:color w:val="auto"/>
                <w:szCs w:val="21"/>
                <w:highlight w:val="none"/>
              </w:rPr>
            </w:pPr>
          </w:p>
          <w:p w14:paraId="5F6EB836">
            <w:pPr>
              <w:spacing w:after="0" w:line="240" w:lineRule="auto"/>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2.2.1.1</w:t>
            </w:r>
          </w:p>
        </w:tc>
        <w:tc>
          <w:tcPr>
            <w:tcW w:w="1224" w:type="dxa"/>
            <w:vMerge w:val="restart"/>
            <w:vAlign w:val="center"/>
          </w:tcPr>
          <w:p w14:paraId="0A9763DF">
            <w:pPr>
              <w:spacing w:after="0" w:line="240" w:lineRule="auto"/>
              <w:jc w:val="center"/>
              <w:rPr>
                <w:rFonts w:hint="eastAsia" w:ascii="宋体" w:hAnsi="宋体" w:eastAsia="宋体" w:cs="宋体"/>
                <w:color w:val="auto"/>
                <w:szCs w:val="21"/>
                <w:highlight w:val="none"/>
              </w:rPr>
            </w:pPr>
          </w:p>
          <w:p w14:paraId="19915809">
            <w:pPr>
              <w:spacing w:after="0" w:line="240" w:lineRule="auto"/>
              <w:jc w:val="center"/>
              <w:rPr>
                <w:rFonts w:hint="eastAsia" w:ascii="宋体" w:hAnsi="宋体" w:eastAsia="宋体" w:cs="宋体"/>
                <w:color w:val="auto"/>
                <w:szCs w:val="21"/>
                <w:highlight w:val="none"/>
              </w:rPr>
            </w:pPr>
          </w:p>
          <w:p w14:paraId="209E6AEC">
            <w:pPr>
              <w:spacing w:after="0" w:line="240" w:lineRule="auto"/>
              <w:jc w:val="center"/>
              <w:rPr>
                <w:rFonts w:hint="eastAsia" w:ascii="宋体" w:hAnsi="宋体" w:eastAsia="宋体" w:cs="宋体"/>
                <w:color w:val="auto"/>
                <w:szCs w:val="21"/>
                <w:highlight w:val="none"/>
              </w:rPr>
            </w:pPr>
          </w:p>
          <w:p w14:paraId="31E88767">
            <w:pPr>
              <w:spacing w:after="0" w:line="240" w:lineRule="auto"/>
              <w:jc w:val="center"/>
              <w:rPr>
                <w:rFonts w:hint="eastAsia" w:ascii="宋体" w:hAnsi="宋体" w:eastAsia="宋体" w:cs="宋体"/>
                <w:color w:val="auto"/>
                <w:szCs w:val="21"/>
                <w:highlight w:val="none"/>
              </w:rPr>
            </w:pPr>
          </w:p>
          <w:p w14:paraId="4B855D28">
            <w:pPr>
              <w:spacing w:after="0"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商务部分评审标准</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满分</w:t>
            </w:r>
            <w:r>
              <w:rPr>
                <w:rFonts w:hint="eastAsia" w:ascii="宋体" w:hAnsi="宋体" w:eastAsia="宋体" w:cs="宋体"/>
                <w:color w:val="auto"/>
                <w:szCs w:val="21"/>
                <w:highlight w:val="none"/>
                <w:lang w:val="en-US" w:eastAsia="zh-CN"/>
              </w:rPr>
              <w:t>100</w:t>
            </w:r>
            <w:r>
              <w:rPr>
                <w:rFonts w:hint="eastAsia" w:ascii="宋体" w:hAnsi="宋体" w:eastAsia="宋体" w:cs="宋体"/>
                <w:color w:val="auto"/>
                <w:szCs w:val="21"/>
                <w:highlight w:val="none"/>
              </w:rPr>
              <w:t>分</w:t>
            </w:r>
            <w:r>
              <w:rPr>
                <w:rFonts w:hint="eastAsia" w:ascii="宋体" w:hAnsi="宋体" w:cs="宋体"/>
                <w:color w:val="auto"/>
                <w:szCs w:val="21"/>
                <w:highlight w:val="none"/>
                <w:lang w:eastAsia="zh-CN"/>
              </w:rPr>
              <w:t>）</w:t>
            </w:r>
          </w:p>
        </w:tc>
        <w:tc>
          <w:tcPr>
            <w:tcW w:w="2123" w:type="dxa"/>
            <w:vMerge w:val="restart"/>
            <w:vAlign w:val="center"/>
          </w:tcPr>
          <w:p w14:paraId="5D75A939">
            <w:pPr>
              <w:snapToGrid w:val="0"/>
              <w:spacing w:after="0" w:line="240" w:lineRule="auto"/>
              <w:rPr>
                <w:rFonts w:hint="eastAsia" w:ascii="宋体" w:hAnsi="宋体" w:eastAsia="宋体" w:cs="宋体"/>
                <w:b/>
                <w:color w:val="auto"/>
                <w:highlight w:val="none"/>
              </w:rPr>
            </w:pPr>
            <w:r>
              <w:rPr>
                <w:rFonts w:hint="eastAsia" w:ascii="宋体" w:hAnsi="宋体" w:eastAsia="宋体" w:cs="宋体"/>
                <w:color w:val="auto"/>
                <w:szCs w:val="21"/>
                <w:highlight w:val="none"/>
                <w:lang w:val="en-US" w:eastAsia="zh-CN"/>
              </w:rPr>
              <w:t>投标总</w:t>
            </w:r>
            <w:r>
              <w:rPr>
                <w:rFonts w:hint="eastAsia" w:ascii="宋体" w:hAnsi="宋体" w:eastAsia="宋体" w:cs="宋体"/>
                <w:color w:val="auto"/>
                <w:szCs w:val="21"/>
                <w:highlight w:val="none"/>
              </w:rPr>
              <w:t>报价（</w:t>
            </w:r>
            <w:r>
              <w:rPr>
                <w:rFonts w:hint="eastAsia" w:ascii="宋体" w:hAnsi="宋体" w:cs="宋体"/>
                <w:color w:val="auto"/>
                <w:szCs w:val="21"/>
                <w:highlight w:val="none"/>
                <w:lang w:val="en-US" w:eastAsia="zh-CN"/>
              </w:rPr>
              <w:t>100</w:t>
            </w:r>
            <w:r>
              <w:rPr>
                <w:rFonts w:hint="eastAsia" w:ascii="宋体" w:hAnsi="宋体" w:eastAsia="宋体" w:cs="宋体"/>
                <w:color w:val="auto"/>
                <w:szCs w:val="21"/>
                <w:highlight w:val="none"/>
              </w:rPr>
              <w:t>分）</w:t>
            </w:r>
          </w:p>
        </w:tc>
        <w:tc>
          <w:tcPr>
            <w:tcW w:w="4417" w:type="dxa"/>
            <w:vAlign w:val="center"/>
          </w:tcPr>
          <w:p w14:paraId="4C096573">
            <w:pPr>
              <w:spacing w:after="0" w:line="24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一、总报价基准价</w:t>
            </w:r>
          </w:p>
          <w:p w14:paraId="7DC39605">
            <w:pPr>
              <w:spacing w:after="0" w:line="24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1、计算评标基准价</w:t>
            </w:r>
          </w:p>
          <w:p w14:paraId="5D3C9AF8">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招标人提供招标控制价</w:t>
            </w:r>
            <w:r>
              <w:rPr>
                <w:rFonts w:hint="eastAsia" w:ascii="宋体" w:hAnsi="宋体" w:cs="宋体"/>
                <w:b w:val="0"/>
                <w:bCs w:val="0"/>
                <w:color w:val="auto"/>
                <w:szCs w:val="21"/>
                <w:highlight w:val="none"/>
                <w:lang w:val="en-US" w:eastAsia="zh-CN"/>
              </w:rPr>
              <w:t>：</w:t>
            </w:r>
          </w:p>
          <w:p w14:paraId="0C73A1DC">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当招标人设置招标控制价（最高投标限价）时，评标基准价的计算公式如下：</w:t>
            </w:r>
          </w:p>
          <w:p w14:paraId="0C03BF17">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P=F × K</w:t>
            </w:r>
          </w:p>
          <w:p w14:paraId="17E22B42">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式中：P——评标基准价；</w:t>
            </w:r>
          </w:p>
          <w:p w14:paraId="5BE74E68">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F为：部分投标总报价的算术平均值；</w:t>
            </w:r>
          </w:p>
          <w:p w14:paraId="36DF2354">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K为：合理低价期望值，本项目K取值设定为 0.99。 </w:t>
            </w:r>
          </w:p>
          <w:p w14:paraId="41A4AB02">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lang w:val="en-US" w:eastAsia="zh-CN"/>
              </w:rPr>
              <w:t>2、部分投标总报价指：</w:t>
            </w:r>
            <w:r>
              <w:rPr>
                <w:rFonts w:hint="eastAsia" w:ascii="宋体" w:hAnsi="宋体" w:eastAsia="宋体" w:cs="宋体"/>
                <w:b w:val="0"/>
                <w:bCs w:val="0"/>
                <w:color w:val="auto"/>
                <w:szCs w:val="21"/>
                <w:highlight w:val="none"/>
                <w:lang w:val="en-US" w:eastAsia="zh-CN"/>
              </w:rPr>
              <w:t>投标总报价在招标控制价下浮一定范围内的方可参与评标基准价的计算，若投标总报价在此范围外，只是不参与评标基准价的公式计算，但不影响其投标文件参与评审。</w:t>
            </w:r>
          </w:p>
          <w:p w14:paraId="2A04A6C4">
            <w:pPr>
              <w:spacing w:after="0" w:line="24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3、部分投标总报价取值范围：</w:t>
            </w:r>
          </w:p>
          <w:p w14:paraId="3383DC0C">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招标控制价≥部分投标总报价≥招标控制价×B</w:t>
            </w:r>
          </w:p>
          <w:p w14:paraId="0448111B">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注：B为下浮度值，本项目B取值设定范围为：0.99、0.98、0.97、0.96、0.95。</w:t>
            </w:r>
          </w:p>
          <w:p w14:paraId="6505BBC6">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B值由招标人代表在开标现场随机抽取确定。</w:t>
            </w:r>
          </w:p>
          <w:p w14:paraId="2A5BA327">
            <w:pPr>
              <w:spacing w:after="0" w:line="24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4、F值计算方法如下：</w:t>
            </w:r>
          </w:p>
          <w:p w14:paraId="59FF2B5F">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l</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当有效投标人个数n≥21时，去掉范围内的最高、次高、第三高、最低、次低、第三低六个投标总报价后其余投标总报价的算术平均值。</w:t>
            </w:r>
          </w:p>
          <w:p w14:paraId="2F26F439">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2</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当有效投标人个数21&gt;n≥7时，去掉范围内的最高、次高、最低、次低四个投标总报价后其余投标总报价的算术平均值。</w:t>
            </w:r>
          </w:p>
          <w:p w14:paraId="59E532C7">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3</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当有效投标人个数7&gt;n≥5时，去掉范围内的最高、最低二个投标总报价后其余投标总报价的算术平均值。</w:t>
            </w:r>
          </w:p>
          <w:p w14:paraId="438112B3">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4</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当在以上范围内的投标总报价个数n在n&lt;5且n≠0时，直接计算范围内的全部投标总报价的算术平均值。</w:t>
            </w:r>
          </w:p>
          <w:p w14:paraId="1D17BA2F">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（5）</w:t>
            </w:r>
            <w:r>
              <w:rPr>
                <w:rFonts w:hint="eastAsia" w:ascii="宋体" w:hAnsi="宋体" w:eastAsia="宋体" w:cs="宋体"/>
                <w:b w:val="0"/>
                <w:bCs w:val="0"/>
                <w:color w:val="auto"/>
                <w:szCs w:val="21"/>
                <w:highlight w:val="none"/>
                <w:lang w:val="en-US" w:eastAsia="zh-CN"/>
              </w:rPr>
              <w:t>当在以上范围内的投标总报价个数n=0时，评标基准价按下列公式计算：P=招标控制价×B×K</w:t>
            </w:r>
          </w:p>
          <w:p w14:paraId="2101E73F">
            <w:pPr>
              <w:spacing w:after="0" w:line="240" w:lineRule="auto"/>
              <w:rPr>
                <w:rFonts w:hint="eastAsia" w:ascii="宋体" w:hAnsi="宋体" w:eastAsia="宋体" w:cs="宋体"/>
                <w:b/>
                <w:color w:val="auto"/>
                <w:szCs w:val="21"/>
                <w:highlight w:val="none"/>
              </w:rPr>
            </w:pPr>
            <w:r>
              <w:rPr>
                <w:rFonts w:hint="eastAsia" w:ascii="宋体" w:hAnsi="宋体" w:eastAsia="宋体" w:cs="宋体"/>
                <w:b w:val="0"/>
                <w:bCs w:val="0"/>
                <w:color w:val="auto"/>
                <w:szCs w:val="21"/>
                <w:highlight w:val="none"/>
                <w:lang w:val="en-US" w:eastAsia="zh-CN"/>
              </w:rPr>
              <w:t>注： 有效投标人是指部分投标总报价在以上报价范围</w:t>
            </w:r>
            <w:r>
              <w:rPr>
                <w:rFonts w:hint="eastAsia" w:ascii="宋体" w:hAnsi="宋体" w:cs="宋体"/>
                <w:b w:val="0"/>
                <w:bCs w:val="0"/>
                <w:color w:val="auto"/>
                <w:szCs w:val="21"/>
                <w:highlight w:val="none"/>
                <w:lang w:val="en-US" w:eastAsia="zh-CN"/>
              </w:rPr>
              <w:t>内</w:t>
            </w:r>
            <w:r>
              <w:rPr>
                <w:rFonts w:hint="eastAsia" w:ascii="宋体" w:hAnsi="宋体" w:eastAsia="宋体" w:cs="宋体"/>
                <w:b w:val="0"/>
                <w:bCs w:val="0"/>
                <w:color w:val="auto"/>
                <w:szCs w:val="21"/>
                <w:highlight w:val="none"/>
                <w:lang w:val="en-US" w:eastAsia="zh-CN"/>
              </w:rPr>
              <w:t>的投标人（下同）。</w:t>
            </w:r>
          </w:p>
        </w:tc>
      </w:tr>
      <w:tr w14:paraId="36828E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92" w:type="dxa"/>
            <w:gridSpan w:val="2"/>
            <w:vMerge w:val="continue"/>
            <w:vAlign w:val="center"/>
          </w:tcPr>
          <w:p w14:paraId="4F74D3FE">
            <w:pPr>
              <w:spacing w:after="0" w:line="240" w:lineRule="auto"/>
              <w:jc w:val="center"/>
              <w:rPr>
                <w:rFonts w:hint="eastAsia" w:ascii="宋体" w:hAnsi="宋体" w:eastAsia="宋体" w:cs="宋体"/>
                <w:bCs/>
                <w:color w:val="auto"/>
                <w:szCs w:val="21"/>
                <w:highlight w:val="none"/>
              </w:rPr>
            </w:pPr>
          </w:p>
        </w:tc>
        <w:tc>
          <w:tcPr>
            <w:tcW w:w="1224" w:type="dxa"/>
            <w:vMerge w:val="continue"/>
            <w:vAlign w:val="center"/>
          </w:tcPr>
          <w:p w14:paraId="5AA0AD1B">
            <w:pPr>
              <w:spacing w:after="0" w:line="240" w:lineRule="auto"/>
              <w:jc w:val="center"/>
              <w:rPr>
                <w:rFonts w:hint="eastAsia" w:ascii="宋体" w:hAnsi="宋体" w:eastAsia="宋体" w:cs="宋体"/>
                <w:color w:val="auto"/>
                <w:szCs w:val="21"/>
                <w:highlight w:val="none"/>
              </w:rPr>
            </w:pPr>
          </w:p>
        </w:tc>
        <w:tc>
          <w:tcPr>
            <w:tcW w:w="2123" w:type="dxa"/>
            <w:vMerge w:val="continue"/>
            <w:vAlign w:val="center"/>
          </w:tcPr>
          <w:p w14:paraId="4C1615A1">
            <w:pPr>
              <w:snapToGrid w:val="0"/>
              <w:spacing w:after="0" w:line="240" w:lineRule="auto"/>
              <w:rPr>
                <w:rFonts w:hint="eastAsia" w:ascii="宋体" w:hAnsi="宋体" w:eastAsia="宋体" w:cs="宋体"/>
                <w:color w:val="auto"/>
                <w:szCs w:val="21"/>
                <w:highlight w:val="none"/>
                <w:lang w:val="en-US" w:eastAsia="zh-CN"/>
              </w:rPr>
            </w:pPr>
          </w:p>
        </w:tc>
        <w:tc>
          <w:tcPr>
            <w:tcW w:w="4417" w:type="dxa"/>
            <w:vAlign w:val="center"/>
          </w:tcPr>
          <w:p w14:paraId="4862FD5A">
            <w:pPr>
              <w:spacing w:after="0" w:line="24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二、偏差率：</w:t>
            </w:r>
          </w:p>
          <w:p w14:paraId="7659E9A5">
            <w:pPr>
              <w:spacing w:after="0" w:line="240" w:lineRule="auto"/>
              <w:rPr>
                <w:rFonts w:hint="eastAsia" w:ascii="宋体" w:hAnsi="宋体" w:eastAsia="宋体" w:cs="宋体"/>
                <w:highlight w:val="none"/>
                <w:lang w:val="en-US" w:eastAsia="zh-CN"/>
              </w:rPr>
            </w:pPr>
            <w:r>
              <w:rPr>
                <w:rFonts w:hint="eastAsia" w:ascii="宋体" w:hAnsi="宋体" w:eastAsia="宋体" w:cs="宋体"/>
                <w:highlight w:val="none"/>
              </w:rPr>
              <w:t>偏差率=100%×（投标人报价—评标基准价）/评标基准价（小数点后保留四位，第五位四舍五入）</w:t>
            </w:r>
          </w:p>
        </w:tc>
      </w:tr>
      <w:tr w14:paraId="3FFB15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6" w:hRule="atLeast"/>
          <w:jc w:val="center"/>
        </w:trPr>
        <w:tc>
          <w:tcPr>
            <w:tcW w:w="1192" w:type="dxa"/>
            <w:gridSpan w:val="2"/>
            <w:vMerge w:val="continue"/>
            <w:vAlign w:val="center"/>
          </w:tcPr>
          <w:p w14:paraId="72E8256C">
            <w:pPr>
              <w:spacing w:after="0" w:line="240" w:lineRule="auto"/>
              <w:jc w:val="center"/>
              <w:rPr>
                <w:rFonts w:hint="eastAsia" w:ascii="宋体" w:hAnsi="宋体" w:eastAsia="宋体" w:cs="宋体"/>
                <w:bCs/>
                <w:color w:val="auto"/>
                <w:szCs w:val="21"/>
                <w:highlight w:val="none"/>
              </w:rPr>
            </w:pPr>
          </w:p>
        </w:tc>
        <w:tc>
          <w:tcPr>
            <w:tcW w:w="1224" w:type="dxa"/>
            <w:vMerge w:val="continue"/>
            <w:vAlign w:val="center"/>
          </w:tcPr>
          <w:p w14:paraId="447B6E32">
            <w:pPr>
              <w:spacing w:after="0" w:line="240" w:lineRule="auto"/>
              <w:jc w:val="center"/>
              <w:rPr>
                <w:rFonts w:hint="eastAsia" w:ascii="宋体" w:hAnsi="宋体" w:eastAsia="宋体" w:cs="宋体"/>
                <w:color w:val="auto"/>
                <w:szCs w:val="21"/>
                <w:highlight w:val="none"/>
              </w:rPr>
            </w:pPr>
          </w:p>
        </w:tc>
        <w:tc>
          <w:tcPr>
            <w:tcW w:w="2123" w:type="dxa"/>
            <w:vMerge w:val="continue"/>
            <w:vAlign w:val="center"/>
          </w:tcPr>
          <w:p w14:paraId="472117F3">
            <w:pPr>
              <w:snapToGrid w:val="0"/>
              <w:spacing w:after="0" w:line="240" w:lineRule="auto"/>
              <w:rPr>
                <w:rFonts w:hint="eastAsia" w:ascii="宋体" w:hAnsi="宋体" w:eastAsia="宋体" w:cs="宋体"/>
                <w:color w:val="auto"/>
                <w:szCs w:val="21"/>
                <w:highlight w:val="none"/>
                <w:lang w:val="en-US" w:eastAsia="zh-CN"/>
              </w:rPr>
            </w:pPr>
          </w:p>
        </w:tc>
        <w:tc>
          <w:tcPr>
            <w:tcW w:w="4417" w:type="dxa"/>
            <w:vAlign w:val="center"/>
          </w:tcPr>
          <w:p w14:paraId="766306F6">
            <w:pPr>
              <w:spacing w:after="0" w:line="24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三、投标报价得分：</w:t>
            </w:r>
          </w:p>
          <w:p w14:paraId="3B3D9678">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投标总报价得分（N）按下式计算：</w:t>
            </w:r>
          </w:p>
          <w:p w14:paraId="7FF90355">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1、若投标人的投标总报价</w:t>
            </w:r>
            <w:r>
              <w:rPr>
                <w:rFonts w:hint="eastAsia" w:ascii="微软雅黑" w:hAnsi="微软雅黑" w:eastAsia="微软雅黑" w:cs="微软雅黑"/>
                <w:b w:val="0"/>
                <w:bCs w:val="0"/>
                <w:color w:val="auto"/>
                <w:sz w:val="22"/>
                <w:szCs w:val="22"/>
                <w:highlight w:val="none"/>
                <w:lang w:val="en-US" w:eastAsia="zh-CN"/>
              </w:rPr>
              <w:t>&gt;</w:t>
            </w:r>
            <w:r>
              <w:rPr>
                <w:rFonts w:hint="eastAsia" w:ascii="宋体" w:hAnsi="宋体" w:eastAsia="宋体" w:cs="宋体"/>
                <w:b w:val="0"/>
                <w:bCs w:val="0"/>
                <w:color w:val="auto"/>
                <w:szCs w:val="21"/>
                <w:highlight w:val="none"/>
                <w:lang w:val="en-US" w:eastAsia="zh-CN"/>
              </w:rPr>
              <w:t>评标基准价，则：</w:t>
            </w:r>
          </w:p>
          <w:p w14:paraId="69EED99D">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投标总报价得分=</w:t>
            </w:r>
            <w:r>
              <w:rPr>
                <w:rFonts w:hint="eastAsia" w:ascii="宋体" w:hAnsi="宋体" w:cs="宋体"/>
                <w:b w:val="0"/>
                <w:bCs w:val="0"/>
                <w:color w:val="auto"/>
                <w:szCs w:val="21"/>
                <w:highlight w:val="none"/>
                <w:lang w:val="en-US" w:eastAsia="zh-CN"/>
              </w:rPr>
              <w:t>100</w:t>
            </w:r>
            <w:r>
              <w:rPr>
                <w:rFonts w:hint="eastAsia" w:ascii="宋体" w:hAnsi="宋体" w:eastAsia="宋体" w:cs="宋体"/>
                <w:b w:val="0"/>
                <w:bCs w:val="0"/>
                <w:color w:val="auto"/>
                <w:szCs w:val="21"/>
                <w:highlight w:val="none"/>
                <w:lang w:val="en-US" w:eastAsia="zh-CN"/>
              </w:rPr>
              <w:t>-偏差率×100×</w:t>
            </w:r>
            <w:r>
              <w:rPr>
                <w:rFonts w:hint="eastAsia" w:ascii="宋体" w:hAnsi="宋体" w:cs="宋体"/>
                <w:b w:val="0"/>
                <w:bCs w:val="0"/>
                <w:color w:val="auto"/>
                <w:szCs w:val="21"/>
                <w:highlight w:val="none"/>
                <w:lang w:val="en-US" w:eastAsia="zh-CN"/>
              </w:rPr>
              <w:t>1</w:t>
            </w:r>
            <w:r>
              <w:rPr>
                <w:rFonts w:hint="eastAsia" w:ascii="宋体" w:hAnsi="宋体" w:eastAsia="宋体" w:cs="宋体"/>
                <w:b w:val="0"/>
                <w:bCs w:val="0"/>
                <w:color w:val="auto"/>
                <w:szCs w:val="21"/>
                <w:highlight w:val="none"/>
                <w:lang w:val="en-US" w:eastAsia="zh-CN"/>
              </w:rPr>
              <w:t>；</w:t>
            </w:r>
          </w:p>
          <w:p w14:paraId="23257586">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2、若投标人的投标报价≤评标基准价，则：</w:t>
            </w:r>
          </w:p>
          <w:p w14:paraId="73568C04">
            <w:pPr>
              <w:spacing w:after="0" w:line="24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投标总报价得分=</w:t>
            </w:r>
            <w:r>
              <w:rPr>
                <w:rFonts w:hint="eastAsia" w:ascii="宋体" w:hAnsi="宋体" w:cs="宋体"/>
                <w:b w:val="0"/>
                <w:bCs w:val="0"/>
                <w:color w:val="auto"/>
                <w:szCs w:val="21"/>
                <w:highlight w:val="none"/>
                <w:lang w:val="en-US" w:eastAsia="zh-CN"/>
              </w:rPr>
              <w:t>100</w:t>
            </w:r>
            <w:r>
              <w:rPr>
                <w:rFonts w:hint="eastAsia" w:ascii="宋体" w:hAnsi="宋体" w:eastAsia="宋体" w:cs="宋体"/>
                <w:b w:val="0"/>
                <w:bCs w:val="0"/>
                <w:color w:val="auto"/>
                <w:szCs w:val="21"/>
                <w:highlight w:val="none"/>
                <w:lang w:val="en-US" w:eastAsia="zh-CN"/>
              </w:rPr>
              <w:t>+偏差率×100×</w:t>
            </w:r>
            <w:r>
              <w:rPr>
                <w:rFonts w:hint="eastAsia" w:ascii="宋体" w:hAnsi="宋体" w:cs="宋体"/>
                <w:b w:val="0"/>
                <w:bCs w:val="0"/>
                <w:color w:val="auto"/>
                <w:szCs w:val="21"/>
                <w:highlight w:val="none"/>
                <w:lang w:val="en-US" w:eastAsia="zh-CN"/>
              </w:rPr>
              <w:t>0.5</w:t>
            </w:r>
            <w:r>
              <w:rPr>
                <w:rFonts w:hint="eastAsia" w:ascii="宋体" w:hAnsi="宋体" w:eastAsia="宋体" w:cs="宋体"/>
                <w:b w:val="0"/>
                <w:bCs w:val="0"/>
                <w:color w:val="auto"/>
                <w:szCs w:val="21"/>
                <w:highlight w:val="none"/>
                <w:lang w:val="en-US" w:eastAsia="zh-CN"/>
              </w:rPr>
              <w:t>；</w:t>
            </w:r>
          </w:p>
          <w:p w14:paraId="496316FF">
            <w:pPr>
              <w:spacing w:after="0" w:line="240" w:lineRule="auto"/>
              <w:rPr>
                <w:rFonts w:hint="eastAsia" w:ascii="宋体" w:hAnsi="宋体" w:eastAsia="宋体" w:cs="宋体"/>
                <w:highlight w:val="none"/>
                <w:lang w:val="en-US" w:eastAsia="zh-CN"/>
              </w:rPr>
            </w:pPr>
            <w:r>
              <w:rPr>
                <w:rFonts w:hint="eastAsia" w:ascii="宋体" w:hAnsi="宋体" w:eastAsia="宋体" w:cs="宋体"/>
                <w:b w:val="0"/>
                <w:bCs w:val="0"/>
                <w:color w:val="auto"/>
                <w:szCs w:val="21"/>
                <w:highlight w:val="none"/>
                <w:lang w:val="en-US" w:eastAsia="zh-CN"/>
              </w:rPr>
              <w:t>注：投标总报价得分分值取小数点后两位，第三位四舍五入。若投标总报价得分计算后小于或等于0分，则按0分计</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val="en-US" w:eastAsia="zh-CN"/>
              </w:rPr>
              <w:t>投标总报价得分由评标工作人员计算，由评委复核。</w:t>
            </w:r>
          </w:p>
        </w:tc>
      </w:tr>
      <w:tr w14:paraId="314E67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32" w:hRule="atLeast"/>
          <w:jc w:val="center"/>
        </w:trPr>
        <w:tc>
          <w:tcPr>
            <w:tcW w:w="1192" w:type="dxa"/>
            <w:gridSpan w:val="2"/>
            <w:vMerge w:val="restart"/>
            <w:vAlign w:val="center"/>
          </w:tcPr>
          <w:p w14:paraId="691A7742">
            <w:pPr>
              <w:spacing w:after="0" w:line="240" w:lineRule="auto"/>
              <w:jc w:val="center"/>
              <w:rPr>
                <w:rFonts w:hint="eastAsia" w:ascii="宋体" w:hAnsi="宋体" w:eastAsia="宋体" w:cs="宋体"/>
                <w:bCs/>
                <w:color w:val="auto"/>
                <w:szCs w:val="21"/>
                <w:highlight w:val="none"/>
              </w:rPr>
            </w:pPr>
          </w:p>
          <w:p w14:paraId="6CD71317">
            <w:pPr>
              <w:spacing w:after="0" w:line="240" w:lineRule="auto"/>
              <w:jc w:val="center"/>
              <w:rPr>
                <w:rFonts w:hint="eastAsia" w:ascii="宋体" w:hAnsi="宋体" w:eastAsia="宋体" w:cs="宋体"/>
                <w:bCs/>
                <w:color w:val="auto"/>
                <w:szCs w:val="21"/>
                <w:highlight w:val="none"/>
              </w:rPr>
            </w:pPr>
          </w:p>
          <w:p w14:paraId="0E390740">
            <w:pPr>
              <w:spacing w:after="0" w:line="240" w:lineRule="auto"/>
              <w:jc w:val="center"/>
              <w:rPr>
                <w:rFonts w:hint="eastAsia" w:ascii="宋体" w:hAnsi="宋体" w:eastAsia="宋体" w:cs="宋体"/>
                <w:bCs/>
                <w:color w:val="auto"/>
                <w:szCs w:val="21"/>
                <w:highlight w:val="none"/>
              </w:rPr>
            </w:pPr>
          </w:p>
          <w:p w14:paraId="6649FC62">
            <w:pPr>
              <w:spacing w:after="0" w:line="240" w:lineRule="auto"/>
              <w:jc w:val="center"/>
              <w:rPr>
                <w:rFonts w:hint="eastAsia" w:ascii="宋体" w:hAnsi="宋体" w:eastAsia="宋体" w:cs="宋体"/>
                <w:bCs/>
                <w:color w:val="auto"/>
                <w:szCs w:val="21"/>
                <w:highlight w:val="none"/>
              </w:rPr>
            </w:pPr>
          </w:p>
          <w:p w14:paraId="218CF866">
            <w:pPr>
              <w:spacing w:after="0" w:line="240" w:lineRule="auto"/>
              <w:jc w:val="center"/>
              <w:rPr>
                <w:rFonts w:hint="eastAsia" w:ascii="宋体" w:hAnsi="宋体" w:eastAsia="宋体" w:cs="宋体"/>
                <w:bCs/>
                <w:color w:val="auto"/>
                <w:szCs w:val="21"/>
                <w:highlight w:val="none"/>
              </w:rPr>
            </w:pPr>
          </w:p>
          <w:p w14:paraId="33CD46F1">
            <w:pPr>
              <w:spacing w:after="0" w:line="240" w:lineRule="auto"/>
              <w:jc w:val="center"/>
              <w:rPr>
                <w:rFonts w:hint="eastAsia" w:ascii="宋体" w:hAnsi="宋体" w:eastAsia="宋体" w:cs="宋体"/>
                <w:bCs/>
                <w:color w:val="auto"/>
                <w:szCs w:val="21"/>
                <w:highlight w:val="none"/>
              </w:rPr>
            </w:pPr>
          </w:p>
          <w:p w14:paraId="57CC9C1B">
            <w:pPr>
              <w:spacing w:after="0" w:line="240" w:lineRule="auto"/>
              <w:jc w:val="center"/>
              <w:rPr>
                <w:rFonts w:hint="eastAsia" w:ascii="宋体" w:hAnsi="宋体" w:eastAsia="宋体" w:cs="宋体"/>
                <w:bCs/>
                <w:color w:val="auto"/>
                <w:szCs w:val="21"/>
                <w:highlight w:val="none"/>
              </w:rPr>
            </w:pPr>
          </w:p>
          <w:p w14:paraId="6C5E0288">
            <w:pPr>
              <w:spacing w:after="0" w:line="240" w:lineRule="auto"/>
              <w:jc w:val="center"/>
              <w:rPr>
                <w:rFonts w:hint="eastAsia" w:ascii="宋体" w:hAnsi="宋体" w:eastAsia="宋体" w:cs="宋体"/>
                <w:bCs/>
                <w:color w:val="auto"/>
                <w:szCs w:val="21"/>
                <w:highlight w:val="none"/>
              </w:rPr>
            </w:pPr>
          </w:p>
          <w:p w14:paraId="35C144D8">
            <w:pPr>
              <w:spacing w:after="0" w:line="240" w:lineRule="auto"/>
              <w:jc w:val="center"/>
              <w:rPr>
                <w:rFonts w:hint="eastAsia" w:ascii="宋体" w:hAnsi="宋体" w:eastAsia="宋体" w:cs="宋体"/>
                <w:bCs/>
                <w:color w:val="auto"/>
                <w:szCs w:val="21"/>
                <w:highlight w:val="none"/>
              </w:rPr>
            </w:pPr>
          </w:p>
          <w:p w14:paraId="2FC14ED8">
            <w:pPr>
              <w:spacing w:after="0" w:line="240" w:lineRule="auto"/>
              <w:jc w:val="center"/>
              <w:rPr>
                <w:rFonts w:hint="eastAsia" w:ascii="宋体" w:hAnsi="宋体" w:eastAsia="宋体" w:cs="宋体"/>
                <w:bCs/>
                <w:color w:val="auto"/>
                <w:szCs w:val="21"/>
                <w:highlight w:val="none"/>
              </w:rPr>
            </w:pPr>
          </w:p>
          <w:p w14:paraId="3AE80EE1">
            <w:pPr>
              <w:spacing w:after="0" w:line="240" w:lineRule="auto"/>
              <w:jc w:val="center"/>
              <w:rPr>
                <w:rFonts w:hint="eastAsia" w:ascii="宋体" w:hAnsi="宋体" w:eastAsia="宋体" w:cs="宋体"/>
                <w:bCs/>
                <w:color w:val="auto"/>
                <w:szCs w:val="21"/>
                <w:highlight w:val="none"/>
              </w:rPr>
            </w:pPr>
          </w:p>
          <w:p w14:paraId="214F8A98">
            <w:pPr>
              <w:spacing w:after="0" w:line="240" w:lineRule="auto"/>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2.2.1.2</w:t>
            </w:r>
          </w:p>
        </w:tc>
        <w:tc>
          <w:tcPr>
            <w:tcW w:w="1224" w:type="dxa"/>
            <w:vMerge w:val="restart"/>
            <w:vAlign w:val="center"/>
          </w:tcPr>
          <w:p w14:paraId="0F6404BF">
            <w:pPr>
              <w:spacing w:after="0" w:line="240" w:lineRule="auto"/>
              <w:jc w:val="center"/>
              <w:rPr>
                <w:rFonts w:hint="eastAsia" w:ascii="宋体" w:hAnsi="宋体" w:eastAsia="宋体" w:cs="宋体"/>
                <w:color w:val="auto"/>
                <w:szCs w:val="21"/>
                <w:highlight w:val="none"/>
              </w:rPr>
            </w:pPr>
          </w:p>
          <w:p w14:paraId="3E2506B5">
            <w:pPr>
              <w:spacing w:after="0" w:line="240" w:lineRule="auto"/>
              <w:jc w:val="center"/>
              <w:rPr>
                <w:rFonts w:hint="eastAsia" w:ascii="宋体" w:hAnsi="宋体" w:eastAsia="宋体" w:cs="宋体"/>
                <w:color w:val="auto"/>
                <w:szCs w:val="21"/>
                <w:highlight w:val="none"/>
              </w:rPr>
            </w:pPr>
          </w:p>
          <w:p w14:paraId="451EAA82">
            <w:pPr>
              <w:spacing w:after="0" w:line="240" w:lineRule="auto"/>
              <w:jc w:val="center"/>
              <w:rPr>
                <w:rFonts w:hint="eastAsia" w:ascii="宋体" w:hAnsi="宋体" w:eastAsia="宋体" w:cs="宋体"/>
                <w:color w:val="auto"/>
                <w:szCs w:val="21"/>
                <w:highlight w:val="none"/>
              </w:rPr>
            </w:pPr>
          </w:p>
          <w:p w14:paraId="0422A2EB">
            <w:pPr>
              <w:spacing w:after="0" w:line="240" w:lineRule="auto"/>
              <w:jc w:val="center"/>
              <w:rPr>
                <w:rFonts w:hint="eastAsia" w:ascii="宋体" w:hAnsi="宋体" w:eastAsia="宋体" w:cs="宋体"/>
                <w:color w:val="auto"/>
                <w:szCs w:val="21"/>
                <w:highlight w:val="none"/>
              </w:rPr>
            </w:pPr>
          </w:p>
          <w:p w14:paraId="1B04D213">
            <w:pPr>
              <w:spacing w:after="0" w:line="240" w:lineRule="auto"/>
              <w:jc w:val="center"/>
              <w:rPr>
                <w:rFonts w:hint="eastAsia" w:ascii="宋体" w:hAnsi="宋体" w:eastAsia="宋体" w:cs="宋体"/>
                <w:color w:val="auto"/>
                <w:szCs w:val="21"/>
                <w:highlight w:val="none"/>
              </w:rPr>
            </w:pPr>
          </w:p>
          <w:p w14:paraId="4849B3C9">
            <w:pPr>
              <w:spacing w:after="0" w:line="240" w:lineRule="auto"/>
              <w:jc w:val="center"/>
              <w:rPr>
                <w:rFonts w:hint="eastAsia" w:ascii="宋体" w:hAnsi="宋体" w:eastAsia="宋体" w:cs="宋体"/>
                <w:color w:val="auto"/>
                <w:szCs w:val="21"/>
                <w:highlight w:val="none"/>
              </w:rPr>
            </w:pPr>
          </w:p>
          <w:p w14:paraId="456802D3">
            <w:pPr>
              <w:spacing w:after="0" w:line="240" w:lineRule="auto"/>
              <w:jc w:val="center"/>
              <w:rPr>
                <w:rFonts w:hint="eastAsia" w:ascii="宋体" w:hAnsi="宋体" w:eastAsia="宋体" w:cs="宋体"/>
                <w:color w:val="auto"/>
                <w:szCs w:val="21"/>
                <w:highlight w:val="none"/>
              </w:rPr>
            </w:pPr>
          </w:p>
          <w:p w14:paraId="51A6B419">
            <w:pPr>
              <w:spacing w:after="0" w:line="240" w:lineRule="auto"/>
              <w:jc w:val="center"/>
              <w:rPr>
                <w:rFonts w:hint="eastAsia" w:ascii="宋体" w:hAnsi="宋体" w:eastAsia="宋体" w:cs="宋体"/>
                <w:color w:val="auto"/>
                <w:szCs w:val="21"/>
                <w:highlight w:val="none"/>
              </w:rPr>
            </w:pPr>
          </w:p>
          <w:p w14:paraId="1A9A7B13">
            <w:pPr>
              <w:spacing w:after="0" w:line="240" w:lineRule="auto"/>
              <w:jc w:val="center"/>
              <w:rPr>
                <w:rFonts w:hint="eastAsia" w:ascii="宋体" w:hAnsi="宋体" w:eastAsia="宋体" w:cs="宋体"/>
                <w:color w:val="auto"/>
                <w:szCs w:val="21"/>
                <w:highlight w:val="none"/>
              </w:rPr>
            </w:pPr>
          </w:p>
          <w:p w14:paraId="30903A7E">
            <w:pPr>
              <w:spacing w:after="0" w:line="240" w:lineRule="auto"/>
              <w:jc w:val="center"/>
              <w:rPr>
                <w:rFonts w:hint="eastAsia" w:ascii="宋体" w:hAnsi="宋体" w:eastAsia="宋体" w:cs="宋体"/>
                <w:color w:val="auto"/>
                <w:szCs w:val="21"/>
                <w:highlight w:val="none"/>
              </w:rPr>
            </w:pPr>
          </w:p>
          <w:p w14:paraId="090AB4C7">
            <w:pPr>
              <w:spacing w:after="0" w:line="240" w:lineRule="auto"/>
              <w:jc w:val="both"/>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技术部分评审标准（满分</w:t>
            </w:r>
            <w:r>
              <w:rPr>
                <w:rFonts w:hint="eastAsia" w:ascii="宋体" w:hAnsi="宋体" w:eastAsia="宋体" w:cs="宋体"/>
                <w:color w:val="auto"/>
                <w:szCs w:val="21"/>
                <w:highlight w:val="none"/>
                <w:lang w:val="en-US" w:eastAsia="zh-CN"/>
              </w:rPr>
              <w:t>100</w:t>
            </w:r>
            <w:r>
              <w:rPr>
                <w:rFonts w:hint="eastAsia" w:ascii="宋体" w:hAnsi="宋体" w:eastAsia="宋体" w:cs="宋体"/>
                <w:color w:val="auto"/>
                <w:szCs w:val="21"/>
                <w:highlight w:val="none"/>
              </w:rPr>
              <w:t>分）</w:t>
            </w:r>
          </w:p>
        </w:tc>
        <w:tc>
          <w:tcPr>
            <w:tcW w:w="2123" w:type="dxa"/>
            <w:vAlign w:val="center"/>
          </w:tcPr>
          <w:p w14:paraId="1BA8D1B0">
            <w:pPr>
              <w:spacing w:after="0" w:line="240" w:lineRule="auto"/>
              <w:jc w:val="center"/>
              <w:rPr>
                <w:rFonts w:hint="eastAsia" w:ascii="宋体" w:hAnsi="宋体" w:eastAsia="宋体" w:cs="宋体"/>
                <w:highlight w:val="none"/>
              </w:rPr>
            </w:pPr>
            <w:r>
              <w:rPr>
                <w:rFonts w:hint="eastAsia" w:ascii="宋体" w:hAnsi="宋体" w:eastAsia="宋体" w:cs="宋体"/>
                <w:highlight w:val="none"/>
              </w:rPr>
              <w:t>本项目施工重点、难点的分析</w:t>
            </w:r>
          </w:p>
          <w:p w14:paraId="4FF7F1BC">
            <w:pPr>
              <w:spacing w:after="0" w:line="240" w:lineRule="auto"/>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w:t>
            </w:r>
            <w:r>
              <w:rPr>
                <w:rFonts w:hint="eastAsia" w:ascii="宋体" w:hAnsi="宋体" w:cs="宋体"/>
                <w:highlight w:val="none"/>
                <w:lang w:val="en-US" w:eastAsia="zh-CN"/>
              </w:rPr>
              <w:t>20</w:t>
            </w:r>
            <w:r>
              <w:rPr>
                <w:rFonts w:hint="eastAsia" w:ascii="宋体" w:hAnsi="宋体" w:eastAsia="宋体" w:cs="宋体"/>
                <w:highlight w:val="none"/>
                <w:lang w:val="en-US" w:eastAsia="zh-CN"/>
              </w:rPr>
              <w:t>分）</w:t>
            </w:r>
          </w:p>
        </w:tc>
        <w:tc>
          <w:tcPr>
            <w:tcW w:w="4417" w:type="dxa"/>
            <w:vAlign w:val="center"/>
          </w:tcPr>
          <w:p w14:paraId="408C3442">
            <w:pPr>
              <w:numPr>
                <w:ilvl w:val="0"/>
                <w:numId w:val="0"/>
              </w:numPr>
              <w:spacing w:after="0"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投标人根据自身的施工经验提出的对本项目的施工难点和施工重点阐述明确且切合本项目的实际情况，能充分对本工程重难点进行分析，且提出切实有效的施工质量和安全保障措施，对项目工程有详细可行的方案及措施的，得</w:t>
            </w:r>
            <w:r>
              <w:rPr>
                <w:rFonts w:hint="eastAsia" w:ascii="宋体" w:hAnsi="宋体" w:cs="宋体"/>
                <w:color w:val="auto"/>
                <w:kern w:val="2"/>
                <w:sz w:val="21"/>
                <w:szCs w:val="21"/>
                <w:highlight w:val="none"/>
                <w:lang w:val="en-US" w:eastAsia="zh-CN" w:bidi="ar-SA"/>
              </w:rPr>
              <w:t>14</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20</w:t>
            </w:r>
            <w:r>
              <w:rPr>
                <w:rFonts w:hint="eastAsia" w:ascii="宋体" w:hAnsi="宋体" w:eastAsia="宋体" w:cs="宋体"/>
                <w:color w:val="auto"/>
                <w:kern w:val="2"/>
                <w:sz w:val="21"/>
                <w:szCs w:val="21"/>
                <w:highlight w:val="none"/>
                <w:lang w:val="en-US" w:eastAsia="zh-CN" w:bidi="ar-SA"/>
              </w:rPr>
              <w:t>分；</w:t>
            </w:r>
          </w:p>
          <w:p w14:paraId="3815D85E">
            <w:pPr>
              <w:numPr>
                <w:ilvl w:val="0"/>
                <w:numId w:val="0"/>
              </w:numPr>
              <w:spacing w:after="0"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（2）对本项目的施工难点和施工重点有阐述，对本工程重难点分析不突出，提出的施工质量和安全保障措施基本可行，对项目工程有方案及措施的，得</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13</w:t>
            </w:r>
            <w:r>
              <w:rPr>
                <w:rFonts w:hint="eastAsia" w:ascii="宋体" w:hAnsi="宋体" w:eastAsia="宋体" w:cs="宋体"/>
                <w:color w:val="auto"/>
                <w:kern w:val="2"/>
                <w:sz w:val="21"/>
                <w:szCs w:val="21"/>
                <w:highlight w:val="none"/>
                <w:lang w:val="en-US" w:eastAsia="zh-CN" w:bidi="ar-SA"/>
              </w:rPr>
              <w:t>分；</w:t>
            </w:r>
          </w:p>
          <w:p w14:paraId="1F905D3C">
            <w:pPr>
              <w:numPr>
                <w:ilvl w:val="0"/>
                <w:numId w:val="0"/>
              </w:numPr>
              <w:spacing w:after="0"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（3）对本项目的施工难点和施工重点有阐述，对本工程重难点分析，未提出施工质量和安全保障措施，未提出对项目工程方案或措施的，得1-</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分；</w:t>
            </w:r>
          </w:p>
          <w:p w14:paraId="105FFD41">
            <w:pPr>
              <w:numPr>
                <w:ilvl w:val="0"/>
                <w:numId w:val="0"/>
              </w:num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SA"/>
              </w:rPr>
              <w:t>（4）无对本项目施工重点、难点的分析的得0分。</w:t>
            </w:r>
          </w:p>
        </w:tc>
      </w:tr>
      <w:tr w14:paraId="64C9AA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34" w:hRule="atLeast"/>
          <w:jc w:val="center"/>
        </w:trPr>
        <w:tc>
          <w:tcPr>
            <w:tcW w:w="1192" w:type="dxa"/>
            <w:gridSpan w:val="2"/>
            <w:vMerge w:val="continue"/>
            <w:vAlign w:val="center"/>
          </w:tcPr>
          <w:p w14:paraId="00F1B4C9">
            <w:pPr>
              <w:spacing w:after="0" w:line="240" w:lineRule="auto"/>
              <w:jc w:val="center"/>
              <w:rPr>
                <w:rFonts w:hint="eastAsia" w:ascii="宋体" w:hAnsi="宋体" w:eastAsia="宋体" w:cs="宋体"/>
                <w:b/>
                <w:color w:val="auto"/>
                <w:szCs w:val="21"/>
                <w:highlight w:val="none"/>
              </w:rPr>
            </w:pPr>
          </w:p>
        </w:tc>
        <w:tc>
          <w:tcPr>
            <w:tcW w:w="1224" w:type="dxa"/>
            <w:vMerge w:val="continue"/>
            <w:vAlign w:val="center"/>
          </w:tcPr>
          <w:p w14:paraId="3DFC58BC">
            <w:pPr>
              <w:spacing w:after="0" w:line="240" w:lineRule="auto"/>
              <w:jc w:val="center"/>
              <w:rPr>
                <w:rFonts w:hint="eastAsia" w:ascii="宋体" w:hAnsi="宋体" w:eastAsia="宋体" w:cs="宋体"/>
                <w:b/>
                <w:color w:val="auto"/>
                <w:szCs w:val="21"/>
                <w:highlight w:val="none"/>
              </w:rPr>
            </w:pPr>
          </w:p>
        </w:tc>
        <w:tc>
          <w:tcPr>
            <w:tcW w:w="2123" w:type="dxa"/>
            <w:vAlign w:val="center"/>
          </w:tcPr>
          <w:p w14:paraId="7DD5DA10">
            <w:pPr>
              <w:spacing w:after="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施工方案及技术措施</w:t>
            </w:r>
          </w:p>
          <w:p w14:paraId="71A6E270">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（20分）</w:t>
            </w:r>
          </w:p>
        </w:tc>
        <w:tc>
          <w:tcPr>
            <w:tcW w:w="4417" w:type="dxa"/>
            <w:vAlign w:val="center"/>
          </w:tcPr>
          <w:p w14:paraId="7F5AD7A6">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（1）施工技术方案合理且能较好地指导施工，施工措施具体且具有针对性，施工部署全面，施工关键技术、主要工序合理可行的，得1</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-20分；</w:t>
            </w:r>
          </w:p>
          <w:p w14:paraId="5058F94B">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（2）施工技术方案基本合理且能指导施工，施工措施具体但针对性一般，施工部署有缺失，施工关键技术、主要工序基本合理可行的，得</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13</w:t>
            </w:r>
            <w:r>
              <w:rPr>
                <w:rFonts w:hint="eastAsia" w:ascii="宋体" w:hAnsi="宋体" w:eastAsia="宋体" w:cs="宋体"/>
                <w:color w:val="auto"/>
                <w:szCs w:val="21"/>
                <w:highlight w:val="none"/>
                <w:lang w:val="en-US" w:eastAsia="zh-CN"/>
              </w:rPr>
              <w:t>分；</w:t>
            </w:r>
          </w:p>
          <w:p w14:paraId="741D4EB8">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（3）施工技术方案一般，基本能指导施工，施工措施无针对性，施工部署有</w:t>
            </w:r>
            <w:r>
              <w:rPr>
                <w:rFonts w:hint="eastAsia" w:ascii="宋体" w:hAnsi="宋体" w:cs="宋体"/>
                <w:color w:val="auto"/>
                <w:szCs w:val="21"/>
                <w:highlight w:val="none"/>
                <w:lang w:val="en-US" w:eastAsia="zh-CN"/>
              </w:rPr>
              <w:t>缺失</w:t>
            </w:r>
            <w:r>
              <w:rPr>
                <w:rFonts w:hint="eastAsia" w:ascii="宋体" w:hAnsi="宋体" w:eastAsia="宋体" w:cs="宋体"/>
                <w:color w:val="auto"/>
                <w:szCs w:val="21"/>
                <w:highlight w:val="none"/>
                <w:lang w:val="en-US" w:eastAsia="zh-CN"/>
              </w:rPr>
              <w:t>较大，施工关键技术、主要工序描述不全的，得</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分；</w:t>
            </w:r>
          </w:p>
          <w:p w14:paraId="6DAEEA76">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（4）无施工方案及技术措施的得0分。</w:t>
            </w:r>
          </w:p>
        </w:tc>
      </w:tr>
      <w:tr w14:paraId="2B6C5C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50" w:hRule="atLeast"/>
          <w:jc w:val="center"/>
        </w:trPr>
        <w:tc>
          <w:tcPr>
            <w:tcW w:w="1192" w:type="dxa"/>
            <w:gridSpan w:val="2"/>
            <w:vMerge w:val="continue"/>
            <w:vAlign w:val="center"/>
          </w:tcPr>
          <w:p w14:paraId="1EE83CBD">
            <w:pPr>
              <w:spacing w:after="0" w:line="240" w:lineRule="auto"/>
              <w:jc w:val="center"/>
              <w:rPr>
                <w:rFonts w:hint="eastAsia" w:ascii="宋体" w:hAnsi="宋体" w:eastAsia="宋体" w:cs="宋体"/>
                <w:bCs/>
                <w:color w:val="auto"/>
                <w:szCs w:val="21"/>
                <w:highlight w:val="none"/>
              </w:rPr>
            </w:pPr>
          </w:p>
        </w:tc>
        <w:tc>
          <w:tcPr>
            <w:tcW w:w="1224" w:type="dxa"/>
            <w:vMerge w:val="continue"/>
            <w:vAlign w:val="center"/>
          </w:tcPr>
          <w:p w14:paraId="0CEAD214">
            <w:pPr>
              <w:spacing w:after="0" w:line="240" w:lineRule="auto"/>
              <w:jc w:val="center"/>
              <w:rPr>
                <w:rFonts w:hint="eastAsia" w:ascii="宋体" w:hAnsi="宋体" w:eastAsia="宋体" w:cs="宋体"/>
                <w:color w:val="auto"/>
                <w:szCs w:val="21"/>
                <w:highlight w:val="none"/>
              </w:rPr>
            </w:pPr>
          </w:p>
        </w:tc>
        <w:tc>
          <w:tcPr>
            <w:tcW w:w="2123" w:type="dxa"/>
            <w:vAlign w:val="center"/>
          </w:tcPr>
          <w:p w14:paraId="619BFD0B">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质量承诺及保证措施（</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分）</w:t>
            </w:r>
          </w:p>
        </w:tc>
        <w:tc>
          <w:tcPr>
            <w:tcW w:w="4417" w:type="dxa"/>
            <w:vAlign w:val="center"/>
          </w:tcPr>
          <w:p w14:paraId="6091E712">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工作</w:t>
            </w:r>
            <w:r>
              <w:rPr>
                <w:rFonts w:hint="eastAsia" w:ascii="宋体" w:hAnsi="宋体" w:eastAsia="宋体" w:cs="宋体"/>
                <w:color w:val="auto"/>
                <w:szCs w:val="21"/>
                <w:highlight w:val="none"/>
              </w:rPr>
              <w:t>质量保证体系健全，工作程序清晰，安排科学，保证措施有力，有具体的质量违约责任承诺得</w:t>
            </w:r>
            <w:r>
              <w:rPr>
                <w:rFonts w:hint="eastAsia" w:ascii="宋体" w:hAnsi="宋体" w:eastAsia="宋体" w:cs="宋体"/>
                <w:color w:val="auto"/>
                <w:szCs w:val="21"/>
                <w:highlight w:val="none"/>
                <w:lang w:val="en-US" w:eastAsia="zh-CN"/>
              </w:rPr>
              <w:t>11-15</w:t>
            </w:r>
            <w:r>
              <w:rPr>
                <w:rFonts w:hint="eastAsia" w:ascii="宋体" w:hAnsi="宋体" w:eastAsia="宋体" w:cs="宋体"/>
                <w:color w:val="auto"/>
                <w:szCs w:val="21"/>
                <w:highlight w:val="none"/>
              </w:rPr>
              <w:t>分；</w:t>
            </w:r>
          </w:p>
          <w:p w14:paraId="0150D309">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工作</w:t>
            </w:r>
            <w:r>
              <w:rPr>
                <w:rFonts w:hint="eastAsia" w:ascii="宋体" w:hAnsi="宋体" w:eastAsia="宋体" w:cs="宋体"/>
                <w:color w:val="auto"/>
                <w:szCs w:val="21"/>
                <w:highlight w:val="none"/>
              </w:rPr>
              <w:t>质量保证体系健全，工作程序清晰，安排基本合理，保证措施基本合理，有质量违约责任承诺但不具体得</w:t>
            </w:r>
            <w:r>
              <w:rPr>
                <w:rFonts w:hint="eastAsia" w:ascii="宋体" w:hAnsi="宋体" w:eastAsia="宋体" w:cs="宋体"/>
                <w:color w:val="auto"/>
                <w:szCs w:val="21"/>
                <w:highlight w:val="none"/>
                <w:lang w:val="en-US" w:eastAsia="zh-CN"/>
              </w:rPr>
              <w:t>6-10</w:t>
            </w:r>
            <w:r>
              <w:rPr>
                <w:rFonts w:hint="eastAsia" w:ascii="宋体" w:hAnsi="宋体" w:eastAsia="宋体" w:cs="宋体"/>
                <w:color w:val="auto"/>
                <w:szCs w:val="21"/>
                <w:highlight w:val="none"/>
              </w:rPr>
              <w:t>分；</w:t>
            </w:r>
          </w:p>
          <w:p w14:paraId="64DA6B6D">
            <w:pPr>
              <w:spacing w:after="0"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工作</w:t>
            </w:r>
            <w:r>
              <w:rPr>
                <w:rFonts w:hint="eastAsia" w:ascii="宋体" w:hAnsi="宋体" w:eastAsia="宋体" w:cs="宋体"/>
                <w:color w:val="auto"/>
                <w:szCs w:val="21"/>
                <w:highlight w:val="none"/>
              </w:rPr>
              <w:t>质量保证体系一般，工作程序清晰，安排基本合理，保证措施基本合理，无质量违约责任承诺得1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p>
          <w:p w14:paraId="6172113D">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（4）无</w:t>
            </w:r>
            <w:r>
              <w:rPr>
                <w:rFonts w:hint="eastAsia" w:ascii="宋体" w:hAnsi="宋体" w:eastAsia="宋体" w:cs="宋体"/>
                <w:color w:val="auto"/>
                <w:szCs w:val="21"/>
                <w:highlight w:val="none"/>
                <w:lang w:val="en-US" w:eastAsia="zh-CN"/>
              </w:rPr>
              <w:t>工作</w:t>
            </w:r>
            <w:r>
              <w:rPr>
                <w:rFonts w:hint="eastAsia" w:ascii="宋体" w:hAnsi="宋体" w:eastAsia="宋体" w:cs="宋体"/>
                <w:color w:val="auto"/>
                <w:szCs w:val="21"/>
                <w:highlight w:val="none"/>
              </w:rPr>
              <w:t>质量承诺及保证措施的得0分。</w:t>
            </w:r>
          </w:p>
        </w:tc>
      </w:tr>
      <w:tr w14:paraId="4A3003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98" w:hRule="atLeast"/>
          <w:jc w:val="center"/>
        </w:trPr>
        <w:tc>
          <w:tcPr>
            <w:tcW w:w="1192" w:type="dxa"/>
            <w:gridSpan w:val="2"/>
            <w:vMerge w:val="continue"/>
            <w:vAlign w:val="center"/>
          </w:tcPr>
          <w:p w14:paraId="65DF53B4">
            <w:pPr>
              <w:spacing w:after="0" w:line="240" w:lineRule="auto"/>
              <w:jc w:val="center"/>
              <w:rPr>
                <w:rFonts w:hint="eastAsia" w:ascii="宋体" w:hAnsi="宋体" w:eastAsia="宋体" w:cs="宋体"/>
                <w:b/>
                <w:color w:val="auto"/>
                <w:szCs w:val="21"/>
                <w:highlight w:val="none"/>
              </w:rPr>
            </w:pPr>
          </w:p>
        </w:tc>
        <w:tc>
          <w:tcPr>
            <w:tcW w:w="1224" w:type="dxa"/>
            <w:vMerge w:val="continue"/>
            <w:vAlign w:val="center"/>
          </w:tcPr>
          <w:p w14:paraId="08831FDC">
            <w:pPr>
              <w:spacing w:after="0" w:line="240" w:lineRule="auto"/>
              <w:jc w:val="center"/>
              <w:rPr>
                <w:rFonts w:hint="eastAsia" w:ascii="宋体" w:hAnsi="宋体" w:eastAsia="宋体" w:cs="宋体"/>
                <w:b/>
                <w:color w:val="auto"/>
                <w:szCs w:val="21"/>
                <w:highlight w:val="none"/>
              </w:rPr>
            </w:pPr>
          </w:p>
        </w:tc>
        <w:tc>
          <w:tcPr>
            <w:tcW w:w="2123" w:type="dxa"/>
            <w:vAlign w:val="center"/>
          </w:tcPr>
          <w:p w14:paraId="34326492">
            <w:pPr>
              <w:spacing w:after="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进度计划安排及工期保证措施</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分）</w:t>
            </w:r>
          </w:p>
        </w:tc>
        <w:tc>
          <w:tcPr>
            <w:tcW w:w="4417" w:type="dxa"/>
            <w:vAlign w:val="center"/>
          </w:tcPr>
          <w:p w14:paraId="33375CB1">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（1）总工期及节点工期满足招标文件要求，施工进度计划内容全面，线路清晰、准确、完整，计划编制合理、可行；措施有力、合理、可行的，得11-15分；</w:t>
            </w:r>
          </w:p>
          <w:p w14:paraId="03EBF96A">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（2）总工期及节点工期满足招标文件要求，施工进度计划内容较全面，线路较清晰，计划编制较合理；措施可行的，得6-10分；</w:t>
            </w:r>
          </w:p>
          <w:p w14:paraId="4492A44F">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（3）总工期及节点工期满足招标文件要求，施工进度计划内容基本全面，线路基本清晰，计划编制基本合理；措施基本可行的，得1-5分。</w:t>
            </w:r>
          </w:p>
          <w:p w14:paraId="34A9AFE1">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（4）无</w:t>
            </w:r>
            <w:r>
              <w:rPr>
                <w:rFonts w:hint="eastAsia" w:ascii="宋体" w:hAnsi="宋体" w:eastAsia="宋体" w:cs="宋体"/>
                <w:color w:val="auto"/>
                <w:szCs w:val="21"/>
                <w:highlight w:val="none"/>
                <w:lang w:val="en-US" w:eastAsia="zh-CN"/>
              </w:rPr>
              <w:t>工作进度计划安排及工期保证措施</w:t>
            </w:r>
            <w:r>
              <w:rPr>
                <w:rFonts w:hint="eastAsia" w:ascii="宋体" w:hAnsi="宋体" w:eastAsia="宋体" w:cs="宋体"/>
                <w:color w:val="auto"/>
                <w:szCs w:val="21"/>
                <w:highlight w:val="none"/>
              </w:rPr>
              <w:t>的得0分。</w:t>
            </w:r>
          </w:p>
        </w:tc>
      </w:tr>
      <w:tr w14:paraId="0ACBC3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2" w:hRule="atLeast"/>
          <w:jc w:val="center"/>
        </w:trPr>
        <w:tc>
          <w:tcPr>
            <w:tcW w:w="1192" w:type="dxa"/>
            <w:gridSpan w:val="2"/>
            <w:vMerge w:val="continue"/>
            <w:vAlign w:val="center"/>
          </w:tcPr>
          <w:p w14:paraId="111C2EDF">
            <w:pPr>
              <w:spacing w:after="0" w:line="240" w:lineRule="auto"/>
              <w:jc w:val="center"/>
              <w:rPr>
                <w:rFonts w:hint="eastAsia" w:ascii="宋体" w:hAnsi="宋体" w:eastAsia="宋体" w:cs="宋体"/>
                <w:b/>
                <w:color w:val="auto"/>
                <w:szCs w:val="21"/>
                <w:highlight w:val="none"/>
              </w:rPr>
            </w:pPr>
          </w:p>
        </w:tc>
        <w:tc>
          <w:tcPr>
            <w:tcW w:w="1224" w:type="dxa"/>
            <w:vMerge w:val="continue"/>
            <w:vAlign w:val="center"/>
          </w:tcPr>
          <w:p w14:paraId="501501BB">
            <w:pPr>
              <w:spacing w:after="0" w:line="240" w:lineRule="auto"/>
              <w:jc w:val="center"/>
              <w:rPr>
                <w:rFonts w:hint="eastAsia" w:ascii="宋体" w:hAnsi="宋体" w:eastAsia="宋体" w:cs="宋体"/>
                <w:b/>
                <w:color w:val="auto"/>
                <w:szCs w:val="21"/>
                <w:highlight w:val="none"/>
              </w:rPr>
            </w:pPr>
          </w:p>
        </w:tc>
        <w:tc>
          <w:tcPr>
            <w:tcW w:w="2123" w:type="dxa"/>
            <w:vAlign w:val="center"/>
          </w:tcPr>
          <w:p w14:paraId="4955EAFE">
            <w:pPr>
              <w:spacing w:after="0" w:line="240" w:lineRule="auto"/>
              <w:jc w:val="center"/>
              <w:rPr>
                <w:rFonts w:hint="eastAsia" w:ascii="宋体" w:hAnsi="宋体" w:eastAsia="宋体" w:cs="宋体"/>
                <w:highlight w:val="none"/>
                <w:lang w:val="en-US" w:eastAsia="zh-CN"/>
              </w:rPr>
            </w:pPr>
          </w:p>
          <w:p w14:paraId="1A908276">
            <w:pPr>
              <w:spacing w:after="0" w:line="240" w:lineRule="auto"/>
              <w:jc w:val="center"/>
              <w:rPr>
                <w:rFonts w:hint="eastAsia" w:ascii="宋体" w:hAnsi="宋体" w:eastAsia="宋体" w:cs="宋体"/>
                <w:highlight w:val="none"/>
                <w:lang w:val="en-US" w:eastAsia="zh-CN"/>
              </w:rPr>
            </w:pPr>
          </w:p>
          <w:p w14:paraId="07CE353D">
            <w:pPr>
              <w:spacing w:after="0" w:line="240" w:lineRule="auto"/>
              <w:jc w:val="center"/>
              <w:rPr>
                <w:rFonts w:hint="eastAsia" w:ascii="宋体" w:hAnsi="宋体" w:eastAsia="宋体" w:cs="宋体"/>
                <w:highlight w:val="none"/>
                <w:lang w:val="en-US" w:eastAsia="zh-CN"/>
              </w:rPr>
            </w:pPr>
          </w:p>
          <w:p w14:paraId="5546440C">
            <w:pPr>
              <w:spacing w:after="0" w:line="240" w:lineRule="auto"/>
              <w:jc w:val="center"/>
              <w:rPr>
                <w:rFonts w:hint="eastAsia" w:ascii="宋体" w:hAnsi="宋体" w:eastAsia="宋体" w:cs="宋体"/>
                <w:highlight w:val="none"/>
                <w:lang w:val="en-US" w:eastAsia="zh-CN"/>
              </w:rPr>
            </w:pPr>
          </w:p>
          <w:p w14:paraId="1298F1C7">
            <w:pPr>
              <w:spacing w:after="0" w:line="240" w:lineRule="auto"/>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资源配备计划</w:t>
            </w:r>
          </w:p>
          <w:p w14:paraId="2651CD87">
            <w:pPr>
              <w:pStyle w:val="3"/>
              <w:spacing w:line="240" w:lineRule="auto"/>
              <w:rPr>
                <w:rFonts w:hint="eastAsia" w:ascii="宋体" w:hAnsi="宋体" w:eastAsia="宋体" w:cs="宋体"/>
                <w:highlight w:val="none"/>
                <w:lang w:val="en-US" w:eastAsia="zh-CN"/>
              </w:rPr>
            </w:pPr>
            <w:r>
              <w:rPr>
                <w:rFonts w:hint="eastAsia" w:ascii="宋体" w:hAnsi="宋体" w:eastAsia="宋体" w:cs="宋体"/>
                <w:b w:val="0"/>
                <w:bCs w:val="0"/>
                <w:kern w:val="2"/>
                <w:sz w:val="21"/>
                <w:szCs w:val="24"/>
                <w:highlight w:val="none"/>
                <w:lang w:val="en-US" w:eastAsia="zh-CN" w:bidi="ar-SA"/>
              </w:rPr>
              <w:t>（10分）</w:t>
            </w:r>
          </w:p>
        </w:tc>
        <w:tc>
          <w:tcPr>
            <w:tcW w:w="4417" w:type="dxa"/>
            <w:vAlign w:val="center"/>
          </w:tcPr>
          <w:p w14:paraId="008FF10D">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（1）劳动力计划、周转材料计划、施工机具计划、主要材料一次性需用量计划等资源投入计划与施工部署、施工方法及进度计划呼应，很好地满足施工需要，调配投入计划合理、准确全面的，得</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分；</w:t>
            </w:r>
          </w:p>
          <w:p w14:paraId="6B1F0FAB">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（2）劳动力计划、周转材料计划、施工机具计划、主要材料一次性需用量计划等资源投入计划与施工部署、施工方法及进度计划呼应，较好地满足施工需要，调配投入计划合理的，得</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分；</w:t>
            </w:r>
          </w:p>
          <w:p w14:paraId="20624D7A">
            <w:pPr>
              <w:spacing w:after="0"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（3）劳动力计划、周转材料计划、施工机具计划、主要材料一次性需用量计划等资源投入计划与施工部署、施工方法及进度计划基本满足施工需要，调配投入计划基本合理的，得1-</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分；</w:t>
            </w:r>
          </w:p>
          <w:p w14:paraId="489AFB39">
            <w:pPr>
              <w:spacing w:after="0" w:line="240" w:lineRule="auto"/>
              <w:rPr>
                <w:rFonts w:hint="eastAsia" w:ascii="宋体" w:hAnsi="宋体" w:eastAsia="宋体" w:cs="宋体"/>
                <w:highlight w:val="none"/>
              </w:rPr>
            </w:pPr>
            <w:r>
              <w:rPr>
                <w:rFonts w:hint="eastAsia" w:ascii="宋体" w:hAnsi="宋体" w:eastAsia="宋体" w:cs="宋体"/>
                <w:color w:val="auto"/>
                <w:szCs w:val="21"/>
                <w:highlight w:val="none"/>
                <w:lang w:val="en-US" w:eastAsia="zh-CN"/>
              </w:rPr>
              <w:t>（4）无工作资源配备计划的得0分。</w:t>
            </w:r>
          </w:p>
        </w:tc>
      </w:tr>
      <w:tr w14:paraId="3DFCB1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92" w:type="dxa"/>
            <w:gridSpan w:val="2"/>
            <w:vMerge w:val="continue"/>
            <w:vAlign w:val="center"/>
          </w:tcPr>
          <w:p w14:paraId="78B0A8BA">
            <w:pPr>
              <w:spacing w:after="0" w:line="240" w:lineRule="auto"/>
              <w:jc w:val="center"/>
              <w:rPr>
                <w:rFonts w:hint="eastAsia" w:ascii="宋体" w:hAnsi="宋体" w:eastAsia="宋体" w:cs="宋体"/>
                <w:b/>
                <w:color w:val="auto"/>
                <w:szCs w:val="21"/>
                <w:highlight w:val="none"/>
              </w:rPr>
            </w:pPr>
          </w:p>
        </w:tc>
        <w:tc>
          <w:tcPr>
            <w:tcW w:w="1224" w:type="dxa"/>
            <w:vMerge w:val="continue"/>
            <w:vAlign w:val="center"/>
          </w:tcPr>
          <w:p w14:paraId="554331A4">
            <w:pPr>
              <w:spacing w:after="0" w:line="240" w:lineRule="auto"/>
              <w:jc w:val="center"/>
              <w:rPr>
                <w:rFonts w:hint="eastAsia" w:ascii="宋体" w:hAnsi="宋体" w:eastAsia="宋体" w:cs="宋体"/>
                <w:b/>
                <w:color w:val="auto"/>
                <w:szCs w:val="21"/>
                <w:highlight w:val="none"/>
              </w:rPr>
            </w:pPr>
          </w:p>
        </w:tc>
        <w:tc>
          <w:tcPr>
            <w:tcW w:w="2123" w:type="dxa"/>
            <w:vAlign w:val="center"/>
          </w:tcPr>
          <w:p w14:paraId="60D930F2">
            <w:pPr>
              <w:spacing w:after="0" w:line="24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highlight w:val="none"/>
                <w:lang w:val="en-US" w:eastAsia="zh-CN"/>
              </w:rPr>
              <w:t>安全文明施工目标及违约承诺（10分）</w:t>
            </w:r>
          </w:p>
        </w:tc>
        <w:tc>
          <w:tcPr>
            <w:tcW w:w="4417" w:type="dxa"/>
            <w:vAlign w:val="center"/>
          </w:tcPr>
          <w:p w14:paraId="643E37C9">
            <w:pPr>
              <w:pStyle w:val="62"/>
              <w:keepNext w:val="0"/>
              <w:keepLines w:val="0"/>
              <w:pageBreakBefore w:val="0"/>
              <w:widowControl/>
              <w:kinsoku/>
              <w:wordWrap w:val="0"/>
              <w:overflowPunct/>
              <w:topLinePunct w:val="0"/>
              <w:autoSpaceDE/>
              <w:autoSpaceDN/>
              <w:bidi w:val="0"/>
              <w:adjustRightInd w:val="0"/>
              <w:spacing w:before="0" w:line="24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（1）有具体、完整、可行的安全文明施工实施保证措施且合理、先进、针对性强，且有具体违约承诺的，得</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-10分；</w:t>
            </w:r>
          </w:p>
          <w:p w14:paraId="082DED79">
            <w:pPr>
              <w:pStyle w:val="62"/>
              <w:keepNext w:val="0"/>
              <w:keepLines w:val="0"/>
              <w:pageBreakBefore w:val="0"/>
              <w:widowControl/>
              <w:kinsoku/>
              <w:wordWrap w:val="0"/>
              <w:overflowPunct/>
              <w:topLinePunct w:val="0"/>
              <w:autoSpaceDE/>
              <w:autoSpaceDN/>
              <w:bidi w:val="0"/>
              <w:adjustRightInd w:val="0"/>
              <w:spacing w:before="0" w:line="24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（2）有基本具体、可行的安全文明施工实施保证措施的，得4-</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分；</w:t>
            </w:r>
          </w:p>
          <w:p w14:paraId="1AC365A9">
            <w:pPr>
              <w:spacing w:after="0" w:line="240" w:lineRule="auto"/>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（3）有安全文明施工保证措施，但不具体存有错漏的，得0-3分。</w:t>
            </w:r>
          </w:p>
        </w:tc>
      </w:tr>
      <w:tr w14:paraId="1E929E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94" w:hRule="atLeast"/>
          <w:jc w:val="center"/>
        </w:trPr>
        <w:tc>
          <w:tcPr>
            <w:tcW w:w="1192" w:type="dxa"/>
            <w:gridSpan w:val="2"/>
            <w:vMerge w:val="continue"/>
            <w:vAlign w:val="center"/>
          </w:tcPr>
          <w:p w14:paraId="4D7A1B7C">
            <w:pPr>
              <w:spacing w:after="0" w:line="240" w:lineRule="auto"/>
              <w:jc w:val="center"/>
              <w:rPr>
                <w:rFonts w:hint="eastAsia" w:ascii="宋体" w:hAnsi="宋体" w:eastAsia="宋体" w:cs="宋体"/>
                <w:b/>
                <w:color w:val="auto"/>
                <w:szCs w:val="21"/>
                <w:highlight w:val="none"/>
              </w:rPr>
            </w:pPr>
          </w:p>
        </w:tc>
        <w:tc>
          <w:tcPr>
            <w:tcW w:w="1224" w:type="dxa"/>
            <w:vMerge w:val="continue"/>
            <w:vAlign w:val="center"/>
          </w:tcPr>
          <w:p w14:paraId="718B8CD0">
            <w:pPr>
              <w:spacing w:after="0" w:line="240" w:lineRule="auto"/>
              <w:jc w:val="center"/>
              <w:rPr>
                <w:rFonts w:hint="eastAsia" w:ascii="宋体" w:hAnsi="宋体" w:eastAsia="宋体" w:cs="宋体"/>
                <w:b/>
                <w:color w:val="auto"/>
                <w:szCs w:val="21"/>
                <w:highlight w:val="none"/>
              </w:rPr>
            </w:pPr>
          </w:p>
        </w:tc>
        <w:tc>
          <w:tcPr>
            <w:tcW w:w="2123" w:type="dxa"/>
            <w:vAlign w:val="center"/>
          </w:tcPr>
          <w:p w14:paraId="12530102">
            <w:pPr>
              <w:spacing w:after="0" w:line="240" w:lineRule="auto"/>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项目管理机构配置</w:t>
            </w:r>
          </w:p>
          <w:p w14:paraId="19236991">
            <w:pPr>
              <w:spacing w:after="0" w:line="240" w:lineRule="auto"/>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（10分）</w:t>
            </w:r>
          </w:p>
        </w:tc>
        <w:tc>
          <w:tcPr>
            <w:tcW w:w="4417" w:type="dxa"/>
            <w:vAlign w:val="center"/>
          </w:tcPr>
          <w:p w14:paraId="7D8AF14F">
            <w:pPr>
              <w:pStyle w:val="62"/>
              <w:keepNext w:val="0"/>
              <w:keepLines w:val="0"/>
              <w:pageBreakBefore w:val="0"/>
              <w:widowControl/>
              <w:kinsoku/>
              <w:wordWrap w:val="0"/>
              <w:overflowPunct/>
              <w:topLinePunct w:val="0"/>
              <w:autoSpaceDE/>
              <w:autoSpaceDN/>
              <w:bidi w:val="0"/>
              <w:adjustRightInd w:val="0"/>
              <w:spacing w:before="0" w:line="240" w:lineRule="auto"/>
              <w:jc w:val="both"/>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项目管理机构人员满足招标文件现场人员配备要求的基本分8分：</w:t>
            </w:r>
          </w:p>
          <w:p w14:paraId="28BA34E5">
            <w:pPr>
              <w:pStyle w:val="62"/>
              <w:keepNext w:val="0"/>
              <w:keepLines w:val="0"/>
              <w:pageBreakBefore w:val="0"/>
              <w:widowControl/>
              <w:numPr>
                <w:ilvl w:val="0"/>
                <w:numId w:val="3"/>
              </w:numPr>
              <w:kinsoku/>
              <w:wordWrap w:val="0"/>
              <w:overflowPunct/>
              <w:topLinePunct w:val="0"/>
              <w:autoSpaceDE/>
              <w:autoSpaceDN/>
              <w:bidi w:val="0"/>
              <w:adjustRightInd w:val="0"/>
              <w:spacing w:before="0" w:line="240" w:lineRule="auto"/>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项目负责人具备水利工程相关专业高级职称的加1分；</w:t>
            </w:r>
          </w:p>
          <w:p w14:paraId="14C054A9">
            <w:pPr>
              <w:pStyle w:val="62"/>
              <w:keepNext w:val="0"/>
              <w:keepLines w:val="0"/>
              <w:pageBreakBefore w:val="0"/>
              <w:widowControl/>
              <w:numPr>
                <w:ilvl w:val="0"/>
                <w:numId w:val="3"/>
              </w:numPr>
              <w:kinsoku/>
              <w:wordWrap w:val="0"/>
              <w:overflowPunct/>
              <w:topLinePunct w:val="0"/>
              <w:autoSpaceDE/>
              <w:autoSpaceDN/>
              <w:bidi w:val="0"/>
              <w:adjustRightInd w:val="0"/>
              <w:spacing w:before="0" w:line="240" w:lineRule="auto"/>
              <w:jc w:val="both"/>
              <w:textAlignment w:val="auto"/>
              <w:rPr>
                <w:rFonts w:hint="default"/>
                <w:highlight w:val="none"/>
                <w:lang w:val="en-US" w:eastAsia="zh-CN"/>
              </w:rPr>
            </w:pPr>
            <w:r>
              <w:rPr>
                <w:rFonts w:hint="eastAsia" w:ascii="宋体" w:hAnsi="宋体" w:cs="宋体"/>
                <w:color w:val="auto"/>
                <w:kern w:val="2"/>
                <w:sz w:val="21"/>
                <w:szCs w:val="21"/>
                <w:highlight w:val="none"/>
                <w:lang w:val="en-US" w:eastAsia="zh-CN" w:bidi="ar-SA"/>
              </w:rPr>
              <w:t>技术负责人具备水利工程相关专业高级职称的加1分</w:t>
            </w:r>
            <w:r>
              <w:rPr>
                <w:rFonts w:hint="eastAsia" w:ascii="宋体" w:hAnsi="宋体" w:eastAsia="宋体" w:cs="宋体"/>
                <w:color w:val="auto"/>
                <w:kern w:val="2"/>
                <w:sz w:val="21"/>
                <w:szCs w:val="21"/>
                <w:highlight w:val="none"/>
                <w:lang w:val="en-US" w:eastAsia="zh-CN" w:bidi="ar-SA"/>
              </w:rPr>
              <w:t>。</w:t>
            </w:r>
          </w:p>
          <w:p w14:paraId="54A5ECD6">
            <w:pPr>
              <w:rPr>
                <w:rFonts w:hint="default"/>
                <w:highlight w:val="none"/>
                <w:lang w:val="en-US" w:eastAsia="zh-CN"/>
              </w:rPr>
            </w:pPr>
            <w:r>
              <w:rPr>
                <w:rFonts w:hint="eastAsia" w:ascii="宋体" w:hAnsi="宋体" w:eastAsia="宋体" w:cs="宋体"/>
                <w:color w:val="auto"/>
                <w:kern w:val="2"/>
                <w:sz w:val="21"/>
                <w:szCs w:val="21"/>
                <w:highlight w:val="none"/>
                <w:lang w:val="en-US" w:eastAsia="zh-CN" w:bidi="ar-SA"/>
              </w:rPr>
              <w:t>分数加满为止。</w:t>
            </w:r>
          </w:p>
        </w:tc>
      </w:tr>
      <w:tr w14:paraId="2E1048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8956" w:type="dxa"/>
            <w:gridSpan w:val="5"/>
            <w:vAlign w:val="center"/>
          </w:tcPr>
          <w:p w14:paraId="2D72E206">
            <w:pPr>
              <w:spacing w:after="0"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注：技术部分评分中投标人的最终技术部分得分为各评委算术平均值（保留小数点后两位）</w:t>
            </w:r>
            <w:r>
              <w:rPr>
                <w:rFonts w:hint="eastAsia" w:ascii="宋体" w:hAnsi="宋体" w:cs="宋体"/>
                <w:b/>
                <w:color w:val="auto"/>
                <w:szCs w:val="21"/>
                <w:highlight w:val="none"/>
                <w:lang w:eastAsia="zh-CN"/>
              </w:rPr>
              <w:t>，</w:t>
            </w:r>
            <w:r>
              <w:rPr>
                <w:rFonts w:hint="eastAsia" w:ascii="宋体" w:hAnsi="宋体" w:eastAsia="宋体" w:cs="宋体"/>
                <w:b/>
                <w:color w:val="auto"/>
                <w:szCs w:val="21"/>
                <w:highlight w:val="none"/>
              </w:rPr>
              <w:t>各评标委员会成员应自主评分并签字确认。各评标委员会成员的评分应在评标委员会进行公示，某个评标委员会成员对某投标文件评分分值低于（高于）所有评标委员会成员对该投标文件评分分值去掉一个最高和一个最低分值的平均分值10分以上（含10分）的，该评标委员会成员须向评标委员会作出明确解释，理由不充分的该评标委员会成员应对其评分作修正，若拒不修正的，该评标委员会成员对此投标文件的评分不得参与计算此投标文件的技术部分得分。</w:t>
            </w:r>
          </w:p>
        </w:tc>
      </w:tr>
    </w:tbl>
    <w:p w14:paraId="7AFF77D4">
      <w:pPr>
        <w:pStyle w:val="37"/>
        <w:rPr>
          <w:rFonts w:hint="eastAsia" w:ascii="宋体" w:hAnsi="宋体" w:eastAsia="宋体" w:cs="宋体"/>
          <w:highlight w:val="none"/>
        </w:rPr>
        <w:sectPr>
          <w:footerReference r:id="rId6" w:type="first"/>
          <w:footerReference r:id="rId5" w:type="default"/>
          <w:pgSz w:w="11906" w:h="16838"/>
          <w:pgMar w:top="1417" w:right="1134" w:bottom="1417" w:left="1134" w:header="851" w:footer="992" w:gutter="0"/>
          <w:pgNumType w:fmt="decimal" w:start="1"/>
          <w:cols w:space="708" w:num="1"/>
          <w:titlePg/>
          <w:docGrid w:type="lines" w:linePitch="312" w:charSpace="0"/>
        </w:sectPr>
      </w:pPr>
    </w:p>
    <w:bookmarkEnd w:id="284"/>
    <w:bookmarkEnd w:id="285"/>
    <w:p w14:paraId="7378150B">
      <w:pPr>
        <w:pStyle w:val="3"/>
        <w:keepLines w:val="0"/>
        <w:widowControl/>
        <w:spacing w:before="0" w:after="0" w:line="360" w:lineRule="auto"/>
        <w:ind w:left="478" w:hanging="479" w:hangingChars="199"/>
        <w:jc w:val="center"/>
        <w:rPr>
          <w:rFonts w:hint="eastAsia" w:ascii="宋体" w:hAnsi="宋体" w:eastAsia="宋体" w:cs="宋体"/>
          <w:b/>
          <w:bCs/>
          <w:iCs/>
          <w:color w:val="auto"/>
          <w:kern w:val="0"/>
          <w:sz w:val="24"/>
          <w:szCs w:val="24"/>
          <w:highlight w:val="none"/>
          <w:lang w:bidi="en-US"/>
        </w:rPr>
      </w:pPr>
      <w:bookmarkStart w:id="286" w:name="_Toc26846"/>
      <w:bookmarkStart w:id="287" w:name="_Toc20837_WPSOffice_Level2"/>
      <w:bookmarkStart w:id="288" w:name="_Toc18961_WPSOffice_Level2"/>
      <w:r>
        <w:rPr>
          <w:rFonts w:hint="eastAsia" w:ascii="宋体" w:hAnsi="宋体" w:eastAsia="宋体" w:cs="宋体"/>
          <w:b/>
          <w:bCs/>
          <w:iCs/>
          <w:color w:val="auto"/>
          <w:kern w:val="0"/>
          <w:sz w:val="24"/>
          <w:szCs w:val="24"/>
          <w:highlight w:val="none"/>
          <w:lang w:val="en-US" w:eastAsia="zh-CN" w:bidi="en-US"/>
        </w:rPr>
        <w:t>二、</w:t>
      </w:r>
      <w:r>
        <w:rPr>
          <w:rFonts w:hint="eastAsia" w:ascii="宋体" w:hAnsi="宋体" w:eastAsia="宋体" w:cs="宋体"/>
          <w:b/>
          <w:bCs/>
          <w:iCs/>
          <w:color w:val="auto"/>
          <w:kern w:val="0"/>
          <w:sz w:val="24"/>
          <w:szCs w:val="24"/>
          <w:highlight w:val="none"/>
          <w:lang w:val="en-US" w:bidi="en-US"/>
        </w:rPr>
        <w:t>评标办法正文</w:t>
      </w:r>
      <w:bookmarkEnd w:id="286"/>
    </w:p>
    <w:p w14:paraId="038D295E">
      <w:pPr>
        <w:snapToGrid w:val="0"/>
        <w:spacing w:after="0" w:line="360" w:lineRule="auto"/>
        <w:outlineLvl w:val="2"/>
        <w:rPr>
          <w:rFonts w:hint="eastAsia" w:ascii="宋体" w:hAnsi="宋体" w:eastAsia="宋体" w:cs="宋体"/>
          <w:b/>
          <w:bCs/>
          <w:color w:val="auto"/>
          <w:sz w:val="22"/>
          <w:szCs w:val="22"/>
          <w:highlight w:val="none"/>
        </w:rPr>
      </w:pPr>
      <w:bookmarkStart w:id="289" w:name="_Toc11653"/>
      <w:bookmarkStart w:id="290" w:name="_Toc20532"/>
      <w:r>
        <w:rPr>
          <w:rFonts w:hint="eastAsia" w:ascii="宋体" w:hAnsi="宋体" w:eastAsia="宋体" w:cs="宋体"/>
          <w:b/>
          <w:bCs/>
          <w:color w:val="auto"/>
          <w:sz w:val="22"/>
          <w:szCs w:val="22"/>
          <w:highlight w:val="none"/>
        </w:rPr>
        <w:t>1. 评标方法</w:t>
      </w:r>
      <w:bookmarkEnd w:id="289"/>
      <w:bookmarkEnd w:id="290"/>
    </w:p>
    <w:p w14:paraId="53E6B8CC">
      <w:pPr>
        <w:snapToGrid w:val="0"/>
        <w:spacing w:after="0" w:line="360" w:lineRule="auto"/>
        <w:ind w:firstLine="440" w:firstLineChars="200"/>
        <w:rPr>
          <w:rFonts w:hint="eastAsia" w:ascii="宋体" w:hAnsi="宋体" w:eastAsia="宋体" w:cs="宋体"/>
          <w:color w:val="auto"/>
          <w:sz w:val="22"/>
          <w:szCs w:val="22"/>
          <w:highlight w:val="none"/>
        </w:rPr>
      </w:pPr>
      <w:bookmarkStart w:id="291" w:name="_Toc152042378"/>
      <w:bookmarkStart w:id="292" w:name="_Toc152045601"/>
      <w:bookmarkStart w:id="293" w:name="_Toc29052"/>
      <w:bookmarkStart w:id="294" w:name="_Toc247514025"/>
      <w:bookmarkStart w:id="295" w:name="_Toc247527626"/>
      <w:bookmarkStart w:id="296" w:name="_Toc300835011"/>
      <w:r>
        <w:rPr>
          <w:rFonts w:hint="eastAsia" w:ascii="宋体" w:hAnsi="宋体" w:eastAsia="宋体" w:cs="宋体"/>
          <w:color w:val="auto"/>
          <w:sz w:val="22"/>
          <w:szCs w:val="22"/>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商务部分评分高的优先；商务部分评分也相等时，以技术部分评分高的优先；技术部分评分也相等时，由招标人或者经招标人授权评标委员会自行确定。</w:t>
      </w:r>
    </w:p>
    <w:p w14:paraId="067A8B53">
      <w:pPr>
        <w:snapToGrid w:val="0"/>
        <w:spacing w:after="0" w:line="360" w:lineRule="auto"/>
        <w:outlineLvl w:val="2"/>
        <w:rPr>
          <w:rFonts w:hint="eastAsia" w:ascii="宋体" w:hAnsi="宋体" w:eastAsia="宋体" w:cs="宋体"/>
          <w:b/>
          <w:bCs/>
          <w:color w:val="auto"/>
          <w:sz w:val="22"/>
          <w:szCs w:val="22"/>
          <w:highlight w:val="none"/>
        </w:rPr>
      </w:pPr>
      <w:bookmarkStart w:id="297" w:name="_Toc29872"/>
      <w:bookmarkStart w:id="298" w:name="_Toc7757"/>
      <w:r>
        <w:rPr>
          <w:rFonts w:hint="eastAsia" w:ascii="宋体" w:hAnsi="宋体" w:eastAsia="宋体" w:cs="宋体"/>
          <w:b/>
          <w:bCs/>
          <w:color w:val="auto"/>
          <w:sz w:val="22"/>
          <w:szCs w:val="22"/>
          <w:highlight w:val="none"/>
        </w:rPr>
        <w:t>2. 评审标准</w:t>
      </w:r>
      <w:bookmarkEnd w:id="291"/>
      <w:bookmarkEnd w:id="292"/>
      <w:bookmarkEnd w:id="293"/>
      <w:bookmarkEnd w:id="294"/>
      <w:bookmarkEnd w:id="295"/>
      <w:bookmarkEnd w:id="296"/>
      <w:bookmarkEnd w:id="297"/>
      <w:bookmarkEnd w:id="298"/>
    </w:p>
    <w:p w14:paraId="46347F79">
      <w:pPr>
        <w:snapToGrid w:val="0"/>
        <w:spacing w:after="0" w:line="360" w:lineRule="auto"/>
        <w:rPr>
          <w:rFonts w:hint="eastAsia" w:ascii="宋体" w:hAnsi="宋体" w:eastAsia="宋体" w:cs="宋体"/>
          <w:color w:val="auto"/>
          <w:sz w:val="22"/>
          <w:szCs w:val="22"/>
          <w:highlight w:val="none"/>
        </w:rPr>
      </w:pPr>
      <w:bookmarkStart w:id="299" w:name="_Toc21449"/>
      <w:bookmarkStart w:id="300" w:name="_Toc300835012"/>
      <w:bookmarkStart w:id="301" w:name="_Toc144974569"/>
      <w:bookmarkStart w:id="302" w:name="_Toc152045602"/>
      <w:bookmarkStart w:id="303" w:name="_Toc247527627"/>
      <w:bookmarkStart w:id="304" w:name="_Toc247514026"/>
      <w:bookmarkStart w:id="305" w:name="_Toc152042379"/>
      <w:r>
        <w:rPr>
          <w:rFonts w:hint="eastAsia" w:ascii="宋体" w:hAnsi="宋体" w:eastAsia="宋体" w:cs="宋体"/>
          <w:color w:val="auto"/>
          <w:sz w:val="22"/>
          <w:szCs w:val="22"/>
          <w:highlight w:val="none"/>
        </w:rPr>
        <w:t>2.1 初步评审标准</w:t>
      </w:r>
      <w:bookmarkEnd w:id="299"/>
      <w:bookmarkEnd w:id="300"/>
      <w:bookmarkEnd w:id="301"/>
      <w:bookmarkEnd w:id="302"/>
      <w:bookmarkEnd w:id="303"/>
      <w:bookmarkEnd w:id="304"/>
      <w:bookmarkEnd w:id="305"/>
    </w:p>
    <w:p w14:paraId="087F8833">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2.1.1 形式评审标准：见评标办法前附表。</w:t>
      </w:r>
    </w:p>
    <w:p w14:paraId="02791AAA">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2.1.2 资格评审标准：见评标办法前附表。</w:t>
      </w:r>
    </w:p>
    <w:p w14:paraId="012DAFD4">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2.1.3 响应性评审标准：见评标办法前附表。</w:t>
      </w:r>
    </w:p>
    <w:p w14:paraId="3ED31812">
      <w:pPr>
        <w:snapToGrid w:val="0"/>
        <w:spacing w:after="0" w:line="360" w:lineRule="auto"/>
        <w:rPr>
          <w:rFonts w:hint="eastAsia" w:ascii="宋体" w:hAnsi="宋体" w:eastAsia="宋体" w:cs="宋体"/>
          <w:color w:val="auto"/>
          <w:sz w:val="22"/>
          <w:szCs w:val="22"/>
          <w:highlight w:val="none"/>
        </w:rPr>
      </w:pPr>
      <w:bookmarkStart w:id="306" w:name="_Toc8138"/>
      <w:bookmarkStart w:id="307" w:name="_Toc144974570"/>
      <w:bookmarkStart w:id="308" w:name="_Toc247514027"/>
      <w:bookmarkStart w:id="309" w:name="_Toc152045603"/>
      <w:bookmarkStart w:id="310" w:name="_Toc247527628"/>
      <w:bookmarkStart w:id="311" w:name="_Toc300835013"/>
      <w:bookmarkStart w:id="312" w:name="_Toc152042380"/>
      <w:r>
        <w:rPr>
          <w:rFonts w:hint="eastAsia" w:ascii="宋体" w:hAnsi="宋体" w:eastAsia="宋体" w:cs="宋体"/>
          <w:color w:val="auto"/>
          <w:sz w:val="22"/>
          <w:szCs w:val="22"/>
          <w:highlight w:val="none"/>
        </w:rPr>
        <w:t>2.2 分值构成与评分标准</w:t>
      </w:r>
      <w:bookmarkEnd w:id="306"/>
      <w:bookmarkEnd w:id="307"/>
      <w:bookmarkEnd w:id="308"/>
      <w:bookmarkEnd w:id="309"/>
      <w:bookmarkEnd w:id="310"/>
      <w:bookmarkEnd w:id="311"/>
      <w:bookmarkEnd w:id="312"/>
    </w:p>
    <w:p w14:paraId="35F450FF">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2.2.1 分值构成</w:t>
      </w:r>
    </w:p>
    <w:p w14:paraId="66CBFDED">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2.2.1.1</w:t>
      </w:r>
      <w:r>
        <w:rPr>
          <w:rFonts w:hint="eastAsia" w:ascii="宋体" w:hAnsi="宋体" w:eastAsia="宋体" w:cs="宋体"/>
          <w:color w:val="auto"/>
          <w:sz w:val="22"/>
          <w:szCs w:val="22"/>
          <w:highlight w:val="none"/>
          <w:lang w:eastAsia="zh-CN"/>
        </w:rPr>
        <w:t>商务部分评审</w:t>
      </w:r>
      <w:r>
        <w:rPr>
          <w:rFonts w:hint="eastAsia" w:ascii="宋体" w:hAnsi="宋体" w:eastAsia="宋体" w:cs="宋体"/>
          <w:color w:val="auto"/>
          <w:sz w:val="22"/>
          <w:szCs w:val="22"/>
          <w:highlight w:val="none"/>
        </w:rPr>
        <w:t>标准：见评标办法前附表。</w:t>
      </w:r>
    </w:p>
    <w:p w14:paraId="0DD33F58">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2.2.1.</w:t>
      </w:r>
      <w:r>
        <w:rPr>
          <w:rFonts w:hint="eastAsia" w:ascii="宋体" w:hAnsi="宋体" w:cs="宋体"/>
          <w:bCs/>
          <w:color w:val="auto"/>
          <w:sz w:val="22"/>
          <w:szCs w:val="22"/>
          <w:highlight w:val="none"/>
          <w:lang w:val="en-US" w:eastAsia="zh-CN"/>
        </w:rPr>
        <w:t>2</w:t>
      </w:r>
      <w:r>
        <w:rPr>
          <w:rFonts w:hint="eastAsia" w:ascii="宋体" w:hAnsi="宋体" w:eastAsia="宋体" w:cs="宋体"/>
          <w:color w:val="auto"/>
          <w:sz w:val="22"/>
          <w:szCs w:val="22"/>
          <w:highlight w:val="none"/>
        </w:rPr>
        <w:t>技术部分评审标准：见评标办法前附表；</w:t>
      </w:r>
    </w:p>
    <w:p w14:paraId="216B9B52">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 </w:t>
      </w:r>
      <w:r>
        <w:rPr>
          <w:rFonts w:hint="eastAsia" w:ascii="宋体" w:hAnsi="宋体" w:eastAsia="宋体" w:cs="宋体"/>
          <w:color w:val="auto"/>
          <w:sz w:val="22"/>
          <w:szCs w:val="22"/>
          <w:highlight w:val="none"/>
          <w:lang w:eastAsia="zh-CN"/>
        </w:rPr>
        <w:t>商务部分评审</w:t>
      </w:r>
      <w:r>
        <w:rPr>
          <w:rFonts w:hint="eastAsia" w:ascii="宋体" w:hAnsi="宋体" w:eastAsia="宋体" w:cs="宋体"/>
          <w:color w:val="auto"/>
          <w:sz w:val="22"/>
          <w:szCs w:val="22"/>
          <w:highlight w:val="none"/>
        </w:rPr>
        <w:t>标准</w:t>
      </w:r>
    </w:p>
    <w:p w14:paraId="5E0FA72F">
      <w:pPr>
        <w:spacing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见评标办法前附表；</w:t>
      </w:r>
    </w:p>
    <w:p w14:paraId="71DD1F25">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2.2.3技术部分评审标准</w:t>
      </w:r>
    </w:p>
    <w:p w14:paraId="1226CFA8">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见评标办法前附表。</w:t>
      </w:r>
    </w:p>
    <w:p w14:paraId="7EA82C7E">
      <w:pPr>
        <w:snapToGrid w:val="0"/>
        <w:spacing w:after="0" w:line="360" w:lineRule="auto"/>
        <w:outlineLvl w:val="2"/>
        <w:rPr>
          <w:rFonts w:hint="eastAsia" w:ascii="宋体" w:hAnsi="宋体" w:eastAsia="宋体" w:cs="宋体"/>
          <w:b/>
          <w:bCs/>
          <w:color w:val="auto"/>
          <w:sz w:val="22"/>
          <w:szCs w:val="22"/>
          <w:highlight w:val="none"/>
        </w:rPr>
      </w:pPr>
      <w:bookmarkStart w:id="313" w:name="_Toc247514028"/>
      <w:bookmarkStart w:id="314" w:name="_Toc247527629"/>
      <w:bookmarkStart w:id="315" w:name="_Toc152045604"/>
      <w:bookmarkStart w:id="316" w:name="_Toc144974571"/>
      <w:bookmarkStart w:id="317" w:name="_Toc6744"/>
      <w:bookmarkStart w:id="318" w:name="_Toc14844"/>
      <w:bookmarkStart w:id="319" w:name="_Toc152042381"/>
      <w:bookmarkStart w:id="320" w:name="_Toc300835014"/>
      <w:bookmarkStart w:id="321" w:name="_Toc21951"/>
      <w:r>
        <w:rPr>
          <w:rFonts w:hint="eastAsia" w:ascii="宋体" w:hAnsi="宋体" w:eastAsia="宋体" w:cs="宋体"/>
          <w:b/>
          <w:bCs/>
          <w:color w:val="auto"/>
          <w:sz w:val="22"/>
          <w:szCs w:val="22"/>
          <w:highlight w:val="none"/>
        </w:rPr>
        <w:t>3. 评标程序</w:t>
      </w:r>
      <w:bookmarkEnd w:id="313"/>
      <w:bookmarkEnd w:id="314"/>
      <w:bookmarkEnd w:id="315"/>
      <w:bookmarkEnd w:id="316"/>
      <w:bookmarkEnd w:id="317"/>
      <w:bookmarkEnd w:id="318"/>
      <w:bookmarkEnd w:id="319"/>
      <w:bookmarkEnd w:id="320"/>
      <w:bookmarkEnd w:id="321"/>
    </w:p>
    <w:p w14:paraId="0D5DBB65">
      <w:pPr>
        <w:snapToGrid w:val="0"/>
        <w:spacing w:after="0" w:line="360" w:lineRule="auto"/>
        <w:rPr>
          <w:rFonts w:hint="eastAsia" w:ascii="宋体" w:hAnsi="宋体" w:eastAsia="宋体" w:cs="宋体"/>
          <w:color w:val="auto"/>
          <w:sz w:val="22"/>
          <w:szCs w:val="22"/>
          <w:highlight w:val="none"/>
        </w:rPr>
      </w:pPr>
      <w:bookmarkStart w:id="322" w:name="_Toc247527630"/>
      <w:bookmarkStart w:id="323" w:name="_Toc11255"/>
      <w:bookmarkStart w:id="324" w:name="_Toc300835015"/>
      <w:bookmarkStart w:id="325" w:name="_Toc247514029"/>
      <w:bookmarkStart w:id="326" w:name="_Toc144974572"/>
      <w:bookmarkStart w:id="327" w:name="_Toc152042382"/>
      <w:bookmarkStart w:id="328" w:name="_Toc152045605"/>
      <w:r>
        <w:rPr>
          <w:rFonts w:hint="eastAsia" w:ascii="宋体" w:hAnsi="宋体" w:eastAsia="宋体" w:cs="宋体"/>
          <w:color w:val="auto"/>
          <w:sz w:val="22"/>
          <w:szCs w:val="22"/>
          <w:highlight w:val="none"/>
        </w:rPr>
        <w:t>3.1 初步评审</w:t>
      </w:r>
      <w:bookmarkEnd w:id="322"/>
      <w:bookmarkEnd w:id="323"/>
      <w:bookmarkEnd w:id="324"/>
      <w:bookmarkEnd w:id="325"/>
      <w:bookmarkEnd w:id="326"/>
      <w:bookmarkEnd w:id="327"/>
      <w:bookmarkEnd w:id="328"/>
    </w:p>
    <w:p w14:paraId="6EABB6E5">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3.1.1 评标委员会依据本章第2.1款规定的标准对投标文件进行初步评审。有一项不符合评审标准的，评标委员会应当否决其投标。（适用于未进行资格预审的）</w:t>
      </w:r>
    </w:p>
    <w:p w14:paraId="1BF4E85E">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3.1.1 评标委员会依据本章第2.1.1项至第2.1.3项规定的评审标准对投标文件进行初步评审。有一项不符合评审标准的，评标委员会应当否决其投标。当投标人资格预审申请文件的内容发生重大变化时，评标委员会依据本章第2.1.2项规定的标准对其更新资料进行评审。（适用于已进行资格预审的）</w:t>
      </w:r>
    </w:p>
    <w:p w14:paraId="24C27950">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3.1.2 投标人有以下情形之一的，评标委员会应当否决其投标：</w:t>
      </w:r>
    </w:p>
    <w:p w14:paraId="219034F6">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（1）第二章“投标人须知”第1.4.2项规定的任何一种情形的；</w:t>
      </w:r>
    </w:p>
    <w:p w14:paraId="1EC8DE66">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（2）串通投标或弄虚作假或有其他违法行为的；</w:t>
      </w:r>
    </w:p>
    <w:p w14:paraId="0820CCC9">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（3）不按评标委员会要求澄清、说明或补正的。</w:t>
      </w:r>
    </w:p>
    <w:p w14:paraId="24146563">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3.1.3 投标报价有算术错误的，评标委员会按以下原则对投标报价进行修正，修正的价格经投标人书面确认后具有约束力。投标人不接受修正价格的，评标委员会应当否决其投标。</w:t>
      </w:r>
    </w:p>
    <w:p w14:paraId="4274C938">
      <w:pPr>
        <w:snapToGrid w:val="0"/>
        <w:spacing w:after="0" w:line="360" w:lineRule="auto"/>
        <w:ind w:firstLine="440" w:firstLineChars="200"/>
        <w:rPr>
          <w:rFonts w:hint="eastAsia" w:ascii="宋体" w:hAnsi="宋体" w:eastAsia="宋体" w:cs="宋体"/>
          <w:color w:val="auto"/>
          <w:sz w:val="22"/>
          <w:szCs w:val="22"/>
          <w:highlight w:val="none"/>
        </w:rPr>
      </w:pPr>
      <w:bookmarkStart w:id="329" w:name="_Toc152042383"/>
      <w:r>
        <w:rPr>
          <w:rFonts w:hint="eastAsia" w:ascii="宋体" w:hAnsi="宋体" w:eastAsia="宋体" w:cs="宋体"/>
          <w:color w:val="auto"/>
          <w:sz w:val="22"/>
          <w:szCs w:val="22"/>
          <w:highlight w:val="none"/>
        </w:rPr>
        <w:t>（1）投标文件中的大写金额与小写金额不一致的，以大写金额为准；</w:t>
      </w:r>
      <w:bookmarkEnd w:id="329"/>
    </w:p>
    <w:p w14:paraId="42FEC739">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（2）总价金额与依据单价计算出的结果不一致的，以单价金额为准修正总价，但单价金额小数点有明显错误的除外。</w:t>
      </w:r>
    </w:p>
    <w:p w14:paraId="4942FB26">
      <w:pPr>
        <w:snapToGrid w:val="0"/>
        <w:spacing w:after="0" w:line="360" w:lineRule="auto"/>
        <w:rPr>
          <w:rFonts w:hint="eastAsia" w:ascii="宋体" w:hAnsi="宋体" w:eastAsia="宋体" w:cs="宋体"/>
          <w:color w:val="auto"/>
          <w:sz w:val="22"/>
          <w:szCs w:val="22"/>
          <w:highlight w:val="none"/>
        </w:rPr>
      </w:pPr>
      <w:bookmarkStart w:id="330" w:name="_Toc300835016"/>
      <w:bookmarkStart w:id="331" w:name="_Toc8899"/>
      <w:bookmarkStart w:id="332" w:name="_Toc247514030"/>
      <w:bookmarkStart w:id="333" w:name="_Toc144974573"/>
      <w:bookmarkStart w:id="334" w:name="_Toc152042384"/>
      <w:bookmarkStart w:id="335" w:name="_Toc152045606"/>
      <w:bookmarkStart w:id="336" w:name="_Toc247527631"/>
      <w:r>
        <w:rPr>
          <w:rFonts w:hint="eastAsia" w:ascii="宋体" w:hAnsi="宋体" w:eastAsia="宋体" w:cs="宋体"/>
          <w:color w:val="auto"/>
          <w:sz w:val="22"/>
          <w:szCs w:val="22"/>
          <w:highlight w:val="none"/>
        </w:rPr>
        <w:t>3.2 详细评审</w:t>
      </w:r>
      <w:bookmarkEnd w:id="330"/>
      <w:bookmarkEnd w:id="331"/>
      <w:bookmarkEnd w:id="332"/>
      <w:bookmarkEnd w:id="333"/>
      <w:bookmarkEnd w:id="334"/>
      <w:bookmarkEnd w:id="335"/>
      <w:bookmarkEnd w:id="336"/>
    </w:p>
    <w:p w14:paraId="1241582D">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3.2.1 评标委员会按本章第2.2款规定的量化因素和分值进行打分，并计算出综合评估得分。评标办法前附表对承包人建议书中的设计文件评审有特殊规定的，从其规定。</w:t>
      </w:r>
    </w:p>
    <w:p w14:paraId="7C10EF0C">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（1）按本章第</w:t>
      </w:r>
      <w:r>
        <w:rPr>
          <w:rFonts w:hint="eastAsia" w:ascii="宋体" w:hAnsi="宋体" w:eastAsia="宋体" w:cs="宋体"/>
          <w:bCs/>
          <w:color w:val="auto"/>
          <w:sz w:val="22"/>
          <w:szCs w:val="22"/>
          <w:highlight w:val="none"/>
        </w:rPr>
        <w:t>2.2.1.1</w:t>
      </w:r>
      <w:r>
        <w:rPr>
          <w:rFonts w:hint="eastAsia" w:ascii="宋体" w:hAnsi="宋体" w:eastAsia="宋体" w:cs="宋体"/>
          <w:color w:val="auto"/>
          <w:sz w:val="22"/>
          <w:szCs w:val="22"/>
          <w:highlight w:val="none"/>
          <w:lang w:val="en-US" w:eastAsia="zh-CN"/>
        </w:rPr>
        <w:t>商务</w:t>
      </w:r>
      <w:r>
        <w:rPr>
          <w:rFonts w:hint="eastAsia" w:ascii="宋体" w:hAnsi="宋体" w:eastAsia="宋体" w:cs="宋体"/>
          <w:color w:val="auto"/>
          <w:sz w:val="22"/>
          <w:szCs w:val="22"/>
          <w:highlight w:val="none"/>
        </w:rPr>
        <w:t>部分中规定的评审因素和分值计算出得分A；</w:t>
      </w:r>
    </w:p>
    <w:p w14:paraId="771BA6F6">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（2）按本章第</w:t>
      </w:r>
      <w:r>
        <w:rPr>
          <w:rFonts w:hint="eastAsia" w:ascii="宋体" w:hAnsi="宋体" w:eastAsia="宋体" w:cs="宋体"/>
          <w:bCs/>
          <w:color w:val="auto"/>
          <w:sz w:val="22"/>
          <w:szCs w:val="22"/>
          <w:highlight w:val="none"/>
        </w:rPr>
        <w:t>2.2.1.</w:t>
      </w:r>
      <w:r>
        <w:rPr>
          <w:rFonts w:hint="eastAsia" w:ascii="宋体" w:hAnsi="宋体" w:eastAsia="宋体" w:cs="宋体"/>
          <w:bCs/>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技术</w:t>
      </w:r>
      <w:r>
        <w:rPr>
          <w:rFonts w:hint="eastAsia" w:ascii="宋体" w:hAnsi="宋体" w:eastAsia="宋体" w:cs="宋体"/>
          <w:color w:val="auto"/>
          <w:sz w:val="22"/>
          <w:szCs w:val="22"/>
          <w:highlight w:val="none"/>
        </w:rPr>
        <w:t>部分中规定的评审因素和分值计算出得分B；</w:t>
      </w:r>
    </w:p>
    <w:p w14:paraId="320D9C4A">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3.2.2评分分值计算保留小数点后两位，小数点后第三位“四舍五入”。</w:t>
      </w:r>
    </w:p>
    <w:p w14:paraId="0D1CDC59">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3.2.3投标人得分=A+B。</w:t>
      </w:r>
    </w:p>
    <w:p w14:paraId="275515E8">
      <w:pPr>
        <w:snapToGrid w:val="0"/>
        <w:spacing w:after="0" w:line="360" w:lineRule="auto"/>
        <w:ind w:firstLine="416" w:firstLineChars="200"/>
        <w:rPr>
          <w:rFonts w:hint="eastAsia" w:ascii="宋体" w:hAnsi="宋体" w:eastAsia="宋体" w:cs="宋体"/>
          <w:color w:val="auto"/>
          <w:spacing w:val="-6"/>
          <w:sz w:val="22"/>
          <w:szCs w:val="22"/>
          <w:highlight w:val="none"/>
        </w:rPr>
      </w:pPr>
      <w:r>
        <w:rPr>
          <w:rFonts w:hint="eastAsia" w:ascii="宋体" w:hAnsi="宋体" w:eastAsia="宋体" w:cs="宋体"/>
          <w:color w:val="auto"/>
          <w:spacing w:val="-6"/>
          <w:sz w:val="22"/>
          <w:szCs w:val="22"/>
          <w:highlight w:val="none"/>
        </w:rPr>
        <w:t>3.2.4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043D1A04">
      <w:pPr>
        <w:snapToGrid w:val="0"/>
        <w:spacing w:after="0" w:line="360" w:lineRule="auto"/>
        <w:rPr>
          <w:rFonts w:hint="eastAsia" w:ascii="宋体" w:hAnsi="宋体" w:eastAsia="宋体" w:cs="宋体"/>
          <w:color w:val="auto"/>
          <w:sz w:val="22"/>
          <w:szCs w:val="22"/>
          <w:highlight w:val="none"/>
        </w:rPr>
      </w:pPr>
      <w:bookmarkStart w:id="337" w:name="_Toc144974575"/>
      <w:bookmarkStart w:id="338" w:name="_Toc247527632"/>
      <w:bookmarkStart w:id="339" w:name="_Toc247514031"/>
      <w:bookmarkStart w:id="340" w:name="_Toc27864"/>
      <w:bookmarkStart w:id="341" w:name="_Toc300835017"/>
      <w:bookmarkStart w:id="342" w:name="_Toc152045607"/>
      <w:bookmarkStart w:id="343" w:name="_Toc152042385"/>
      <w:r>
        <w:rPr>
          <w:rFonts w:hint="eastAsia" w:ascii="宋体" w:hAnsi="宋体" w:eastAsia="宋体" w:cs="宋体"/>
          <w:color w:val="auto"/>
          <w:sz w:val="22"/>
          <w:szCs w:val="22"/>
          <w:highlight w:val="none"/>
        </w:rPr>
        <w:t>3.3 投标文件的澄清</w:t>
      </w:r>
      <w:bookmarkEnd w:id="337"/>
      <w:r>
        <w:rPr>
          <w:rFonts w:hint="eastAsia" w:ascii="宋体" w:hAnsi="宋体" w:eastAsia="宋体" w:cs="宋体"/>
          <w:color w:val="auto"/>
          <w:sz w:val="22"/>
          <w:szCs w:val="22"/>
          <w:highlight w:val="none"/>
        </w:rPr>
        <w:t>和补正</w:t>
      </w:r>
      <w:bookmarkEnd w:id="338"/>
      <w:bookmarkEnd w:id="339"/>
      <w:bookmarkEnd w:id="340"/>
      <w:bookmarkEnd w:id="341"/>
      <w:bookmarkEnd w:id="342"/>
      <w:bookmarkEnd w:id="343"/>
    </w:p>
    <w:p w14:paraId="2499A694">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14:paraId="0A2D0E24">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3.3.2 澄清、说明和补正不得改变投标文件的实质性内容。投标人的书面澄清、说明和补正属于投标文件的组成部分。</w:t>
      </w:r>
    </w:p>
    <w:p w14:paraId="517478C8">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3.3.3 评标委员会对投标人提交的澄清、说明或补正有疑问的，可以要求投标人进一步澄清、说明或补正，直至满足评标委员会的要求。</w:t>
      </w:r>
    </w:p>
    <w:p w14:paraId="2889A2C0">
      <w:pPr>
        <w:snapToGrid w:val="0"/>
        <w:spacing w:after="0" w:line="360" w:lineRule="auto"/>
        <w:rPr>
          <w:rFonts w:hint="eastAsia" w:ascii="宋体" w:hAnsi="宋体" w:eastAsia="宋体" w:cs="宋体"/>
          <w:color w:val="auto"/>
          <w:sz w:val="22"/>
          <w:szCs w:val="22"/>
          <w:highlight w:val="none"/>
        </w:rPr>
      </w:pPr>
      <w:bookmarkStart w:id="344" w:name="_Toc247527633"/>
      <w:bookmarkStart w:id="345" w:name="_Toc1312"/>
      <w:bookmarkStart w:id="346" w:name="_Toc152042386"/>
      <w:bookmarkStart w:id="347" w:name="_Toc144974576"/>
      <w:bookmarkStart w:id="348" w:name="_Toc300835018"/>
      <w:bookmarkStart w:id="349" w:name="_Toc247514032"/>
      <w:bookmarkStart w:id="350" w:name="_Toc152045608"/>
      <w:r>
        <w:rPr>
          <w:rFonts w:hint="eastAsia" w:ascii="宋体" w:hAnsi="宋体" w:eastAsia="宋体" w:cs="宋体"/>
          <w:color w:val="auto"/>
          <w:sz w:val="22"/>
          <w:szCs w:val="22"/>
          <w:highlight w:val="none"/>
        </w:rPr>
        <w:t>3.4 评标结果</w:t>
      </w:r>
      <w:bookmarkEnd w:id="344"/>
      <w:bookmarkEnd w:id="345"/>
      <w:bookmarkEnd w:id="346"/>
      <w:bookmarkEnd w:id="347"/>
      <w:bookmarkEnd w:id="348"/>
      <w:bookmarkEnd w:id="349"/>
      <w:bookmarkEnd w:id="350"/>
    </w:p>
    <w:p w14:paraId="6D69E12E">
      <w:pPr>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3.4.1 除第二章“投标人须知”前附表授权直接确定中标人外，评标委员会按照得分由高到低的顺序推荐中标候选人。</w:t>
      </w:r>
    </w:p>
    <w:p w14:paraId="050FF3E7">
      <w:pPr>
        <w:snapToGrid w:val="0"/>
        <w:spacing w:after="0" w:line="360" w:lineRule="auto"/>
        <w:ind w:firstLine="440" w:firstLineChars="200"/>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3.4.2 评标委员会完成评标后，应当向招标人提交书面评标报告。</w:t>
      </w:r>
    </w:p>
    <w:p w14:paraId="461653CE">
      <w:pPr>
        <w:snapToGrid w:val="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r>
    </w:p>
    <w:p w14:paraId="13A41F90">
      <w:pPr>
        <w:pStyle w:val="3"/>
        <w:spacing w:line="360" w:lineRule="auto"/>
        <w:jc w:val="left"/>
        <w:rPr>
          <w:rFonts w:hint="eastAsia" w:ascii="宋体" w:hAnsi="宋体" w:eastAsia="宋体" w:cs="宋体"/>
          <w:color w:val="auto"/>
          <w:sz w:val="22"/>
          <w:szCs w:val="22"/>
          <w:highlight w:val="none"/>
          <w:lang w:val="en-US"/>
        </w:rPr>
      </w:pPr>
      <w:bookmarkStart w:id="351" w:name="_Toc23290"/>
      <w:bookmarkStart w:id="352" w:name="_Toc18192"/>
      <w:bookmarkStart w:id="353" w:name="_Toc4519"/>
      <w:bookmarkStart w:id="354" w:name="_Toc233"/>
      <w:bookmarkStart w:id="355" w:name="_Toc21053"/>
      <w:r>
        <w:rPr>
          <w:rFonts w:hint="eastAsia" w:ascii="宋体" w:hAnsi="宋体" w:eastAsia="宋体" w:cs="宋体"/>
          <w:color w:val="auto"/>
          <w:sz w:val="22"/>
          <w:szCs w:val="22"/>
          <w:highlight w:val="none"/>
          <w:lang w:val="en-US"/>
        </w:rPr>
        <w:t>附件A：评标详细程序</w:t>
      </w:r>
      <w:bookmarkEnd w:id="351"/>
      <w:bookmarkEnd w:id="352"/>
      <w:bookmarkEnd w:id="353"/>
      <w:bookmarkEnd w:id="354"/>
      <w:bookmarkEnd w:id="355"/>
    </w:p>
    <w:p w14:paraId="67AF3EE7">
      <w:pPr>
        <w:adjustRightInd w:val="0"/>
        <w:snapToGrid w:val="0"/>
        <w:spacing w:after="0" w:line="360" w:lineRule="auto"/>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A0.总则</w:t>
      </w:r>
    </w:p>
    <w:p w14:paraId="4D10B9AC">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本附件是本章“评标办法”的组成部分，评标委员会应当按照本附件所规定的详细程序开展并完成评标工作。</w:t>
      </w:r>
    </w:p>
    <w:p w14:paraId="73242B4D">
      <w:pPr>
        <w:adjustRightInd w:val="0"/>
        <w:snapToGrid w:val="0"/>
        <w:spacing w:after="0" w:line="360" w:lineRule="auto"/>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A1.基本程序</w:t>
      </w:r>
    </w:p>
    <w:p w14:paraId="06A56BE0">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评标活动将按以下五个步骤进行：</w:t>
      </w:r>
    </w:p>
    <w:p w14:paraId="0B545DA3">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1</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评标准备；</w:t>
      </w:r>
    </w:p>
    <w:p w14:paraId="4912BC5D">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2</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初步评审；</w:t>
      </w:r>
    </w:p>
    <w:p w14:paraId="32E5B8A5">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3</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详细评审；</w:t>
      </w:r>
    </w:p>
    <w:p w14:paraId="06F491B4">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4</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澄清、说明或补正；</w:t>
      </w:r>
    </w:p>
    <w:p w14:paraId="62E545E2">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5</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推荐中标候选人或者直接确定中标人及提交评标报告。</w:t>
      </w:r>
    </w:p>
    <w:p w14:paraId="4EDEB013">
      <w:pPr>
        <w:adjustRightInd w:val="0"/>
        <w:snapToGrid w:val="0"/>
        <w:spacing w:after="0" w:line="360" w:lineRule="auto"/>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A2.评标准备</w:t>
      </w:r>
    </w:p>
    <w:p w14:paraId="64C53AF2">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A2.1评标委员会成员签到</w:t>
      </w:r>
    </w:p>
    <w:p w14:paraId="1297196B">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评标委员会成员到达评标现场签到并组建评标委员会。</w:t>
      </w:r>
    </w:p>
    <w:p w14:paraId="016B81EE">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A2.2评标委员会的分工</w:t>
      </w:r>
    </w:p>
    <w:p w14:paraId="15CDF994">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评标委员会成员推选一名评标委员会主任，负责评标活动的组织领导工作。评标委员会主任在与其他评标委员会成员协商的基础上，可以将评标委员会划分为技术组和商务组。</w:t>
      </w:r>
    </w:p>
    <w:p w14:paraId="35C6C4DB">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A2.3熟悉文件资料</w:t>
      </w:r>
    </w:p>
    <w:p w14:paraId="77E22096">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2.3.1评标委员会主任应组织评标委员会成员认真研究招标文件，了解和熟悉招标目的、招标范围、主要合同条件、技术标准和要求、质量标准和工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676B0F0F">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2.3.2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招标控制价（如果有）、工程所在地工程造价管理部门颁布的工程造价信息、定额（如作为计价依据时）、有关的</w:t>
      </w:r>
      <w:r>
        <w:rPr>
          <w:rFonts w:hint="eastAsia" w:ascii="宋体" w:hAnsi="宋体" w:cs="宋体"/>
          <w:color w:val="auto"/>
          <w:kern w:val="0"/>
          <w:sz w:val="22"/>
          <w:szCs w:val="22"/>
          <w:highlight w:val="none"/>
          <w:lang w:eastAsia="zh-CN"/>
        </w:rPr>
        <w:t>法律法规</w:t>
      </w:r>
      <w:r>
        <w:rPr>
          <w:rFonts w:hint="eastAsia" w:ascii="宋体" w:hAnsi="宋体" w:eastAsia="宋体" w:cs="宋体"/>
          <w:color w:val="auto"/>
          <w:kern w:val="0"/>
          <w:sz w:val="22"/>
          <w:szCs w:val="22"/>
          <w:highlight w:val="none"/>
        </w:rPr>
        <w:t>、规章、国家标准以及招标人或评标委员会认为必要的其他信息和数据。</w:t>
      </w:r>
    </w:p>
    <w:p w14:paraId="76A089BC">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A2.4对投标文件进行基础性数据分析和整理工作（清标）</w:t>
      </w:r>
    </w:p>
    <w:p w14:paraId="2AD7DF6E">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在不改变投标人投标文件实质性内容的前提下，评标委员会应当对投标文件进行基础性数据分析和整理（</w:t>
      </w:r>
      <w:r>
        <w:rPr>
          <w:rFonts w:hint="eastAsia" w:ascii="宋体" w:hAnsi="宋体" w:cs="宋体"/>
          <w:color w:val="auto"/>
          <w:kern w:val="0"/>
          <w:sz w:val="22"/>
          <w:szCs w:val="22"/>
          <w:highlight w:val="none"/>
          <w:lang w:eastAsia="zh-CN"/>
        </w:rPr>
        <w:t>简称</w:t>
      </w:r>
      <w:r>
        <w:rPr>
          <w:rFonts w:hint="eastAsia" w:ascii="宋体" w:hAnsi="宋体" w:eastAsia="宋体" w:cs="宋体"/>
          <w:color w:val="auto"/>
          <w:kern w:val="0"/>
          <w:sz w:val="22"/>
          <w:szCs w:val="22"/>
          <w:highlight w:val="none"/>
        </w:rPr>
        <w:t>“清标”），从而发现并提取其中可能存在的对招标范围理解的偏差、投标报价的算术性错误、错漏项、投标报价构成不合理、不平衡报价、是否低于成本报价等存在明显异常的问题，并就这些问题整理形成清标成果。评标委员会对清标成果审议后，决定需要投标人进行书面澄清、说明或补正的问题，形成质疑问卷，向投标人发出问题澄清通知（质疑问卷）。</w:t>
      </w:r>
    </w:p>
    <w:p w14:paraId="3DC4B911">
      <w:pPr>
        <w:adjustRightInd w:val="0"/>
        <w:snapToGrid w:val="0"/>
        <w:spacing w:after="0"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A3初步评审</w:t>
      </w:r>
    </w:p>
    <w:p w14:paraId="20771BAB">
      <w:pPr>
        <w:adjustRightInd w:val="0"/>
        <w:snapToGrid w:val="0"/>
        <w:spacing w:after="0" w:line="360" w:lineRule="auto"/>
        <w:ind w:firstLine="440" w:firstLineChars="200"/>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评标委员会依据本章第2.1.1 项；第2.1.2项；第2.1.3 项规定的评审标准对投标文件进行初步评审。评标委员会按照先进行形式评审，再进行资格审查，随后进行响应性评审，最后进行价格评审的先后顺序对投标文件进行初步评审。形式评审不通过的投标文件不进入资格审查，资格审查不通过的投标文件不进入响应性评审，响应性评审不通过的投标文件不进入价格评审，价格评审不通过的投标文件不进入详细评审。只有形式评审、资格审查、响应性评审均通过的投标人才能进入详细评审。</w:t>
      </w:r>
    </w:p>
    <w:p w14:paraId="703815E5">
      <w:pPr>
        <w:adjustRightInd w:val="0"/>
        <w:snapToGrid w:val="0"/>
        <w:spacing w:after="0"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A3.1形式评审</w:t>
      </w:r>
    </w:p>
    <w:p w14:paraId="09A202CD">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评标委员会根据评标办法前附表中规定的评审因素和评审标准，对投标人的投标文件首先进行形式评审，形式评审不通过的投标文件不进入资格审查。</w:t>
      </w:r>
    </w:p>
    <w:p w14:paraId="52093F52">
      <w:pPr>
        <w:adjustRightInd w:val="0"/>
        <w:snapToGrid w:val="0"/>
        <w:spacing w:after="0"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A3.2资格审查</w:t>
      </w:r>
    </w:p>
    <w:p w14:paraId="5AE2914B">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评标委员会根据评标办法前附表中规定的评审因素和评审标准，对投标人的投标文件首先进行资格审查，资格审查不通过的投标文件不进入响应性评审。</w:t>
      </w:r>
    </w:p>
    <w:p w14:paraId="0657348C">
      <w:pPr>
        <w:adjustRightInd w:val="0"/>
        <w:snapToGrid w:val="0"/>
        <w:spacing w:after="0"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A3.3响应性评审</w:t>
      </w:r>
    </w:p>
    <w:p w14:paraId="3E5F48A4">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评标委员会根据评标办法前附表中规定的评审因素和评审标准，对投标人的投标文件进行响应性评审，响应性不通过的投标文件不进入价格评审。</w:t>
      </w:r>
    </w:p>
    <w:p w14:paraId="6CD5D75B">
      <w:pPr>
        <w:adjustRightInd w:val="0"/>
        <w:snapToGrid w:val="0"/>
        <w:spacing w:after="0"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A3.4判断投标是否被否决</w:t>
      </w:r>
    </w:p>
    <w:p w14:paraId="3C3231EF">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A3.4.1 判断投标人的投标是否为否决投标的全部条件在</w:t>
      </w:r>
      <w:r>
        <w:rPr>
          <w:rFonts w:hint="eastAsia" w:ascii="宋体" w:hAnsi="宋体" w:eastAsia="宋体" w:cs="宋体"/>
          <w:b/>
          <w:bCs/>
          <w:color w:val="auto"/>
          <w:sz w:val="22"/>
          <w:szCs w:val="22"/>
          <w:highlight w:val="none"/>
        </w:rPr>
        <w:t>本章附件B</w:t>
      </w:r>
      <w:r>
        <w:rPr>
          <w:rFonts w:hint="eastAsia" w:ascii="宋体" w:hAnsi="宋体" w:eastAsia="宋体" w:cs="宋体"/>
          <w:color w:val="auto"/>
          <w:sz w:val="22"/>
          <w:szCs w:val="22"/>
          <w:highlight w:val="none"/>
        </w:rPr>
        <w:t>中集中列示。</w:t>
      </w:r>
    </w:p>
    <w:p w14:paraId="34B4990B">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A3.4.2评标委员会在评标</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包括初步评审和详细评审</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过程中，依据本章</w:t>
      </w:r>
      <w:r>
        <w:rPr>
          <w:rFonts w:hint="eastAsia" w:ascii="宋体" w:hAnsi="宋体" w:eastAsia="宋体" w:cs="宋体"/>
          <w:b/>
          <w:bCs/>
          <w:color w:val="auto"/>
          <w:sz w:val="22"/>
          <w:szCs w:val="22"/>
          <w:highlight w:val="none"/>
        </w:rPr>
        <w:t>附件B</w:t>
      </w:r>
      <w:r>
        <w:rPr>
          <w:rFonts w:hint="eastAsia" w:ascii="宋体" w:hAnsi="宋体" w:eastAsia="宋体" w:cs="宋体"/>
          <w:color w:val="auto"/>
          <w:sz w:val="22"/>
          <w:szCs w:val="22"/>
          <w:highlight w:val="none"/>
        </w:rPr>
        <w:t>中规定的否决投标条件判断投标人的投标是否被否决。</w:t>
      </w:r>
    </w:p>
    <w:p w14:paraId="2E88C712">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A3.4.3对投标人未通过评审的原因，评标委员会应在相关的决议或在评标报告中说明。评标委员会经评审，有效投标文件不足3家使得投标明显缺乏竞争的，评标委员会可以否决全部投标。所有投标被否决后，招标人应当依法重新招标。当有效投标文件不足3家时，评标委员会认为仍能满足业主要求，并具有竞争性的，将按综合评估推荐法推荐中标候选人。</w:t>
      </w:r>
    </w:p>
    <w:p w14:paraId="7A54DB91">
      <w:pPr>
        <w:adjustRightInd w:val="0"/>
        <w:snapToGrid w:val="0"/>
        <w:spacing w:after="0" w:line="360" w:lineRule="auto"/>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A3.5算术错误修正</w:t>
      </w:r>
    </w:p>
    <w:p w14:paraId="10D8DAB4">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投标报价有算术错误的，评标委员会按以下原则对投标报价进行修正，修正的价格经投标人书面确认后具有约束力。投标人不接受修正价格的，其投标作否决投标处理。</w:t>
      </w:r>
    </w:p>
    <w:p w14:paraId="5F56EA58">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A3.6澄清、说明或补正</w:t>
      </w:r>
    </w:p>
    <w:p w14:paraId="13E83F79">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14:paraId="3CBCF12F">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A4.详细评审</w:t>
      </w:r>
    </w:p>
    <w:p w14:paraId="57B46569">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只有通过了初步评审、被判定为合格的投标人可进入详细评审，详细评审先评投标文件技术部分再评投标文件商务部分。</w:t>
      </w:r>
    </w:p>
    <w:p w14:paraId="7706B9B2">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A4.1 商务部分评审</w:t>
      </w:r>
    </w:p>
    <w:p w14:paraId="78398E85">
      <w:pPr>
        <w:adjustRightInd w:val="0"/>
        <w:snapToGrid w:val="0"/>
        <w:spacing w:after="0" w:line="360" w:lineRule="auto"/>
        <w:ind w:firstLine="440" w:firstLineChars="2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商务部分评标标准</w:t>
      </w:r>
      <w:r>
        <w:rPr>
          <w:rFonts w:hint="eastAsia" w:ascii="宋体" w:hAnsi="宋体" w:cs="宋体"/>
          <w:color w:val="auto"/>
          <w:sz w:val="22"/>
          <w:szCs w:val="22"/>
          <w:highlight w:val="none"/>
          <w:lang w:val="en-US" w:eastAsia="zh-CN"/>
        </w:rPr>
        <w:t>详</w:t>
      </w:r>
      <w:r>
        <w:rPr>
          <w:rFonts w:hint="eastAsia" w:ascii="宋体" w:hAnsi="宋体" w:eastAsia="宋体" w:cs="宋体"/>
          <w:color w:val="auto"/>
          <w:sz w:val="22"/>
          <w:szCs w:val="22"/>
          <w:highlight w:val="none"/>
        </w:rPr>
        <w:t>见评标办法前附表</w:t>
      </w:r>
    </w:p>
    <w:p w14:paraId="1DDE10AB">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A4.2澄清、说明或补正</w:t>
      </w:r>
    </w:p>
    <w:p w14:paraId="2D0493C0">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在详细评审过程中，评标委员会应当就投标文件中不明确的内容要求投标人进行澄清、说明或者补正。投标人对此以书面形式予以澄清、说明或者补正。澄清、说明或补正根据本章第3.3款的规定执行。</w:t>
      </w:r>
    </w:p>
    <w:p w14:paraId="05864A49">
      <w:pPr>
        <w:adjustRightInd w:val="0"/>
        <w:snapToGrid w:val="0"/>
        <w:spacing w:after="0" w:line="360" w:lineRule="auto"/>
        <w:ind w:firstLine="442" w:firstLineChars="20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A4.3 汇总评分结果</w:t>
      </w:r>
    </w:p>
    <w:p w14:paraId="0E943490">
      <w:pPr>
        <w:adjustRightInd w:val="0"/>
        <w:snapToGrid w:val="0"/>
        <w:spacing w:after="0" w:line="360" w:lineRule="auto"/>
        <w:ind w:firstLine="442" w:firstLineChars="200"/>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A4.3.1</w:t>
      </w:r>
      <w:r>
        <w:rPr>
          <w:rFonts w:hint="eastAsia" w:ascii="宋体" w:hAnsi="宋体" w:eastAsia="宋体" w:cs="宋体"/>
          <w:color w:val="auto"/>
          <w:sz w:val="22"/>
          <w:szCs w:val="22"/>
          <w:highlight w:val="none"/>
        </w:rPr>
        <w:t>评标委员会成员应填写详细评审评分汇总表。</w:t>
      </w:r>
    </w:p>
    <w:p w14:paraId="384FF49C">
      <w:pPr>
        <w:adjustRightInd w:val="0"/>
        <w:snapToGrid w:val="0"/>
        <w:spacing w:after="0" w:line="360" w:lineRule="auto"/>
        <w:ind w:firstLine="442" w:firstLineChars="200"/>
        <w:rPr>
          <w:rFonts w:hint="eastAsia" w:ascii="宋体" w:hAnsi="宋体" w:eastAsia="宋体" w:cs="宋体"/>
          <w:color w:val="auto"/>
          <w:spacing w:val="12"/>
          <w:sz w:val="22"/>
          <w:szCs w:val="22"/>
          <w:highlight w:val="none"/>
        </w:rPr>
      </w:pPr>
      <w:r>
        <w:rPr>
          <w:rFonts w:hint="eastAsia" w:ascii="宋体" w:hAnsi="宋体" w:eastAsia="宋体" w:cs="宋体"/>
          <w:b/>
          <w:bCs/>
          <w:color w:val="auto"/>
          <w:sz w:val="22"/>
          <w:szCs w:val="22"/>
          <w:highlight w:val="none"/>
        </w:rPr>
        <w:t>A4.3.2</w:t>
      </w:r>
      <w:r>
        <w:rPr>
          <w:rFonts w:hint="eastAsia" w:ascii="宋体" w:hAnsi="宋体" w:eastAsia="宋体" w:cs="宋体"/>
          <w:color w:val="auto"/>
          <w:sz w:val="22"/>
          <w:szCs w:val="22"/>
          <w:highlight w:val="none"/>
        </w:rPr>
        <w:t>详细评审工作全部结束后，汇总各个评标委员会成员的详细评审评分结果，并按照详细评审最终得分由高至低的次序对投标人进行排序。</w:t>
      </w:r>
    </w:p>
    <w:p w14:paraId="628ABDFC">
      <w:pPr>
        <w:adjustRightInd w:val="0"/>
        <w:snapToGrid w:val="0"/>
        <w:spacing w:after="0" w:line="360" w:lineRule="auto"/>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A5.推荐中标候选人或者直接确定中标人</w:t>
      </w:r>
    </w:p>
    <w:p w14:paraId="69A45627">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A5.1推荐中标候选人</w:t>
      </w:r>
    </w:p>
    <w:p w14:paraId="157DA2C4">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除第二章“投标人须知”前附表第7．1款授权直接确定中标人外，评标委员会在推荐中标候选人时，应遵照以下原则：</w:t>
      </w:r>
    </w:p>
    <w:p w14:paraId="6B3C1DA1">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1</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评标委员会按照最终得分由高至低的次序排列，并根据第二章“投标人须知”前附表第7.1款规定的中标候选人数量，将排序在前的投标人推荐为中标候选人。</w:t>
      </w:r>
    </w:p>
    <w:p w14:paraId="7047A507">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2</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如果评标委员会根据本章的规定作废标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14:paraId="064FBA40">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A5.2直接确定中标人</w:t>
      </w:r>
    </w:p>
    <w:p w14:paraId="52F25131">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第二章“投标人须知”前附表授权评标委员会直接确定中标人的，评标委员会按照最终得分由高至低的次序排列，并确定排名第一的投标人为中标人。</w:t>
      </w:r>
    </w:p>
    <w:p w14:paraId="7F35164C">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A5.3编制评标报告</w:t>
      </w:r>
    </w:p>
    <w:p w14:paraId="21BE30E2">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评标委员会根据本章评标办法的规定向招标人提交评标报告。评标报告应当由全体评标委员会成员签字，并于评标结束时抄送有关行政监督部门。</w:t>
      </w:r>
    </w:p>
    <w:p w14:paraId="2CA7E356">
      <w:pPr>
        <w:adjustRightInd w:val="0"/>
        <w:snapToGrid w:val="0"/>
        <w:spacing w:after="0" w:line="360" w:lineRule="auto"/>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A6．特殊情况的处置程序</w:t>
      </w:r>
    </w:p>
    <w:p w14:paraId="35699E0D">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A6.1关于评标活动暂停</w:t>
      </w:r>
    </w:p>
    <w:p w14:paraId="05552797">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A6.1.1评标委员会应当执行连续评标的原则，按评标办法中规定的程序、内容、方法、标准完成全部评标工作。只有发生不可抗力导致评标工作无法继续时，评标活动方可暂停。</w:t>
      </w:r>
    </w:p>
    <w:p w14:paraId="187A4251">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A6.1.2发生评标暂停情况时，评标委员会应当封存全部投标文件和评标记录，待不可抗力的影响结束且具备继续评标的条件时，由原评标委员会继续评标。</w:t>
      </w:r>
    </w:p>
    <w:p w14:paraId="48EA7AD7">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A6.2关于评标中途更换评委</w:t>
      </w:r>
    </w:p>
    <w:p w14:paraId="79FCD8F1">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A6.2.1除非发生下列情况之一，评标委员会成员不得在评标中途更换：</w:t>
      </w:r>
    </w:p>
    <w:p w14:paraId="5BE7DA7C">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1</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因不可抗拒的客观原因，不能到场或需在评标中途退出评标活动。</w:t>
      </w:r>
    </w:p>
    <w:p w14:paraId="00DBBDC2">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2</w:t>
      </w:r>
      <w:r>
        <w:rPr>
          <w:rFonts w:hint="eastAsia" w:ascii="宋体" w:hAnsi="宋体" w:cs="宋体"/>
          <w:color w:val="auto"/>
          <w:kern w:val="0"/>
          <w:sz w:val="22"/>
          <w:szCs w:val="22"/>
          <w:highlight w:val="none"/>
          <w:lang w:eastAsia="zh-CN"/>
        </w:rPr>
        <w:t>）</w:t>
      </w:r>
      <w:r>
        <w:rPr>
          <w:rFonts w:hint="eastAsia" w:ascii="宋体" w:hAnsi="宋体" w:eastAsia="宋体" w:cs="宋体"/>
          <w:color w:val="auto"/>
          <w:kern w:val="0"/>
          <w:sz w:val="22"/>
          <w:szCs w:val="22"/>
          <w:highlight w:val="none"/>
        </w:rPr>
        <w:t>根据法律法规规定，某个或某几个评标委员会成员需要回避。</w:t>
      </w:r>
    </w:p>
    <w:p w14:paraId="641046C7">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A6.2.2退出评标的评标委员会成员，其已完成的评标行为无效。由招标人根据本招标文件规定的评标委员会成员生产方式另行确定替代者进行评标。</w:t>
      </w:r>
    </w:p>
    <w:p w14:paraId="480B6129">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A6.3记名投票</w:t>
      </w:r>
    </w:p>
    <w:p w14:paraId="4883D2EC">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在任何评标环节中，</w:t>
      </w:r>
      <w:r>
        <w:rPr>
          <w:rFonts w:hint="eastAsia" w:ascii="宋体" w:hAnsi="宋体" w:cs="宋体"/>
          <w:color w:val="auto"/>
          <w:kern w:val="0"/>
          <w:sz w:val="22"/>
          <w:szCs w:val="22"/>
          <w:highlight w:val="none"/>
          <w:lang w:val="en-US" w:eastAsia="zh-CN"/>
        </w:rPr>
        <w:t>需</w:t>
      </w:r>
      <w:r>
        <w:rPr>
          <w:rFonts w:hint="eastAsia" w:ascii="宋体" w:hAnsi="宋体" w:eastAsia="宋体" w:cs="宋体"/>
          <w:color w:val="auto"/>
          <w:kern w:val="0"/>
          <w:sz w:val="22"/>
          <w:szCs w:val="22"/>
          <w:highlight w:val="none"/>
        </w:rPr>
        <w:t>评标委员会就某项定性的评审结论</w:t>
      </w:r>
      <w:r>
        <w:rPr>
          <w:rFonts w:hint="eastAsia" w:ascii="宋体" w:hAnsi="宋体" w:cs="宋体"/>
          <w:color w:val="auto"/>
          <w:kern w:val="0"/>
          <w:sz w:val="22"/>
          <w:szCs w:val="22"/>
          <w:highlight w:val="none"/>
          <w:lang w:eastAsia="zh-CN"/>
        </w:rPr>
        <w:t>作出</w:t>
      </w:r>
      <w:r>
        <w:rPr>
          <w:rFonts w:hint="eastAsia" w:ascii="宋体" w:hAnsi="宋体" w:eastAsia="宋体" w:cs="宋体"/>
          <w:color w:val="auto"/>
          <w:kern w:val="0"/>
          <w:sz w:val="22"/>
          <w:szCs w:val="22"/>
          <w:highlight w:val="none"/>
        </w:rPr>
        <w:t>表决的，由评标委员会全体成员按照少数服从多数的原则，以记名投票方式表决。</w:t>
      </w:r>
    </w:p>
    <w:p w14:paraId="54D37EA5">
      <w:pPr>
        <w:adjustRightInd w:val="0"/>
        <w:snapToGrid w:val="0"/>
        <w:spacing w:after="0" w:line="360" w:lineRule="auto"/>
        <w:ind w:firstLine="440" w:firstLineChars="200"/>
        <w:jc w:val="left"/>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A7.补充条款</w:t>
      </w:r>
    </w:p>
    <w:p w14:paraId="31163FC6">
      <w:pPr>
        <w:adjustRightInd w:val="0"/>
        <w:snapToGrid w:val="0"/>
        <w:spacing w:after="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AUTOTEXT  input522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rPr>
        <w:fldChar w:fldCharType="end"/>
      </w:r>
    </w:p>
    <w:p w14:paraId="67F2CFE5">
      <w:pPr>
        <w:pStyle w:val="38"/>
        <w:ind w:left="0" w:leftChars="0" w:firstLine="0" w:firstLineChars="0"/>
        <w:rPr>
          <w:rFonts w:hint="eastAsia" w:ascii="宋体" w:hAnsi="宋体" w:eastAsia="宋体" w:cs="宋体"/>
          <w:color w:val="auto"/>
          <w:highlight w:val="none"/>
        </w:rPr>
      </w:pPr>
    </w:p>
    <w:p w14:paraId="6ACC66D5">
      <w:pPr>
        <w:rPr>
          <w:rFonts w:hint="eastAsia" w:ascii="宋体" w:hAnsi="宋体" w:eastAsia="宋体" w:cs="宋体"/>
          <w:color w:val="auto"/>
          <w:sz w:val="22"/>
          <w:szCs w:val="22"/>
          <w:highlight w:val="none"/>
          <w:lang w:val="en-US"/>
        </w:rPr>
      </w:pPr>
      <w:bookmarkStart w:id="356" w:name="_Toc816"/>
      <w:bookmarkStart w:id="357" w:name="_Toc2690"/>
      <w:bookmarkStart w:id="358" w:name="_Toc19990"/>
      <w:bookmarkStart w:id="359" w:name="_Toc19729"/>
      <w:bookmarkStart w:id="360" w:name="_Toc30396"/>
      <w:r>
        <w:rPr>
          <w:rFonts w:hint="eastAsia" w:ascii="宋体" w:hAnsi="宋体" w:eastAsia="宋体" w:cs="宋体"/>
          <w:color w:val="auto"/>
          <w:sz w:val="22"/>
          <w:szCs w:val="22"/>
          <w:highlight w:val="none"/>
          <w:lang w:val="en-US"/>
        </w:rPr>
        <w:br w:type="page"/>
      </w:r>
    </w:p>
    <w:p w14:paraId="0DD9FEC0">
      <w:pPr>
        <w:pStyle w:val="3"/>
        <w:spacing w:line="240" w:lineRule="auto"/>
        <w:jc w:val="left"/>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rPr>
        <w:t>附件B：否决投标条款</w:t>
      </w:r>
      <w:bookmarkEnd w:id="356"/>
      <w:bookmarkEnd w:id="357"/>
      <w:bookmarkEnd w:id="358"/>
      <w:bookmarkEnd w:id="359"/>
      <w:bookmarkEnd w:id="360"/>
    </w:p>
    <w:p w14:paraId="47E0E6B8">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B0.总则</w:t>
      </w:r>
    </w:p>
    <w:p w14:paraId="608DBFAB">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本附件所集中列示的否决投标条款，是本章“评标办法”的组成部分，是对第二章“投标人须知”和本章正文部分所规定的否决投标条款的总结和补充，如果出现相互矛盾的情况，以本节的规定为准。</w:t>
      </w:r>
    </w:p>
    <w:p w14:paraId="7642D6A4">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B1.否决投标条款</w:t>
      </w:r>
    </w:p>
    <w:p w14:paraId="41811A3E">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投标人或投标文件有下列情形之一的，其投标作否决投标处理：</w:t>
      </w:r>
    </w:p>
    <w:p w14:paraId="67B86C28">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B1.1 有第二章“投标须知正文部分”第1.4.2 项规定的任何一种情形的。</w:t>
      </w:r>
    </w:p>
    <w:p w14:paraId="7E61C9FB">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B1.2有串通投标行为或弄虚作假或有其他违法行为的。</w:t>
      </w:r>
    </w:p>
    <w:p w14:paraId="42549A3E">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B1.3不按评标委员会要求澄清、说明或补正的；</w:t>
      </w:r>
    </w:p>
    <w:p w14:paraId="26FC3F5F">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B1.4在初步评审中，评标委员会认定投标人的投标不符合评标办法前附表中规定的任何一项评审标准的；</w:t>
      </w:r>
    </w:p>
    <w:p w14:paraId="0B932070">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B1.5投标文件中不符合投标人须知附件七规定的内容上传及格式的；</w:t>
      </w:r>
    </w:p>
    <w:p w14:paraId="41D3F278">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B1.6投标文件中不符合第六章投标文件的组成的；</w:t>
      </w:r>
    </w:p>
    <w:p w14:paraId="1A8876B5">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B1.7投标文件中不符合投标人须知正文部分3.2投标报价的；</w:t>
      </w:r>
    </w:p>
    <w:p w14:paraId="6A79781D">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B1.8 未按规定格式填写，内容不全或者关键内容字迹模糊，无法辨认的；</w:t>
      </w:r>
    </w:p>
    <w:p w14:paraId="0E46BD2E">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B1.9投标人上传的电子投标文件中有两份或多份内容不同的投标文件，或者在一份投标文件中对同一招标项目报有两个或多个报价，且未声明哪一个有效，按招标文件规定提交备选投标方案的除外。</w:t>
      </w:r>
    </w:p>
    <w:p w14:paraId="4B3B61B9">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B1.10投标人名称与营业执照或资质证书名称不一致的。</w:t>
      </w:r>
    </w:p>
    <w:p w14:paraId="58B50C8C">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B1.11投标人在投标文件中电子签章（或盖章）或电子签名（或签名）的名称与其他潜在投标人存在一致情况的。</w:t>
      </w:r>
    </w:p>
    <w:p w14:paraId="1A8E539A">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B1.12违反《中华人民共和国招标投标法</w:t>
      </w:r>
      <w:r>
        <w:rPr>
          <w:rFonts w:hint="eastAsia" w:ascii="宋体" w:hAnsi="宋体" w:cs="宋体"/>
          <w:color w:val="auto"/>
          <w:kern w:val="0"/>
          <w:highlight w:val="none"/>
          <w:lang w:eastAsia="zh-CN"/>
        </w:rPr>
        <w:t>》《</w:t>
      </w:r>
      <w:r>
        <w:rPr>
          <w:rFonts w:hint="eastAsia" w:ascii="宋体" w:hAnsi="宋体" w:eastAsia="宋体" w:cs="宋体"/>
          <w:color w:val="auto"/>
          <w:kern w:val="0"/>
          <w:highlight w:val="none"/>
        </w:rPr>
        <w:t>中华人民共和国招标投标法实施条例</w:t>
      </w:r>
      <w:r>
        <w:rPr>
          <w:rFonts w:hint="eastAsia" w:ascii="宋体" w:hAnsi="宋体" w:cs="宋体"/>
          <w:color w:val="auto"/>
          <w:kern w:val="0"/>
          <w:highlight w:val="none"/>
          <w:lang w:eastAsia="zh-CN"/>
        </w:rPr>
        <w:t>》《</w:t>
      </w:r>
      <w:r>
        <w:rPr>
          <w:rFonts w:hint="eastAsia" w:ascii="宋体" w:hAnsi="宋体" w:eastAsia="宋体" w:cs="宋体"/>
          <w:color w:val="auto"/>
          <w:kern w:val="0"/>
          <w:highlight w:val="none"/>
        </w:rPr>
        <w:t>国家九部委30号令</w:t>
      </w:r>
      <w:r>
        <w:rPr>
          <w:rFonts w:hint="eastAsia" w:ascii="宋体" w:hAnsi="宋体" w:cs="宋体"/>
          <w:color w:val="auto"/>
          <w:kern w:val="0"/>
          <w:highlight w:val="none"/>
          <w:lang w:eastAsia="zh-CN"/>
        </w:rPr>
        <w:t>》《</w:t>
      </w:r>
      <w:r>
        <w:rPr>
          <w:rFonts w:hint="eastAsia" w:ascii="宋体" w:hAnsi="宋体" w:eastAsia="宋体" w:cs="宋体"/>
          <w:color w:val="auto"/>
          <w:kern w:val="0"/>
          <w:highlight w:val="none"/>
        </w:rPr>
        <w:t>云南省政府106号文</w:t>
      </w:r>
      <w:r>
        <w:rPr>
          <w:rFonts w:hint="eastAsia" w:ascii="宋体" w:hAnsi="宋体" w:cs="宋体"/>
          <w:color w:val="auto"/>
          <w:kern w:val="0"/>
          <w:highlight w:val="none"/>
          <w:lang w:eastAsia="zh-CN"/>
        </w:rPr>
        <w:t>》《</w:t>
      </w:r>
      <w:r>
        <w:rPr>
          <w:rFonts w:hint="eastAsia" w:ascii="宋体" w:hAnsi="宋体" w:eastAsia="宋体" w:cs="宋体"/>
          <w:color w:val="auto"/>
          <w:kern w:val="0"/>
          <w:highlight w:val="none"/>
        </w:rPr>
        <w:t>云南省住建厅第19号公告》等相关法律法规的，经评标委员会集体表决后认定，视作串通投标处理，并提请有关监管部门依法予以处罚。</w:t>
      </w:r>
    </w:p>
    <w:p w14:paraId="533C1AC0">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B1.1</w:t>
      </w:r>
      <w:r>
        <w:rPr>
          <w:rFonts w:hint="eastAsia" w:ascii="宋体" w:hAnsi="宋体" w:eastAsia="宋体" w:cs="宋体"/>
          <w:color w:val="auto"/>
          <w:kern w:val="0"/>
          <w:highlight w:val="none"/>
          <w:lang w:val="en-US" w:eastAsia="zh-CN"/>
        </w:rPr>
        <w:t>3</w:t>
      </w:r>
      <w:r>
        <w:rPr>
          <w:rFonts w:hint="eastAsia" w:ascii="宋体" w:hAnsi="宋体" w:eastAsia="宋体" w:cs="宋体"/>
          <w:color w:val="auto"/>
          <w:kern w:val="0"/>
          <w:highlight w:val="none"/>
        </w:rPr>
        <w:t xml:space="preserve"> 投标报价有算术错误的，评标委员会按以下原则对投标报价进行修正，修正的价格经投标人书面确认后具有约束力。投标人不接受修正价格的，其投标作否决投标处理。（1）投标文件中的大写金额与小写金额不一致的，以大写金额为准；</w:t>
      </w:r>
    </w:p>
    <w:p w14:paraId="5AEE0B4F">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B1.1</w:t>
      </w:r>
      <w:r>
        <w:rPr>
          <w:rFonts w:hint="eastAsia" w:ascii="宋体" w:hAnsi="宋体" w:eastAsia="宋体" w:cs="宋体"/>
          <w:color w:val="auto"/>
          <w:kern w:val="0"/>
          <w:highlight w:val="none"/>
          <w:lang w:val="en-US" w:eastAsia="zh-CN"/>
        </w:rPr>
        <w:t>4</w:t>
      </w:r>
      <w:r>
        <w:rPr>
          <w:rFonts w:hint="eastAsia" w:ascii="宋体" w:hAnsi="宋体" w:eastAsia="宋体" w:cs="宋体"/>
          <w:color w:val="auto"/>
          <w:kern w:val="0"/>
          <w:highlight w:val="none"/>
        </w:rPr>
        <w:t>联合体投标不满足投标人须知1.4.1条的；</w:t>
      </w:r>
    </w:p>
    <w:p w14:paraId="3516D598">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B1.1</w:t>
      </w:r>
      <w:r>
        <w:rPr>
          <w:rFonts w:hint="eastAsia" w:ascii="宋体" w:hAnsi="宋体" w:eastAsia="宋体" w:cs="宋体"/>
          <w:color w:val="auto"/>
          <w:kern w:val="0"/>
          <w:highlight w:val="none"/>
          <w:lang w:val="en-US" w:eastAsia="zh-CN"/>
        </w:rPr>
        <w:t>5</w:t>
      </w:r>
      <w:r>
        <w:rPr>
          <w:rFonts w:hint="eastAsia" w:ascii="宋体" w:hAnsi="宋体" w:eastAsia="宋体" w:cs="宋体"/>
          <w:color w:val="auto"/>
          <w:kern w:val="0"/>
          <w:highlight w:val="none"/>
        </w:rPr>
        <w:t>分包未满足投标人须知1.11条的；</w:t>
      </w:r>
    </w:p>
    <w:p w14:paraId="766805F5">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B1.1</w:t>
      </w:r>
      <w:r>
        <w:rPr>
          <w:rFonts w:hint="eastAsia" w:ascii="宋体" w:hAnsi="宋体" w:eastAsia="宋体" w:cs="宋体"/>
          <w:color w:val="auto"/>
          <w:kern w:val="0"/>
          <w:highlight w:val="none"/>
          <w:lang w:val="en-US" w:eastAsia="zh-CN"/>
        </w:rPr>
        <w:t>6</w:t>
      </w:r>
      <w:r>
        <w:rPr>
          <w:rFonts w:hint="eastAsia" w:ascii="宋体" w:hAnsi="宋体" w:eastAsia="宋体" w:cs="宋体"/>
          <w:color w:val="auto"/>
          <w:kern w:val="0"/>
          <w:highlight w:val="none"/>
        </w:rPr>
        <w:t>投标有效期</w:t>
      </w:r>
      <w:r>
        <w:rPr>
          <w:rFonts w:hint="eastAsia" w:ascii="宋体" w:hAnsi="宋体" w:cs="宋体"/>
          <w:color w:val="auto"/>
          <w:kern w:val="0"/>
          <w:highlight w:val="none"/>
          <w:lang w:val="en-US" w:eastAsia="zh-CN"/>
        </w:rPr>
        <w:t>不</w:t>
      </w:r>
      <w:r>
        <w:rPr>
          <w:rFonts w:hint="eastAsia" w:ascii="宋体" w:hAnsi="宋体" w:eastAsia="宋体" w:cs="宋体"/>
          <w:color w:val="auto"/>
          <w:kern w:val="0"/>
          <w:highlight w:val="none"/>
        </w:rPr>
        <w:t>满足投标人须知3.3.</w:t>
      </w:r>
      <w:r>
        <w:rPr>
          <w:rFonts w:hint="eastAsia" w:ascii="宋体" w:hAnsi="宋体" w:cs="宋体"/>
          <w:color w:val="auto"/>
          <w:kern w:val="0"/>
          <w:highlight w:val="none"/>
          <w:lang w:val="en-US" w:eastAsia="zh-CN"/>
        </w:rPr>
        <w:t>1</w:t>
      </w:r>
      <w:r>
        <w:rPr>
          <w:rFonts w:hint="eastAsia" w:ascii="宋体" w:hAnsi="宋体" w:eastAsia="宋体" w:cs="宋体"/>
          <w:color w:val="auto"/>
          <w:kern w:val="0"/>
          <w:highlight w:val="none"/>
        </w:rPr>
        <w:t>条的；</w:t>
      </w:r>
    </w:p>
    <w:p w14:paraId="7D85A94A">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w:t>
      </w:r>
      <w:r>
        <w:rPr>
          <w:rFonts w:hint="eastAsia" w:ascii="宋体" w:hAnsi="宋体" w:eastAsia="宋体" w:cs="宋体"/>
          <w:color w:val="auto"/>
          <w:kern w:val="0"/>
          <w:highlight w:val="none"/>
          <w:lang w:val="en-US" w:eastAsia="zh-CN"/>
        </w:rPr>
        <w:t>17</w:t>
      </w:r>
      <w:r>
        <w:rPr>
          <w:rFonts w:hint="eastAsia" w:ascii="宋体" w:hAnsi="宋体" w:eastAsia="宋体" w:cs="宋体"/>
          <w:color w:val="auto"/>
          <w:kern w:val="0"/>
          <w:highlight w:val="none"/>
        </w:rPr>
        <w:t>投标人拒不按照评标委员会要求对投标文件进行澄清、说明、补正的；</w:t>
      </w:r>
    </w:p>
    <w:p w14:paraId="23AD0F2E">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w:t>
      </w:r>
      <w:r>
        <w:rPr>
          <w:rFonts w:hint="eastAsia" w:ascii="宋体" w:hAnsi="宋体" w:eastAsia="宋体" w:cs="宋体"/>
          <w:color w:val="auto"/>
          <w:kern w:val="0"/>
          <w:highlight w:val="none"/>
          <w:lang w:val="en-US" w:eastAsia="zh-CN"/>
        </w:rPr>
        <w:t>18</w:t>
      </w:r>
      <w:r>
        <w:rPr>
          <w:rFonts w:hint="eastAsia" w:ascii="宋体" w:hAnsi="宋体" w:eastAsia="宋体" w:cs="宋体"/>
          <w:color w:val="auto"/>
          <w:kern w:val="0"/>
          <w:highlight w:val="none"/>
        </w:rPr>
        <w:t>非联合体投标人委托同一人投标的；</w:t>
      </w:r>
    </w:p>
    <w:p w14:paraId="70227A80">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w:t>
      </w:r>
      <w:r>
        <w:rPr>
          <w:rFonts w:hint="eastAsia" w:ascii="宋体" w:hAnsi="宋体" w:eastAsia="宋体" w:cs="宋体"/>
          <w:color w:val="auto"/>
          <w:kern w:val="0"/>
          <w:highlight w:val="none"/>
          <w:lang w:val="en-US" w:eastAsia="zh-CN"/>
        </w:rPr>
        <w:t>19</w:t>
      </w:r>
      <w:r>
        <w:rPr>
          <w:rFonts w:hint="eastAsia" w:ascii="宋体" w:hAnsi="宋体" w:eastAsia="宋体" w:cs="宋体"/>
          <w:color w:val="auto"/>
          <w:kern w:val="0"/>
          <w:highlight w:val="none"/>
        </w:rPr>
        <w:t>不同投标人的投标文件由同一台电脑编制的；</w:t>
      </w:r>
    </w:p>
    <w:p w14:paraId="610F2375">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w:t>
      </w:r>
      <w:r>
        <w:rPr>
          <w:rFonts w:hint="eastAsia" w:ascii="宋体" w:hAnsi="宋体" w:eastAsia="宋体" w:cs="宋体"/>
          <w:color w:val="auto"/>
          <w:kern w:val="0"/>
          <w:highlight w:val="none"/>
          <w:lang w:val="en-US" w:eastAsia="zh-CN"/>
        </w:rPr>
        <w:t>20</w:t>
      </w:r>
      <w:r>
        <w:rPr>
          <w:rFonts w:hint="eastAsia" w:ascii="宋体" w:hAnsi="宋体" w:eastAsia="宋体" w:cs="宋体"/>
          <w:color w:val="auto"/>
          <w:kern w:val="0"/>
          <w:highlight w:val="none"/>
        </w:rPr>
        <w:t>不同投标人的投标文件内容存在非正常一致的；</w:t>
      </w:r>
    </w:p>
    <w:p w14:paraId="54B6298A">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B1.2</w:t>
      </w:r>
      <w:r>
        <w:rPr>
          <w:rFonts w:hint="eastAsia" w:ascii="宋体" w:hAnsi="宋体" w:cs="宋体"/>
          <w:color w:val="auto"/>
          <w:kern w:val="0"/>
          <w:highlight w:val="none"/>
          <w:lang w:val="en-US" w:eastAsia="zh-CN"/>
        </w:rPr>
        <w:t>1</w:t>
      </w:r>
      <w:r>
        <w:rPr>
          <w:rFonts w:hint="eastAsia" w:ascii="宋体" w:hAnsi="宋体" w:eastAsia="宋体" w:cs="宋体"/>
          <w:color w:val="auto"/>
          <w:kern w:val="0"/>
          <w:highlight w:val="none"/>
        </w:rPr>
        <w:t>不同投标人的投标文件错漏之处一致的；</w:t>
      </w:r>
    </w:p>
    <w:p w14:paraId="116E1F13">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B1.2</w:t>
      </w:r>
      <w:r>
        <w:rPr>
          <w:rFonts w:hint="eastAsia" w:ascii="宋体" w:hAnsi="宋体" w:cs="宋体"/>
          <w:color w:val="auto"/>
          <w:kern w:val="0"/>
          <w:highlight w:val="none"/>
          <w:lang w:val="en-US" w:eastAsia="zh-CN"/>
        </w:rPr>
        <w:t>2</w:t>
      </w:r>
      <w:r>
        <w:rPr>
          <w:rFonts w:hint="eastAsia" w:ascii="宋体" w:hAnsi="宋体" w:eastAsia="宋体" w:cs="宋体"/>
          <w:color w:val="auto"/>
          <w:kern w:val="0"/>
          <w:highlight w:val="none"/>
        </w:rPr>
        <w:t>不同投标人的投标文件或者报价组成异常一致或者呈规律性变化的；</w:t>
      </w:r>
    </w:p>
    <w:p w14:paraId="38C73CAC">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B1.2</w:t>
      </w:r>
      <w:r>
        <w:rPr>
          <w:rFonts w:hint="eastAsia" w:ascii="宋体" w:hAnsi="宋体" w:cs="宋体"/>
          <w:color w:val="auto"/>
          <w:kern w:val="0"/>
          <w:highlight w:val="none"/>
          <w:lang w:val="en-US" w:eastAsia="zh-CN"/>
        </w:rPr>
        <w:t>3</w:t>
      </w:r>
      <w:r>
        <w:rPr>
          <w:rFonts w:hint="eastAsia" w:ascii="宋体" w:hAnsi="宋体" w:eastAsia="宋体" w:cs="宋体"/>
          <w:color w:val="auto"/>
          <w:kern w:val="0"/>
          <w:highlight w:val="none"/>
        </w:rPr>
        <w:t>不同投标人的投标文件载明的项目管理机构成员出现相同人员的；</w:t>
      </w:r>
    </w:p>
    <w:p w14:paraId="317A827D">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B1.2</w:t>
      </w:r>
      <w:r>
        <w:rPr>
          <w:rFonts w:hint="eastAsia" w:ascii="宋体" w:hAnsi="宋体" w:cs="宋体"/>
          <w:color w:val="auto"/>
          <w:kern w:val="0"/>
          <w:highlight w:val="none"/>
          <w:lang w:val="en-US" w:eastAsia="zh-CN"/>
        </w:rPr>
        <w:t>4</w:t>
      </w:r>
      <w:r>
        <w:rPr>
          <w:rFonts w:hint="eastAsia" w:ascii="宋体" w:hAnsi="宋体" w:eastAsia="宋体" w:cs="宋体"/>
          <w:color w:val="auto"/>
          <w:kern w:val="0"/>
          <w:highlight w:val="none"/>
        </w:rPr>
        <w:t>评标委员会发现投标人的报价明显低于其他投标报价，或者在设有招标最高限价时明显低于招标最高限价，使得其投标报价可能低于其成本的，应当要求该投标人作出书面说明并提供相应的证明材料。投标人不能合理说明或者不能提供相应证明材料的，由评标委员会认定该投标人以低于成本报价竞标，其投标作否决投标处理。</w:t>
      </w:r>
    </w:p>
    <w:p w14:paraId="5342F24F">
      <w:pPr>
        <w:adjustRightInd w:val="0"/>
        <w:snapToGrid w:val="0"/>
        <w:spacing w:after="0" w:line="360" w:lineRule="auto"/>
        <w:ind w:firstLine="420" w:firstLineChars="200"/>
        <w:jc w:val="left"/>
        <w:rPr>
          <w:rFonts w:hint="default"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B1.25投标总价高于最高投标限价的或招标人公布工程量清单单价的，已报价工程量清单单价任何一项超过公布工程量清单单价的，将作否决其投标文件处理。</w:t>
      </w:r>
    </w:p>
    <w:p w14:paraId="3F8D9588">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B1.2</w:t>
      </w:r>
      <w:r>
        <w:rPr>
          <w:rFonts w:hint="eastAsia" w:ascii="宋体" w:hAnsi="宋体" w:eastAsia="宋体" w:cs="宋体"/>
          <w:color w:val="auto"/>
          <w:kern w:val="0"/>
          <w:highlight w:val="none"/>
          <w:lang w:val="en-US" w:eastAsia="zh-CN"/>
        </w:rPr>
        <w:t>6</w:t>
      </w:r>
      <w:r>
        <w:rPr>
          <w:rFonts w:hint="eastAsia" w:ascii="宋体" w:hAnsi="宋体" w:eastAsia="宋体" w:cs="宋体"/>
          <w:color w:val="auto"/>
          <w:kern w:val="0"/>
          <w:highlight w:val="none"/>
        </w:rPr>
        <w:t>投标人有以下情形之一的，其投标作否决投标处理；</w:t>
      </w:r>
    </w:p>
    <w:p w14:paraId="4F90D6FE">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（1）串通投标或弄虚作假或有其他违法行为的；</w:t>
      </w:r>
    </w:p>
    <w:p w14:paraId="453FF422">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（2）不按评标委员会要求澄清、说明或补正的；</w:t>
      </w:r>
    </w:p>
    <w:p w14:paraId="3CF130AE">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（3）评标委员会依据评标办法第2.1.1项、第2.1.2项、第2.1.3项规定的标准对投标文件进行初步评审。有一项不符合评审标准的，作否决投标处理。</w:t>
      </w:r>
    </w:p>
    <w:p w14:paraId="467E38A9">
      <w:pPr>
        <w:adjustRightInd w:val="0"/>
        <w:snapToGrid w:val="0"/>
        <w:spacing w:after="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B1.</w:t>
      </w:r>
      <w:r>
        <w:rPr>
          <w:rFonts w:hint="eastAsia" w:ascii="宋体" w:hAnsi="宋体" w:eastAsia="宋体" w:cs="宋体"/>
          <w:color w:val="auto"/>
          <w:kern w:val="0"/>
          <w:highlight w:val="none"/>
          <w:lang w:val="en-US" w:eastAsia="zh-CN"/>
        </w:rPr>
        <w:t>2</w:t>
      </w:r>
      <w:r>
        <w:rPr>
          <w:rFonts w:hint="eastAsia" w:ascii="宋体" w:hAnsi="宋体" w:cs="宋体"/>
          <w:color w:val="auto"/>
          <w:kern w:val="0"/>
          <w:highlight w:val="none"/>
          <w:lang w:val="en-US" w:eastAsia="zh-CN"/>
        </w:rPr>
        <w:t>7</w:t>
      </w:r>
      <w:r>
        <w:rPr>
          <w:rFonts w:hint="eastAsia" w:ascii="宋体" w:hAnsi="宋体" w:eastAsia="宋体" w:cs="宋体"/>
          <w:color w:val="auto"/>
          <w:kern w:val="0"/>
          <w:highlight w:val="none"/>
        </w:rPr>
        <w:t>违反国家、省、市相关法律法规的。</w:t>
      </w:r>
    </w:p>
    <w:p w14:paraId="43CBB567">
      <w:pPr>
        <w:keepNext w:val="0"/>
        <w:keepLines w:val="0"/>
        <w:pageBreakBefore w:val="0"/>
        <w:widowControl w:val="0"/>
        <w:kinsoku/>
        <w:wordWrap/>
        <w:overflowPunct/>
        <w:topLinePunct w:val="0"/>
        <w:autoSpaceDE/>
        <w:autoSpaceDN/>
        <w:bidi w:val="0"/>
        <w:spacing w:line="360" w:lineRule="auto"/>
        <w:ind w:firstLine="484" w:firstLineChars="202"/>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br w:type="page"/>
      </w:r>
      <w:bookmarkEnd w:id="287"/>
      <w:bookmarkEnd w:id="288"/>
    </w:p>
    <w:p w14:paraId="3051201D">
      <w:pPr>
        <w:pStyle w:val="2"/>
        <w:bidi w:val="0"/>
        <w:rPr>
          <w:rFonts w:hint="eastAsia" w:ascii="宋体" w:hAnsi="宋体" w:eastAsia="宋体" w:cs="宋体"/>
          <w:highlight w:val="none"/>
          <w:lang w:eastAsia="zh-CN"/>
        </w:rPr>
      </w:pPr>
      <w:bookmarkStart w:id="361" w:name="_Toc395965109"/>
      <w:bookmarkStart w:id="362" w:name="_Toc13793"/>
      <w:bookmarkStart w:id="363" w:name="_Toc435016876"/>
      <w:r>
        <w:rPr>
          <w:rFonts w:hint="eastAsia" w:ascii="宋体" w:hAnsi="宋体" w:eastAsia="宋体" w:cs="宋体"/>
          <w:highlight w:val="none"/>
        </w:rPr>
        <w:t>第四章  合同格式</w:t>
      </w:r>
      <w:bookmarkEnd w:id="361"/>
      <w:bookmarkEnd w:id="362"/>
      <w:bookmarkEnd w:id="363"/>
      <w:bookmarkStart w:id="364" w:name="_Toc395965110"/>
    </w:p>
    <w:p w14:paraId="69577F05">
      <w:pPr>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GF-201</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rPr>
        <w:t>-0216</w:t>
      </w:r>
    </w:p>
    <w:p w14:paraId="3FABF646">
      <w:pPr>
        <w:jc w:val="center"/>
        <w:rPr>
          <w:rFonts w:hint="eastAsia" w:ascii="宋体" w:hAnsi="宋体" w:eastAsia="宋体" w:cs="宋体"/>
          <w:b/>
          <w:bCs/>
          <w:color w:val="auto"/>
          <w:sz w:val="32"/>
          <w:szCs w:val="32"/>
          <w:highlight w:val="none"/>
        </w:rPr>
      </w:pPr>
    </w:p>
    <w:p w14:paraId="191DDE42">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建设项目工程</w:t>
      </w:r>
      <w:r>
        <w:rPr>
          <w:rFonts w:hint="eastAsia" w:ascii="宋体" w:hAnsi="宋体" w:cs="宋体"/>
          <w:b/>
          <w:bCs/>
          <w:color w:val="auto"/>
          <w:sz w:val="32"/>
          <w:szCs w:val="32"/>
          <w:highlight w:val="none"/>
          <w:lang w:val="en-US" w:eastAsia="zh-CN"/>
        </w:rPr>
        <w:t>施工</w:t>
      </w:r>
      <w:r>
        <w:rPr>
          <w:rFonts w:hint="eastAsia" w:ascii="宋体" w:hAnsi="宋体" w:eastAsia="宋体" w:cs="宋体"/>
          <w:b/>
          <w:bCs/>
          <w:color w:val="auto"/>
          <w:sz w:val="32"/>
          <w:szCs w:val="32"/>
          <w:highlight w:val="none"/>
        </w:rPr>
        <w:t>总承包合同示范文本</w:t>
      </w:r>
    </w:p>
    <w:p w14:paraId="399B46A1">
      <w:pPr>
        <w:jc w:val="center"/>
        <w:rPr>
          <w:rFonts w:hint="eastAsia" w:ascii="宋体" w:hAnsi="宋体" w:eastAsia="宋体" w:cs="宋体"/>
          <w:b/>
          <w:bCs/>
          <w:color w:val="auto"/>
          <w:sz w:val="32"/>
          <w:szCs w:val="32"/>
          <w:highlight w:val="none"/>
        </w:rPr>
      </w:pPr>
    </w:p>
    <w:p w14:paraId="5946D086">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（试行）</w:t>
      </w:r>
    </w:p>
    <w:p w14:paraId="52D7AAF1">
      <w:pPr>
        <w:jc w:val="center"/>
        <w:rPr>
          <w:rFonts w:hint="eastAsia" w:ascii="宋体" w:hAnsi="宋体" w:eastAsia="宋体" w:cs="宋体"/>
          <w:b/>
          <w:bCs/>
          <w:color w:val="auto"/>
          <w:sz w:val="32"/>
          <w:szCs w:val="32"/>
          <w:highlight w:val="none"/>
        </w:rPr>
      </w:pPr>
    </w:p>
    <w:p w14:paraId="236E42C2">
      <w:pPr>
        <w:jc w:val="center"/>
        <w:rPr>
          <w:rFonts w:hint="eastAsia" w:ascii="宋体" w:hAnsi="宋体" w:eastAsia="宋体" w:cs="宋体"/>
          <w:b/>
          <w:bCs/>
          <w:color w:val="auto"/>
          <w:sz w:val="24"/>
          <w:highlight w:val="none"/>
        </w:rPr>
      </w:pPr>
    </w:p>
    <w:p w14:paraId="5AA62A86">
      <w:pPr>
        <w:jc w:val="center"/>
        <w:rPr>
          <w:rFonts w:hint="eastAsia" w:ascii="宋体" w:hAnsi="宋体" w:eastAsia="宋体" w:cs="宋体"/>
          <w:b/>
          <w:bCs/>
          <w:color w:val="auto"/>
          <w:sz w:val="24"/>
          <w:highlight w:val="none"/>
        </w:rPr>
      </w:pPr>
    </w:p>
    <w:p w14:paraId="1BAE108F">
      <w:pPr>
        <w:jc w:val="center"/>
        <w:rPr>
          <w:rFonts w:hint="eastAsia" w:ascii="宋体" w:hAnsi="宋体" w:eastAsia="宋体" w:cs="宋体"/>
          <w:b/>
          <w:bCs/>
          <w:color w:val="auto"/>
          <w:sz w:val="24"/>
          <w:highlight w:val="none"/>
        </w:rPr>
      </w:pPr>
    </w:p>
    <w:p w14:paraId="1BF571E1">
      <w:pPr>
        <w:jc w:val="center"/>
        <w:rPr>
          <w:rFonts w:hint="eastAsia" w:ascii="宋体" w:hAnsi="宋体" w:eastAsia="宋体" w:cs="宋体"/>
          <w:b/>
          <w:bCs/>
          <w:color w:val="auto"/>
          <w:sz w:val="24"/>
          <w:highlight w:val="none"/>
        </w:rPr>
      </w:pPr>
    </w:p>
    <w:p w14:paraId="4441F5E2">
      <w:pPr>
        <w:pStyle w:val="10"/>
        <w:ind w:firstLine="360"/>
        <w:rPr>
          <w:rFonts w:hint="eastAsia" w:ascii="宋体" w:hAnsi="宋体" w:eastAsia="宋体" w:cs="宋体"/>
          <w:b/>
          <w:bCs/>
          <w:color w:val="auto"/>
          <w:highlight w:val="none"/>
          <w:lang w:bidi="ar-SA"/>
        </w:rPr>
      </w:pPr>
    </w:p>
    <w:p w14:paraId="1AA8F550">
      <w:pPr>
        <w:pStyle w:val="10"/>
        <w:ind w:firstLine="360"/>
        <w:rPr>
          <w:rFonts w:hint="eastAsia" w:ascii="宋体" w:hAnsi="宋体" w:eastAsia="宋体" w:cs="宋体"/>
          <w:b/>
          <w:bCs/>
          <w:color w:val="auto"/>
          <w:highlight w:val="none"/>
          <w:lang w:bidi="ar-SA"/>
        </w:rPr>
      </w:pPr>
    </w:p>
    <w:p w14:paraId="343EC605">
      <w:pPr>
        <w:pStyle w:val="10"/>
        <w:ind w:firstLine="360"/>
        <w:rPr>
          <w:rFonts w:hint="eastAsia" w:ascii="宋体" w:hAnsi="宋体" w:eastAsia="宋体" w:cs="宋体"/>
          <w:b/>
          <w:bCs/>
          <w:color w:val="auto"/>
          <w:highlight w:val="none"/>
          <w:lang w:bidi="ar-SA"/>
        </w:rPr>
      </w:pPr>
    </w:p>
    <w:p w14:paraId="35737563">
      <w:pPr>
        <w:pStyle w:val="10"/>
        <w:ind w:firstLine="360"/>
        <w:rPr>
          <w:rFonts w:hint="eastAsia" w:ascii="宋体" w:hAnsi="宋体" w:eastAsia="宋体" w:cs="宋体"/>
          <w:b/>
          <w:bCs/>
          <w:color w:val="auto"/>
          <w:highlight w:val="none"/>
          <w:lang w:bidi="ar-SA"/>
        </w:rPr>
      </w:pPr>
    </w:p>
    <w:p w14:paraId="55EBFE7E">
      <w:pPr>
        <w:pStyle w:val="10"/>
        <w:ind w:firstLine="360"/>
        <w:rPr>
          <w:rFonts w:hint="eastAsia" w:ascii="宋体" w:hAnsi="宋体" w:eastAsia="宋体" w:cs="宋体"/>
          <w:b/>
          <w:bCs/>
          <w:color w:val="auto"/>
          <w:highlight w:val="none"/>
          <w:lang w:bidi="ar-SA"/>
        </w:rPr>
      </w:pPr>
    </w:p>
    <w:p w14:paraId="07A2CE04">
      <w:pPr>
        <w:pStyle w:val="10"/>
        <w:ind w:firstLine="360"/>
        <w:rPr>
          <w:rFonts w:hint="eastAsia" w:ascii="宋体" w:hAnsi="宋体" w:eastAsia="宋体" w:cs="宋体"/>
          <w:b/>
          <w:bCs/>
          <w:color w:val="auto"/>
          <w:highlight w:val="none"/>
          <w:lang w:bidi="ar-SA"/>
        </w:rPr>
      </w:pPr>
    </w:p>
    <w:p w14:paraId="74DA3BDE">
      <w:pPr>
        <w:pStyle w:val="10"/>
        <w:ind w:firstLine="360"/>
        <w:rPr>
          <w:rFonts w:hint="eastAsia" w:ascii="宋体" w:hAnsi="宋体" w:eastAsia="宋体" w:cs="宋体"/>
          <w:b/>
          <w:bCs/>
          <w:color w:val="auto"/>
          <w:highlight w:val="none"/>
          <w:lang w:bidi="ar-SA"/>
        </w:rPr>
      </w:pPr>
    </w:p>
    <w:p w14:paraId="1214255B">
      <w:pPr>
        <w:pStyle w:val="10"/>
        <w:ind w:firstLine="360"/>
        <w:rPr>
          <w:rFonts w:hint="eastAsia" w:ascii="宋体" w:hAnsi="宋体" w:eastAsia="宋体" w:cs="宋体"/>
          <w:b/>
          <w:bCs/>
          <w:color w:val="auto"/>
          <w:highlight w:val="none"/>
          <w:lang w:bidi="ar-SA"/>
        </w:rPr>
      </w:pPr>
    </w:p>
    <w:p w14:paraId="3635C103">
      <w:pPr>
        <w:pStyle w:val="10"/>
        <w:ind w:firstLine="360"/>
        <w:rPr>
          <w:rFonts w:hint="eastAsia" w:ascii="宋体" w:hAnsi="宋体" w:eastAsia="宋体" w:cs="宋体"/>
          <w:b/>
          <w:bCs/>
          <w:color w:val="auto"/>
          <w:highlight w:val="none"/>
          <w:lang w:bidi="ar-SA"/>
        </w:rPr>
      </w:pPr>
    </w:p>
    <w:p w14:paraId="3EFC3AD3">
      <w:pPr>
        <w:pStyle w:val="10"/>
        <w:ind w:firstLine="360"/>
        <w:rPr>
          <w:rFonts w:hint="eastAsia" w:ascii="宋体" w:hAnsi="宋体" w:eastAsia="宋体" w:cs="宋体"/>
          <w:b/>
          <w:bCs/>
          <w:color w:val="auto"/>
          <w:highlight w:val="none"/>
          <w:lang w:bidi="ar-SA"/>
        </w:rPr>
      </w:pPr>
    </w:p>
    <w:p w14:paraId="338F022F">
      <w:pPr>
        <w:jc w:val="center"/>
        <w:rPr>
          <w:rFonts w:hint="eastAsia" w:ascii="宋体" w:hAnsi="宋体" w:eastAsia="宋体" w:cs="宋体"/>
          <w:b/>
          <w:bCs/>
          <w:color w:val="auto"/>
          <w:sz w:val="24"/>
          <w:highlight w:val="none"/>
        </w:rPr>
      </w:pPr>
    </w:p>
    <w:p w14:paraId="793D8FFC">
      <w:pPr>
        <w:spacing w:line="3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住房和城乡建设部</w:t>
      </w:r>
    </w:p>
    <w:p w14:paraId="0CE9E1B8">
      <w:pPr>
        <w:spacing w:line="320" w:lineRule="exact"/>
        <w:ind w:left="4200" w:firstLine="42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制定</w:t>
      </w:r>
    </w:p>
    <w:p w14:paraId="1BD3B69F">
      <w:pPr>
        <w:spacing w:line="320" w:lineRule="exact"/>
        <w:jc w:val="center"/>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国家市场监督管理总局</w:t>
      </w:r>
    </w:p>
    <w:p w14:paraId="2C91D97C">
      <w:pPr>
        <w:pStyle w:val="10"/>
        <w:ind w:firstLine="360"/>
        <w:rPr>
          <w:rFonts w:hint="eastAsia" w:ascii="宋体" w:hAnsi="宋体" w:eastAsia="宋体" w:cs="宋体"/>
          <w:b w:val="0"/>
          <w:bCs w:val="0"/>
          <w:color w:val="auto"/>
          <w:highlight w:val="none"/>
          <w:lang w:bidi="ar-SA"/>
        </w:rPr>
      </w:pPr>
    </w:p>
    <w:p w14:paraId="46244298">
      <w:pPr>
        <w:pStyle w:val="10"/>
        <w:ind w:firstLine="360"/>
        <w:rPr>
          <w:rFonts w:hint="eastAsia" w:ascii="宋体" w:hAnsi="宋体" w:eastAsia="宋体" w:cs="宋体"/>
          <w:b w:val="0"/>
          <w:bCs w:val="0"/>
          <w:color w:val="auto"/>
          <w:highlight w:val="none"/>
          <w:lang w:bidi="ar-SA"/>
        </w:rPr>
      </w:pPr>
    </w:p>
    <w:p w14:paraId="0CA9D8F6">
      <w:pPr>
        <w:pStyle w:val="10"/>
        <w:ind w:firstLine="360"/>
        <w:rPr>
          <w:rFonts w:hint="eastAsia" w:ascii="宋体" w:hAnsi="宋体" w:eastAsia="宋体" w:cs="宋体"/>
          <w:b w:val="0"/>
          <w:bCs w:val="0"/>
          <w:color w:val="auto"/>
          <w:highlight w:val="none"/>
          <w:lang w:bidi="ar-SA"/>
        </w:rPr>
      </w:pPr>
    </w:p>
    <w:p w14:paraId="3BFABB12">
      <w:pPr>
        <w:pStyle w:val="10"/>
        <w:ind w:firstLine="360"/>
        <w:rPr>
          <w:rFonts w:hint="eastAsia" w:ascii="宋体" w:hAnsi="宋体" w:eastAsia="宋体" w:cs="宋体"/>
          <w:b w:val="0"/>
          <w:bCs w:val="0"/>
          <w:color w:val="auto"/>
          <w:highlight w:val="none"/>
          <w:lang w:bidi="ar-SA"/>
        </w:rPr>
      </w:pPr>
    </w:p>
    <w:p w14:paraId="7A587D44">
      <w:pPr>
        <w:pStyle w:val="10"/>
        <w:ind w:firstLine="360"/>
        <w:rPr>
          <w:rFonts w:hint="eastAsia" w:ascii="宋体" w:hAnsi="宋体" w:eastAsia="宋体" w:cs="宋体"/>
          <w:b w:val="0"/>
          <w:bCs w:val="0"/>
          <w:color w:val="auto"/>
          <w:highlight w:val="none"/>
          <w:lang w:bidi="ar-SA"/>
        </w:rPr>
      </w:pPr>
    </w:p>
    <w:p w14:paraId="2336F8D3">
      <w:pPr>
        <w:rPr>
          <w:rFonts w:hint="eastAsia" w:ascii="宋体" w:hAnsi="宋体" w:eastAsia="宋体" w:cs="宋体"/>
          <w:b/>
          <w:bCs/>
          <w:color w:val="auto"/>
          <w:sz w:val="24"/>
          <w:szCs w:val="24"/>
          <w:highlight w:val="none"/>
        </w:rPr>
      </w:pPr>
      <w:bookmarkStart w:id="365" w:name="_Toc8131"/>
      <w:bookmarkStart w:id="366" w:name="_Toc26186"/>
      <w:r>
        <w:rPr>
          <w:rFonts w:hint="eastAsia" w:ascii="宋体" w:hAnsi="宋体" w:eastAsia="宋体" w:cs="宋体"/>
          <w:b/>
          <w:bCs/>
          <w:color w:val="auto"/>
          <w:sz w:val="24"/>
          <w:szCs w:val="24"/>
          <w:highlight w:val="none"/>
        </w:rPr>
        <w:br w:type="page"/>
      </w:r>
    </w:p>
    <w:p w14:paraId="534E242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第一部分</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合同协议书</w:t>
      </w:r>
      <w:bookmarkEnd w:id="365"/>
      <w:bookmarkEnd w:id="366"/>
    </w:p>
    <w:p w14:paraId="2DBC4A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rPr>
      </w:pPr>
    </w:p>
    <w:p w14:paraId="41FEF0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rPr>
      </w:pPr>
    </w:p>
    <w:p w14:paraId="446CBFF4">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发包人（全称）</w:t>
      </w:r>
    </w:p>
    <w:p w14:paraId="06B478BA">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承包人（全称）</w:t>
      </w:r>
    </w:p>
    <w:p w14:paraId="1C6D5B5B">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依照《中华人民共和国</w:t>
      </w:r>
      <w:r>
        <w:rPr>
          <w:rFonts w:hint="eastAsia" w:ascii="宋体" w:hAnsi="宋体" w:eastAsia="宋体" w:cs="宋体"/>
          <w:b w:val="0"/>
          <w:bCs w:val="0"/>
          <w:color w:val="auto"/>
          <w:sz w:val="21"/>
          <w:szCs w:val="21"/>
          <w:highlight w:val="none"/>
          <w:lang w:val="en-US" w:eastAsia="zh-CN"/>
        </w:rPr>
        <w:t>民法典</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中华人民共和国建筑法</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中华人民共和国招标投标法》及相关法律、行政法规，遵循平等、自愿、公平和诚信原则，合同双方就</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项目事宜经协商一致，订立本合同。</w:t>
      </w:r>
    </w:p>
    <w:p w14:paraId="1DCBAF7C">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outlineLvl w:val="1"/>
        <w:rPr>
          <w:rFonts w:hint="eastAsia" w:ascii="宋体" w:hAnsi="宋体" w:eastAsia="宋体" w:cs="宋体"/>
          <w:b w:val="0"/>
          <w:bCs w:val="0"/>
          <w:color w:val="auto"/>
          <w:sz w:val="21"/>
          <w:szCs w:val="21"/>
          <w:highlight w:val="none"/>
          <w:u w:val="single"/>
        </w:rPr>
      </w:pPr>
      <w:bookmarkStart w:id="367" w:name="_Toc15103"/>
      <w:bookmarkStart w:id="368" w:name="_Toc17091"/>
      <w:r>
        <w:rPr>
          <w:rFonts w:hint="eastAsia" w:ascii="宋体" w:hAnsi="宋体" w:eastAsia="宋体" w:cs="宋体"/>
          <w:b w:val="0"/>
          <w:bCs w:val="0"/>
          <w:color w:val="auto"/>
          <w:sz w:val="21"/>
          <w:szCs w:val="21"/>
          <w:highlight w:val="none"/>
        </w:rPr>
        <w:t>一、工程概况</w:t>
      </w:r>
      <w:bookmarkEnd w:id="367"/>
      <w:bookmarkEnd w:id="368"/>
    </w:p>
    <w:p w14:paraId="5BB7F6C3">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 xml:space="preserve">工程名称： </w:t>
      </w:r>
    </w:p>
    <w:p w14:paraId="0E0301AB">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工程批准、核准或备案文号：</w:t>
      </w:r>
    </w:p>
    <w:p w14:paraId="1A27333D">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工程内容及规模：</w:t>
      </w:r>
    </w:p>
    <w:p w14:paraId="087FBF23">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 xml:space="preserve">工程所在省市详细地址： </w:t>
      </w:r>
    </w:p>
    <w:p w14:paraId="53CE52AC">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工程承包范围：</w:t>
      </w:r>
    </w:p>
    <w:p w14:paraId="74745411">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outlineLvl w:val="1"/>
        <w:rPr>
          <w:rFonts w:hint="eastAsia" w:ascii="宋体" w:hAnsi="宋体" w:eastAsia="宋体" w:cs="宋体"/>
          <w:b w:val="0"/>
          <w:bCs w:val="0"/>
          <w:color w:val="auto"/>
          <w:sz w:val="21"/>
          <w:szCs w:val="21"/>
          <w:highlight w:val="none"/>
        </w:rPr>
      </w:pPr>
      <w:bookmarkStart w:id="369" w:name="_Toc5355"/>
      <w:bookmarkStart w:id="370" w:name="_Toc6076"/>
      <w:r>
        <w:rPr>
          <w:rFonts w:hint="eastAsia" w:ascii="宋体" w:hAnsi="宋体" w:eastAsia="宋体" w:cs="宋体"/>
          <w:b w:val="0"/>
          <w:bCs w:val="0"/>
          <w:color w:val="auto"/>
          <w:sz w:val="21"/>
          <w:szCs w:val="21"/>
          <w:highlight w:val="none"/>
        </w:rPr>
        <w:t>二、工程主要生产技术来源</w:t>
      </w:r>
      <w:bookmarkEnd w:id="369"/>
      <w:bookmarkEnd w:id="370"/>
    </w:p>
    <w:p w14:paraId="7C2AF528">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outlineLvl w:val="1"/>
        <w:rPr>
          <w:rFonts w:hint="eastAsia" w:ascii="宋体" w:hAnsi="宋体" w:eastAsia="宋体" w:cs="宋体"/>
          <w:b w:val="0"/>
          <w:bCs w:val="0"/>
          <w:color w:val="auto"/>
          <w:sz w:val="21"/>
          <w:szCs w:val="21"/>
          <w:highlight w:val="none"/>
        </w:rPr>
      </w:pPr>
      <w:bookmarkStart w:id="371" w:name="_Toc15906"/>
      <w:bookmarkStart w:id="372" w:name="_Toc5547"/>
      <w:r>
        <w:rPr>
          <w:rFonts w:hint="eastAsia" w:ascii="宋体" w:hAnsi="宋体" w:eastAsia="宋体" w:cs="宋体"/>
          <w:b w:val="0"/>
          <w:bCs w:val="0"/>
          <w:color w:val="auto"/>
          <w:sz w:val="21"/>
          <w:szCs w:val="21"/>
          <w:highlight w:val="none"/>
        </w:rPr>
        <w:t>三、主要日期</w:t>
      </w:r>
      <w:bookmarkEnd w:id="371"/>
      <w:bookmarkEnd w:id="372"/>
    </w:p>
    <w:p w14:paraId="6330CFEC">
      <w:pPr>
        <w:keepNext w:val="0"/>
        <w:keepLines w:val="0"/>
        <w:pageBreakBefore w:val="0"/>
        <w:widowControl w:val="0"/>
        <w:kinsoku/>
        <w:wordWrap/>
        <w:overflowPunct/>
        <w:topLinePunct w:val="0"/>
        <w:autoSpaceDE/>
        <w:autoSpaceDN/>
        <w:bidi w:val="0"/>
        <w:adjustRightInd/>
        <w:snapToGrid/>
        <w:spacing w:after="5" w:line="500" w:lineRule="exact"/>
        <w:ind w:left="1029" w:hanging="1029" w:hangingChars="49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施工开工日期</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绝对日期或相对日期</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713DD0E7">
      <w:pPr>
        <w:keepNext w:val="0"/>
        <w:keepLines w:val="0"/>
        <w:pageBreakBefore w:val="0"/>
        <w:widowControl w:val="0"/>
        <w:kinsoku/>
        <w:wordWrap/>
        <w:overflowPunct/>
        <w:topLinePunct w:val="0"/>
        <w:autoSpaceDE/>
        <w:autoSpaceDN/>
        <w:bidi w:val="0"/>
        <w:adjustRightInd/>
        <w:snapToGrid/>
        <w:spacing w:after="5" w:line="500" w:lineRule="exact"/>
        <w:ind w:left="1029" w:leftChars="200" w:hanging="609" w:hangingChars="290"/>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工程竣工日期</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绝对日期或相对日期</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0853854A">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outlineLvl w:val="1"/>
        <w:rPr>
          <w:rFonts w:hint="eastAsia" w:ascii="宋体" w:hAnsi="宋体" w:eastAsia="宋体" w:cs="宋体"/>
          <w:b w:val="0"/>
          <w:bCs w:val="0"/>
          <w:color w:val="auto"/>
          <w:sz w:val="21"/>
          <w:szCs w:val="21"/>
          <w:highlight w:val="none"/>
        </w:rPr>
      </w:pPr>
      <w:bookmarkStart w:id="373" w:name="_Toc25588"/>
      <w:bookmarkStart w:id="374" w:name="_Toc32077"/>
      <w:r>
        <w:rPr>
          <w:rFonts w:hint="eastAsia" w:ascii="宋体" w:hAnsi="宋体" w:eastAsia="宋体" w:cs="宋体"/>
          <w:b w:val="0"/>
          <w:bCs w:val="0"/>
          <w:color w:val="auto"/>
          <w:sz w:val="21"/>
          <w:szCs w:val="21"/>
          <w:highlight w:val="none"/>
        </w:rPr>
        <w:t>四、工程质量标准</w:t>
      </w:r>
      <w:bookmarkEnd w:id="373"/>
      <w:bookmarkEnd w:id="374"/>
    </w:p>
    <w:p w14:paraId="3347E497">
      <w:pPr>
        <w:keepNext w:val="0"/>
        <w:keepLines w:val="0"/>
        <w:pageBreakBefore w:val="0"/>
        <w:widowControl w:val="0"/>
        <w:kinsoku/>
        <w:wordWrap/>
        <w:overflowPunct/>
        <w:topLinePunct w:val="0"/>
        <w:autoSpaceDE/>
        <w:autoSpaceDN/>
        <w:bidi w:val="0"/>
        <w:adjustRightInd/>
        <w:snapToGrid/>
        <w:spacing w:after="5" w:line="500" w:lineRule="exact"/>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工程施工质量标准</w:t>
      </w:r>
    </w:p>
    <w:p w14:paraId="1758DB9E">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outlineLvl w:val="1"/>
        <w:rPr>
          <w:rFonts w:hint="eastAsia" w:ascii="宋体" w:hAnsi="宋体" w:eastAsia="宋体" w:cs="宋体"/>
          <w:b w:val="0"/>
          <w:bCs w:val="0"/>
          <w:color w:val="auto"/>
          <w:sz w:val="21"/>
          <w:szCs w:val="21"/>
          <w:highlight w:val="none"/>
        </w:rPr>
      </w:pPr>
      <w:bookmarkStart w:id="375" w:name="_Toc12330"/>
      <w:bookmarkStart w:id="376" w:name="_Toc9455"/>
      <w:r>
        <w:rPr>
          <w:rFonts w:hint="eastAsia" w:ascii="宋体" w:hAnsi="宋体" w:eastAsia="宋体" w:cs="宋体"/>
          <w:b w:val="0"/>
          <w:bCs w:val="0"/>
          <w:color w:val="auto"/>
          <w:sz w:val="21"/>
          <w:szCs w:val="21"/>
          <w:highlight w:val="none"/>
        </w:rPr>
        <w:t>五、合同价格和付款货币</w:t>
      </w:r>
      <w:bookmarkEnd w:id="375"/>
      <w:bookmarkEnd w:id="376"/>
    </w:p>
    <w:p w14:paraId="5FE54091">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合同价格为人民币（大写）：元（小写金额：元）。</w:t>
      </w:r>
    </w:p>
    <w:p w14:paraId="6D0CE1C9">
      <w:pPr>
        <w:keepNext w:val="0"/>
        <w:keepLines w:val="0"/>
        <w:pageBreakBefore w:val="0"/>
        <w:widowControl w:val="0"/>
        <w:kinsoku/>
        <w:wordWrap/>
        <w:overflowPunct/>
        <w:topLinePunct w:val="0"/>
        <w:autoSpaceDE/>
        <w:autoSpaceDN/>
        <w:bidi w:val="0"/>
        <w:adjustRightInd/>
        <w:snapToGrid/>
        <w:spacing w:after="5" w:line="50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详见合同价格清单分项表。除根据合同约定的在工程实施过程中需进行增减的款项外，合同价格不作调整。</w:t>
      </w:r>
    </w:p>
    <w:p w14:paraId="78F54C2F">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outlineLvl w:val="1"/>
        <w:rPr>
          <w:rFonts w:hint="eastAsia" w:ascii="宋体" w:hAnsi="宋体" w:eastAsia="宋体" w:cs="宋体"/>
          <w:b w:val="0"/>
          <w:bCs w:val="0"/>
          <w:color w:val="auto"/>
          <w:sz w:val="21"/>
          <w:szCs w:val="21"/>
          <w:highlight w:val="none"/>
        </w:rPr>
      </w:pPr>
      <w:bookmarkStart w:id="377" w:name="_Toc28712"/>
      <w:bookmarkStart w:id="378" w:name="_Toc17961"/>
      <w:r>
        <w:rPr>
          <w:rFonts w:hint="eastAsia" w:ascii="宋体" w:hAnsi="宋体" w:eastAsia="宋体" w:cs="宋体"/>
          <w:b w:val="0"/>
          <w:bCs w:val="0"/>
          <w:color w:val="auto"/>
          <w:sz w:val="21"/>
          <w:szCs w:val="21"/>
          <w:highlight w:val="none"/>
        </w:rPr>
        <w:t>六、定义与解释</w:t>
      </w:r>
      <w:bookmarkEnd w:id="377"/>
      <w:bookmarkEnd w:id="378"/>
    </w:p>
    <w:p w14:paraId="37015423">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本协议书中有关词语的含义与通用条款中赋予的定义与解释相同。</w:t>
      </w:r>
    </w:p>
    <w:p w14:paraId="12B03A60">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outlineLvl w:val="1"/>
        <w:rPr>
          <w:rFonts w:hint="eastAsia" w:ascii="宋体" w:hAnsi="宋体" w:eastAsia="宋体" w:cs="宋体"/>
          <w:b w:val="0"/>
          <w:bCs w:val="0"/>
          <w:color w:val="auto"/>
          <w:sz w:val="21"/>
          <w:szCs w:val="21"/>
          <w:highlight w:val="none"/>
        </w:rPr>
      </w:pPr>
      <w:bookmarkStart w:id="379" w:name="_Toc16099"/>
      <w:bookmarkStart w:id="380" w:name="_Toc26978"/>
      <w:r>
        <w:rPr>
          <w:rFonts w:hint="eastAsia" w:ascii="宋体" w:hAnsi="宋体" w:eastAsia="宋体" w:cs="宋体"/>
          <w:b w:val="0"/>
          <w:bCs w:val="0"/>
          <w:color w:val="auto"/>
          <w:sz w:val="21"/>
          <w:szCs w:val="21"/>
          <w:highlight w:val="none"/>
        </w:rPr>
        <w:t>七、合同生效</w:t>
      </w:r>
      <w:bookmarkEnd w:id="379"/>
      <w:bookmarkEnd w:id="380"/>
    </w:p>
    <w:p w14:paraId="6F86606D">
      <w:pPr>
        <w:keepNext w:val="0"/>
        <w:keepLines w:val="0"/>
        <w:pageBreakBefore w:val="0"/>
        <w:widowControl w:val="0"/>
        <w:kinsoku/>
        <w:wordWrap/>
        <w:overflowPunct/>
        <w:topLinePunct w:val="0"/>
        <w:autoSpaceDE/>
        <w:autoSpaceDN/>
        <w:bidi w:val="0"/>
        <w:adjustRightInd/>
        <w:snapToGrid/>
        <w:spacing w:after="5" w:line="500" w:lineRule="exact"/>
        <w:ind w:left="482"/>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本合同在以下条件全部满足之后生效：</w:t>
      </w:r>
    </w:p>
    <w:p w14:paraId="396BE21D">
      <w:pPr>
        <w:keepNext w:val="0"/>
        <w:keepLines w:val="0"/>
        <w:pageBreakBefore w:val="0"/>
        <w:widowControl w:val="0"/>
        <w:kinsoku/>
        <w:wordWrap/>
        <w:overflowPunct/>
        <w:topLinePunct w:val="0"/>
        <w:autoSpaceDE/>
        <w:autoSpaceDN/>
        <w:bidi w:val="0"/>
        <w:adjustRightInd/>
        <w:snapToGrid/>
        <w:spacing w:after="5" w:line="500" w:lineRule="exact"/>
        <w:ind w:firstLine="48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发包人：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承包人：</w:t>
      </w:r>
    </w:p>
    <w:p w14:paraId="403BD254">
      <w:pPr>
        <w:keepNext w:val="0"/>
        <w:keepLines w:val="0"/>
        <w:pageBreakBefore w:val="0"/>
        <w:widowControl w:val="0"/>
        <w:kinsoku/>
        <w:wordWrap/>
        <w:overflowPunct/>
        <w:topLinePunct w:val="0"/>
        <w:autoSpaceDE/>
        <w:autoSpaceDN/>
        <w:bidi w:val="0"/>
        <w:adjustRightInd/>
        <w:snapToGrid/>
        <w:spacing w:after="5" w:line="500" w:lineRule="exact"/>
        <w:ind w:firstLine="210" w:firstLineChars="1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（公章或合同专用章）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（公章或合同专用章）</w:t>
      </w:r>
    </w:p>
    <w:p w14:paraId="3ECEAD51">
      <w:pPr>
        <w:keepNext w:val="0"/>
        <w:keepLines w:val="0"/>
        <w:pageBreakBefore w:val="0"/>
        <w:widowControl w:val="0"/>
        <w:kinsoku/>
        <w:wordWrap/>
        <w:overflowPunct/>
        <w:topLinePunct w:val="0"/>
        <w:autoSpaceDE/>
        <w:autoSpaceDN/>
        <w:bidi w:val="0"/>
        <w:adjustRightInd/>
        <w:snapToGrid/>
        <w:spacing w:after="5" w:line="500" w:lineRule="exact"/>
        <w:textAlignment w:val="auto"/>
        <w:rPr>
          <w:rFonts w:hint="eastAsia" w:ascii="宋体" w:hAnsi="宋体" w:eastAsia="宋体" w:cs="宋体"/>
          <w:b w:val="0"/>
          <w:bCs w:val="0"/>
          <w:color w:val="auto"/>
          <w:sz w:val="21"/>
          <w:szCs w:val="21"/>
          <w:highlight w:val="none"/>
        </w:rPr>
      </w:pPr>
    </w:p>
    <w:p w14:paraId="26B3D1E6">
      <w:pPr>
        <w:keepNext w:val="0"/>
        <w:keepLines w:val="0"/>
        <w:pageBreakBefore w:val="0"/>
        <w:widowControl w:val="0"/>
        <w:kinsoku/>
        <w:wordWrap/>
        <w:overflowPunct/>
        <w:topLinePunct w:val="0"/>
        <w:autoSpaceDE/>
        <w:autoSpaceDN/>
        <w:bidi w:val="0"/>
        <w:adjustRightInd/>
        <w:snapToGrid/>
        <w:spacing w:after="5" w:line="500" w:lineRule="exact"/>
        <w:ind w:firstLine="48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法定代表人或其授权代表：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法定代表人或其授权代表：  </w:t>
      </w:r>
    </w:p>
    <w:p w14:paraId="2458DE59">
      <w:pPr>
        <w:keepNext w:val="0"/>
        <w:keepLines w:val="0"/>
        <w:pageBreakBefore w:val="0"/>
        <w:widowControl w:val="0"/>
        <w:kinsoku/>
        <w:wordWrap/>
        <w:overflowPunct/>
        <w:topLinePunct w:val="0"/>
        <w:autoSpaceDE/>
        <w:autoSpaceDN/>
        <w:bidi w:val="0"/>
        <w:adjustRightInd/>
        <w:snapToGrid/>
        <w:spacing w:after="5" w:line="500" w:lineRule="exact"/>
        <w:ind w:firstLine="210" w:firstLineChars="1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（签字）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（签字）</w:t>
      </w:r>
    </w:p>
    <w:p w14:paraId="015B88FF">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工商注册住所：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工商注册住所：</w:t>
      </w:r>
    </w:p>
    <w:p w14:paraId="0FDB0310">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企业组织机构代码：</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企业组织机构代码：</w:t>
      </w:r>
    </w:p>
    <w:p w14:paraId="18E85AB9">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邮政编码：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邮政编码：　　</w:t>
      </w:r>
    </w:p>
    <w:p w14:paraId="5A3267C5">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法定代表人：　　　　</w:t>
      </w:r>
    </w:p>
    <w:p w14:paraId="076D81E5">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授权代表：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授权代表：　　　　</w:t>
      </w:r>
    </w:p>
    <w:p w14:paraId="1170B923">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　　话：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电　　话：　　　　</w:t>
      </w:r>
    </w:p>
    <w:p w14:paraId="20C2E07F">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传　　真：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传　　真：</w:t>
      </w:r>
    </w:p>
    <w:p w14:paraId="49DB0EED">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电子邮箱：</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电子邮箱：　　　　</w:t>
      </w:r>
    </w:p>
    <w:p w14:paraId="74D20BF2">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开户银行：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开户银行：　　　　</w:t>
      </w:r>
    </w:p>
    <w:p w14:paraId="49A06832">
      <w:pPr>
        <w:keepNext w:val="0"/>
        <w:keepLines w:val="0"/>
        <w:pageBreakBefore w:val="0"/>
        <w:widowControl w:val="0"/>
        <w:kinsoku/>
        <w:wordWrap/>
        <w:overflowPunct/>
        <w:topLinePunct w:val="0"/>
        <w:autoSpaceDE/>
        <w:autoSpaceDN/>
        <w:bidi w:val="0"/>
        <w:adjustRightInd/>
        <w:snapToGrid/>
        <w:spacing w:after="5" w:line="500" w:lineRule="exact"/>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账　　号：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账　　号：　　　　　</w:t>
      </w:r>
    </w:p>
    <w:p w14:paraId="1959F4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1"/>
          <w:szCs w:val="21"/>
          <w:highlight w:val="none"/>
        </w:rPr>
      </w:pPr>
    </w:p>
    <w:p w14:paraId="3DAC63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                  </w:t>
      </w:r>
    </w:p>
    <w:p w14:paraId="07230B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合同订立时间：</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日</w:t>
      </w:r>
    </w:p>
    <w:p w14:paraId="3EE802B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p>
    <w:p w14:paraId="4A22A0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合同订立地点：</w:t>
      </w:r>
    </w:p>
    <w:p w14:paraId="17DA44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p>
    <w:p w14:paraId="450DE4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p>
    <w:p w14:paraId="30B137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p>
    <w:p w14:paraId="338238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p>
    <w:p w14:paraId="5AED9A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p>
    <w:p w14:paraId="69A5FE20">
      <w:pPr>
        <w:keepNext w:val="0"/>
        <w:keepLines w:val="0"/>
        <w:pageBreakBefore w:val="0"/>
        <w:widowControl w:val="0"/>
        <w:kinsoku/>
        <w:wordWrap/>
        <w:overflowPunct/>
        <w:topLinePunct w:val="0"/>
        <w:bidi w:val="0"/>
        <w:snapToGrid/>
        <w:spacing w:line="400" w:lineRule="exact"/>
        <w:jc w:val="center"/>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br w:type="page"/>
      </w:r>
      <w:bookmarkStart w:id="381" w:name="_Toc18758"/>
      <w:bookmarkStart w:id="382" w:name="_Toc25776"/>
      <w:r>
        <w:rPr>
          <w:rFonts w:hint="eastAsia" w:ascii="宋体" w:hAnsi="宋体" w:eastAsia="宋体" w:cs="宋体"/>
          <w:b/>
          <w:bCs/>
          <w:color w:val="auto"/>
          <w:sz w:val="24"/>
          <w:szCs w:val="24"/>
          <w:highlight w:val="none"/>
        </w:rPr>
        <w:t>第二部分</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通用条款</w:t>
      </w:r>
      <w:bookmarkEnd w:id="381"/>
      <w:bookmarkEnd w:id="382"/>
    </w:p>
    <w:p w14:paraId="44F098EF">
      <w:pPr>
        <w:keepNext w:val="0"/>
        <w:keepLines w:val="0"/>
        <w:pageBreakBefore w:val="0"/>
        <w:widowControl w:val="0"/>
        <w:kinsoku/>
        <w:wordWrap/>
        <w:overflowPunct/>
        <w:topLinePunct w:val="0"/>
        <w:bidi w:val="0"/>
        <w:snapToGrid/>
        <w:spacing w:line="400" w:lineRule="exact"/>
        <w:jc w:val="center"/>
        <w:textAlignment w:val="auto"/>
        <w:outlineLvl w:val="0"/>
        <w:rPr>
          <w:rFonts w:hint="eastAsia" w:ascii="宋体" w:hAnsi="宋体" w:eastAsia="宋体" w:cs="宋体"/>
          <w:b w:val="0"/>
          <w:bCs w:val="0"/>
          <w:color w:val="auto"/>
          <w:sz w:val="21"/>
          <w:szCs w:val="21"/>
          <w:highlight w:val="none"/>
          <w:lang w:val="en-US" w:eastAsia="zh-CN"/>
        </w:rPr>
      </w:pPr>
    </w:p>
    <w:p w14:paraId="5C38D583">
      <w:pPr>
        <w:keepNext w:val="0"/>
        <w:keepLines w:val="0"/>
        <w:pageBreakBefore w:val="0"/>
        <w:widowControl w:val="0"/>
        <w:kinsoku/>
        <w:wordWrap/>
        <w:overflowPunct/>
        <w:topLinePunct w:val="0"/>
        <w:bidi w:val="0"/>
        <w:snapToGrid/>
        <w:spacing w:line="400" w:lineRule="exact"/>
        <w:jc w:val="center"/>
        <w:textAlignment w:val="auto"/>
        <w:outlineLvl w:val="0"/>
        <w:rPr>
          <w:rFonts w:hint="eastAsia" w:ascii="宋体" w:hAnsi="宋体" w:eastAsia="宋体" w:cs="宋体"/>
          <w:b w:val="0"/>
          <w:bCs w:val="0"/>
          <w:color w:val="auto"/>
          <w:sz w:val="21"/>
          <w:szCs w:val="21"/>
          <w:highlight w:val="none"/>
          <w:lang w:val="en-US" w:eastAsia="zh-CN"/>
        </w:rPr>
      </w:pPr>
      <w:bookmarkStart w:id="383" w:name="_Toc5070"/>
      <w:r>
        <w:rPr>
          <w:rFonts w:hint="eastAsia" w:ascii="宋体" w:hAnsi="宋体" w:eastAsia="宋体" w:cs="宋体"/>
          <w:b w:val="0"/>
          <w:bCs w:val="0"/>
          <w:color w:val="auto"/>
          <w:sz w:val="21"/>
          <w:szCs w:val="21"/>
          <w:highlight w:val="none"/>
          <w:lang w:val="en-US" w:eastAsia="zh-CN"/>
        </w:rPr>
        <w:t>（按国家现行施工总承包合同通用条款标准执行）</w:t>
      </w:r>
      <w:bookmarkEnd w:id="383"/>
    </w:p>
    <w:p w14:paraId="796C6E0E">
      <w:pPr>
        <w:keepNext w:val="0"/>
        <w:keepLines w:val="0"/>
        <w:pageBreakBefore w:val="0"/>
        <w:widowControl w:val="0"/>
        <w:kinsoku/>
        <w:wordWrap/>
        <w:overflowPunct/>
        <w:topLinePunct w:val="0"/>
        <w:bidi w:val="0"/>
        <w:snapToGrid/>
        <w:spacing w:line="400" w:lineRule="exact"/>
        <w:jc w:val="center"/>
        <w:textAlignment w:val="auto"/>
        <w:outlineLvl w:val="0"/>
        <w:rPr>
          <w:rFonts w:hint="eastAsia" w:ascii="宋体" w:hAnsi="宋体" w:eastAsia="宋体" w:cs="宋体"/>
          <w:b w:val="0"/>
          <w:bCs w:val="0"/>
          <w:color w:val="auto"/>
          <w:sz w:val="21"/>
          <w:szCs w:val="21"/>
          <w:highlight w:val="none"/>
        </w:rPr>
      </w:pPr>
    </w:p>
    <w:p w14:paraId="01E68FAA">
      <w:pPr>
        <w:pStyle w:val="37"/>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b w:val="0"/>
          <w:bCs w:val="0"/>
          <w:color w:val="auto"/>
          <w:sz w:val="21"/>
          <w:szCs w:val="21"/>
          <w:highlight w:val="none"/>
        </w:rPr>
      </w:pPr>
    </w:p>
    <w:p w14:paraId="1A67C038">
      <w:pPr>
        <w:pStyle w:val="37"/>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b w:val="0"/>
          <w:bCs w:val="0"/>
          <w:color w:val="auto"/>
          <w:sz w:val="21"/>
          <w:szCs w:val="21"/>
          <w:highlight w:val="none"/>
        </w:rPr>
      </w:pPr>
    </w:p>
    <w:p w14:paraId="614E80E1">
      <w:pPr>
        <w:pStyle w:val="37"/>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b w:val="0"/>
          <w:bCs w:val="0"/>
          <w:color w:val="auto"/>
          <w:sz w:val="21"/>
          <w:szCs w:val="21"/>
          <w:highlight w:val="none"/>
        </w:rPr>
      </w:pPr>
    </w:p>
    <w:p w14:paraId="4155E298">
      <w:pPr>
        <w:pStyle w:val="37"/>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b w:val="0"/>
          <w:bCs w:val="0"/>
          <w:color w:val="auto"/>
          <w:sz w:val="21"/>
          <w:szCs w:val="21"/>
          <w:highlight w:val="none"/>
        </w:rPr>
      </w:pPr>
    </w:p>
    <w:p w14:paraId="577AE91E">
      <w:pPr>
        <w:pStyle w:val="37"/>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b w:val="0"/>
          <w:bCs w:val="0"/>
          <w:color w:val="auto"/>
          <w:sz w:val="21"/>
          <w:szCs w:val="21"/>
          <w:highlight w:val="none"/>
        </w:rPr>
      </w:pPr>
    </w:p>
    <w:p w14:paraId="0BEB9FA6">
      <w:pPr>
        <w:pStyle w:val="37"/>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b w:val="0"/>
          <w:bCs w:val="0"/>
          <w:color w:val="auto"/>
          <w:sz w:val="21"/>
          <w:szCs w:val="21"/>
          <w:highlight w:val="none"/>
        </w:rPr>
      </w:pPr>
    </w:p>
    <w:p w14:paraId="5DDFD650">
      <w:pPr>
        <w:keepNext w:val="0"/>
        <w:keepLines w:val="0"/>
        <w:pageBreakBefore w:val="0"/>
        <w:widowControl w:val="0"/>
        <w:kinsoku/>
        <w:wordWrap/>
        <w:overflowPunct/>
        <w:topLinePunct w:val="0"/>
        <w:bidi w:val="0"/>
        <w:snapToGrid/>
        <w:spacing w:line="400" w:lineRule="exact"/>
        <w:textAlignment w:val="auto"/>
        <w:rPr>
          <w:rFonts w:hint="eastAsia" w:ascii="宋体" w:hAnsi="宋体" w:eastAsia="宋体" w:cs="宋体"/>
          <w:b w:val="0"/>
          <w:bCs w:val="0"/>
          <w:color w:val="auto"/>
          <w:sz w:val="21"/>
          <w:szCs w:val="21"/>
          <w:highlight w:val="none"/>
        </w:rPr>
      </w:pPr>
      <w:bookmarkStart w:id="384" w:name="_Toc15070"/>
      <w:r>
        <w:rPr>
          <w:rFonts w:hint="eastAsia" w:ascii="宋体" w:hAnsi="宋体" w:eastAsia="宋体" w:cs="宋体"/>
          <w:b w:val="0"/>
          <w:bCs w:val="0"/>
          <w:color w:val="auto"/>
          <w:sz w:val="21"/>
          <w:szCs w:val="21"/>
          <w:highlight w:val="none"/>
        </w:rPr>
        <w:br w:type="page"/>
      </w:r>
    </w:p>
    <w:bookmarkEnd w:id="364"/>
    <w:bookmarkEnd w:id="384"/>
    <w:p w14:paraId="68F06912">
      <w:pPr>
        <w:pStyle w:val="6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kern w:val="2"/>
          <w:sz w:val="24"/>
          <w:szCs w:val="24"/>
          <w:highlight w:val="none"/>
          <w:lang w:val="en-US" w:eastAsia="zh-CN" w:bidi="ar-SA"/>
        </w:rPr>
      </w:pPr>
      <w:bookmarkStart w:id="385" w:name="_Toc475977326"/>
      <w:bookmarkStart w:id="386" w:name="_Toc29592"/>
      <w:bookmarkStart w:id="387" w:name="_Toc495667020"/>
      <w:r>
        <w:rPr>
          <w:rFonts w:hint="eastAsia" w:ascii="宋体" w:hAnsi="宋体" w:eastAsia="宋体" w:cs="宋体"/>
          <w:b/>
          <w:bCs/>
          <w:color w:val="auto"/>
          <w:kern w:val="2"/>
          <w:sz w:val="24"/>
          <w:szCs w:val="24"/>
          <w:highlight w:val="none"/>
          <w:lang w:val="en-US" w:eastAsia="zh-CN" w:bidi="ar-SA"/>
        </w:rPr>
        <w:t>第三部分  专用合同条款</w:t>
      </w:r>
      <w:bookmarkEnd w:id="385"/>
      <w:bookmarkEnd w:id="386"/>
      <w:bookmarkEnd w:id="387"/>
    </w:p>
    <w:p w14:paraId="5006C0D3">
      <w:pPr>
        <w:pStyle w:val="61"/>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 w:val="21"/>
          <w:szCs w:val="21"/>
          <w:highlight w:val="none"/>
        </w:rPr>
      </w:pPr>
      <w:bookmarkStart w:id="388" w:name="_Toc351203633"/>
      <w:r>
        <w:rPr>
          <w:rFonts w:hint="eastAsia" w:ascii="宋体" w:hAnsi="宋体" w:eastAsia="宋体" w:cs="宋体"/>
          <w:b/>
          <w:sz w:val="21"/>
          <w:szCs w:val="21"/>
          <w:highlight w:val="none"/>
        </w:rPr>
        <w:t>1</w:t>
      </w:r>
      <w:bookmarkStart w:id="389" w:name="_Toc296347155"/>
      <w:bookmarkStart w:id="390" w:name="_Toc292559361"/>
      <w:bookmarkStart w:id="391" w:name="_Toc297120456"/>
      <w:bookmarkStart w:id="392" w:name="_Toc296944495"/>
      <w:bookmarkStart w:id="393" w:name="_Toc297048342"/>
      <w:bookmarkStart w:id="394" w:name="_Toc296503156"/>
      <w:bookmarkStart w:id="395" w:name="_Toc296891196"/>
      <w:bookmarkStart w:id="396" w:name="_Toc292559866"/>
      <w:bookmarkStart w:id="397" w:name="_Toc296346657"/>
      <w:bookmarkStart w:id="398" w:name="_Toc296890984"/>
      <w:r>
        <w:rPr>
          <w:rFonts w:hint="eastAsia" w:ascii="宋体" w:hAnsi="宋体" w:eastAsia="宋体" w:cs="宋体"/>
          <w:b/>
          <w:sz w:val="21"/>
          <w:szCs w:val="21"/>
          <w:highlight w:val="none"/>
        </w:rPr>
        <w:t>. 一般约定</w:t>
      </w:r>
      <w:bookmarkEnd w:id="388"/>
    </w:p>
    <w:bookmarkEnd w:id="389"/>
    <w:bookmarkEnd w:id="390"/>
    <w:bookmarkEnd w:id="391"/>
    <w:bookmarkEnd w:id="392"/>
    <w:bookmarkEnd w:id="393"/>
    <w:bookmarkEnd w:id="394"/>
    <w:bookmarkEnd w:id="395"/>
    <w:bookmarkEnd w:id="396"/>
    <w:bookmarkEnd w:id="397"/>
    <w:bookmarkEnd w:id="398"/>
    <w:p w14:paraId="6A22C77C">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1.1 词语定义</w:t>
      </w:r>
    </w:p>
    <w:p w14:paraId="02FC2473">
      <w:pPr>
        <w:pStyle w:val="61"/>
        <w:spacing w:line="360" w:lineRule="auto"/>
        <w:ind w:firstLine="45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1.1.1合同</w:t>
      </w:r>
    </w:p>
    <w:p w14:paraId="3D72E16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1.1.1.10其他合同文件包括： </w:t>
      </w:r>
    </w:p>
    <w:p w14:paraId="02D3B3B6">
      <w:pPr>
        <w:pStyle w:val="61"/>
        <w:spacing w:line="360" w:lineRule="auto"/>
        <w:ind w:firstLine="45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1.1.2 合同当事人及其他相关方</w:t>
      </w:r>
    </w:p>
    <w:p w14:paraId="715EC8F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1.1.2.4监理人：</w:t>
      </w:r>
    </w:p>
    <w:p w14:paraId="215E969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名    称：</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w:t>
      </w:r>
    </w:p>
    <w:p w14:paraId="14A1DB6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资质类别和等级：</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1F98A54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联系电话：</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3BCB281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电子信箱：</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207F73F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通信地址：</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26A7461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1.1.2.5 设计人：</w:t>
      </w:r>
    </w:p>
    <w:p w14:paraId="7BC0491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名    称：</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w:t>
      </w:r>
    </w:p>
    <w:p w14:paraId="2079A7E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资质类别和等级：</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6E7A447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联系电话：</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77B9152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电子信箱：</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439C061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通信地址：</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0ABF669C">
      <w:pPr>
        <w:pStyle w:val="61"/>
        <w:spacing w:line="360" w:lineRule="auto"/>
        <w:ind w:firstLine="45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1.1.3 工程和设备</w:t>
      </w:r>
    </w:p>
    <w:p w14:paraId="6152FCB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1.1.3.7 作为施工现场组成部分的其他场所包括：</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rPr>
        <w:t>。</w:t>
      </w:r>
    </w:p>
    <w:p w14:paraId="5796216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1.1.3.9 永久占地包括：</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rPr>
        <w:t>。</w:t>
      </w:r>
    </w:p>
    <w:p w14:paraId="0BD1144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1.1.3.10 临时占地包括：</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rPr>
        <w:t>。</w:t>
      </w:r>
    </w:p>
    <w:p w14:paraId="16F75033">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1.3法律 </w:t>
      </w:r>
    </w:p>
    <w:p w14:paraId="497EE7B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适用于合同的其他规范性文件：</w:t>
      </w:r>
      <w:r>
        <w:rPr>
          <w:rFonts w:hint="eastAsia" w:ascii="宋体" w:hAnsi="宋体" w:eastAsia="宋体" w:cs="宋体"/>
          <w:b/>
          <w:sz w:val="21"/>
          <w:szCs w:val="21"/>
          <w:highlight w:val="none"/>
          <w:u w:val="single"/>
        </w:rPr>
        <w:t>《中华人民共和国建筑法</w:t>
      </w:r>
      <w:r>
        <w:rPr>
          <w:rFonts w:hint="eastAsia" w:ascii="宋体" w:hAnsi="宋体" w:cs="宋体"/>
          <w:b/>
          <w:sz w:val="21"/>
          <w:szCs w:val="21"/>
          <w:highlight w:val="none"/>
          <w:u w:val="single"/>
          <w:lang w:eastAsia="zh-CN"/>
        </w:rPr>
        <w:t>》《</w:t>
      </w:r>
      <w:r>
        <w:rPr>
          <w:rFonts w:hint="eastAsia" w:ascii="宋体" w:hAnsi="宋体" w:eastAsia="宋体" w:cs="宋体"/>
          <w:b/>
          <w:sz w:val="21"/>
          <w:szCs w:val="21"/>
          <w:highlight w:val="none"/>
          <w:u w:val="single"/>
        </w:rPr>
        <w:t>中华人民共和国</w:t>
      </w:r>
      <w:r>
        <w:rPr>
          <w:rFonts w:hint="eastAsia" w:ascii="宋体" w:hAnsi="宋体" w:eastAsia="宋体" w:cs="宋体"/>
          <w:b/>
          <w:sz w:val="21"/>
          <w:szCs w:val="21"/>
          <w:highlight w:val="none"/>
          <w:u w:val="single"/>
          <w:lang w:val="en-US" w:eastAsia="zh-CN"/>
        </w:rPr>
        <w:t>民法典</w:t>
      </w:r>
      <w:r>
        <w:rPr>
          <w:rFonts w:hint="eastAsia" w:ascii="宋体" w:hAnsi="宋体" w:cs="宋体"/>
          <w:b/>
          <w:sz w:val="21"/>
          <w:szCs w:val="21"/>
          <w:highlight w:val="none"/>
          <w:u w:val="single"/>
          <w:lang w:val="en-US" w:eastAsia="zh-CN"/>
        </w:rPr>
        <w:t>》《</w:t>
      </w:r>
      <w:r>
        <w:rPr>
          <w:rFonts w:hint="eastAsia" w:ascii="宋体" w:hAnsi="宋体" w:eastAsia="宋体" w:cs="宋体"/>
          <w:b/>
          <w:sz w:val="21"/>
          <w:szCs w:val="21"/>
          <w:highlight w:val="none"/>
          <w:u w:val="single"/>
        </w:rPr>
        <w:t>中华人民共和国招标投标法</w:t>
      </w:r>
      <w:r>
        <w:rPr>
          <w:rFonts w:hint="eastAsia" w:ascii="宋体" w:hAnsi="宋体" w:cs="宋体"/>
          <w:b/>
          <w:sz w:val="21"/>
          <w:szCs w:val="21"/>
          <w:highlight w:val="none"/>
          <w:u w:val="single"/>
          <w:lang w:eastAsia="zh-CN"/>
        </w:rPr>
        <w:t>》《</w:t>
      </w:r>
      <w:r>
        <w:rPr>
          <w:rFonts w:hint="eastAsia" w:ascii="宋体" w:hAnsi="宋体" w:eastAsia="宋体" w:cs="宋体"/>
          <w:b/>
          <w:sz w:val="21"/>
          <w:szCs w:val="21"/>
          <w:highlight w:val="none"/>
          <w:u w:val="single"/>
        </w:rPr>
        <w:t>中华人民共和国招标投标法实施条例</w:t>
      </w:r>
      <w:r>
        <w:rPr>
          <w:rFonts w:hint="eastAsia" w:ascii="宋体" w:hAnsi="宋体" w:cs="宋体"/>
          <w:b/>
          <w:sz w:val="21"/>
          <w:szCs w:val="21"/>
          <w:highlight w:val="none"/>
          <w:u w:val="single"/>
          <w:lang w:eastAsia="zh-CN"/>
        </w:rPr>
        <w:t>》《</w:t>
      </w:r>
      <w:r>
        <w:rPr>
          <w:rFonts w:hint="eastAsia" w:ascii="宋体" w:hAnsi="宋体" w:eastAsia="宋体" w:cs="宋体"/>
          <w:b/>
          <w:sz w:val="21"/>
          <w:szCs w:val="21"/>
          <w:highlight w:val="none"/>
          <w:u w:val="single"/>
        </w:rPr>
        <w:t>中华人民共和国安全生产法》、国务院《建设工程质量管理条例》、七部委2003年第30号令《工程建设项目施工招标投标办法</w:t>
      </w:r>
      <w:r>
        <w:rPr>
          <w:rFonts w:hint="eastAsia" w:ascii="宋体" w:hAnsi="宋体" w:cs="宋体"/>
          <w:b/>
          <w:sz w:val="21"/>
          <w:szCs w:val="21"/>
          <w:highlight w:val="none"/>
          <w:u w:val="single"/>
          <w:lang w:eastAsia="zh-CN"/>
        </w:rPr>
        <w:t>》《</w:t>
      </w:r>
      <w:r>
        <w:rPr>
          <w:rFonts w:hint="eastAsia" w:ascii="宋体" w:hAnsi="宋体" w:eastAsia="宋体" w:cs="宋体"/>
          <w:b/>
          <w:sz w:val="21"/>
          <w:szCs w:val="21"/>
          <w:highlight w:val="none"/>
          <w:u w:val="single"/>
        </w:rPr>
        <w:t>云南省招标投标条例</w:t>
      </w:r>
      <w:r>
        <w:rPr>
          <w:rFonts w:hint="eastAsia" w:ascii="宋体" w:hAnsi="宋体" w:cs="宋体"/>
          <w:b/>
          <w:sz w:val="21"/>
          <w:szCs w:val="21"/>
          <w:highlight w:val="none"/>
          <w:u w:val="single"/>
          <w:lang w:eastAsia="zh-CN"/>
        </w:rPr>
        <w:t>》《</w:t>
      </w:r>
      <w:r>
        <w:rPr>
          <w:rFonts w:hint="eastAsia" w:ascii="宋体" w:hAnsi="宋体" w:eastAsia="宋体" w:cs="宋体"/>
          <w:b/>
          <w:sz w:val="21"/>
          <w:szCs w:val="21"/>
          <w:highlight w:val="none"/>
          <w:u w:val="single"/>
        </w:rPr>
        <w:t>云南省建筑市场管理条例</w:t>
      </w:r>
      <w:r>
        <w:rPr>
          <w:rFonts w:hint="eastAsia" w:ascii="宋体" w:hAnsi="宋体" w:cs="宋体"/>
          <w:b/>
          <w:sz w:val="21"/>
          <w:szCs w:val="21"/>
          <w:highlight w:val="none"/>
          <w:u w:val="single"/>
          <w:lang w:eastAsia="zh-CN"/>
        </w:rPr>
        <w:t>》《</w:t>
      </w:r>
      <w:r>
        <w:rPr>
          <w:rFonts w:hint="eastAsia" w:ascii="宋体" w:hAnsi="宋体" w:eastAsia="宋体" w:cs="宋体"/>
          <w:b/>
          <w:sz w:val="21"/>
          <w:szCs w:val="21"/>
          <w:highlight w:val="none"/>
          <w:u w:val="single"/>
        </w:rPr>
        <w:t>建设工程施工合同》（示范文本）GF-2013-0201等国家及云南省颁布的现行</w:t>
      </w:r>
      <w:r>
        <w:rPr>
          <w:rFonts w:hint="eastAsia" w:ascii="宋体" w:hAnsi="宋体" w:cs="宋体"/>
          <w:b/>
          <w:sz w:val="21"/>
          <w:szCs w:val="21"/>
          <w:highlight w:val="none"/>
          <w:u w:val="single"/>
          <w:lang w:eastAsia="zh-CN"/>
        </w:rPr>
        <w:t>法律法规</w:t>
      </w:r>
      <w:r>
        <w:rPr>
          <w:rFonts w:hint="eastAsia" w:ascii="宋体" w:hAnsi="宋体" w:eastAsia="宋体" w:cs="宋体"/>
          <w:b/>
          <w:sz w:val="21"/>
          <w:szCs w:val="21"/>
          <w:highlight w:val="none"/>
          <w:u w:val="single"/>
        </w:rPr>
        <w:t>和条例。</w:t>
      </w:r>
    </w:p>
    <w:p w14:paraId="66097B8F">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1.4 标准和规范</w:t>
      </w:r>
    </w:p>
    <w:p w14:paraId="3A2A727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1.4.1适用于工程的标准规范包括：</w:t>
      </w:r>
      <w:r>
        <w:rPr>
          <w:rFonts w:hint="eastAsia" w:ascii="宋体" w:hAnsi="宋体" w:eastAsia="宋体" w:cs="宋体"/>
          <w:b/>
          <w:sz w:val="21"/>
          <w:szCs w:val="21"/>
          <w:highlight w:val="none"/>
          <w:u w:val="single"/>
        </w:rPr>
        <w:t>GB50300-2013《建筑工程施工质量验收统一标准</w:t>
      </w:r>
      <w:r>
        <w:rPr>
          <w:rFonts w:hint="eastAsia" w:ascii="宋体" w:hAnsi="宋体" w:cs="宋体"/>
          <w:b/>
          <w:sz w:val="21"/>
          <w:szCs w:val="21"/>
          <w:highlight w:val="none"/>
          <w:u w:val="single"/>
          <w:lang w:eastAsia="zh-CN"/>
        </w:rPr>
        <w:t>》《</w:t>
      </w:r>
      <w:r>
        <w:rPr>
          <w:rFonts w:hint="eastAsia" w:ascii="宋体" w:hAnsi="宋体" w:eastAsia="宋体" w:cs="宋体"/>
          <w:b/>
          <w:sz w:val="21"/>
          <w:szCs w:val="21"/>
          <w:highlight w:val="none"/>
          <w:u w:val="single"/>
        </w:rPr>
        <w:t>建设工程质量管理条例</w:t>
      </w:r>
      <w:r>
        <w:rPr>
          <w:rFonts w:hint="eastAsia" w:ascii="宋体" w:hAnsi="宋体" w:cs="宋体"/>
          <w:b/>
          <w:sz w:val="21"/>
          <w:szCs w:val="21"/>
          <w:highlight w:val="none"/>
          <w:u w:val="single"/>
          <w:lang w:eastAsia="zh-CN"/>
        </w:rPr>
        <w:t>》《</w:t>
      </w:r>
      <w:r>
        <w:rPr>
          <w:rFonts w:hint="eastAsia" w:ascii="宋体" w:hAnsi="宋体" w:eastAsia="宋体" w:cs="宋体"/>
          <w:b/>
          <w:sz w:val="21"/>
          <w:szCs w:val="21"/>
          <w:highlight w:val="none"/>
          <w:u w:val="single"/>
        </w:rPr>
        <w:t>建设工程工程量清单计价规范》（GB50500-2013）及国家（行业）现行的相关质量标准、验收规范、质量等级评定标准、国家行业主管部门指导工程建设的有关文件。</w:t>
      </w:r>
    </w:p>
    <w:p w14:paraId="2C0EFD2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1.4.2 发包人提供国外标准、规范的名称：</w:t>
      </w:r>
      <w:r>
        <w:rPr>
          <w:rFonts w:hint="eastAsia" w:ascii="宋体" w:hAnsi="宋体" w:eastAsia="宋体" w:cs="宋体"/>
          <w:b/>
          <w:sz w:val="21"/>
          <w:szCs w:val="21"/>
          <w:highlight w:val="none"/>
          <w:u w:val="single"/>
        </w:rPr>
        <w:t xml:space="preserve"> 无  </w:t>
      </w:r>
      <w:r>
        <w:rPr>
          <w:rFonts w:hint="eastAsia" w:ascii="宋体" w:hAnsi="宋体" w:eastAsia="宋体" w:cs="宋体"/>
          <w:b/>
          <w:sz w:val="21"/>
          <w:szCs w:val="21"/>
          <w:highlight w:val="none"/>
        </w:rPr>
        <w:t>；</w:t>
      </w:r>
    </w:p>
    <w:p w14:paraId="1A328A2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发包人提供国外标准、规范的份数：</w:t>
      </w:r>
      <w:r>
        <w:rPr>
          <w:rFonts w:hint="eastAsia" w:ascii="宋体" w:hAnsi="宋体" w:eastAsia="宋体" w:cs="宋体"/>
          <w:b/>
          <w:sz w:val="21"/>
          <w:szCs w:val="21"/>
          <w:highlight w:val="none"/>
          <w:u w:val="single"/>
        </w:rPr>
        <w:t xml:space="preserve"> 无  </w:t>
      </w:r>
      <w:r>
        <w:rPr>
          <w:rFonts w:hint="eastAsia" w:ascii="宋体" w:hAnsi="宋体" w:eastAsia="宋体" w:cs="宋体"/>
          <w:b/>
          <w:sz w:val="21"/>
          <w:szCs w:val="21"/>
          <w:highlight w:val="none"/>
        </w:rPr>
        <w:t>；</w:t>
      </w:r>
    </w:p>
    <w:p w14:paraId="56F68E0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发包人提供国外标准、规范的名称：</w:t>
      </w:r>
      <w:r>
        <w:rPr>
          <w:rFonts w:hint="eastAsia" w:ascii="宋体" w:hAnsi="宋体" w:eastAsia="宋体" w:cs="宋体"/>
          <w:b/>
          <w:sz w:val="21"/>
          <w:szCs w:val="21"/>
          <w:highlight w:val="none"/>
          <w:u w:val="single"/>
        </w:rPr>
        <w:t xml:space="preserve"> 无  </w:t>
      </w:r>
      <w:r>
        <w:rPr>
          <w:rFonts w:hint="eastAsia" w:ascii="宋体" w:hAnsi="宋体" w:eastAsia="宋体" w:cs="宋体"/>
          <w:b/>
          <w:sz w:val="21"/>
          <w:szCs w:val="21"/>
          <w:highlight w:val="none"/>
        </w:rPr>
        <w:t>。</w:t>
      </w:r>
    </w:p>
    <w:p w14:paraId="40ECF89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1.4.3发包人对工程的技术标准和功能要求的特殊要求：</w:t>
      </w:r>
      <w:r>
        <w:rPr>
          <w:rFonts w:hint="eastAsia" w:ascii="宋体" w:hAnsi="宋体" w:eastAsia="宋体" w:cs="宋体"/>
          <w:b/>
          <w:sz w:val="21"/>
          <w:szCs w:val="21"/>
          <w:highlight w:val="none"/>
          <w:u w:val="single"/>
        </w:rPr>
        <w:t>工程质量应符合国家、行业现行设计、施工及验收规范、标准的规定，一次性验收合格。</w:t>
      </w:r>
    </w:p>
    <w:p w14:paraId="55A304EB">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1.5 合同文件的优先顺序</w:t>
      </w:r>
    </w:p>
    <w:p w14:paraId="62C22D9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合同文件组成及优先顺序为</w:t>
      </w:r>
      <w:r>
        <w:rPr>
          <w:rFonts w:hint="eastAsia" w:ascii="宋体" w:hAnsi="宋体" w:eastAsia="宋体" w:cs="宋体"/>
          <w:b/>
          <w:sz w:val="21"/>
          <w:szCs w:val="21"/>
          <w:highlight w:val="none"/>
        </w:rPr>
        <w:t>（即排序在前的文件的效力优先于排序在后的文件的效力）</w:t>
      </w:r>
      <w:r>
        <w:rPr>
          <w:rFonts w:hint="eastAsia" w:ascii="宋体" w:hAnsi="宋体" w:eastAsia="宋体" w:cs="宋体"/>
          <w:bCs/>
          <w:sz w:val="21"/>
          <w:szCs w:val="21"/>
          <w:highlight w:val="none"/>
        </w:rPr>
        <w:t>：</w:t>
      </w:r>
    </w:p>
    <w:p w14:paraId="3011C73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（1）合同协议书及补充协议；</w:t>
      </w:r>
    </w:p>
    <w:p w14:paraId="0A4FE65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（2）中标通知书（如果有）；</w:t>
      </w:r>
    </w:p>
    <w:p w14:paraId="52C8DC8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（3）招标文件、招标补充文件及其附件</w:t>
      </w:r>
    </w:p>
    <w:p w14:paraId="4914431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（4）投标函及其附录（如果有）；</w:t>
      </w:r>
    </w:p>
    <w:p w14:paraId="31EC15C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（5）专用合同条款及其附件；</w:t>
      </w:r>
    </w:p>
    <w:p w14:paraId="2C4073F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（6）通用合同条款；</w:t>
      </w:r>
    </w:p>
    <w:p w14:paraId="69E0F18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（7）技术标准和要求；</w:t>
      </w:r>
    </w:p>
    <w:p w14:paraId="6630BBA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（8）图纸；</w:t>
      </w:r>
    </w:p>
    <w:p w14:paraId="11D11F3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（9）已标价工程量清单或预算书；</w:t>
      </w:r>
    </w:p>
    <w:p w14:paraId="3700074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（10）其他合同文件。</w:t>
      </w:r>
    </w:p>
    <w:p w14:paraId="733B9613">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双方有关工程的洽商、变更等书面协议或文件视为本合同的组成部分。</w:t>
      </w:r>
    </w:p>
    <w:p w14:paraId="4BBE2945">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上述合同文件应能互相解释互相说明，当合同文件中出现不一致时，上面的顺序就是合同的解释顺序。</w:t>
      </w:r>
    </w:p>
    <w:p w14:paraId="346E8332">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1.6 图纸和承包人文件</w:t>
      </w:r>
      <w:r>
        <w:rPr>
          <w:rFonts w:hint="eastAsia" w:ascii="宋体" w:hAnsi="宋体" w:eastAsia="宋体" w:cs="宋体"/>
          <w:b/>
          <w:bCs/>
          <w:sz w:val="21"/>
          <w:szCs w:val="21"/>
          <w:highlight w:val="none"/>
        </w:rPr>
        <w:tab/>
      </w:r>
    </w:p>
    <w:p w14:paraId="305AC22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1.6.1 图纸的提供</w:t>
      </w:r>
    </w:p>
    <w:p w14:paraId="53DC7FE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发包人向承包人提供图纸的期限</w:t>
      </w:r>
      <w:r>
        <w:rPr>
          <w:rFonts w:hint="eastAsia" w:ascii="宋体" w:hAnsi="宋体" w:cs="宋体"/>
          <w:bCs/>
          <w:sz w:val="21"/>
          <w:szCs w:val="21"/>
          <w:highlight w:val="none"/>
          <w:lang w:eastAsia="zh-CN"/>
        </w:rPr>
        <w:t>：</w:t>
      </w:r>
    </w:p>
    <w:p w14:paraId="2FBC982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发包人向承包人提供图纸的数量</w:t>
      </w:r>
      <w:r>
        <w:rPr>
          <w:rFonts w:hint="eastAsia" w:ascii="宋体" w:hAnsi="宋体" w:cs="宋体"/>
          <w:bCs/>
          <w:sz w:val="21"/>
          <w:szCs w:val="21"/>
          <w:highlight w:val="none"/>
          <w:lang w:eastAsia="zh-CN"/>
        </w:rPr>
        <w:t>：</w:t>
      </w:r>
    </w:p>
    <w:p w14:paraId="71A514A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发包人向承包人提供图纸的内容</w:t>
      </w:r>
      <w:r>
        <w:rPr>
          <w:rFonts w:hint="eastAsia" w:ascii="宋体" w:hAnsi="宋体" w:cs="宋体"/>
          <w:bCs/>
          <w:sz w:val="21"/>
          <w:szCs w:val="21"/>
          <w:highlight w:val="none"/>
          <w:lang w:eastAsia="zh-CN"/>
        </w:rPr>
        <w:t>：</w:t>
      </w:r>
    </w:p>
    <w:p w14:paraId="54BB16F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1.6.4 承包人文件</w:t>
      </w:r>
    </w:p>
    <w:p w14:paraId="670017F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需要由承包人提供的文件，包括：</w:t>
      </w:r>
      <w:r>
        <w:rPr>
          <w:rFonts w:hint="eastAsia" w:ascii="宋体" w:hAnsi="宋体" w:eastAsia="宋体" w:cs="宋体"/>
          <w:b/>
          <w:sz w:val="21"/>
          <w:szCs w:val="21"/>
          <w:highlight w:val="none"/>
          <w:u w:val="single"/>
        </w:rPr>
        <w:t>施工组织设计书、1个月完成的工程量报表和后1个月的施工进度计划安排；</w:t>
      </w:r>
    </w:p>
    <w:p w14:paraId="177727A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承包人提供的文件的期限为：</w:t>
      </w:r>
      <w:r>
        <w:rPr>
          <w:rFonts w:hint="eastAsia" w:ascii="宋体" w:hAnsi="宋体" w:eastAsia="宋体" w:cs="宋体"/>
          <w:b/>
          <w:sz w:val="21"/>
          <w:szCs w:val="21"/>
          <w:highlight w:val="none"/>
          <w:u w:val="single"/>
        </w:rPr>
        <w:t>开工前日，承包人向发包人提供施工组织设计书，经发包人和监理工程师批准后实施。每10日向发包人提交前1个月完成的工程量报表和后1个月的施工进度计划安排；</w:t>
      </w:r>
    </w:p>
    <w:p w14:paraId="53D74D5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承包人提供的文件的数量为：</w:t>
      </w:r>
      <w:r>
        <w:rPr>
          <w:rFonts w:hint="eastAsia" w:ascii="宋体" w:hAnsi="宋体" w:eastAsia="宋体" w:cs="宋体"/>
          <w:b/>
          <w:sz w:val="21"/>
          <w:szCs w:val="21"/>
          <w:highlight w:val="none"/>
          <w:u w:val="single"/>
        </w:rPr>
        <w:t xml:space="preserve">一式陆份 </w:t>
      </w:r>
      <w:r>
        <w:rPr>
          <w:rFonts w:hint="eastAsia" w:ascii="宋体" w:hAnsi="宋体" w:eastAsia="宋体" w:cs="宋体"/>
          <w:bCs/>
          <w:sz w:val="21"/>
          <w:szCs w:val="21"/>
          <w:highlight w:val="none"/>
        </w:rPr>
        <w:t>；</w:t>
      </w:r>
    </w:p>
    <w:p w14:paraId="6D45649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承包人提供的文件的形式为：</w:t>
      </w:r>
      <w:r>
        <w:rPr>
          <w:rFonts w:hint="eastAsia" w:ascii="宋体" w:hAnsi="宋体" w:eastAsia="宋体" w:cs="宋体"/>
          <w:b/>
          <w:bCs/>
          <w:sz w:val="21"/>
          <w:szCs w:val="21"/>
          <w:highlight w:val="none"/>
          <w:u w:val="single"/>
        </w:rPr>
        <w:t xml:space="preserve">书面形式 </w:t>
      </w:r>
      <w:r>
        <w:rPr>
          <w:rFonts w:hint="eastAsia" w:ascii="宋体" w:hAnsi="宋体" w:eastAsia="宋体" w:cs="宋体"/>
          <w:bCs/>
          <w:sz w:val="21"/>
          <w:szCs w:val="21"/>
          <w:highlight w:val="none"/>
        </w:rPr>
        <w:t>；</w:t>
      </w:r>
    </w:p>
    <w:p w14:paraId="304505E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发包人审批承包人文件的期限：</w:t>
      </w:r>
      <w:r>
        <w:rPr>
          <w:rFonts w:hint="eastAsia" w:ascii="宋体" w:hAnsi="宋体" w:eastAsia="宋体" w:cs="宋体"/>
          <w:b/>
          <w:sz w:val="21"/>
          <w:szCs w:val="21"/>
          <w:highlight w:val="none"/>
          <w:u w:val="single"/>
        </w:rPr>
        <w:t>收到上述资料后7日内确认或提出修改意见，逾期不确认或未提出修改意见的，视为认可。</w:t>
      </w:r>
    </w:p>
    <w:p w14:paraId="6558321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1.6.5 现场图纸准备</w:t>
      </w:r>
    </w:p>
    <w:p w14:paraId="094DF83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关于现场图纸准备的约定：</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p w14:paraId="6716FD7D">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1.7 联络</w:t>
      </w:r>
    </w:p>
    <w:p w14:paraId="0DED3DD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1.7.1发包人和承包人应当在</w:t>
      </w:r>
      <w:r>
        <w:rPr>
          <w:rFonts w:hint="eastAsia" w:ascii="宋体" w:hAnsi="宋体" w:eastAsia="宋体" w:cs="宋体"/>
          <w:bCs/>
          <w:sz w:val="21"/>
          <w:szCs w:val="21"/>
          <w:highlight w:val="none"/>
          <w:u w:val="single"/>
        </w:rPr>
        <w:t>3</w:t>
      </w:r>
      <w:r>
        <w:rPr>
          <w:rFonts w:hint="eastAsia" w:ascii="宋体" w:hAnsi="宋体" w:eastAsia="宋体" w:cs="宋体"/>
          <w:bCs/>
          <w:sz w:val="21"/>
          <w:szCs w:val="21"/>
          <w:highlight w:val="none"/>
        </w:rPr>
        <w:t>天内将与合同有关的通知、批准、证明、证书、指示、指令、要求、请求、同意、意见、确定和决定等书面函件送达对方当事人。</w:t>
      </w:r>
    </w:p>
    <w:p w14:paraId="5E45B22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1.7.2 发包人接收文件的地点：</w:t>
      </w:r>
      <w:r>
        <w:rPr>
          <w:rFonts w:hint="eastAsia" w:ascii="宋体" w:hAnsi="宋体" w:eastAsia="宋体" w:cs="宋体"/>
          <w:bCs/>
          <w:sz w:val="21"/>
          <w:szCs w:val="21"/>
          <w:highlight w:val="none"/>
          <w:u w:val="single"/>
        </w:rPr>
        <w:t></w:t>
      </w:r>
      <w:r>
        <w:rPr>
          <w:rFonts w:hint="eastAsia" w:ascii="宋体" w:hAnsi="宋体" w:eastAsia="宋体" w:cs="宋体"/>
          <w:b/>
          <w:bCs/>
          <w:sz w:val="21"/>
          <w:szCs w:val="21"/>
          <w:highlight w:val="none"/>
          <w:u w:val="single"/>
        </w:rPr>
        <w:t>发包人现场办公室</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rPr>
        <w:t>；</w:t>
      </w:r>
    </w:p>
    <w:p w14:paraId="1EACAA1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发包人指定的接收人为：</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480875F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承包人接收文件的地点：</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4945FAD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承包人指定的接收人为：</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4C3B381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监理人接收文件的地点：</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046DDEF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监理人指定的接收人为：</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47BD8958">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1.10 交通运输</w:t>
      </w:r>
    </w:p>
    <w:p w14:paraId="740D3E7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bookmarkStart w:id="399" w:name="_Toc312677986"/>
      <w:bookmarkStart w:id="400" w:name="_Toc304295521"/>
      <w:bookmarkStart w:id="401" w:name="_Toc318581155"/>
      <w:bookmarkStart w:id="402" w:name="_Toc300934943"/>
      <w:bookmarkStart w:id="403" w:name="_Toc303539100"/>
      <w:r>
        <w:rPr>
          <w:rFonts w:hint="eastAsia" w:ascii="宋体" w:hAnsi="宋体" w:eastAsia="宋体" w:cs="宋体"/>
          <w:bCs/>
          <w:sz w:val="21"/>
          <w:szCs w:val="21"/>
          <w:highlight w:val="none"/>
        </w:rPr>
        <w:t>.10.1 出入现场的权利</w:t>
      </w:r>
    </w:p>
    <w:p w14:paraId="3E04F5C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关于出入现场的权利的约定：</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bookmarkEnd w:id="399"/>
    <w:bookmarkEnd w:id="400"/>
    <w:bookmarkEnd w:id="401"/>
    <w:bookmarkEnd w:id="402"/>
    <w:bookmarkEnd w:id="403"/>
    <w:p w14:paraId="674C9C0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bookmarkStart w:id="404" w:name="_Toc318581156"/>
      <w:bookmarkStart w:id="405" w:name="_Toc300934944"/>
      <w:bookmarkStart w:id="406" w:name="_Toc312677987"/>
      <w:bookmarkStart w:id="407" w:name="_Toc303539101"/>
      <w:bookmarkStart w:id="408" w:name="_Toc304295522"/>
      <w:r>
        <w:rPr>
          <w:rFonts w:hint="eastAsia" w:ascii="宋体" w:hAnsi="宋体" w:eastAsia="宋体" w:cs="宋体"/>
          <w:bCs/>
          <w:sz w:val="21"/>
          <w:szCs w:val="21"/>
          <w:highlight w:val="none"/>
        </w:rPr>
        <w:t>.10.3 场内交通</w:t>
      </w:r>
    </w:p>
    <w:p w14:paraId="123D6CB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关于场外交通和场内交通的边界的约定：</w:t>
      </w:r>
      <w:r>
        <w:rPr>
          <w:rFonts w:hint="eastAsia" w:ascii="宋体" w:hAnsi="宋体" w:eastAsia="宋体" w:cs="宋体"/>
          <w:b/>
          <w:sz w:val="21"/>
          <w:szCs w:val="21"/>
          <w:highlight w:val="none"/>
          <w:u w:val="single"/>
        </w:rPr>
        <w:t>现场确定</w:t>
      </w:r>
      <w:r>
        <w:rPr>
          <w:rFonts w:hint="eastAsia" w:ascii="宋体" w:hAnsi="宋体" w:eastAsia="宋体" w:cs="宋体"/>
          <w:bCs/>
          <w:sz w:val="21"/>
          <w:szCs w:val="21"/>
          <w:highlight w:val="none"/>
        </w:rPr>
        <w:t>。</w:t>
      </w:r>
    </w:p>
    <w:p w14:paraId="17473BC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关于发包人向承包人免费提供满足工程施工需要的场内道路和交通设施的约定</w:t>
      </w:r>
      <w:bookmarkEnd w:id="404"/>
      <w:bookmarkEnd w:id="405"/>
      <w:bookmarkEnd w:id="406"/>
      <w:bookmarkEnd w:id="407"/>
      <w:bookmarkEnd w:id="408"/>
      <w:bookmarkStart w:id="409" w:name="_Toc318581157"/>
      <w:r>
        <w:rPr>
          <w:rFonts w:hint="eastAsia" w:ascii="宋体" w:hAnsi="宋体" w:eastAsia="宋体" w:cs="宋体"/>
          <w:bCs/>
          <w:sz w:val="21"/>
          <w:szCs w:val="21"/>
          <w:highlight w:val="none"/>
        </w:rPr>
        <w:t>：</w:t>
      </w:r>
      <w:r>
        <w:rPr>
          <w:rFonts w:hint="eastAsia" w:ascii="宋体" w:hAnsi="宋体" w:eastAsia="宋体" w:cs="宋体"/>
          <w:b/>
          <w:bCs/>
          <w:sz w:val="21"/>
          <w:szCs w:val="21"/>
          <w:highlight w:val="none"/>
          <w:u w:val="single"/>
        </w:rPr>
        <w:t xml:space="preserve">无 </w:t>
      </w:r>
      <w:r>
        <w:rPr>
          <w:rFonts w:hint="eastAsia" w:ascii="宋体" w:hAnsi="宋体" w:eastAsia="宋体" w:cs="宋体"/>
          <w:bCs/>
          <w:sz w:val="21"/>
          <w:szCs w:val="21"/>
          <w:highlight w:val="none"/>
          <w:u w:val="single"/>
        </w:rPr>
        <w:t>。</w:t>
      </w:r>
    </w:p>
    <w:p w14:paraId="6FA80A0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1.10.4超大件和超重件的运输</w:t>
      </w:r>
    </w:p>
    <w:p w14:paraId="2E66589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运输超大件或超重件所需的道路和桥梁临时加固改造费用和其他有关费用由</w:t>
      </w:r>
      <w:r>
        <w:rPr>
          <w:rFonts w:hint="eastAsia" w:ascii="宋体" w:hAnsi="宋体" w:eastAsia="宋体" w:cs="宋体"/>
          <w:b/>
          <w:bCs/>
          <w:sz w:val="21"/>
          <w:szCs w:val="21"/>
          <w:highlight w:val="none"/>
          <w:u w:val="single"/>
        </w:rPr>
        <w:t xml:space="preserve">承包人 </w:t>
      </w:r>
      <w:r>
        <w:rPr>
          <w:rFonts w:hint="eastAsia" w:ascii="宋体" w:hAnsi="宋体" w:eastAsia="宋体" w:cs="宋体"/>
          <w:bCs/>
          <w:sz w:val="21"/>
          <w:szCs w:val="21"/>
          <w:highlight w:val="none"/>
        </w:rPr>
        <w:t>承担。</w:t>
      </w:r>
    </w:p>
    <w:bookmarkEnd w:id="409"/>
    <w:p w14:paraId="5455CEC1">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1.11 知识产权</w:t>
      </w:r>
    </w:p>
    <w:p w14:paraId="0D56C83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p w14:paraId="253D2F6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关于发包人提供的上述文件的使用限制的要求：</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p w14:paraId="197D260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1.11.2 关于承包人为实施工程所编制文件的著作权的归属：</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p w14:paraId="4047465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关于承包人提供的上述文件的使用限制的要求：</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p w14:paraId="5790DDA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1.11.4 承包人在施工过程中所采用的专利、专有技术、技术秘密的使用费的承担方式：</w:t>
      </w:r>
      <w:r>
        <w:rPr>
          <w:rFonts w:hint="eastAsia" w:ascii="宋体" w:hAnsi="宋体" w:eastAsia="宋体" w:cs="宋体"/>
          <w:b/>
          <w:sz w:val="21"/>
          <w:szCs w:val="21"/>
          <w:highlight w:val="none"/>
          <w:u w:val="single"/>
        </w:rPr>
        <w:t>已包含在合同价中</w:t>
      </w:r>
      <w:r>
        <w:rPr>
          <w:rFonts w:hint="eastAsia" w:ascii="宋体" w:hAnsi="宋体" w:eastAsia="宋体" w:cs="宋体"/>
          <w:bCs/>
          <w:sz w:val="21"/>
          <w:szCs w:val="21"/>
          <w:highlight w:val="none"/>
        </w:rPr>
        <w:t>。</w:t>
      </w:r>
    </w:p>
    <w:p w14:paraId="07B0D3E4">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1.13工程量清单错误的修正</w:t>
      </w:r>
    </w:p>
    <w:p w14:paraId="3D59DEE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出现工程量清单错误时，是否调整合同价格：</w:t>
      </w:r>
      <w:r>
        <w:rPr>
          <w:rFonts w:hint="eastAsia" w:ascii="宋体" w:hAnsi="宋体" w:eastAsia="宋体" w:cs="宋体"/>
          <w:b/>
          <w:bCs/>
          <w:sz w:val="21"/>
          <w:szCs w:val="21"/>
          <w:highlight w:val="none"/>
          <w:u w:val="single"/>
        </w:rPr>
        <w:t>按本合同约定的方法调整价格</w:t>
      </w:r>
      <w:r>
        <w:rPr>
          <w:rFonts w:hint="eastAsia" w:ascii="宋体" w:hAnsi="宋体" w:eastAsia="宋体" w:cs="宋体"/>
          <w:bCs/>
          <w:sz w:val="21"/>
          <w:szCs w:val="21"/>
          <w:highlight w:val="none"/>
        </w:rPr>
        <w:t>。</w:t>
      </w:r>
    </w:p>
    <w:p w14:paraId="2FA123F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允许调整合同价格的工程量偏差范围：</w:t>
      </w:r>
      <w:r>
        <w:rPr>
          <w:rFonts w:hint="eastAsia" w:ascii="宋体" w:hAnsi="宋体" w:eastAsia="宋体" w:cs="宋体"/>
          <w:b/>
          <w:sz w:val="21"/>
          <w:szCs w:val="21"/>
          <w:highlight w:val="none"/>
          <w:u w:val="single"/>
        </w:rPr>
        <w:t>结算时由于发包人原因造成的工程量清单增减、工程设计变更、施工条件变更、现场签证等引起的工程量变化据实计算。</w:t>
      </w:r>
    </w:p>
    <w:p w14:paraId="0FE7487D">
      <w:pPr>
        <w:pStyle w:val="61"/>
        <w:spacing w:line="360" w:lineRule="auto"/>
        <w:rPr>
          <w:rFonts w:hint="eastAsia" w:ascii="宋体" w:hAnsi="宋体" w:eastAsia="宋体" w:cs="宋体"/>
          <w:b/>
          <w:sz w:val="21"/>
          <w:szCs w:val="21"/>
          <w:highlight w:val="none"/>
        </w:rPr>
      </w:pPr>
      <w:bookmarkStart w:id="410" w:name="_Toc351203634"/>
      <w:r>
        <w:rPr>
          <w:rFonts w:hint="eastAsia" w:ascii="宋体" w:hAnsi="宋体" w:eastAsia="宋体" w:cs="宋体"/>
          <w:b/>
          <w:sz w:val="21"/>
          <w:szCs w:val="21"/>
          <w:highlight w:val="none"/>
        </w:rPr>
        <w:t>2</w:t>
      </w:r>
      <w:bookmarkStart w:id="411" w:name="_Toc292559362"/>
      <w:bookmarkStart w:id="412" w:name="_Toc296503157"/>
      <w:bookmarkStart w:id="413" w:name="_Toc296347156"/>
      <w:bookmarkStart w:id="414" w:name="_Toc296944496"/>
      <w:bookmarkStart w:id="415" w:name="_Toc292559867"/>
      <w:bookmarkStart w:id="416" w:name="_Toc296890985"/>
      <w:bookmarkStart w:id="417" w:name="_Toc297048343"/>
      <w:bookmarkStart w:id="418" w:name="_Toc296346658"/>
      <w:bookmarkStart w:id="419" w:name="_Toc296891197"/>
      <w:bookmarkStart w:id="420" w:name="_Toc297120457"/>
      <w:r>
        <w:rPr>
          <w:rFonts w:hint="eastAsia" w:ascii="宋体" w:hAnsi="宋体" w:eastAsia="宋体" w:cs="宋体"/>
          <w:b/>
          <w:sz w:val="21"/>
          <w:szCs w:val="21"/>
          <w:highlight w:val="none"/>
        </w:rPr>
        <w:t>. 发包人</w:t>
      </w:r>
      <w:bookmarkEnd w:id="410"/>
    </w:p>
    <w:bookmarkEnd w:id="411"/>
    <w:bookmarkEnd w:id="412"/>
    <w:bookmarkEnd w:id="413"/>
    <w:bookmarkEnd w:id="414"/>
    <w:bookmarkEnd w:id="415"/>
    <w:bookmarkEnd w:id="416"/>
    <w:bookmarkEnd w:id="417"/>
    <w:bookmarkEnd w:id="418"/>
    <w:bookmarkEnd w:id="419"/>
    <w:bookmarkEnd w:id="420"/>
    <w:p w14:paraId="79ABF28A">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2.2 发包人代表</w:t>
      </w:r>
    </w:p>
    <w:p w14:paraId="5F06DEC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发包人代表：</w:t>
      </w:r>
    </w:p>
    <w:p w14:paraId="1E0DDE1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姓    名：</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777FF43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身份证号：</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7085983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职    务：</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3D93E8F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联系电话：</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4521D81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电子信箱：</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rPr>
        <w:t>；</w:t>
      </w:r>
    </w:p>
    <w:p w14:paraId="25F845F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通信地址：</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3F1A4AD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发包人对发包人代表的授权范围如下</w:t>
      </w:r>
      <w:r>
        <w:rPr>
          <w:rFonts w:hint="eastAsia" w:ascii="宋体" w:hAnsi="宋体" w:cs="宋体"/>
          <w:bCs/>
          <w:sz w:val="21"/>
          <w:szCs w:val="21"/>
          <w:highlight w:val="none"/>
          <w:lang w:eastAsia="zh-CN"/>
        </w:rPr>
        <w:t>：</w:t>
      </w:r>
    </w:p>
    <w:p w14:paraId="1293E831">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2.4 施工现场、施工条件和基础资料的提供</w:t>
      </w:r>
    </w:p>
    <w:p w14:paraId="1BAD9CC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2.4.1 提供施工现场</w:t>
      </w:r>
    </w:p>
    <w:p w14:paraId="43DCAE7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关于发包人移交施工现场的期限要求：</w:t>
      </w:r>
      <w:r>
        <w:rPr>
          <w:rFonts w:hint="eastAsia" w:ascii="宋体" w:hAnsi="宋体" w:eastAsia="宋体" w:cs="宋体"/>
          <w:b/>
          <w:sz w:val="21"/>
          <w:szCs w:val="21"/>
          <w:highlight w:val="none"/>
          <w:u w:val="single"/>
        </w:rPr>
        <w:t>已具备施工条件。</w:t>
      </w:r>
    </w:p>
    <w:p w14:paraId="7D5BA23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2.4.2 提供施工条件</w:t>
      </w:r>
    </w:p>
    <w:p w14:paraId="16A77C03">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Cs/>
          <w:sz w:val="21"/>
          <w:szCs w:val="21"/>
          <w:highlight w:val="none"/>
        </w:rPr>
        <w:t>关于发包人应负责提供施工所需要的条件，包括：</w:t>
      </w:r>
      <w:r>
        <w:rPr>
          <w:rFonts w:hint="eastAsia" w:ascii="宋体" w:hAnsi="宋体" w:eastAsia="宋体" w:cs="宋体"/>
          <w:b/>
          <w:bCs/>
          <w:sz w:val="21"/>
          <w:szCs w:val="21"/>
          <w:highlight w:val="none"/>
          <w:u w:val="single"/>
        </w:rPr>
        <w:t>发包人</w:t>
      </w:r>
      <w:r>
        <w:rPr>
          <w:rFonts w:hint="eastAsia" w:ascii="宋体" w:hAnsi="宋体" w:eastAsia="宋体" w:cs="宋体"/>
          <w:b/>
          <w:sz w:val="21"/>
          <w:szCs w:val="21"/>
          <w:highlight w:val="none"/>
          <w:u w:val="single"/>
        </w:rPr>
        <w:t>提供相应的水源点、电源点，并由承包人装表计量。承包</w:t>
      </w:r>
      <w:r>
        <w:rPr>
          <w:rFonts w:hint="eastAsia" w:ascii="宋体" w:hAnsi="宋体" w:cs="宋体"/>
          <w:b/>
          <w:sz w:val="21"/>
          <w:szCs w:val="21"/>
          <w:highlight w:val="none"/>
          <w:u w:val="single"/>
          <w:lang w:eastAsia="zh-CN"/>
        </w:rPr>
        <w:t>人根</w:t>
      </w:r>
      <w:r>
        <w:rPr>
          <w:rFonts w:hint="eastAsia" w:ascii="宋体" w:hAnsi="宋体" w:eastAsia="宋体" w:cs="宋体"/>
          <w:b/>
          <w:sz w:val="21"/>
          <w:szCs w:val="21"/>
          <w:highlight w:val="none"/>
          <w:u w:val="single"/>
        </w:rPr>
        <w:t>据实际用量和相应的损耗缴纳水电费，并负责管护相应水电设备。</w:t>
      </w:r>
    </w:p>
    <w:p w14:paraId="496B4BB2">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2.5 资金来源证明及支付担保</w:t>
      </w:r>
    </w:p>
    <w:p w14:paraId="55954F4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发包人提供资金来源证明的期限要求：</w:t>
      </w:r>
      <w:r>
        <w:rPr>
          <w:rFonts w:hint="eastAsia" w:ascii="宋体" w:hAnsi="宋体" w:eastAsia="宋体" w:cs="宋体"/>
          <w:b/>
          <w:sz w:val="21"/>
          <w:szCs w:val="21"/>
          <w:highlight w:val="none"/>
          <w:u w:val="single"/>
        </w:rPr>
        <w:t xml:space="preserve"> 无 </w:t>
      </w:r>
      <w:r>
        <w:rPr>
          <w:rFonts w:hint="eastAsia" w:ascii="宋体" w:hAnsi="宋体" w:eastAsia="宋体" w:cs="宋体"/>
          <w:bCs/>
          <w:sz w:val="21"/>
          <w:szCs w:val="21"/>
          <w:highlight w:val="none"/>
        </w:rPr>
        <w:t>。</w:t>
      </w:r>
    </w:p>
    <w:p w14:paraId="3EA5FCC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发包人是否提供支付担保：</w:t>
      </w:r>
      <w:r>
        <w:rPr>
          <w:rFonts w:hint="eastAsia" w:ascii="宋体" w:hAnsi="宋体" w:eastAsia="宋体" w:cs="宋体"/>
          <w:b/>
          <w:sz w:val="21"/>
          <w:szCs w:val="21"/>
          <w:highlight w:val="none"/>
          <w:u w:val="single"/>
        </w:rPr>
        <w:t xml:space="preserve">无 </w:t>
      </w:r>
      <w:r>
        <w:rPr>
          <w:rFonts w:hint="eastAsia" w:ascii="宋体" w:hAnsi="宋体" w:eastAsia="宋体" w:cs="宋体"/>
          <w:bCs/>
          <w:sz w:val="21"/>
          <w:szCs w:val="21"/>
          <w:highlight w:val="none"/>
        </w:rPr>
        <w:t>。</w:t>
      </w:r>
    </w:p>
    <w:p w14:paraId="5B9E955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发包人提供支付担保的形式：</w:t>
      </w:r>
      <w:r>
        <w:rPr>
          <w:rFonts w:hint="eastAsia" w:ascii="宋体" w:hAnsi="宋体" w:eastAsia="宋体" w:cs="宋体"/>
          <w:b/>
          <w:sz w:val="21"/>
          <w:szCs w:val="21"/>
          <w:highlight w:val="none"/>
          <w:u w:val="single"/>
        </w:rPr>
        <w:t xml:space="preserve">无 </w:t>
      </w:r>
      <w:r>
        <w:rPr>
          <w:rFonts w:hint="eastAsia" w:ascii="宋体" w:hAnsi="宋体" w:eastAsia="宋体" w:cs="宋体"/>
          <w:bCs/>
          <w:sz w:val="21"/>
          <w:szCs w:val="21"/>
          <w:highlight w:val="none"/>
        </w:rPr>
        <w:t>。</w:t>
      </w:r>
    </w:p>
    <w:p w14:paraId="1C6DA47B">
      <w:pPr>
        <w:pStyle w:val="61"/>
        <w:spacing w:line="360" w:lineRule="auto"/>
        <w:rPr>
          <w:rFonts w:hint="eastAsia" w:ascii="宋体" w:hAnsi="宋体" w:eastAsia="宋体" w:cs="宋体"/>
          <w:b/>
          <w:sz w:val="21"/>
          <w:szCs w:val="21"/>
          <w:highlight w:val="none"/>
        </w:rPr>
      </w:pPr>
      <w:bookmarkStart w:id="421" w:name="_Toc351203635"/>
      <w:r>
        <w:rPr>
          <w:rFonts w:hint="eastAsia" w:ascii="宋体" w:hAnsi="宋体" w:eastAsia="宋体" w:cs="宋体"/>
          <w:b/>
          <w:sz w:val="21"/>
          <w:szCs w:val="21"/>
          <w:highlight w:val="none"/>
        </w:rPr>
        <w:t>3</w:t>
      </w:r>
      <w:bookmarkStart w:id="422" w:name="_Toc296503158"/>
      <w:bookmarkStart w:id="423" w:name="_Toc296347157"/>
      <w:bookmarkStart w:id="424" w:name="_Toc292559868"/>
      <w:bookmarkStart w:id="425" w:name="_Toc297120458"/>
      <w:bookmarkStart w:id="426" w:name="_Toc296346659"/>
      <w:bookmarkStart w:id="427" w:name="_Toc296944497"/>
      <w:bookmarkStart w:id="428" w:name="_Toc292559363"/>
      <w:bookmarkStart w:id="429" w:name="_Toc297048344"/>
      <w:bookmarkStart w:id="430" w:name="_Toc296890986"/>
      <w:bookmarkStart w:id="431" w:name="_Toc296891198"/>
      <w:r>
        <w:rPr>
          <w:rFonts w:hint="eastAsia" w:ascii="宋体" w:hAnsi="宋体" w:eastAsia="宋体" w:cs="宋体"/>
          <w:b/>
          <w:sz w:val="21"/>
          <w:szCs w:val="21"/>
          <w:highlight w:val="none"/>
        </w:rPr>
        <w:t>. 承包人</w:t>
      </w:r>
      <w:bookmarkEnd w:id="421"/>
    </w:p>
    <w:bookmarkEnd w:id="422"/>
    <w:bookmarkEnd w:id="423"/>
    <w:bookmarkEnd w:id="424"/>
    <w:bookmarkEnd w:id="425"/>
    <w:bookmarkEnd w:id="426"/>
    <w:bookmarkEnd w:id="427"/>
    <w:bookmarkEnd w:id="428"/>
    <w:bookmarkEnd w:id="429"/>
    <w:bookmarkEnd w:id="430"/>
    <w:bookmarkEnd w:id="431"/>
    <w:p w14:paraId="45D10031">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3.1 承包人的一般义务</w:t>
      </w:r>
    </w:p>
    <w:p w14:paraId="2E66EF8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（9）承包人提交的竣工资料的内容：</w:t>
      </w:r>
      <w:r>
        <w:rPr>
          <w:rFonts w:hint="eastAsia" w:ascii="宋体" w:hAnsi="宋体" w:eastAsia="宋体" w:cs="宋体"/>
          <w:b/>
          <w:sz w:val="21"/>
          <w:szCs w:val="21"/>
          <w:highlight w:val="none"/>
          <w:u w:val="single"/>
        </w:rPr>
        <w:t>完整的、经核验签证后的竣工资料，竣工资料需达到相关管理部门的入档要求。绘制竣工图用的图纸由发包人提供。</w:t>
      </w:r>
    </w:p>
    <w:p w14:paraId="4EA56C0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承包人需要提交的竣工资料套数：</w:t>
      </w:r>
      <w:r>
        <w:rPr>
          <w:rFonts w:hint="eastAsia" w:ascii="宋体" w:hAnsi="宋体" w:cs="宋体"/>
          <w:b/>
          <w:sz w:val="21"/>
          <w:szCs w:val="21"/>
          <w:highlight w:val="none"/>
          <w:u w:val="single"/>
          <w:lang w:eastAsia="zh-CN"/>
        </w:rPr>
        <w:t>一式四份</w:t>
      </w:r>
      <w:r>
        <w:rPr>
          <w:rFonts w:hint="eastAsia" w:ascii="宋体" w:hAnsi="宋体" w:eastAsia="宋体" w:cs="宋体"/>
          <w:b/>
          <w:sz w:val="21"/>
          <w:szCs w:val="21"/>
          <w:highlight w:val="none"/>
          <w:u w:val="single"/>
        </w:rPr>
        <w:t>。</w:t>
      </w:r>
    </w:p>
    <w:p w14:paraId="17D1C0D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承包人提交的竣工资料的费用承担：</w:t>
      </w:r>
      <w:r>
        <w:rPr>
          <w:rFonts w:hint="eastAsia" w:ascii="宋体" w:hAnsi="宋体" w:eastAsia="宋体" w:cs="宋体"/>
          <w:b/>
          <w:sz w:val="21"/>
          <w:szCs w:val="21"/>
          <w:highlight w:val="none"/>
          <w:u w:val="single"/>
        </w:rPr>
        <w:t>竣工资料编制等费用由承包人负责。</w:t>
      </w:r>
    </w:p>
    <w:p w14:paraId="2B639D1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承包人提交的竣工资料移交时间：</w:t>
      </w:r>
      <w:r>
        <w:rPr>
          <w:rFonts w:hint="eastAsia" w:ascii="宋体" w:hAnsi="宋体" w:eastAsia="宋体" w:cs="宋体"/>
          <w:b/>
          <w:sz w:val="21"/>
          <w:szCs w:val="21"/>
          <w:highlight w:val="none"/>
          <w:u w:val="single"/>
        </w:rPr>
        <w:t>工程竣工验收后15天内。</w:t>
      </w:r>
    </w:p>
    <w:p w14:paraId="1385336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承包人提交的竣工资料形式要求：</w:t>
      </w:r>
      <w:r>
        <w:rPr>
          <w:rFonts w:hint="eastAsia" w:ascii="宋体" w:hAnsi="宋体" w:eastAsia="宋体" w:cs="宋体"/>
          <w:b/>
          <w:sz w:val="21"/>
          <w:szCs w:val="21"/>
          <w:highlight w:val="none"/>
          <w:u w:val="single"/>
        </w:rPr>
        <w:t>向发包方提供</w:t>
      </w:r>
      <w:r>
        <w:rPr>
          <w:rFonts w:hint="eastAsia" w:ascii="宋体" w:hAnsi="宋体" w:cs="宋体"/>
          <w:b/>
          <w:sz w:val="21"/>
          <w:szCs w:val="21"/>
          <w:highlight w:val="none"/>
          <w:u w:val="single"/>
          <w:lang w:eastAsia="zh-CN"/>
        </w:rPr>
        <w:t>一式四份</w:t>
      </w:r>
      <w:r>
        <w:rPr>
          <w:rFonts w:hint="eastAsia" w:ascii="宋体" w:hAnsi="宋体" w:eastAsia="宋体" w:cs="宋体"/>
          <w:b/>
          <w:sz w:val="21"/>
          <w:szCs w:val="21"/>
          <w:highlight w:val="none"/>
          <w:u w:val="single"/>
        </w:rPr>
        <w:t>完整的、经核验签证后的竣工资料，包括纸质和电子光盘。</w:t>
      </w:r>
    </w:p>
    <w:p w14:paraId="043B990F">
      <w:pPr>
        <w:pStyle w:val="61"/>
        <w:spacing w:line="360" w:lineRule="auto"/>
        <w:ind w:firstLine="459"/>
        <w:rPr>
          <w:rFonts w:hint="eastAsia" w:ascii="宋体" w:hAnsi="宋体" w:eastAsia="宋体" w:cs="宋体"/>
          <w:b/>
          <w:sz w:val="21"/>
          <w:szCs w:val="21"/>
          <w:highlight w:val="none"/>
          <w:u w:val="single"/>
        </w:rPr>
      </w:pPr>
      <w:r>
        <w:rPr>
          <w:rFonts w:hint="eastAsia" w:ascii="宋体" w:hAnsi="宋体" w:eastAsia="宋体" w:cs="宋体"/>
          <w:bCs/>
          <w:sz w:val="21"/>
          <w:szCs w:val="21"/>
          <w:highlight w:val="none"/>
        </w:rPr>
        <w:t>（10）承包人应履行的其他义务：</w:t>
      </w:r>
      <w:r>
        <w:rPr>
          <w:rFonts w:hint="eastAsia" w:ascii="宋体" w:hAnsi="宋体" w:eastAsia="宋体" w:cs="宋体"/>
          <w:b/>
          <w:sz w:val="21"/>
          <w:szCs w:val="21"/>
          <w:highlight w:val="none"/>
          <w:u w:val="single"/>
        </w:rPr>
        <w:t>在工程开工前和施工过程中由发承包双方协商确定。</w:t>
      </w:r>
    </w:p>
    <w:p w14:paraId="109BCF96">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3.2 项目经理</w:t>
      </w:r>
    </w:p>
    <w:p w14:paraId="11DE849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3.2.1 项目经理：</w:t>
      </w:r>
    </w:p>
    <w:p w14:paraId="73A8DF3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姓    名：</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6852884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身份证号：</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3335A77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建造师执业资格等级：</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2F9621D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建造师注册证书号：</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4450FAA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建造师执业印章号：</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085582D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安全生产考核合格证书号：</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2400153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联系电话：</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0EFB187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电子信箱：</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52C48EC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通信地址：</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509343C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承包人对项目经理的授权范围如下：</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rPr>
        <w:t>。</w:t>
      </w:r>
    </w:p>
    <w:p w14:paraId="77589D2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关于项目经理每月在施工现场的时间要求：</w:t>
      </w:r>
      <w:r>
        <w:rPr>
          <w:rFonts w:hint="eastAsia" w:ascii="宋体" w:hAnsi="宋体" w:eastAsia="宋体" w:cs="宋体"/>
          <w:b/>
          <w:kern w:val="0"/>
          <w:sz w:val="21"/>
          <w:szCs w:val="21"/>
          <w:highlight w:val="none"/>
          <w:u w:val="single"/>
        </w:rPr>
        <w:t>派驻现场的项目经理必须全过程驻场，离开现场必须向监理单位和业主单位书面请假。</w:t>
      </w:r>
    </w:p>
    <w:p w14:paraId="247B984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承包人未提交劳动合同，以及没有为项目经理缴纳社会保险证明的违约责任：</w:t>
      </w:r>
      <w:r>
        <w:rPr>
          <w:rFonts w:hint="eastAsia" w:ascii="宋体" w:hAnsi="宋体" w:eastAsia="宋体" w:cs="宋体"/>
          <w:bCs/>
          <w:sz w:val="21"/>
          <w:szCs w:val="21"/>
          <w:highlight w:val="none"/>
          <w:u w:val="single"/>
        </w:rPr>
        <w:t>按通用条款执行</w:t>
      </w:r>
      <w:r>
        <w:rPr>
          <w:rFonts w:hint="eastAsia" w:ascii="宋体" w:hAnsi="宋体" w:eastAsia="宋体" w:cs="宋体"/>
          <w:bCs/>
          <w:sz w:val="21"/>
          <w:szCs w:val="21"/>
          <w:highlight w:val="none"/>
        </w:rPr>
        <w:t>。</w:t>
      </w:r>
    </w:p>
    <w:p w14:paraId="60DE7EC6">
      <w:pPr>
        <w:pStyle w:val="61"/>
        <w:spacing w:line="360" w:lineRule="auto"/>
        <w:ind w:firstLine="459"/>
        <w:rPr>
          <w:rFonts w:hint="eastAsia" w:ascii="宋体" w:hAnsi="宋体" w:eastAsia="宋体" w:cs="宋体"/>
          <w:b/>
          <w:bCs/>
          <w:color w:val="000000"/>
          <w:sz w:val="21"/>
          <w:szCs w:val="21"/>
          <w:highlight w:val="none"/>
        </w:rPr>
      </w:pPr>
      <w:r>
        <w:rPr>
          <w:rFonts w:hint="eastAsia" w:ascii="宋体" w:hAnsi="宋体" w:eastAsia="宋体" w:cs="宋体"/>
          <w:bCs/>
          <w:sz w:val="21"/>
          <w:szCs w:val="21"/>
          <w:highlight w:val="none"/>
        </w:rPr>
        <w:t>项目经理未经批准，擅自离开施工现场的违约责任：</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kern w:val="0"/>
          <w:sz w:val="21"/>
          <w:szCs w:val="21"/>
          <w:highlight w:val="none"/>
          <w:u w:val="single"/>
        </w:rPr>
        <w:t>。</w:t>
      </w:r>
    </w:p>
    <w:p w14:paraId="55AEBCFF">
      <w:pPr>
        <w:pStyle w:val="61"/>
        <w:spacing w:line="360" w:lineRule="auto"/>
        <w:ind w:firstLine="459"/>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3.2.3 承包人擅自更换项目经理的违约责任：</w:t>
      </w:r>
      <w:r>
        <w:rPr>
          <w:rFonts w:hint="eastAsia" w:ascii="宋体" w:hAnsi="宋体" w:eastAsia="宋体" w:cs="宋体"/>
          <w:b/>
          <w:color w:val="000000"/>
          <w:sz w:val="21"/>
          <w:szCs w:val="21"/>
          <w:highlight w:val="none"/>
          <w:u w:val="single"/>
        </w:rPr>
        <w:t xml:space="preserve">                      。</w:t>
      </w:r>
    </w:p>
    <w:p w14:paraId="6CB9F90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3.2.4 承包人无正当理由拒绝更换项目经理的违约责任：</w:t>
      </w:r>
      <w:r>
        <w:rPr>
          <w:rFonts w:hint="eastAsia" w:ascii="宋体" w:hAnsi="宋体" w:eastAsia="宋体" w:cs="宋体"/>
          <w:b/>
          <w:sz w:val="21"/>
          <w:szCs w:val="21"/>
          <w:highlight w:val="none"/>
          <w:u w:val="single"/>
        </w:rPr>
        <w:t>发包人或监理工程师发现承包人派驻现场的人员不能满足项目实施要求，有权要求承包人更换或增派相关人员，承包人应立即执行，否则将</w:t>
      </w:r>
      <w:r>
        <w:rPr>
          <w:rFonts w:hint="eastAsia" w:ascii="宋体" w:hAnsi="宋体" w:cs="宋体"/>
          <w:b/>
          <w:sz w:val="21"/>
          <w:szCs w:val="21"/>
          <w:highlight w:val="none"/>
          <w:u w:val="single"/>
          <w:lang w:eastAsia="zh-CN"/>
        </w:rPr>
        <w:t>视为</w:t>
      </w:r>
      <w:r>
        <w:rPr>
          <w:rFonts w:hint="eastAsia" w:ascii="宋体" w:hAnsi="宋体" w:eastAsia="宋体" w:cs="宋体"/>
          <w:b/>
          <w:sz w:val="21"/>
          <w:szCs w:val="21"/>
          <w:highlight w:val="none"/>
          <w:u w:val="single"/>
        </w:rPr>
        <w:t>承包人违约。</w:t>
      </w:r>
    </w:p>
    <w:p w14:paraId="7EF9C7B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3.3 承包人人员</w:t>
      </w:r>
    </w:p>
    <w:p w14:paraId="224B637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3.3.1 承包人提交项目管理机构及施工现场管理人员安排报告的期限：</w:t>
      </w:r>
      <w:r>
        <w:rPr>
          <w:rFonts w:hint="eastAsia" w:ascii="宋体" w:hAnsi="宋体" w:eastAsia="宋体" w:cs="宋体"/>
          <w:b/>
          <w:sz w:val="21"/>
          <w:szCs w:val="21"/>
          <w:highlight w:val="none"/>
          <w:u w:val="single"/>
        </w:rPr>
        <w:t>开工前3天，承包人向发包人提供</w:t>
      </w:r>
      <w:r>
        <w:rPr>
          <w:rFonts w:hint="eastAsia" w:ascii="宋体" w:hAnsi="宋体" w:eastAsia="宋体" w:cs="宋体"/>
          <w:b/>
          <w:bCs/>
          <w:sz w:val="21"/>
          <w:szCs w:val="21"/>
          <w:highlight w:val="none"/>
          <w:u w:val="single"/>
        </w:rPr>
        <w:t>项目管理机构及施工现场管理人员安排报告</w:t>
      </w:r>
      <w:r>
        <w:rPr>
          <w:rFonts w:hint="eastAsia" w:ascii="宋体" w:hAnsi="宋体" w:eastAsia="宋体" w:cs="宋体"/>
          <w:b/>
          <w:sz w:val="21"/>
          <w:szCs w:val="21"/>
          <w:highlight w:val="none"/>
          <w:u w:val="single"/>
        </w:rPr>
        <w:t>。</w:t>
      </w:r>
    </w:p>
    <w:p w14:paraId="79CE0BA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3.3.3 承包人无正当理由拒绝撤换主要施工管理人员的违约责任：</w:t>
      </w:r>
      <w:r>
        <w:rPr>
          <w:rFonts w:hint="eastAsia" w:ascii="宋体" w:hAnsi="宋体" w:eastAsia="宋体" w:cs="宋体"/>
          <w:b/>
          <w:sz w:val="21"/>
          <w:szCs w:val="21"/>
          <w:highlight w:val="none"/>
          <w:u w:val="single"/>
        </w:rPr>
        <w:t>发包人或监理工程师发现承包人派驻现场的人员不能满足项目实施要求，有权要求承包人更换或增派相关人员，承包人应立即执行，否则将</w:t>
      </w:r>
      <w:r>
        <w:rPr>
          <w:rFonts w:hint="eastAsia" w:ascii="宋体" w:hAnsi="宋体" w:cs="宋体"/>
          <w:b/>
          <w:sz w:val="21"/>
          <w:szCs w:val="21"/>
          <w:highlight w:val="none"/>
          <w:u w:val="single"/>
          <w:lang w:eastAsia="zh-CN"/>
        </w:rPr>
        <w:t>视为</w:t>
      </w:r>
      <w:r>
        <w:rPr>
          <w:rFonts w:hint="eastAsia" w:ascii="宋体" w:hAnsi="宋体" w:eastAsia="宋体" w:cs="宋体"/>
          <w:b/>
          <w:sz w:val="21"/>
          <w:szCs w:val="21"/>
          <w:highlight w:val="none"/>
          <w:u w:val="single"/>
        </w:rPr>
        <w:t>承包人违约，发包人有权单方面终止合同</w:t>
      </w:r>
      <w:r>
        <w:rPr>
          <w:rFonts w:hint="eastAsia" w:ascii="宋体" w:hAnsi="宋体" w:eastAsia="宋体" w:cs="宋体"/>
          <w:bCs/>
          <w:sz w:val="21"/>
          <w:szCs w:val="21"/>
          <w:highlight w:val="none"/>
        </w:rPr>
        <w:t>。</w:t>
      </w:r>
    </w:p>
    <w:p w14:paraId="48A5A04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3.3.4 承包人主要施工管理人员离开施工现场的批准要求：</w:t>
      </w:r>
      <w:r>
        <w:rPr>
          <w:rFonts w:hint="eastAsia" w:ascii="宋体" w:hAnsi="宋体" w:eastAsia="宋体" w:cs="宋体"/>
          <w:b/>
          <w:sz w:val="21"/>
          <w:szCs w:val="21"/>
          <w:highlight w:val="none"/>
          <w:u w:val="single"/>
        </w:rPr>
        <w:t>承包人的</w:t>
      </w:r>
      <w:r>
        <w:rPr>
          <w:rFonts w:hint="eastAsia" w:ascii="宋体" w:hAnsi="宋体" w:eastAsia="宋体" w:cs="宋体"/>
          <w:b/>
          <w:bCs/>
          <w:sz w:val="21"/>
          <w:szCs w:val="21"/>
          <w:highlight w:val="none"/>
          <w:u w:val="single"/>
        </w:rPr>
        <w:t>主要施工管理人员</w:t>
      </w:r>
      <w:r>
        <w:rPr>
          <w:rFonts w:hint="eastAsia" w:ascii="宋体" w:hAnsi="宋体" w:eastAsia="宋体" w:cs="宋体"/>
          <w:b/>
          <w:sz w:val="21"/>
          <w:szCs w:val="21"/>
          <w:highlight w:val="none"/>
          <w:u w:val="single"/>
        </w:rPr>
        <w:t>离开工地，应经监理工程师批准同意。</w:t>
      </w:r>
    </w:p>
    <w:p w14:paraId="4F77BA3D">
      <w:pPr>
        <w:pStyle w:val="61"/>
        <w:spacing w:line="360" w:lineRule="auto"/>
        <w:ind w:firstLine="459"/>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3.3.5承包人擅自更换主要施工管理人员的违约责任：</w:t>
      </w:r>
      <w:r>
        <w:rPr>
          <w:rFonts w:hint="eastAsia" w:ascii="宋体" w:hAnsi="宋体" w:eastAsia="宋体" w:cs="宋体"/>
          <w:b/>
          <w:sz w:val="21"/>
          <w:szCs w:val="21"/>
          <w:highlight w:val="none"/>
          <w:u w:val="single"/>
        </w:rPr>
        <w:t>派驻本合同工程的主要施工管理人员必须为投标时所报人员，特殊情况需要更换的，</w:t>
      </w:r>
      <w:r>
        <w:rPr>
          <w:rFonts w:hint="eastAsia" w:ascii="宋体" w:hAnsi="宋体" w:eastAsia="宋体" w:cs="宋体"/>
          <w:b/>
          <w:color w:val="000000"/>
          <w:sz w:val="21"/>
          <w:szCs w:val="21"/>
          <w:highlight w:val="none"/>
          <w:u w:val="single"/>
        </w:rPr>
        <w:t>必须经发包人同意 。</w:t>
      </w:r>
    </w:p>
    <w:p w14:paraId="42AB42AC">
      <w:pPr>
        <w:pStyle w:val="61"/>
        <w:spacing w:line="360" w:lineRule="auto"/>
        <w:ind w:firstLine="459"/>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承包人主要施工管理人员擅自离开施工现场的违约责任：</w:t>
      </w:r>
      <w:r>
        <w:rPr>
          <w:rFonts w:hint="eastAsia" w:ascii="宋体" w:hAnsi="宋体" w:eastAsia="宋体" w:cs="宋体"/>
          <w:b/>
          <w:sz w:val="21"/>
          <w:szCs w:val="21"/>
          <w:highlight w:val="none"/>
          <w:u w:val="single"/>
        </w:rPr>
        <w:t>派驻现场的项目技术负责人每月驻场时间不少于25天</w:t>
      </w:r>
      <w:r>
        <w:rPr>
          <w:rFonts w:hint="eastAsia" w:ascii="宋体" w:hAnsi="宋体" w:eastAsia="宋体" w:cs="宋体"/>
          <w:b/>
          <w:color w:val="000000"/>
          <w:sz w:val="21"/>
          <w:szCs w:val="21"/>
          <w:highlight w:val="none"/>
          <w:u w:val="single"/>
        </w:rPr>
        <w:t>。</w:t>
      </w:r>
    </w:p>
    <w:p w14:paraId="651B4B29">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w:t>
      </w:r>
      <w:bookmarkStart w:id="432" w:name="_Toc296890987"/>
      <w:bookmarkStart w:id="433" w:name="_Toc296944498"/>
      <w:bookmarkStart w:id="434" w:name="_Toc292559869"/>
      <w:bookmarkStart w:id="435" w:name="_Toc300934945"/>
      <w:bookmarkStart w:id="436" w:name="_Toc296346660"/>
      <w:bookmarkStart w:id="437" w:name="_Toc297123492"/>
      <w:bookmarkStart w:id="438" w:name="_Toc297048345"/>
      <w:bookmarkStart w:id="439" w:name="_Toc312677988"/>
      <w:bookmarkStart w:id="440" w:name="_Toc304295523"/>
      <w:bookmarkStart w:id="441" w:name="_Toc296347158"/>
      <w:bookmarkStart w:id="442" w:name="_Toc296891199"/>
      <w:bookmarkStart w:id="443" w:name="_Toc297216151"/>
      <w:bookmarkStart w:id="444" w:name="_Toc296503159"/>
      <w:bookmarkStart w:id="445" w:name="_Toc297120459"/>
      <w:bookmarkStart w:id="446" w:name="_Toc292559364"/>
      <w:bookmarkStart w:id="447" w:name="_Toc303539102"/>
      <w:r>
        <w:rPr>
          <w:rFonts w:hint="eastAsia" w:ascii="宋体" w:hAnsi="宋体" w:eastAsia="宋体" w:cs="宋体"/>
          <w:b/>
          <w:bCs/>
          <w:sz w:val="21"/>
          <w:szCs w:val="21"/>
          <w:highlight w:val="none"/>
        </w:rPr>
        <w:t>.5 分包</w:t>
      </w:r>
    </w:p>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738F3F9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w:t>
      </w:r>
      <w:bookmarkStart w:id="448" w:name="_Toc296944499"/>
      <w:bookmarkStart w:id="449" w:name="_Toc297216152"/>
      <w:bookmarkStart w:id="450" w:name="_Toc297120460"/>
      <w:bookmarkStart w:id="451" w:name="_Toc292559365"/>
      <w:bookmarkStart w:id="452" w:name="_Toc304295524"/>
      <w:bookmarkStart w:id="453" w:name="_Toc296346661"/>
      <w:bookmarkStart w:id="454" w:name="_Toc297048346"/>
      <w:bookmarkStart w:id="455" w:name="_Toc296890988"/>
      <w:bookmarkStart w:id="456" w:name="_Toc296347159"/>
      <w:bookmarkStart w:id="457" w:name="_Toc300934946"/>
      <w:bookmarkStart w:id="458" w:name="_Toc296503160"/>
      <w:bookmarkStart w:id="459" w:name="_Toc292559870"/>
      <w:bookmarkStart w:id="460" w:name="_Toc297123493"/>
      <w:bookmarkStart w:id="461" w:name="_Toc303539103"/>
      <w:bookmarkStart w:id="462" w:name="_Toc296891200"/>
      <w:bookmarkStart w:id="463" w:name="_Toc318581158"/>
      <w:bookmarkStart w:id="464" w:name="_Toc312677989"/>
      <w:r>
        <w:rPr>
          <w:rFonts w:hint="eastAsia" w:ascii="宋体" w:hAnsi="宋体" w:eastAsia="宋体" w:cs="宋体"/>
          <w:bCs/>
          <w:sz w:val="21"/>
          <w:szCs w:val="21"/>
          <w:highlight w:val="none"/>
        </w:rPr>
        <w:t>.5.1 分包的一般约定</w:t>
      </w:r>
    </w:p>
    <w:p w14:paraId="2A6EB01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禁止分包的工程包括：</w:t>
      </w:r>
      <w:r>
        <w:rPr>
          <w:rFonts w:hint="eastAsia" w:ascii="宋体" w:hAnsi="宋体" w:eastAsia="宋体" w:cs="宋体"/>
          <w:sz w:val="21"/>
          <w:szCs w:val="21"/>
          <w:highlight w:val="none"/>
          <w:u w:val="single"/>
        </w:rPr>
        <w:t xml:space="preserve">  / </w:t>
      </w:r>
      <w:r>
        <w:rPr>
          <w:rFonts w:hint="eastAsia" w:ascii="宋体" w:hAnsi="宋体" w:eastAsia="宋体" w:cs="宋体"/>
          <w:b/>
          <w:bCs/>
          <w:sz w:val="21"/>
          <w:szCs w:val="21"/>
          <w:highlight w:val="none"/>
          <w:u w:val="single"/>
        </w:rPr>
        <w:t>。</w:t>
      </w:r>
    </w:p>
    <w:p w14:paraId="5E3C6C9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主体结构、关键性工作的范围：</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Start w:id="465" w:name="_Toc297048347"/>
      <w:bookmarkStart w:id="466" w:name="_Toc296944500"/>
      <w:bookmarkStart w:id="467" w:name="_Toc296347160"/>
      <w:bookmarkStart w:id="468" w:name="_Toc296346662"/>
      <w:bookmarkStart w:id="469" w:name="_Toc296890989"/>
      <w:bookmarkStart w:id="470" w:name="_Toc297216153"/>
      <w:bookmarkStart w:id="471" w:name="_Toc300934947"/>
      <w:bookmarkStart w:id="472" w:name="_Toc297123494"/>
      <w:bookmarkStart w:id="473" w:name="_Toc296891201"/>
      <w:bookmarkStart w:id="474" w:name="_Toc297120461"/>
      <w:bookmarkStart w:id="475" w:name="_Toc303539104"/>
      <w:bookmarkStart w:id="476" w:name="_Toc304295525"/>
      <w:bookmarkStart w:id="477" w:name="_Toc296503161"/>
      <w:r>
        <w:rPr>
          <w:rFonts w:hint="eastAsia" w:ascii="宋体" w:hAnsi="宋体" w:eastAsia="宋体" w:cs="宋体"/>
          <w:sz w:val="21"/>
          <w:szCs w:val="21"/>
          <w:highlight w:val="none"/>
          <w:u w:val="single"/>
        </w:rPr>
        <w:t xml:space="preserve">  / </w:t>
      </w:r>
      <w:r>
        <w:rPr>
          <w:rFonts w:hint="eastAsia" w:ascii="宋体" w:hAnsi="宋体" w:eastAsia="宋体" w:cs="宋体"/>
          <w:b/>
          <w:bCs/>
          <w:sz w:val="21"/>
          <w:szCs w:val="21"/>
          <w:highlight w:val="none"/>
          <w:u w:val="single"/>
        </w:rPr>
        <w:t>。</w:t>
      </w:r>
    </w:p>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14:paraId="334C905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w:t>
      </w:r>
      <w:bookmarkStart w:id="478" w:name="_Toc318581159"/>
      <w:bookmarkStart w:id="479" w:name="_Toc312677990"/>
      <w:r>
        <w:rPr>
          <w:rFonts w:hint="eastAsia" w:ascii="宋体" w:hAnsi="宋体" w:eastAsia="宋体" w:cs="宋体"/>
          <w:bCs/>
          <w:sz w:val="21"/>
          <w:szCs w:val="21"/>
          <w:highlight w:val="none"/>
        </w:rPr>
        <w:t>.5.2分包的确定</w:t>
      </w:r>
    </w:p>
    <w:p w14:paraId="0DE3667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允许分包的专业工程包括：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974050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其他关于分包的约定：</w:t>
      </w:r>
      <w:r>
        <w:rPr>
          <w:rFonts w:hint="eastAsia" w:ascii="宋体" w:hAnsi="宋体" w:eastAsia="宋体" w:cs="宋体"/>
          <w:sz w:val="21"/>
          <w:szCs w:val="21"/>
          <w:highlight w:val="none"/>
          <w:u w:val="single"/>
        </w:rPr>
        <w:t xml:space="preserve">  / </w:t>
      </w:r>
      <w:r>
        <w:rPr>
          <w:rFonts w:hint="eastAsia" w:ascii="宋体" w:hAnsi="宋体" w:eastAsia="宋体" w:cs="宋体"/>
          <w:b/>
          <w:bCs/>
          <w:sz w:val="21"/>
          <w:szCs w:val="21"/>
          <w:highlight w:val="none"/>
          <w:u w:val="single"/>
        </w:rPr>
        <w:t>。</w:t>
      </w:r>
    </w:p>
    <w:p w14:paraId="2F42772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3.5.4 分包合同价款</w:t>
      </w:r>
    </w:p>
    <w:p w14:paraId="36EC46B2">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Cs/>
          <w:sz w:val="21"/>
          <w:szCs w:val="21"/>
          <w:highlight w:val="none"/>
        </w:rPr>
        <w:t>关于分包合同价款支付的约定：</w:t>
      </w:r>
      <w:r>
        <w:rPr>
          <w:rFonts w:hint="eastAsia" w:ascii="宋体" w:hAnsi="宋体" w:eastAsia="宋体" w:cs="宋体"/>
          <w:sz w:val="21"/>
          <w:szCs w:val="21"/>
          <w:highlight w:val="none"/>
          <w:u w:val="single"/>
        </w:rPr>
        <w:t xml:space="preserve">  / </w:t>
      </w:r>
      <w:r>
        <w:rPr>
          <w:rFonts w:hint="eastAsia" w:ascii="宋体" w:hAnsi="宋体" w:eastAsia="宋体" w:cs="宋体"/>
          <w:b/>
          <w:bCs/>
          <w:sz w:val="21"/>
          <w:szCs w:val="21"/>
          <w:highlight w:val="none"/>
          <w:u w:val="single"/>
        </w:rPr>
        <w:t>。</w:t>
      </w:r>
    </w:p>
    <w:bookmarkEnd w:id="478"/>
    <w:bookmarkEnd w:id="479"/>
    <w:p w14:paraId="5568BE18">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3.6 工程照管与成品、半成品保护</w:t>
      </w:r>
    </w:p>
    <w:p w14:paraId="5DCC07A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承包人负责照管工程及工程相关的材料、工程设备的起始时间：</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p w14:paraId="7EC3F3CF">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3.7 履约担保</w:t>
      </w:r>
    </w:p>
    <w:p w14:paraId="538C010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承包人是否提供履约担保：</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Cs/>
          <w:sz w:val="21"/>
          <w:szCs w:val="21"/>
          <w:highlight w:val="none"/>
        </w:rPr>
        <w:t>。</w:t>
      </w:r>
    </w:p>
    <w:p w14:paraId="439A585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承包人提供履约担保的形式、金额及</w:t>
      </w:r>
      <w:r>
        <w:rPr>
          <w:rFonts w:hint="eastAsia" w:ascii="宋体" w:hAnsi="宋体" w:cs="宋体"/>
          <w:bCs/>
          <w:sz w:val="21"/>
          <w:szCs w:val="21"/>
          <w:highlight w:val="none"/>
          <w:lang w:eastAsia="zh-CN"/>
        </w:rPr>
        <w:t>期限</w:t>
      </w:r>
      <w:r>
        <w:rPr>
          <w:rFonts w:hint="eastAsia" w:ascii="宋体" w:hAnsi="宋体" w:eastAsia="宋体" w:cs="宋体"/>
          <w:bCs/>
          <w:sz w:val="21"/>
          <w:szCs w:val="21"/>
          <w:highlight w:val="none"/>
        </w:rPr>
        <w:t>：</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Cs/>
          <w:sz w:val="21"/>
          <w:szCs w:val="21"/>
          <w:highlight w:val="none"/>
        </w:rPr>
        <w:t>。</w:t>
      </w:r>
    </w:p>
    <w:p w14:paraId="1CD06020">
      <w:pPr>
        <w:pStyle w:val="61"/>
        <w:spacing w:line="360" w:lineRule="auto"/>
        <w:rPr>
          <w:rFonts w:hint="eastAsia" w:ascii="宋体" w:hAnsi="宋体" w:eastAsia="宋体" w:cs="宋体"/>
          <w:b/>
          <w:sz w:val="21"/>
          <w:szCs w:val="21"/>
          <w:highlight w:val="none"/>
        </w:rPr>
      </w:pPr>
      <w:bookmarkStart w:id="480" w:name="_Toc351203636"/>
      <w:r>
        <w:rPr>
          <w:rFonts w:hint="eastAsia" w:ascii="宋体" w:hAnsi="宋体" w:eastAsia="宋体" w:cs="宋体"/>
          <w:b/>
          <w:sz w:val="21"/>
          <w:szCs w:val="21"/>
          <w:highlight w:val="none"/>
        </w:rPr>
        <w:t>4</w:t>
      </w:r>
      <w:bookmarkStart w:id="481" w:name="_Toc296890990"/>
      <w:bookmarkStart w:id="482" w:name="_Toc296944501"/>
      <w:bookmarkStart w:id="483" w:name="_Toc296347161"/>
      <w:bookmarkStart w:id="484" w:name="_Toc296503162"/>
      <w:bookmarkStart w:id="485" w:name="_Toc292559871"/>
      <w:bookmarkStart w:id="486" w:name="_Toc297048348"/>
      <w:bookmarkStart w:id="487" w:name="_Toc296891202"/>
      <w:bookmarkStart w:id="488" w:name="_Toc292559366"/>
      <w:bookmarkStart w:id="489" w:name="_Toc297120462"/>
      <w:bookmarkStart w:id="490" w:name="_Toc296346663"/>
      <w:bookmarkStart w:id="491" w:name="_Toc267251413"/>
      <w:r>
        <w:rPr>
          <w:rFonts w:hint="eastAsia" w:ascii="宋体" w:hAnsi="宋体" w:eastAsia="宋体" w:cs="宋体"/>
          <w:b/>
          <w:sz w:val="21"/>
          <w:szCs w:val="21"/>
          <w:highlight w:val="none"/>
        </w:rPr>
        <w:t>. 监</w:t>
      </w:r>
      <w:bookmarkEnd w:id="481"/>
      <w:bookmarkEnd w:id="482"/>
      <w:bookmarkEnd w:id="483"/>
      <w:bookmarkEnd w:id="484"/>
      <w:bookmarkEnd w:id="485"/>
      <w:bookmarkEnd w:id="486"/>
      <w:bookmarkEnd w:id="487"/>
      <w:bookmarkEnd w:id="488"/>
      <w:bookmarkEnd w:id="489"/>
      <w:bookmarkEnd w:id="490"/>
      <w:bookmarkEnd w:id="491"/>
      <w:r>
        <w:rPr>
          <w:rFonts w:hint="eastAsia" w:ascii="宋体" w:hAnsi="宋体" w:eastAsia="宋体" w:cs="宋体"/>
          <w:b/>
          <w:sz w:val="21"/>
          <w:szCs w:val="21"/>
          <w:highlight w:val="none"/>
        </w:rPr>
        <w:t>理人</w:t>
      </w:r>
      <w:bookmarkEnd w:id="480"/>
    </w:p>
    <w:p w14:paraId="12BCD33C">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4.1监理人的一般规定</w:t>
      </w:r>
    </w:p>
    <w:p w14:paraId="631DB61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关于监理人的监理内容：</w:t>
      </w:r>
      <w:r>
        <w:rPr>
          <w:rFonts w:hint="eastAsia" w:ascii="宋体" w:hAnsi="宋体" w:eastAsia="宋体" w:cs="宋体"/>
          <w:b/>
          <w:bCs/>
          <w:sz w:val="21"/>
          <w:szCs w:val="21"/>
          <w:highlight w:val="none"/>
          <w:u w:val="single"/>
        </w:rPr>
        <w:t>按监理合同执行</w:t>
      </w:r>
      <w:r>
        <w:rPr>
          <w:rFonts w:hint="eastAsia" w:ascii="宋体" w:hAnsi="宋体" w:eastAsia="宋体" w:cs="宋体"/>
          <w:bCs/>
          <w:sz w:val="21"/>
          <w:szCs w:val="21"/>
          <w:highlight w:val="none"/>
        </w:rPr>
        <w:t>。</w:t>
      </w:r>
    </w:p>
    <w:p w14:paraId="5789730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关于监理人的监理权限：</w:t>
      </w:r>
      <w:r>
        <w:rPr>
          <w:rFonts w:hint="eastAsia" w:ascii="宋体" w:hAnsi="宋体" w:eastAsia="宋体" w:cs="宋体"/>
          <w:b/>
          <w:spacing w:val="-12"/>
          <w:sz w:val="21"/>
          <w:szCs w:val="21"/>
          <w:highlight w:val="none"/>
          <w:u w:val="single"/>
        </w:rPr>
        <w:t>工程质量、进度、施工安全等施工阶段全过程监理，详见监理合同及实施细则。开工前提供一份《监理合同》复印件给承包人。按监理规范及监理合同的要求行使职权；工程变更、工期顺延、工程计量、工程经济签证、工程款支付的决定均应通过发包人同意才能执行</w:t>
      </w:r>
      <w:r>
        <w:rPr>
          <w:rFonts w:hint="eastAsia" w:ascii="宋体" w:hAnsi="宋体" w:eastAsia="宋体" w:cs="宋体"/>
          <w:bCs/>
          <w:sz w:val="21"/>
          <w:szCs w:val="21"/>
          <w:highlight w:val="none"/>
        </w:rPr>
        <w:t xml:space="preserve">。 </w:t>
      </w:r>
    </w:p>
    <w:p w14:paraId="0D55A01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关于监理人在施工现场的办公场所、生活场所的提供和费用承担的约定：</w:t>
      </w:r>
      <w:r>
        <w:rPr>
          <w:rFonts w:hint="eastAsia" w:ascii="宋体" w:hAnsi="宋体" w:eastAsia="宋体" w:cs="宋体"/>
          <w:bCs/>
          <w:sz w:val="21"/>
          <w:szCs w:val="21"/>
          <w:highlight w:val="none"/>
          <w:u w:val="single"/>
        </w:rPr>
        <w:t>  </w:t>
      </w:r>
      <w:r>
        <w:rPr>
          <w:rFonts w:hint="eastAsia" w:ascii="宋体" w:hAnsi="宋体" w:eastAsia="宋体" w:cs="宋体"/>
          <w:b/>
          <w:sz w:val="21"/>
          <w:szCs w:val="21"/>
          <w:highlight w:val="none"/>
          <w:u w:val="single"/>
        </w:rPr>
        <w:t>。</w:t>
      </w:r>
    </w:p>
    <w:p w14:paraId="5B4509BD">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4.2 监理人员</w:t>
      </w:r>
    </w:p>
    <w:p w14:paraId="375F0D1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总监理工程师：</w:t>
      </w:r>
    </w:p>
    <w:p w14:paraId="06CA929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姓    名：</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2DA503B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职    务：</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12F7389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监理工程师执业资格证书号：</w:t>
      </w:r>
      <w:r>
        <w:rPr>
          <w:rFonts w:hint="eastAsia" w:ascii="宋体" w:hAnsi="宋体" w:eastAsia="宋体" w:cs="宋体"/>
          <w:bCs/>
          <w:sz w:val="21"/>
          <w:szCs w:val="21"/>
          <w:highlight w:val="none"/>
          <w:u w:val="single"/>
        </w:rPr>
        <w:t> </w:t>
      </w:r>
      <w:r>
        <w:rPr>
          <w:rFonts w:hint="eastAsia" w:ascii="宋体" w:hAnsi="宋体" w:eastAsia="宋体" w:cs="宋体"/>
          <w:bCs/>
          <w:sz w:val="21"/>
          <w:szCs w:val="21"/>
          <w:highlight w:val="none"/>
        </w:rPr>
        <w:t>；</w:t>
      </w:r>
    </w:p>
    <w:p w14:paraId="30995C0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联系电话：</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057D149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电子信箱：</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12F8727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通信地址：</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2248C83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关于监理人的其他约定：</w:t>
      </w:r>
      <w:r>
        <w:rPr>
          <w:rFonts w:hint="eastAsia" w:ascii="宋体" w:hAnsi="宋体" w:eastAsia="宋体" w:cs="宋体"/>
          <w:bCs/>
          <w:sz w:val="21"/>
          <w:szCs w:val="21"/>
          <w:highlight w:val="none"/>
          <w:u w:val="single"/>
        </w:rPr>
        <w:t>   </w:t>
      </w:r>
      <w:r>
        <w:rPr>
          <w:rFonts w:hint="eastAsia" w:ascii="宋体" w:hAnsi="宋体" w:eastAsia="宋体" w:cs="宋体"/>
          <w:bCs/>
          <w:sz w:val="21"/>
          <w:szCs w:val="21"/>
          <w:highlight w:val="none"/>
        </w:rPr>
        <w:t>。</w:t>
      </w:r>
    </w:p>
    <w:p w14:paraId="55168D26">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4.4 商定或确定</w:t>
      </w:r>
    </w:p>
    <w:p w14:paraId="5B636D0E">
      <w:pPr>
        <w:pStyle w:val="61"/>
        <w:spacing w:line="360" w:lineRule="auto"/>
        <w:ind w:firstLine="459"/>
        <w:rPr>
          <w:rFonts w:hint="eastAsia" w:ascii="宋体" w:hAnsi="宋体" w:eastAsia="宋体" w:cs="宋体"/>
          <w:bCs/>
          <w:sz w:val="21"/>
          <w:szCs w:val="21"/>
          <w:highlight w:val="none"/>
        </w:rPr>
      </w:pPr>
      <w:bookmarkStart w:id="492" w:name="_Toc267251418"/>
      <w:r>
        <w:rPr>
          <w:rFonts w:hint="eastAsia" w:ascii="宋体" w:hAnsi="宋体" w:eastAsia="宋体" w:cs="宋体"/>
          <w:bCs/>
          <w:sz w:val="21"/>
          <w:szCs w:val="21"/>
          <w:highlight w:val="none"/>
        </w:rPr>
        <w:t>在发包人和承包人不能通过协商达成一致意见时，发包人授权监理人对以下事项进行确定：</w:t>
      </w:r>
    </w:p>
    <w:p w14:paraId="074CFA74">
      <w:pPr>
        <w:pStyle w:val="61"/>
        <w:spacing w:line="360" w:lineRule="auto"/>
        <w:ind w:firstLine="45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b/>
          <w:bCs/>
          <w:sz w:val="21"/>
          <w:szCs w:val="21"/>
          <w:highlight w:val="none"/>
          <w:u w:val="single"/>
        </w:rPr>
        <w:t>协调合同当事人达成一致意见</w:t>
      </w:r>
      <w:r>
        <w:rPr>
          <w:rFonts w:hint="eastAsia" w:ascii="宋体" w:hAnsi="宋体" w:eastAsia="宋体" w:cs="宋体"/>
          <w:b/>
          <w:bCs/>
          <w:sz w:val="21"/>
          <w:szCs w:val="21"/>
          <w:highlight w:val="none"/>
        </w:rPr>
        <w:t>；</w:t>
      </w:r>
    </w:p>
    <w:p w14:paraId="4E185B46">
      <w:pPr>
        <w:pStyle w:val="61"/>
        <w:spacing w:line="360" w:lineRule="auto"/>
        <w:ind w:firstLine="459"/>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（2）</w:t>
      </w:r>
      <w:r>
        <w:rPr>
          <w:rFonts w:hint="eastAsia" w:ascii="宋体" w:hAnsi="宋体" w:cs="宋体"/>
          <w:bCs/>
          <w:sz w:val="21"/>
          <w:szCs w:val="21"/>
          <w:highlight w:val="none"/>
          <w:u w:val="single"/>
          <w:lang w:val="en-US" w:eastAsia="zh-CN"/>
        </w:rPr>
        <w:t xml:space="preserve">                          </w:t>
      </w:r>
    </w:p>
    <w:p w14:paraId="0B6F2E91">
      <w:pPr>
        <w:pStyle w:val="61"/>
        <w:spacing w:line="360" w:lineRule="auto"/>
        <w:rPr>
          <w:rFonts w:hint="eastAsia" w:ascii="宋体" w:hAnsi="宋体" w:eastAsia="宋体" w:cs="宋体"/>
          <w:b/>
          <w:sz w:val="21"/>
          <w:szCs w:val="21"/>
          <w:highlight w:val="none"/>
        </w:rPr>
      </w:pPr>
      <w:bookmarkStart w:id="493" w:name="_Toc351203637"/>
      <w:r>
        <w:rPr>
          <w:rFonts w:hint="eastAsia" w:ascii="宋体" w:hAnsi="宋体" w:eastAsia="宋体" w:cs="宋体"/>
          <w:b/>
          <w:sz w:val="21"/>
          <w:szCs w:val="21"/>
          <w:highlight w:val="none"/>
        </w:rPr>
        <w:t>5</w:t>
      </w:r>
      <w:bookmarkEnd w:id="492"/>
      <w:bookmarkStart w:id="494" w:name="_Toc297048349"/>
      <w:bookmarkStart w:id="495" w:name="_Toc296347162"/>
      <w:bookmarkStart w:id="496" w:name="_Toc296944502"/>
      <w:bookmarkStart w:id="497" w:name="_Toc297120463"/>
      <w:bookmarkStart w:id="498" w:name="_Toc292559872"/>
      <w:bookmarkStart w:id="499" w:name="_Toc296891203"/>
      <w:bookmarkStart w:id="500" w:name="_Toc296346664"/>
      <w:bookmarkStart w:id="501" w:name="_Toc296503163"/>
      <w:bookmarkStart w:id="502" w:name="_Toc292559367"/>
      <w:bookmarkStart w:id="503" w:name="_Toc296890991"/>
      <w:r>
        <w:rPr>
          <w:rFonts w:hint="eastAsia" w:ascii="宋体" w:hAnsi="宋体" w:eastAsia="宋体" w:cs="宋体"/>
          <w:b/>
          <w:sz w:val="21"/>
          <w:szCs w:val="21"/>
          <w:highlight w:val="none"/>
        </w:rPr>
        <w:t>. 工程质量</w:t>
      </w:r>
      <w:bookmarkEnd w:id="493"/>
    </w:p>
    <w:p w14:paraId="34111A36">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5.1 质量要求</w:t>
      </w:r>
    </w:p>
    <w:p w14:paraId="6CA0B17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5</w:t>
      </w:r>
      <w:bookmarkStart w:id="504" w:name="_Toc303539106"/>
      <w:bookmarkStart w:id="505" w:name="_Toc300934949"/>
      <w:bookmarkStart w:id="506" w:name="_Toc312677997"/>
      <w:bookmarkStart w:id="507" w:name="_Toc304295527"/>
      <w:bookmarkStart w:id="508" w:name="_Toc297123496"/>
      <w:bookmarkStart w:id="509" w:name="_Toc297216155"/>
      <w:bookmarkStart w:id="510" w:name="_Toc318581164"/>
      <w:r>
        <w:rPr>
          <w:rFonts w:hint="eastAsia" w:ascii="宋体" w:hAnsi="宋体" w:eastAsia="宋体" w:cs="宋体"/>
          <w:bCs/>
          <w:sz w:val="21"/>
          <w:szCs w:val="21"/>
          <w:highlight w:val="none"/>
        </w:rPr>
        <w:t>.1.1 特殊质量标准和要求：</w:t>
      </w:r>
      <w:r>
        <w:rPr>
          <w:rFonts w:hint="eastAsia" w:ascii="宋体" w:hAnsi="宋体" w:eastAsia="宋体" w:cs="宋体"/>
          <w:b/>
          <w:sz w:val="21"/>
          <w:szCs w:val="21"/>
          <w:highlight w:val="none"/>
          <w:u w:val="single"/>
        </w:rPr>
        <w:t>工程质量应符合国家、行业现行设计、施工及验收规范、标准的规定，一次性验收合格。</w:t>
      </w:r>
    </w:p>
    <w:p w14:paraId="3F3FA0A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关于工程奖项的约定：</w:t>
      </w:r>
    </w:p>
    <w:p w14:paraId="76A36B91">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5.3 隐蔽工程检查</w:t>
      </w:r>
    </w:p>
    <w:p w14:paraId="64044B1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5.3.2承包人提前通知监理人隐蔽工程检查的期限的约定：</w:t>
      </w:r>
      <w:r>
        <w:rPr>
          <w:rFonts w:hint="eastAsia" w:ascii="宋体" w:hAnsi="宋体" w:eastAsia="宋体" w:cs="宋体"/>
          <w:b/>
          <w:sz w:val="21"/>
          <w:szCs w:val="21"/>
          <w:highlight w:val="none"/>
          <w:u w:val="single"/>
        </w:rPr>
        <w:t>隐蔽工程完工后，由承包人发出隐蔽工程验收通知，由监理工程师组织相关人员验收；分部分项工程完工后，承包人应在3日内向监理工程师提出书面验收通知，监理工程师接到通知后应在合理的时间内组织相关人员进行验收。</w:t>
      </w:r>
    </w:p>
    <w:p w14:paraId="3D133CF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监理人不能按时进行检查时，应提前</w:t>
      </w:r>
      <w:r>
        <w:rPr>
          <w:rFonts w:hint="eastAsia" w:ascii="宋体" w:hAnsi="宋体" w:eastAsia="宋体" w:cs="宋体"/>
          <w:bCs/>
          <w:sz w:val="21"/>
          <w:szCs w:val="21"/>
          <w:highlight w:val="none"/>
          <w:u w:val="single"/>
        </w:rPr>
        <w:t>24</w:t>
      </w:r>
      <w:r>
        <w:rPr>
          <w:rFonts w:hint="eastAsia" w:ascii="宋体" w:hAnsi="宋体" w:eastAsia="宋体" w:cs="宋体"/>
          <w:bCs/>
          <w:sz w:val="21"/>
          <w:szCs w:val="21"/>
          <w:highlight w:val="none"/>
        </w:rPr>
        <w:t>小时提交书面延期要求。</w:t>
      </w:r>
    </w:p>
    <w:p w14:paraId="4C626DB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关于延期最长不得超过：</w:t>
      </w:r>
      <w:r>
        <w:rPr>
          <w:rFonts w:hint="eastAsia" w:ascii="宋体" w:hAnsi="宋体" w:eastAsia="宋体" w:cs="宋体"/>
          <w:bCs/>
          <w:sz w:val="21"/>
          <w:szCs w:val="21"/>
          <w:highlight w:val="none"/>
          <w:u w:val="single"/>
        </w:rPr>
        <w:t>48</w:t>
      </w:r>
      <w:r>
        <w:rPr>
          <w:rFonts w:hint="eastAsia" w:ascii="宋体" w:hAnsi="宋体" w:eastAsia="宋体" w:cs="宋体"/>
          <w:bCs/>
          <w:sz w:val="21"/>
          <w:szCs w:val="21"/>
          <w:highlight w:val="none"/>
        </w:rPr>
        <w:t>小时。</w:t>
      </w:r>
    </w:p>
    <w:p w14:paraId="3CAAFD9C">
      <w:pPr>
        <w:pStyle w:val="61"/>
        <w:spacing w:line="360" w:lineRule="auto"/>
        <w:rPr>
          <w:rFonts w:hint="eastAsia" w:ascii="宋体" w:hAnsi="宋体" w:eastAsia="宋体" w:cs="宋体"/>
          <w:b/>
          <w:sz w:val="21"/>
          <w:szCs w:val="21"/>
          <w:highlight w:val="none"/>
        </w:rPr>
      </w:pPr>
      <w:bookmarkStart w:id="511" w:name="_Toc351203638"/>
      <w:r>
        <w:rPr>
          <w:rFonts w:hint="eastAsia" w:ascii="宋体" w:hAnsi="宋体" w:eastAsia="宋体" w:cs="宋体"/>
          <w:b/>
          <w:sz w:val="21"/>
          <w:szCs w:val="21"/>
          <w:highlight w:val="none"/>
        </w:rPr>
        <w:t>6. 安全文明施工与环境保护</w:t>
      </w:r>
      <w:bookmarkEnd w:id="511"/>
    </w:p>
    <w:p w14:paraId="7535E22A">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6.1安全文明施工</w:t>
      </w:r>
    </w:p>
    <w:p w14:paraId="4155C33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6.1.1 项目安全生产的达标目标及相应事项的约定：</w:t>
      </w:r>
    </w:p>
    <w:p w14:paraId="020E0FC8">
      <w:pPr>
        <w:pStyle w:val="61"/>
        <w:spacing w:line="360" w:lineRule="auto"/>
        <w:ind w:firstLine="413" w:firstLineChars="196"/>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严格按安全管理条例及安全操作规程进行施工，如因承包人原因发生安全事故，所造成的一切损失由承包人负责。并执行“通用条款”及本项目的相关管理规定和办法。</w:t>
      </w:r>
    </w:p>
    <w:p w14:paraId="2EF780E1">
      <w:pPr>
        <w:pStyle w:val="61"/>
        <w:spacing w:line="360" w:lineRule="auto"/>
        <w:ind w:firstLine="413" w:firstLineChars="196"/>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承包人必须严格按照国家安全生产、安全施工的相关规定组织施工，如发现无安全防护违章作业，承包人完全承担由此引发的安全事故责任。本项目专职安全管理人员必须具有相应的执业资格证，并确实做到持证上岗，以备随时查验。</w:t>
      </w:r>
    </w:p>
    <w:p w14:paraId="4D9583C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
          <w:sz w:val="21"/>
          <w:szCs w:val="21"/>
          <w:highlight w:val="none"/>
          <w:u w:val="single"/>
        </w:rPr>
        <w:t>现场安全施工、文明施工、工期管理等除满足国家及当地相关部门要求外，尚应服从发包人工程管理部、监理工程师的统一管理，达不到工程管理部、监理工程师的管理要求将按现场管理规定支付违约金。</w:t>
      </w:r>
    </w:p>
    <w:p w14:paraId="4FDCB98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6.1.4 关于治安保卫的特别约定：</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p w14:paraId="186ECF0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关于编制施工场地治安管理计划的约定：</w:t>
      </w:r>
      <w:r>
        <w:rPr>
          <w:rFonts w:hint="eastAsia" w:ascii="宋体" w:hAnsi="宋体" w:eastAsia="宋体" w:cs="宋体"/>
          <w:b/>
          <w:sz w:val="21"/>
          <w:szCs w:val="21"/>
          <w:highlight w:val="none"/>
          <w:u w:val="single"/>
        </w:rPr>
        <w:t>按通用条款执行</w:t>
      </w:r>
      <w:r>
        <w:rPr>
          <w:rFonts w:hint="eastAsia" w:ascii="宋体" w:hAnsi="宋体" w:eastAsia="宋体" w:cs="宋体"/>
          <w:bCs/>
          <w:sz w:val="21"/>
          <w:szCs w:val="21"/>
          <w:highlight w:val="none"/>
        </w:rPr>
        <w:t>。</w:t>
      </w:r>
    </w:p>
    <w:p w14:paraId="02E3155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6.1.5 文明施工</w:t>
      </w:r>
    </w:p>
    <w:p w14:paraId="4533075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合同当事人对文明施工的要求：</w:t>
      </w:r>
    </w:p>
    <w:p w14:paraId="4E97DFF5">
      <w:pPr>
        <w:pStyle w:val="61"/>
        <w:spacing w:line="360" w:lineRule="auto"/>
        <w:ind w:firstLine="413" w:firstLineChars="196"/>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①</w:t>
      </w:r>
      <w:r>
        <w:rPr>
          <w:rFonts w:hint="eastAsia" w:ascii="宋体" w:hAnsi="宋体" w:cs="宋体"/>
          <w:b/>
          <w:sz w:val="21"/>
          <w:szCs w:val="21"/>
          <w:highlight w:val="none"/>
          <w:u w:val="single"/>
          <w:lang w:val="en-US" w:eastAsia="zh-CN"/>
        </w:rPr>
        <w:t>承</w:t>
      </w:r>
      <w:r>
        <w:rPr>
          <w:rFonts w:hint="eastAsia" w:ascii="宋体" w:hAnsi="宋体" w:eastAsia="宋体" w:cs="宋体"/>
          <w:b/>
          <w:sz w:val="21"/>
          <w:szCs w:val="21"/>
          <w:highlight w:val="none"/>
          <w:u w:val="single"/>
        </w:rPr>
        <w:t>包人必须严格按国家及地方有关部门的有关规定及现场安全文明施工管理规定组织施工，保证本工程施工现场达到安全、文明、卫生合格工地。竣工验收后10天内，做到料净场清。承包人车辆经过的路面应采取必要措施保证不扬尘。</w:t>
      </w:r>
    </w:p>
    <w:p w14:paraId="275106D2">
      <w:pPr>
        <w:pStyle w:val="61"/>
        <w:spacing w:line="360" w:lineRule="auto"/>
        <w:ind w:firstLine="413" w:firstLineChars="196"/>
        <w:rPr>
          <w:rFonts w:hint="eastAsia" w:ascii="宋体" w:hAnsi="宋体" w:eastAsia="宋体" w:cs="宋体"/>
          <w:bCs/>
          <w:sz w:val="21"/>
          <w:szCs w:val="21"/>
          <w:highlight w:val="none"/>
        </w:rPr>
      </w:pPr>
      <w:r>
        <w:rPr>
          <w:rFonts w:hint="eastAsia" w:ascii="宋体" w:hAnsi="宋体" w:eastAsia="宋体" w:cs="宋体"/>
          <w:b/>
          <w:sz w:val="21"/>
          <w:szCs w:val="21"/>
          <w:highlight w:val="none"/>
          <w:u w:val="single"/>
        </w:rPr>
        <w:t>②现场安全施工、文明施工、工期管理等除满足国家及当地相关部门要求外，尚应服从发包人工程管理部、监理工程师的统一管理，达不到工程管理部、监理工程师的管理要求将按现场管理规定进行处罚。</w:t>
      </w:r>
    </w:p>
    <w:p w14:paraId="427376E7">
      <w:pPr>
        <w:pStyle w:val="61"/>
        <w:spacing w:line="360" w:lineRule="auto"/>
        <w:ind w:firstLine="411" w:firstLineChars="196"/>
        <w:rPr>
          <w:rFonts w:hint="eastAsia" w:ascii="宋体" w:hAnsi="宋体" w:eastAsia="宋体" w:cs="宋体"/>
          <w:bCs/>
          <w:sz w:val="21"/>
          <w:szCs w:val="21"/>
          <w:highlight w:val="none"/>
        </w:rPr>
      </w:pPr>
      <w:r>
        <w:rPr>
          <w:rFonts w:hint="eastAsia" w:ascii="宋体" w:hAnsi="宋体" w:eastAsia="宋体" w:cs="宋体"/>
          <w:bCs/>
          <w:sz w:val="21"/>
          <w:szCs w:val="21"/>
          <w:highlight w:val="none"/>
        </w:rPr>
        <w:t>6.1.6 关于安全文明施工费支付比例和支付期限的约定：</w:t>
      </w:r>
      <w:r>
        <w:rPr>
          <w:rFonts w:hint="eastAsia" w:ascii="宋体" w:hAnsi="宋体" w:eastAsia="宋体" w:cs="宋体"/>
          <w:b/>
          <w:bCs/>
          <w:sz w:val="21"/>
          <w:szCs w:val="21"/>
          <w:highlight w:val="none"/>
          <w:u w:val="single"/>
        </w:rPr>
        <w:t>按合同通用条款执行</w:t>
      </w:r>
      <w:r>
        <w:rPr>
          <w:rFonts w:hint="eastAsia" w:ascii="宋体" w:hAnsi="宋体" w:cs="宋体"/>
          <w:b/>
          <w:bCs/>
          <w:sz w:val="21"/>
          <w:szCs w:val="21"/>
          <w:highlight w:val="none"/>
          <w:u w:val="single"/>
          <w:lang w:eastAsia="zh-CN"/>
        </w:rPr>
        <w:t>：</w:t>
      </w:r>
    </w:p>
    <w:bookmarkEnd w:id="504"/>
    <w:bookmarkEnd w:id="505"/>
    <w:bookmarkEnd w:id="506"/>
    <w:bookmarkEnd w:id="507"/>
    <w:bookmarkEnd w:id="508"/>
    <w:bookmarkEnd w:id="509"/>
    <w:bookmarkEnd w:id="510"/>
    <w:p w14:paraId="49FF1A1F">
      <w:pPr>
        <w:pStyle w:val="61"/>
        <w:spacing w:line="360" w:lineRule="auto"/>
        <w:rPr>
          <w:rFonts w:hint="eastAsia" w:ascii="宋体" w:hAnsi="宋体" w:eastAsia="宋体" w:cs="宋体"/>
          <w:b/>
          <w:sz w:val="21"/>
          <w:szCs w:val="21"/>
          <w:highlight w:val="none"/>
        </w:rPr>
      </w:pPr>
      <w:bookmarkStart w:id="512" w:name="_Toc351203639"/>
      <w:r>
        <w:rPr>
          <w:rFonts w:hint="eastAsia" w:ascii="宋体" w:hAnsi="宋体" w:eastAsia="宋体" w:cs="宋体"/>
          <w:b/>
          <w:sz w:val="21"/>
          <w:szCs w:val="21"/>
          <w:highlight w:val="none"/>
        </w:rPr>
        <w:t>7. 工期和进度</w:t>
      </w:r>
      <w:bookmarkEnd w:id="512"/>
    </w:p>
    <w:p w14:paraId="22D71A48">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7.1 施工组织设计</w:t>
      </w:r>
    </w:p>
    <w:p w14:paraId="211183B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7.1.1 合同当事人约定的施工组织设计应包括的其他内容：</w:t>
      </w:r>
      <w:r>
        <w:rPr>
          <w:rFonts w:hint="eastAsia" w:ascii="宋体" w:hAnsi="宋体" w:eastAsia="宋体" w:cs="宋体"/>
          <w:b/>
          <w:bCs/>
          <w:sz w:val="21"/>
          <w:szCs w:val="21"/>
          <w:highlight w:val="none"/>
          <w:u w:val="single"/>
        </w:rPr>
        <w:t xml:space="preserve"> 按项目现场管理要求执行。</w:t>
      </w:r>
    </w:p>
    <w:p w14:paraId="3502B32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7.1.2 施工组织设计的提交和修改</w:t>
      </w:r>
    </w:p>
    <w:p w14:paraId="2EAEE68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承包人提交详细施工组织设计的期限的约定：</w:t>
      </w:r>
      <w:r>
        <w:rPr>
          <w:rFonts w:hint="eastAsia" w:ascii="宋体" w:hAnsi="宋体" w:eastAsia="宋体" w:cs="宋体"/>
          <w:b/>
          <w:sz w:val="21"/>
          <w:szCs w:val="21"/>
          <w:highlight w:val="none"/>
          <w:u w:val="single"/>
        </w:rPr>
        <w:t>开工前三天，承包人向发包人提供施工组织设计书，经发包人和监理工程师批准后实施，并提供前10日前和后10日的施工进度计划表</w:t>
      </w:r>
      <w:r>
        <w:rPr>
          <w:rFonts w:hint="eastAsia" w:ascii="宋体" w:hAnsi="宋体" w:eastAsia="宋体" w:cs="宋体"/>
          <w:bCs/>
          <w:sz w:val="21"/>
          <w:szCs w:val="21"/>
          <w:highlight w:val="none"/>
        </w:rPr>
        <w:t>。</w:t>
      </w:r>
    </w:p>
    <w:p w14:paraId="0E14ECB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发包人和监理人在收到详细的施工组织设计后确认或提出修改意见的期限：</w:t>
      </w:r>
      <w:r>
        <w:rPr>
          <w:rFonts w:hint="eastAsia" w:ascii="宋体" w:hAnsi="宋体" w:eastAsia="宋体" w:cs="宋体"/>
          <w:b/>
          <w:sz w:val="21"/>
          <w:szCs w:val="21"/>
          <w:highlight w:val="none"/>
          <w:u w:val="single"/>
        </w:rPr>
        <w:t>收到上述资料后七天内确认或提出修改意见，逾期不确认或未提出修改意见的，视为认可</w:t>
      </w:r>
      <w:r>
        <w:rPr>
          <w:rFonts w:hint="eastAsia" w:ascii="宋体" w:hAnsi="宋体" w:eastAsia="宋体" w:cs="宋体"/>
          <w:bCs/>
          <w:sz w:val="21"/>
          <w:szCs w:val="21"/>
          <w:highlight w:val="none"/>
        </w:rPr>
        <w:t>。</w:t>
      </w:r>
    </w:p>
    <w:p w14:paraId="2EC8A374">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w:t>
      </w:r>
      <w:bookmarkStart w:id="513" w:name="_Toc303539123"/>
      <w:bookmarkStart w:id="514" w:name="_Toc300934966"/>
      <w:bookmarkStart w:id="515" w:name="_Toc312678005"/>
      <w:bookmarkStart w:id="516" w:name="_Toc304295541"/>
      <w:bookmarkStart w:id="517" w:name="_Toc297123514"/>
      <w:bookmarkStart w:id="518" w:name="_Toc297216173"/>
      <w:bookmarkStart w:id="519" w:name="_Toc312677479"/>
      <w:r>
        <w:rPr>
          <w:rFonts w:hint="eastAsia" w:ascii="宋体" w:hAnsi="宋体" w:eastAsia="宋体" w:cs="宋体"/>
          <w:b/>
          <w:bCs/>
          <w:sz w:val="21"/>
          <w:szCs w:val="21"/>
          <w:highlight w:val="none"/>
        </w:rPr>
        <w:t>.2 施工进度计划</w:t>
      </w:r>
    </w:p>
    <w:p w14:paraId="085DAD9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7.2.2 施工进度计划的修订</w:t>
      </w:r>
    </w:p>
    <w:p w14:paraId="4A54680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发包人和监理人在收到修订的施工进度计划后确认或提出修改意见的期限：</w:t>
      </w:r>
      <w:r>
        <w:rPr>
          <w:rFonts w:hint="eastAsia" w:ascii="宋体" w:hAnsi="宋体" w:eastAsia="宋体" w:cs="宋体"/>
          <w:b/>
          <w:sz w:val="21"/>
          <w:szCs w:val="21"/>
          <w:highlight w:val="none"/>
          <w:u w:val="single"/>
        </w:rPr>
        <w:t>收到上述资料后七天内确认或提出修改意见，逾期不确认或未提出修改意见的，视为认可</w:t>
      </w:r>
      <w:r>
        <w:rPr>
          <w:rFonts w:hint="eastAsia" w:ascii="宋体" w:hAnsi="宋体" w:eastAsia="宋体" w:cs="宋体"/>
          <w:bCs/>
          <w:sz w:val="21"/>
          <w:szCs w:val="21"/>
          <w:highlight w:val="none"/>
        </w:rPr>
        <w:t>。</w:t>
      </w:r>
    </w:p>
    <w:p w14:paraId="62680A70">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7.3 开工</w:t>
      </w:r>
    </w:p>
    <w:p w14:paraId="4E245D2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7.3.1 开工准备</w:t>
      </w:r>
    </w:p>
    <w:p w14:paraId="60D8C5A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关于承包人提交工程开工报审表的期限</w:t>
      </w:r>
      <w:r>
        <w:rPr>
          <w:rFonts w:hint="eastAsia" w:ascii="宋体" w:hAnsi="宋体" w:cs="宋体"/>
          <w:bCs/>
          <w:sz w:val="21"/>
          <w:szCs w:val="21"/>
          <w:highlight w:val="none"/>
          <w:lang w:eastAsia="zh-CN"/>
        </w:rPr>
        <w:t>：</w:t>
      </w:r>
    </w:p>
    <w:p w14:paraId="5DBAFB5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关于发包人应完成的其他开工准备工作及期限：</w:t>
      </w:r>
      <w:r>
        <w:rPr>
          <w:rFonts w:hint="eastAsia" w:ascii="宋体" w:hAnsi="宋体" w:eastAsia="宋体" w:cs="宋体"/>
          <w:b/>
          <w:bCs/>
          <w:sz w:val="21"/>
          <w:szCs w:val="21"/>
          <w:highlight w:val="none"/>
          <w:u w:val="single"/>
        </w:rPr>
        <w:t>无。</w:t>
      </w:r>
    </w:p>
    <w:p w14:paraId="213C957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关于承包人应完成的其他开工准备工作及期限：</w:t>
      </w:r>
      <w:r>
        <w:rPr>
          <w:rFonts w:hint="eastAsia" w:ascii="宋体" w:hAnsi="宋体" w:eastAsia="宋体" w:cs="宋体"/>
          <w:b/>
          <w:bCs/>
          <w:sz w:val="21"/>
          <w:szCs w:val="21"/>
          <w:highlight w:val="none"/>
          <w:u w:val="single"/>
        </w:rPr>
        <w:t>按项目现场管理要求执行。</w:t>
      </w:r>
    </w:p>
    <w:p w14:paraId="22824D0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7.3.2开工通知</w:t>
      </w:r>
    </w:p>
    <w:p w14:paraId="30F296F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因发包人原因造成监理人未能在计划开工日期之日起</w:t>
      </w:r>
      <w:r>
        <w:rPr>
          <w:rFonts w:hint="eastAsia" w:ascii="宋体" w:hAnsi="宋体" w:eastAsia="宋体" w:cs="宋体"/>
          <w:bCs/>
          <w:sz w:val="21"/>
          <w:szCs w:val="21"/>
          <w:highlight w:val="none"/>
          <w:u w:val="single"/>
        </w:rPr>
        <w:t>30</w:t>
      </w:r>
      <w:r>
        <w:rPr>
          <w:rFonts w:hint="eastAsia" w:ascii="宋体" w:hAnsi="宋体" w:eastAsia="宋体" w:cs="宋体"/>
          <w:bCs/>
          <w:sz w:val="21"/>
          <w:szCs w:val="21"/>
          <w:highlight w:val="none"/>
        </w:rPr>
        <w:t>天内发出开工通知的，承包人有权提出价格调整要求，或者解除合同。</w:t>
      </w:r>
    </w:p>
    <w:bookmarkEnd w:id="513"/>
    <w:bookmarkEnd w:id="514"/>
    <w:bookmarkEnd w:id="515"/>
    <w:bookmarkEnd w:id="516"/>
    <w:bookmarkEnd w:id="517"/>
    <w:bookmarkEnd w:id="518"/>
    <w:bookmarkEnd w:id="519"/>
    <w:p w14:paraId="3D6C1D77">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7.4 测量放线</w:t>
      </w:r>
    </w:p>
    <w:p w14:paraId="56C0D67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7.4.1发包人通过监理人向承包人提供测量基准点、基准线和水准点及其书面资料的期限：</w:t>
      </w:r>
      <w:r>
        <w:rPr>
          <w:rFonts w:hint="eastAsia" w:ascii="宋体" w:hAnsi="宋体" w:eastAsia="宋体" w:cs="宋体"/>
          <w:b/>
          <w:sz w:val="21"/>
          <w:szCs w:val="21"/>
          <w:highlight w:val="none"/>
          <w:u w:val="single"/>
        </w:rPr>
        <w:t>开工前十天内</w:t>
      </w:r>
      <w:r>
        <w:rPr>
          <w:rFonts w:hint="eastAsia" w:ascii="宋体" w:hAnsi="宋体" w:eastAsia="宋体" w:cs="宋体"/>
          <w:bCs/>
          <w:sz w:val="21"/>
          <w:szCs w:val="21"/>
          <w:highlight w:val="none"/>
        </w:rPr>
        <w:t>。</w:t>
      </w:r>
    </w:p>
    <w:p w14:paraId="4C003A74">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w:t>
      </w:r>
      <w:bookmarkStart w:id="520" w:name="_Toc312677484"/>
      <w:bookmarkStart w:id="521" w:name="_Toc303539125"/>
      <w:bookmarkStart w:id="522" w:name="_Toc300934968"/>
      <w:bookmarkStart w:id="523" w:name="_Toc304295546"/>
      <w:bookmarkStart w:id="524" w:name="_Toc297216175"/>
      <w:bookmarkStart w:id="525" w:name="_Toc297123516"/>
      <w:bookmarkStart w:id="526" w:name="_Toc312678010"/>
      <w:r>
        <w:rPr>
          <w:rFonts w:hint="eastAsia" w:ascii="宋体" w:hAnsi="宋体" w:eastAsia="宋体" w:cs="宋体"/>
          <w:b/>
          <w:bCs/>
          <w:sz w:val="21"/>
          <w:szCs w:val="21"/>
          <w:highlight w:val="none"/>
        </w:rPr>
        <w:t>.5 工期延误</w:t>
      </w:r>
    </w:p>
    <w:bookmarkEnd w:id="520"/>
    <w:bookmarkEnd w:id="521"/>
    <w:bookmarkEnd w:id="522"/>
    <w:bookmarkEnd w:id="523"/>
    <w:bookmarkEnd w:id="524"/>
    <w:bookmarkEnd w:id="525"/>
    <w:bookmarkEnd w:id="526"/>
    <w:p w14:paraId="138DDA7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7.5.1 因发包人原因导致工期延误</w:t>
      </w:r>
    </w:p>
    <w:p w14:paraId="50ECC17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（7）因发包人原因导致工期延误的其他情形：</w:t>
      </w:r>
      <w:r>
        <w:rPr>
          <w:rFonts w:hint="eastAsia" w:ascii="宋体" w:hAnsi="宋体" w:eastAsia="宋体" w:cs="宋体"/>
          <w:b/>
          <w:bCs/>
          <w:sz w:val="21"/>
          <w:szCs w:val="21"/>
          <w:highlight w:val="none"/>
          <w:u w:val="single"/>
        </w:rPr>
        <w:t>无</w:t>
      </w:r>
      <w:r>
        <w:rPr>
          <w:rFonts w:hint="eastAsia" w:ascii="宋体" w:hAnsi="宋体" w:eastAsia="宋体" w:cs="宋体"/>
          <w:bCs/>
          <w:sz w:val="21"/>
          <w:szCs w:val="21"/>
          <w:highlight w:val="none"/>
        </w:rPr>
        <w:t>。</w:t>
      </w:r>
    </w:p>
    <w:p w14:paraId="06BA373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w:t>
      </w:r>
      <w:bookmarkStart w:id="527" w:name="_Toc312678012"/>
      <w:bookmarkStart w:id="528" w:name="_Toc312677486"/>
      <w:bookmarkStart w:id="529" w:name="_Toc318581169"/>
      <w:bookmarkStart w:id="530" w:name="_Toc304295548"/>
      <w:bookmarkStart w:id="531" w:name="_Toc297123518"/>
      <w:bookmarkStart w:id="532" w:name="_Toc297216177"/>
      <w:bookmarkStart w:id="533" w:name="_Toc300934970"/>
      <w:bookmarkStart w:id="534" w:name="_Toc303539127"/>
      <w:r>
        <w:rPr>
          <w:rFonts w:hint="eastAsia" w:ascii="宋体" w:hAnsi="宋体" w:eastAsia="宋体" w:cs="宋体"/>
          <w:bCs/>
          <w:sz w:val="21"/>
          <w:szCs w:val="21"/>
          <w:highlight w:val="none"/>
        </w:rPr>
        <w:t>.5.2 因承包人原因导致工期延误</w:t>
      </w:r>
    </w:p>
    <w:bookmarkEnd w:id="527"/>
    <w:bookmarkEnd w:id="528"/>
    <w:bookmarkEnd w:id="529"/>
    <w:p w14:paraId="5A0625B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因</w:t>
      </w:r>
      <w:bookmarkStart w:id="535" w:name="_Toc312677487"/>
      <w:bookmarkStart w:id="536" w:name="_Toc312678013"/>
      <w:bookmarkStart w:id="537" w:name="_Toc318581170"/>
      <w:r>
        <w:rPr>
          <w:rFonts w:hint="eastAsia" w:ascii="宋体" w:hAnsi="宋体" w:eastAsia="宋体" w:cs="宋体"/>
          <w:bCs/>
          <w:sz w:val="21"/>
          <w:szCs w:val="21"/>
          <w:highlight w:val="none"/>
        </w:rPr>
        <w:t>承包人原因造成工期延误，逾期竣工违约金的计算方法为：</w:t>
      </w:r>
    </w:p>
    <w:bookmarkEnd w:id="530"/>
    <w:bookmarkEnd w:id="531"/>
    <w:bookmarkEnd w:id="532"/>
    <w:bookmarkEnd w:id="533"/>
    <w:bookmarkEnd w:id="534"/>
    <w:bookmarkEnd w:id="535"/>
    <w:bookmarkEnd w:id="536"/>
    <w:bookmarkEnd w:id="537"/>
    <w:p w14:paraId="0B1F995C">
      <w:pPr>
        <w:pStyle w:val="61"/>
        <w:spacing w:line="360" w:lineRule="auto"/>
        <w:ind w:firstLine="459"/>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u w:val="single"/>
        </w:rPr>
        <w:t>                                    </w:t>
      </w:r>
      <w:r>
        <w:rPr>
          <w:rFonts w:hint="eastAsia" w:ascii="宋体" w:hAnsi="宋体" w:eastAsia="宋体" w:cs="宋体"/>
          <w:b/>
          <w:sz w:val="21"/>
          <w:szCs w:val="21"/>
          <w:highlight w:val="none"/>
          <w:u w:val="single"/>
        </w:rPr>
        <w:t xml:space="preserve">         </w:t>
      </w:r>
    </w:p>
    <w:p w14:paraId="077AE03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因承包人原因造成工期延误，逾</w:t>
      </w:r>
      <w:bookmarkStart w:id="538" w:name="_Toc318581171"/>
      <w:bookmarkStart w:id="539" w:name="_Toc312678014"/>
      <w:r>
        <w:rPr>
          <w:rFonts w:hint="eastAsia" w:ascii="宋体" w:hAnsi="宋体" w:eastAsia="宋体" w:cs="宋体"/>
          <w:bCs/>
          <w:sz w:val="21"/>
          <w:szCs w:val="21"/>
          <w:highlight w:val="none"/>
        </w:rPr>
        <w:t>期竣工违约金的上限：</w:t>
      </w:r>
      <w:r>
        <w:rPr>
          <w:rFonts w:hint="eastAsia" w:ascii="宋体" w:hAnsi="宋体" w:eastAsia="宋体" w:cs="宋体"/>
          <w:b/>
          <w:bCs/>
          <w:sz w:val="21"/>
          <w:szCs w:val="21"/>
          <w:highlight w:val="none"/>
          <w:u w:val="single"/>
        </w:rPr>
        <w:t>无。</w:t>
      </w:r>
    </w:p>
    <w:bookmarkEnd w:id="538"/>
    <w:bookmarkEnd w:id="539"/>
    <w:p w14:paraId="4A3E1B83">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w:t>
      </w:r>
      <w:bookmarkStart w:id="540" w:name="_Toc303539128"/>
      <w:bookmarkStart w:id="541" w:name="_Toc304295549"/>
      <w:bookmarkStart w:id="542" w:name="_Toc297123519"/>
      <w:bookmarkStart w:id="543" w:name="_Toc297216178"/>
      <w:bookmarkStart w:id="544" w:name="_Toc300934971"/>
      <w:bookmarkStart w:id="545" w:name="_Toc312678015"/>
      <w:r>
        <w:rPr>
          <w:rFonts w:hint="eastAsia" w:ascii="宋体" w:hAnsi="宋体" w:eastAsia="宋体" w:cs="宋体"/>
          <w:b/>
          <w:bCs/>
          <w:sz w:val="21"/>
          <w:szCs w:val="21"/>
          <w:highlight w:val="none"/>
        </w:rPr>
        <w:t>.6 不</w:t>
      </w:r>
      <w:bookmarkEnd w:id="540"/>
      <w:bookmarkEnd w:id="541"/>
      <w:bookmarkEnd w:id="542"/>
      <w:bookmarkEnd w:id="543"/>
      <w:bookmarkEnd w:id="544"/>
      <w:bookmarkEnd w:id="545"/>
      <w:r>
        <w:rPr>
          <w:rFonts w:hint="eastAsia" w:ascii="宋体" w:hAnsi="宋体" w:eastAsia="宋体" w:cs="宋体"/>
          <w:b/>
          <w:bCs/>
          <w:sz w:val="21"/>
          <w:szCs w:val="21"/>
          <w:highlight w:val="none"/>
        </w:rPr>
        <w:t>利物质条件</w:t>
      </w:r>
    </w:p>
    <w:p w14:paraId="4C3A27D6">
      <w:pPr>
        <w:pStyle w:val="61"/>
        <w:spacing w:line="360" w:lineRule="auto"/>
        <w:ind w:firstLine="459"/>
        <w:rPr>
          <w:rFonts w:hint="eastAsia" w:ascii="宋体" w:hAnsi="宋体" w:eastAsia="宋体" w:cs="宋体"/>
          <w:bCs/>
          <w:sz w:val="21"/>
          <w:szCs w:val="21"/>
          <w:highlight w:val="none"/>
        </w:rPr>
      </w:pPr>
      <w:bookmarkStart w:id="546" w:name="_Toc297216179"/>
      <w:bookmarkStart w:id="547" w:name="_Toc303539129"/>
      <w:bookmarkStart w:id="548" w:name="_Toc318581172"/>
      <w:bookmarkStart w:id="549" w:name="_Toc300934972"/>
      <w:bookmarkStart w:id="550" w:name="_Toc312678016"/>
      <w:bookmarkStart w:id="551" w:name="_Toc297123520"/>
      <w:bookmarkStart w:id="552" w:name="_Toc304295550"/>
      <w:r>
        <w:rPr>
          <w:rFonts w:hint="eastAsia" w:ascii="宋体" w:hAnsi="宋体" w:eastAsia="宋体" w:cs="宋体"/>
          <w:bCs/>
          <w:sz w:val="21"/>
          <w:szCs w:val="21"/>
          <w:highlight w:val="none"/>
        </w:rPr>
        <w:t>不利物质条件的其他情形和有关约定：</w:t>
      </w:r>
      <w:r>
        <w:rPr>
          <w:rFonts w:hint="eastAsia" w:ascii="宋体" w:hAnsi="宋体" w:eastAsia="宋体" w:cs="宋体"/>
          <w:b/>
          <w:bCs/>
          <w:sz w:val="21"/>
          <w:szCs w:val="21"/>
          <w:highlight w:val="none"/>
          <w:u w:val="single"/>
        </w:rPr>
        <w:t>按通用条款规定执行。</w:t>
      </w:r>
    </w:p>
    <w:bookmarkEnd w:id="546"/>
    <w:bookmarkEnd w:id="547"/>
    <w:bookmarkEnd w:id="548"/>
    <w:bookmarkEnd w:id="549"/>
    <w:bookmarkEnd w:id="550"/>
    <w:bookmarkEnd w:id="551"/>
    <w:bookmarkEnd w:id="552"/>
    <w:p w14:paraId="30A70B4B">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w:t>
      </w:r>
      <w:bookmarkStart w:id="553" w:name="_Toc297216180"/>
      <w:bookmarkStart w:id="554" w:name="_Toc297123521"/>
      <w:bookmarkStart w:id="555" w:name="_Toc300934973"/>
      <w:bookmarkStart w:id="556" w:name="_Toc304295551"/>
      <w:bookmarkStart w:id="557" w:name="_Toc312678017"/>
      <w:bookmarkStart w:id="558" w:name="_Toc303539130"/>
      <w:r>
        <w:rPr>
          <w:rFonts w:hint="eastAsia" w:ascii="宋体" w:hAnsi="宋体" w:eastAsia="宋体" w:cs="宋体"/>
          <w:b/>
          <w:bCs/>
          <w:sz w:val="21"/>
          <w:szCs w:val="21"/>
          <w:highlight w:val="none"/>
        </w:rPr>
        <w:t>.7异常恶劣的气候条件</w:t>
      </w:r>
    </w:p>
    <w:bookmarkEnd w:id="553"/>
    <w:bookmarkEnd w:id="554"/>
    <w:bookmarkEnd w:id="555"/>
    <w:bookmarkEnd w:id="556"/>
    <w:bookmarkEnd w:id="557"/>
    <w:bookmarkEnd w:id="558"/>
    <w:p w14:paraId="2C51232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发包人和承包人同意以下情形视为异常恶劣的气候条件：</w:t>
      </w:r>
      <w:r>
        <w:rPr>
          <w:rFonts w:hint="eastAsia" w:ascii="宋体" w:hAnsi="宋体" w:eastAsia="宋体" w:cs="宋体"/>
          <w:b/>
          <w:bCs/>
          <w:sz w:val="21"/>
          <w:szCs w:val="21"/>
          <w:highlight w:val="none"/>
          <w:u w:val="single"/>
        </w:rPr>
        <w:t>无。</w:t>
      </w:r>
    </w:p>
    <w:p w14:paraId="6804C094">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7.9 提前竣工的奖励</w:t>
      </w:r>
    </w:p>
    <w:p w14:paraId="4B65893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7.9.2提前竣工的奖励：</w:t>
      </w:r>
      <w:r>
        <w:rPr>
          <w:rFonts w:hint="eastAsia" w:ascii="宋体" w:hAnsi="宋体" w:eastAsia="宋体" w:cs="宋体"/>
          <w:b/>
          <w:bCs/>
          <w:sz w:val="21"/>
          <w:szCs w:val="21"/>
          <w:highlight w:val="none"/>
          <w:u w:val="single"/>
        </w:rPr>
        <w:t>本项目不实施奖励。</w:t>
      </w:r>
    </w:p>
    <w:p w14:paraId="31EAC403">
      <w:pPr>
        <w:pStyle w:val="61"/>
        <w:spacing w:line="360" w:lineRule="auto"/>
        <w:rPr>
          <w:rFonts w:hint="eastAsia" w:ascii="宋体" w:hAnsi="宋体" w:eastAsia="宋体" w:cs="宋体"/>
          <w:b/>
          <w:sz w:val="21"/>
          <w:szCs w:val="21"/>
          <w:highlight w:val="none"/>
        </w:rPr>
      </w:pPr>
      <w:bookmarkStart w:id="559" w:name="_Toc351203640"/>
      <w:r>
        <w:rPr>
          <w:rFonts w:hint="eastAsia" w:ascii="宋体" w:hAnsi="宋体" w:eastAsia="宋体" w:cs="宋体"/>
          <w:b/>
          <w:sz w:val="21"/>
          <w:szCs w:val="21"/>
          <w:highlight w:val="none"/>
        </w:rPr>
        <w:t>8. 材料与设备</w:t>
      </w:r>
      <w:bookmarkEnd w:id="559"/>
    </w:p>
    <w:p w14:paraId="6312035C">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8.2承包人采购材料与工程设备</w:t>
      </w:r>
    </w:p>
    <w:bookmarkEnd w:id="494"/>
    <w:bookmarkEnd w:id="495"/>
    <w:bookmarkEnd w:id="496"/>
    <w:bookmarkEnd w:id="497"/>
    <w:bookmarkEnd w:id="498"/>
    <w:bookmarkEnd w:id="499"/>
    <w:bookmarkEnd w:id="500"/>
    <w:bookmarkEnd w:id="501"/>
    <w:bookmarkEnd w:id="502"/>
    <w:bookmarkEnd w:id="503"/>
    <w:p w14:paraId="69DB065E">
      <w:pPr>
        <w:pStyle w:val="61"/>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⑴所有材料及设备由承包人自行采购，所采购的设备材料必须满足招标文件技术部分的要求，并报送发包人和监理人核对确认，如与招标文件不符，发包人有权要求全部进行更换，承包人拒不进行更换的，发包人有权单方面终止合同，同时另行委托其他施工单位进行施工，由此发生的一切法律和经济责任均由承包人承担。</w:t>
      </w:r>
    </w:p>
    <w:p w14:paraId="1E0FC0EC">
      <w:pPr>
        <w:pStyle w:val="61"/>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⑵在项目实施过程中，承包人需对暂定价材料及项目进行深化设计，并报送相关材料样品，经发包人审核认可后确定。暂定价材料及项目的暂定价仅</w:t>
      </w:r>
      <w:r>
        <w:rPr>
          <w:rFonts w:hint="eastAsia" w:ascii="宋体" w:hAnsi="宋体" w:cs="宋体"/>
          <w:b/>
          <w:bCs/>
          <w:sz w:val="21"/>
          <w:szCs w:val="21"/>
          <w:highlight w:val="none"/>
          <w:u w:val="single"/>
          <w:lang w:eastAsia="zh-CN"/>
        </w:rPr>
        <w:t>作为</w:t>
      </w:r>
      <w:r>
        <w:rPr>
          <w:rFonts w:hint="eastAsia" w:ascii="宋体" w:hAnsi="宋体" w:eastAsia="宋体" w:cs="宋体"/>
          <w:b/>
          <w:bCs/>
          <w:sz w:val="21"/>
          <w:szCs w:val="21"/>
          <w:highlight w:val="none"/>
          <w:u w:val="single"/>
        </w:rPr>
        <w:t>工程预付款支付的依据，结算时按发包人审定价格进行计价。</w:t>
      </w:r>
    </w:p>
    <w:p w14:paraId="0B795967">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8</w:t>
      </w:r>
      <w:bookmarkStart w:id="560" w:name="_Toc297216186"/>
      <w:bookmarkStart w:id="561" w:name="_Toc297048353"/>
      <w:bookmarkStart w:id="562" w:name="_Toc296346668"/>
      <w:bookmarkStart w:id="563" w:name="_Toc300934979"/>
      <w:bookmarkStart w:id="564" w:name="_Toc280868654"/>
      <w:bookmarkStart w:id="565" w:name="_Toc292559877"/>
      <w:bookmarkStart w:id="566" w:name="_Toc296347166"/>
      <w:bookmarkStart w:id="567" w:name="_Toc297123527"/>
      <w:bookmarkStart w:id="568" w:name="_Toc296891207"/>
      <w:bookmarkStart w:id="569" w:name="_Toc312677493"/>
      <w:bookmarkStart w:id="570" w:name="_Toc292559372"/>
      <w:bookmarkStart w:id="571" w:name="_Toc296890995"/>
      <w:bookmarkStart w:id="572" w:name="_Toc296503167"/>
      <w:bookmarkStart w:id="573" w:name="_Toc296944506"/>
      <w:bookmarkStart w:id="574" w:name="_Toc312678019"/>
      <w:bookmarkStart w:id="575" w:name="_Toc297120467"/>
      <w:bookmarkStart w:id="576" w:name="_Toc303539136"/>
      <w:bookmarkStart w:id="577" w:name="_Toc304295556"/>
      <w:bookmarkStart w:id="578" w:name="_Toc267251424"/>
      <w:bookmarkStart w:id="579" w:name="_Toc280868655"/>
      <w:bookmarkStart w:id="580" w:name="_Toc280868656"/>
      <w:r>
        <w:rPr>
          <w:rFonts w:hint="eastAsia" w:ascii="宋体" w:hAnsi="宋体" w:eastAsia="宋体" w:cs="宋体"/>
          <w:b/>
          <w:bCs/>
          <w:sz w:val="21"/>
          <w:szCs w:val="21"/>
          <w:highlight w:val="none"/>
        </w:rPr>
        <w:t>.4材料与工程设备的保管与使用</w:t>
      </w:r>
    </w:p>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14:paraId="2985EF6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bookmarkStart w:id="581" w:name="_Toc292559878"/>
      <w:bookmarkStart w:id="582" w:name="_Toc292559373"/>
      <w:bookmarkStart w:id="583" w:name="_Toc297123528"/>
      <w:bookmarkStart w:id="584" w:name="_Toc296890996"/>
      <w:bookmarkStart w:id="585" w:name="_Toc304295557"/>
      <w:bookmarkStart w:id="586" w:name="_Toc318581173"/>
      <w:bookmarkStart w:id="587" w:name="_Toc312677494"/>
      <w:bookmarkStart w:id="588" w:name="_Toc296503168"/>
      <w:bookmarkStart w:id="589" w:name="_Toc300934980"/>
      <w:bookmarkStart w:id="590" w:name="_Toc297048354"/>
      <w:bookmarkStart w:id="591" w:name="_Toc312678020"/>
      <w:bookmarkStart w:id="592" w:name="_Toc296346669"/>
      <w:bookmarkStart w:id="593" w:name="_Toc297120468"/>
      <w:bookmarkStart w:id="594" w:name="_Toc297216187"/>
      <w:bookmarkStart w:id="595" w:name="_Toc296944507"/>
      <w:bookmarkStart w:id="596" w:name="_Toc296347167"/>
      <w:bookmarkStart w:id="597" w:name="_Toc303539137"/>
      <w:bookmarkStart w:id="598" w:name="_Toc296891208"/>
      <w:r>
        <w:rPr>
          <w:rFonts w:hint="eastAsia" w:ascii="宋体" w:hAnsi="宋体" w:eastAsia="宋体" w:cs="宋体"/>
          <w:bCs/>
          <w:sz w:val="21"/>
          <w:szCs w:val="21"/>
          <w:highlight w:val="none"/>
        </w:rPr>
        <w:t>.4.1发包人供应的材料设备的保管费用的承担：</w:t>
      </w:r>
      <w:r>
        <w:rPr>
          <w:rFonts w:hint="eastAsia" w:ascii="宋体" w:hAnsi="宋体" w:eastAsia="宋体" w:cs="宋体"/>
          <w:b/>
          <w:bCs/>
          <w:sz w:val="21"/>
          <w:szCs w:val="21"/>
          <w:highlight w:val="none"/>
          <w:u w:val="single"/>
        </w:rPr>
        <w:t>无。</w:t>
      </w:r>
      <w:bookmarkEnd w:id="581"/>
      <w:bookmarkEnd w:id="582"/>
    </w:p>
    <w:p w14:paraId="1B226848">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8.6 样品</w:t>
      </w:r>
    </w:p>
    <w:p w14:paraId="7AAFF2E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8.6.1样品的报送与封存</w:t>
      </w:r>
    </w:p>
    <w:p w14:paraId="54CEE42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需要承包人报送样品的材料或工程设备，样品的种类、名称、规格、数量要求：</w:t>
      </w:r>
      <w:r>
        <w:rPr>
          <w:rFonts w:hint="eastAsia" w:ascii="宋体" w:hAnsi="宋体" w:eastAsia="宋体" w:cs="宋体"/>
          <w:b/>
          <w:bCs/>
          <w:sz w:val="21"/>
          <w:szCs w:val="21"/>
          <w:highlight w:val="none"/>
          <w:u w:val="single"/>
        </w:rPr>
        <w:t>按国家及地方技术规范、标准、规程以及发包人要求执行</w:t>
      </w:r>
      <w:r>
        <w:rPr>
          <w:rFonts w:hint="eastAsia" w:ascii="宋体" w:hAnsi="宋体" w:eastAsia="宋体" w:cs="宋体"/>
          <w:bCs/>
          <w:sz w:val="21"/>
          <w:szCs w:val="21"/>
          <w:highlight w:val="none"/>
        </w:rPr>
        <w:t>。</w:t>
      </w:r>
    </w:p>
    <w:p w14:paraId="30629F3A">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8.8 施工设备和临时设施</w:t>
      </w:r>
    </w:p>
    <w:p w14:paraId="19CA1C8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8.8.1 承包人提供的施工设备和临时设施</w:t>
      </w:r>
    </w:p>
    <w:p w14:paraId="6E7168B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关于修建临时设施费用承担的约定：</w:t>
      </w:r>
      <w:r>
        <w:rPr>
          <w:rFonts w:hint="eastAsia" w:ascii="宋体" w:hAnsi="宋体" w:eastAsia="宋体" w:cs="宋体"/>
          <w:b/>
          <w:bCs/>
          <w:sz w:val="21"/>
          <w:szCs w:val="21"/>
          <w:highlight w:val="none"/>
          <w:u w:val="single"/>
        </w:rPr>
        <w:t>由承包人承担。</w:t>
      </w:r>
    </w:p>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14:paraId="50BCC1C8">
      <w:pPr>
        <w:pStyle w:val="61"/>
        <w:spacing w:line="360" w:lineRule="auto"/>
        <w:rPr>
          <w:rFonts w:hint="eastAsia" w:ascii="宋体" w:hAnsi="宋体" w:eastAsia="宋体" w:cs="宋体"/>
          <w:b/>
          <w:sz w:val="21"/>
          <w:szCs w:val="21"/>
          <w:highlight w:val="none"/>
        </w:rPr>
      </w:pPr>
      <w:bookmarkStart w:id="599" w:name="_Toc351203641"/>
      <w:r>
        <w:rPr>
          <w:rFonts w:hint="eastAsia" w:ascii="宋体" w:hAnsi="宋体" w:eastAsia="宋体" w:cs="宋体"/>
          <w:b/>
          <w:sz w:val="21"/>
          <w:szCs w:val="21"/>
          <w:highlight w:val="none"/>
        </w:rPr>
        <w:t>9</w:t>
      </w:r>
      <w:bookmarkEnd w:id="578"/>
      <w:bookmarkEnd w:id="579"/>
      <w:bookmarkEnd w:id="580"/>
      <w:bookmarkStart w:id="600" w:name="_Toc297216192"/>
      <w:bookmarkStart w:id="601" w:name="_Toc300934982"/>
      <w:bookmarkStart w:id="602" w:name="_Toc312678021"/>
      <w:bookmarkStart w:id="603" w:name="_Toc304295559"/>
      <w:bookmarkStart w:id="604" w:name="_Toc303539139"/>
      <w:bookmarkStart w:id="605" w:name="_Toc297123533"/>
      <w:bookmarkStart w:id="606" w:name="_Toc312677495"/>
      <w:bookmarkStart w:id="607" w:name="_Toc296347172"/>
      <w:bookmarkStart w:id="608" w:name="_Toc267251428"/>
      <w:bookmarkStart w:id="609" w:name="_Toc292559378"/>
      <w:bookmarkStart w:id="610" w:name="_Toc267251427"/>
      <w:bookmarkStart w:id="611" w:name="_Toc297048359"/>
      <w:bookmarkStart w:id="612" w:name="_Toc296944512"/>
      <w:bookmarkStart w:id="613" w:name="_Toc296891001"/>
      <w:bookmarkStart w:id="614" w:name="_Toc296503173"/>
      <w:bookmarkStart w:id="615" w:name="_Toc296891213"/>
      <w:bookmarkStart w:id="616" w:name="_Toc292559883"/>
      <w:bookmarkStart w:id="617" w:name="_Toc296346674"/>
      <w:bookmarkStart w:id="618" w:name="_Toc297120473"/>
      <w:r>
        <w:rPr>
          <w:rFonts w:hint="eastAsia" w:ascii="宋体" w:hAnsi="宋体" w:eastAsia="宋体" w:cs="宋体"/>
          <w:b/>
          <w:sz w:val="21"/>
          <w:szCs w:val="21"/>
          <w:highlight w:val="none"/>
        </w:rPr>
        <w:t>. 试验与检验</w:t>
      </w:r>
      <w:bookmarkEnd w:id="599"/>
    </w:p>
    <w:bookmarkEnd w:id="600"/>
    <w:bookmarkEnd w:id="601"/>
    <w:bookmarkEnd w:id="602"/>
    <w:bookmarkEnd w:id="603"/>
    <w:bookmarkEnd w:id="604"/>
    <w:bookmarkEnd w:id="605"/>
    <w:bookmarkEnd w:id="606"/>
    <w:p w14:paraId="200871CE">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9</w:t>
      </w:r>
      <w:bookmarkStart w:id="619" w:name="_Toc303539140"/>
      <w:bookmarkStart w:id="620" w:name="_Toc304295560"/>
      <w:bookmarkStart w:id="621" w:name="_Toc297216193"/>
      <w:bookmarkStart w:id="622" w:name="_Toc297123534"/>
      <w:bookmarkStart w:id="623" w:name="_Toc312677496"/>
      <w:bookmarkStart w:id="624" w:name="_Toc300934983"/>
      <w:bookmarkStart w:id="625" w:name="_Toc312678022"/>
      <w:r>
        <w:rPr>
          <w:rFonts w:hint="eastAsia" w:ascii="宋体" w:hAnsi="宋体" w:eastAsia="宋体" w:cs="宋体"/>
          <w:b/>
          <w:bCs/>
          <w:sz w:val="21"/>
          <w:szCs w:val="21"/>
          <w:highlight w:val="none"/>
        </w:rPr>
        <w:t>.1试验设备与试验人员</w:t>
      </w:r>
    </w:p>
    <w:bookmarkEnd w:id="619"/>
    <w:bookmarkEnd w:id="620"/>
    <w:bookmarkEnd w:id="621"/>
    <w:bookmarkEnd w:id="622"/>
    <w:bookmarkEnd w:id="623"/>
    <w:bookmarkEnd w:id="624"/>
    <w:bookmarkEnd w:id="625"/>
    <w:p w14:paraId="6B8F78A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9</w:t>
      </w:r>
      <w:bookmarkStart w:id="626" w:name="_Toc297216194"/>
      <w:bookmarkStart w:id="627" w:name="_Toc300934984"/>
      <w:bookmarkStart w:id="628" w:name="_Toc304295561"/>
      <w:bookmarkStart w:id="629" w:name="_Toc303539141"/>
      <w:bookmarkStart w:id="630" w:name="_Toc297123535"/>
      <w:bookmarkStart w:id="631" w:name="_Toc312678023"/>
      <w:bookmarkStart w:id="632" w:name="_Toc312677497"/>
      <w:bookmarkStart w:id="633" w:name="_Toc318581174"/>
      <w:r>
        <w:rPr>
          <w:rFonts w:hint="eastAsia" w:ascii="宋体" w:hAnsi="宋体" w:eastAsia="宋体" w:cs="宋体"/>
          <w:bCs/>
          <w:sz w:val="21"/>
          <w:szCs w:val="21"/>
          <w:highlight w:val="none"/>
        </w:rPr>
        <w:t>.1.2 试验设备</w:t>
      </w:r>
    </w:p>
    <w:p w14:paraId="6CDFF6A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施工现场需要配置的试验场所</w:t>
      </w:r>
      <w:r>
        <w:rPr>
          <w:rFonts w:hint="eastAsia" w:ascii="宋体" w:hAnsi="宋体" w:cs="宋体"/>
          <w:bCs/>
          <w:sz w:val="21"/>
          <w:szCs w:val="21"/>
          <w:highlight w:val="none"/>
          <w:lang w:eastAsia="zh-CN"/>
        </w:rPr>
        <w:t>：</w:t>
      </w:r>
      <w:bookmarkEnd w:id="626"/>
      <w:bookmarkEnd w:id="627"/>
      <w:bookmarkEnd w:id="628"/>
      <w:bookmarkEnd w:id="629"/>
      <w:bookmarkEnd w:id="630"/>
      <w:bookmarkEnd w:id="631"/>
      <w:bookmarkEnd w:id="632"/>
      <w:bookmarkStart w:id="634" w:name="_Toc303539142"/>
      <w:bookmarkStart w:id="635" w:name="_Toc312678024"/>
      <w:bookmarkStart w:id="636" w:name="_Toc304295562"/>
      <w:bookmarkStart w:id="637" w:name="_Toc312677498"/>
      <w:bookmarkStart w:id="638" w:name="_Toc300934985"/>
      <w:bookmarkStart w:id="639" w:name="_Toc297216195"/>
      <w:bookmarkStart w:id="640" w:name="_Toc297123536"/>
    </w:p>
    <w:p w14:paraId="51694E9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施工现场需要配备的试验设备</w:t>
      </w:r>
      <w:r>
        <w:rPr>
          <w:rFonts w:hint="eastAsia" w:ascii="宋体" w:hAnsi="宋体" w:cs="宋体"/>
          <w:bCs/>
          <w:sz w:val="21"/>
          <w:szCs w:val="21"/>
          <w:highlight w:val="none"/>
          <w:lang w:eastAsia="zh-CN"/>
        </w:rPr>
        <w:t>：</w:t>
      </w:r>
    </w:p>
    <w:p w14:paraId="767C8C8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施工现场需要具备的其他试验条件</w:t>
      </w:r>
      <w:r>
        <w:rPr>
          <w:rFonts w:hint="eastAsia" w:ascii="宋体" w:hAnsi="宋体" w:cs="宋体"/>
          <w:bCs/>
          <w:sz w:val="21"/>
          <w:szCs w:val="21"/>
          <w:highlight w:val="none"/>
          <w:lang w:eastAsia="zh-CN"/>
        </w:rPr>
        <w:t>：</w:t>
      </w:r>
    </w:p>
    <w:p w14:paraId="61477C98">
      <w:pPr>
        <w:pStyle w:val="61"/>
        <w:spacing w:line="360" w:lineRule="auto"/>
        <w:ind w:firstLine="45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9.4 现场工艺试验</w:t>
      </w:r>
    </w:p>
    <w:p w14:paraId="7F00003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现场工艺试验的有关约定：</w:t>
      </w:r>
      <w:r>
        <w:rPr>
          <w:rFonts w:hint="eastAsia" w:ascii="宋体" w:hAnsi="宋体" w:eastAsia="宋体" w:cs="宋体"/>
          <w:b/>
          <w:bCs/>
          <w:sz w:val="21"/>
          <w:szCs w:val="21"/>
          <w:highlight w:val="none"/>
          <w:u w:val="single"/>
        </w:rPr>
        <w:t>按项目现场管理要求执行。</w:t>
      </w:r>
    </w:p>
    <w:bookmarkEnd w:id="633"/>
    <w:bookmarkEnd w:id="634"/>
    <w:bookmarkEnd w:id="635"/>
    <w:bookmarkEnd w:id="636"/>
    <w:bookmarkEnd w:id="637"/>
    <w:bookmarkEnd w:id="638"/>
    <w:bookmarkEnd w:id="639"/>
    <w:bookmarkEnd w:id="640"/>
    <w:p w14:paraId="0DAD7B21">
      <w:pPr>
        <w:pStyle w:val="61"/>
        <w:spacing w:line="360" w:lineRule="auto"/>
        <w:rPr>
          <w:rFonts w:hint="eastAsia" w:ascii="宋体" w:hAnsi="宋体" w:eastAsia="宋体" w:cs="宋体"/>
          <w:b/>
          <w:sz w:val="21"/>
          <w:szCs w:val="21"/>
          <w:highlight w:val="none"/>
        </w:rPr>
      </w:pPr>
      <w:bookmarkStart w:id="641" w:name="_Toc351203642"/>
      <w:r>
        <w:rPr>
          <w:rFonts w:hint="eastAsia" w:ascii="宋体" w:hAnsi="宋体" w:eastAsia="宋体" w:cs="宋体"/>
          <w:b/>
          <w:sz w:val="21"/>
          <w:szCs w:val="21"/>
          <w:highlight w:val="none"/>
        </w:rPr>
        <w:t>1</w:t>
      </w:r>
      <w:bookmarkEnd w:id="607"/>
      <w:bookmarkEnd w:id="608"/>
      <w:bookmarkEnd w:id="609"/>
      <w:bookmarkEnd w:id="610"/>
      <w:bookmarkEnd w:id="611"/>
      <w:bookmarkEnd w:id="612"/>
      <w:bookmarkEnd w:id="613"/>
      <w:bookmarkEnd w:id="614"/>
      <w:bookmarkEnd w:id="615"/>
      <w:bookmarkEnd w:id="616"/>
      <w:bookmarkEnd w:id="617"/>
      <w:bookmarkEnd w:id="618"/>
      <w:bookmarkStart w:id="642" w:name="_Toc296346694"/>
      <w:bookmarkStart w:id="643" w:name="_Toc296891021"/>
      <w:bookmarkStart w:id="644" w:name="_Toc292559398"/>
      <w:bookmarkStart w:id="645" w:name="_Toc304295566"/>
      <w:bookmarkStart w:id="646" w:name="_Toc296891233"/>
      <w:bookmarkStart w:id="647" w:name="_Toc296347192"/>
      <w:bookmarkStart w:id="648" w:name="_Toc296944532"/>
      <w:bookmarkStart w:id="649" w:name="_Toc300934989"/>
      <w:bookmarkStart w:id="650" w:name="_Toc297216199"/>
      <w:bookmarkStart w:id="651" w:name="_Toc297123540"/>
      <w:bookmarkStart w:id="652" w:name="_Toc296503193"/>
      <w:bookmarkStart w:id="653" w:name="_Toc292559903"/>
      <w:bookmarkStart w:id="654" w:name="_Toc297048379"/>
      <w:bookmarkStart w:id="655" w:name="_Toc297120493"/>
      <w:bookmarkStart w:id="656" w:name="_Toc303539146"/>
      <w:bookmarkStart w:id="657" w:name="_Toc312677499"/>
      <w:bookmarkStart w:id="658" w:name="_Toc312678025"/>
      <w:bookmarkStart w:id="659" w:name="_Toc267251439"/>
      <w:bookmarkStart w:id="660" w:name="_Toc267251435"/>
      <w:bookmarkStart w:id="661" w:name="_Toc267251440"/>
      <w:bookmarkStart w:id="662" w:name="_Toc267251437"/>
      <w:bookmarkStart w:id="663" w:name="_Toc267251441"/>
      <w:bookmarkStart w:id="664" w:name="_Toc267251433"/>
      <w:bookmarkStart w:id="665" w:name="_Toc267251442"/>
      <w:r>
        <w:rPr>
          <w:rFonts w:hint="eastAsia" w:ascii="宋体" w:hAnsi="宋体" w:eastAsia="宋体" w:cs="宋体"/>
          <w:b/>
          <w:sz w:val="21"/>
          <w:szCs w:val="21"/>
          <w:highlight w:val="none"/>
        </w:rPr>
        <w:t>0. 变更</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bookmarkEnd w:id="657"/>
    <w:bookmarkEnd w:id="658"/>
    <w:p w14:paraId="7EB941BC">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bookmarkStart w:id="666" w:name="_Toc297048380"/>
      <w:bookmarkStart w:id="667" w:name="_Toc312677500"/>
      <w:bookmarkStart w:id="668" w:name="_Toc296347193"/>
      <w:bookmarkStart w:id="669" w:name="_Toc292559399"/>
      <w:bookmarkStart w:id="670" w:name="_Toc292559904"/>
      <w:bookmarkStart w:id="671" w:name="_Toc297216200"/>
      <w:bookmarkStart w:id="672" w:name="_Toc303539147"/>
      <w:bookmarkStart w:id="673" w:name="_Toc296503194"/>
      <w:bookmarkStart w:id="674" w:name="_Toc304295567"/>
      <w:bookmarkStart w:id="675" w:name="_Toc296944533"/>
      <w:bookmarkStart w:id="676" w:name="_Toc312678026"/>
      <w:bookmarkStart w:id="677" w:name="_Toc296346695"/>
      <w:bookmarkStart w:id="678" w:name="_Toc300934990"/>
      <w:bookmarkStart w:id="679" w:name="_Toc297120494"/>
      <w:bookmarkStart w:id="680" w:name="_Toc296891022"/>
      <w:bookmarkStart w:id="681" w:name="_Toc297123541"/>
      <w:bookmarkStart w:id="682" w:name="_Toc296891234"/>
      <w:r>
        <w:rPr>
          <w:rFonts w:hint="eastAsia" w:ascii="宋体" w:hAnsi="宋体" w:eastAsia="宋体" w:cs="宋体"/>
          <w:b/>
          <w:bCs/>
          <w:sz w:val="21"/>
          <w:szCs w:val="21"/>
          <w:highlight w:val="none"/>
        </w:rPr>
        <w:t>0.1变更的范围</w:t>
      </w:r>
    </w:p>
    <w:p w14:paraId="6EFB069E">
      <w:pPr>
        <w:pStyle w:val="61"/>
        <w:spacing w:line="360" w:lineRule="auto"/>
        <w:ind w:firstLine="459"/>
        <w:rPr>
          <w:rFonts w:hint="eastAsia" w:ascii="宋体" w:hAnsi="宋体" w:eastAsia="宋体" w:cs="宋体"/>
          <w:b/>
          <w:sz w:val="21"/>
          <w:szCs w:val="21"/>
          <w:highlight w:val="none"/>
          <w:u w:val="single"/>
        </w:rPr>
      </w:pPr>
      <w:r>
        <w:rPr>
          <w:rFonts w:hint="eastAsia" w:ascii="宋体" w:hAnsi="宋体" w:eastAsia="宋体" w:cs="宋体"/>
          <w:bCs/>
          <w:sz w:val="21"/>
          <w:szCs w:val="21"/>
          <w:highlight w:val="none"/>
        </w:rPr>
        <w:t>关于变更的范围的约定：</w:t>
      </w:r>
      <w:r>
        <w:rPr>
          <w:rFonts w:hint="eastAsia" w:ascii="宋体" w:hAnsi="宋体" w:eastAsia="宋体" w:cs="宋体"/>
          <w:b/>
          <w:sz w:val="21"/>
          <w:szCs w:val="21"/>
          <w:highlight w:val="none"/>
          <w:u w:val="single"/>
        </w:rPr>
        <w:t>设计变更项目以设计院出具并经发包人、监理工程师确认的设计变更通知书为准。</w:t>
      </w:r>
      <w:r>
        <w:rPr>
          <w:rFonts w:hint="eastAsia" w:ascii="宋体" w:hAnsi="宋体" w:cs="宋体"/>
          <w:b/>
          <w:sz w:val="21"/>
          <w:szCs w:val="21"/>
          <w:highlight w:val="none"/>
          <w:u w:val="single"/>
          <w:lang w:eastAsia="zh-CN"/>
        </w:rPr>
        <w:t>其他</w:t>
      </w:r>
      <w:r>
        <w:rPr>
          <w:rFonts w:hint="eastAsia" w:ascii="宋体" w:hAnsi="宋体" w:eastAsia="宋体" w:cs="宋体"/>
          <w:b/>
          <w:sz w:val="21"/>
          <w:szCs w:val="21"/>
          <w:highlight w:val="none"/>
          <w:u w:val="single"/>
        </w:rPr>
        <w:t>变更项目以发包人、监理工程师、承包人现场共同</w:t>
      </w:r>
      <w:r>
        <w:rPr>
          <w:rFonts w:hint="eastAsia" w:ascii="宋体" w:hAnsi="宋体" w:cs="宋体"/>
          <w:b/>
          <w:sz w:val="21"/>
          <w:szCs w:val="21"/>
          <w:highlight w:val="none"/>
          <w:u w:val="single"/>
          <w:lang w:eastAsia="zh-CN"/>
        </w:rPr>
        <w:t>签字</w:t>
      </w:r>
      <w:r>
        <w:rPr>
          <w:rFonts w:hint="eastAsia" w:ascii="宋体" w:hAnsi="宋体" w:eastAsia="宋体" w:cs="宋体"/>
          <w:b/>
          <w:sz w:val="21"/>
          <w:szCs w:val="21"/>
          <w:highlight w:val="none"/>
          <w:u w:val="single"/>
        </w:rPr>
        <w:t>为准。变更工程量及价格均须经发包人审核确认。</w:t>
      </w:r>
    </w:p>
    <w:p w14:paraId="02D984A5">
      <w:pPr>
        <w:pStyle w:val="61"/>
        <w:spacing w:line="360" w:lineRule="auto"/>
        <w:ind w:firstLine="45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10.4 变更估价</w:t>
      </w:r>
    </w:p>
    <w:p w14:paraId="0471281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10.4.1 变更估价原则</w:t>
      </w:r>
    </w:p>
    <w:p w14:paraId="129057A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关于变更估价的约定</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w:t>
      </w:r>
    </w:p>
    <w:p w14:paraId="49BCC69E">
      <w:pPr>
        <w:pStyle w:val="61"/>
        <w:spacing w:line="360" w:lineRule="auto"/>
        <w:ind w:firstLine="459"/>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（1）新增项目综合单价的确定方法如下：</w:t>
      </w:r>
    </w:p>
    <w:p w14:paraId="29E2F046">
      <w:pPr>
        <w:pStyle w:val="61"/>
        <w:spacing w:line="360" w:lineRule="auto"/>
        <w:ind w:firstLine="459"/>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①按</w:t>
      </w:r>
      <w:r>
        <w:rPr>
          <w:rFonts w:hint="eastAsia" w:ascii="宋体" w:hAnsi="宋体" w:cs="宋体"/>
          <w:b/>
          <w:sz w:val="21"/>
          <w:szCs w:val="21"/>
          <w:highlight w:val="none"/>
          <w:u w:val="single"/>
          <w:lang w:val="en-US" w:eastAsia="zh-CN"/>
        </w:rPr>
        <w:t>已公布</w:t>
      </w:r>
      <w:r>
        <w:rPr>
          <w:rFonts w:hint="eastAsia" w:ascii="宋体" w:hAnsi="宋体" w:eastAsia="宋体" w:cs="宋体"/>
          <w:b/>
          <w:sz w:val="21"/>
          <w:szCs w:val="21"/>
          <w:highlight w:val="none"/>
          <w:u w:val="single"/>
          <w:lang w:val="en-US" w:eastAsia="zh-CN"/>
        </w:rPr>
        <w:t>工程量清单</w:t>
      </w:r>
      <w:r>
        <w:rPr>
          <w:rFonts w:hint="eastAsia" w:ascii="宋体" w:hAnsi="宋体" w:cs="宋体"/>
          <w:b/>
          <w:sz w:val="21"/>
          <w:szCs w:val="21"/>
          <w:highlight w:val="none"/>
          <w:u w:val="single"/>
          <w:lang w:val="en-US" w:eastAsia="zh-CN"/>
        </w:rPr>
        <w:t>编制说明</w:t>
      </w:r>
      <w:r>
        <w:rPr>
          <w:rFonts w:hint="eastAsia" w:ascii="宋体" w:hAnsi="宋体" w:eastAsia="宋体" w:cs="宋体"/>
          <w:b/>
          <w:sz w:val="21"/>
          <w:szCs w:val="21"/>
          <w:highlight w:val="none"/>
          <w:u w:val="single"/>
          <w:lang w:val="en-US" w:eastAsia="zh-CN"/>
        </w:rPr>
        <w:t>计价方式计价，计价依据</w:t>
      </w:r>
      <w:r>
        <w:rPr>
          <w:rFonts w:hint="eastAsia" w:ascii="宋体" w:hAnsi="宋体" w:cs="宋体"/>
          <w:b/>
          <w:sz w:val="21"/>
          <w:szCs w:val="21"/>
          <w:highlight w:val="none"/>
          <w:u w:val="single"/>
          <w:lang w:val="en-US" w:eastAsia="zh-CN"/>
        </w:rPr>
        <w:t>招标工程量清单编制说明</w:t>
      </w:r>
      <w:r>
        <w:rPr>
          <w:rFonts w:hint="eastAsia" w:ascii="宋体" w:hAnsi="宋体" w:eastAsia="宋体" w:cs="宋体"/>
          <w:b/>
          <w:sz w:val="21"/>
          <w:szCs w:val="21"/>
          <w:highlight w:val="none"/>
          <w:u w:val="single"/>
          <w:lang w:val="en-US" w:eastAsia="zh-CN"/>
        </w:rPr>
        <w:t>的有关规定及云南省截止本项目投标文件递交截止日期时的现行有关配套计价文件执行计算后乘以计价系数（计价系数＝投标总价÷拦标总价）确定新增单价；</w:t>
      </w:r>
    </w:p>
    <w:p w14:paraId="04AB5D50">
      <w:pPr>
        <w:pStyle w:val="61"/>
        <w:spacing w:line="360" w:lineRule="auto"/>
        <w:ind w:firstLine="459"/>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②新增项目综合单价中主要材料价格的确定：</w:t>
      </w:r>
    </w:p>
    <w:p w14:paraId="2E32D8B9">
      <w:pPr>
        <w:pStyle w:val="61"/>
        <w:spacing w:line="360" w:lineRule="auto"/>
        <w:ind w:firstLine="459"/>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A</w:t>
      </w:r>
      <w:r>
        <w:rPr>
          <w:rFonts w:hint="eastAsia" w:ascii="宋体" w:hAnsi="宋体" w:cs="宋体"/>
          <w:b/>
          <w:sz w:val="21"/>
          <w:szCs w:val="21"/>
          <w:highlight w:val="none"/>
          <w:u w:val="single"/>
          <w:lang w:val="en-US" w:eastAsia="zh-CN"/>
        </w:rPr>
        <w:t>.</w:t>
      </w:r>
      <w:r>
        <w:rPr>
          <w:rFonts w:hint="eastAsia" w:ascii="宋体" w:hAnsi="宋体" w:eastAsia="宋体" w:cs="宋体"/>
          <w:b/>
          <w:sz w:val="21"/>
          <w:szCs w:val="21"/>
          <w:highlight w:val="none"/>
          <w:u w:val="single"/>
          <w:lang w:val="en-US" w:eastAsia="zh-CN"/>
        </w:rPr>
        <w:t>合同中有相同或类似工程项目综合单价的，可参照合同中相同或类似项目的综合单价计算确定。</w:t>
      </w:r>
    </w:p>
    <w:p w14:paraId="2D061B3D">
      <w:pPr>
        <w:pStyle w:val="61"/>
        <w:spacing w:line="360" w:lineRule="auto"/>
        <w:ind w:firstLine="459"/>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B</w:t>
      </w:r>
      <w:r>
        <w:rPr>
          <w:rFonts w:hint="eastAsia" w:ascii="宋体" w:hAnsi="宋体" w:cs="宋体"/>
          <w:b/>
          <w:sz w:val="21"/>
          <w:szCs w:val="21"/>
          <w:highlight w:val="none"/>
          <w:u w:val="single"/>
          <w:lang w:val="en-US" w:eastAsia="zh-CN"/>
        </w:rPr>
        <w:t>.</w:t>
      </w:r>
      <w:r>
        <w:rPr>
          <w:rFonts w:hint="eastAsia" w:ascii="宋体" w:hAnsi="宋体" w:eastAsia="宋体" w:cs="宋体"/>
          <w:b/>
          <w:sz w:val="21"/>
          <w:szCs w:val="21"/>
          <w:highlight w:val="none"/>
          <w:u w:val="single"/>
          <w:lang w:val="en-US" w:eastAsia="zh-CN"/>
        </w:rPr>
        <w:t>合同中没有相同或类似工程项目综合单价的，其综合单价由承包人根据合同价的组价原则提出，须经发包人确认并经审计部门审定后作为结算的依据。</w:t>
      </w:r>
    </w:p>
    <w:p w14:paraId="69628625">
      <w:pPr>
        <w:pStyle w:val="61"/>
        <w:spacing w:line="360" w:lineRule="auto"/>
        <w:ind w:firstLine="459"/>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C</w:t>
      </w:r>
      <w:r>
        <w:rPr>
          <w:rFonts w:hint="eastAsia" w:ascii="宋体" w:hAnsi="宋体" w:cs="宋体"/>
          <w:b/>
          <w:sz w:val="21"/>
          <w:szCs w:val="21"/>
          <w:highlight w:val="none"/>
          <w:u w:val="single"/>
          <w:lang w:val="en-US" w:eastAsia="zh-CN"/>
        </w:rPr>
        <w:t>.</w:t>
      </w:r>
      <w:r>
        <w:rPr>
          <w:rFonts w:hint="eastAsia" w:ascii="宋体" w:hAnsi="宋体" w:eastAsia="宋体" w:cs="宋体"/>
          <w:b/>
          <w:sz w:val="21"/>
          <w:szCs w:val="21"/>
          <w:highlight w:val="none"/>
          <w:u w:val="single"/>
          <w:lang w:val="en-US" w:eastAsia="zh-CN"/>
        </w:rPr>
        <w:t>清单项目中项目特征或工程内容发生部分变更的，应以原综合单价为基础，仅就变更部分调整其综合单价。</w:t>
      </w:r>
    </w:p>
    <w:p w14:paraId="7A942F5A">
      <w:pPr>
        <w:pStyle w:val="61"/>
        <w:spacing w:line="360" w:lineRule="auto"/>
        <w:ind w:firstLine="459"/>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D</w:t>
      </w:r>
      <w:r>
        <w:rPr>
          <w:rFonts w:hint="eastAsia" w:ascii="宋体" w:hAnsi="宋体" w:cs="宋体"/>
          <w:b/>
          <w:sz w:val="21"/>
          <w:szCs w:val="21"/>
          <w:highlight w:val="none"/>
          <w:u w:val="single"/>
          <w:lang w:val="en-US" w:eastAsia="zh-CN"/>
        </w:rPr>
        <w:t>.</w:t>
      </w:r>
      <w:r>
        <w:rPr>
          <w:rFonts w:hint="eastAsia" w:ascii="宋体" w:hAnsi="宋体" w:eastAsia="宋体" w:cs="宋体"/>
          <w:b/>
          <w:sz w:val="21"/>
          <w:szCs w:val="21"/>
          <w:highlight w:val="none"/>
          <w:u w:val="single"/>
          <w:lang w:val="en-US" w:eastAsia="zh-CN"/>
        </w:rPr>
        <w:t>暂估价的材料经发包人、承包人共同询价，按照双方询价确定的材料价格结算。</w:t>
      </w:r>
    </w:p>
    <w:p w14:paraId="08F371C9">
      <w:pPr>
        <w:pStyle w:val="61"/>
        <w:spacing w:line="360" w:lineRule="auto"/>
        <w:ind w:firstLine="459"/>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u w:val="single"/>
          <w:lang w:val="en-US" w:eastAsia="zh-CN"/>
        </w:rPr>
        <w:t>（2）合同中有适用或</w:t>
      </w:r>
      <w:r>
        <w:rPr>
          <w:rFonts w:hint="eastAsia" w:ascii="宋体" w:hAnsi="宋体" w:cs="宋体"/>
          <w:b/>
          <w:sz w:val="21"/>
          <w:szCs w:val="21"/>
          <w:highlight w:val="none"/>
          <w:u w:val="single"/>
          <w:lang w:val="en-US" w:eastAsia="zh-CN"/>
        </w:rPr>
        <w:t>类似</w:t>
      </w:r>
      <w:r>
        <w:rPr>
          <w:rFonts w:hint="eastAsia" w:ascii="宋体" w:hAnsi="宋体" w:eastAsia="宋体" w:cs="宋体"/>
          <w:b/>
          <w:sz w:val="21"/>
          <w:szCs w:val="21"/>
          <w:highlight w:val="none"/>
          <w:u w:val="single"/>
          <w:lang w:val="en-US" w:eastAsia="zh-CN"/>
        </w:rPr>
        <w:t>的综合单价的定义：系指使用同一清单项目并适用同一定额子目的清单项目，主材变更时用调整材料价差方式计算确定综合单价，</w:t>
      </w:r>
      <w:r>
        <w:rPr>
          <w:rFonts w:hint="eastAsia" w:ascii="宋体" w:hAnsi="宋体" w:cs="宋体"/>
          <w:b/>
          <w:sz w:val="21"/>
          <w:szCs w:val="21"/>
          <w:highlight w:val="none"/>
          <w:u w:val="single"/>
          <w:lang w:val="en-US" w:eastAsia="zh-CN"/>
        </w:rPr>
        <w:t>按工程量清单编制说明</w:t>
      </w:r>
      <w:r>
        <w:rPr>
          <w:rFonts w:hint="eastAsia" w:ascii="宋体" w:hAnsi="宋体" w:eastAsia="宋体" w:cs="宋体"/>
          <w:b/>
          <w:sz w:val="21"/>
          <w:szCs w:val="21"/>
          <w:highlight w:val="none"/>
          <w:u w:val="single"/>
          <w:lang w:val="en-US" w:eastAsia="zh-CN"/>
        </w:rPr>
        <w:t>的有关规定及云南省截止本项目投标文件递交截止日期时的现行有关配套计价文件执行。</w:t>
      </w:r>
    </w:p>
    <w:p w14:paraId="3B18027F">
      <w:pPr>
        <w:pStyle w:val="61"/>
        <w:spacing w:line="360" w:lineRule="auto"/>
        <w:ind w:firstLine="45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Start w:id="683" w:name="_Toc296891237"/>
      <w:bookmarkStart w:id="684" w:name="_Toc296503197"/>
      <w:bookmarkStart w:id="685" w:name="_Toc300934993"/>
      <w:bookmarkStart w:id="686" w:name="_Toc297216203"/>
      <w:bookmarkStart w:id="687" w:name="_Toc296891025"/>
      <w:bookmarkStart w:id="688" w:name="_Toc297048383"/>
      <w:bookmarkStart w:id="689" w:name="_Toc297123544"/>
      <w:bookmarkStart w:id="690" w:name="_Toc296346698"/>
      <w:bookmarkStart w:id="691" w:name="_Toc297120497"/>
      <w:bookmarkStart w:id="692" w:name="_Toc292559907"/>
      <w:bookmarkStart w:id="693" w:name="_Toc296944536"/>
      <w:bookmarkStart w:id="694" w:name="_Toc303539150"/>
      <w:bookmarkStart w:id="695" w:name="_Toc296347196"/>
      <w:bookmarkStart w:id="696" w:name="_Toc292559402"/>
      <w:bookmarkStart w:id="697" w:name="_Toc312677503"/>
      <w:bookmarkStart w:id="698" w:name="_Toc304295570"/>
      <w:bookmarkStart w:id="699" w:name="_Toc312678029"/>
      <w:r>
        <w:rPr>
          <w:rFonts w:hint="eastAsia" w:ascii="宋体" w:hAnsi="宋体" w:eastAsia="宋体" w:cs="宋体"/>
          <w:b/>
          <w:bCs/>
          <w:sz w:val="21"/>
          <w:szCs w:val="21"/>
          <w:highlight w:val="none"/>
        </w:rPr>
        <w:t>0.5承</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Start w:id="700" w:name="_Toc292559408"/>
      <w:bookmarkStart w:id="701" w:name="_Toc297216204"/>
      <w:bookmarkStart w:id="702" w:name="_Toc292559913"/>
      <w:bookmarkStart w:id="703" w:name="_Toc296346704"/>
      <w:bookmarkStart w:id="704" w:name="_Toc296503203"/>
      <w:bookmarkStart w:id="705" w:name="_Toc297048389"/>
      <w:bookmarkStart w:id="706" w:name="_Toc297123545"/>
      <w:bookmarkStart w:id="707" w:name="_Toc296891031"/>
      <w:bookmarkStart w:id="708" w:name="_Toc303539151"/>
      <w:bookmarkStart w:id="709" w:name="_Toc300934994"/>
      <w:bookmarkStart w:id="710" w:name="_Toc297120503"/>
      <w:bookmarkStart w:id="711" w:name="_Toc296891243"/>
      <w:bookmarkStart w:id="712" w:name="_Toc296944542"/>
      <w:bookmarkStart w:id="713" w:name="_Toc296347202"/>
      <w:r>
        <w:rPr>
          <w:rFonts w:hint="eastAsia" w:ascii="宋体" w:hAnsi="宋体" w:eastAsia="宋体" w:cs="宋体"/>
          <w:b/>
          <w:bCs/>
          <w:sz w:val="21"/>
          <w:szCs w:val="21"/>
          <w:highlight w:val="none"/>
        </w:rPr>
        <w:t>包人的合理化建议</w:t>
      </w:r>
    </w:p>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14:paraId="7A50F62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监理人审查承包人合理化建议的期限：</w:t>
      </w:r>
      <w:r>
        <w:rPr>
          <w:rFonts w:hint="eastAsia" w:ascii="宋体" w:hAnsi="宋体" w:eastAsia="宋体" w:cs="宋体"/>
          <w:b/>
          <w:sz w:val="21"/>
          <w:szCs w:val="21"/>
          <w:highlight w:val="none"/>
          <w:u w:val="single"/>
        </w:rPr>
        <w:t>收到承包人提交的</w:t>
      </w:r>
      <w:r>
        <w:rPr>
          <w:rFonts w:hint="eastAsia" w:ascii="宋体" w:hAnsi="宋体" w:eastAsia="宋体" w:cs="宋体"/>
          <w:b/>
          <w:bCs/>
          <w:sz w:val="21"/>
          <w:szCs w:val="21"/>
          <w:highlight w:val="none"/>
          <w:u w:val="single"/>
        </w:rPr>
        <w:t>合理化建议</w:t>
      </w:r>
      <w:r>
        <w:rPr>
          <w:rFonts w:hint="eastAsia" w:ascii="宋体" w:hAnsi="宋体" w:eastAsia="宋体" w:cs="宋体"/>
          <w:b/>
          <w:sz w:val="21"/>
          <w:szCs w:val="21"/>
          <w:highlight w:val="none"/>
          <w:u w:val="single"/>
        </w:rPr>
        <w:t>后七天内审查完毕并报送发包人</w:t>
      </w:r>
      <w:r>
        <w:rPr>
          <w:rFonts w:hint="eastAsia" w:ascii="宋体" w:hAnsi="宋体" w:eastAsia="宋体" w:cs="宋体"/>
          <w:bCs/>
          <w:sz w:val="21"/>
          <w:szCs w:val="21"/>
          <w:highlight w:val="none"/>
        </w:rPr>
        <w:t>。</w:t>
      </w:r>
    </w:p>
    <w:p w14:paraId="1B0B459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发包人审批承包人合理化建议的期限：</w:t>
      </w:r>
      <w:r>
        <w:rPr>
          <w:rFonts w:hint="eastAsia" w:ascii="宋体" w:hAnsi="宋体" w:eastAsia="宋体" w:cs="宋体"/>
          <w:b/>
          <w:sz w:val="21"/>
          <w:szCs w:val="21"/>
          <w:highlight w:val="none"/>
          <w:u w:val="single"/>
        </w:rPr>
        <w:t>收到监理人报送的</w:t>
      </w:r>
      <w:r>
        <w:rPr>
          <w:rFonts w:hint="eastAsia" w:ascii="宋体" w:hAnsi="宋体" w:eastAsia="宋体" w:cs="宋体"/>
          <w:b/>
          <w:bCs/>
          <w:sz w:val="21"/>
          <w:szCs w:val="21"/>
          <w:highlight w:val="none"/>
          <w:u w:val="single"/>
        </w:rPr>
        <w:t>合理化建议</w:t>
      </w:r>
      <w:r>
        <w:rPr>
          <w:rFonts w:hint="eastAsia" w:ascii="宋体" w:hAnsi="宋体" w:eastAsia="宋体" w:cs="宋体"/>
          <w:b/>
          <w:sz w:val="21"/>
          <w:szCs w:val="21"/>
          <w:highlight w:val="none"/>
          <w:u w:val="single"/>
        </w:rPr>
        <w:t>后七天内审批完毕。</w:t>
      </w:r>
    </w:p>
    <w:p w14:paraId="297EE551">
      <w:pPr>
        <w:pStyle w:val="61"/>
        <w:spacing w:line="360" w:lineRule="auto"/>
        <w:ind w:left="210" w:leftChars="50" w:hanging="105" w:hangingChars="50"/>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w:t>
      </w:r>
      <w:bookmarkStart w:id="714" w:name="_Toc297120504"/>
      <w:bookmarkStart w:id="715" w:name="_Toc297123546"/>
      <w:bookmarkStart w:id="716" w:name="_Toc296891244"/>
      <w:bookmarkStart w:id="717" w:name="_Toc296347203"/>
      <w:bookmarkStart w:id="718" w:name="_Toc304295571"/>
      <w:bookmarkStart w:id="719" w:name="_Toc296346705"/>
      <w:bookmarkStart w:id="720" w:name="_Toc312677504"/>
      <w:bookmarkStart w:id="721" w:name="_Toc312678030"/>
      <w:bookmarkStart w:id="722" w:name="_Toc318581175"/>
      <w:bookmarkStart w:id="723" w:name="_Toc292559409"/>
      <w:bookmarkStart w:id="724" w:name="_Toc292559914"/>
      <w:bookmarkStart w:id="725" w:name="_Toc296944543"/>
      <w:bookmarkStart w:id="726" w:name="_Toc303539152"/>
      <w:bookmarkStart w:id="727" w:name="_Toc296891032"/>
      <w:bookmarkStart w:id="728" w:name="_Toc297048390"/>
      <w:bookmarkStart w:id="729" w:name="_Toc296503204"/>
      <w:bookmarkStart w:id="730" w:name="_Toc300934995"/>
      <w:bookmarkStart w:id="731" w:name="_Toc297216205"/>
      <w:r>
        <w:rPr>
          <w:rFonts w:hint="eastAsia" w:ascii="宋体" w:hAnsi="宋体" w:eastAsia="宋体" w:cs="宋体"/>
          <w:bCs/>
          <w:sz w:val="21"/>
          <w:szCs w:val="21"/>
          <w:highlight w:val="none"/>
        </w:rPr>
        <w:t>包人提出的合理化建议降低了合同价格或者提高了工程经济效益的奖励的方法和金额为：</w:t>
      </w:r>
      <w:r>
        <w:rPr>
          <w:rFonts w:hint="eastAsia" w:ascii="宋体" w:hAnsi="宋体" w:eastAsia="宋体" w:cs="宋体"/>
          <w:b/>
          <w:bCs/>
          <w:sz w:val="21"/>
          <w:szCs w:val="21"/>
          <w:highlight w:val="none"/>
          <w:u w:val="single"/>
        </w:rPr>
        <w:t xml:space="preserve">         。</w:t>
      </w:r>
    </w:p>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14:paraId="00CAA60D">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w:t>
      </w:r>
      <w:bookmarkStart w:id="732" w:name="_Toc296944538"/>
      <w:bookmarkStart w:id="733" w:name="_Toc297120499"/>
      <w:bookmarkStart w:id="734" w:name="_Toc297123548"/>
      <w:bookmarkStart w:id="735" w:name="_Toc296347198"/>
      <w:bookmarkStart w:id="736" w:name="_Toc292559404"/>
      <w:bookmarkStart w:id="737" w:name="_Toc296891239"/>
      <w:bookmarkStart w:id="738" w:name="_Toc300934997"/>
      <w:bookmarkStart w:id="739" w:name="_Toc296346700"/>
      <w:bookmarkStart w:id="740" w:name="_Toc312677507"/>
      <w:bookmarkStart w:id="741" w:name="_Toc292559909"/>
      <w:bookmarkStart w:id="742" w:name="_Toc296503199"/>
      <w:bookmarkStart w:id="743" w:name="_Toc297048385"/>
      <w:bookmarkStart w:id="744" w:name="_Toc296891027"/>
      <w:bookmarkStart w:id="745" w:name="_Toc312678033"/>
      <w:bookmarkStart w:id="746" w:name="_Toc303539154"/>
      <w:bookmarkStart w:id="747" w:name="_Toc304295574"/>
      <w:bookmarkStart w:id="748" w:name="_Toc297216207"/>
      <w:r>
        <w:rPr>
          <w:rFonts w:hint="eastAsia" w:ascii="宋体" w:hAnsi="宋体" w:eastAsia="宋体" w:cs="宋体"/>
          <w:b/>
          <w:bCs/>
          <w:sz w:val="21"/>
          <w:szCs w:val="21"/>
          <w:highlight w:val="none"/>
        </w:rPr>
        <w:t>0.7 暂估价</w:t>
      </w:r>
    </w:p>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14:paraId="28A5F18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暂</w:t>
      </w:r>
      <w:bookmarkStart w:id="749" w:name="_Toc312677508"/>
      <w:bookmarkStart w:id="750" w:name="_Toc312678034"/>
      <w:bookmarkStart w:id="751" w:name="_Toc318581176"/>
      <w:r>
        <w:rPr>
          <w:rFonts w:hint="eastAsia" w:ascii="宋体" w:hAnsi="宋体" w:eastAsia="宋体" w:cs="宋体"/>
          <w:bCs/>
          <w:sz w:val="21"/>
          <w:szCs w:val="21"/>
          <w:highlight w:val="none"/>
        </w:rPr>
        <w:t>估价材料和工程设备的明细详见附件11：《暂估价一览表》。</w:t>
      </w:r>
    </w:p>
    <w:bookmarkEnd w:id="749"/>
    <w:bookmarkEnd w:id="750"/>
    <w:bookmarkEnd w:id="751"/>
    <w:p w14:paraId="450F6E6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bookmarkStart w:id="752" w:name="_Toc318581177"/>
      <w:bookmarkStart w:id="753" w:name="_Toc312678035"/>
      <w:bookmarkStart w:id="754" w:name="_Toc312677509"/>
      <w:r>
        <w:rPr>
          <w:rFonts w:hint="eastAsia" w:ascii="宋体" w:hAnsi="宋体" w:eastAsia="宋体" w:cs="宋体"/>
          <w:bCs/>
          <w:sz w:val="21"/>
          <w:szCs w:val="21"/>
          <w:highlight w:val="none"/>
        </w:rPr>
        <w:t>0.7.1 依法必须招标的暂估价项目</w:t>
      </w:r>
    </w:p>
    <w:bookmarkEnd w:id="752"/>
    <w:bookmarkEnd w:id="753"/>
    <w:bookmarkEnd w:id="754"/>
    <w:p w14:paraId="6C8D00C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对于依法必须招标的暂估价项目的确认和批准采取第</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rPr>
        <w:t>种方式确定。</w:t>
      </w:r>
    </w:p>
    <w:p w14:paraId="49D45DC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10.7.2 不属于依法必须招标的暂估价项目</w:t>
      </w:r>
    </w:p>
    <w:p w14:paraId="6DB2378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对于不属于依法必须招标的暂估价项目的确认和批准采取第</w:t>
      </w:r>
      <w:r>
        <w:rPr>
          <w:rFonts w:hint="eastAsia" w:ascii="宋体" w:hAnsi="宋体" w:eastAsia="宋体" w:cs="宋体"/>
          <w:bCs/>
          <w:sz w:val="21"/>
          <w:szCs w:val="21"/>
          <w:highlight w:val="none"/>
          <w:u w:val="single"/>
        </w:rPr>
        <w:t xml:space="preserve"> 3 </w:t>
      </w:r>
      <w:r>
        <w:rPr>
          <w:rFonts w:hint="eastAsia" w:ascii="宋体" w:hAnsi="宋体" w:eastAsia="宋体" w:cs="宋体"/>
          <w:bCs/>
          <w:sz w:val="21"/>
          <w:szCs w:val="21"/>
          <w:highlight w:val="none"/>
        </w:rPr>
        <w:t>种方式确定。</w:t>
      </w:r>
    </w:p>
    <w:p w14:paraId="09FF0AF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第3种方式：承包人直接实施的暂估价项目。</w:t>
      </w:r>
      <w:r>
        <w:rPr>
          <w:rFonts w:hint="eastAsia" w:ascii="宋体" w:hAnsi="宋体" w:eastAsia="宋体" w:cs="宋体"/>
          <w:b/>
          <w:sz w:val="21"/>
          <w:szCs w:val="21"/>
          <w:highlight w:val="none"/>
          <w:u w:val="single"/>
        </w:rPr>
        <w:t>经监理工程师、发包人审核后确定。</w:t>
      </w:r>
    </w:p>
    <w:p w14:paraId="098CB2E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承包人直接实施的暂估价项目的约定：</w:t>
      </w:r>
      <w:r>
        <w:rPr>
          <w:rFonts w:hint="eastAsia" w:ascii="宋体" w:hAnsi="宋体" w:eastAsia="宋体" w:cs="宋体"/>
          <w:b/>
          <w:sz w:val="21"/>
          <w:szCs w:val="21"/>
          <w:highlight w:val="none"/>
          <w:u w:val="single"/>
        </w:rPr>
        <w:t xml:space="preserve"> 工程实施过程中根据实际情况具体确定。</w:t>
      </w:r>
    </w:p>
    <w:p w14:paraId="539A57EB">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10.8 暂列金额</w:t>
      </w:r>
    </w:p>
    <w:p w14:paraId="1EC2FC0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合同当事人关于暂列金额使用的约定：</w:t>
      </w:r>
      <w:bookmarkStart w:id="755" w:name="_Toc351203643"/>
      <w:r>
        <w:rPr>
          <w:rFonts w:hint="eastAsia" w:ascii="宋体" w:hAnsi="宋体" w:eastAsia="宋体" w:cs="宋体"/>
          <w:b/>
          <w:bCs/>
          <w:sz w:val="21"/>
          <w:szCs w:val="21"/>
          <w:highlight w:val="none"/>
          <w:u w:val="single"/>
        </w:rPr>
        <w:t xml:space="preserve">暂列金额由发包人掌握并使用，余额归发包人所有，用于施工签订时尚未确定或者不可预见的所需材料、设备、服务的采购，施工中可能发生的工程变更、合同约定调整因素出现时的工程价款调整以及发生的索赔、现场签证确认等的费用  </w:t>
      </w:r>
      <w:r>
        <w:rPr>
          <w:rFonts w:hint="eastAsia" w:ascii="宋体" w:hAnsi="宋体" w:eastAsia="宋体" w:cs="宋体"/>
          <w:bCs/>
          <w:sz w:val="21"/>
          <w:szCs w:val="21"/>
          <w:highlight w:val="none"/>
        </w:rPr>
        <w:t>。</w:t>
      </w:r>
    </w:p>
    <w:p w14:paraId="24F6A91F">
      <w:pPr>
        <w:pStyle w:val="61"/>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11. 价格调整</w:t>
      </w:r>
      <w:bookmarkEnd w:id="755"/>
    </w:p>
    <w:p w14:paraId="57DDA10D">
      <w:pPr>
        <w:pStyle w:val="61"/>
        <w:spacing w:line="360" w:lineRule="auto"/>
        <w:rPr>
          <w:rFonts w:hint="eastAsia" w:ascii="宋体" w:hAnsi="宋体" w:eastAsia="宋体" w:cs="宋体"/>
          <w:b/>
          <w:bCs/>
          <w:sz w:val="21"/>
          <w:szCs w:val="21"/>
          <w:highlight w:val="none"/>
        </w:rPr>
      </w:pPr>
      <w:bookmarkStart w:id="756" w:name="_Toc300935000"/>
      <w:bookmarkStart w:id="757" w:name="_Toc296891029"/>
      <w:bookmarkStart w:id="758" w:name="_Toc296891241"/>
      <w:bookmarkStart w:id="759" w:name="_Toc297120501"/>
      <w:bookmarkStart w:id="760" w:name="_Toc296347200"/>
      <w:bookmarkStart w:id="761" w:name="_Toc292559406"/>
      <w:bookmarkStart w:id="762" w:name="_Toc312678039"/>
      <w:bookmarkStart w:id="763" w:name="_Toc292559911"/>
      <w:bookmarkStart w:id="764" w:name="_Toc296503201"/>
      <w:bookmarkStart w:id="765" w:name="_Toc303539157"/>
      <w:bookmarkStart w:id="766" w:name="_Toc296944540"/>
      <w:bookmarkStart w:id="767" w:name="_Toc297123550"/>
      <w:bookmarkStart w:id="768" w:name="_Toc296346702"/>
      <w:bookmarkStart w:id="769" w:name="_Toc297048387"/>
      <w:bookmarkStart w:id="770" w:name="_Toc297216209"/>
      <w:bookmarkStart w:id="771" w:name="_Toc304295577"/>
      <w:r>
        <w:rPr>
          <w:rFonts w:hint="eastAsia" w:ascii="宋体" w:hAnsi="宋体" w:eastAsia="宋体" w:cs="宋体"/>
          <w:b/>
          <w:bCs/>
          <w:sz w:val="21"/>
          <w:szCs w:val="21"/>
          <w:highlight w:val="none"/>
        </w:rPr>
        <w:t>11.1 市场价格波动引起的调整</w:t>
      </w:r>
    </w:p>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14:paraId="167E15F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市场价格波动是否调整合同价格的约定：</w:t>
      </w:r>
      <w:r>
        <w:rPr>
          <w:rFonts w:hint="eastAsia" w:ascii="宋体" w:hAnsi="宋体" w:eastAsia="宋体" w:cs="宋体"/>
          <w:b/>
          <w:bCs/>
          <w:sz w:val="21"/>
          <w:szCs w:val="21"/>
          <w:highlight w:val="none"/>
          <w:u w:val="single"/>
        </w:rPr>
        <w:t>在合同期间不调整。</w:t>
      </w:r>
    </w:p>
    <w:p w14:paraId="6E6472C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因市场价格波动调整合同价格，采用以下第</w:t>
      </w:r>
      <w:r>
        <w:rPr>
          <w:rFonts w:hint="eastAsia" w:ascii="宋体" w:hAnsi="宋体" w:eastAsia="宋体" w:cs="宋体"/>
          <w:bCs/>
          <w:sz w:val="21"/>
          <w:szCs w:val="21"/>
          <w:highlight w:val="none"/>
          <w:u w:val="single"/>
        </w:rPr>
        <w:t>/</w:t>
      </w:r>
      <w:r>
        <w:rPr>
          <w:rFonts w:hint="eastAsia" w:ascii="宋体" w:hAnsi="宋体" w:eastAsia="宋体" w:cs="宋体"/>
          <w:bCs/>
          <w:sz w:val="21"/>
          <w:szCs w:val="21"/>
          <w:highlight w:val="none"/>
        </w:rPr>
        <w:t>种方式对合同价格进行调整：</w:t>
      </w:r>
    </w:p>
    <w:p w14:paraId="528404C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第1种方式：采用价格指数进行价格调整。</w:t>
      </w:r>
    </w:p>
    <w:p w14:paraId="7B1928A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关于各可调因子、定值和变值权重，以及基本价格指数及其来源的约定：</w:t>
      </w:r>
      <w:r>
        <w:rPr>
          <w:rFonts w:hint="eastAsia" w:ascii="宋体" w:hAnsi="宋体" w:eastAsia="宋体" w:cs="宋体"/>
          <w:b/>
          <w:bCs/>
          <w:sz w:val="21"/>
          <w:szCs w:val="21"/>
          <w:highlight w:val="none"/>
          <w:u w:val="single"/>
        </w:rPr>
        <w:t>无；</w:t>
      </w:r>
    </w:p>
    <w:p w14:paraId="6065DF4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第2种方式：采用造价信息进行价格调整。</w:t>
      </w:r>
    </w:p>
    <w:p w14:paraId="74321C27">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（1）允许调整价差的主要材料范围：</w:t>
      </w:r>
      <w:r>
        <w:rPr>
          <w:rFonts w:hint="eastAsia" w:ascii="宋体" w:hAnsi="宋体" w:eastAsia="宋体" w:cs="宋体"/>
          <w:b/>
          <w:sz w:val="21"/>
          <w:szCs w:val="21"/>
          <w:highlight w:val="none"/>
          <w:u w:val="single"/>
        </w:rPr>
        <w:t xml:space="preserve">  无  。</w:t>
      </w:r>
    </w:p>
    <w:p w14:paraId="1AAAB463">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Cs/>
          <w:sz w:val="21"/>
          <w:szCs w:val="21"/>
          <w:highlight w:val="none"/>
        </w:rPr>
        <w:t>（2）关于基准价格的约定：</w:t>
      </w:r>
      <w:r>
        <w:rPr>
          <w:rFonts w:hint="eastAsia" w:ascii="宋体" w:hAnsi="宋体" w:eastAsia="宋体" w:cs="宋体"/>
          <w:bCs/>
          <w:sz w:val="21"/>
          <w:szCs w:val="21"/>
          <w:highlight w:val="none"/>
          <w:u w:val="single"/>
        </w:rPr>
        <w:t xml:space="preserve">  无 </w:t>
      </w:r>
      <w:r>
        <w:rPr>
          <w:rFonts w:hint="eastAsia" w:ascii="宋体" w:hAnsi="宋体" w:eastAsia="宋体" w:cs="宋体"/>
          <w:b/>
          <w:sz w:val="21"/>
          <w:szCs w:val="21"/>
          <w:highlight w:val="none"/>
          <w:u w:val="single"/>
        </w:rPr>
        <w:t>。</w:t>
      </w:r>
    </w:p>
    <w:p w14:paraId="4A4C97D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第3种方式：其他价格调整方式：</w:t>
      </w:r>
      <w:r>
        <w:rPr>
          <w:rFonts w:hint="eastAsia" w:ascii="宋体" w:hAnsi="宋体" w:eastAsia="宋体" w:cs="宋体"/>
          <w:b/>
          <w:bCs/>
          <w:sz w:val="21"/>
          <w:szCs w:val="21"/>
          <w:highlight w:val="none"/>
          <w:u w:val="single"/>
        </w:rPr>
        <w:t>无。</w:t>
      </w:r>
    </w:p>
    <w:bookmarkEnd w:id="659"/>
    <w:bookmarkEnd w:id="660"/>
    <w:bookmarkEnd w:id="661"/>
    <w:bookmarkEnd w:id="662"/>
    <w:bookmarkEnd w:id="663"/>
    <w:bookmarkEnd w:id="664"/>
    <w:p w14:paraId="01F6F0EB">
      <w:pPr>
        <w:pStyle w:val="61"/>
        <w:spacing w:line="360" w:lineRule="auto"/>
        <w:rPr>
          <w:rFonts w:hint="eastAsia" w:ascii="宋体" w:hAnsi="宋体" w:eastAsia="宋体" w:cs="宋体"/>
          <w:b/>
          <w:sz w:val="21"/>
          <w:szCs w:val="21"/>
          <w:highlight w:val="none"/>
        </w:rPr>
      </w:pPr>
      <w:bookmarkStart w:id="772" w:name="_Toc296891245"/>
      <w:bookmarkStart w:id="773" w:name="_Toc297120505"/>
      <w:bookmarkStart w:id="774" w:name="_Toc296891033"/>
      <w:bookmarkStart w:id="775" w:name="_Toc292559915"/>
      <w:bookmarkStart w:id="776" w:name="_Toc296944544"/>
      <w:bookmarkStart w:id="777" w:name="_Toc296346706"/>
      <w:bookmarkStart w:id="778" w:name="_Toc292559410"/>
      <w:bookmarkStart w:id="779" w:name="_Toc296503205"/>
      <w:bookmarkStart w:id="780" w:name="_Toc296347204"/>
      <w:bookmarkStart w:id="781" w:name="_Toc297048391"/>
      <w:bookmarkStart w:id="782" w:name="_Toc351203644"/>
      <w:bookmarkStart w:id="783" w:name="_Toc304295579"/>
      <w:bookmarkStart w:id="784" w:name="_Toc312678040"/>
      <w:bookmarkStart w:id="785" w:name="_Toc300935002"/>
      <w:bookmarkStart w:id="786" w:name="_Toc303539159"/>
      <w:bookmarkStart w:id="787" w:name="_Toc297123552"/>
      <w:bookmarkStart w:id="788" w:name="_Toc297216211"/>
      <w:r>
        <w:rPr>
          <w:rFonts w:hint="eastAsia" w:ascii="宋体" w:hAnsi="宋体" w:eastAsia="宋体" w:cs="宋体"/>
          <w:b/>
          <w:sz w:val="21"/>
          <w:szCs w:val="21"/>
          <w:highlight w:val="none"/>
        </w:rPr>
        <w:t xml:space="preserve">12. </w:t>
      </w:r>
      <w:bookmarkEnd w:id="772"/>
      <w:bookmarkEnd w:id="773"/>
      <w:bookmarkEnd w:id="774"/>
      <w:bookmarkEnd w:id="775"/>
      <w:bookmarkEnd w:id="776"/>
      <w:bookmarkEnd w:id="777"/>
      <w:bookmarkEnd w:id="778"/>
      <w:bookmarkEnd w:id="779"/>
      <w:bookmarkEnd w:id="780"/>
      <w:bookmarkEnd w:id="781"/>
      <w:r>
        <w:rPr>
          <w:rFonts w:hint="eastAsia" w:ascii="宋体" w:hAnsi="宋体" w:eastAsia="宋体" w:cs="宋体"/>
          <w:b/>
          <w:sz w:val="21"/>
          <w:szCs w:val="21"/>
          <w:highlight w:val="none"/>
        </w:rPr>
        <w:t>合同价格、计量与支付</w:t>
      </w:r>
      <w:bookmarkEnd w:id="782"/>
    </w:p>
    <w:bookmarkEnd w:id="783"/>
    <w:bookmarkEnd w:id="784"/>
    <w:bookmarkEnd w:id="785"/>
    <w:bookmarkEnd w:id="786"/>
    <w:bookmarkEnd w:id="787"/>
    <w:bookmarkEnd w:id="788"/>
    <w:p w14:paraId="6C38E868">
      <w:pPr>
        <w:pStyle w:val="61"/>
        <w:spacing w:line="360" w:lineRule="auto"/>
        <w:rPr>
          <w:rFonts w:hint="eastAsia" w:ascii="宋体" w:hAnsi="宋体" w:eastAsia="宋体" w:cs="宋体"/>
          <w:b/>
          <w:bCs/>
          <w:sz w:val="21"/>
          <w:szCs w:val="21"/>
          <w:highlight w:val="none"/>
        </w:rPr>
      </w:pPr>
      <w:bookmarkStart w:id="789" w:name="_Toc292559916"/>
      <w:bookmarkStart w:id="790" w:name="_Toc292559411"/>
      <w:bookmarkStart w:id="791" w:name="_Toc267251461"/>
      <w:bookmarkStart w:id="792" w:name="_Toc296891034"/>
      <w:bookmarkStart w:id="793" w:name="_Toc296503206"/>
      <w:bookmarkStart w:id="794" w:name="_Toc297048392"/>
      <w:bookmarkStart w:id="795" w:name="_Toc296944545"/>
      <w:bookmarkStart w:id="796" w:name="_Toc296891246"/>
      <w:bookmarkStart w:id="797" w:name="_Toc296346707"/>
      <w:bookmarkStart w:id="798" w:name="_Toc296347205"/>
      <w:bookmarkStart w:id="799" w:name="_Toc297120506"/>
      <w:bookmarkStart w:id="800" w:name="_Toc300935003"/>
      <w:bookmarkStart w:id="801" w:name="_Toc297123553"/>
      <w:bookmarkStart w:id="802" w:name="_Toc297216212"/>
      <w:bookmarkStart w:id="803" w:name="_Toc304295580"/>
      <w:bookmarkStart w:id="804" w:name="_Toc303539160"/>
      <w:bookmarkStart w:id="805" w:name="_Toc312678041"/>
      <w:r>
        <w:rPr>
          <w:rFonts w:hint="eastAsia" w:ascii="宋体" w:hAnsi="宋体" w:eastAsia="宋体" w:cs="宋体"/>
          <w:b/>
          <w:bCs/>
          <w:sz w:val="21"/>
          <w:szCs w:val="21"/>
          <w:highlight w:val="none"/>
        </w:rPr>
        <w:t>12.1 合</w:t>
      </w:r>
      <w:bookmarkEnd w:id="789"/>
      <w:bookmarkEnd w:id="790"/>
      <w:bookmarkEnd w:id="791"/>
      <w:r>
        <w:rPr>
          <w:rFonts w:hint="eastAsia" w:ascii="宋体" w:hAnsi="宋体" w:eastAsia="宋体" w:cs="宋体"/>
          <w:b/>
          <w:bCs/>
          <w:sz w:val="21"/>
          <w:szCs w:val="21"/>
          <w:highlight w:val="none"/>
        </w:rPr>
        <w:t>同价</w:t>
      </w:r>
      <w:bookmarkEnd w:id="792"/>
      <w:bookmarkEnd w:id="793"/>
      <w:bookmarkEnd w:id="794"/>
      <w:bookmarkEnd w:id="795"/>
      <w:bookmarkEnd w:id="796"/>
      <w:bookmarkEnd w:id="797"/>
      <w:bookmarkEnd w:id="798"/>
      <w:bookmarkEnd w:id="799"/>
      <w:r>
        <w:rPr>
          <w:rFonts w:hint="eastAsia" w:ascii="宋体" w:hAnsi="宋体" w:eastAsia="宋体" w:cs="宋体"/>
          <w:b/>
          <w:bCs/>
          <w:sz w:val="21"/>
          <w:szCs w:val="21"/>
          <w:highlight w:val="none"/>
        </w:rPr>
        <w:t>格形式</w:t>
      </w:r>
    </w:p>
    <w:bookmarkEnd w:id="800"/>
    <w:bookmarkEnd w:id="801"/>
    <w:bookmarkEnd w:id="802"/>
    <w:bookmarkEnd w:id="803"/>
    <w:bookmarkEnd w:id="804"/>
    <w:bookmarkEnd w:id="805"/>
    <w:p w14:paraId="7039A416">
      <w:pPr>
        <w:pStyle w:val="61"/>
        <w:spacing w:line="360" w:lineRule="auto"/>
        <w:ind w:firstLine="426"/>
        <w:rPr>
          <w:rFonts w:hint="eastAsia" w:ascii="宋体" w:hAnsi="宋体" w:eastAsia="宋体" w:cs="宋体"/>
          <w:bCs/>
          <w:sz w:val="21"/>
          <w:szCs w:val="21"/>
          <w:highlight w:val="none"/>
        </w:rPr>
      </w:pPr>
      <w:r>
        <w:rPr>
          <w:rFonts w:hint="eastAsia" w:ascii="宋体" w:hAnsi="宋体" w:eastAsia="宋体" w:cs="宋体"/>
          <w:bCs/>
          <w:sz w:val="21"/>
          <w:szCs w:val="21"/>
          <w:highlight w:val="none"/>
        </w:rPr>
        <w:t>1、单价合同</w:t>
      </w:r>
    </w:p>
    <w:p w14:paraId="06B19350">
      <w:pPr>
        <w:pStyle w:val="61"/>
        <w:spacing w:line="360" w:lineRule="auto"/>
        <w:ind w:firstLine="426"/>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综合单价包含的风险范围：</w:t>
      </w:r>
      <w:r>
        <w:rPr>
          <w:rFonts w:hint="eastAsia" w:ascii="宋体" w:hAnsi="宋体" w:eastAsia="宋体" w:cs="宋体"/>
          <w:bCs/>
          <w:sz w:val="21"/>
          <w:szCs w:val="21"/>
          <w:highlight w:val="none"/>
          <w:u w:val="single"/>
        </w:rPr>
        <w:t xml:space="preserve">  无     </w:t>
      </w:r>
    </w:p>
    <w:p w14:paraId="1505DFA3">
      <w:pPr>
        <w:pStyle w:val="61"/>
        <w:spacing w:line="360" w:lineRule="auto"/>
        <w:ind w:firstLine="426"/>
        <w:rPr>
          <w:rFonts w:hint="eastAsia" w:ascii="宋体" w:hAnsi="宋体" w:eastAsia="宋体" w:cs="宋体"/>
          <w:bCs/>
          <w:sz w:val="21"/>
          <w:szCs w:val="21"/>
          <w:highlight w:val="none"/>
        </w:rPr>
      </w:pPr>
      <w:r>
        <w:rPr>
          <w:rFonts w:hint="eastAsia" w:ascii="宋体" w:hAnsi="宋体" w:eastAsia="宋体" w:cs="宋体"/>
          <w:bCs/>
          <w:sz w:val="21"/>
          <w:szCs w:val="21"/>
          <w:highlight w:val="none"/>
        </w:rPr>
        <w:t>风险费用的计算方法：</w:t>
      </w:r>
      <w:r>
        <w:rPr>
          <w:rFonts w:hint="eastAsia" w:ascii="宋体" w:hAnsi="宋体" w:eastAsia="宋体" w:cs="宋体"/>
          <w:b/>
          <w:bCs/>
          <w:sz w:val="21"/>
          <w:szCs w:val="21"/>
          <w:highlight w:val="none"/>
          <w:u w:val="single"/>
        </w:rPr>
        <w:t>已经包含在投标报价中。</w:t>
      </w:r>
    </w:p>
    <w:p w14:paraId="7784978F">
      <w:pPr>
        <w:pStyle w:val="61"/>
        <w:spacing w:line="360" w:lineRule="auto"/>
        <w:ind w:firstLine="426"/>
        <w:rPr>
          <w:rFonts w:hint="eastAsia" w:ascii="宋体" w:hAnsi="宋体" w:eastAsia="宋体" w:cs="宋体"/>
          <w:bCs/>
          <w:sz w:val="21"/>
          <w:szCs w:val="21"/>
          <w:highlight w:val="none"/>
        </w:rPr>
      </w:pPr>
      <w:r>
        <w:rPr>
          <w:rFonts w:hint="eastAsia" w:ascii="宋体" w:hAnsi="宋体" w:eastAsia="宋体" w:cs="宋体"/>
          <w:bCs/>
          <w:sz w:val="21"/>
          <w:szCs w:val="21"/>
          <w:highlight w:val="none"/>
        </w:rPr>
        <w:t>风险范围以外合同价格的调整方法：</w:t>
      </w:r>
    </w:p>
    <w:p w14:paraId="37AB9DE9">
      <w:pPr>
        <w:pStyle w:val="61"/>
        <w:spacing w:line="360" w:lineRule="auto"/>
        <w:ind w:left="426"/>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（1）工程量清单漏项及清单工程量与实际实施工程量增减。</w:t>
      </w:r>
    </w:p>
    <w:p w14:paraId="2CB1A2A8">
      <w:pPr>
        <w:pStyle w:val="61"/>
        <w:spacing w:line="360" w:lineRule="auto"/>
        <w:ind w:left="426"/>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（2）设计变更引起的工程量增加或减少。</w:t>
      </w:r>
    </w:p>
    <w:p w14:paraId="7367398C">
      <w:pPr>
        <w:pStyle w:val="61"/>
        <w:spacing w:line="360" w:lineRule="auto"/>
        <w:rPr>
          <w:rFonts w:hint="eastAsia" w:ascii="宋体" w:hAnsi="宋体" w:eastAsia="宋体" w:cs="宋体"/>
          <w:b/>
          <w:bCs/>
          <w:sz w:val="21"/>
          <w:szCs w:val="21"/>
          <w:highlight w:val="none"/>
        </w:rPr>
      </w:pPr>
      <w:bookmarkStart w:id="806" w:name="_Toc297216213"/>
      <w:bookmarkStart w:id="807" w:name="_Toc297123554"/>
      <w:bookmarkStart w:id="808" w:name="_Toc300935004"/>
      <w:bookmarkStart w:id="809" w:name="_Toc303539161"/>
      <w:bookmarkStart w:id="810" w:name="_Toc312678042"/>
      <w:bookmarkStart w:id="811" w:name="_Toc304295581"/>
      <w:bookmarkStart w:id="812" w:name="_Toc296891035"/>
      <w:bookmarkStart w:id="813" w:name="_Toc296944546"/>
      <w:bookmarkStart w:id="814" w:name="_Toc296891247"/>
      <w:bookmarkStart w:id="815" w:name="_Toc296346708"/>
      <w:bookmarkStart w:id="816" w:name="_Toc297120507"/>
      <w:bookmarkStart w:id="817" w:name="_Toc297048393"/>
      <w:bookmarkStart w:id="818" w:name="_Toc296503207"/>
      <w:bookmarkStart w:id="819" w:name="_Toc292559917"/>
      <w:bookmarkStart w:id="820" w:name="_Toc292559412"/>
      <w:bookmarkStart w:id="821" w:name="_Toc296347206"/>
      <w:r>
        <w:rPr>
          <w:rFonts w:hint="eastAsia" w:ascii="宋体" w:hAnsi="宋体" w:eastAsia="宋体" w:cs="宋体"/>
          <w:b/>
          <w:bCs/>
          <w:sz w:val="21"/>
          <w:szCs w:val="21"/>
          <w:highlight w:val="none"/>
        </w:rPr>
        <w:t>12.2 预付款</w:t>
      </w:r>
    </w:p>
    <w:bookmarkEnd w:id="806"/>
    <w:bookmarkEnd w:id="807"/>
    <w:bookmarkEnd w:id="808"/>
    <w:bookmarkEnd w:id="809"/>
    <w:bookmarkEnd w:id="810"/>
    <w:bookmarkEnd w:id="811"/>
    <w:p w14:paraId="43E99C0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12.2.1 预付款的支付</w:t>
      </w:r>
    </w:p>
    <w:p w14:paraId="628E5B3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预付款支付比例或金额：</w:t>
      </w:r>
      <w:r>
        <w:rPr>
          <w:rFonts w:hint="eastAsia" w:ascii="宋体" w:hAnsi="宋体" w:eastAsia="宋体" w:cs="宋体"/>
          <w:b/>
          <w:bCs/>
          <w:sz w:val="21"/>
          <w:szCs w:val="21"/>
          <w:highlight w:val="none"/>
          <w:u w:val="single"/>
        </w:rPr>
        <w:t>无。</w:t>
      </w:r>
      <w:r>
        <w:rPr>
          <w:rFonts w:hint="eastAsia" w:ascii="宋体" w:hAnsi="宋体" w:eastAsia="宋体" w:cs="宋体"/>
          <w:bCs/>
          <w:color w:val="FF0000"/>
          <w:sz w:val="21"/>
          <w:szCs w:val="21"/>
          <w:highlight w:val="none"/>
        </w:rPr>
        <w:t xml:space="preserve"> </w:t>
      </w:r>
    </w:p>
    <w:p w14:paraId="496D135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预付款支付期限：</w:t>
      </w:r>
    </w:p>
    <w:p w14:paraId="765F403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预付款扣回的方式：</w:t>
      </w:r>
    </w:p>
    <w:p w14:paraId="50E901C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12.2.2 预付款担保</w:t>
      </w:r>
    </w:p>
    <w:p w14:paraId="062AEF2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承包人提交预付款担保的期限：</w:t>
      </w:r>
      <w:r>
        <w:rPr>
          <w:rFonts w:hint="eastAsia" w:ascii="宋体" w:hAnsi="宋体" w:eastAsia="宋体" w:cs="宋体"/>
          <w:b/>
          <w:bCs/>
          <w:sz w:val="21"/>
          <w:szCs w:val="21"/>
          <w:highlight w:val="none"/>
          <w:u w:val="single"/>
        </w:rPr>
        <w:t>无。</w:t>
      </w:r>
    </w:p>
    <w:p w14:paraId="3BD5BC0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预付款担保的形式为：</w:t>
      </w:r>
      <w:r>
        <w:rPr>
          <w:rFonts w:hint="eastAsia" w:ascii="宋体" w:hAnsi="宋体" w:eastAsia="宋体" w:cs="宋体"/>
          <w:b/>
          <w:bCs/>
          <w:sz w:val="21"/>
          <w:szCs w:val="21"/>
          <w:highlight w:val="none"/>
          <w:u w:val="single"/>
        </w:rPr>
        <w:t>无。</w:t>
      </w:r>
    </w:p>
    <w:bookmarkEnd w:id="812"/>
    <w:bookmarkEnd w:id="813"/>
    <w:bookmarkEnd w:id="814"/>
    <w:bookmarkEnd w:id="815"/>
    <w:bookmarkEnd w:id="816"/>
    <w:bookmarkEnd w:id="817"/>
    <w:bookmarkEnd w:id="818"/>
    <w:bookmarkEnd w:id="819"/>
    <w:bookmarkEnd w:id="820"/>
    <w:bookmarkEnd w:id="821"/>
    <w:p w14:paraId="22DE0EC1">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12.3 计量</w:t>
      </w:r>
    </w:p>
    <w:p w14:paraId="3DA7C61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12.3.1 计量原则</w:t>
      </w:r>
    </w:p>
    <w:p w14:paraId="1FF0B7E2">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Cs/>
          <w:sz w:val="21"/>
          <w:szCs w:val="21"/>
          <w:highlight w:val="none"/>
        </w:rPr>
        <w:t>工程量计算规则：</w:t>
      </w:r>
      <w:r>
        <w:rPr>
          <w:rFonts w:hint="eastAsia" w:ascii="宋体" w:hAnsi="宋体" w:cs="宋体"/>
          <w:b/>
          <w:bCs/>
          <w:sz w:val="21"/>
          <w:szCs w:val="21"/>
          <w:highlight w:val="none"/>
          <w:u w:val="single"/>
          <w:lang w:val="en-US" w:eastAsia="zh-CN"/>
        </w:rPr>
        <w:t>详见招标工程量清单编制说明</w:t>
      </w:r>
      <w:r>
        <w:rPr>
          <w:rFonts w:hint="eastAsia" w:ascii="宋体" w:hAnsi="宋体" w:eastAsia="宋体" w:cs="宋体"/>
          <w:b/>
          <w:bCs/>
          <w:sz w:val="21"/>
          <w:szCs w:val="21"/>
          <w:highlight w:val="none"/>
          <w:u w:val="single"/>
        </w:rPr>
        <w:t>等相关配套的计价文件的规定。</w:t>
      </w:r>
    </w:p>
    <w:p w14:paraId="47CB327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12.3.2 计量周期</w:t>
      </w:r>
    </w:p>
    <w:p w14:paraId="3E9F9AF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关于计量周期的约定：</w:t>
      </w:r>
      <w:r>
        <w:rPr>
          <w:rFonts w:hint="eastAsia" w:ascii="宋体" w:hAnsi="宋体" w:eastAsia="宋体" w:cs="宋体"/>
          <w:b/>
          <w:bCs/>
          <w:sz w:val="21"/>
          <w:szCs w:val="21"/>
          <w:highlight w:val="none"/>
          <w:u w:val="single"/>
        </w:rPr>
        <w:t>按月进行。</w:t>
      </w:r>
    </w:p>
    <w:p w14:paraId="56D705B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12.3.3 单价合同的计量</w:t>
      </w:r>
    </w:p>
    <w:p w14:paraId="340E4CC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关于单价合同计量的约定：</w:t>
      </w:r>
      <w:r>
        <w:rPr>
          <w:rFonts w:hint="eastAsia" w:ascii="宋体" w:hAnsi="宋体" w:eastAsia="宋体" w:cs="宋体"/>
          <w:b/>
          <w:sz w:val="21"/>
          <w:szCs w:val="21"/>
          <w:highlight w:val="none"/>
          <w:u w:val="single"/>
        </w:rPr>
        <w:t>承包人当月25日向发包人、监理单位提交工程量报表一式六份</w:t>
      </w:r>
      <w:r>
        <w:rPr>
          <w:rFonts w:hint="eastAsia" w:ascii="宋体" w:hAnsi="宋体" w:eastAsia="宋体" w:cs="宋体"/>
          <w:bCs/>
          <w:sz w:val="21"/>
          <w:szCs w:val="21"/>
          <w:highlight w:val="none"/>
        </w:rPr>
        <w:t>。</w:t>
      </w:r>
    </w:p>
    <w:p w14:paraId="1CE89876">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12.4 工程进度款支付</w:t>
      </w:r>
    </w:p>
    <w:p w14:paraId="14ABDE39">
      <w:pPr>
        <w:pStyle w:val="61"/>
        <w:spacing w:line="360" w:lineRule="auto"/>
        <w:ind w:firstLine="459"/>
        <w:rPr>
          <w:rFonts w:hint="eastAsia" w:ascii="宋体" w:hAnsi="宋体" w:eastAsia="宋体" w:cs="宋体"/>
          <w:bCs/>
          <w:sz w:val="21"/>
          <w:szCs w:val="21"/>
          <w:highlight w:val="none"/>
        </w:rPr>
      </w:pPr>
      <w:bookmarkStart w:id="822" w:name="_Toc292559921"/>
      <w:bookmarkStart w:id="823" w:name="_Toc296346712"/>
      <w:bookmarkStart w:id="824" w:name="_Toc296944550"/>
      <w:bookmarkStart w:id="825" w:name="_Toc303539163"/>
      <w:bookmarkStart w:id="826" w:name="_Toc297048397"/>
      <w:bookmarkStart w:id="827" w:name="_Toc296503211"/>
      <w:bookmarkStart w:id="828" w:name="_Toc296347210"/>
      <w:bookmarkStart w:id="829" w:name="_Toc296891251"/>
      <w:bookmarkStart w:id="830" w:name="_Toc297123556"/>
      <w:bookmarkStart w:id="831" w:name="_Toc297216215"/>
      <w:bookmarkStart w:id="832" w:name="_Toc300935006"/>
      <w:bookmarkStart w:id="833" w:name="_Toc296891039"/>
      <w:bookmarkStart w:id="834" w:name="_Toc297120511"/>
      <w:bookmarkStart w:id="835" w:name="_Toc292559416"/>
      <w:r>
        <w:rPr>
          <w:rFonts w:hint="eastAsia" w:ascii="宋体" w:hAnsi="宋体" w:eastAsia="宋体" w:cs="宋体"/>
          <w:bCs/>
          <w:sz w:val="21"/>
          <w:szCs w:val="21"/>
          <w:highlight w:val="none"/>
        </w:rPr>
        <w:t>12.4.1 付款周期</w:t>
      </w:r>
    </w:p>
    <w:p w14:paraId="05E4C4BA">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none"/>
        </w:rPr>
        <w:t>关于付款周期的约定：</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w:t>
      </w:r>
    </w:p>
    <w:p w14:paraId="4E69454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12.4.2 进度付款申请单的编制</w:t>
      </w:r>
    </w:p>
    <w:p w14:paraId="73BC947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关于进度付款申请单编制的约定：</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p w14:paraId="398935A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r>
        <w:rPr>
          <w:rFonts w:hint="eastAsia" w:ascii="宋体" w:hAnsi="宋体" w:eastAsia="宋体" w:cs="宋体"/>
          <w:bCs/>
          <w:sz w:val="21"/>
          <w:szCs w:val="21"/>
          <w:highlight w:val="none"/>
        </w:rPr>
        <w:t>2.4.3 进度付款申请单的提交</w:t>
      </w:r>
    </w:p>
    <w:p w14:paraId="2EEC50B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（1）单价合同进度付款申请单提交的约定：</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p w14:paraId="7B481F1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12.4.4 进度款审核和支付</w:t>
      </w:r>
    </w:p>
    <w:p w14:paraId="66422B7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（1）监理人审查并报送发包人的期限：</w:t>
      </w:r>
      <w:r>
        <w:rPr>
          <w:rFonts w:hint="eastAsia" w:ascii="宋体" w:hAnsi="宋体" w:eastAsia="宋体" w:cs="宋体"/>
          <w:b/>
          <w:bCs/>
          <w:sz w:val="21"/>
          <w:szCs w:val="21"/>
          <w:highlight w:val="none"/>
          <w:u w:val="single"/>
        </w:rPr>
        <w:t xml:space="preserve">                          </w:t>
      </w:r>
      <w:r>
        <w:rPr>
          <w:rFonts w:hint="eastAsia" w:ascii="宋体" w:hAnsi="宋体" w:eastAsia="宋体" w:cs="宋体"/>
          <w:bCs/>
          <w:sz w:val="21"/>
          <w:szCs w:val="21"/>
          <w:highlight w:val="none"/>
        </w:rPr>
        <w:t>。</w:t>
      </w:r>
    </w:p>
    <w:p w14:paraId="509C939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发包人完成审批并签发进度款支付证书的期限：</w:t>
      </w:r>
      <w:r>
        <w:rPr>
          <w:rFonts w:hint="eastAsia" w:ascii="宋体" w:hAnsi="宋体" w:eastAsia="宋体" w:cs="宋体"/>
          <w:b/>
          <w:bCs/>
          <w:sz w:val="21"/>
          <w:szCs w:val="21"/>
          <w:highlight w:val="none"/>
          <w:u w:val="single"/>
        </w:rPr>
        <w:t xml:space="preserve">                          </w:t>
      </w:r>
      <w:r>
        <w:rPr>
          <w:rFonts w:hint="eastAsia" w:ascii="宋体" w:hAnsi="宋体" w:eastAsia="宋体" w:cs="宋体"/>
          <w:bCs/>
          <w:sz w:val="21"/>
          <w:szCs w:val="21"/>
          <w:highlight w:val="none"/>
        </w:rPr>
        <w:t>。</w:t>
      </w:r>
    </w:p>
    <w:p w14:paraId="5D32E95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（2）发包人支付进度款的期限：</w:t>
      </w:r>
      <w:r>
        <w:rPr>
          <w:rFonts w:hint="eastAsia" w:ascii="宋体" w:hAnsi="宋体" w:eastAsia="宋体" w:cs="宋体"/>
          <w:b/>
          <w:bCs/>
          <w:sz w:val="21"/>
          <w:szCs w:val="21"/>
          <w:highlight w:val="none"/>
          <w:u w:val="single"/>
        </w:rPr>
        <w:t xml:space="preserve">                           </w:t>
      </w:r>
      <w:r>
        <w:rPr>
          <w:rFonts w:hint="eastAsia" w:ascii="宋体" w:hAnsi="宋体" w:eastAsia="宋体" w:cs="宋体"/>
          <w:bCs/>
          <w:sz w:val="21"/>
          <w:szCs w:val="21"/>
          <w:highlight w:val="none"/>
        </w:rPr>
        <w:t>。</w:t>
      </w:r>
    </w:p>
    <w:p w14:paraId="2809DD7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发包人逾期支付进度款的违约金的计算方式：</w:t>
      </w:r>
      <w:r>
        <w:rPr>
          <w:rFonts w:hint="eastAsia" w:ascii="宋体" w:hAnsi="宋体" w:eastAsia="宋体" w:cs="宋体"/>
          <w:b/>
          <w:bCs/>
          <w:sz w:val="21"/>
          <w:szCs w:val="21"/>
          <w:highlight w:val="none"/>
          <w:u w:val="single"/>
        </w:rPr>
        <w:t>无。</w:t>
      </w:r>
    </w:p>
    <w:p w14:paraId="5080F68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12.4.6 支付分解表的编制</w:t>
      </w:r>
    </w:p>
    <w:p w14:paraId="56A74C5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3、单价合同的总价项目支付分解表的编制与审批：</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bookmarkEnd w:id="665"/>
    <w:p w14:paraId="70BB13A4">
      <w:pPr>
        <w:pStyle w:val="61"/>
        <w:spacing w:line="360" w:lineRule="auto"/>
        <w:rPr>
          <w:rFonts w:hint="eastAsia" w:ascii="宋体" w:hAnsi="宋体" w:eastAsia="宋体" w:cs="宋体"/>
          <w:b/>
          <w:sz w:val="21"/>
          <w:szCs w:val="21"/>
          <w:highlight w:val="none"/>
        </w:rPr>
      </w:pPr>
      <w:bookmarkStart w:id="836" w:name="_Toc351203645"/>
      <w:bookmarkStart w:id="837" w:name="_Toc303539172"/>
      <w:bookmarkStart w:id="838" w:name="_Toc296503219"/>
      <w:bookmarkStart w:id="839" w:name="_Toc292559424"/>
      <w:bookmarkStart w:id="840" w:name="_Toc296346720"/>
      <w:bookmarkStart w:id="841" w:name="_Toc296944558"/>
      <w:bookmarkStart w:id="842" w:name="_Toc296347218"/>
      <w:bookmarkStart w:id="843" w:name="_Toc296891047"/>
      <w:bookmarkStart w:id="844" w:name="_Toc297123564"/>
      <w:bookmarkStart w:id="845" w:name="_Toc304295593"/>
      <w:bookmarkStart w:id="846" w:name="_Toc296891259"/>
      <w:bookmarkStart w:id="847" w:name="_Toc297120519"/>
      <w:bookmarkStart w:id="848" w:name="_Toc312678053"/>
      <w:bookmarkStart w:id="849" w:name="_Toc297216223"/>
      <w:bookmarkStart w:id="850" w:name="_Toc300935015"/>
      <w:bookmarkStart w:id="851" w:name="_Toc292559929"/>
      <w:bookmarkStart w:id="852" w:name="_Toc297048405"/>
      <w:r>
        <w:rPr>
          <w:rFonts w:hint="eastAsia" w:ascii="宋体" w:hAnsi="宋体" w:eastAsia="宋体" w:cs="宋体"/>
          <w:b/>
          <w:sz w:val="21"/>
          <w:szCs w:val="21"/>
          <w:highlight w:val="none"/>
        </w:rPr>
        <w:t>13.验收和工程试车</w:t>
      </w:r>
      <w:bookmarkEnd w:id="836"/>
    </w:p>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14:paraId="2C1DB6CA">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13.1 分部分项工程验收</w:t>
      </w:r>
    </w:p>
    <w:p w14:paraId="3FA6DCF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13.1.2监理人不能按时进行验收时，应提前</w:t>
      </w:r>
      <w:r>
        <w:rPr>
          <w:rFonts w:hint="eastAsia" w:ascii="宋体" w:hAnsi="宋体" w:eastAsia="宋体" w:cs="宋体"/>
          <w:b/>
          <w:bCs/>
          <w:sz w:val="21"/>
          <w:szCs w:val="21"/>
          <w:highlight w:val="none"/>
          <w:u w:val="single"/>
        </w:rPr>
        <w:t>24</w:t>
      </w:r>
      <w:r>
        <w:rPr>
          <w:rFonts w:hint="eastAsia" w:ascii="宋体" w:hAnsi="宋体" w:eastAsia="宋体" w:cs="宋体"/>
          <w:bCs/>
          <w:sz w:val="21"/>
          <w:szCs w:val="21"/>
          <w:highlight w:val="none"/>
        </w:rPr>
        <w:t>小时提交书面延期要求。</w:t>
      </w:r>
    </w:p>
    <w:p w14:paraId="7203165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关于延期最长不得超过：</w:t>
      </w:r>
      <w:r>
        <w:rPr>
          <w:rFonts w:hint="eastAsia" w:ascii="宋体" w:hAnsi="宋体" w:eastAsia="宋体" w:cs="宋体"/>
          <w:b/>
          <w:bCs/>
          <w:sz w:val="21"/>
          <w:szCs w:val="21"/>
          <w:highlight w:val="none"/>
          <w:u w:val="single"/>
        </w:rPr>
        <w:t>48</w:t>
      </w:r>
      <w:r>
        <w:rPr>
          <w:rFonts w:hint="eastAsia" w:ascii="宋体" w:hAnsi="宋体" w:eastAsia="宋体" w:cs="宋体"/>
          <w:bCs/>
          <w:sz w:val="21"/>
          <w:szCs w:val="21"/>
          <w:highlight w:val="none"/>
        </w:rPr>
        <w:t>小时。</w:t>
      </w:r>
    </w:p>
    <w:p w14:paraId="715203F4">
      <w:pPr>
        <w:pStyle w:val="61"/>
        <w:spacing w:line="360" w:lineRule="auto"/>
        <w:rPr>
          <w:rFonts w:hint="eastAsia" w:ascii="宋体" w:hAnsi="宋体" w:eastAsia="宋体" w:cs="宋体"/>
          <w:b/>
          <w:bCs/>
          <w:sz w:val="21"/>
          <w:szCs w:val="21"/>
          <w:highlight w:val="none"/>
        </w:rPr>
      </w:pPr>
      <w:bookmarkStart w:id="853" w:name="_Toc300935016"/>
      <w:bookmarkStart w:id="854" w:name="_Toc297216224"/>
      <w:bookmarkStart w:id="855" w:name="_Toc304295596"/>
      <w:bookmarkStart w:id="856" w:name="_Toc303539173"/>
      <w:bookmarkStart w:id="857" w:name="_Toc297120523"/>
      <w:bookmarkStart w:id="858" w:name="_Toc296891263"/>
      <w:bookmarkStart w:id="859" w:name="_Toc296944562"/>
      <w:bookmarkStart w:id="860" w:name="_Toc296347222"/>
      <w:bookmarkStart w:id="861" w:name="_Toc296891051"/>
      <w:bookmarkStart w:id="862" w:name="_Toc292559933"/>
      <w:bookmarkStart w:id="863" w:name="_Toc297048409"/>
      <w:bookmarkStart w:id="864" w:name="_Toc297123565"/>
      <w:bookmarkStart w:id="865" w:name="_Toc296503223"/>
      <w:bookmarkStart w:id="866" w:name="_Toc296346724"/>
      <w:bookmarkStart w:id="867" w:name="_Toc292559428"/>
      <w:bookmarkStart w:id="868" w:name="_Toc312678056"/>
      <w:bookmarkStart w:id="869" w:name="_Toc267251473"/>
      <w:bookmarkStart w:id="870" w:name="_Toc267251475"/>
      <w:bookmarkStart w:id="871" w:name="_Toc267251476"/>
      <w:bookmarkStart w:id="872" w:name="_Toc267251470"/>
      <w:bookmarkStart w:id="873" w:name="_Toc267251472"/>
      <w:bookmarkStart w:id="874" w:name="_Toc267251474"/>
      <w:bookmarkStart w:id="875" w:name="_Toc267251471"/>
      <w:r>
        <w:rPr>
          <w:rFonts w:hint="eastAsia" w:ascii="宋体" w:hAnsi="宋体" w:eastAsia="宋体" w:cs="宋体"/>
          <w:b/>
          <w:bCs/>
          <w:sz w:val="21"/>
          <w:szCs w:val="21"/>
          <w:highlight w:val="none"/>
        </w:rPr>
        <w:t>13.2 竣工验收</w:t>
      </w:r>
    </w:p>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14:paraId="7F5A48CE">
      <w:pPr>
        <w:pStyle w:val="61"/>
        <w:spacing w:line="360" w:lineRule="auto"/>
        <w:ind w:firstLine="459"/>
        <w:rPr>
          <w:rFonts w:hint="eastAsia" w:ascii="宋体" w:hAnsi="宋体" w:eastAsia="宋体" w:cs="宋体"/>
          <w:bCs/>
          <w:sz w:val="21"/>
          <w:szCs w:val="21"/>
          <w:highlight w:val="none"/>
        </w:rPr>
      </w:pPr>
      <w:bookmarkStart w:id="876" w:name="_Toc280868704"/>
      <w:bookmarkStart w:id="877" w:name="_Toc280868705"/>
      <w:bookmarkStart w:id="878" w:name="_Toc280868706"/>
      <w:bookmarkStart w:id="879" w:name="_Toc280868707"/>
      <w:bookmarkStart w:id="880" w:name="_Toc280868708"/>
      <w:bookmarkStart w:id="881" w:name="_Toc280868709"/>
      <w:r>
        <w:rPr>
          <w:rFonts w:hint="eastAsia" w:ascii="宋体" w:hAnsi="宋体" w:eastAsia="宋体" w:cs="宋体"/>
          <w:bCs/>
          <w:sz w:val="21"/>
          <w:szCs w:val="21"/>
          <w:highlight w:val="none"/>
        </w:rPr>
        <w:t>13.2.2竣工验收程序</w:t>
      </w:r>
    </w:p>
    <w:bookmarkEnd w:id="876"/>
    <w:p w14:paraId="2F19F25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关于竣工验收程序的约定：</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p w14:paraId="1F83E01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发包人不按照本项约定组织竣工验收、颁发</w:t>
      </w:r>
      <w:r>
        <w:rPr>
          <w:rFonts w:hint="eastAsia" w:ascii="宋体" w:hAnsi="宋体" w:cs="宋体"/>
          <w:bCs/>
          <w:sz w:val="21"/>
          <w:szCs w:val="21"/>
          <w:highlight w:val="none"/>
          <w:lang w:eastAsia="zh-CN"/>
        </w:rPr>
        <w:t>工程验收</w:t>
      </w:r>
      <w:r>
        <w:rPr>
          <w:rFonts w:hint="eastAsia" w:ascii="宋体" w:hAnsi="宋体" w:eastAsia="宋体" w:cs="宋体"/>
          <w:bCs/>
          <w:sz w:val="21"/>
          <w:szCs w:val="21"/>
          <w:highlight w:val="none"/>
        </w:rPr>
        <w:t>证书的违约金的计算方法：</w:t>
      </w:r>
      <w:r>
        <w:rPr>
          <w:rFonts w:hint="eastAsia" w:ascii="宋体" w:hAnsi="宋体" w:eastAsia="宋体" w:cs="宋体"/>
          <w:b/>
          <w:bCs/>
          <w:sz w:val="21"/>
          <w:szCs w:val="21"/>
          <w:highlight w:val="none"/>
          <w:u w:val="single"/>
        </w:rPr>
        <w:t>无</w:t>
      </w:r>
      <w:r>
        <w:rPr>
          <w:rFonts w:hint="eastAsia" w:ascii="宋体" w:hAnsi="宋体" w:eastAsia="宋体" w:cs="宋体"/>
          <w:bCs/>
          <w:sz w:val="21"/>
          <w:szCs w:val="21"/>
          <w:highlight w:val="none"/>
        </w:rPr>
        <w:t>。</w:t>
      </w:r>
    </w:p>
    <w:bookmarkEnd w:id="877"/>
    <w:p w14:paraId="08D22D0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13.2.5移交、接收全部与部分工程</w:t>
      </w:r>
    </w:p>
    <w:bookmarkEnd w:id="878"/>
    <w:p w14:paraId="1E071EC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承包人向发包人移交工程的期限：</w:t>
      </w:r>
      <w:r>
        <w:rPr>
          <w:rFonts w:hint="eastAsia" w:ascii="宋体" w:hAnsi="宋体" w:eastAsia="宋体" w:cs="宋体"/>
          <w:b/>
          <w:bCs/>
          <w:sz w:val="21"/>
          <w:szCs w:val="21"/>
          <w:highlight w:val="none"/>
          <w:u w:val="single"/>
        </w:rPr>
        <w:t>合同当事人应当在颁发工程接收证书后7天内完成工程的移交。</w:t>
      </w:r>
    </w:p>
    <w:p w14:paraId="124B0D1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发包人未按本合同约定接收全部或部分工程的，违约金的计算方法为：</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bookmarkEnd w:id="879"/>
    <w:p w14:paraId="4A36D6DF">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承包人未按时移交工程的，违约金的计算方法为：</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p w14:paraId="26FEC078">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13.3 工程试车</w:t>
      </w:r>
    </w:p>
    <w:bookmarkEnd w:id="880"/>
    <w:p w14:paraId="4C2657D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13.3.1 试车程序</w:t>
      </w:r>
    </w:p>
    <w:p w14:paraId="119199B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工程试车内容：</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p w14:paraId="5706FAC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（1）单机无负荷试车费用由</w:t>
      </w:r>
      <w:r>
        <w:rPr>
          <w:rFonts w:hint="eastAsia" w:ascii="宋体" w:hAnsi="宋体" w:eastAsia="宋体" w:cs="宋体"/>
          <w:b/>
          <w:bCs/>
          <w:sz w:val="21"/>
          <w:szCs w:val="21"/>
          <w:highlight w:val="none"/>
          <w:u w:val="single"/>
        </w:rPr>
        <w:t>承包人</w:t>
      </w:r>
      <w:r>
        <w:rPr>
          <w:rFonts w:hint="eastAsia" w:ascii="宋体" w:hAnsi="宋体" w:eastAsia="宋体" w:cs="宋体"/>
          <w:bCs/>
          <w:sz w:val="21"/>
          <w:szCs w:val="21"/>
          <w:highlight w:val="none"/>
        </w:rPr>
        <w:t>承担；</w:t>
      </w:r>
    </w:p>
    <w:p w14:paraId="2E48D43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（2）无负荷联动试车费用由</w:t>
      </w:r>
      <w:r>
        <w:rPr>
          <w:rFonts w:hint="eastAsia" w:ascii="宋体" w:hAnsi="宋体" w:eastAsia="宋体" w:cs="宋体"/>
          <w:b/>
          <w:bCs/>
          <w:sz w:val="21"/>
          <w:szCs w:val="21"/>
          <w:highlight w:val="none"/>
          <w:u w:val="single"/>
        </w:rPr>
        <w:t xml:space="preserve">承包人 </w:t>
      </w:r>
      <w:r>
        <w:rPr>
          <w:rFonts w:hint="eastAsia" w:ascii="宋体" w:hAnsi="宋体" w:eastAsia="宋体" w:cs="宋体"/>
          <w:bCs/>
          <w:sz w:val="21"/>
          <w:szCs w:val="21"/>
          <w:highlight w:val="none"/>
        </w:rPr>
        <w:t>承担。</w:t>
      </w:r>
    </w:p>
    <w:p w14:paraId="6FB3536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13.3.3 投料试车</w:t>
      </w:r>
    </w:p>
    <w:p w14:paraId="286EB66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关于投料试车相关事项的约定：</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p w14:paraId="43F7012B">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13.6 竣工退场</w:t>
      </w:r>
    </w:p>
    <w:p w14:paraId="060C5BF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13.6.1 竣工退场</w:t>
      </w:r>
    </w:p>
    <w:p w14:paraId="46D53B9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承包人完成竣工退场的期限：</w:t>
      </w:r>
      <w:r>
        <w:rPr>
          <w:rFonts w:hint="eastAsia" w:ascii="宋体" w:hAnsi="宋体" w:eastAsia="宋体" w:cs="宋体"/>
          <w:b/>
          <w:bCs/>
          <w:sz w:val="21"/>
          <w:szCs w:val="21"/>
          <w:highlight w:val="none"/>
          <w:u w:val="single"/>
        </w:rPr>
        <w:t>按发包人要求的时间退场</w:t>
      </w:r>
      <w:r>
        <w:rPr>
          <w:rFonts w:hint="eastAsia" w:ascii="宋体" w:hAnsi="宋体" w:eastAsia="宋体" w:cs="宋体"/>
          <w:bCs/>
          <w:sz w:val="21"/>
          <w:szCs w:val="21"/>
          <w:highlight w:val="none"/>
        </w:rPr>
        <w:t>。</w:t>
      </w:r>
    </w:p>
    <w:p w14:paraId="01838D39">
      <w:pPr>
        <w:pStyle w:val="61"/>
        <w:spacing w:line="360" w:lineRule="auto"/>
        <w:rPr>
          <w:rFonts w:hint="eastAsia" w:ascii="宋体" w:hAnsi="宋体" w:eastAsia="宋体" w:cs="宋体"/>
          <w:b/>
          <w:sz w:val="21"/>
          <w:szCs w:val="21"/>
          <w:highlight w:val="none"/>
        </w:rPr>
      </w:pPr>
      <w:bookmarkStart w:id="882" w:name="_Toc351203646"/>
      <w:r>
        <w:rPr>
          <w:rFonts w:hint="eastAsia" w:ascii="宋体" w:hAnsi="宋体" w:eastAsia="宋体" w:cs="宋体"/>
          <w:b/>
          <w:sz w:val="21"/>
          <w:szCs w:val="21"/>
          <w:highlight w:val="none"/>
        </w:rPr>
        <w:t>14. 竣工结算</w:t>
      </w:r>
      <w:bookmarkEnd w:id="882"/>
    </w:p>
    <w:p w14:paraId="596FCF8B">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14.1 竣工结算申请</w:t>
      </w:r>
    </w:p>
    <w:p w14:paraId="7C6C38A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承包人提交竣工结算申请单的期限：</w:t>
      </w:r>
      <w:r>
        <w:rPr>
          <w:rFonts w:hint="eastAsia" w:ascii="宋体" w:hAnsi="宋体" w:eastAsia="宋体" w:cs="宋体"/>
          <w:b/>
          <w:bCs/>
          <w:sz w:val="21"/>
          <w:szCs w:val="21"/>
          <w:highlight w:val="none"/>
          <w:u w:val="single"/>
        </w:rPr>
        <w:t>竣工结算申请</w:t>
      </w:r>
      <w:r>
        <w:rPr>
          <w:rFonts w:hint="eastAsia" w:ascii="宋体" w:hAnsi="宋体" w:cs="宋体"/>
          <w:b/>
          <w:bCs/>
          <w:sz w:val="21"/>
          <w:szCs w:val="21"/>
          <w:highlight w:val="none"/>
          <w:u w:val="single"/>
          <w:lang w:val="en-US" w:eastAsia="zh-CN"/>
        </w:rPr>
        <w:t>应在</w:t>
      </w:r>
      <w:r>
        <w:rPr>
          <w:rFonts w:hint="eastAsia" w:ascii="宋体" w:hAnsi="宋体" w:cs="宋体"/>
          <w:b/>
          <w:sz w:val="21"/>
          <w:szCs w:val="21"/>
          <w:highlight w:val="none"/>
          <w:u w:val="single"/>
          <w:lang w:val="en-US" w:eastAsia="zh-CN"/>
        </w:rPr>
        <w:t>工程质量评定合格后，按分部工程验收。</w:t>
      </w:r>
      <w:r>
        <w:rPr>
          <w:rFonts w:hint="eastAsia" w:ascii="宋体" w:hAnsi="宋体" w:cs="宋体"/>
          <w:b/>
          <w:bCs/>
          <w:sz w:val="21"/>
          <w:szCs w:val="21"/>
          <w:highlight w:val="none"/>
          <w:u w:val="single"/>
          <w:lang w:val="en-US" w:eastAsia="zh-CN"/>
        </w:rPr>
        <w:t>经</w:t>
      </w:r>
      <w:r>
        <w:rPr>
          <w:rFonts w:hint="eastAsia" w:ascii="宋体" w:hAnsi="宋体" w:eastAsia="宋体" w:cs="宋体"/>
          <w:b/>
          <w:bCs/>
          <w:sz w:val="21"/>
          <w:szCs w:val="21"/>
          <w:highlight w:val="none"/>
          <w:u w:val="single"/>
        </w:rPr>
        <w:t>分部工程</w:t>
      </w:r>
      <w:r>
        <w:rPr>
          <w:rFonts w:hint="eastAsia" w:ascii="宋体" w:hAnsi="宋体" w:eastAsia="宋体" w:cs="宋体"/>
          <w:b/>
          <w:sz w:val="21"/>
          <w:szCs w:val="21"/>
          <w:highlight w:val="none"/>
          <w:u w:val="single"/>
        </w:rPr>
        <w:t>验收合格，承包人应在验收合格后28天内报送</w:t>
      </w:r>
      <w:r>
        <w:rPr>
          <w:rFonts w:hint="eastAsia" w:ascii="宋体" w:hAnsi="宋体" w:eastAsia="宋体" w:cs="宋体"/>
          <w:b/>
          <w:bCs/>
          <w:sz w:val="21"/>
          <w:szCs w:val="21"/>
          <w:highlight w:val="none"/>
          <w:u w:val="single"/>
        </w:rPr>
        <w:t>分部工程</w:t>
      </w:r>
      <w:r>
        <w:rPr>
          <w:rFonts w:hint="eastAsia" w:ascii="宋体" w:hAnsi="宋体" w:eastAsia="宋体" w:cs="宋体"/>
          <w:b/>
          <w:sz w:val="21"/>
          <w:szCs w:val="21"/>
          <w:highlight w:val="none"/>
          <w:u w:val="single"/>
        </w:rPr>
        <w:t>竣工结算交付监理工程师、发包人审核。竣工结算以最终审计单位的审定结果为准</w:t>
      </w:r>
      <w:r>
        <w:rPr>
          <w:rFonts w:hint="eastAsia" w:ascii="宋体" w:hAnsi="宋体" w:eastAsia="宋体" w:cs="宋体"/>
          <w:bCs/>
          <w:sz w:val="21"/>
          <w:szCs w:val="21"/>
          <w:highlight w:val="none"/>
        </w:rPr>
        <w:t>。</w:t>
      </w:r>
    </w:p>
    <w:p w14:paraId="73AB5F8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竣工结算申请单应包括的内容：</w:t>
      </w:r>
      <w:r>
        <w:rPr>
          <w:rFonts w:hint="eastAsia" w:ascii="宋体" w:hAnsi="宋体" w:eastAsia="宋体" w:cs="宋体"/>
          <w:b/>
          <w:bCs/>
          <w:sz w:val="21"/>
          <w:szCs w:val="21"/>
          <w:highlight w:val="none"/>
          <w:u w:val="single"/>
        </w:rPr>
        <w:t>按通用条款规定执行，满足发包人审核要求</w:t>
      </w:r>
      <w:r>
        <w:rPr>
          <w:rFonts w:hint="eastAsia" w:ascii="宋体" w:hAnsi="宋体" w:eastAsia="宋体" w:cs="宋体"/>
          <w:bCs/>
          <w:sz w:val="21"/>
          <w:szCs w:val="21"/>
          <w:highlight w:val="none"/>
        </w:rPr>
        <w:t>。</w:t>
      </w:r>
    </w:p>
    <w:p w14:paraId="1C2CCE7E">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14.2 竣工结算审核</w:t>
      </w:r>
    </w:p>
    <w:p w14:paraId="63CFAA2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发包人审批竣工付款申请单的期限：</w:t>
      </w:r>
      <w:r>
        <w:rPr>
          <w:rFonts w:hint="eastAsia" w:ascii="宋体" w:hAnsi="宋体" w:eastAsia="宋体" w:cs="宋体"/>
          <w:b/>
          <w:bCs/>
          <w:sz w:val="21"/>
          <w:szCs w:val="21"/>
          <w:highlight w:val="none"/>
          <w:u w:val="single"/>
        </w:rPr>
        <w:t>发包人应在收到监理人</w:t>
      </w:r>
      <w:r>
        <w:rPr>
          <w:rFonts w:hint="eastAsia" w:ascii="宋体" w:hAnsi="宋体" w:cs="宋体"/>
          <w:b/>
          <w:bCs/>
          <w:sz w:val="21"/>
          <w:szCs w:val="21"/>
          <w:highlight w:val="none"/>
          <w:u w:val="single"/>
          <w:lang w:eastAsia="zh-CN"/>
        </w:rPr>
        <w:t>、</w:t>
      </w:r>
      <w:r>
        <w:rPr>
          <w:rFonts w:hint="eastAsia" w:ascii="宋体" w:hAnsi="宋体" w:eastAsia="宋体" w:cs="宋体"/>
          <w:b/>
          <w:bCs/>
          <w:sz w:val="21"/>
          <w:szCs w:val="21"/>
          <w:highlight w:val="none"/>
          <w:u w:val="single"/>
        </w:rPr>
        <w:t>发包人提交的经审核的竣工结算申请单后28天内完成审批。</w:t>
      </w:r>
    </w:p>
    <w:p w14:paraId="2EAC01C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发包人完成竣工付款的期限：</w:t>
      </w:r>
      <w:r>
        <w:rPr>
          <w:rFonts w:hint="eastAsia" w:ascii="宋体" w:hAnsi="宋体" w:eastAsia="宋体" w:cs="宋体"/>
          <w:b/>
          <w:bCs/>
          <w:sz w:val="21"/>
          <w:szCs w:val="21"/>
          <w:highlight w:val="none"/>
          <w:u w:val="single"/>
        </w:rPr>
        <w:t>发包人应在签发竣工付款证书后的14 天内，完成对承包人的竣工付款，并由监理人向承包人签发经发包人签认的竣工付款证书。</w:t>
      </w:r>
    </w:p>
    <w:p w14:paraId="19A7E4A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关于竣工付款证书异议部分复核的方式和程序：</w:t>
      </w:r>
      <w:r>
        <w:rPr>
          <w:rFonts w:hint="eastAsia" w:ascii="宋体" w:hAnsi="宋体" w:eastAsia="宋体" w:cs="宋体"/>
          <w:b/>
          <w:bCs/>
          <w:sz w:val="21"/>
          <w:szCs w:val="21"/>
          <w:highlight w:val="none"/>
          <w:u w:val="single"/>
        </w:rPr>
        <w:t>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p>
    <w:p w14:paraId="1892E335">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14.4 最终结清</w:t>
      </w:r>
    </w:p>
    <w:p w14:paraId="19BC566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14.4.1 最终结清申请单</w:t>
      </w:r>
    </w:p>
    <w:p w14:paraId="0E0D56F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承包人提交最终结清申请单的份数：</w:t>
      </w:r>
      <w:r>
        <w:rPr>
          <w:rFonts w:hint="eastAsia" w:ascii="宋体" w:hAnsi="宋体" w:eastAsia="宋体" w:cs="宋体"/>
          <w:b/>
          <w:bCs/>
          <w:sz w:val="21"/>
          <w:szCs w:val="21"/>
          <w:highlight w:val="none"/>
          <w:u w:val="single"/>
        </w:rPr>
        <w:t>捌份</w:t>
      </w:r>
      <w:r>
        <w:rPr>
          <w:rFonts w:hint="eastAsia" w:ascii="宋体" w:hAnsi="宋体" w:eastAsia="宋体" w:cs="宋体"/>
          <w:bCs/>
          <w:sz w:val="21"/>
          <w:szCs w:val="21"/>
          <w:highlight w:val="none"/>
        </w:rPr>
        <w:t>。</w:t>
      </w:r>
    </w:p>
    <w:p w14:paraId="1D5145C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承包人提交最终结算申请单的期限</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w:t>
      </w:r>
    </w:p>
    <w:p w14:paraId="4B8A960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14.4.2 最终结清证书和支付</w:t>
      </w:r>
    </w:p>
    <w:p w14:paraId="26BAC9DE">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（1）发包人完成最终结清申请单的审批并颁发最终结清证书的期限：经审计定案后28天内完成审批并向承包人颁发最终结清证书。</w:t>
      </w:r>
    </w:p>
    <w:p w14:paraId="49987972">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（2）发包人完成支付的期限：发包人在颁发最终结清证书后28天内完成支付。</w:t>
      </w:r>
    </w:p>
    <w:bookmarkEnd w:id="869"/>
    <w:bookmarkEnd w:id="870"/>
    <w:bookmarkEnd w:id="871"/>
    <w:bookmarkEnd w:id="872"/>
    <w:bookmarkEnd w:id="873"/>
    <w:bookmarkEnd w:id="874"/>
    <w:bookmarkEnd w:id="875"/>
    <w:bookmarkEnd w:id="881"/>
    <w:p w14:paraId="2035DEE5">
      <w:pPr>
        <w:pStyle w:val="61"/>
        <w:spacing w:line="360" w:lineRule="auto"/>
        <w:rPr>
          <w:rFonts w:hint="eastAsia" w:ascii="宋体" w:hAnsi="宋体" w:eastAsia="宋体" w:cs="宋体"/>
          <w:b/>
          <w:sz w:val="21"/>
          <w:szCs w:val="21"/>
          <w:highlight w:val="none"/>
        </w:rPr>
      </w:pPr>
      <w:bookmarkStart w:id="883" w:name="_Toc351203647"/>
      <w:bookmarkStart w:id="884" w:name="_Toc267251483"/>
      <w:bookmarkStart w:id="885" w:name="_Toc267251482"/>
      <w:bookmarkStart w:id="886" w:name="_Toc267251484"/>
      <w:bookmarkStart w:id="887" w:name="_Toc267251485"/>
      <w:bookmarkStart w:id="888" w:name="_Toc267251490"/>
      <w:bookmarkStart w:id="889" w:name="_Toc267251486"/>
      <w:bookmarkStart w:id="890" w:name="_Toc267251489"/>
      <w:bookmarkStart w:id="891" w:name="_Toc267251488"/>
      <w:bookmarkStart w:id="892" w:name="_Toc267251502"/>
      <w:bookmarkStart w:id="893" w:name="_Toc267251499"/>
      <w:bookmarkStart w:id="894" w:name="_Toc267251498"/>
      <w:bookmarkStart w:id="895" w:name="_Toc267251493"/>
      <w:bookmarkStart w:id="896" w:name="_Toc267251492"/>
      <w:bookmarkStart w:id="897" w:name="_Toc267251496"/>
      <w:bookmarkStart w:id="898" w:name="_Toc267251491"/>
      <w:bookmarkStart w:id="899" w:name="_Toc267251494"/>
      <w:bookmarkStart w:id="900" w:name="_Toc267251501"/>
      <w:bookmarkStart w:id="901" w:name="_Toc267251497"/>
      <w:bookmarkStart w:id="902" w:name="_Toc267251503"/>
      <w:bookmarkStart w:id="903" w:name="_Toc267251495"/>
      <w:bookmarkStart w:id="904" w:name="_Toc267251506"/>
      <w:bookmarkStart w:id="905" w:name="_Toc267251504"/>
      <w:bookmarkStart w:id="906" w:name="_Toc267251507"/>
      <w:bookmarkStart w:id="907" w:name="_Toc267251508"/>
      <w:bookmarkStart w:id="908" w:name="_Toc267251515"/>
      <w:bookmarkStart w:id="909" w:name="_Toc267251509"/>
      <w:bookmarkStart w:id="910" w:name="_Toc267251513"/>
      <w:bookmarkStart w:id="911" w:name="_Toc267251511"/>
      <w:bookmarkStart w:id="912" w:name="_Toc267251510"/>
      <w:bookmarkStart w:id="913" w:name="_Toc267251514"/>
      <w:r>
        <w:rPr>
          <w:rFonts w:hint="eastAsia" w:ascii="宋体" w:hAnsi="宋体" w:eastAsia="宋体" w:cs="宋体"/>
          <w:b/>
          <w:sz w:val="21"/>
          <w:szCs w:val="21"/>
          <w:highlight w:val="none"/>
        </w:rPr>
        <w:t>15. 缺陷责任期与保修</w:t>
      </w:r>
      <w:bookmarkEnd w:id="883"/>
    </w:p>
    <w:p w14:paraId="4BAB50CB">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15.2缺陷责任期</w:t>
      </w:r>
      <w:bookmarkEnd w:id="884"/>
    </w:p>
    <w:p w14:paraId="69373DE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缺陷责任期的具体期限：</w:t>
      </w:r>
      <w:r>
        <w:rPr>
          <w:rFonts w:hint="eastAsia" w:ascii="宋体" w:hAnsi="宋体" w:eastAsia="宋体" w:cs="宋体"/>
          <w:b/>
          <w:bCs/>
          <w:sz w:val="21"/>
          <w:szCs w:val="21"/>
          <w:highlight w:val="none"/>
          <w:u w:val="single"/>
        </w:rPr>
        <w:t>缺陷责任期自实际竣工日期起计算24个月。</w:t>
      </w:r>
    </w:p>
    <w:bookmarkEnd w:id="885"/>
    <w:bookmarkEnd w:id="886"/>
    <w:p w14:paraId="69AB3FE2">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15.</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保修</w:t>
      </w:r>
    </w:p>
    <w:bookmarkEnd w:id="887"/>
    <w:p w14:paraId="7D2895BE">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15.</w:t>
      </w: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.1 保修责任</w:t>
      </w:r>
    </w:p>
    <w:p w14:paraId="554966D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工程保修期为：</w:t>
      </w:r>
      <w:r>
        <w:rPr>
          <w:rFonts w:hint="eastAsia" w:ascii="宋体" w:hAnsi="宋体" w:eastAsia="宋体" w:cs="宋体"/>
          <w:b/>
          <w:sz w:val="21"/>
          <w:szCs w:val="21"/>
          <w:highlight w:val="none"/>
          <w:u w:val="single"/>
        </w:rPr>
        <w:t>按国务院第279号文《建设工程质量管理条例》执行及投标承诺执行</w:t>
      </w:r>
      <w:r>
        <w:rPr>
          <w:rFonts w:hint="eastAsia" w:ascii="宋体" w:hAnsi="宋体" w:eastAsia="宋体" w:cs="宋体"/>
          <w:bCs/>
          <w:sz w:val="21"/>
          <w:szCs w:val="21"/>
          <w:highlight w:val="none"/>
        </w:rPr>
        <w:t>。</w:t>
      </w:r>
    </w:p>
    <w:p w14:paraId="0096CE51">
      <w:pPr>
        <w:pStyle w:val="61"/>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15.</w:t>
      </w:r>
      <w:r>
        <w:rPr>
          <w:rFonts w:hint="eastAsia" w:ascii="宋体" w:hAnsi="宋体" w:eastAsia="宋体" w:cs="宋体"/>
          <w:b/>
          <w:bCs w:val="0"/>
          <w:sz w:val="21"/>
          <w:szCs w:val="21"/>
          <w:highlight w:val="none"/>
          <w:lang w:val="en-US" w:eastAsia="zh-CN"/>
        </w:rPr>
        <w:t>3</w:t>
      </w:r>
      <w:r>
        <w:rPr>
          <w:rFonts w:hint="eastAsia" w:ascii="宋体" w:hAnsi="宋体" w:eastAsia="宋体" w:cs="宋体"/>
          <w:b/>
          <w:bCs w:val="0"/>
          <w:sz w:val="21"/>
          <w:szCs w:val="21"/>
          <w:highlight w:val="none"/>
        </w:rPr>
        <w:t>.</w:t>
      </w:r>
      <w:r>
        <w:rPr>
          <w:rFonts w:hint="eastAsia" w:ascii="宋体" w:hAnsi="宋体" w:eastAsia="宋体" w:cs="宋体"/>
          <w:b/>
          <w:bCs w:val="0"/>
          <w:sz w:val="21"/>
          <w:szCs w:val="21"/>
          <w:highlight w:val="none"/>
          <w:lang w:val="en-US" w:eastAsia="zh-CN"/>
        </w:rPr>
        <w:t>2</w:t>
      </w:r>
      <w:r>
        <w:rPr>
          <w:rFonts w:hint="eastAsia" w:ascii="宋体" w:hAnsi="宋体" w:eastAsia="宋体" w:cs="宋体"/>
          <w:b/>
          <w:bCs w:val="0"/>
          <w:sz w:val="21"/>
          <w:szCs w:val="21"/>
          <w:highlight w:val="none"/>
        </w:rPr>
        <w:t xml:space="preserve"> 修复通知</w:t>
      </w:r>
    </w:p>
    <w:p w14:paraId="5FDDAB7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承包人收到保修通知并到达工程现场的合理时间：</w:t>
      </w:r>
      <w:r>
        <w:rPr>
          <w:rFonts w:hint="eastAsia" w:ascii="宋体" w:hAnsi="宋体" w:eastAsia="宋体" w:cs="宋体"/>
          <w:b/>
          <w:bCs/>
          <w:sz w:val="21"/>
          <w:szCs w:val="21"/>
          <w:highlight w:val="none"/>
          <w:u w:val="single"/>
        </w:rPr>
        <w:t>按通用条款规定执行</w:t>
      </w:r>
      <w:r>
        <w:rPr>
          <w:rFonts w:hint="eastAsia" w:ascii="宋体" w:hAnsi="宋体" w:eastAsia="宋体" w:cs="宋体"/>
          <w:bCs/>
          <w:sz w:val="21"/>
          <w:szCs w:val="21"/>
          <w:highlight w:val="none"/>
        </w:rPr>
        <w:t>。</w:t>
      </w:r>
    </w:p>
    <w:bookmarkEnd w:id="888"/>
    <w:bookmarkEnd w:id="889"/>
    <w:bookmarkEnd w:id="890"/>
    <w:bookmarkEnd w:id="891"/>
    <w:p w14:paraId="221142B7">
      <w:pPr>
        <w:pStyle w:val="61"/>
        <w:spacing w:line="360" w:lineRule="auto"/>
        <w:rPr>
          <w:rFonts w:hint="eastAsia" w:ascii="宋体" w:hAnsi="宋体" w:eastAsia="宋体" w:cs="宋体"/>
          <w:b/>
          <w:sz w:val="21"/>
          <w:szCs w:val="21"/>
          <w:highlight w:val="none"/>
        </w:rPr>
      </w:pPr>
      <w:bookmarkStart w:id="914" w:name="_Toc351203648"/>
      <w:bookmarkStart w:id="915" w:name="_Toc280868717"/>
      <w:bookmarkStart w:id="916" w:name="_Toc280868718"/>
      <w:r>
        <w:rPr>
          <w:rFonts w:hint="eastAsia" w:ascii="宋体" w:hAnsi="宋体" w:eastAsia="宋体" w:cs="宋体"/>
          <w:b/>
          <w:sz w:val="21"/>
          <w:szCs w:val="21"/>
          <w:highlight w:val="none"/>
        </w:rPr>
        <w:t>16. 违约</w:t>
      </w:r>
      <w:bookmarkEnd w:id="914"/>
    </w:p>
    <w:p w14:paraId="53D5949C">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16.1 发包人违约</w:t>
      </w:r>
    </w:p>
    <w:p w14:paraId="1E1E9FD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16.1.1发包人违约的情形</w:t>
      </w:r>
    </w:p>
    <w:p w14:paraId="5A53839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发包人违约的其他情形：</w:t>
      </w:r>
      <w:r>
        <w:rPr>
          <w:rFonts w:hint="eastAsia" w:ascii="宋体" w:hAnsi="宋体" w:eastAsia="宋体" w:cs="宋体"/>
          <w:b/>
          <w:bCs/>
          <w:sz w:val="21"/>
          <w:szCs w:val="21"/>
          <w:highlight w:val="none"/>
          <w:u w:val="single"/>
        </w:rPr>
        <w:t>无</w:t>
      </w:r>
      <w:r>
        <w:rPr>
          <w:rFonts w:hint="eastAsia" w:ascii="宋体" w:hAnsi="宋体" w:eastAsia="宋体" w:cs="宋体"/>
          <w:bCs/>
          <w:sz w:val="21"/>
          <w:szCs w:val="21"/>
          <w:highlight w:val="none"/>
        </w:rPr>
        <w:t>。</w:t>
      </w:r>
    </w:p>
    <w:p w14:paraId="67CF72F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16.1.2 发包人违约的责任</w:t>
      </w:r>
    </w:p>
    <w:p w14:paraId="580C5A8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发包人违约责任的承担方式和计算方法：</w:t>
      </w:r>
    </w:p>
    <w:p w14:paraId="40D1EF06">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（1）因发包人原因未能在计划开工日期前7天内下达开工通知的违约责任：</w:t>
      </w:r>
      <w:r>
        <w:rPr>
          <w:rFonts w:hint="eastAsia" w:ascii="宋体" w:hAnsi="宋体" w:eastAsia="宋体" w:cs="宋体"/>
          <w:b/>
          <w:bCs/>
          <w:sz w:val="21"/>
          <w:szCs w:val="21"/>
          <w:highlight w:val="none"/>
          <w:u w:val="single"/>
        </w:rPr>
        <w:t>无</w:t>
      </w:r>
      <w:r>
        <w:rPr>
          <w:rFonts w:hint="eastAsia" w:ascii="宋体" w:hAnsi="宋体" w:eastAsia="宋体" w:cs="宋体"/>
          <w:bCs/>
          <w:sz w:val="21"/>
          <w:szCs w:val="21"/>
          <w:highlight w:val="none"/>
        </w:rPr>
        <w:t>。</w:t>
      </w:r>
    </w:p>
    <w:p w14:paraId="0A145EF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（2）因发包人原因未能按合同约定支付合同价款的违约责任：</w:t>
      </w:r>
      <w:r>
        <w:rPr>
          <w:rFonts w:hint="eastAsia" w:ascii="宋体" w:hAnsi="宋体" w:eastAsia="宋体" w:cs="宋体"/>
          <w:b/>
          <w:bCs/>
          <w:sz w:val="21"/>
          <w:szCs w:val="21"/>
          <w:highlight w:val="none"/>
          <w:u w:val="single"/>
        </w:rPr>
        <w:t>无</w:t>
      </w:r>
      <w:r>
        <w:rPr>
          <w:rFonts w:hint="eastAsia" w:ascii="宋体" w:hAnsi="宋体" w:eastAsia="宋体" w:cs="宋体"/>
          <w:bCs/>
          <w:sz w:val="21"/>
          <w:szCs w:val="21"/>
          <w:highlight w:val="none"/>
        </w:rPr>
        <w:t>。</w:t>
      </w:r>
    </w:p>
    <w:p w14:paraId="52D5632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（3）发包人违反第10.1款〔变更的范围〕第（2）项约定，自行实施被取消的工作或转由他人实施的违约责任：</w:t>
      </w:r>
      <w:r>
        <w:rPr>
          <w:rFonts w:hint="eastAsia" w:ascii="宋体" w:hAnsi="宋体" w:eastAsia="宋体" w:cs="宋体"/>
          <w:b/>
          <w:bCs/>
          <w:sz w:val="21"/>
          <w:szCs w:val="21"/>
          <w:highlight w:val="none"/>
          <w:u w:val="single"/>
        </w:rPr>
        <w:t>无</w:t>
      </w:r>
      <w:r>
        <w:rPr>
          <w:rFonts w:hint="eastAsia" w:ascii="宋体" w:hAnsi="宋体" w:eastAsia="宋体" w:cs="宋体"/>
          <w:bCs/>
          <w:sz w:val="21"/>
          <w:szCs w:val="21"/>
          <w:highlight w:val="none"/>
        </w:rPr>
        <w:t>。</w:t>
      </w:r>
    </w:p>
    <w:p w14:paraId="0291C8A9">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b/>
          <w:bCs/>
          <w:sz w:val="21"/>
          <w:szCs w:val="21"/>
          <w:highlight w:val="none"/>
          <w:u w:val="single"/>
        </w:rPr>
        <w:t>工期顺延</w:t>
      </w:r>
      <w:r>
        <w:rPr>
          <w:rFonts w:hint="eastAsia" w:ascii="宋体" w:hAnsi="宋体" w:eastAsia="宋体" w:cs="宋体"/>
          <w:bCs/>
          <w:sz w:val="21"/>
          <w:szCs w:val="21"/>
          <w:highlight w:val="none"/>
        </w:rPr>
        <w:t>。</w:t>
      </w:r>
    </w:p>
    <w:p w14:paraId="375E566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（5）因发包人违反合同约定造成暂停施工的违约责任：</w:t>
      </w:r>
      <w:r>
        <w:rPr>
          <w:rFonts w:hint="eastAsia" w:ascii="宋体" w:hAnsi="宋体" w:eastAsia="宋体" w:cs="宋体"/>
          <w:b/>
          <w:bCs/>
          <w:sz w:val="21"/>
          <w:szCs w:val="21"/>
          <w:highlight w:val="none"/>
          <w:u w:val="single"/>
        </w:rPr>
        <w:t>工期顺延</w:t>
      </w:r>
      <w:r>
        <w:rPr>
          <w:rFonts w:hint="eastAsia" w:ascii="宋体" w:hAnsi="宋体" w:eastAsia="宋体" w:cs="宋体"/>
          <w:bCs/>
          <w:sz w:val="21"/>
          <w:szCs w:val="21"/>
          <w:highlight w:val="none"/>
        </w:rPr>
        <w:t>。</w:t>
      </w:r>
    </w:p>
    <w:p w14:paraId="5143EDB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（6）发包人无正当理由没有在约定期限内发出复工指示，导致承包人无法复工的违约责任：</w:t>
      </w:r>
      <w:r>
        <w:rPr>
          <w:rFonts w:hint="eastAsia" w:ascii="宋体" w:hAnsi="宋体" w:eastAsia="宋体" w:cs="宋体"/>
          <w:b/>
          <w:bCs/>
          <w:sz w:val="21"/>
          <w:szCs w:val="21"/>
          <w:highlight w:val="none"/>
          <w:u w:val="single"/>
        </w:rPr>
        <w:t>工期顺延</w:t>
      </w:r>
      <w:r>
        <w:rPr>
          <w:rFonts w:hint="eastAsia" w:ascii="宋体" w:hAnsi="宋体" w:eastAsia="宋体" w:cs="宋体"/>
          <w:bCs/>
          <w:sz w:val="21"/>
          <w:szCs w:val="21"/>
          <w:highlight w:val="none"/>
        </w:rPr>
        <w:t>。</w:t>
      </w:r>
    </w:p>
    <w:p w14:paraId="14EF2B6E">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（7）其他：</w:t>
      </w:r>
      <w:r>
        <w:rPr>
          <w:rFonts w:hint="eastAsia" w:ascii="宋体" w:hAnsi="宋体" w:eastAsia="宋体" w:cs="宋体"/>
          <w:b/>
          <w:bCs/>
          <w:sz w:val="21"/>
          <w:szCs w:val="21"/>
          <w:highlight w:val="none"/>
          <w:u w:val="single"/>
        </w:rPr>
        <w:t>无</w:t>
      </w:r>
      <w:r>
        <w:rPr>
          <w:rFonts w:hint="eastAsia" w:ascii="宋体" w:hAnsi="宋体" w:eastAsia="宋体" w:cs="宋体"/>
          <w:bCs/>
          <w:sz w:val="21"/>
          <w:szCs w:val="21"/>
          <w:highlight w:val="none"/>
        </w:rPr>
        <w:t>。</w:t>
      </w:r>
    </w:p>
    <w:p w14:paraId="108E819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16.1.3 因发包人违约解除合同</w:t>
      </w:r>
    </w:p>
    <w:p w14:paraId="253D470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承包人按16.1.1项〔发包人违约的情形〕约定暂停施工满</w:t>
      </w:r>
      <w:r>
        <w:rPr>
          <w:rFonts w:hint="eastAsia" w:ascii="宋体" w:hAnsi="宋体" w:eastAsia="宋体" w:cs="宋体"/>
          <w:bCs/>
          <w:sz w:val="21"/>
          <w:szCs w:val="21"/>
          <w:highlight w:val="none"/>
          <w:u w:val="single"/>
        </w:rPr>
        <w:t>90</w:t>
      </w:r>
      <w:r>
        <w:rPr>
          <w:rFonts w:hint="eastAsia" w:ascii="宋体" w:hAnsi="宋体" w:eastAsia="宋体" w:cs="宋体"/>
          <w:bCs/>
          <w:sz w:val="21"/>
          <w:szCs w:val="21"/>
          <w:highlight w:val="none"/>
        </w:rPr>
        <w:t>天后发包人仍不纠正其违约行为并致使合同目的不能实现的，承包人有权解除合同。</w:t>
      </w:r>
    </w:p>
    <w:p w14:paraId="3D1D4205">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16.2 承包人违约</w:t>
      </w:r>
    </w:p>
    <w:p w14:paraId="5359B93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16.2.1 承包人违约的情形</w:t>
      </w:r>
    </w:p>
    <w:p w14:paraId="2FACE47D">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承包人违约的其他情形：</w:t>
      </w:r>
      <w:r>
        <w:rPr>
          <w:rFonts w:hint="eastAsia" w:ascii="宋体" w:hAnsi="宋体" w:eastAsia="宋体" w:cs="宋体"/>
          <w:b/>
          <w:bCs/>
          <w:sz w:val="21"/>
          <w:szCs w:val="21"/>
          <w:highlight w:val="none"/>
          <w:u w:val="single"/>
        </w:rPr>
        <w:t>通用条款及本合同约定的所有违约情形</w:t>
      </w:r>
      <w:r>
        <w:rPr>
          <w:rFonts w:hint="eastAsia" w:ascii="宋体" w:hAnsi="宋体" w:eastAsia="宋体" w:cs="宋体"/>
          <w:bCs/>
          <w:sz w:val="21"/>
          <w:szCs w:val="21"/>
          <w:highlight w:val="none"/>
        </w:rPr>
        <w:t>。</w:t>
      </w:r>
    </w:p>
    <w:p w14:paraId="219B9CB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16.2.2承包人违约的责任</w:t>
      </w:r>
    </w:p>
    <w:p w14:paraId="543CA579">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Cs/>
          <w:sz w:val="21"/>
          <w:szCs w:val="21"/>
          <w:highlight w:val="none"/>
        </w:rPr>
        <w:t>承包人违约责任的承担方式和计算方法：</w:t>
      </w:r>
      <w:r>
        <w:rPr>
          <w:rFonts w:hint="eastAsia" w:ascii="宋体" w:hAnsi="宋体" w:eastAsia="宋体" w:cs="宋体"/>
          <w:b/>
          <w:bCs/>
          <w:sz w:val="21"/>
          <w:szCs w:val="21"/>
          <w:highlight w:val="none"/>
          <w:u w:val="single"/>
        </w:rPr>
        <w:t xml:space="preserve">                  。</w:t>
      </w:r>
    </w:p>
    <w:p w14:paraId="39857353">
      <w:pPr>
        <w:pStyle w:val="61"/>
        <w:spacing w:line="360" w:lineRule="auto"/>
        <w:ind w:firstLine="459"/>
        <w:rPr>
          <w:rFonts w:hint="eastAsia" w:ascii="宋体" w:hAnsi="宋体" w:eastAsia="宋体" w:cs="宋体"/>
          <w:b/>
          <w:bCs/>
          <w:sz w:val="21"/>
          <w:szCs w:val="21"/>
          <w:highlight w:val="none"/>
          <w:u w:val="single"/>
        </w:rPr>
      </w:pPr>
      <w:r>
        <w:rPr>
          <w:rFonts w:hint="eastAsia" w:ascii="宋体" w:hAnsi="宋体" w:eastAsia="宋体" w:cs="宋体"/>
          <w:bCs/>
          <w:sz w:val="21"/>
          <w:szCs w:val="21"/>
          <w:highlight w:val="none"/>
        </w:rPr>
        <w:t>关于承包人违约解除合同的特别约定：</w:t>
      </w:r>
      <w:r>
        <w:rPr>
          <w:rFonts w:hint="eastAsia" w:ascii="宋体" w:hAnsi="宋体" w:eastAsia="宋体" w:cs="宋体"/>
          <w:b/>
          <w:bCs/>
          <w:sz w:val="21"/>
          <w:szCs w:val="21"/>
          <w:highlight w:val="none"/>
          <w:u w:val="single"/>
        </w:rPr>
        <w:t xml:space="preserve">        。</w:t>
      </w:r>
    </w:p>
    <w:p w14:paraId="346095A2">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u w:val="single"/>
        </w:rPr>
        <w:t xml:space="preserve">               。</w:t>
      </w:r>
    </w:p>
    <w:p w14:paraId="73E10FD0">
      <w:pPr>
        <w:pStyle w:val="61"/>
        <w:spacing w:line="360" w:lineRule="auto"/>
        <w:rPr>
          <w:rFonts w:hint="eastAsia" w:ascii="宋体" w:hAnsi="宋体" w:eastAsia="宋体" w:cs="宋体"/>
          <w:b/>
          <w:sz w:val="21"/>
          <w:szCs w:val="21"/>
          <w:highlight w:val="none"/>
        </w:rPr>
      </w:pPr>
      <w:bookmarkStart w:id="917" w:name="_Toc351203649"/>
      <w:r>
        <w:rPr>
          <w:rFonts w:hint="eastAsia" w:ascii="宋体" w:hAnsi="宋体" w:eastAsia="宋体" w:cs="宋体"/>
          <w:b/>
          <w:sz w:val="21"/>
          <w:szCs w:val="21"/>
          <w:highlight w:val="none"/>
        </w:rPr>
        <w:t>17. 不可抗力</w:t>
      </w:r>
      <w:bookmarkEnd w:id="915"/>
      <w:bookmarkEnd w:id="917"/>
    </w:p>
    <w:p w14:paraId="0C8A3033">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17.1 不可抗力的确认</w:t>
      </w:r>
    </w:p>
    <w:p w14:paraId="51494FF1">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除通用合同条款约定的不可抗力事件之外，视为不可抗力的其他情形：</w:t>
      </w:r>
      <w:r>
        <w:rPr>
          <w:rFonts w:hint="eastAsia" w:ascii="宋体" w:hAnsi="宋体" w:eastAsia="宋体" w:cs="宋体"/>
          <w:b/>
          <w:bCs/>
          <w:sz w:val="21"/>
          <w:szCs w:val="21"/>
          <w:highlight w:val="none"/>
          <w:u w:val="single"/>
        </w:rPr>
        <w:t>按相关规定执行</w:t>
      </w:r>
      <w:r>
        <w:rPr>
          <w:rFonts w:hint="eastAsia" w:ascii="宋体" w:hAnsi="宋体" w:eastAsia="宋体" w:cs="宋体"/>
          <w:bCs/>
          <w:sz w:val="21"/>
          <w:szCs w:val="21"/>
          <w:highlight w:val="none"/>
        </w:rPr>
        <w:t>。</w:t>
      </w:r>
    </w:p>
    <w:p w14:paraId="2DE04289">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17.4 因不可抗力解除合同</w:t>
      </w:r>
    </w:p>
    <w:p w14:paraId="6B27626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合同解除后，发包人应在商定或确定发包人应支付款项后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天内完成款项的支付。</w:t>
      </w:r>
    </w:p>
    <w:p w14:paraId="1520045B">
      <w:pPr>
        <w:pStyle w:val="61"/>
        <w:spacing w:line="360" w:lineRule="auto"/>
        <w:rPr>
          <w:rFonts w:hint="eastAsia" w:ascii="宋体" w:hAnsi="宋体" w:eastAsia="宋体" w:cs="宋体"/>
          <w:b/>
          <w:sz w:val="21"/>
          <w:szCs w:val="21"/>
          <w:highlight w:val="none"/>
        </w:rPr>
      </w:pPr>
      <w:bookmarkStart w:id="918" w:name="_Toc351203650"/>
      <w:r>
        <w:rPr>
          <w:rFonts w:hint="eastAsia" w:ascii="宋体" w:hAnsi="宋体" w:eastAsia="宋体" w:cs="宋体"/>
          <w:b/>
          <w:sz w:val="21"/>
          <w:szCs w:val="21"/>
          <w:highlight w:val="none"/>
        </w:rPr>
        <w:t>18. 保险</w:t>
      </w:r>
      <w:bookmarkEnd w:id="918"/>
    </w:p>
    <w:bookmarkEnd w:id="916"/>
    <w:p w14:paraId="6FA04AC1">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18.1 工程保险</w:t>
      </w:r>
    </w:p>
    <w:p w14:paraId="385DF4B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关于工程保险的特别约定：</w:t>
      </w:r>
      <w:r>
        <w:rPr>
          <w:rFonts w:hint="eastAsia" w:ascii="宋体" w:hAnsi="宋体" w:eastAsia="宋体" w:cs="宋体"/>
          <w:b/>
          <w:sz w:val="21"/>
          <w:szCs w:val="21"/>
          <w:highlight w:val="none"/>
          <w:u w:val="single"/>
        </w:rPr>
        <w:t>承包人按有关规定办理</w:t>
      </w:r>
      <w:r>
        <w:rPr>
          <w:rFonts w:hint="eastAsia" w:ascii="宋体" w:hAnsi="宋体" w:eastAsia="宋体" w:cs="宋体"/>
          <w:bCs/>
          <w:sz w:val="21"/>
          <w:szCs w:val="21"/>
          <w:highlight w:val="none"/>
        </w:rPr>
        <w:t>。</w:t>
      </w:r>
    </w:p>
    <w:p w14:paraId="1EBF324D">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18.3 其他保险</w:t>
      </w:r>
    </w:p>
    <w:p w14:paraId="0A40036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关于其他保险的约定：</w:t>
      </w:r>
      <w:r>
        <w:rPr>
          <w:rFonts w:hint="eastAsia" w:ascii="宋体" w:hAnsi="宋体" w:eastAsia="宋体" w:cs="宋体"/>
          <w:b/>
          <w:sz w:val="21"/>
          <w:szCs w:val="21"/>
          <w:highlight w:val="none"/>
          <w:u w:val="single"/>
        </w:rPr>
        <w:t>按有关规定办理</w:t>
      </w:r>
      <w:r>
        <w:rPr>
          <w:rFonts w:hint="eastAsia" w:ascii="宋体" w:hAnsi="宋体" w:eastAsia="宋体" w:cs="宋体"/>
          <w:bCs/>
          <w:sz w:val="21"/>
          <w:szCs w:val="21"/>
          <w:highlight w:val="none"/>
        </w:rPr>
        <w:t>。</w:t>
      </w:r>
    </w:p>
    <w:p w14:paraId="1C6F1043">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承包人是否应为其施工设备等办理财产保险：</w:t>
      </w:r>
      <w:r>
        <w:rPr>
          <w:rFonts w:hint="eastAsia" w:ascii="宋体" w:hAnsi="宋体" w:eastAsia="宋体" w:cs="宋体"/>
          <w:b/>
          <w:sz w:val="21"/>
          <w:szCs w:val="21"/>
          <w:highlight w:val="none"/>
          <w:u w:val="single"/>
        </w:rPr>
        <w:t>承包人按有关规定办理</w:t>
      </w:r>
      <w:r>
        <w:rPr>
          <w:rFonts w:hint="eastAsia" w:ascii="宋体" w:hAnsi="宋体" w:eastAsia="宋体" w:cs="宋体"/>
          <w:bCs/>
          <w:sz w:val="21"/>
          <w:szCs w:val="21"/>
          <w:highlight w:val="none"/>
        </w:rPr>
        <w:t>。</w:t>
      </w:r>
    </w:p>
    <w:p w14:paraId="3F4DA7CC">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18.7 通知义务</w:t>
      </w:r>
    </w:p>
    <w:p w14:paraId="778C928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关于变更保险合同时的通知义务的约定：</w:t>
      </w:r>
      <w:r>
        <w:rPr>
          <w:rFonts w:hint="eastAsia" w:ascii="宋体" w:hAnsi="宋体" w:eastAsia="宋体" w:cs="宋体"/>
          <w:b/>
          <w:bCs/>
          <w:sz w:val="21"/>
          <w:szCs w:val="21"/>
          <w:highlight w:val="none"/>
          <w:u w:val="single"/>
        </w:rPr>
        <w:t>按相关规定执行</w:t>
      </w:r>
      <w:r>
        <w:rPr>
          <w:rFonts w:hint="eastAsia" w:ascii="宋体" w:hAnsi="宋体" w:eastAsia="宋体" w:cs="宋体"/>
          <w:bCs/>
          <w:sz w:val="21"/>
          <w:szCs w:val="21"/>
          <w:highlight w:val="none"/>
        </w:rPr>
        <w:t>。</w:t>
      </w:r>
    </w:p>
    <w:bookmarkEnd w:id="892"/>
    <w:bookmarkEnd w:id="893"/>
    <w:bookmarkEnd w:id="894"/>
    <w:bookmarkEnd w:id="895"/>
    <w:bookmarkEnd w:id="896"/>
    <w:bookmarkEnd w:id="897"/>
    <w:bookmarkEnd w:id="898"/>
    <w:bookmarkEnd w:id="899"/>
    <w:bookmarkEnd w:id="900"/>
    <w:bookmarkEnd w:id="901"/>
    <w:bookmarkEnd w:id="902"/>
    <w:bookmarkEnd w:id="903"/>
    <w:p w14:paraId="0E687F34">
      <w:pPr>
        <w:pStyle w:val="61"/>
        <w:spacing w:line="360" w:lineRule="auto"/>
        <w:rPr>
          <w:rFonts w:hint="eastAsia" w:ascii="宋体" w:hAnsi="宋体" w:eastAsia="宋体" w:cs="宋体"/>
          <w:b/>
          <w:sz w:val="21"/>
          <w:szCs w:val="21"/>
          <w:highlight w:val="none"/>
        </w:rPr>
      </w:pPr>
      <w:bookmarkStart w:id="919" w:name="_Toc351203651"/>
      <w:r>
        <w:rPr>
          <w:rFonts w:hint="eastAsia" w:ascii="宋体" w:hAnsi="宋体" w:eastAsia="宋体" w:cs="宋体"/>
          <w:b/>
          <w:sz w:val="21"/>
          <w:szCs w:val="21"/>
          <w:highlight w:val="none"/>
        </w:rPr>
        <w:t>20. 争议解决</w:t>
      </w:r>
      <w:bookmarkEnd w:id="919"/>
    </w:p>
    <w:bookmarkEnd w:id="904"/>
    <w:bookmarkEnd w:id="905"/>
    <w:p w14:paraId="1EF5144C">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20.3 争</w:t>
      </w:r>
      <w:bookmarkEnd w:id="906"/>
      <w:r>
        <w:rPr>
          <w:rFonts w:hint="eastAsia" w:ascii="宋体" w:hAnsi="宋体" w:eastAsia="宋体" w:cs="宋体"/>
          <w:b/>
          <w:bCs/>
          <w:sz w:val="21"/>
          <w:szCs w:val="21"/>
          <w:highlight w:val="none"/>
        </w:rPr>
        <w:t>议评审</w:t>
      </w:r>
    </w:p>
    <w:p w14:paraId="46198DE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合同当事人是否同意将工程争议提交争议评审小组决定</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 xml:space="preserve">  </w:t>
      </w:r>
    </w:p>
    <w:p w14:paraId="169729B4">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20.3.1 争议评审小组的确定</w:t>
      </w:r>
    </w:p>
    <w:p w14:paraId="14967AE8">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争议评审小组成员的确定：</w:t>
      </w:r>
      <w:r>
        <w:rPr>
          <w:rFonts w:hint="eastAsia" w:ascii="宋体" w:hAnsi="宋体" w:eastAsia="宋体" w:cs="宋体"/>
          <w:b/>
          <w:bCs/>
          <w:sz w:val="21"/>
          <w:szCs w:val="21"/>
          <w:highlight w:val="none"/>
          <w:u w:val="single"/>
        </w:rPr>
        <w:t>按相关规定执行</w:t>
      </w:r>
      <w:r>
        <w:rPr>
          <w:rFonts w:hint="eastAsia" w:ascii="宋体" w:hAnsi="宋体" w:eastAsia="宋体" w:cs="宋体"/>
          <w:bCs/>
          <w:sz w:val="21"/>
          <w:szCs w:val="21"/>
          <w:highlight w:val="none"/>
        </w:rPr>
        <w:t>。</w:t>
      </w:r>
    </w:p>
    <w:p w14:paraId="0533B62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选定争议评审员的期限：</w:t>
      </w:r>
      <w:r>
        <w:rPr>
          <w:rFonts w:hint="eastAsia" w:ascii="宋体" w:hAnsi="宋体" w:eastAsia="宋体" w:cs="宋体"/>
          <w:b/>
          <w:bCs/>
          <w:sz w:val="21"/>
          <w:szCs w:val="21"/>
          <w:highlight w:val="none"/>
          <w:u w:val="single"/>
        </w:rPr>
        <w:t>按相关规定执行</w:t>
      </w:r>
      <w:r>
        <w:rPr>
          <w:rFonts w:hint="eastAsia" w:ascii="宋体" w:hAnsi="宋体" w:eastAsia="宋体" w:cs="宋体"/>
          <w:bCs/>
          <w:sz w:val="21"/>
          <w:szCs w:val="21"/>
          <w:highlight w:val="none"/>
        </w:rPr>
        <w:t>。</w:t>
      </w:r>
    </w:p>
    <w:p w14:paraId="50C26D4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争议评审小组成员的报酬承担方式：</w:t>
      </w:r>
      <w:r>
        <w:rPr>
          <w:rFonts w:hint="eastAsia" w:ascii="宋体" w:hAnsi="宋体" w:eastAsia="宋体" w:cs="宋体"/>
          <w:b/>
          <w:bCs/>
          <w:sz w:val="21"/>
          <w:szCs w:val="21"/>
          <w:highlight w:val="none"/>
          <w:u w:val="single"/>
        </w:rPr>
        <w:t>由责任方承担</w:t>
      </w:r>
      <w:r>
        <w:rPr>
          <w:rFonts w:hint="eastAsia" w:ascii="宋体" w:hAnsi="宋体" w:eastAsia="宋体" w:cs="宋体"/>
          <w:bCs/>
          <w:sz w:val="21"/>
          <w:szCs w:val="21"/>
          <w:highlight w:val="none"/>
        </w:rPr>
        <w:t>。</w:t>
      </w:r>
    </w:p>
    <w:p w14:paraId="0B1C8A10">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其他事项的约定：</w:t>
      </w:r>
      <w:r>
        <w:rPr>
          <w:rFonts w:hint="eastAsia" w:ascii="宋体" w:hAnsi="宋体" w:eastAsia="宋体" w:cs="宋体"/>
          <w:b/>
          <w:bCs/>
          <w:sz w:val="21"/>
          <w:szCs w:val="21"/>
          <w:highlight w:val="none"/>
          <w:u w:val="single"/>
        </w:rPr>
        <w:t>无</w:t>
      </w:r>
      <w:r>
        <w:rPr>
          <w:rFonts w:hint="eastAsia" w:ascii="宋体" w:hAnsi="宋体" w:eastAsia="宋体" w:cs="宋体"/>
          <w:bCs/>
          <w:sz w:val="21"/>
          <w:szCs w:val="21"/>
          <w:highlight w:val="none"/>
        </w:rPr>
        <w:t>。</w:t>
      </w:r>
    </w:p>
    <w:p w14:paraId="08B02D8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20.3.2 争议评审小组的决定</w:t>
      </w:r>
    </w:p>
    <w:p w14:paraId="25DC6EEB">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合同当事人关于</w:t>
      </w:r>
      <w:r>
        <w:rPr>
          <w:rFonts w:hint="eastAsia" w:ascii="宋体" w:hAnsi="宋体" w:cs="宋体"/>
          <w:bCs/>
          <w:sz w:val="21"/>
          <w:szCs w:val="21"/>
          <w:highlight w:val="none"/>
          <w:lang w:eastAsia="zh-CN"/>
        </w:rPr>
        <w:t>本事</w:t>
      </w:r>
      <w:r>
        <w:rPr>
          <w:rFonts w:hint="eastAsia" w:ascii="宋体" w:hAnsi="宋体" w:eastAsia="宋体" w:cs="宋体"/>
          <w:bCs/>
          <w:sz w:val="21"/>
          <w:szCs w:val="21"/>
          <w:highlight w:val="none"/>
        </w:rPr>
        <w:t>项的约定：</w:t>
      </w:r>
      <w:r>
        <w:rPr>
          <w:rFonts w:hint="eastAsia" w:ascii="宋体" w:hAnsi="宋体" w:eastAsia="宋体" w:cs="宋体"/>
          <w:b/>
          <w:bCs/>
          <w:sz w:val="21"/>
          <w:szCs w:val="21"/>
          <w:highlight w:val="none"/>
          <w:u w:val="single"/>
        </w:rPr>
        <w:t>双方当事人协商</w:t>
      </w:r>
      <w:r>
        <w:rPr>
          <w:rFonts w:hint="eastAsia" w:ascii="宋体" w:hAnsi="宋体" w:eastAsia="宋体" w:cs="宋体"/>
          <w:bCs/>
          <w:sz w:val="21"/>
          <w:szCs w:val="21"/>
          <w:highlight w:val="none"/>
        </w:rPr>
        <w:t>。</w:t>
      </w:r>
    </w:p>
    <w:p w14:paraId="00E7C676">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20.4仲裁或诉讼</w:t>
      </w:r>
      <w:bookmarkEnd w:id="907"/>
    </w:p>
    <w:p w14:paraId="60FC8545">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因合同及合同有关事项发生的争议，按下列第（2）种方式解决：</w:t>
      </w:r>
    </w:p>
    <w:p w14:paraId="02924A6C">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（1）向</w:t>
      </w:r>
      <w:r>
        <w:rPr>
          <w:rFonts w:hint="eastAsia" w:ascii="宋体" w:hAnsi="宋体" w:eastAsia="宋体" w:cs="宋体"/>
          <w:bCs/>
          <w:sz w:val="21"/>
          <w:szCs w:val="21"/>
          <w:highlight w:val="none"/>
          <w:u w:val="single"/>
        </w:rPr>
        <w:t>无</w:t>
      </w:r>
      <w:r>
        <w:rPr>
          <w:rFonts w:hint="eastAsia" w:ascii="宋体" w:hAnsi="宋体" w:eastAsia="宋体" w:cs="宋体"/>
          <w:bCs/>
          <w:sz w:val="21"/>
          <w:szCs w:val="21"/>
          <w:highlight w:val="none"/>
        </w:rPr>
        <w:t>仲裁委员会申请仲裁；</w:t>
      </w:r>
    </w:p>
    <w:p w14:paraId="0061308A">
      <w:pPr>
        <w:pStyle w:val="61"/>
        <w:spacing w:line="360" w:lineRule="auto"/>
        <w:ind w:firstLine="459"/>
        <w:rPr>
          <w:rFonts w:hint="eastAsia" w:ascii="宋体" w:hAnsi="宋体" w:eastAsia="宋体" w:cs="宋体"/>
          <w:bCs/>
          <w:sz w:val="21"/>
          <w:szCs w:val="21"/>
          <w:highlight w:val="none"/>
        </w:rPr>
      </w:pPr>
      <w:r>
        <w:rPr>
          <w:rFonts w:hint="eastAsia" w:ascii="宋体" w:hAnsi="宋体" w:eastAsia="宋体" w:cs="宋体"/>
          <w:bCs/>
          <w:sz w:val="21"/>
          <w:szCs w:val="21"/>
          <w:highlight w:val="none"/>
        </w:rPr>
        <w:t>（2）向</w:t>
      </w:r>
      <w:r>
        <w:rPr>
          <w:rFonts w:hint="eastAsia" w:ascii="宋体" w:hAnsi="宋体" w:eastAsia="宋体" w:cs="宋体"/>
          <w:sz w:val="21"/>
          <w:szCs w:val="21"/>
          <w:highlight w:val="none"/>
        </w:rPr>
        <w:t>项目所在地</w:t>
      </w:r>
      <w:r>
        <w:rPr>
          <w:rFonts w:hint="eastAsia" w:ascii="宋体" w:hAnsi="宋体" w:eastAsia="宋体" w:cs="宋体"/>
          <w:bCs/>
          <w:sz w:val="21"/>
          <w:szCs w:val="21"/>
          <w:highlight w:val="none"/>
        </w:rPr>
        <w:t>人民法院起诉。</w:t>
      </w:r>
      <w:bookmarkEnd w:id="908"/>
      <w:bookmarkEnd w:id="909"/>
      <w:bookmarkEnd w:id="910"/>
      <w:bookmarkEnd w:id="911"/>
      <w:bookmarkEnd w:id="912"/>
      <w:bookmarkEnd w:id="913"/>
    </w:p>
    <w:p w14:paraId="20F25B50">
      <w:pPr>
        <w:pStyle w:val="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21. 补充条款</w:t>
      </w:r>
    </w:p>
    <w:p w14:paraId="6AFD3A91">
      <w:pPr>
        <w:pStyle w:val="61"/>
        <w:spacing w:line="360" w:lineRule="auto"/>
        <w:ind w:firstLine="459"/>
        <w:rPr>
          <w:rFonts w:hint="eastAsia" w:ascii="宋体" w:hAnsi="宋体" w:eastAsia="宋体" w:cs="宋体"/>
          <w:highlight w:val="none"/>
        </w:rPr>
      </w:pPr>
      <w:r>
        <w:rPr>
          <w:rFonts w:hint="eastAsia" w:ascii="宋体" w:hAnsi="宋体" w:eastAsia="宋体" w:cs="宋体"/>
          <w:b/>
          <w:bCs/>
          <w:sz w:val="21"/>
          <w:szCs w:val="21"/>
          <w:highlight w:val="none"/>
          <w:u w:val="single"/>
        </w:rPr>
        <w:t xml:space="preserve">                                             </w:t>
      </w:r>
      <w:bookmarkStart w:id="920" w:name="_Toc5377_WPSOffice_Level1"/>
      <w:bookmarkStart w:id="921" w:name="_Toc10115_WPSOffice_Level1"/>
      <w:bookmarkStart w:id="922" w:name="_Toc300835206"/>
      <w:bookmarkStart w:id="923" w:name="_Toc14322"/>
      <w:r>
        <w:rPr>
          <w:rFonts w:hint="eastAsia" w:ascii="宋体" w:hAnsi="宋体" w:eastAsia="宋体" w:cs="宋体"/>
          <w:highlight w:val="none"/>
        </w:rPr>
        <w:br w:type="page"/>
      </w:r>
    </w:p>
    <w:p w14:paraId="0F4AD94A">
      <w:pPr>
        <w:rPr>
          <w:rFonts w:hint="eastAsia" w:ascii="宋体" w:hAnsi="宋体" w:eastAsia="宋体" w:cs="宋体"/>
          <w:highlight w:val="none"/>
        </w:rPr>
      </w:pPr>
    </w:p>
    <w:p w14:paraId="0FDD25FF">
      <w:pPr>
        <w:pStyle w:val="2"/>
        <w:bidi w:val="0"/>
        <w:rPr>
          <w:rFonts w:hint="eastAsia" w:ascii="宋体" w:hAnsi="宋体" w:eastAsia="宋体" w:cs="宋体"/>
          <w:highlight w:val="none"/>
          <w:lang w:val="en-US" w:eastAsia="zh-CN"/>
        </w:rPr>
      </w:pPr>
      <w:r>
        <w:rPr>
          <w:rFonts w:hint="eastAsia" w:ascii="宋体" w:hAnsi="宋体" w:eastAsia="宋体" w:cs="宋体"/>
          <w:highlight w:val="none"/>
        </w:rPr>
        <w:t>第</w:t>
      </w:r>
      <w:r>
        <w:rPr>
          <w:rFonts w:hint="eastAsia" w:ascii="宋体" w:hAnsi="宋体" w:eastAsia="宋体" w:cs="宋体"/>
          <w:highlight w:val="none"/>
          <w:lang w:val="en-US" w:eastAsia="zh-CN"/>
        </w:rPr>
        <w:t>五</w:t>
      </w:r>
      <w:r>
        <w:rPr>
          <w:rFonts w:hint="eastAsia" w:ascii="宋体" w:hAnsi="宋体" w:eastAsia="宋体" w:cs="宋体"/>
          <w:highlight w:val="none"/>
        </w:rPr>
        <w:t xml:space="preserve">章  </w:t>
      </w:r>
      <w:bookmarkEnd w:id="920"/>
      <w:bookmarkEnd w:id="921"/>
      <w:bookmarkEnd w:id="922"/>
      <w:r>
        <w:rPr>
          <w:rFonts w:hint="eastAsia" w:ascii="宋体" w:hAnsi="宋体" w:eastAsia="宋体" w:cs="宋体"/>
          <w:highlight w:val="none"/>
        </w:rPr>
        <w:t>技术标准</w:t>
      </w:r>
      <w:r>
        <w:rPr>
          <w:rFonts w:hint="eastAsia" w:ascii="宋体" w:hAnsi="宋体" w:eastAsia="宋体" w:cs="宋体"/>
          <w:highlight w:val="none"/>
          <w:lang w:val="en-US" w:eastAsia="zh-CN"/>
        </w:rPr>
        <w:t>及要求</w:t>
      </w:r>
      <w:bookmarkEnd w:id="923"/>
    </w:p>
    <w:p w14:paraId="74D5B05B">
      <w:pPr>
        <w:pStyle w:val="43"/>
        <w:ind w:firstLine="0"/>
        <w:rPr>
          <w:rFonts w:hint="eastAsia" w:ascii="宋体" w:hAnsi="宋体" w:eastAsia="宋体" w:cs="宋体"/>
          <w:b w:val="0"/>
          <w:bCs w:val="0"/>
          <w:color w:val="auto"/>
          <w:sz w:val="21"/>
          <w:szCs w:val="21"/>
          <w:highlight w:val="none"/>
        </w:rPr>
      </w:pPr>
    </w:p>
    <w:p w14:paraId="3C6022E1">
      <w:pPr>
        <w:spacing w:line="360" w:lineRule="auto"/>
        <w:ind w:firstLine="632" w:firstLineChars="301"/>
        <w:rPr>
          <w:rFonts w:hint="eastAsia" w:ascii="宋体" w:hAnsi="宋体" w:eastAsia="宋体" w:cs="宋体"/>
          <w:b w:val="0"/>
          <w:bCs w:val="0"/>
          <w:color w:val="auto"/>
          <w:highlight w:val="none"/>
        </w:rPr>
      </w:pPr>
      <w:r>
        <w:rPr>
          <w:rFonts w:hint="eastAsia" w:ascii="宋体" w:hAnsi="宋体" w:eastAsia="宋体" w:cs="宋体"/>
          <w:b w:val="0"/>
          <w:bCs w:val="0"/>
          <w:color w:val="auto"/>
          <w:sz w:val="21"/>
          <w:szCs w:val="21"/>
          <w:highlight w:val="none"/>
        </w:rPr>
        <w:t>本招标</w:t>
      </w:r>
      <w:r>
        <w:rPr>
          <w:rFonts w:hint="eastAsia" w:ascii="宋体" w:hAnsi="宋体" w:cs="宋体"/>
          <w:b w:val="0"/>
          <w:bCs w:val="0"/>
          <w:color w:val="auto"/>
          <w:sz w:val="21"/>
          <w:szCs w:val="21"/>
          <w:highlight w:val="none"/>
          <w:lang w:val="en-US" w:eastAsia="zh-CN"/>
        </w:rPr>
        <w:t>项目</w:t>
      </w:r>
      <w:r>
        <w:rPr>
          <w:rFonts w:hint="eastAsia" w:ascii="宋体" w:hAnsi="宋体" w:eastAsia="宋体" w:cs="宋体"/>
          <w:b w:val="0"/>
          <w:bCs w:val="0"/>
          <w:color w:val="auto"/>
          <w:sz w:val="21"/>
          <w:szCs w:val="21"/>
          <w:highlight w:val="none"/>
        </w:rPr>
        <w:t>的施工必须达到现行国家、行业的标准规范以及省、州、县的相关现行规定执行。</w:t>
      </w:r>
    </w:p>
    <w:p w14:paraId="451AAFCF">
      <w:pPr>
        <w:pStyle w:val="10"/>
        <w:ind w:firstLine="360"/>
        <w:rPr>
          <w:rFonts w:hint="eastAsia" w:ascii="宋体" w:hAnsi="宋体" w:eastAsia="宋体" w:cs="宋体"/>
          <w:b w:val="0"/>
          <w:bCs w:val="0"/>
          <w:color w:val="auto"/>
          <w:highlight w:val="none"/>
          <w:lang w:bidi="ar-SA"/>
        </w:rPr>
      </w:pPr>
    </w:p>
    <w:p w14:paraId="21922322">
      <w:pPr>
        <w:pStyle w:val="10"/>
        <w:ind w:firstLine="360"/>
        <w:rPr>
          <w:rFonts w:hint="eastAsia" w:ascii="宋体" w:hAnsi="宋体" w:eastAsia="宋体" w:cs="宋体"/>
          <w:b w:val="0"/>
          <w:bCs w:val="0"/>
          <w:color w:val="auto"/>
          <w:highlight w:val="none"/>
          <w:lang w:bidi="ar-SA"/>
        </w:rPr>
      </w:pPr>
    </w:p>
    <w:p w14:paraId="5FFBE6D1">
      <w:pPr>
        <w:pStyle w:val="10"/>
        <w:ind w:firstLine="360"/>
        <w:rPr>
          <w:rFonts w:hint="eastAsia" w:ascii="宋体" w:hAnsi="宋体" w:eastAsia="宋体" w:cs="宋体"/>
          <w:b w:val="0"/>
          <w:bCs w:val="0"/>
          <w:color w:val="auto"/>
          <w:highlight w:val="none"/>
          <w:lang w:bidi="ar-SA"/>
        </w:rPr>
      </w:pPr>
    </w:p>
    <w:p w14:paraId="3D8118D1">
      <w:pPr>
        <w:pStyle w:val="10"/>
        <w:ind w:firstLine="360"/>
        <w:rPr>
          <w:rFonts w:hint="eastAsia" w:ascii="宋体" w:hAnsi="宋体" w:eastAsia="宋体" w:cs="宋体"/>
          <w:b w:val="0"/>
          <w:bCs w:val="0"/>
          <w:color w:val="auto"/>
          <w:highlight w:val="none"/>
          <w:lang w:bidi="ar-SA"/>
        </w:rPr>
      </w:pPr>
    </w:p>
    <w:p w14:paraId="627EE4A6">
      <w:pPr>
        <w:pStyle w:val="10"/>
        <w:ind w:firstLine="360"/>
        <w:rPr>
          <w:rFonts w:hint="eastAsia" w:ascii="宋体" w:hAnsi="宋体" w:eastAsia="宋体" w:cs="宋体"/>
          <w:b w:val="0"/>
          <w:bCs w:val="0"/>
          <w:color w:val="auto"/>
          <w:highlight w:val="none"/>
          <w:lang w:bidi="ar-SA"/>
        </w:rPr>
      </w:pPr>
    </w:p>
    <w:p w14:paraId="67438A78">
      <w:pPr>
        <w:pStyle w:val="10"/>
        <w:ind w:firstLine="360"/>
        <w:rPr>
          <w:rFonts w:hint="eastAsia" w:ascii="宋体" w:hAnsi="宋体" w:eastAsia="宋体" w:cs="宋体"/>
          <w:b w:val="0"/>
          <w:bCs w:val="0"/>
          <w:color w:val="auto"/>
          <w:highlight w:val="none"/>
          <w:lang w:bidi="ar-SA"/>
        </w:rPr>
      </w:pPr>
    </w:p>
    <w:p w14:paraId="542D1449">
      <w:pPr>
        <w:pStyle w:val="10"/>
        <w:ind w:firstLine="360"/>
        <w:rPr>
          <w:rFonts w:hint="eastAsia" w:ascii="宋体" w:hAnsi="宋体" w:eastAsia="宋体" w:cs="宋体"/>
          <w:b w:val="0"/>
          <w:bCs w:val="0"/>
          <w:color w:val="auto"/>
          <w:highlight w:val="none"/>
          <w:lang w:bidi="ar-SA"/>
        </w:rPr>
      </w:pPr>
    </w:p>
    <w:p w14:paraId="0F83D890">
      <w:pPr>
        <w:pStyle w:val="10"/>
        <w:ind w:firstLine="360"/>
        <w:rPr>
          <w:rFonts w:hint="eastAsia" w:ascii="宋体" w:hAnsi="宋体" w:eastAsia="宋体" w:cs="宋体"/>
          <w:b w:val="0"/>
          <w:bCs w:val="0"/>
          <w:color w:val="auto"/>
          <w:highlight w:val="none"/>
          <w:lang w:bidi="ar-SA"/>
        </w:rPr>
      </w:pPr>
    </w:p>
    <w:p w14:paraId="7FAD8D26">
      <w:pPr>
        <w:pStyle w:val="10"/>
        <w:ind w:firstLine="360"/>
        <w:rPr>
          <w:rFonts w:hint="eastAsia" w:ascii="宋体" w:hAnsi="宋体" w:eastAsia="宋体" w:cs="宋体"/>
          <w:b w:val="0"/>
          <w:bCs w:val="0"/>
          <w:color w:val="auto"/>
          <w:highlight w:val="none"/>
          <w:lang w:bidi="ar-SA"/>
        </w:rPr>
      </w:pPr>
    </w:p>
    <w:p w14:paraId="7DC7D9AE">
      <w:pPr>
        <w:pStyle w:val="10"/>
        <w:ind w:firstLine="360"/>
        <w:rPr>
          <w:rFonts w:hint="eastAsia" w:ascii="宋体" w:hAnsi="宋体" w:eastAsia="宋体" w:cs="宋体"/>
          <w:b w:val="0"/>
          <w:bCs w:val="0"/>
          <w:color w:val="auto"/>
          <w:highlight w:val="none"/>
          <w:lang w:bidi="ar-SA"/>
        </w:rPr>
      </w:pPr>
    </w:p>
    <w:p w14:paraId="1261DC66">
      <w:pPr>
        <w:pStyle w:val="10"/>
        <w:ind w:firstLine="360"/>
        <w:rPr>
          <w:rFonts w:hint="eastAsia" w:ascii="宋体" w:hAnsi="宋体" w:eastAsia="宋体" w:cs="宋体"/>
          <w:b w:val="0"/>
          <w:bCs w:val="0"/>
          <w:color w:val="auto"/>
          <w:highlight w:val="none"/>
          <w:lang w:bidi="ar-SA"/>
        </w:rPr>
      </w:pPr>
    </w:p>
    <w:p w14:paraId="4DE18589">
      <w:pPr>
        <w:pStyle w:val="10"/>
        <w:ind w:firstLine="360"/>
        <w:rPr>
          <w:rFonts w:hint="eastAsia" w:ascii="宋体" w:hAnsi="宋体" w:eastAsia="宋体" w:cs="宋体"/>
          <w:b w:val="0"/>
          <w:bCs w:val="0"/>
          <w:color w:val="auto"/>
          <w:highlight w:val="none"/>
          <w:lang w:bidi="ar-SA"/>
        </w:rPr>
      </w:pPr>
    </w:p>
    <w:p w14:paraId="3E173178">
      <w:pPr>
        <w:pStyle w:val="10"/>
        <w:ind w:firstLine="360"/>
        <w:rPr>
          <w:rFonts w:hint="eastAsia" w:ascii="宋体" w:hAnsi="宋体" w:eastAsia="宋体" w:cs="宋体"/>
          <w:b w:val="0"/>
          <w:bCs w:val="0"/>
          <w:color w:val="auto"/>
          <w:highlight w:val="none"/>
          <w:lang w:bidi="ar-SA"/>
        </w:rPr>
      </w:pPr>
    </w:p>
    <w:p w14:paraId="1033A9C2">
      <w:pPr>
        <w:pStyle w:val="10"/>
        <w:ind w:firstLine="360"/>
        <w:rPr>
          <w:rFonts w:hint="eastAsia" w:ascii="宋体" w:hAnsi="宋体" w:eastAsia="宋体" w:cs="宋体"/>
          <w:b w:val="0"/>
          <w:bCs w:val="0"/>
          <w:color w:val="auto"/>
          <w:highlight w:val="none"/>
          <w:lang w:bidi="ar-SA"/>
        </w:rPr>
      </w:pPr>
    </w:p>
    <w:p w14:paraId="4526BF7D">
      <w:pPr>
        <w:pStyle w:val="10"/>
        <w:ind w:firstLine="360"/>
        <w:rPr>
          <w:rFonts w:hint="eastAsia" w:ascii="宋体" w:hAnsi="宋体" w:eastAsia="宋体" w:cs="宋体"/>
          <w:b w:val="0"/>
          <w:bCs w:val="0"/>
          <w:color w:val="auto"/>
          <w:highlight w:val="none"/>
          <w:lang w:bidi="ar-SA"/>
        </w:rPr>
      </w:pPr>
    </w:p>
    <w:p w14:paraId="6A564270">
      <w:pPr>
        <w:pStyle w:val="10"/>
        <w:ind w:firstLine="360"/>
        <w:rPr>
          <w:rFonts w:hint="eastAsia" w:ascii="宋体" w:hAnsi="宋体" w:eastAsia="宋体" w:cs="宋体"/>
          <w:b w:val="0"/>
          <w:bCs w:val="0"/>
          <w:color w:val="auto"/>
          <w:highlight w:val="none"/>
          <w:lang w:bidi="ar-SA"/>
        </w:rPr>
      </w:pPr>
    </w:p>
    <w:p w14:paraId="4FD31C2E">
      <w:pPr>
        <w:pStyle w:val="10"/>
        <w:ind w:firstLine="360"/>
        <w:rPr>
          <w:rFonts w:hint="eastAsia" w:ascii="宋体" w:hAnsi="宋体" w:eastAsia="宋体" w:cs="宋体"/>
          <w:b w:val="0"/>
          <w:bCs w:val="0"/>
          <w:color w:val="auto"/>
          <w:highlight w:val="none"/>
          <w:lang w:bidi="ar-SA"/>
        </w:rPr>
      </w:pPr>
    </w:p>
    <w:p w14:paraId="7DB8A953">
      <w:pPr>
        <w:pStyle w:val="10"/>
        <w:ind w:firstLine="360"/>
        <w:rPr>
          <w:rFonts w:hint="eastAsia" w:ascii="宋体" w:hAnsi="宋体" w:eastAsia="宋体" w:cs="宋体"/>
          <w:b w:val="0"/>
          <w:bCs w:val="0"/>
          <w:color w:val="auto"/>
          <w:highlight w:val="none"/>
          <w:lang w:bidi="ar-SA"/>
        </w:rPr>
      </w:pPr>
    </w:p>
    <w:p w14:paraId="6161F0BC">
      <w:pPr>
        <w:pStyle w:val="10"/>
        <w:ind w:firstLine="360"/>
        <w:rPr>
          <w:rFonts w:hint="eastAsia" w:ascii="宋体" w:hAnsi="宋体" w:eastAsia="宋体" w:cs="宋体"/>
          <w:b w:val="0"/>
          <w:bCs w:val="0"/>
          <w:color w:val="auto"/>
          <w:highlight w:val="none"/>
          <w:lang w:bidi="ar-SA"/>
        </w:rPr>
      </w:pPr>
    </w:p>
    <w:p w14:paraId="7741AFF0">
      <w:pPr>
        <w:pStyle w:val="10"/>
        <w:ind w:firstLine="360"/>
        <w:rPr>
          <w:rFonts w:hint="eastAsia" w:ascii="宋体" w:hAnsi="宋体" w:eastAsia="宋体" w:cs="宋体"/>
          <w:b w:val="0"/>
          <w:bCs w:val="0"/>
          <w:color w:val="auto"/>
          <w:highlight w:val="none"/>
          <w:lang w:bidi="ar-SA"/>
        </w:rPr>
      </w:pPr>
    </w:p>
    <w:p w14:paraId="1371BACC">
      <w:pPr>
        <w:pStyle w:val="10"/>
        <w:ind w:firstLine="360"/>
        <w:rPr>
          <w:rFonts w:hint="eastAsia" w:ascii="宋体" w:hAnsi="宋体" w:eastAsia="宋体" w:cs="宋体"/>
          <w:b w:val="0"/>
          <w:bCs w:val="0"/>
          <w:color w:val="auto"/>
          <w:highlight w:val="none"/>
          <w:lang w:bidi="ar-SA"/>
        </w:rPr>
      </w:pPr>
    </w:p>
    <w:p w14:paraId="1B725E88">
      <w:pPr>
        <w:rPr>
          <w:rFonts w:hint="eastAsia" w:ascii="宋体" w:hAnsi="宋体" w:eastAsia="宋体" w:cs="宋体"/>
          <w:b w:val="0"/>
          <w:bCs w:val="0"/>
          <w:color w:val="auto"/>
          <w:kern w:val="32"/>
          <w:sz w:val="28"/>
          <w:szCs w:val="28"/>
          <w:highlight w:val="none"/>
          <w:lang w:bidi="en-US"/>
        </w:rPr>
      </w:pPr>
      <w:bookmarkStart w:id="924" w:name="_Toc4043_WPSOffice_Level1"/>
      <w:bookmarkStart w:id="925" w:name="_Toc9497_WPSOffice_Level1"/>
      <w:r>
        <w:rPr>
          <w:rFonts w:hint="eastAsia" w:ascii="宋体" w:hAnsi="宋体" w:eastAsia="宋体" w:cs="宋体"/>
          <w:b w:val="0"/>
          <w:bCs w:val="0"/>
          <w:color w:val="auto"/>
          <w:kern w:val="32"/>
          <w:sz w:val="28"/>
          <w:szCs w:val="28"/>
          <w:highlight w:val="none"/>
          <w:lang w:bidi="en-US"/>
        </w:rPr>
        <w:br w:type="page"/>
      </w:r>
    </w:p>
    <w:p w14:paraId="3B791A74">
      <w:pPr>
        <w:pStyle w:val="2"/>
        <w:bidi w:val="0"/>
        <w:rPr>
          <w:rStyle w:val="44"/>
          <w:rFonts w:hint="eastAsia" w:ascii="宋体" w:hAnsi="宋体" w:eastAsia="宋体" w:cs="宋体"/>
          <w:b/>
          <w:bCs/>
          <w:color w:val="auto"/>
          <w:sz w:val="36"/>
          <w:szCs w:val="36"/>
          <w:highlight w:val="none"/>
          <w:u w:val="single"/>
        </w:rPr>
      </w:pPr>
      <w:bookmarkStart w:id="926" w:name="_Toc18898"/>
      <w:r>
        <w:rPr>
          <w:rFonts w:hint="eastAsia" w:ascii="宋体" w:hAnsi="宋体" w:eastAsia="宋体" w:cs="宋体"/>
          <w:highlight w:val="none"/>
        </w:rPr>
        <w:t>第</w:t>
      </w:r>
      <w:r>
        <w:rPr>
          <w:rFonts w:hint="eastAsia" w:ascii="宋体" w:hAnsi="宋体" w:eastAsia="宋体" w:cs="宋体"/>
          <w:highlight w:val="none"/>
          <w:lang w:val="en-US" w:eastAsia="zh-CN"/>
        </w:rPr>
        <w:t>六</w:t>
      </w:r>
      <w:r>
        <w:rPr>
          <w:rFonts w:hint="eastAsia" w:ascii="宋体" w:hAnsi="宋体" w:eastAsia="宋体" w:cs="宋体"/>
          <w:highlight w:val="none"/>
        </w:rPr>
        <w:t xml:space="preserve">章  </w:t>
      </w:r>
      <w:bookmarkStart w:id="927" w:name="_Ref319050087"/>
      <w:bookmarkStart w:id="928" w:name="_Ref318967872"/>
      <w:bookmarkStart w:id="929" w:name="_Ref318969888"/>
      <w:bookmarkStart w:id="930" w:name="_Toc1261"/>
      <w:bookmarkStart w:id="931" w:name="_Ref318968019"/>
      <w:r>
        <w:rPr>
          <w:rFonts w:hint="eastAsia" w:ascii="宋体" w:hAnsi="宋体" w:eastAsia="宋体" w:cs="宋体"/>
          <w:highlight w:val="none"/>
        </w:rPr>
        <w:t>投标文件格式</w:t>
      </w:r>
      <w:bookmarkEnd w:id="924"/>
      <w:bookmarkEnd w:id="925"/>
      <w:bookmarkEnd w:id="926"/>
      <w:bookmarkEnd w:id="927"/>
      <w:bookmarkEnd w:id="928"/>
      <w:bookmarkEnd w:id="929"/>
      <w:bookmarkEnd w:id="930"/>
      <w:bookmarkEnd w:id="931"/>
    </w:p>
    <w:p w14:paraId="5A7ABAB3">
      <w:pPr>
        <w:pStyle w:val="8"/>
        <w:jc w:val="center"/>
        <w:rPr>
          <w:rFonts w:hint="eastAsia" w:ascii="宋体" w:hAnsi="宋体" w:eastAsia="宋体" w:cs="宋体"/>
          <w:b/>
          <w:snapToGrid w:val="0"/>
          <w:kern w:val="0"/>
          <w:sz w:val="40"/>
          <w:szCs w:val="40"/>
          <w:highlight w:val="none"/>
          <w:lang w:val="en-US" w:eastAsia="zh-CN"/>
        </w:rPr>
      </w:pPr>
    </w:p>
    <w:p w14:paraId="507E1809">
      <w:pPr>
        <w:pStyle w:val="8"/>
        <w:jc w:val="center"/>
        <w:rPr>
          <w:rFonts w:hint="eastAsia" w:ascii="宋体" w:hAnsi="宋体" w:eastAsia="宋体" w:cs="宋体"/>
          <w:b/>
          <w:snapToGrid w:val="0"/>
          <w:kern w:val="0"/>
          <w:sz w:val="40"/>
          <w:szCs w:val="40"/>
          <w:highlight w:val="none"/>
          <w:lang w:val="en-US" w:eastAsia="zh-CN"/>
        </w:rPr>
      </w:pPr>
      <w:r>
        <w:rPr>
          <w:rFonts w:hint="eastAsia" w:ascii="宋体" w:hAnsi="宋体" w:eastAsia="宋体" w:cs="宋体"/>
          <w:b/>
          <w:snapToGrid w:val="0"/>
          <w:kern w:val="0"/>
          <w:sz w:val="40"/>
          <w:szCs w:val="40"/>
          <w:highlight w:val="none"/>
          <w:lang w:val="en-US" w:eastAsia="zh-CN"/>
        </w:rPr>
        <w:t>（</w:t>
      </w:r>
      <w:r>
        <w:rPr>
          <w:rFonts w:hint="eastAsia" w:ascii="宋体" w:hAnsi="宋体" w:cs="宋体"/>
          <w:b/>
          <w:snapToGrid w:val="0"/>
          <w:kern w:val="0"/>
          <w:sz w:val="40"/>
          <w:szCs w:val="40"/>
          <w:highlight w:val="none"/>
          <w:lang w:val="en-US" w:eastAsia="zh-CN"/>
        </w:rPr>
        <w:t>项目名称</w:t>
      </w:r>
      <w:r>
        <w:rPr>
          <w:rFonts w:hint="eastAsia" w:ascii="宋体" w:hAnsi="宋体" w:eastAsia="宋体" w:cs="宋体"/>
          <w:b/>
          <w:snapToGrid w:val="0"/>
          <w:kern w:val="0"/>
          <w:sz w:val="40"/>
          <w:szCs w:val="40"/>
          <w:highlight w:val="none"/>
          <w:lang w:val="en-US" w:eastAsia="zh-CN"/>
        </w:rPr>
        <w:t>）</w:t>
      </w:r>
    </w:p>
    <w:p w14:paraId="19007A93">
      <w:pPr>
        <w:pStyle w:val="37"/>
        <w:rPr>
          <w:rFonts w:hint="eastAsia" w:ascii="宋体" w:hAnsi="宋体" w:eastAsia="宋体" w:cs="宋体"/>
          <w:b/>
          <w:bCs/>
          <w:color w:val="auto"/>
          <w:sz w:val="40"/>
          <w:szCs w:val="40"/>
          <w:highlight w:val="none"/>
        </w:rPr>
      </w:pPr>
    </w:p>
    <w:p w14:paraId="6CF056AD">
      <w:pPr>
        <w:pStyle w:val="37"/>
        <w:rPr>
          <w:rFonts w:hint="eastAsia" w:ascii="宋体" w:hAnsi="宋体" w:eastAsia="宋体" w:cs="宋体"/>
          <w:b/>
          <w:bCs/>
          <w:color w:val="auto"/>
          <w:sz w:val="40"/>
          <w:szCs w:val="40"/>
          <w:highlight w:val="none"/>
        </w:rPr>
      </w:pPr>
    </w:p>
    <w:p w14:paraId="40085F56">
      <w:pPr>
        <w:pStyle w:val="38"/>
        <w:rPr>
          <w:rFonts w:hint="eastAsia" w:ascii="宋体" w:hAnsi="宋体" w:eastAsia="宋体" w:cs="宋体"/>
          <w:b/>
          <w:bCs/>
          <w:color w:val="auto"/>
          <w:sz w:val="40"/>
          <w:szCs w:val="40"/>
          <w:highlight w:val="none"/>
        </w:rPr>
      </w:pPr>
    </w:p>
    <w:p w14:paraId="21EB935F">
      <w:pPr>
        <w:pStyle w:val="38"/>
        <w:rPr>
          <w:rFonts w:hint="eastAsia" w:ascii="宋体" w:hAnsi="宋体" w:eastAsia="宋体" w:cs="宋体"/>
          <w:b/>
          <w:bCs/>
          <w:color w:val="auto"/>
          <w:sz w:val="40"/>
          <w:szCs w:val="40"/>
          <w:highlight w:val="none"/>
        </w:rPr>
      </w:pPr>
    </w:p>
    <w:p w14:paraId="09EDB6C3">
      <w:pPr>
        <w:pStyle w:val="23"/>
        <w:ind w:left="0" w:leftChars="0" w:firstLine="0" w:firstLineChars="0"/>
        <w:rPr>
          <w:rFonts w:hint="eastAsia"/>
          <w:highlight w:val="none"/>
        </w:rPr>
      </w:pPr>
    </w:p>
    <w:p w14:paraId="1B03BC66">
      <w:pPr>
        <w:rPr>
          <w:rFonts w:hint="eastAsia"/>
          <w:highlight w:val="none"/>
        </w:rPr>
      </w:pPr>
    </w:p>
    <w:p w14:paraId="74855358">
      <w:pPr>
        <w:rPr>
          <w:rFonts w:hint="eastAsia"/>
          <w:highlight w:val="none"/>
        </w:rPr>
      </w:pPr>
    </w:p>
    <w:p w14:paraId="086DC6E4">
      <w:pPr>
        <w:pStyle w:val="37"/>
        <w:rPr>
          <w:rFonts w:hint="eastAsia" w:ascii="宋体" w:hAnsi="宋体" w:eastAsia="宋体" w:cs="宋体"/>
          <w:b/>
          <w:bCs/>
          <w:color w:val="auto"/>
          <w:sz w:val="40"/>
          <w:szCs w:val="40"/>
          <w:highlight w:val="none"/>
        </w:rPr>
      </w:pPr>
    </w:p>
    <w:p w14:paraId="4B649FB8">
      <w:pPr>
        <w:adjustRightInd w:val="0"/>
        <w:snapToGrid w:val="0"/>
        <w:spacing w:line="360" w:lineRule="auto"/>
        <w:rPr>
          <w:rFonts w:hint="eastAsia" w:ascii="宋体" w:hAnsi="宋体" w:eastAsia="宋体" w:cs="宋体"/>
          <w:b/>
          <w:bCs/>
          <w:color w:val="auto"/>
          <w:sz w:val="28"/>
          <w:szCs w:val="28"/>
          <w:highlight w:val="none"/>
        </w:rPr>
      </w:pPr>
    </w:p>
    <w:p w14:paraId="090C4CCA">
      <w:pPr>
        <w:adjustRightInd w:val="0"/>
        <w:snapToGrid w:val="0"/>
        <w:spacing w:line="360" w:lineRule="auto"/>
        <w:jc w:val="center"/>
        <w:rPr>
          <w:rFonts w:hint="eastAsia" w:ascii="宋体" w:hAnsi="宋体" w:eastAsia="宋体" w:cs="宋体"/>
          <w:b/>
          <w:bCs/>
          <w:color w:val="auto"/>
          <w:sz w:val="80"/>
          <w:szCs w:val="80"/>
          <w:highlight w:val="none"/>
        </w:rPr>
      </w:pPr>
      <w:bookmarkStart w:id="932" w:name="_Toc19723_WPSOffice_Level1"/>
      <w:bookmarkStart w:id="933" w:name="_Toc1669_WPSOffice_Level1"/>
      <w:r>
        <w:rPr>
          <w:rFonts w:hint="eastAsia" w:ascii="宋体" w:hAnsi="宋体" w:eastAsia="宋体" w:cs="宋体"/>
          <w:b/>
          <w:bCs/>
          <w:color w:val="auto"/>
          <w:sz w:val="80"/>
          <w:szCs w:val="80"/>
          <w:highlight w:val="none"/>
        </w:rPr>
        <w:t>投 标 文 件</w:t>
      </w:r>
      <w:bookmarkEnd w:id="932"/>
      <w:bookmarkEnd w:id="933"/>
    </w:p>
    <w:p w14:paraId="00214621">
      <w:pPr>
        <w:adjustRightInd w:val="0"/>
        <w:snapToGrid w:val="0"/>
        <w:spacing w:line="360" w:lineRule="auto"/>
        <w:rPr>
          <w:rFonts w:hint="eastAsia" w:ascii="宋体" w:hAnsi="宋体" w:eastAsia="宋体" w:cs="宋体"/>
          <w:b/>
          <w:bCs/>
          <w:color w:val="auto"/>
          <w:sz w:val="28"/>
          <w:szCs w:val="28"/>
          <w:highlight w:val="none"/>
        </w:rPr>
      </w:pPr>
    </w:p>
    <w:p w14:paraId="53A4038B">
      <w:pPr>
        <w:adjustRightInd w:val="0"/>
        <w:snapToGrid w:val="0"/>
        <w:spacing w:line="360" w:lineRule="auto"/>
        <w:rPr>
          <w:rFonts w:hint="eastAsia" w:ascii="宋体" w:hAnsi="宋体" w:eastAsia="宋体" w:cs="宋体"/>
          <w:b/>
          <w:bCs/>
          <w:color w:val="auto"/>
          <w:sz w:val="28"/>
          <w:szCs w:val="28"/>
          <w:highlight w:val="none"/>
        </w:rPr>
      </w:pPr>
    </w:p>
    <w:p w14:paraId="4DAD59FA">
      <w:pPr>
        <w:adjustRightInd w:val="0"/>
        <w:snapToGrid w:val="0"/>
        <w:spacing w:line="360" w:lineRule="auto"/>
        <w:rPr>
          <w:rFonts w:hint="eastAsia" w:ascii="宋体" w:hAnsi="宋体" w:eastAsia="宋体" w:cs="宋体"/>
          <w:b/>
          <w:bCs/>
          <w:color w:val="auto"/>
          <w:sz w:val="28"/>
          <w:szCs w:val="28"/>
          <w:highlight w:val="none"/>
        </w:rPr>
      </w:pPr>
    </w:p>
    <w:p w14:paraId="03F5BDF5">
      <w:pPr>
        <w:pStyle w:val="10"/>
        <w:rPr>
          <w:rFonts w:hint="eastAsia"/>
          <w:highlight w:val="none"/>
        </w:rPr>
      </w:pPr>
    </w:p>
    <w:p w14:paraId="607848C8">
      <w:pPr>
        <w:adjustRightInd w:val="0"/>
        <w:snapToGrid w:val="0"/>
        <w:spacing w:line="360" w:lineRule="auto"/>
        <w:rPr>
          <w:rFonts w:hint="eastAsia" w:ascii="宋体" w:hAnsi="宋体" w:eastAsia="宋体" w:cs="宋体"/>
          <w:b/>
          <w:bCs/>
          <w:color w:val="auto"/>
          <w:sz w:val="28"/>
          <w:szCs w:val="28"/>
          <w:highlight w:val="none"/>
        </w:rPr>
      </w:pPr>
    </w:p>
    <w:p w14:paraId="54F17CB5">
      <w:pPr>
        <w:adjustRightInd w:val="0"/>
        <w:snapToGrid w:val="0"/>
        <w:spacing w:line="360" w:lineRule="auto"/>
        <w:jc w:val="center"/>
        <w:rPr>
          <w:rFonts w:hint="eastAsia" w:ascii="宋体" w:hAnsi="宋体" w:eastAsia="宋体" w:cs="宋体"/>
          <w:b/>
          <w:bCs/>
          <w:color w:val="auto"/>
          <w:sz w:val="28"/>
          <w:szCs w:val="28"/>
          <w:highlight w:val="none"/>
        </w:rPr>
      </w:pPr>
      <w:bookmarkStart w:id="934" w:name="_Toc17617_WPSOffice_Level1"/>
      <w:bookmarkStart w:id="935" w:name="_Toc3861_WPSOffice_Level1"/>
    </w:p>
    <w:p w14:paraId="2F3DBA66">
      <w:pPr>
        <w:adjustRightInd w:val="0"/>
        <w:snapToGrid w:val="0"/>
        <w:spacing w:line="360" w:lineRule="auto"/>
        <w:jc w:val="center"/>
        <w:rPr>
          <w:rFonts w:hint="eastAsia" w:ascii="宋体" w:hAnsi="宋体" w:eastAsia="宋体" w:cs="宋体"/>
          <w:b/>
          <w:bCs/>
          <w:color w:val="auto"/>
          <w:sz w:val="28"/>
          <w:szCs w:val="28"/>
          <w:highlight w:val="none"/>
        </w:rPr>
      </w:pPr>
    </w:p>
    <w:p w14:paraId="72A77B75">
      <w:pPr>
        <w:adjustRightInd w:val="0"/>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投标人（</w:t>
      </w:r>
      <w:r>
        <w:rPr>
          <w:rFonts w:hint="eastAsia" w:ascii="宋体" w:hAnsi="宋体" w:eastAsia="宋体" w:cs="宋体"/>
          <w:b/>
          <w:bCs/>
          <w:color w:val="auto"/>
          <w:sz w:val="28"/>
          <w:szCs w:val="28"/>
          <w:highlight w:val="none"/>
          <w:lang w:val="en-US" w:eastAsia="zh-CN"/>
        </w:rPr>
        <w:t>投标</w:t>
      </w:r>
      <w:r>
        <w:rPr>
          <w:rFonts w:hint="eastAsia" w:ascii="宋体" w:hAnsi="宋体" w:eastAsia="宋体" w:cs="宋体"/>
          <w:b/>
          <w:bCs/>
          <w:color w:val="auto"/>
          <w:sz w:val="28"/>
          <w:szCs w:val="28"/>
          <w:highlight w:val="none"/>
        </w:rPr>
        <w:t>单位名称）：</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（电子签章）</w:t>
      </w:r>
      <w:bookmarkEnd w:id="934"/>
      <w:bookmarkEnd w:id="935"/>
    </w:p>
    <w:p w14:paraId="3508FA64">
      <w:pPr>
        <w:adjustRightInd w:val="0"/>
        <w:snapToGrid w:val="0"/>
        <w:spacing w:line="360" w:lineRule="auto"/>
        <w:ind w:firstLine="1124" w:firstLineChars="400"/>
        <w:rPr>
          <w:rFonts w:hint="eastAsia" w:ascii="宋体" w:hAnsi="宋体" w:eastAsia="宋体" w:cs="宋体"/>
          <w:b/>
          <w:bCs/>
          <w:color w:val="auto"/>
          <w:sz w:val="28"/>
          <w:szCs w:val="28"/>
          <w:highlight w:val="none"/>
        </w:rPr>
      </w:pPr>
      <w:bookmarkStart w:id="936" w:name="_Toc27735_WPSOffice_Level2"/>
      <w:bookmarkStart w:id="937" w:name="_Toc19835_WPSOffice_Level2"/>
      <w:r>
        <w:rPr>
          <w:rFonts w:hint="eastAsia" w:ascii="宋体" w:hAnsi="宋体" w:eastAsia="宋体" w:cs="宋体"/>
          <w:b/>
          <w:bCs/>
          <w:color w:val="auto"/>
          <w:sz w:val="28"/>
          <w:szCs w:val="28"/>
          <w:highlight w:val="none"/>
        </w:rPr>
        <w:t>法定代表人或其委托代理人：</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（电子签章）</w:t>
      </w:r>
      <w:bookmarkEnd w:id="936"/>
      <w:bookmarkEnd w:id="937"/>
    </w:p>
    <w:p w14:paraId="6E62196E">
      <w:pPr>
        <w:adjustRightInd w:val="0"/>
        <w:snapToGrid w:val="0"/>
        <w:spacing w:line="360" w:lineRule="auto"/>
        <w:jc w:val="center"/>
        <w:rPr>
          <w:rFonts w:hint="eastAsia" w:ascii="宋体" w:hAnsi="宋体" w:eastAsia="宋体" w:cs="宋体"/>
          <w:b/>
          <w:bCs/>
          <w:color w:val="auto"/>
          <w:sz w:val="28"/>
          <w:szCs w:val="28"/>
          <w:highlight w:val="none"/>
        </w:rPr>
      </w:pPr>
    </w:p>
    <w:p w14:paraId="59384873">
      <w:pPr>
        <w:adjustRightInd w:val="0"/>
        <w:snapToGrid w:val="0"/>
        <w:spacing w:line="360" w:lineRule="auto"/>
        <w:jc w:val="center"/>
        <w:rPr>
          <w:rFonts w:hint="eastAsia" w:ascii="宋体" w:hAnsi="宋体" w:eastAsia="宋体" w:cs="宋体"/>
          <w:b/>
          <w:bCs/>
          <w:color w:val="auto"/>
          <w:sz w:val="28"/>
          <w:szCs w:val="28"/>
          <w:highlight w:val="none"/>
        </w:rPr>
      </w:pPr>
      <w:bookmarkStart w:id="938" w:name="_Toc20964_WPSOffice_Level1"/>
      <w:bookmarkStart w:id="939" w:name="_Toc16868_WPSOffice_Level1"/>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年</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日</w:t>
      </w:r>
      <w:bookmarkEnd w:id="938"/>
      <w:bookmarkEnd w:id="939"/>
    </w:p>
    <w:p w14:paraId="78C0A408">
      <w:pPr>
        <w:adjustRightInd w:val="0"/>
        <w:snapToGrid w:val="0"/>
        <w:spacing w:line="360" w:lineRule="auto"/>
        <w:rPr>
          <w:rFonts w:hint="eastAsia" w:ascii="宋体" w:hAnsi="宋体" w:eastAsia="宋体" w:cs="宋体"/>
          <w:b w:val="0"/>
          <w:bCs w:val="0"/>
          <w:color w:val="auto"/>
          <w:sz w:val="28"/>
          <w:szCs w:val="28"/>
          <w:highlight w:val="none"/>
        </w:rPr>
      </w:pPr>
    </w:p>
    <w:p w14:paraId="5B06E9A6">
      <w:pPr>
        <w:spacing w:line="300" w:lineRule="auto"/>
        <w:rPr>
          <w:rFonts w:hint="eastAsia" w:ascii="宋体" w:hAnsi="宋体" w:eastAsia="宋体" w:cs="宋体"/>
          <w:b w:val="0"/>
          <w:bCs w:val="0"/>
          <w:color w:val="auto"/>
          <w:sz w:val="28"/>
          <w:szCs w:val="28"/>
          <w:highlight w:val="none"/>
        </w:rPr>
      </w:pPr>
      <w:bookmarkStart w:id="940" w:name="_Toc247514247"/>
      <w:bookmarkStart w:id="941" w:name="_Toc144974857"/>
      <w:bookmarkStart w:id="942" w:name="_Toc318965966"/>
      <w:bookmarkStart w:id="943" w:name="_Toc247527828"/>
      <w:bookmarkStart w:id="944" w:name="_Toc152042577"/>
      <w:bookmarkStart w:id="945" w:name="_Toc152045788"/>
    </w:p>
    <w:p w14:paraId="271A8708">
      <w:pPr>
        <w:rPr>
          <w:rFonts w:hint="eastAsia" w:ascii="宋体" w:hAnsi="宋体" w:eastAsia="宋体" w:cs="宋体"/>
          <w:b w:val="0"/>
          <w:bCs w:val="0"/>
          <w:color w:val="auto"/>
          <w:sz w:val="28"/>
          <w:szCs w:val="28"/>
          <w:highlight w:val="none"/>
        </w:rPr>
      </w:pPr>
      <w:bookmarkStart w:id="946" w:name="_Toc22558"/>
      <w:bookmarkStart w:id="947" w:name="_Toc419963219"/>
      <w:bookmarkStart w:id="948" w:name="_Toc25402_WPSOffice_Level1"/>
      <w:bookmarkStart w:id="949" w:name="_Toc19934_WPSOffice_Level1"/>
      <w:bookmarkStart w:id="950" w:name="_Toc14763"/>
      <w:r>
        <w:rPr>
          <w:rFonts w:hint="eastAsia" w:ascii="宋体" w:hAnsi="宋体" w:eastAsia="宋体" w:cs="宋体"/>
          <w:b w:val="0"/>
          <w:bCs w:val="0"/>
          <w:color w:val="auto"/>
          <w:sz w:val="28"/>
          <w:szCs w:val="28"/>
          <w:highlight w:val="none"/>
        </w:rPr>
        <w:br w:type="page"/>
      </w:r>
    </w:p>
    <w:p w14:paraId="53106321">
      <w:pPr>
        <w:adjustRightInd w:val="0"/>
        <w:snapToGrid w:val="0"/>
        <w:spacing w:line="360" w:lineRule="auto"/>
        <w:jc w:val="center"/>
        <w:outlineLvl w:val="0"/>
        <w:rPr>
          <w:rFonts w:hint="eastAsia" w:ascii="宋体" w:hAnsi="宋体" w:eastAsia="宋体" w:cs="宋体"/>
          <w:b w:val="0"/>
          <w:bCs w:val="0"/>
          <w:color w:val="auto"/>
          <w:sz w:val="28"/>
          <w:szCs w:val="28"/>
          <w:highlight w:val="none"/>
        </w:rPr>
      </w:pPr>
      <w:bookmarkStart w:id="951" w:name="_Toc13161"/>
      <w:r>
        <w:rPr>
          <w:rFonts w:hint="eastAsia" w:ascii="宋体" w:hAnsi="宋体" w:eastAsia="宋体" w:cs="宋体"/>
          <w:b w:val="0"/>
          <w:bCs w:val="0"/>
          <w:color w:val="auto"/>
          <w:sz w:val="28"/>
          <w:szCs w:val="28"/>
          <w:highlight w:val="none"/>
        </w:rPr>
        <w:t>目录</w:t>
      </w:r>
      <w:bookmarkEnd w:id="946"/>
      <w:bookmarkEnd w:id="951"/>
    </w:p>
    <w:p w14:paraId="4FBE30F4">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w:t>
      </w:r>
      <w:r>
        <w:rPr>
          <w:rFonts w:hint="eastAsia" w:ascii="宋体" w:hAnsi="宋体" w:eastAsia="宋体" w:cs="宋体"/>
          <w:b w:val="0"/>
          <w:bCs w:val="0"/>
          <w:color w:val="auto"/>
          <w:highlight w:val="none"/>
        </w:rPr>
        <w:t>投标人自行编制</w:t>
      </w:r>
      <w:r>
        <w:rPr>
          <w:rFonts w:hint="eastAsia" w:ascii="宋体" w:hAnsi="宋体" w:cs="宋体"/>
          <w:b w:val="0"/>
          <w:bCs w:val="0"/>
          <w:color w:val="auto"/>
          <w:highlight w:val="none"/>
          <w:lang w:eastAsia="zh-CN"/>
        </w:rPr>
        <w:t>）</w:t>
      </w:r>
    </w:p>
    <w:p w14:paraId="4AFBD19B">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45E711F9">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28E5099C">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3FD65D07">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191411B5">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4D42CDA4">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3EC470AB">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0BE1DB2E">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719A481A">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0E34C7E0">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30121E39">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518C547A">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1309ACD7">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796F79E1">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0CBF7A38">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5D22F862">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1B1CFB7C">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62B9ED7C">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6054E035">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p w14:paraId="6A0DF248">
      <w:pPr>
        <w:pStyle w:val="45"/>
        <w:numPr>
          <w:ilvl w:val="0"/>
          <w:numId w:val="0"/>
        </w:numPr>
        <w:snapToGrid w:val="0"/>
        <w:spacing w:before="120" w:beforeLines="50" w:after="240" w:afterLines="100" w:line="360" w:lineRule="auto"/>
        <w:rPr>
          <w:rFonts w:hint="eastAsia" w:ascii="宋体" w:hAnsi="宋体" w:eastAsia="宋体" w:cs="宋体"/>
          <w:b w:val="0"/>
          <w:bCs w:val="0"/>
          <w:color w:val="auto"/>
          <w:highlight w:val="none"/>
        </w:rPr>
      </w:pPr>
    </w:p>
    <w:bookmarkEnd w:id="940"/>
    <w:bookmarkEnd w:id="941"/>
    <w:bookmarkEnd w:id="942"/>
    <w:bookmarkEnd w:id="943"/>
    <w:bookmarkEnd w:id="944"/>
    <w:bookmarkEnd w:id="945"/>
    <w:bookmarkEnd w:id="947"/>
    <w:bookmarkEnd w:id="948"/>
    <w:bookmarkEnd w:id="949"/>
    <w:bookmarkEnd w:id="950"/>
    <w:p w14:paraId="590DD266">
      <w:pPr>
        <w:pStyle w:val="45"/>
        <w:numPr>
          <w:ilvl w:val="0"/>
          <w:numId w:val="0"/>
        </w:numPr>
        <w:snapToGrid w:val="0"/>
        <w:spacing w:before="120" w:beforeLines="50" w:after="240" w:afterLines="100" w:line="360" w:lineRule="auto"/>
        <w:jc w:val="center"/>
        <w:outlineLvl w:val="0"/>
        <w:rPr>
          <w:rFonts w:hint="eastAsia" w:ascii="宋体" w:hAnsi="宋体" w:eastAsia="宋体" w:cs="宋体"/>
          <w:b w:val="0"/>
          <w:bCs w:val="0"/>
          <w:color w:val="auto"/>
          <w:sz w:val="21"/>
          <w:szCs w:val="21"/>
          <w:highlight w:val="none"/>
        </w:rPr>
      </w:pPr>
      <w:bookmarkStart w:id="952" w:name="_Toc28469"/>
      <w:bookmarkStart w:id="953" w:name="_Toc10223"/>
      <w:r>
        <w:rPr>
          <w:rFonts w:hint="eastAsia" w:ascii="宋体" w:hAnsi="宋体" w:eastAsia="宋体" w:cs="宋体"/>
          <w:b/>
          <w:bCs/>
          <w:color w:val="auto"/>
          <w:sz w:val="24"/>
          <w:szCs w:val="24"/>
          <w:highlight w:val="none"/>
        </w:rPr>
        <w:t>第一部分  资格审查部分</w:t>
      </w:r>
      <w:bookmarkEnd w:id="952"/>
      <w:bookmarkEnd w:id="953"/>
    </w:p>
    <w:p w14:paraId="6F458BBB">
      <w:pPr>
        <w:adjustRightInd w:val="0"/>
        <w:snapToGrid w:val="0"/>
        <w:spacing w:line="360" w:lineRule="auto"/>
        <w:jc w:val="center"/>
        <w:outlineLvl w:val="0"/>
        <w:rPr>
          <w:rFonts w:hint="eastAsia" w:ascii="宋体" w:hAnsi="宋体" w:eastAsia="宋体" w:cs="宋体"/>
          <w:b/>
          <w:bCs/>
          <w:color w:val="auto"/>
          <w:sz w:val="21"/>
          <w:szCs w:val="21"/>
          <w:highlight w:val="none"/>
        </w:rPr>
      </w:pPr>
      <w:bookmarkStart w:id="954" w:name="_Toc32536_WPSOffice_Level2"/>
      <w:bookmarkStart w:id="955" w:name="_Toc18859"/>
      <w:bookmarkStart w:id="956" w:name="_Toc15901"/>
      <w:bookmarkStart w:id="957" w:name="_Toc4286_WPSOffice_Level2"/>
      <w:r>
        <w:rPr>
          <w:rFonts w:hint="eastAsia" w:ascii="宋体" w:hAnsi="宋体" w:eastAsia="宋体" w:cs="宋体"/>
          <w:b/>
          <w:bCs/>
          <w:color w:val="auto"/>
          <w:sz w:val="21"/>
          <w:szCs w:val="21"/>
          <w:highlight w:val="none"/>
        </w:rPr>
        <w:t>一、法定代表人身份证明</w:t>
      </w:r>
      <w:bookmarkEnd w:id="954"/>
      <w:bookmarkEnd w:id="955"/>
      <w:bookmarkEnd w:id="956"/>
      <w:bookmarkEnd w:id="957"/>
    </w:p>
    <w:p w14:paraId="1E66DE89">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33514941">
      <w:pPr>
        <w:spacing w:line="500" w:lineRule="exact"/>
        <w:jc w:val="left"/>
        <w:rPr>
          <w:rFonts w:hint="eastAsia" w:ascii="宋体" w:hAnsi="宋体" w:eastAsia="宋体" w:cs="宋体"/>
          <w:b w:val="0"/>
          <w:bCs w:val="0"/>
          <w:color w:val="auto"/>
          <w:sz w:val="21"/>
          <w:szCs w:val="21"/>
          <w:highlight w:val="none"/>
          <w:u w:val="single"/>
          <w:lang w:val="en-US"/>
        </w:rPr>
      </w:pPr>
      <w:r>
        <w:rPr>
          <w:rFonts w:hint="eastAsia" w:ascii="宋体" w:hAnsi="宋体" w:eastAsia="宋体" w:cs="宋体"/>
          <w:b w:val="0"/>
          <w:bCs w:val="0"/>
          <w:color w:val="auto"/>
          <w:sz w:val="21"/>
          <w:szCs w:val="21"/>
          <w:highlight w:val="none"/>
        </w:rPr>
        <w:t>投 标 人（</w:t>
      </w:r>
      <w:r>
        <w:rPr>
          <w:rFonts w:hint="eastAsia" w:ascii="宋体" w:hAnsi="宋体" w:eastAsia="宋体" w:cs="宋体"/>
          <w:b w:val="0"/>
          <w:bCs w:val="0"/>
          <w:color w:val="auto"/>
          <w:sz w:val="21"/>
          <w:szCs w:val="21"/>
          <w:highlight w:val="none"/>
          <w:lang w:eastAsia="zh-CN"/>
        </w:rPr>
        <w:t>投标单位名称</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u w:val="single"/>
          <w:lang w:val="en-US" w:eastAsia="zh-CN"/>
        </w:rPr>
        <w:t xml:space="preserve">                                          </w:t>
      </w:r>
    </w:p>
    <w:p w14:paraId="066844E0">
      <w:pPr>
        <w:spacing w:line="500" w:lineRule="exact"/>
        <w:jc w:val="left"/>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rPr>
        <w:t>单位性质：</w:t>
      </w:r>
      <w:r>
        <w:rPr>
          <w:rFonts w:hint="eastAsia" w:ascii="宋体" w:hAnsi="宋体" w:eastAsia="宋体" w:cs="宋体"/>
          <w:b w:val="0"/>
          <w:bCs w:val="0"/>
          <w:color w:val="auto"/>
          <w:sz w:val="21"/>
          <w:szCs w:val="21"/>
          <w:highlight w:val="none"/>
          <w:u w:val="single"/>
          <w:lang w:val="en-US" w:eastAsia="zh-CN"/>
        </w:rPr>
        <w:t xml:space="preserve">                                                          </w:t>
      </w:r>
    </w:p>
    <w:p w14:paraId="0E4AAB5F">
      <w:pPr>
        <w:spacing w:line="50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地    址：</w:t>
      </w:r>
      <w:r>
        <w:rPr>
          <w:rFonts w:hint="eastAsia" w:ascii="宋体" w:hAnsi="宋体" w:eastAsia="宋体" w:cs="宋体"/>
          <w:b w:val="0"/>
          <w:bCs w:val="0"/>
          <w:color w:val="auto"/>
          <w:sz w:val="21"/>
          <w:szCs w:val="21"/>
          <w:highlight w:val="none"/>
          <w:u w:val="single"/>
          <w:lang w:val="en-US" w:eastAsia="zh-CN"/>
        </w:rPr>
        <w:t xml:space="preserve">                                                          </w:t>
      </w:r>
    </w:p>
    <w:p w14:paraId="139C2812">
      <w:pPr>
        <w:spacing w:line="5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成立时间：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w:t>
      </w:r>
    </w:p>
    <w:p w14:paraId="242849BF">
      <w:pPr>
        <w:spacing w:line="500" w:lineRule="exact"/>
        <w:jc w:val="left"/>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rPr>
        <w:t>经营期限：</w:t>
      </w:r>
      <w:r>
        <w:rPr>
          <w:rFonts w:hint="eastAsia" w:ascii="宋体" w:hAnsi="宋体" w:eastAsia="宋体" w:cs="宋体"/>
          <w:b w:val="0"/>
          <w:bCs w:val="0"/>
          <w:color w:val="auto"/>
          <w:sz w:val="21"/>
          <w:szCs w:val="21"/>
          <w:highlight w:val="none"/>
          <w:u w:val="single"/>
          <w:lang w:val="en-US" w:eastAsia="zh-CN"/>
        </w:rPr>
        <w:t xml:space="preserve">                                                          </w:t>
      </w:r>
    </w:p>
    <w:p w14:paraId="3A811C3F">
      <w:pPr>
        <w:spacing w:line="500" w:lineRule="exact"/>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姓    名：</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性  别：</w:t>
      </w:r>
      <w:r>
        <w:rPr>
          <w:rFonts w:hint="eastAsia" w:ascii="宋体" w:hAnsi="宋体" w:eastAsia="宋体" w:cs="宋体"/>
          <w:b w:val="0"/>
          <w:bCs w:val="0"/>
          <w:color w:val="auto"/>
          <w:sz w:val="21"/>
          <w:szCs w:val="21"/>
          <w:highlight w:val="none"/>
          <w:u w:val="single"/>
          <w:lang w:val="en-US" w:eastAsia="zh-CN"/>
        </w:rPr>
        <w:t xml:space="preserve">                </w:t>
      </w:r>
    </w:p>
    <w:p w14:paraId="48F6AD30">
      <w:pPr>
        <w:spacing w:line="500" w:lineRule="exact"/>
        <w:jc w:val="left"/>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年    龄：</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职  务：</w:t>
      </w:r>
      <w:r>
        <w:rPr>
          <w:rFonts w:hint="eastAsia" w:ascii="宋体" w:hAnsi="宋体" w:eastAsia="宋体" w:cs="宋体"/>
          <w:b w:val="0"/>
          <w:bCs w:val="0"/>
          <w:color w:val="auto"/>
          <w:sz w:val="21"/>
          <w:szCs w:val="21"/>
          <w:highlight w:val="none"/>
          <w:u w:val="single"/>
          <w:lang w:val="en-US" w:eastAsia="zh-CN"/>
        </w:rPr>
        <w:t xml:space="preserve">                  </w:t>
      </w:r>
    </w:p>
    <w:p w14:paraId="24066340">
      <w:pPr>
        <w:spacing w:line="5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系</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（投标人名称）的法定代表人。</w:t>
      </w:r>
    </w:p>
    <w:p w14:paraId="152F35C4">
      <w:pPr>
        <w:spacing w:line="50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特此证明。</w:t>
      </w:r>
    </w:p>
    <w:p w14:paraId="4DC3ECD0">
      <w:pPr>
        <w:spacing w:line="500" w:lineRule="exact"/>
        <w:jc w:val="left"/>
        <w:rPr>
          <w:rFonts w:hint="eastAsia" w:ascii="宋体" w:hAnsi="宋体" w:eastAsia="宋体" w:cs="宋体"/>
          <w:b w:val="0"/>
          <w:bCs w:val="0"/>
          <w:color w:val="auto"/>
          <w:sz w:val="21"/>
          <w:szCs w:val="21"/>
          <w:highlight w:val="none"/>
        </w:rPr>
      </w:pPr>
    </w:p>
    <w:p w14:paraId="2F56E326">
      <w:pPr>
        <w:spacing w:line="500" w:lineRule="exact"/>
        <w:jc w:val="left"/>
        <w:rPr>
          <w:rFonts w:hint="eastAsia" w:ascii="宋体" w:hAnsi="宋体" w:eastAsia="宋体" w:cs="宋体"/>
          <w:b w:val="0"/>
          <w:bCs w:val="0"/>
          <w:color w:val="auto"/>
          <w:sz w:val="21"/>
          <w:szCs w:val="21"/>
          <w:highlight w:val="none"/>
        </w:rPr>
      </w:pPr>
    </w:p>
    <w:p w14:paraId="4A1F9747">
      <w:pPr>
        <w:spacing w:line="500" w:lineRule="exact"/>
        <w:ind w:right="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注：附法定代表人身份证扫描件（正反面）。</w:t>
      </w:r>
    </w:p>
    <w:p w14:paraId="79B30DBC">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1FFDCECB">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2CC7A346">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w:t>
      </w:r>
      <w:r>
        <w:rPr>
          <w:rFonts w:hint="eastAsia" w:ascii="宋体" w:hAnsi="宋体" w:eastAsia="宋体" w:cs="宋体"/>
          <w:b w:val="0"/>
          <w:bCs w:val="0"/>
          <w:color w:val="auto"/>
          <w:sz w:val="21"/>
          <w:szCs w:val="21"/>
          <w:highlight w:val="none"/>
          <w:lang w:eastAsia="zh-CN"/>
        </w:rPr>
        <w:t>投标单位名称</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none"/>
        </w:rPr>
        <w:t>__________________</w:t>
      </w:r>
      <w:r>
        <w:rPr>
          <w:rFonts w:hint="eastAsia" w:ascii="宋体" w:hAnsi="宋体" w:eastAsia="宋体" w:cs="宋体"/>
          <w:b w:val="0"/>
          <w:bCs w:val="0"/>
          <w:color w:val="auto"/>
          <w:sz w:val="21"/>
          <w:szCs w:val="21"/>
          <w:highlight w:val="none"/>
        </w:rPr>
        <w:t>（电子签章）</w:t>
      </w:r>
    </w:p>
    <w:p w14:paraId="2D320314">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p>
    <w:p w14:paraId="330C419D">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rPr>
        <w:t>_______</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none"/>
        </w:rPr>
        <w:t>_______</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none"/>
        </w:rPr>
        <w:t>_______</w:t>
      </w:r>
      <w:r>
        <w:rPr>
          <w:rFonts w:hint="eastAsia" w:ascii="宋体" w:hAnsi="宋体" w:eastAsia="宋体" w:cs="宋体"/>
          <w:b w:val="0"/>
          <w:bCs w:val="0"/>
          <w:color w:val="auto"/>
          <w:sz w:val="21"/>
          <w:szCs w:val="21"/>
          <w:highlight w:val="none"/>
        </w:rPr>
        <w:t>日</w:t>
      </w:r>
    </w:p>
    <w:p w14:paraId="14167E75">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20E32008">
      <w:pPr>
        <w:pStyle w:val="45"/>
        <w:numPr>
          <w:ilvl w:val="0"/>
          <w:numId w:val="0"/>
        </w:numPr>
        <w:snapToGrid w:val="0"/>
        <w:spacing w:before="120" w:beforeLines="50" w:after="240" w:afterLines="100" w:line="360" w:lineRule="auto"/>
        <w:rPr>
          <w:rFonts w:hint="eastAsia" w:ascii="宋体" w:hAnsi="宋体" w:eastAsia="宋体" w:cs="宋体"/>
          <w:b w:val="0"/>
          <w:bCs w:val="0"/>
          <w:color w:val="auto"/>
          <w:sz w:val="21"/>
          <w:szCs w:val="21"/>
          <w:highlight w:val="none"/>
        </w:rPr>
      </w:pPr>
    </w:p>
    <w:p w14:paraId="0B77DD91">
      <w:pPr>
        <w:pStyle w:val="45"/>
        <w:numPr>
          <w:ilvl w:val="0"/>
          <w:numId w:val="0"/>
        </w:numPr>
        <w:snapToGrid w:val="0"/>
        <w:spacing w:before="120" w:beforeLines="50" w:after="240" w:afterLines="100" w:line="360" w:lineRule="auto"/>
        <w:rPr>
          <w:rFonts w:hint="eastAsia" w:ascii="宋体" w:hAnsi="宋体" w:eastAsia="宋体" w:cs="宋体"/>
          <w:b w:val="0"/>
          <w:bCs w:val="0"/>
          <w:color w:val="auto"/>
          <w:sz w:val="21"/>
          <w:szCs w:val="21"/>
          <w:highlight w:val="none"/>
        </w:rPr>
      </w:pPr>
    </w:p>
    <w:p w14:paraId="01EB64B0">
      <w:pPr>
        <w:pStyle w:val="45"/>
        <w:numPr>
          <w:ilvl w:val="0"/>
          <w:numId w:val="0"/>
        </w:numPr>
        <w:snapToGrid w:val="0"/>
        <w:spacing w:before="120" w:beforeLines="50" w:after="240" w:afterLines="100" w:line="360" w:lineRule="auto"/>
        <w:rPr>
          <w:rFonts w:hint="eastAsia" w:ascii="宋体" w:hAnsi="宋体" w:eastAsia="宋体" w:cs="宋体"/>
          <w:b w:val="0"/>
          <w:bCs w:val="0"/>
          <w:color w:val="auto"/>
          <w:sz w:val="21"/>
          <w:szCs w:val="21"/>
          <w:highlight w:val="none"/>
        </w:rPr>
      </w:pPr>
    </w:p>
    <w:p w14:paraId="26752EB8">
      <w:pPr>
        <w:pStyle w:val="45"/>
        <w:numPr>
          <w:ilvl w:val="0"/>
          <w:numId w:val="0"/>
        </w:numPr>
        <w:snapToGrid w:val="0"/>
        <w:spacing w:before="120" w:beforeLines="50" w:after="240" w:afterLines="100" w:line="360" w:lineRule="auto"/>
        <w:rPr>
          <w:rFonts w:hint="eastAsia" w:ascii="宋体" w:hAnsi="宋体" w:eastAsia="宋体" w:cs="宋体"/>
          <w:b w:val="0"/>
          <w:bCs w:val="0"/>
          <w:color w:val="auto"/>
          <w:sz w:val="21"/>
          <w:szCs w:val="21"/>
          <w:highlight w:val="none"/>
        </w:rPr>
      </w:pPr>
    </w:p>
    <w:p w14:paraId="157EF59C">
      <w:pPr>
        <w:pStyle w:val="45"/>
        <w:numPr>
          <w:ilvl w:val="0"/>
          <w:numId w:val="0"/>
        </w:numPr>
        <w:snapToGrid w:val="0"/>
        <w:spacing w:before="120" w:beforeLines="50" w:after="240" w:afterLines="100" w:line="360" w:lineRule="auto"/>
        <w:rPr>
          <w:rFonts w:hint="eastAsia" w:ascii="宋体" w:hAnsi="宋体" w:eastAsia="宋体" w:cs="宋体"/>
          <w:b w:val="0"/>
          <w:bCs w:val="0"/>
          <w:color w:val="auto"/>
          <w:sz w:val="21"/>
          <w:szCs w:val="21"/>
          <w:highlight w:val="none"/>
        </w:rPr>
      </w:pPr>
    </w:p>
    <w:p w14:paraId="3348F279">
      <w:pPr>
        <w:rPr>
          <w:rFonts w:hint="eastAsia" w:ascii="宋体" w:hAnsi="宋体" w:eastAsia="宋体" w:cs="宋体"/>
          <w:b/>
          <w:bCs/>
          <w:color w:val="auto"/>
          <w:sz w:val="21"/>
          <w:szCs w:val="21"/>
          <w:highlight w:val="none"/>
        </w:rPr>
      </w:pPr>
      <w:bookmarkStart w:id="958" w:name="_Toc11841_WPSOffice_Level2"/>
      <w:bookmarkStart w:id="959" w:name="_Toc25682_WPSOffice_Level2"/>
      <w:bookmarkStart w:id="960" w:name="_Toc18576"/>
      <w:bookmarkStart w:id="961" w:name="_Toc27900"/>
      <w:r>
        <w:rPr>
          <w:rFonts w:hint="eastAsia" w:ascii="宋体" w:hAnsi="宋体" w:eastAsia="宋体" w:cs="宋体"/>
          <w:b/>
          <w:bCs/>
          <w:color w:val="auto"/>
          <w:sz w:val="21"/>
          <w:szCs w:val="21"/>
          <w:highlight w:val="none"/>
        </w:rPr>
        <w:br w:type="page"/>
      </w:r>
    </w:p>
    <w:p w14:paraId="0AC80BB8">
      <w:pPr>
        <w:adjustRightInd w:val="0"/>
        <w:snapToGrid w:val="0"/>
        <w:spacing w:line="360" w:lineRule="auto"/>
        <w:jc w:val="center"/>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二、授权委托书</w:t>
      </w:r>
      <w:bookmarkEnd w:id="958"/>
      <w:bookmarkEnd w:id="959"/>
      <w:bookmarkEnd w:id="960"/>
      <w:bookmarkEnd w:id="961"/>
    </w:p>
    <w:p w14:paraId="337E6675">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297606E1">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本人</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（姓名）系</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（投标人名称）的法定代表人，现委托</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（姓名）为我方代理人。代理人根据授权，以我方名义签署、澄清、说明、撤回、修改</w:t>
      </w:r>
      <w:r>
        <w:rPr>
          <w:rStyle w:val="44"/>
          <w:rFonts w:hint="eastAsia" w:ascii="宋体" w:hAnsi="宋体" w:eastAsia="宋体" w:cs="宋体"/>
          <w:b w:val="0"/>
          <w:bCs w:val="0"/>
          <w:color w:val="auto"/>
          <w:sz w:val="21"/>
          <w:szCs w:val="21"/>
          <w:highlight w:val="none"/>
          <w:u w:val="single"/>
        </w:rPr>
        <w:t xml:space="preserve">   （</w:t>
      </w:r>
      <w:r>
        <w:rPr>
          <w:rStyle w:val="44"/>
          <w:rFonts w:hint="eastAsia" w:ascii="宋体" w:hAnsi="宋体" w:cs="宋体"/>
          <w:b w:val="0"/>
          <w:bCs w:val="0"/>
          <w:color w:val="auto"/>
          <w:sz w:val="21"/>
          <w:szCs w:val="21"/>
          <w:highlight w:val="none"/>
          <w:u w:val="single"/>
          <w:lang w:val="en-US" w:eastAsia="zh-CN"/>
        </w:rPr>
        <w:t>项目名称</w:t>
      </w:r>
      <w:r>
        <w:rPr>
          <w:rStyle w:val="44"/>
          <w:rFonts w:hint="eastAsia" w:ascii="宋体" w:hAnsi="宋体" w:eastAsia="宋体" w:cs="宋体"/>
          <w:b w:val="0"/>
          <w:bCs w:val="0"/>
          <w:color w:val="auto"/>
          <w:sz w:val="21"/>
          <w:szCs w:val="21"/>
          <w:highlight w:val="none"/>
          <w:u w:val="single"/>
        </w:rPr>
        <w:t xml:space="preserve">）  </w:t>
      </w:r>
      <w:r>
        <w:rPr>
          <w:rStyle w:val="44"/>
          <w:rFonts w:hint="eastAsia" w:ascii="宋体" w:hAnsi="宋体" w:eastAsia="宋体" w:cs="宋体"/>
          <w:b w:val="0"/>
          <w:bCs w:val="0"/>
          <w:color w:val="auto"/>
          <w:sz w:val="21"/>
          <w:szCs w:val="21"/>
          <w:highlight w:val="none"/>
        </w:rPr>
        <w:t>招标</w:t>
      </w:r>
      <w:r>
        <w:rPr>
          <w:rFonts w:hint="eastAsia" w:ascii="宋体" w:hAnsi="宋体" w:eastAsia="宋体" w:cs="宋体"/>
          <w:b w:val="0"/>
          <w:bCs w:val="0"/>
          <w:color w:val="auto"/>
          <w:sz w:val="21"/>
          <w:szCs w:val="21"/>
          <w:highlight w:val="none"/>
        </w:rPr>
        <w:t>的投标文件、签订合同和处理有关事宜，其法律后果由我方承担。</w:t>
      </w:r>
    </w:p>
    <w:p w14:paraId="4CCCCCFD">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委托期限：</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（至少包含投标有效期）</w:t>
      </w:r>
      <w:r>
        <w:rPr>
          <w:rFonts w:hint="eastAsia" w:ascii="宋体" w:hAnsi="宋体" w:eastAsia="宋体" w:cs="宋体"/>
          <w:b w:val="0"/>
          <w:bCs w:val="0"/>
          <w:color w:val="auto"/>
          <w:sz w:val="21"/>
          <w:szCs w:val="21"/>
          <w:highlight w:val="none"/>
        </w:rPr>
        <w:t>。</w:t>
      </w:r>
    </w:p>
    <w:p w14:paraId="22DB95CD">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代理人无转委托权。</w:t>
      </w:r>
    </w:p>
    <w:p w14:paraId="6AF54095">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261CF3EF">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附：委托代理人身份证扫描件（正反面）</w:t>
      </w:r>
    </w:p>
    <w:p w14:paraId="5C407853">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7266553B">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59233DC4">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w:t>
      </w:r>
      <w:r>
        <w:rPr>
          <w:rFonts w:hint="eastAsia" w:ascii="宋体" w:hAnsi="宋体" w:eastAsia="宋体" w:cs="宋体"/>
          <w:b w:val="0"/>
          <w:bCs w:val="0"/>
          <w:color w:val="auto"/>
          <w:sz w:val="21"/>
          <w:szCs w:val="21"/>
          <w:highlight w:val="none"/>
          <w:lang w:eastAsia="zh-CN"/>
        </w:rPr>
        <w:t>投标单位名称</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（电子签章）</w:t>
      </w:r>
    </w:p>
    <w:p w14:paraId="7EAB7AD4">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（电子签章）</w:t>
      </w:r>
    </w:p>
    <w:p w14:paraId="2DE09D80">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身份证号码：____________________________________</w:t>
      </w:r>
    </w:p>
    <w:p w14:paraId="53D65AE9">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委托代理人</w:t>
      </w:r>
      <w:r>
        <w:rPr>
          <w:rFonts w:hint="eastAsia" w:ascii="宋体" w:hAnsi="宋体" w:eastAsia="宋体" w:cs="宋体"/>
          <w:b w:val="0"/>
          <w:bCs w:val="0"/>
          <w:color w:val="auto"/>
          <w:sz w:val="21"/>
          <w:szCs w:val="21"/>
          <w:highlight w:val="none"/>
          <w:lang w:eastAsia="zh-CN"/>
        </w:rPr>
        <w:t>（签字）</w:t>
      </w:r>
      <w:r>
        <w:rPr>
          <w:rFonts w:hint="eastAsia" w:ascii="宋体" w:hAnsi="宋体" w:eastAsia="宋体" w:cs="宋体"/>
          <w:b w:val="0"/>
          <w:bCs w:val="0"/>
          <w:color w:val="auto"/>
          <w:sz w:val="21"/>
          <w:szCs w:val="21"/>
          <w:highlight w:val="none"/>
        </w:rPr>
        <w:t>：____________________________________</w:t>
      </w:r>
    </w:p>
    <w:p w14:paraId="4F268E50">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身份证号码：____________________________________</w:t>
      </w:r>
    </w:p>
    <w:p w14:paraId="5E9F7DDF">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p>
    <w:p w14:paraId="5DC17ADE">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_________年_______月_______日</w:t>
      </w:r>
    </w:p>
    <w:p w14:paraId="51A11124">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p>
    <w:p w14:paraId="7A27EE5C">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7C6D4808">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2861CA22">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4D60BFBD">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54749681">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0B102865">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110703BE">
      <w:pPr>
        <w:rPr>
          <w:rFonts w:hint="eastAsia" w:ascii="宋体" w:hAnsi="宋体" w:eastAsia="宋体" w:cs="宋体"/>
          <w:b/>
          <w:bCs/>
          <w:color w:val="auto"/>
          <w:sz w:val="21"/>
          <w:szCs w:val="21"/>
          <w:highlight w:val="none"/>
        </w:rPr>
      </w:pPr>
      <w:bookmarkStart w:id="962" w:name="_Toc5679"/>
      <w:bookmarkStart w:id="963" w:name="_Toc20903"/>
      <w:r>
        <w:rPr>
          <w:rFonts w:hint="eastAsia" w:ascii="宋体" w:hAnsi="宋体" w:eastAsia="宋体" w:cs="宋体"/>
          <w:b/>
          <w:bCs/>
          <w:color w:val="auto"/>
          <w:sz w:val="21"/>
          <w:szCs w:val="21"/>
          <w:highlight w:val="none"/>
        </w:rPr>
        <w:br w:type="page"/>
      </w:r>
    </w:p>
    <w:p w14:paraId="0AC5F22F">
      <w:pPr>
        <w:adjustRightInd w:val="0"/>
        <w:snapToGrid w:val="0"/>
        <w:spacing w:line="360" w:lineRule="auto"/>
        <w:jc w:val="center"/>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AUTOTEXT  其他要求 \* MERGEFORMAT</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t>投标保证金缴纳凭证</w:t>
      </w:r>
      <w:bookmarkEnd w:id="962"/>
      <w:bookmarkEnd w:id="963"/>
    </w:p>
    <w:p w14:paraId="4265F1DF">
      <w:pPr>
        <w:adjustRightInd w:val="0"/>
        <w:snapToGrid w:val="0"/>
        <w:spacing w:line="360" w:lineRule="auto"/>
        <w:rPr>
          <w:rFonts w:hint="eastAsia" w:ascii="宋体" w:hAnsi="宋体" w:eastAsia="宋体" w:cs="宋体"/>
          <w:b w:val="0"/>
          <w:bCs w:val="0"/>
          <w:color w:val="auto"/>
          <w:sz w:val="21"/>
          <w:szCs w:val="21"/>
          <w:highlight w:val="none"/>
        </w:rPr>
      </w:pPr>
    </w:p>
    <w:p w14:paraId="549627AA">
      <w:pPr>
        <w:spacing w:line="440" w:lineRule="exact"/>
        <w:outlineLvl w:val="2"/>
        <w:rPr>
          <w:rFonts w:hint="eastAsia" w:ascii="宋体" w:hAnsi="宋体" w:eastAsia="宋体" w:cs="宋体"/>
          <w:szCs w:val="21"/>
          <w:highlight w:val="none"/>
        </w:rPr>
      </w:pPr>
      <w:bookmarkStart w:id="964" w:name="_Toc1683"/>
      <w:bookmarkStart w:id="965" w:name="_Toc26347"/>
      <w:bookmarkStart w:id="966" w:name="_Toc30015"/>
      <w:bookmarkStart w:id="967" w:name="_Toc6931"/>
      <w:r>
        <w:rPr>
          <w:rFonts w:hint="eastAsia" w:ascii="宋体" w:hAnsi="宋体" w:eastAsia="宋体" w:cs="宋体"/>
          <w:szCs w:val="21"/>
          <w:highlight w:val="none"/>
        </w:rPr>
        <w:t>1、若采用银行转账，格式如下：</w:t>
      </w:r>
      <w:bookmarkEnd w:id="964"/>
      <w:bookmarkEnd w:id="965"/>
    </w:p>
    <w:p w14:paraId="31C67E59">
      <w:pPr>
        <w:spacing w:line="440" w:lineRule="exact"/>
        <w:rPr>
          <w:rFonts w:hint="eastAsia" w:ascii="宋体" w:hAnsi="宋体" w:eastAsia="宋体" w:cs="宋体"/>
          <w:szCs w:val="21"/>
          <w:highlight w:val="none"/>
          <w:u w:val="single"/>
        </w:rPr>
      </w:pPr>
    </w:p>
    <w:p w14:paraId="1ED8118B">
      <w:pPr>
        <w:spacing w:line="440" w:lineRule="exact"/>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（招标人名称）：</w:t>
      </w:r>
    </w:p>
    <w:p w14:paraId="401258F2">
      <w:pPr>
        <w:spacing w:line="440" w:lineRule="exact"/>
        <w:rPr>
          <w:rFonts w:hint="eastAsia" w:ascii="宋体" w:hAnsi="宋体" w:eastAsia="宋体" w:cs="宋体"/>
          <w:szCs w:val="21"/>
          <w:highlight w:val="none"/>
        </w:rPr>
      </w:pPr>
    </w:p>
    <w:p w14:paraId="1A6A54EA">
      <w:pPr>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我方于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日参加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r>
        <w:rPr>
          <w:rFonts w:hint="eastAsia" w:ascii="宋体" w:hAnsi="宋体" w:cs="宋体"/>
          <w:szCs w:val="21"/>
          <w:highlight w:val="none"/>
          <w:lang w:val="en-US" w:eastAsia="zh-CN"/>
        </w:rPr>
        <w:t>标段名称</w:t>
      </w:r>
      <w:r>
        <w:rPr>
          <w:rFonts w:hint="eastAsia" w:ascii="宋体" w:hAnsi="宋体" w:eastAsia="宋体" w:cs="宋体"/>
          <w:szCs w:val="21"/>
          <w:highlight w:val="none"/>
        </w:rPr>
        <w:t>）的投标，现保证：我方在规定的投标有效期内撤销或修改投标文件的，或者在收到中标通知书后无正当理由拒签合同或拒交规定履约担保的，投标保证金不予退还。</w:t>
      </w:r>
    </w:p>
    <w:p w14:paraId="1AF9B14E">
      <w:pPr>
        <w:spacing w:line="440" w:lineRule="exact"/>
        <w:rPr>
          <w:rFonts w:hint="eastAsia" w:ascii="宋体" w:hAnsi="宋体" w:eastAsia="宋体" w:cs="宋体"/>
          <w:szCs w:val="21"/>
          <w:highlight w:val="none"/>
        </w:rPr>
      </w:pPr>
    </w:p>
    <w:p w14:paraId="293880C8">
      <w:pPr>
        <w:spacing w:line="440" w:lineRule="exact"/>
        <w:rPr>
          <w:rFonts w:hint="eastAsia" w:ascii="宋体" w:hAnsi="宋体" w:eastAsia="宋体" w:cs="宋体"/>
          <w:szCs w:val="21"/>
          <w:highlight w:val="none"/>
        </w:rPr>
      </w:pPr>
    </w:p>
    <w:p w14:paraId="2C7C57FA">
      <w:pPr>
        <w:spacing w:line="440" w:lineRule="exact"/>
        <w:ind w:firstLine="2158" w:firstLineChars="1028"/>
        <w:rPr>
          <w:rFonts w:hint="eastAsia" w:ascii="宋体" w:hAnsi="宋体" w:eastAsia="宋体" w:cs="宋体"/>
          <w:szCs w:val="21"/>
          <w:highlight w:val="none"/>
        </w:rPr>
      </w:pPr>
      <w:r>
        <w:rPr>
          <w:rFonts w:hint="eastAsia" w:ascii="宋体" w:hAnsi="宋体" w:eastAsia="宋体" w:cs="宋体"/>
          <w:szCs w:val="21"/>
          <w:highlight w:val="none"/>
        </w:rPr>
        <w:t>投标人名称：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（盖单位章）</w:t>
      </w:r>
    </w:p>
    <w:p w14:paraId="64C57887">
      <w:pPr>
        <w:spacing w:line="440" w:lineRule="exact"/>
        <w:ind w:firstLine="2158" w:firstLineChars="1028"/>
        <w:rPr>
          <w:rFonts w:hint="eastAsia" w:ascii="宋体" w:hAnsi="宋体" w:eastAsia="宋体" w:cs="宋体"/>
          <w:szCs w:val="21"/>
          <w:highlight w:val="none"/>
        </w:rPr>
      </w:pPr>
      <w:r>
        <w:rPr>
          <w:rFonts w:hint="eastAsia" w:ascii="宋体" w:hAnsi="宋体" w:eastAsia="宋体" w:cs="宋体"/>
          <w:szCs w:val="21"/>
          <w:highlight w:val="none"/>
        </w:rPr>
        <w:t>法定代表人或授权人：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（签字或盖章）</w:t>
      </w:r>
    </w:p>
    <w:p w14:paraId="4347E513">
      <w:pPr>
        <w:spacing w:line="440" w:lineRule="exact"/>
        <w:ind w:firstLine="2158" w:firstLineChars="1028"/>
        <w:rPr>
          <w:rFonts w:hint="eastAsia" w:ascii="宋体" w:hAnsi="宋体" w:eastAsia="宋体" w:cs="宋体"/>
          <w:szCs w:val="21"/>
          <w:highlight w:val="none"/>
        </w:rPr>
      </w:pPr>
      <w:r>
        <w:rPr>
          <w:rFonts w:hint="eastAsia" w:ascii="宋体" w:hAnsi="宋体" w:eastAsia="宋体" w:cs="宋体"/>
          <w:szCs w:val="21"/>
          <w:highlight w:val="none"/>
        </w:rPr>
        <w:t>地    址：</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p>
    <w:p w14:paraId="63C83F67">
      <w:pPr>
        <w:spacing w:line="440" w:lineRule="exact"/>
        <w:ind w:firstLine="2158" w:firstLineChars="1028"/>
        <w:rPr>
          <w:rFonts w:hint="eastAsia" w:ascii="宋体" w:hAnsi="宋体" w:eastAsia="宋体" w:cs="宋体"/>
          <w:szCs w:val="21"/>
          <w:highlight w:val="none"/>
          <w:u w:val="single"/>
        </w:rPr>
      </w:pPr>
      <w:r>
        <w:rPr>
          <w:rFonts w:hint="eastAsia" w:ascii="宋体" w:hAnsi="宋体" w:eastAsia="宋体" w:cs="宋体"/>
          <w:szCs w:val="21"/>
          <w:highlight w:val="none"/>
        </w:rPr>
        <w:t>邮政编码：</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p>
    <w:p w14:paraId="47CF35CB">
      <w:pPr>
        <w:spacing w:line="440" w:lineRule="exact"/>
        <w:ind w:firstLine="2158" w:firstLineChars="1028"/>
        <w:rPr>
          <w:rFonts w:hint="eastAsia" w:ascii="宋体" w:hAnsi="宋体" w:eastAsia="宋体" w:cs="宋体"/>
          <w:szCs w:val="21"/>
          <w:highlight w:val="non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xml:space="preserve">                                          </w:t>
      </w:r>
    </w:p>
    <w:p w14:paraId="7DAAA08F">
      <w:pPr>
        <w:spacing w:line="440" w:lineRule="exact"/>
        <w:ind w:firstLine="3838" w:firstLineChars="1828"/>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5402177D">
      <w:pPr>
        <w:spacing w:line="440" w:lineRule="exact"/>
        <w:rPr>
          <w:rFonts w:hint="eastAsia" w:ascii="宋体" w:hAnsi="宋体" w:eastAsia="宋体" w:cs="宋体"/>
          <w:sz w:val="24"/>
          <w:highlight w:val="none"/>
        </w:rPr>
      </w:pPr>
    </w:p>
    <w:p w14:paraId="647014C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szCs w:val="21"/>
          <w:highlight w:val="none"/>
        </w:rPr>
      </w:pPr>
      <w:r>
        <w:rPr>
          <w:rFonts w:hint="eastAsia" w:ascii="宋体" w:hAnsi="宋体" w:eastAsia="宋体" w:cs="宋体"/>
          <w:b/>
          <w:szCs w:val="21"/>
          <w:highlight w:val="none"/>
        </w:rPr>
        <w:t>备注：投标人应在此提供汇款凭证、投标系统保证金确认回执的彩色复印件或彩色打印件</w:t>
      </w:r>
      <w:r>
        <w:rPr>
          <w:rFonts w:hint="eastAsia" w:ascii="宋体" w:hAnsi="宋体" w:eastAsia="宋体" w:cs="宋体"/>
          <w:b/>
          <w:szCs w:val="21"/>
          <w:highlight w:val="none"/>
          <w:lang w:eastAsia="zh-CN"/>
        </w:rPr>
        <w:t>，采用</w:t>
      </w:r>
      <w:r>
        <w:rPr>
          <w:rFonts w:hint="eastAsia" w:ascii="宋体" w:hAnsi="宋体" w:eastAsia="宋体" w:cs="宋体"/>
          <w:b/>
          <w:bCs/>
          <w:szCs w:val="21"/>
          <w:highlight w:val="none"/>
        </w:rPr>
        <w:t>保证金保险/银行保函</w:t>
      </w:r>
      <w:r>
        <w:rPr>
          <w:rFonts w:hint="eastAsia" w:ascii="宋体" w:hAnsi="宋体" w:eastAsia="宋体" w:cs="宋体"/>
          <w:b/>
          <w:bCs/>
          <w:szCs w:val="21"/>
          <w:highlight w:val="none"/>
          <w:lang w:eastAsia="zh-CN"/>
        </w:rPr>
        <w:t>的无须填写</w:t>
      </w:r>
      <w:r>
        <w:rPr>
          <w:rFonts w:hint="eastAsia" w:ascii="宋体" w:hAnsi="宋体" w:eastAsia="宋体" w:cs="宋体"/>
          <w:b/>
          <w:bCs/>
          <w:szCs w:val="21"/>
          <w:highlight w:val="none"/>
        </w:rPr>
        <w:t>。</w:t>
      </w:r>
    </w:p>
    <w:p w14:paraId="361502F0">
      <w:pPr>
        <w:spacing w:line="440" w:lineRule="exact"/>
        <w:rPr>
          <w:rFonts w:hint="eastAsia" w:ascii="宋体" w:hAnsi="宋体" w:eastAsia="宋体" w:cs="宋体"/>
          <w:szCs w:val="21"/>
          <w:highlight w:val="none"/>
        </w:rPr>
      </w:pPr>
    </w:p>
    <w:p w14:paraId="2FC5DB4E">
      <w:pPr>
        <w:spacing w:line="440" w:lineRule="exact"/>
        <w:outlineLvl w:val="2"/>
        <w:rPr>
          <w:rFonts w:hint="eastAsia" w:ascii="宋体" w:hAnsi="宋体" w:eastAsia="宋体" w:cs="宋体"/>
          <w:highlight w:val="none"/>
        </w:rPr>
      </w:pPr>
      <w:r>
        <w:rPr>
          <w:rFonts w:hint="eastAsia" w:ascii="宋体" w:hAnsi="宋体" w:eastAsia="宋体" w:cs="宋体"/>
          <w:sz w:val="20"/>
          <w:szCs w:val="20"/>
          <w:highlight w:val="none"/>
        </w:rPr>
        <w:br w:type="page"/>
      </w:r>
      <w:bookmarkStart w:id="968" w:name="_Toc24122"/>
      <w:bookmarkStart w:id="969" w:name="_Toc31339"/>
      <w:r>
        <w:rPr>
          <w:rFonts w:hint="eastAsia" w:ascii="宋体" w:hAnsi="宋体" w:eastAsia="宋体" w:cs="宋体"/>
          <w:szCs w:val="21"/>
          <w:highlight w:val="none"/>
        </w:rPr>
        <w:t>2、如采用投标保证金保险/银行保函，格式如下</w:t>
      </w:r>
      <w:bookmarkEnd w:id="968"/>
      <w:bookmarkEnd w:id="969"/>
    </w:p>
    <w:p w14:paraId="1AC1857E">
      <w:pPr>
        <w:spacing w:line="440" w:lineRule="exact"/>
        <w:rPr>
          <w:rFonts w:hint="eastAsia" w:ascii="宋体" w:hAnsi="宋体" w:eastAsia="宋体" w:cs="宋体"/>
          <w:szCs w:val="21"/>
          <w:highlight w:val="none"/>
        </w:rPr>
      </w:pPr>
    </w:p>
    <w:p w14:paraId="6F5628D4">
      <w:pPr>
        <w:spacing w:line="440" w:lineRule="exact"/>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（招标人名称）：</w:t>
      </w:r>
    </w:p>
    <w:p w14:paraId="571FA705">
      <w:pPr>
        <w:spacing w:line="440" w:lineRule="exact"/>
        <w:rPr>
          <w:rFonts w:hint="eastAsia" w:ascii="宋体" w:hAnsi="宋体" w:eastAsia="宋体" w:cs="宋体"/>
          <w:szCs w:val="21"/>
          <w:highlight w:val="none"/>
        </w:rPr>
      </w:pPr>
    </w:p>
    <w:p w14:paraId="71BBA948">
      <w:pPr>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鉴于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（投标人名称）（以下称“投标人”）于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日参加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r>
        <w:rPr>
          <w:rFonts w:hint="eastAsia" w:ascii="宋体" w:hAnsi="宋体" w:cs="宋体"/>
          <w:szCs w:val="21"/>
          <w:highlight w:val="none"/>
          <w:lang w:val="en-US" w:eastAsia="zh-CN"/>
        </w:rPr>
        <w:t>标段名称</w:t>
      </w:r>
      <w:r>
        <w:rPr>
          <w:rFonts w:hint="eastAsia" w:ascii="宋体" w:hAnsi="宋体" w:eastAsia="宋体" w:cs="宋体"/>
          <w:szCs w:val="21"/>
          <w:highlight w:val="none"/>
        </w:rPr>
        <w:t>）的投标，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投标人/担保人名称，以下简称“我方”）保证：投标人在规定的投标有效期内撤销或修改其投标文件的，或者投标人在收到中标通知书后无正当理由拒签合同或拒交规定履约担保的，我方承担保证责任。收到你方书面通知后，在7日内向你方支付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4692B886">
      <w:pPr>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本保函在投标有效期内保持有效。要求我方承担保证责任的通知应在投标有效期内送达我方。</w:t>
      </w:r>
    </w:p>
    <w:p w14:paraId="7DE6CD2E">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p>
    <w:p w14:paraId="79334A10">
      <w:pPr>
        <w:spacing w:line="440" w:lineRule="exact"/>
        <w:rPr>
          <w:rFonts w:hint="eastAsia" w:ascii="宋体" w:hAnsi="宋体" w:eastAsia="宋体" w:cs="宋体"/>
          <w:szCs w:val="21"/>
          <w:highlight w:val="none"/>
        </w:rPr>
      </w:pPr>
    </w:p>
    <w:p w14:paraId="50F2D10D">
      <w:pPr>
        <w:spacing w:line="440" w:lineRule="exact"/>
        <w:rPr>
          <w:rFonts w:hint="eastAsia" w:ascii="宋体" w:hAnsi="宋体" w:eastAsia="宋体" w:cs="宋体"/>
          <w:szCs w:val="21"/>
          <w:highlight w:val="none"/>
        </w:rPr>
      </w:pPr>
    </w:p>
    <w:p w14:paraId="7453F9D8">
      <w:pPr>
        <w:spacing w:line="440" w:lineRule="exact"/>
        <w:rPr>
          <w:rFonts w:hint="eastAsia" w:ascii="宋体" w:hAnsi="宋体" w:eastAsia="宋体" w:cs="宋体"/>
          <w:szCs w:val="21"/>
          <w:highlight w:val="none"/>
        </w:rPr>
      </w:pPr>
    </w:p>
    <w:p w14:paraId="71A621B5">
      <w:pPr>
        <w:spacing w:line="440" w:lineRule="exact"/>
        <w:ind w:firstLine="2158" w:firstLineChars="1028"/>
        <w:rPr>
          <w:rFonts w:hint="eastAsia" w:ascii="宋体" w:hAnsi="宋体" w:eastAsia="宋体" w:cs="宋体"/>
          <w:szCs w:val="21"/>
          <w:highlight w:val="none"/>
        </w:rPr>
      </w:pPr>
      <w:r>
        <w:rPr>
          <w:rFonts w:hint="eastAsia" w:ascii="宋体" w:hAnsi="宋体" w:eastAsia="宋体" w:cs="宋体"/>
          <w:szCs w:val="21"/>
          <w:highlight w:val="none"/>
        </w:rPr>
        <w:t>投标人/担保人名称：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（盖单位章）</w:t>
      </w:r>
    </w:p>
    <w:p w14:paraId="1D83474C">
      <w:pPr>
        <w:spacing w:line="440" w:lineRule="exact"/>
        <w:ind w:firstLine="2158" w:firstLineChars="1028"/>
        <w:rPr>
          <w:rFonts w:hint="eastAsia" w:ascii="宋体" w:hAnsi="宋体" w:eastAsia="宋体" w:cs="宋体"/>
          <w:szCs w:val="21"/>
          <w:highlight w:val="none"/>
        </w:rPr>
      </w:pPr>
      <w:r>
        <w:rPr>
          <w:rFonts w:hint="eastAsia" w:ascii="宋体" w:hAnsi="宋体" w:eastAsia="宋体" w:cs="宋体"/>
          <w:szCs w:val="21"/>
          <w:highlight w:val="none"/>
        </w:rPr>
        <w:t>法定代表人或授权人：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（签字或盖章）</w:t>
      </w:r>
    </w:p>
    <w:p w14:paraId="29112A53">
      <w:pPr>
        <w:spacing w:line="440" w:lineRule="exact"/>
        <w:ind w:firstLine="2158" w:firstLineChars="1028"/>
        <w:rPr>
          <w:rFonts w:hint="eastAsia" w:ascii="宋体" w:hAnsi="宋体" w:eastAsia="宋体" w:cs="宋体"/>
          <w:szCs w:val="21"/>
          <w:highlight w:val="none"/>
        </w:rPr>
      </w:pPr>
      <w:r>
        <w:rPr>
          <w:rFonts w:hint="eastAsia" w:ascii="宋体" w:hAnsi="宋体" w:eastAsia="宋体" w:cs="宋体"/>
          <w:szCs w:val="21"/>
          <w:highlight w:val="none"/>
        </w:rPr>
        <w:t>地    址：</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p>
    <w:p w14:paraId="6F288764">
      <w:pPr>
        <w:spacing w:line="440" w:lineRule="exact"/>
        <w:ind w:firstLine="2158" w:firstLineChars="1028"/>
        <w:rPr>
          <w:rFonts w:hint="eastAsia" w:ascii="宋体" w:hAnsi="宋体" w:eastAsia="宋体" w:cs="宋体"/>
          <w:szCs w:val="21"/>
          <w:highlight w:val="none"/>
          <w:u w:val="single"/>
        </w:rPr>
      </w:pPr>
      <w:r>
        <w:rPr>
          <w:rFonts w:hint="eastAsia" w:ascii="宋体" w:hAnsi="宋体" w:eastAsia="宋体" w:cs="宋体"/>
          <w:szCs w:val="21"/>
          <w:highlight w:val="none"/>
        </w:rPr>
        <w:t>邮政编码：</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ab/>
      </w:r>
    </w:p>
    <w:p w14:paraId="4BBFB7C3">
      <w:pPr>
        <w:spacing w:line="440" w:lineRule="exact"/>
        <w:ind w:firstLine="2158" w:firstLineChars="1028"/>
        <w:rPr>
          <w:rFonts w:hint="eastAsia" w:ascii="宋体" w:hAnsi="宋体" w:eastAsia="宋体" w:cs="宋体"/>
          <w:szCs w:val="21"/>
          <w:highlight w:val="non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xml:space="preserve">                                          </w:t>
      </w:r>
    </w:p>
    <w:p w14:paraId="401A70E9">
      <w:pPr>
        <w:spacing w:line="440" w:lineRule="exact"/>
        <w:ind w:firstLine="3523" w:firstLineChars="1678"/>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1C6EA18C">
      <w:pPr>
        <w:spacing w:line="440" w:lineRule="exact"/>
        <w:ind w:firstLine="3523" w:firstLineChars="1678"/>
        <w:rPr>
          <w:rFonts w:hint="eastAsia" w:ascii="宋体" w:hAnsi="宋体" w:eastAsia="宋体" w:cs="宋体"/>
          <w:highlight w:val="none"/>
        </w:rPr>
      </w:pPr>
    </w:p>
    <w:p w14:paraId="64FD26F7">
      <w:pPr>
        <w:spacing w:line="440" w:lineRule="exact"/>
        <w:ind w:firstLine="3523" w:firstLineChars="1678"/>
        <w:rPr>
          <w:rFonts w:hint="eastAsia" w:ascii="宋体" w:hAnsi="宋体" w:eastAsia="宋体" w:cs="宋体"/>
          <w:highlight w:val="none"/>
        </w:rPr>
      </w:pPr>
    </w:p>
    <w:p w14:paraId="5F25B0DA">
      <w:pPr>
        <w:spacing w:line="440" w:lineRule="exact"/>
        <w:rPr>
          <w:rFonts w:hint="eastAsia" w:ascii="宋体" w:hAnsi="宋体" w:eastAsia="宋体" w:cs="宋体"/>
          <w:b/>
          <w:szCs w:val="21"/>
          <w:highlight w:val="none"/>
        </w:rPr>
      </w:pPr>
      <w:r>
        <w:rPr>
          <w:rFonts w:hint="eastAsia" w:ascii="宋体" w:hAnsi="宋体" w:eastAsia="宋体" w:cs="宋体"/>
          <w:b/>
          <w:szCs w:val="21"/>
          <w:highlight w:val="none"/>
          <w:lang w:eastAsia="zh-CN"/>
        </w:rPr>
        <w:t>注：</w:t>
      </w:r>
      <w:r>
        <w:rPr>
          <w:rFonts w:hint="eastAsia" w:ascii="宋体" w:hAnsi="宋体" w:eastAsia="宋体" w:cs="宋体"/>
          <w:b/>
          <w:szCs w:val="21"/>
          <w:highlight w:val="none"/>
        </w:rPr>
        <w:t>若采用投标保证金保险或银行保函，投标人应在此提供投标保证保险或银行保函凭证、投标系统投标保证保险确认回执的彩色复印件或彩色打印件</w:t>
      </w:r>
      <w:r>
        <w:rPr>
          <w:rFonts w:hint="eastAsia" w:ascii="宋体" w:hAnsi="宋体" w:eastAsia="宋体" w:cs="宋体"/>
          <w:b/>
          <w:szCs w:val="21"/>
          <w:highlight w:val="none"/>
          <w:lang w:eastAsia="zh-CN"/>
        </w:rPr>
        <w:t>，采用银行转账的</w:t>
      </w:r>
      <w:r>
        <w:rPr>
          <w:rFonts w:hint="eastAsia" w:ascii="宋体" w:hAnsi="宋体" w:eastAsia="宋体" w:cs="宋体"/>
          <w:b/>
          <w:bCs/>
          <w:szCs w:val="21"/>
          <w:highlight w:val="none"/>
          <w:lang w:eastAsia="zh-CN"/>
        </w:rPr>
        <w:t>无须填写</w:t>
      </w:r>
      <w:r>
        <w:rPr>
          <w:rFonts w:hint="eastAsia" w:ascii="宋体" w:hAnsi="宋体" w:eastAsia="宋体" w:cs="宋体"/>
          <w:b/>
          <w:szCs w:val="21"/>
          <w:highlight w:val="none"/>
        </w:rPr>
        <w:t>。</w:t>
      </w:r>
    </w:p>
    <w:p w14:paraId="56714365">
      <w:pPr>
        <w:rPr>
          <w:rFonts w:hint="eastAsia" w:ascii="宋体" w:hAnsi="宋体" w:eastAsia="宋体" w:cs="宋体"/>
          <w:highlight w:val="none"/>
        </w:rPr>
      </w:pPr>
    </w:p>
    <w:p w14:paraId="502BD9A5">
      <w:pPr>
        <w:spacing w:line="440" w:lineRule="exact"/>
        <w:rPr>
          <w:rFonts w:hint="eastAsia" w:ascii="宋体" w:hAnsi="宋体" w:eastAsia="宋体" w:cs="宋体"/>
          <w:szCs w:val="21"/>
          <w:highlight w:val="none"/>
        </w:rPr>
      </w:pPr>
    </w:p>
    <w:p w14:paraId="5CE87018">
      <w:pPr>
        <w:ind w:firstLine="420" w:firstLineChars="200"/>
        <w:jc w:val="center"/>
        <w:rPr>
          <w:rFonts w:hint="eastAsia" w:ascii="宋体" w:hAnsi="宋体" w:eastAsia="宋体" w:cs="宋体"/>
          <w:caps/>
          <w:highlight w:val="none"/>
        </w:rPr>
      </w:pPr>
    </w:p>
    <w:p w14:paraId="07AEEF7A">
      <w:pPr>
        <w:ind w:firstLine="420" w:firstLineChars="200"/>
        <w:jc w:val="center"/>
        <w:rPr>
          <w:rFonts w:hint="eastAsia" w:ascii="宋体" w:hAnsi="宋体" w:eastAsia="宋体" w:cs="宋体"/>
          <w:caps/>
          <w:highlight w:val="none"/>
        </w:rPr>
      </w:pPr>
    </w:p>
    <w:p w14:paraId="1F3F7634">
      <w:pPr>
        <w:ind w:firstLine="420" w:firstLineChars="200"/>
        <w:jc w:val="center"/>
        <w:rPr>
          <w:rFonts w:hint="eastAsia" w:ascii="宋体" w:hAnsi="宋体" w:eastAsia="宋体" w:cs="宋体"/>
          <w:caps/>
          <w:highlight w:val="none"/>
        </w:rPr>
      </w:pPr>
    </w:p>
    <w:p w14:paraId="4CAAFBAA">
      <w:pPr>
        <w:rPr>
          <w:rFonts w:hint="eastAsia" w:ascii="宋体" w:hAnsi="宋体" w:eastAsia="宋体" w:cs="宋体"/>
          <w:highlight w:val="none"/>
        </w:rPr>
      </w:pPr>
      <w:r>
        <w:rPr>
          <w:rFonts w:hint="eastAsia" w:ascii="宋体" w:hAnsi="宋体" w:eastAsia="宋体" w:cs="宋体"/>
          <w:highlight w:val="none"/>
        </w:rPr>
        <w:br w:type="page"/>
      </w:r>
    </w:p>
    <w:p w14:paraId="4F5C83ED">
      <w:pPr>
        <w:numPr>
          <w:ilvl w:val="0"/>
          <w:numId w:val="4"/>
        </w:numPr>
        <w:spacing w:line="440" w:lineRule="exact"/>
        <w:ind w:firstLine="420" w:firstLineChars="200"/>
        <w:outlineLvl w:val="2"/>
        <w:rPr>
          <w:rFonts w:hint="eastAsia" w:ascii="宋体" w:hAnsi="宋体" w:eastAsia="宋体" w:cs="宋体"/>
          <w:szCs w:val="21"/>
          <w:highlight w:val="none"/>
          <w:lang w:eastAsia="zh-CN"/>
        </w:rPr>
      </w:pPr>
      <w:bookmarkStart w:id="970" w:name="_Toc17810"/>
      <w:bookmarkStart w:id="971" w:name="_Toc29103"/>
      <w:bookmarkStart w:id="972" w:name="_Toc8041"/>
      <w:r>
        <w:rPr>
          <w:rFonts w:hint="eastAsia" w:ascii="宋体" w:hAnsi="宋体" w:eastAsia="宋体" w:cs="宋体"/>
          <w:szCs w:val="21"/>
          <w:highlight w:val="none"/>
          <w:lang w:eastAsia="zh-CN"/>
        </w:rPr>
        <w:t>本项目根据《云南省人民政府关于印发2024年进一步推动经济稳进提质政策措施的通知》（云政发〔2024〕7号）等文件要求，免收取无失信记录企业投标保证金。无失信记录投标人</w:t>
      </w:r>
      <w:r>
        <w:rPr>
          <w:rFonts w:hint="eastAsia" w:ascii="宋体" w:hAnsi="宋体" w:cs="宋体"/>
          <w:szCs w:val="21"/>
          <w:highlight w:val="none"/>
          <w:lang w:val="en-US" w:eastAsia="zh-CN"/>
        </w:rPr>
        <w:t>须</w:t>
      </w:r>
      <w:r>
        <w:rPr>
          <w:rFonts w:hint="eastAsia" w:ascii="宋体" w:hAnsi="宋体" w:eastAsia="宋体" w:cs="宋体"/>
          <w:szCs w:val="21"/>
          <w:highlight w:val="none"/>
          <w:lang w:eastAsia="zh-CN"/>
        </w:rPr>
        <w:t>于投标截止前在缴纳保证金界面上传招标公告发布之日后“信用中国”出具的信用报告。并将证明材料附后。</w:t>
      </w:r>
      <w:bookmarkEnd w:id="970"/>
      <w:bookmarkEnd w:id="971"/>
      <w:bookmarkEnd w:id="972"/>
    </w:p>
    <w:p w14:paraId="2A4B6DC8">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2C2C397A">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01266CB9">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32502281">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62D86FAA">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2CBA6555">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0B745B57">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1E69C4E5">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5209B02E">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02AF79FB">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7E7D6FAB">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13F5FF11">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61B7973D">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064EDE17">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192D817D">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2143A9C4">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05AF7A66">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720A7B57">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4A3AC24F">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159D5F81">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1A1D2E51">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481A8086">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7344DBE2">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14819D97">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6E07D38C">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1717FF9C">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72375663">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56807815">
      <w:pPr>
        <w:widowControl w:val="0"/>
        <w:numPr>
          <w:ilvl w:val="0"/>
          <w:numId w:val="0"/>
        </w:numPr>
        <w:spacing w:line="440" w:lineRule="exact"/>
        <w:jc w:val="both"/>
        <w:outlineLvl w:val="2"/>
        <w:rPr>
          <w:rFonts w:hint="eastAsia" w:ascii="宋体" w:hAnsi="宋体" w:eastAsia="宋体" w:cs="宋体"/>
          <w:szCs w:val="21"/>
          <w:highlight w:val="none"/>
          <w:lang w:val="en-US" w:eastAsia="zh-CN"/>
        </w:rPr>
      </w:pPr>
    </w:p>
    <w:p w14:paraId="72E67263">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、投标人基本情况</w:t>
      </w:r>
      <w:bookmarkEnd w:id="966"/>
      <w:bookmarkEnd w:id="967"/>
    </w:p>
    <w:p w14:paraId="13CFC278">
      <w:pPr>
        <w:pStyle w:val="46"/>
        <w:numPr>
          <w:ilvl w:val="0"/>
          <w:numId w:val="0"/>
        </w:numPr>
        <w:snapToGrid w:val="0"/>
        <w:spacing w:after="120" w:afterLines="50" w:line="360" w:lineRule="auto"/>
        <w:jc w:val="center"/>
        <w:outlineLvl w:val="1"/>
        <w:rPr>
          <w:rFonts w:hint="eastAsia" w:ascii="宋体" w:hAnsi="宋体" w:eastAsia="宋体" w:cs="宋体"/>
          <w:b w:val="0"/>
          <w:bCs w:val="0"/>
          <w:color w:val="auto"/>
          <w:sz w:val="21"/>
          <w:szCs w:val="21"/>
          <w:highlight w:val="none"/>
        </w:rPr>
      </w:pPr>
      <w:bookmarkStart w:id="973" w:name="_Toc25230"/>
      <w:bookmarkStart w:id="974" w:name="_Toc7451"/>
      <w:r>
        <w:rPr>
          <w:rFonts w:hint="eastAsia" w:ascii="宋体" w:hAnsi="宋体" w:eastAsia="宋体" w:cs="宋体"/>
          <w:b w:val="0"/>
          <w:bCs w:val="0"/>
          <w:color w:val="auto"/>
          <w:sz w:val="21"/>
          <w:szCs w:val="21"/>
          <w:highlight w:val="none"/>
        </w:rPr>
        <w:t>（一）投标人基本情况表</w:t>
      </w:r>
      <w:bookmarkEnd w:id="973"/>
      <w:bookmarkEnd w:id="974"/>
    </w:p>
    <w:tbl>
      <w:tblPr>
        <w:tblStyle w:val="28"/>
        <w:tblW w:w="9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370"/>
        <w:gridCol w:w="1183"/>
        <w:gridCol w:w="592"/>
        <w:gridCol w:w="592"/>
        <w:gridCol w:w="1184"/>
        <w:gridCol w:w="769"/>
        <w:gridCol w:w="414"/>
        <w:gridCol w:w="592"/>
        <w:gridCol w:w="592"/>
        <w:gridCol w:w="1184"/>
      </w:tblGrid>
      <w:tr w14:paraId="46B75B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0A0E1E01">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投标人名称</w:t>
            </w:r>
          </w:p>
        </w:tc>
        <w:tc>
          <w:tcPr>
            <w:tcW w:w="7102" w:type="dxa"/>
            <w:gridSpan w:val="9"/>
            <w:vAlign w:val="center"/>
          </w:tcPr>
          <w:p w14:paraId="2FFAE388">
            <w:pPr>
              <w:topLinePunct/>
              <w:adjustRightInd w:val="0"/>
              <w:snapToGrid w:val="0"/>
              <w:jc w:val="center"/>
              <w:rPr>
                <w:rFonts w:hint="eastAsia" w:ascii="宋体" w:hAnsi="宋体" w:eastAsia="宋体" w:cs="宋体"/>
                <w:b w:val="0"/>
                <w:bCs w:val="0"/>
                <w:color w:val="auto"/>
                <w:sz w:val="21"/>
                <w:szCs w:val="21"/>
                <w:highlight w:val="none"/>
              </w:rPr>
            </w:pPr>
          </w:p>
        </w:tc>
      </w:tr>
      <w:tr w14:paraId="1C36E0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7920E7CD">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注册地址</w:t>
            </w:r>
          </w:p>
        </w:tc>
        <w:tc>
          <w:tcPr>
            <w:tcW w:w="3551" w:type="dxa"/>
            <w:gridSpan w:val="4"/>
            <w:vAlign w:val="center"/>
          </w:tcPr>
          <w:p w14:paraId="52AAAECF">
            <w:pPr>
              <w:topLinePunct/>
              <w:adjustRightInd w:val="0"/>
              <w:snapToGrid w:val="0"/>
              <w:jc w:val="center"/>
              <w:rPr>
                <w:rFonts w:hint="eastAsia" w:ascii="宋体" w:hAnsi="宋体" w:eastAsia="宋体" w:cs="宋体"/>
                <w:b w:val="0"/>
                <w:bCs w:val="0"/>
                <w:color w:val="auto"/>
                <w:sz w:val="21"/>
                <w:szCs w:val="21"/>
                <w:highlight w:val="none"/>
              </w:rPr>
            </w:pPr>
          </w:p>
        </w:tc>
        <w:tc>
          <w:tcPr>
            <w:tcW w:w="1775" w:type="dxa"/>
            <w:gridSpan w:val="3"/>
            <w:vAlign w:val="center"/>
          </w:tcPr>
          <w:p w14:paraId="78146195">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邮政编码</w:t>
            </w:r>
          </w:p>
        </w:tc>
        <w:tc>
          <w:tcPr>
            <w:tcW w:w="1776" w:type="dxa"/>
            <w:gridSpan w:val="2"/>
            <w:vAlign w:val="center"/>
          </w:tcPr>
          <w:p w14:paraId="58AAD54E">
            <w:pPr>
              <w:topLinePunct/>
              <w:adjustRightInd w:val="0"/>
              <w:snapToGrid w:val="0"/>
              <w:jc w:val="center"/>
              <w:rPr>
                <w:rFonts w:hint="eastAsia" w:ascii="宋体" w:hAnsi="宋体" w:eastAsia="宋体" w:cs="宋体"/>
                <w:b w:val="0"/>
                <w:bCs w:val="0"/>
                <w:color w:val="auto"/>
                <w:sz w:val="21"/>
                <w:szCs w:val="21"/>
                <w:highlight w:val="none"/>
              </w:rPr>
            </w:pPr>
          </w:p>
        </w:tc>
      </w:tr>
      <w:tr w14:paraId="3CAED2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Merge w:val="restart"/>
            <w:vAlign w:val="center"/>
          </w:tcPr>
          <w:p w14:paraId="1AA61C6E">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联系方式</w:t>
            </w:r>
          </w:p>
        </w:tc>
        <w:tc>
          <w:tcPr>
            <w:tcW w:w="1775" w:type="dxa"/>
            <w:gridSpan w:val="2"/>
            <w:vAlign w:val="center"/>
          </w:tcPr>
          <w:p w14:paraId="4DAA0CB2">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联系人</w:t>
            </w:r>
          </w:p>
        </w:tc>
        <w:tc>
          <w:tcPr>
            <w:tcW w:w="1776" w:type="dxa"/>
            <w:gridSpan w:val="2"/>
            <w:vAlign w:val="center"/>
          </w:tcPr>
          <w:p w14:paraId="36159A52">
            <w:pPr>
              <w:topLinePunct/>
              <w:adjustRightInd w:val="0"/>
              <w:snapToGrid w:val="0"/>
              <w:jc w:val="center"/>
              <w:rPr>
                <w:rFonts w:hint="eastAsia" w:ascii="宋体" w:hAnsi="宋体" w:eastAsia="宋体" w:cs="宋体"/>
                <w:b w:val="0"/>
                <w:bCs w:val="0"/>
                <w:color w:val="auto"/>
                <w:sz w:val="21"/>
                <w:szCs w:val="21"/>
                <w:highlight w:val="none"/>
              </w:rPr>
            </w:pPr>
          </w:p>
        </w:tc>
        <w:tc>
          <w:tcPr>
            <w:tcW w:w="1775" w:type="dxa"/>
            <w:gridSpan w:val="3"/>
            <w:vAlign w:val="center"/>
          </w:tcPr>
          <w:p w14:paraId="754C49BD">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 话</w:t>
            </w:r>
          </w:p>
        </w:tc>
        <w:tc>
          <w:tcPr>
            <w:tcW w:w="1776" w:type="dxa"/>
            <w:gridSpan w:val="2"/>
            <w:vAlign w:val="center"/>
          </w:tcPr>
          <w:p w14:paraId="6FAA5F76">
            <w:pPr>
              <w:topLinePunct/>
              <w:adjustRightInd w:val="0"/>
              <w:snapToGrid w:val="0"/>
              <w:jc w:val="center"/>
              <w:rPr>
                <w:rFonts w:hint="eastAsia" w:ascii="宋体" w:hAnsi="宋体" w:eastAsia="宋体" w:cs="宋体"/>
                <w:b w:val="0"/>
                <w:bCs w:val="0"/>
                <w:color w:val="auto"/>
                <w:sz w:val="21"/>
                <w:szCs w:val="21"/>
                <w:highlight w:val="none"/>
              </w:rPr>
            </w:pPr>
          </w:p>
        </w:tc>
      </w:tr>
      <w:tr w14:paraId="5D9C00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Merge w:val="continue"/>
            <w:vAlign w:val="center"/>
          </w:tcPr>
          <w:p w14:paraId="6466C8FC">
            <w:pPr>
              <w:topLinePunct/>
              <w:adjustRightInd w:val="0"/>
              <w:snapToGrid w:val="0"/>
              <w:jc w:val="center"/>
              <w:rPr>
                <w:rFonts w:hint="eastAsia" w:ascii="宋体" w:hAnsi="宋体" w:eastAsia="宋体" w:cs="宋体"/>
                <w:b w:val="0"/>
                <w:bCs w:val="0"/>
                <w:color w:val="auto"/>
                <w:sz w:val="21"/>
                <w:szCs w:val="21"/>
                <w:highlight w:val="none"/>
              </w:rPr>
            </w:pPr>
          </w:p>
        </w:tc>
        <w:tc>
          <w:tcPr>
            <w:tcW w:w="1775" w:type="dxa"/>
            <w:gridSpan w:val="2"/>
            <w:vAlign w:val="center"/>
          </w:tcPr>
          <w:p w14:paraId="04C4AD23">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传  真</w:t>
            </w:r>
          </w:p>
        </w:tc>
        <w:tc>
          <w:tcPr>
            <w:tcW w:w="1776" w:type="dxa"/>
            <w:gridSpan w:val="2"/>
            <w:vAlign w:val="center"/>
          </w:tcPr>
          <w:p w14:paraId="3EE77C85">
            <w:pPr>
              <w:topLinePunct/>
              <w:adjustRightInd w:val="0"/>
              <w:snapToGrid w:val="0"/>
              <w:jc w:val="center"/>
              <w:rPr>
                <w:rFonts w:hint="eastAsia" w:ascii="宋体" w:hAnsi="宋体" w:eastAsia="宋体" w:cs="宋体"/>
                <w:b w:val="0"/>
                <w:bCs w:val="0"/>
                <w:color w:val="auto"/>
                <w:sz w:val="21"/>
                <w:szCs w:val="21"/>
                <w:highlight w:val="none"/>
              </w:rPr>
            </w:pPr>
          </w:p>
        </w:tc>
        <w:tc>
          <w:tcPr>
            <w:tcW w:w="1775" w:type="dxa"/>
            <w:gridSpan w:val="3"/>
            <w:vAlign w:val="center"/>
          </w:tcPr>
          <w:p w14:paraId="03838E67">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网 址</w:t>
            </w:r>
          </w:p>
        </w:tc>
        <w:tc>
          <w:tcPr>
            <w:tcW w:w="1776" w:type="dxa"/>
            <w:gridSpan w:val="2"/>
            <w:vAlign w:val="center"/>
          </w:tcPr>
          <w:p w14:paraId="23569201">
            <w:pPr>
              <w:topLinePunct/>
              <w:adjustRightInd w:val="0"/>
              <w:snapToGrid w:val="0"/>
              <w:jc w:val="center"/>
              <w:rPr>
                <w:rFonts w:hint="eastAsia" w:ascii="宋体" w:hAnsi="宋体" w:eastAsia="宋体" w:cs="宋体"/>
                <w:b w:val="0"/>
                <w:bCs w:val="0"/>
                <w:color w:val="auto"/>
                <w:sz w:val="21"/>
                <w:szCs w:val="21"/>
                <w:highlight w:val="none"/>
              </w:rPr>
            </w:pPr>
          </w:p>
        </w:tc>
      </w:tr>
      <w:tr w14:paraId="0E9DC9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6DEA0FA7">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组织结构</w:t>
            </w:r>
          </w:p>
        </w:tc>
        <w:tc>
          <w:tcPr>
            <w:tcW w:w="7102" w:type="dxa"/>
            <w:gridSpan w:val="9"/>
            <w:vAlign w:val="center"/>
          </w:tcPr>
          <w:p w14:paraId="2C8BE9BD">
            <w:pPr>
              <w:topLinePunct/>
              <w:adjustRightInd w:val="0"/>
              <w:snapToGrid w:val="0"/>
              <w:jc w:val="center"/>
              <w:rPr>
                <w:rFonts w:hint="eastAsia" w:ascii="宋体" w:hAnsi="宋体" w:eastAsia="宋体" w:cs="宋体"/>
                <w:b w:val="0"/>
                <w:bCs w:val="0"/>
                <w:color w:val="auto"/>
                <w:sz w:val="21"/>
                <w:szCs w:val="21"/>
                <w:highlight w:val="none"/>
              </w:rPr>
            </w:pPr>
          </w:p>
        </w:tc>
      </w:tr>
      <w:tr w14:paraId="59FA0A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73AA7BAE">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w:t>
            </w:r>
          </w:p>
        </w:tc>
        <w:tc>
          <w:tcPr>
            <w:tcW w:w="1183" w:type="dxa"/>
            <w:vAlign w:val="center"/>
          </w:tcPr>
          <w:p w14:paraId="7E9C0481">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姓名</w:t>
            </w:r>
          </w:p>
        </w:tc>
        <w:tc>
          <w:tcPr>
            <w:tcW w:w="1184" w:type="dxa"/>
            <w:gridSpan w:val="2"/>
            <w:vAlign w:val="center"/>
          </w:tcPr>
          <w:p w14:paraId="10614ADA">
            <w:pPr>
              <w:topLinePunct/>
              <w:adjustRightInd w:val="0"/>
              <w:snapToGrid w:val="0"/>
              <w:jc w:val="center"/>
              <w:rPr>
                <w:rFonts w:hint="eastAsia" w:ascii="宋体" w:hAnsi="宋体" w:eastAsia="宋体" w:cs="宋体"/>
                <w:b w:val="0"/>
                <w:bCs w:val="0"/>
                <w:color w:val="auto"/>
                <w:sz w:val="21"/>
                <w:szCs w:val="21"/>
                <w:highlight w:val="none"/>
              </w:rPr>
            </w:pPr>
          </w:p>
        </w:tc>
        <w:tc>
          <w:tcPr>
            <w:tcW w:w="1184" w:type="dxa"/>
            <w:vAlign w:val="center"/>
          </w:tcPr>
          <w:p w14:paraId="34054163">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技术职称</w:t>
            </w:r>
          </w:p>
        </w:tc>
        <w:tc>
          <w:tcPr>
            <w:tcW w:w="1183" w:type="dxa"/>
            <w:gridSpan w:val="2"/>
            <w:vAlign w:val="center"/>
          </w:tcPr>
          <w:p w14:paraId="4F36F236">
            <w:pPr>
              <w:topLinePunct/>
              <w:adjustRightInd w:val="0"/>
              <w:snapToGrid w:val="0"/>
              <w:jc w:val="center"/>
              <w:rPr>
                <w:rFonts w:hint="eastAsia" w:ascii="宋体" w:hAnsi="宋体" w:eastAsia="宋体" w:cs="宋体"/>
                <w:b w:val="0"/>
                <w:bCs w:val="0"/>
                <w:color w:val="auto"/>
                <w:sz w:val="21"/>
                <w:szCs w:val="21"/>
                <w:highlight w:val="none"/>
              </w:rPr>
            </w:pPr>
          </w:p>
        </w:tc>
        <w:tc>
          <w:tcPr>
            <w:tcW w:w="1184" w:type="dxa"/>
            <w:gridSpan w:val="2"/>
            <w:vAlign w:val="center"/>
          </w:tcPr>
          <w:p w14:paraId="50EE75AC">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电话</w:t>
            </w:r>
          </w:p>
        </w:tc>
        <w:tc>
          <w:tcPr>
            <w:tcW w:w="1184" w:type="dxa"/>
            <w:vAlign w:val="center"/>
          </w:tcPr>
          <w:p w14:paraId="5443882E">
            <w:pPr>
              <w:topLinePunct/>
              <w:adjustRightInd w:val="0"/>
              <w:snapToGrid w:val="0"/>
              <w:jc w:val="center"/>
              <w:rPr>
                <w:rFonts w:hint="eastAsia" w:ascii="宋体" w:hAnsi="宋体" w:eastAsia="宋体" w:cs="宋体"/>
                <w:b w:val="0"/>
                <w:bCs w:val="0"/>
                <w:color w:val="auto"/>
                <w:sz w:val="21"/>
                <w:szCs w:val="21"/>
                <w:highlight w:val="none"/>
              </w:rPr>
            </w:pPr>
          </w:p>
        </w:tc>
      </w:tr>
      <w:tr w14:paraId="03FD34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3BE77ED2">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技术负责人</w:t>
            </w:r>
          </w:p>
        </w:tc>
        <w:tc>
          <w:tcPr>
            <w:tcW w:w="1183" w:type="dxa"/>
            <w:vAlign w:val="center"/>
          </w:tcPr>
          <w:p w14:paraId="4695E427">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姓名</w:t>
            </w:r>
          </w:p>
        </w:tc>
        <w:tc>
          <w:tcPr>
            <w:tcW w:w="1184" w:type="dxa"/>
            <w:gridSpan w:val="2"/>
            <w:vAlign w:val="center"/>
          </w:tcPr>
          <w:p w14:paraId="7F48A30D">
            <w:pPr>
              <w:topLinePunct/>
              <w:adjustRightInd w:val="0"/>
              <w:snapToGrid w:val="0"/>
              <w:jc w:val="center"/>
              <w:rPr>
                <w:rFonts w:hint="eastAsia" w:ascii="宋体" w:hAnsi="宋体" w:eastAsia="宋体" w:cs="宋体"/>
                <w:b w:val="0"/>
                <w:bCs w:val="0"/>
                <w:color w:val="auto"/>
                <w:sz w:val="21"/>
                <w:szCs w:val="21"/>
                <w:highlight w:val="none"/>
              </w:rPr>
            </w:pPr>
          </w:p>
        </w:tc>
        <w:tc>
          <w:tcPr>
            <w:tcW w:w="1184" w:type="dxa"/>
            <w:vAlign w:val="center"/>
          </w:tcPr>
          <w:p w14:paraId="3B89DCCD">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技术职称</w:t>
            </w:r>
          </w:p>
        </w:tc>
        <w:tc>
          <w:tcPr>
            <w:tcW w:w="1183" w:type="dxa"/>
            <w:gridSpan w:val="2"/>
            <w:vAlign w:val="center"/>
          </w:tcPr>
          <w:p w14:paraId="4016FFB0">
            <w:pPr>
              <w:topLinePunct/>
              <w:adjustRightInd w:val="0"/>
              <w:snapToGrid w:val="0"/>
              <w:jc w:val="center"/>
              <w:rPr>
                <w:rFonts w:hint="eastAsia" w:ascii="宋体" w:hAnsi="宋体" w:eastAsia="宋体" w:cs="宋体"/>
                <w:b w:val="0"/>
                <w:bCs w:val="0"/>
                <w:color w:val="auto"/>
                <w:sz w:val="21"/>
                <w:szCs w:val="21"/>
                <w:highlight w:val="none"/>
              </w:rPr>
            </w:pPr>
          </w:p>
        </w:tc>
        <w:tc>
          <w:tcPr>
            <w:tcW w:w="1184" w:type="dxa"/>
            <w:gridSpan w:val="2"/>
            <w:vAlign w:val="center"/>
          </w:tcPr>
          <w:p w14:paraId="44E67547">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电话</w:t>
            </w:r>
          </w:p>
        </w:tc>
        <w:tc>
          <w:tcPr>
            <w:tcW w:w="1184" w:type="dxa"/>
            <w:vAlign w:val="center"/>
          </w:tcPr>
          <w:p w14:paraId="09DB9E9B">
            <w:pPr>
              <w:topLinePunct/>
              <w:adjustRightInd w:val="0"/>
              <w:snapToGrid w:val="0"/>
              <w:jc w:val="center"/>
              <w:rPr>
                <w:rFonts w:hint="eastAsia" w:ascii="宋体" w:hAnsi="宋体" w:eastAsia="宋体" w:cs="宋体"/>
                <w:b w:val="0"/>
                <w:bCs w:val="0"/>
                <w:color w:val="auto"/>
                <w:sz w:val="21"/>
                <w:szCs w:val="21"/>
                <w:highlight w:val="none"/>
              </w:rPr>
            </w:pPr>
          </w:p>
        </w:tc>
      </w:tr>
      <w:tr w14:paraId="3BD84E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370" w:type="dxa"/>
            <w:vAlign w:val="center"/>
          </w:tcPr>
          <w:p w14:paraId="6EE6BDF9">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成立时间</w:t>
            </w:r>
          </w:p>
        </w:tc>
        <w:tc>
          <w:tcPr>
            <w:tcW w:w="3551" w:type="dxa"/>
            <w:gridSpan w:val="4"/>
            <w:vAlign w:val="center"/>
          </w:tcPr>
          <w:p w14:paraId="6C654449">
            <w:pPr>
              <w:topLinePunct/>
              <w:adjustRightInd w:val="0"/>
              <w:snapToGrid w:val="0"/>
              <w:jc w:val="center"/>
              <w:rPr>
                <w:rFonts w:hint="eastAsia" w:ascii="宋体" w:hAnsi="宋体" w:eastAsia="宋体" w:cs="宋体"/>
                <w:b w:val="0"/>
                <w:bCs w:val="0"/>
                <w:color w:val="auto"/>
                <w:sz w:val="21"/>
                <w:szCs w:val="21"/>
                <w:highlight w:val="none"/>
              </w:rPr>
            </w:pPr>
          </w:p>
        </w:tc>
        <w:tc>
          <w:tcPr>
            <w:tcW w:w="3551" w:type="dxa"/>
            <w:gridSpan w:val="5"/>
            <w:vAlign w:val="center"/>
          </w:tcPr>
          <w:p w14:paraId="3AFE3EF2">
            <w:pPr>
              <w:topLinePunct/>
              <w:adjustRightInd w:val="0"/>
              <w:snapToGrid w:val="0"/>
              <w:ind w:firstLine="105" w:firstLineChars="5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员工总人数：</w:t>
            </w:r>
          </w:p>
        </w:tc>
      </w:tr>
      <w:tr w14:paraId="2F604E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69353938">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企业资质等级</w:t>
            </w:r>
          </w:p>
        </w:tc>
        <w:tc>
          <w:tcPr>
            <w:tcW w:w="3551" w:type="dxa"/>
            <w:gridSpan w:val="4"/>
            <w:vAlign w:val="center"/>
          </w:tcPr>
          <w:p w14:paraId="5D9E531F">
            <w:pPr>
              <w:topLinePunct/>
              <w:adjustRightInd w:val="0"/>
              <w:snapToGrid w:val="0"/>
              <w:jc w:val="center"/>
              <w:rPr>
                <w:rFonts w:hint="eastAsia" w:ascii="宋体" w:hAnsi="宋体" w:eastAsia="宋体" w:cs="宋体"/>
                <w:b w:val="0"/>
                <w:bCs w:val="0"/>
                <w:color w:val="auto"/>
                <w:sz w:val="21"/>
                <w:szCs w:val="21"/>
                <w:highlight w:val="none"/>
              </w:rPr>
            </w:pPr>
          </w:p>
        </w:tc>
        <w:tc>
          <w:tcPr>
            <w:tcW w:w="769" w:type="dxa"/>
            <w:vMerge w:val="restart"/>
            <w:vAlign w:val="center"/>
          </w:tcPr>
          <w:p w14:paraId="1B22C04B">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其</w:t>
            </w:r>
          </w:p>
          <w:p w14:paraId="4C80C91E">
            <w:pPr>
              <w:topLinePunct/>
              <w:adjustRightInd w:val="0"/>
              <w:snapToGrid w:val="0"/>
              <w:jc w:val="center"/>
              <w:rPr>
                <w:rFonts w:hint="eastAsia" w:ascii="宋体" w:hAnsi="宋体" w:eastAsia="宋体" w:cs="宋体"/>
                <w:b w:val="0"/>
                <w:bCs w:val="0"/>
                <w:color w:val="auto"/>
                <w:sz w:val="21"/>
                <w:szCs w:val="21"/>
                <w:highlight w:val="none"/>
              </w:rPr>
            </w:pPr>
          </w:p>
          <w:p w14:paraId="00BBC243">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中</w:t>
            </w:r>
          </w:p>
        </w:tc>
        <w:tc>
          <w:tcPr>
            <w:tcW w:w="1598" w:type="dxa"/>
            <w:gridSpan w:val="3"/>
            <w:vAlign w:val="center"/>
          </w:tcPr>
          <w:p w14:paraId="0BD123B9">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项目负责人</w:t>
            </w:r>
          </w:p>
        </w:tc>
        <w:tc>
          <w:tcPr>
            <w:tcW w:w="1184" w:type="dxa"/>
            <w:vAlign w:val="center"/>
          </w:tcPr>
          <w:p w14:paraId="5565DCE5">
            <w:pPr>
              <w:topLinePunct/>
              <w:adjustRightInd w:val="0"/>
              <w:snapToGrid w:val="0"/>
              <w:jc w:val="center"/>
              <w:rPr>
                <w:rFonts w:hint="eastAsia" w:ascii="宋体" w:hAnsi="宋体" w:eastAsia="宋体" w:cs="宋体"/>
                <w:b w:val="0"/>
                <w:bCs w:val="0"/>
                <w:color w:val="auto"/>
                <w:sz w:val="21"/>
                <w:szCs w:val="21"/>
                <w:highlight w:val="none"/>
              </w:rPr>
            </w:pPr>
          </w:p>
        </w:tc>
      </w:tr>
      <w:tr w14:paraId="789875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52218CC3">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营业执照号</w:t>
            </w:r>
          </w:p>
        </w:tc>
        <w:tc>
          <w:tcPr>
            <w:tcW w:w="3551" w:type="dxa"/>
            <w:gridSpan w:val="4"/>
            <w:vAlign w:val="center"/>
          </w:tcPr>
          <w:p w14:paraId="518CC696">
            <w:pPr>
              <w:topLinePunct/>
              <w:adjustRightInd w:val="0"/>
              <w:snapToGrid w:val="0"/>
              <w:jc w:val="center"/>
              <w:rPr>
                <w:rFonts w:hint="eastAsia" w:ascii="宋体" w:hAnsi="宋体" w:eastAsia="宋体" w:cs="宋体"/>
                <w:b w:val="0"/>
                <w:bCs w:val="0"/>
                <w:color w:val="auto"/>
                <w:sz w:val="21"/>
                <w:szCs w:val="21"/>
                <w:highlight w:val="none"/>
              </w:rPr>
            </w:pPr>
          </w:p>
        </w:tc>
        <w:tc>
          <w:tcPr>
            <w:tcW w:w="769" w:type="dxa"/>
            <w:vMerge w:val="continue"/>
            <w:vAlign w:val="center"/>
          </w:tcPr>
          <w:p w14:paraId="2D131207">
            <w:pPr>
              <w:topLinePunct/>
              <w:adjustRightInd w:val="0"/>
              <w:snapToGrid w:val="0"/>
              <w:jc w:val="center"/>
              <w:rPr>
                <w:rFonts w:hint="eastAsia" w:ascii="宋体" w:hAnsi="宋体" w:eastAsia="宋体" w:cs="宋体"/>
                <w:b w:val="0"/>
                <w:bCs w:val="0"/>
                <w:color w:val="auto"/>
                <w:sz w:val="21"/>
                <w:szCs w:val="21"/>
                <w:highlight w:val="none"/>
              </w:rPr>
            </w:pPr>
          </w:p>
        </w:tc>
        <w:tc>
          <w:tcPr>
            <w:tcW w:w="1598" w:type="dxa"/>
            <w:gridSpan w:val="3"/>
            <w:vAlign w:val="center"/>
          </w:tcPr>
          <w:p w14:paraId="7AB095ED">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高级职称人员</w:t>
            </w:r>
          </w:p>
        </w:tc>
        <w:tc>
          <w:tcPr>
            <w:tcW w:w="1184" w:type="dxa"/>
            <w:vAlign w:val="center"/>
          </w:tcPr>
          <w:p w14:paraId="107D09EB">
            <w:pPr>
              <w:topLinePunct/>
              <w:adjustRightInd w:val="0"/>
              <w:snapToGrid w:val="0"/>
              <w:jc w:val="center"/>
              <w:rPr>
                <w:rFonts w:hint="eastAsia" w:ascii="宋体" w:hAnsi="宋体" w:eastAsia="宋体" w:cs="宋体"/>
                <w:b w:val="0"/>
                <w:bCs w:val="0"/>
                <w:color w:val="auto"/>
                <w:sz w:val="21"/>
                <w:szCs w:val="21"/>
                <w:highlight w:val="none"/>
              </w:rPr>
            </w:pPr>
          </w:p>
        </w:tc>
      </w:tr>
      <w:tr w14:paraId="3719E3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3701DBB5">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注册资金</w:t>
            </w:r>
          </w:p>
        </w:tc>
        <w:tc>
          <w:tcPr>
            <w:tcW w:w="3551" w:type="dxa"/>
            <w:gridSpan w:val="4"/>
            <w:vAlign w:val="center"/>
          </w:tcPr>
          <w:p w14:paraId="1A3B2D5A">
            <w:pPr>
              <w:topLinePunct/>
              <w:adjustRightInd w:val="0"/>
              <w:snapToGrid w:val="0"/>
              <w:jc w:val="center"/>
              <w:rPr>
                <w:rFonts w:hint="eastAsia" w:ascii="宋体" w:hAnsi="宋体" w:eastAsia="宋体" w:cs="宋体"/>
                <w:b w:val="0"/>
                <w:bCs w:val="0"/>
                <w:color w:val="auto"/>
                <w:sz w:val="21"/>
                <w:szCs w:val="21"/>
                <w:highlight w:val="none"/>
              </w:rPr>
            </w:pPr>
          </w:p>
        </w:tc>
        <w:tc>
          <w:tcPr>
            <w:tcW w:w="769" w:type="dxa"/>
            <w:vMerge w:val="continue"/>
            <w:vAlign w:val="center"/>
          </w:tcPr>
          <w:p w14:paraId="6772E4DF">
            <w:pPr>
              <w:topLinePunct/>
              <w:adjustRightInd w:val="0"/>
              <w:snapToGrid w:val="0"/>
              <w:jc w:val="center"/>
              <w:rPr>
                <w:rFonts w:hint="eastAsia" w:ascii="宋体" w:hAnsi="宋体" w:eastAsia="宋体" w:cs="宋体"/>
                <w:b w:val="0"/>
                <w:bCs w:val="0"/>
                <w:color w:val="auto"/>
                <w:sz w:val="21"/>
                <w:szCs w:val="21"/>
                <w:highlight w:val="none"/>
              </w:rPr>
            </w:pPr>
          </w:p>
        </w:tc>
        <w:tc>
          <w:tcPr>
            <w:tcW w:w="1598" w:type="dxa"/>
            <w:gridSpan w:val="3"/>
            <w:vAlign w:val="center"/>
          </w:tcPr>
          <w:p w14:paraId="41251355">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中级职称人员</w:t>
            </w:r>
          </w:p>
        </w:tc>
        <w:tc>
          <w:tcPr>
            <w:tcW w:w="1184" w:type="dxa"/>
            <w:vAlign w:val="center"/>
          </w:tcPr>
          <w:p w14:paraId="0E4879FB">
            <w:pPr>
              <w:topLinePunct/>
              <w:adjustRightInd w:val="0"/>
              <w:snapToGrid w:val="0"/>
              <w:jc w:val="center"/>
              <w:rPr>
                <w:rFonts w:hint="eastAsia" w:ascii="宋体" w:hAnsi="宋体" w:eastAsia="宋体" w:cs="宋体"/>
                <w:b w:val="0"/>
                <w:bCs w:val="0"/>
                <w:color w:val="auto"/>
                <w:sz w:val="21"/>
                <w:szCs w:val="21"/>
                <w:highlight w:val="none"/>
              </w:rPr>
            </w:pPr>
          </w:p>
        </w:tc>
      </w:tr>
      <w:tr w14:paraId="270438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1AF9C28C">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开户银行</w:t>
            </w:r>
          </w:p>
        </w:tc>
        <w:tc>
          <w:tcPr>
            <w:tcW w:w="3551" w:type="dxa"/>
            <w:gridSpan w:val="4"/>
            <w:vAlign w:val="center"/>
          </w:tcPr>
          <w:p w14:paraId="22DC95B1">
            <w:pPr>
              <w:topLinePunct/>
              <w:adjustRightInd w:val="0"/>
              <w:snapToGrid w:val="0"/>
              <w:jc w:val="center"/>
              <w:rPr>
                <w:rFonts w:hint="eastAsia" w:ascii="宋体" w:hAnsi="宋体" w:eastAsia="宋体" w:cs="宋体"/>
                <w:b w:val="0"/>
                <w:bCs w:val="0"/>
                <w:color w:val="auto"/>
                <w:sz w:val="21"/>
                <w:szCs w:val="21"/>
                <w:highlight w:val="none"/>
              </w:rPr>
            </w:pPr>
          </w:p>
        </w:tc>
        <w:tc>
          <w:tcPr>
            <w:tcW w:w="769" w:type="dxa"/>
            <w:vMerge w:val="continue"/>
            <w:vAlign w:val="center"/>
          </w:tcPr>
          <w:p w14:paraId="0F101704">
            <w:pPr>
              <w:topLinePunct/>
              <w:adjustRightInd w:val="0"/>
              <w:snapToGrid w:val="0"/>
              <w:jc w:val="center"/>
              <w:rPr>
                <w:rFonts w:hint="eastAsia" w:ascii="宋体" w:hAnsi="宋体" w:eastAsia="宋体" w:cs="宋体"/>
                <w:b w:val="0"/>
                <w:bCs w:val="0"/>
                <w:color w:val="auto"/>
                <w:sz w:val="21"/>
                <w:szCs w:val="21"/>
                <w:highlight w:val="none"/>
              </w:rPr>
            </w:pPr>
          </w:p>
        </w:tc>
        <w:tc>
          <w:tcPr>
            <w:tcW w:w="1598" w:type="dxa"/>
            <w:gridSpan w:val="3"/>
            <w:vAlign w:val="center"/>
          </w:tcPr>
          <w:p w14:paraId="2811A310">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初级职称人员</w:t>
            </w:r>
          </w:p>
        </w:tc>
        <w:tc>
          <w:tcPr>
            <w:tcW w:w="1184" w:type="dxa"/>
            <w:vAlign w:val="center"/>
          </w:tcPr>
          <w:p w14:paraId="2F50A76F">
            <w:pPr>
              <w:topLinePunct/>
              <w:adjustRightInd w:val="0"/>
              <w:snapToGrid w:val="0"/>
              <w:jc w:val="center"/>
              <w:rPr>
                <w:rFonts w:hint="eastAsia" w:ascii="宋体" w:hAnsi="宋体" w:eastAsia="宋体" w:cs="宋体"/>
                <w:b w:val="0"/>
                <w:bCs w:val="0"/>
                <w:color w:val="auto"/>
                <w:sz w:val="21"/>
                <w:szCs w:val="21"/>
                <w:highlight w:val="none"/>
              </w:rPr>
            </w:pPr>
          </w:p>
        </w:tc>
      </w:tr>
      <w:tr w14:paraId="67A2C5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2370" w:type="dxa"/>
            <w:vAlign w:val="center"/>
          </w:tcPr>
          <w:p w14:paraId="2AA59CC3">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账号</w:t>
            </w:r>
          </w:p>
        </w:tc>
        <w:tc>
          <w:tcPr>
            <w:tcW w:w="3551" w:type="dxa"/>
            <w:gridSpan w:val="4"/>
            <w:vAlign w:val="center"/>
          </w:tcPr>
          <w:p w14:paraId="4C87E435">
            <w:pPr>
              <w:topLinePunct/>
              <w:adjustRightInd w:val="0"/>
              <w:snapToGrid w:val="0"/>
              <w:jc w:val="center"/>
              <w:rPr>
                <w:rFonts w:hint="eastAsia" w:ascii="宋体" w:hAnsi="宋体" w:eastAsia="宋体" w:cs="宋体"/>
                <w:b w:val="0"/>
                <w:bCs w:val="0"/>
                <w:color w:val="auto"/>
                <w:sz w:val="21"/>
                <w:szCs w:val="21"/>
                <w:highlight w:val="none"/>
              </w:rPr>
            </w:pPr>
          </w:p>
        </w:tc>
        <w:tc>
          <w:tcPr>
            <w:tcW w:w="769" w:type="dxa"/>
            <w:vMerge w:val="continue"/>
            <w:vAlign w:val="center"/>
          </w:tcPr>
          <w:p w14:paraId="25F4D93E">
            <w:pPr>
              <w:topLinePunct/>
              <w:adjustRightInd w:val="0"/>
              <w:snapToGrid w:val="0"/>
              <w:jc w:val="center"/>
              <w:rPr>
                <w:rFonts w:hint="eastAsia" w:ascii="宋体" w:hAnsi="宋体" w:eastAsia="宋体" w:cs="宋体"/>
                <w:b w:val="0"/>
                <w:bCs w:val="0"/>
                <w:color w:val="auto"/>
                <w:sz w:val="21"/>
                <w:szCs w:val="21"/>
                <w:highlight w:val="none"/>
              </w:rPr>
            </w:pPr>
          </w:p>
        </w:tc>
        <w:tc>
          <w:tcPr>
            <w:tcW w:w="1598" w:type="dxa"/>
            <w:gridSpan w:val="3"/>
            <w:vAlign w:val="center"/>
          </w:tcPr>
          <w:p w14:paraId="25CB78BE">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技工</w:t>
            </w:r>
          </w:p>
        </w:tc>
        <w:tc>
          <w:tcPr>
            <w:tcW w:w="1184" w:type="dxa"/>
            <w:vAlign w:val="center"/>
          </w:tcPr>
          <w:p w14:paraId="262A2F7B">
            <w:pPr>
              <w:topLinePunct/>
              <w:adjustRightInd w:val="0"/>
              <w:snapToGrid w:val="0"/>
              <w:jc w:val="center"/>
              <w:rPr>
                <w:rFonts w:hint="eastAsia" w:ascii="宋体" w:hAnsi="宋体" w:eastAsia="宋体" w:cs="宋体"/>
                <w:b w:val="0"/>
                <w:bCs w:val="0"/>
                <w:color w:val="auto"/>
                <w:sz w:val="21"/>
                <w:szCs w:val="21"/>
                <w:highlight w:val="none"/>
              </w:rPr>
            </w:pPr>
          </w:p>
        </w:tc>
      </w:tr>
      <w:tr w14:paraId="307721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370" w:type="dxa"/>
            <w:vAlign w:val="center"/>
          </w:tcPr>
          <w:p w14:paraId="4B798B8E">
            <w:pPr>
              <w:topLinePunct/>
              <w:adjustRightInd w:val="0"/>
              <w:snapToGrid w:val="0"/>
              <w:ind w:firstLine="210" w:firstLineChars="10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经营范围</w:t>
            </w:r>
          </w:p>
        </w:tc>
        <w:tc>
          <w:tcPr>
            <w:tcW w:w="7102" w:type="dxa"/>
            <w:gridSpan w:val="9"/>
            <w:vAlign w:val="center"/>
          </w:tcPr>
          <w:p w14:paraId="3A635B50">
            <w:pPr>
              <w:topLinePunct/>
              <w:adjustRightInd w:val="0"/>
              <w:snapToGrid w:val="0"/>
              <w:jc w:val="center"/>
              <w:rPr>
                <w:rFonts w:hint="eastAsia" w:ascii="宋体" w:hAnsi="宋体" w:eastAsia="宋体" w:cs="宋体"/>
                <w:b w:val="0"/>
                <w:bCs w:val="0"/>
                <w:color w:val="auto"/>
                <w:sz w:val="21"/>
                <w:szCs w:val="21"/>
                <w:highlight w:val="none"/>
              </w:rPr>
            </w:pPr>
          </w:p>
        </w:tc>
      </w:tr>
      <w:tr w14:paraId="3ACA42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370" w:type="dxa"/>
            <w:vAlign w:val="center"/>
          </w:tcPr>
          <w:p w14:paraId="59A8CE83">
            <w:pPr>
              <w:topLinePunct/>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p>
        </w:tc>
        <w:tc>
          <w:tcPr>
            <w:tcW w:w="7102" w:type="dxa"/>
            <w:gridSpan w:val="9"/>
            <w:vAlign w:val="center"/>
          </w:tcPr>
          <w:p w14:paraId="77C617D9">
            <w:pPr>
              <w:topLinePunct/>
              <w:adjustRightInd w:val="0"/>
              <w:snapToGrid w:val="0"/>
              <w:jc w:val="center"/>
              <w:rPr>
                <w:rFonts w:hint="eastAsia" w:ascii="宋体" w:hAnsi="宋体" w:eastAsia="宋体" w:cs="宋体"/>
                <w:b w:val="0"/>
                <w:bCs w:val="0"/>
                <w:color w:val="auto"/>
                <w:sz w:val="21"/>
                <w:szCs w:val="21"/>
                <w:highlight w:val="none"/>
              </w:rPr>
            </w:pPr>
          </w:p>
        </w:tc>
      </w:tr>
    </w:tbl>
    <w:p w14:paraId="6A857A5A">
      <w:pPr>
        <w:widowControl w:val="0"/>
        <w:adjustRightInd w:val="0"/>
        <w:snapToGrid w:val="0"/>
        <w:spacing w:before="120" w:beforeLines="50" w:line="360" w:lineRule="auto"/>
        <w:jc w:val="both"/>
        <w:rPr>
          <w:rFonts w:hint="eastAsia" w:ascii="宋体" w:hAnsi="宋体" w:eastAsia="宋体" w:cs="宋体"/>
          <w:color w:val="auto"/>
          <w:kern w:val="2"/>
          <w:sz w:val="21"/>
          <w:szCs w:val="21"/>
          <w:highlight w:val="none"/>
          <w:lang w:val="en-US" w:eastAsia="zh-CN" w:bidi="ar-SA"/>
        </w:rPr>
      </w:pPr>
      <w:bookmarkStart w:id="975" w:name="_Toc15268_WPSOffice_Level2"/>
      <w:bookmarkStart w:id="976" w:name="_Toc16377_WPSOffice_Level2"/>
      <w:r>
        <w:rPr>
          <w:rFonts w:hint="eastAsia" w:ascii="宋体" w:hAnsi="宋体" w:eastAsia="宋体" w:cs="宋体"/>
          <w:color w:val="auto"/>
          <w:kern w:val="2"/>
          <w:sz w:val="21"/>
          <w:szCs w:val="21"/>
          <w:highlight w:val="none"/>
          <w:lang w:val="zh-TW" w:eastAsia="zh-CN" w:bidi="ar-SA"/>
        </w:rPr>
        <w:t>备注：</w:t>
      </w:r>
      <w:r>
        <w:rPr>
          <w:rFonts w:hint="eastAsia" w:ascii="宋体" w:hAnsi="宋体" w:eastAsia="宋体" w:cs="宋体"/>
          <w:color w:val="auto"/>
          <w:kern w:val="2"/>
          <w:sz w:val="21"/>
          <w:szCs w:val="21"/>
          <w:highlight w:val="none"/>
          <w:lang w:val="en-US" w:eastAsia="zh-CN" w:bidi="ar-SA"/>
        </w:rPr>
        <w:t>本表后应附投标人营业执照、资质证书、安全生产许可证等材料的原件扫描件。</w:t>
      </w:r>
    </w:p>
    <w:p w14:paraId="7470B5C4">
      <w:pPr>
        <w:pStyle w:val="47"/>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09618ADF">
      <w:pPr>
        <w:pStyle w:val="47"/>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3AEB5A22">
      <w:pPr>
        <w:pStyle w:val="47"/>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37BC1CFF">
      <w:pPr>
        <w:rPr>
          <w:rFonts w:hint="eastAsia" w:ascii="宋体" w:hAnsi="宋体" w:eastAsia="宋体" w:cs="宋体"/>
          <w:b w:val="0"/>
          <w:bCs w:val="0"/>
          <w:color w:val="auto"/>
          <w:sz w:val="21"/>
          <w:szCs w:val="21"/>
          <w:highlight w:val="none"/>
        </w:rPr>
      </w:pPr>
      <w:bookmarkStart w:id="977" w:name="_Toc28249"/>
      <w:bookmarkStart w:id="978" w:name="_Toc2496"/>
      <w:r>
        <w:rPr>
          <w:rFonts w:hint="eastAsia" w:ascii="宋体" w:hAnsi="宋体" w:eastAsia="宋体" w:cs="宋体"/>
          <w:b w:val="0"/>
          <w:bCs w:val="0"/>
          <w:color w:val="auto"/>
          <w:sz w:val="21"/>
          <w:szCs w:val="21"/>
          <w:highlight w:val="none"/>
        </w:rPr>
        <w:br w:type="page"/>
      </w:r>
    </w:p>
    <w:p w14:paraId="2C602E6E">
      <w:pPr>
        <w:pStyle w:val="46"/>
        <w:numPr>
          <w:ilvl w:val="0"/>
          <w:numId w:val="0"/>
        </w:numPr>
        <w:snapToGrid w:val="0"/>
        <w:spacing w:after="120" w:afterLines="50" w:line="360" w:lineRule="auto"/>
        <w:jc w:val="center"/>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（二）主要人员简历表</w:t>
      </w:r>
      <w:bookmarkEnd w:id="975"/>
      <w:bookmarkEnd w:id="976"/>
      <w:bookmarkEnd w:id="977"/>
      <w:bookmarkEnd w:id="978"/>
    </w:p>
    <w:tbl>
      <w:tblPr>
        <w:tblStyle w:val="28"/>
        <w:tblW w:w="8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722"/>
        <w:gridCol w:w="927"/>
        <w:gridCol w:w="1065"/>
        <w:gridCol w:w="706"/>
        <w:gridCol w:w="1424"/>
        <w:gridCol w:w="2369"/>
      </w:tblGrid>
      <w:tr w14:paraId="76A7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40E06C8E">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姓  名</w:t>
            </w:r>
          </w:p>
        </w:tc>
        <w:tc>
          <w:tcPr>
            <w:tcW w:w="1079" w:type="dxa"/>
            <w:gridSpan w:val="2"/>
            <w:vAlign w:val="center"/>
          </w:tcPr>
          <w:p w14:paraId="77675907">
            <w:pPr>
              <w:spacing w:line="440" w:lineRule="exact"/>
              <w:jc w:val="center"/>
              <w:rPr>
                <w:rFonts w:hint="eastAsia" w:ascii="宋体" w:hAnsi="宋体" w:eastAsia="宋体" w:cs="宋体"/>
                <w:b w:val="0"/>
                <w:bCs w:val="0"/>
                <w:color w:val="auto"/>
                <w:sz w:val="21"/>
                <w:szCs w:val="21"/>
                <w:highlight w:val="none"/>
              </w:rPr>
            </w:pPr>
          </w:p>
        </w:tc>
        <w:tc>
          <w:tcPr>
            <w:tcW w:w="927" w:type="dxa"/>
            <w:vAlign w:val="center"/>
          </w:tcPr>
          <w:p w14:paraId="60659BB0">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年 龄</w:t>
            </w:r>
          </w:p>
        </w:tc>
        <w:tc>
          <w:tcPr>
            <w:tcW w:w="1065" w:type="dxa"/>
            <w:vAlign w:val="center"/>
          </w:tcPr>
          <w:p w14:paraId="708ADD6D">
            <w:pPr>
              <w:spacing w:line="440" w:lineRule="exact"/>
              <w:jc w:val="center"/>
              <w:rPr>
                <w:rFonts w:hint="eastAsia" w:ascii="宋体" w:hAnsi="宋体" w:eastAsia="宋体" w:cs="宋体"/>
                <w:b w:val="0"/>
                <w:bCs w:val="0"/>
                <w:color w:val="auto"/>
                <w:sz w:val="21"/>
                <w:szCs w:val="21"/>
                <w:highlight w:val="none"/>
              </w:rPr>
            </w:pPr>
          </w:p>
        </w:tc>
        <w:tc>
          <w:tcPr>
            <w:tcW w:w="2130" w:type="dxa"/>
            <w:gridSpan w:val="2"/>
            <w:vAlign w:val="center"/>
          </w:tcPr>
          <w:p w14:paraId="2A881023">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学历</w:t>
            </w:r>
          </w:p>
        </w:tc>
        <w:tc>
          <w:tcPr>
            <w:tcW w:w="2369" w:type="dxa"/>
            <w:vAlign w:val="center"/>
          </w:tcPr>
          <w:p w14:paraId="7D5D062A">
            <w:pPr>
              <w:spacing w:line="440" w:lineRule="exact"/>
              <w:jc w:val="center"/>
              <w:rPr>
                <w:rFonts w:hint="eastAsia" w:ascii="宋体" w:hAnsi="宋体" w:eastAsia="宋体" w:cs="宋体"/>
                <w:b w:val="0"/>
                <w:bCs w:val="0"/>
                <w:color w:val="auto"/>
                <w:sz w:val="21"/>
                <w:szCs w:val="21"/>
                <w:highlight w:val="none"/>
              </w:rPr>
            </w:pPr>
          </w:p>
        </w:tc>
      </w:tr>
      <w:tr w14:paraId="03B2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41EE60B0">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职  称</w:t>
            </w:r>
          </w:p>
        </w:tc>
        <w:tc>
          <w:tcPr>
            <w:tcW w:w="1079" w:type="dxa"/>
            <w:gridSpan w:val="2"/>
            <w:vAlign w:val="center"/>
          </w:tcPr>
          <w:p w14:paraId="384A6AC3">
            <w:pPr>
              <w:spacing w:line="440" w:lineRule="exact"/>
              <w:jc w:val="center"/>
              <w:rPr>
                <w:rFonts w:hint="eastAsia" w:ascii="宋体" w:hAnsi="宋体" w:eastAsia="宋体" w:cs="宋体"/>
                <w:b w:val="0"/>
                <w:bCs w:val="0"/>
                <w:color w:val="auto"/>
                <w:sz w:val="21"/>
                <w:szCs w:val="21"/>
                <w:highlight w:val="none"/>
              </w:rPr>
            </w:pPr>
          </w:p>
        </w:tc>
        <w:tc>
          <w:tcPr>
            <w:tcW w:w="927" w:type="dxa"/>
            <w:vAlign w:val="center"/>
          </w:tcPr>
          <w:p w14:paraId="1C07B82B">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职 务</w:t>
            </w:r>
          </w:p>
        </w:tc>
        <w:tc>
          <w:tcPr>
            <w:tcW w:w="1065" w:type="dxa"/>
            <w:vAlign w:val="center"/>
          </w:tcPr>
          <w:p w14:paraId="0DD8D713">
            <w:pPr>
              <w:spacing w:line="440" w:lineRule="exact"/>
              <w:jc w:val="center"/>
              <w:rPr>
                <w:rFonts w:hint="eastAsia" w:ascii="宋体" w:hAnsi="宋体" w:eastAsia="宋体" w:cs="宋体"/>
                <w:b w:val="0"/>
                <w:bCs w:val="0"/>
                <w:color w:val="auto"/>
                <w:sz w:val="21"/>
                <w:szCs w:val="21"/>
                <w:highlight w:val="none"/>
              </w:rPr>
            </w:pPr>
          </w:p>
        </w:tc>
        <w:tc>
          <w:tcPr>
            <w:tcW w:w="2130" w:type="dxa"/>
            <w:gridSpan w:val="2"/>
            <w:vAlign w:val="center"/>
          </w:tcPr>
          <w:p w14:paraId="1D74A27A">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拟在本合同担任职务</w:t>
            </w:r>
          </w:p>
        </w:tc>
        <w:tc>
          <w:tcPr>
            <w:tcW w:w="2369" w:type="dxa"/>
            <w:vAlign w:val="center"/>
          </w:tcPr>
          <w:p w14:paraId="3FF0CDA4">
            <w:pPr>
              <w:spacing w:line="440" w:lineRule="exact"/>
              <w:jc w:val="center"/>
              <w:rPr>
                <w:rFonts w:hint="eastAsia" w:ascii="宋体" w:hAnsi="宋体" w:eastAsia="宋体" w:cs="宋体"/>
                <w:b w:val="0"/>
                <w:bCs w:val="0"/>
                <w:color w:val="auto"/>
                <w:sz w:val="21"/>
                <w:szCs w:val="21"/>
                <w:highlight w:val="none"/>
              </w:rPr>
            </w:pPr>
          </w:p>
        </w:tc>
      </w:tr>
      <w:tr w14:paraId="738F1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788563AC">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毕业学校</w:t>
            </w:r>
          </w:p>
        </w:tc>
        <w:tc>
          <w:tcPr>
            <w:tcW w:w="7570" w:type="dxa"/>
            <w:gridSpan w:val="7"/>
          </w:tcPr>
          <w:p w14:paraId="59CDFE7A">
            <w:pPr>
              <w:spacing w:line="440" w:lineRule="exact"/>
              <w:ind w:firstLine="945" w:firstLineChars="4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年毕业于            学校        专业</w:t>
            </w:r>
          </w:p>
        </w:tc>
      </w:tr>
      <w:tr w14:paraId="79ED9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57" w:type="dxa"/>
            <w:gridSpan w:val="8"/>
            <w:vAlign w:val="center"/>
          </w:tcPr>
          <w:p w14:paraId="49400A01">
            <w:pPr>
              <w:spacing w:line="4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主要工作经历</w:t>
            </w:r>
          </w:p>
        </w:tc>
      </w:tr>
      <w:tr w14:paraId="084C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544" w:type="dxa"/>
            <w:gridSpan w:val="2"/>
            <w:vAlign w:val="center"/>
          </w:tcPr>
          <w:p w14:paraId="23976B79">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时  间</w:t>
            </w:r>
          </w:p>
        </w:tc>
        <w:tc>
          <w:tcPr>
            <w:tcW w:w="3420" w:type="dxa"/>
            <w:gridSpan w:val="4"/>
            <w:vAlign w:val="center"/>
          </w:tcPr>
          <w:p w14:paraId="4D025A2B">
            <w:pPr>
              <w:spacing w:line="4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参加过的类似项目</w:t>
            </w:r>
          </w:p>
        </w:tc>
        <w:tc>
          <w:tcPr>
            <w:tcW w:w="1424" w:type="dxa"/>
            <w:vAlign w:val="center"/>
          </w:tcPr>
          <w:p w14:paraId="4169B995">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担任职务</w:t>
            </w:r>
          </w:p>
        </w:tc>
        <w:tc>
          <w:tcPr>
            <w:tcW w:w="2369" w:type="dxa"/>
            <w:vAlign w:val="center"/>
          </w:tcPr>
          <w:p w14:paraId="053A11EB">
            <w:pPr>
              <w:spacing w:line="44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发包人及联系电话</w:t>
            </w:r>
          </w:p>
        </w:tc>
      </w:tr>
      <w:tr w14:paraId="6775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13360580">
            <w:pPr>
              <w:spacing w:line="440" w:lineRule="exact"/>
              <w:rPr>
                <w:rFonts w:hint="eastAsia" w:ascii="宋体" w:hAnsi="宋体" w:eastAsia="宋体" w:cs="宋体"/>
                <w:b w:val="0"/>
                <w:bCs w:val="0"/>
                <w:color w:val="auto"/>
                <w:sz w:val="21"/>
                <w:szCs w:val="21"/>
                <w:highlight w:val="none"/>
              </w:rPr>
            </w:pPr>
          </w:p>
        </w:tc>
        <w:tc>
          <w:tcPr>
            <w:tcW w:w="3420" w:type="dxa"/>
            <w:gridSpan w:val="4"/>
          </w:tcPr>
          <w:p w14:paraId="4815536F">
            <w:pPr>
              <w:spacing w:line="440" w:lineRule="exact"/>
              <w:rPr>
                <w:rFonts w:hint="eastAsia" w:ascii="宋体" w:hAnsi="宋体" w:eastAsia="宋体" w:cs="宋体"/>
                <w:b w:val="0"/>
                <w:bCs w:val="0"/>
                <w:color w:val="auto"/>
                <w:sz w:val="21"/>
                <w:szCs w:val="21"/>
                <w:highlight w:val="none"/>
              </w:rPr>
            </w:pPr>
          </w:p>
        </w:tc>
        <w:tc>
          <w:tcPr>
            <w:tcW w:w="1424" w:type="dxa"/>
          </w:tcPr>
          <w:p w14:paraId="43FDB33F">
            <w:pPr>
              <w:spacing w:line="440" w:lineRule="exact"/>
              <w:rPr>
                <w:rFonts w:hint="eastAsia" w:ascii="宋体" w:hAnsi="宋体" w:eastAsia="宋体" w:cs="宋体"/>
                <w:b w:val="0"/>
                <w:bCs w:val="0"/>
                <w:color w:val="auto"/>
                <w:sz w:val="21"/>
                <w:szCs w:val="21"/>
                <w:highlight w:val="none"/>
              </w:rPr>
            </w:pPr>
          </w:p>
        </w:tc>
        <w:tc>
          <w:tcPr>
            <w:tcW w:w="2369" w:type="dxa"/>
          </w:tcPr>
          <w:p w14:paraId="6BCCC342">
            <w:pPr>
              <w:spacing w:line="440" w:lineRule="exact"/>
              <w:rPr>
                <w:rFonts w:hint="eastAsia" w:ascii="宋体" w:hAnsi="宋体" w:eastAsia="宋体" w:cs="宋体"/>
                <w:b w:val="0"/>
                <w:bCs w:val="0"/>
                <w:color w:val="auto"/>
                <w:sz w:val="21"/>
                <w:szCs w:val="21"/>
                <w:highlight w:val="none"/>
              </w:rPr>
            </w:pPr>
          </w:p>
        </w:tc>
      </w:tr>
      <w:tr w14:paraId="51FF6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6596C920">
            <w:pPr>
              <w:spacing w:line="440" w:lineRule="exact"/>
              <w:rPr>
                <w:rFonts w:hint="eastAsia" w:ascii="宋体" w:hAnsi="宋体" w:eastAsia="宋体" w:cs="宋体"/>
                <w:b w:val="0"/>
                <w:bCs w:val="0"/>
                <w:color w:val="auto"/>
                <w:sz w:val="21"/>
                <w:szCs w:val="21"/>
                <w:highlight w:val="none"/>
              </w:rPr>
            </w:pPr>
          </w:p>
        </w:tc>
        <w:tc>
          <w:tcPr>
            <w:tcW w:w="3420" w:type="dxa"/>
            <w:gridSpan w:val="4"/>
          </w:tcPr>
          <w:p w14:paraId="07F8364F">
            <w:pPr>
              <w:spacing w:line="440" w:lineRule="exact"/>
              <w:rPr>
                <w:rFonts w:hint="eastAsia" w:ascii="宋体" w:hAnsi="宋体" w:eastAsia="宋体" w:cs="宋体"/>
                <w:b w:val="0"/>
                <w:bCs w:val="0"/>
                <w:color w:val="auto"/>
                <w:sz w:val="21"/>
                <w:szCs w:val="21"/>
                <w:highlight w:val="none"/>
              </w:rPr>
            </w:pPr>
          </w:p>
        </w:tc>
        <w:tc>
          <w:tcPr>
            <w:tcW w:w="1424" w:type="dxa"/>
          </w:tcPr>
          <w:p w14:paraId="59053C8D">
            <w:pPr>
              <w:spacing w:line="440" w:lineRule="exact"/>
              <w:rPr>
                <w:rFonts w:hint="eastAsia" w:ascii="宋体" w:hAnsi="宋体" w:eastAsia="宋体" w:cs="宋体"/>
                <w:b w:val="0"/>
                <w:bCs w:val="0"/>
                <w:color w:val="auto"/>
                <w:sz w:val="21"/>
                <w:szCs w:val="21"/>
                <w:highlight w:val="none"/>
              </w:rPr>
            </w:pPr>
          </w:p>
        </w:tc>
        <w:tc>
          <w:tcPr>
            <w:tcW w:w="2369" w:type="dxa"/>
          </w:tcPr>
          <w:p w14:paraId="0B9F9AAF">
            <w:pPr>
              <w:spacing w:line="440" w:lineRule="exact"/>
              <w:rPr>
                <w:rFonts w:hint="eastAsia" w:ascii="宋体" w:hAnsi="宋体" w:eastAsia="宋体" w:cs="宋体"/>
                <w:b w:val="0"/>
                <w:bCs w:val="0"/>
                <w:color w:val="auto"/>
                <w:sz w:val="21"/>
                <w:szCs w:val="21"/>
                <w:highlight w:val="none"/>
              </w:rPr>
            </w:pPr>
          </w:p>
        </w:tc>
      </w:tr>
      <w:tr w14:paraId="69E7D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7E766B18">
            <w:pPr>
              <w:spacing w:line="440" w:lineRule="exact"/>
              <w:rPr>
                <w:rFonts w:hint="eastAsia" w:ascii="宋体" w:hAnsi="宋体" w:eastAsia="宋体" w:cs="宋体"/>
                <w:b w:val="0"/>
                <w:bCs w:val="0"/>
                <w:color w:val="auto"/>
                <w:sz w:val="21"/>
                <w:szCs w:val="21"/>
                <w:highlight w:val="none"/>
              </w:rPr>
            </w:pPr>
          </w:p>
        </w:tc>
        <w:tc>
          <w:tcPr>
            <w:tcW w:w="3420" w:type="dxa"/>
            <w:gridSpan w:val="4"/>
          </w:tcPr>
          <w:p w14:paraId="1193A1B5">
            <w:pPr>
              <w:spacing w:line="440" w:lineRule="exact"/>
              <w:rPr>
                <w:rFonts w:hint="eastAsia" w:ascii="宋体" w:hAnsi="宋体" w:eastAsia="宋体" w:cs="宋体"/>
                <w:b w:val="0"/>
                <w:bCs w:val="0"/>
                <w:color w:val="auto"/>
                <w:sz w:val="21"/>
                <w:szCs w:val="21"/>
                <w:highlight w:val="none"/>
              </w:rPr>
            </w:pPr>
          </w:p>
        </w:tc>
        <w:tc>
          <w:tcPr>
            <w:tcW w:w="1424" w:type="dxa"/>
          </w:tcPr>
          <w:p w14:paraId="4769C274">
            <w:pPr>
              <w:spacing w:line="440" w:lineRule="exact"/>
              <w:rPr>
                <w:rFonts w:hint="eastAsia" w:ascii="宋体" w:hAnsi="宋体" w:eastAsia="宋体" w:cs="宋体"/>
                <w:b w:val="0"/>
                <w:bCs w:val="0"/>
                <w:color w:val="auto"/>
                <w:sz w:val="21"/>
                <w:szCs w:val="21"/>
                <w:highlight w:val="none"/>
              </w:rPr>
            </w:pPr>
          </w:p>
        </w:tc>
        <w:tc>
          <w:tcPr>
            <w:tcW w:w="2369" w:type="dxa"/>
          </w:tcPr>
          <w:p w14:paraId="4EA3062C">
            <w:pPr>
              <w:spacing w:line="440" w:lineRule="exact"/>
              <w:rPr>
                <w:rFonts w:hint="eastAsia" w:ascii="宋体" w:hAnsi="宋体" w:eastAsia="宋体" w:cs="宋体"/>
                <w:b w:val="0"/>
                <w:bCs w:val="0"/>
                <w:color w:val="auto"/>
                <w:sz w:val="21"/>
                <w:szCs w:val="21"/>
                <w:highlight w:val="none"/>
              </w:rPr>
            </w:pPr>
          </w:p>
        </w:tc>
      </w:tr>
      <w:tr w14:paraId="1FBD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3E28AB7A">
            <w:pPr>
              <w:spacing w:line="440" w:lineRule="exact"/>
              <w:rPr>
                <w:rFonts w:hint="eastAsia" w:ascii="宋体" w:hAnsi="宋体" w:eastAsia="宋体" w:cs="宋体"/>
                <w:b w:val="0"/>
                <w:bCs w:val="0"/>
                <w:color w:val="auto"/>
                <w:sz w:val="21"/>
                <w:szCs w:val="21"/>
                <w:highlight w:val="none"/>
              </w:rPr>
            </w:pPr>
          </w:p>
        </w:tc>
        <w:tc>
          <w:tcPr>
            <w:tcW w:w="3420" w:type="dxa"/>
            <w:gridSpan w:val="4"/>
            <w:vAlign w:val="center"/>
          </w:tcPr>
          <w:p w14:paraId="68B46049">
            <w:pPr>
              <w:spacing w:line="440" w:lineRule="exact"/>
              <w:rPr>
                <w:rFonts w:hint="eastAsia" w:ascii="宋体" w:hAnsi="宋体" w:eastAsia="宋体" w:cs="宋体"/>
                <w:b w:val="0"/>
                <w:bCs w:val="0"/>
                <w:color w:val="auto"/>
                <w:sz w:val="21"/>
                <w:szCs w:val="21"/>
                <w:highlight w:val="none"/>
              </w:rPr>
            </w:pPr>
          </w:p>
        </w:tc>
        <w:tc>
          <w:tcPr>
            <w:tcW w:w="1424" w:type="dxa"/>
            <w:vAlign w:val="center"/>
          </w:tcPr>
          <w:p w14:paraId="6FD4B7EB">
            <w:pPr>
              <w:spacing w:line="440" w:lineRule="exact"/>
              <w:rPr>
                <w:rFonts w:hint="eastAsia" w:ascii="宋体" w:hAnsi="宋体" w:eastAsia="宋体" w:cs="宋体"/>
                <w:b w:val="0"/>
                <w:bCs w:val="0"/>
                <w:color w:val="auto"/>
                <w:sz w:val="21"/>
                <w:szCs w:val="21"/>
                <w:highlight w:val="none"/>
              </w:rPr>
            </w:pPr>
          </w:p>
        </w:tc>
        <w:tc>
          <w:tcPr>
            <w:tcW w:w="2369" w:type="dxa"/>
            <w:vAlign w:val="center"/>
          </w:tcPr>
          <w:p w14:paraId="6E035D82">
            <w:pPr>
              <w:spacing w:line="440" w:lineRule="exact"/>
              <w:rPr>
                <w:rFonts w:hint="eastAsia" w:ascii="宋体" w:hAnsi="宋体" w:eastAsia="宋体" w:cs="宋体"/>
                <w:b w:val="0"/>
                <w:bCs w:val="0"/>
                <w:color w:val="auto"/>
                <w:sz w:val="21"/>
                <w:szCs w:val="21"/>
                <w:highlight w:val="none"/>
              </w:rPr>
            </w:pPr>
          </w:p>
        </w:tc>
      </w:tr>
      <w:tr w14:paraId="2A4C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72355E9B">
            <w:pPr>
              <w:spacing w:line="440" w:lineRule="exact"/>
              <w:rPr>
                <w:rFonts w:hint="eastAsia" w:ascii="宋体" w:hAnsi="宋体" w:eastAsia="宋体" w:cs="宋体"/>
                <w:b w:val="0"/>
                <w:bCs w:val="0"/>
                <w:color w:val="auto"/>
                <w:sz w:val="21"/>
                <w:szCs w:val="21"/>
                <w:highlight w:val="none"/>
              </w:rPr>
            </w:pPr>
          </w:p>
        </w:tc>
        <w:tc>
          <w:tcPr>
            <w:tcW w:w="3420" w:type="dxa"/>
            <w:gridSpan w:val="4"/>
            <w:vAlign w:val="center"/>
          </w:tcPr>
          <w:p w14:paraId="5003C0D1">
            <w:pPr>
              <w:spacing w:line="440" w:lineRule="exact"/>
              <w:rPr>
                <w:rFonts w:hint="eastAsia" w:ascii="宋体" w:hAnsi="宋体" w:eastAsia="宋体" w:cs="宋体"/>
                <w:b w:val="0"/>
                <w:bCs w:val="0"/>
                <w:color w:val="auto"/>
                <w:sz w:val="21"/>
                <w:szCs w:val="21"/>
                <w:highlight w:val="none"/>
              </w:rPr>
            </w:pPr>
          </w:p>
        </w:tc>
        <w:tc>
          <w:tcPr>
            <w:tcW w:w="1424" w:type="dxa"/>
            <w:vAlign w:val="center"/>
          </w:tcPr>
          <w:p w14:paraId="4199DAD7">
            <w:pPr>
              <w:spacing w:line="440" w:lineRule="exact"/>
              <w:rPr>
                <w:rFonts w:hint="eastAsia" w:ascii="宋体" w:hAnsi="宋体" w:eastAsia="宋体" w:cs="宋体"/>
                <w:b w:val="0"/>
                <w:bCs w:val="0"/>
                <w:color w:val="auto"/>
                <w:sz w:val="21"/>
                <w:szCs w:val="21"/>
                <w:highlight w:val="none"/>
              </w:rPr>
            </w:pPr>
          </w:p>
        </w:tc>
        <w:tc>
          <w:tcPr>
            <w:tcW w:w="2369" w:type="dxa"/>
            <w:vAlign w:val="center"/>
          </w:tcPr>
          <w:p w14:paraId="1BBED492">
            <w:pPr>
              <w:spacing w:line="440" w:lineRule="exact"/>
              <w:rPr>
                <w:rFonts w:hint="eastAsia" w:ascii="宋体" w:hAnsi="宋体" w:eastAsia="宋体" w:cs="宋体"/>
                <w:b w:val="0"/>
                <w:bCs w:val="0"/>
                <w:color w:val="auto"/>
                <w:sz w:val="21"/>
                <w:szCs w:val="21"/>
                <w:highlight w:val="none"/>
              </w:rPr>
            </w:pPr>
          </w:p>
        </w:tc>
      </w:tr>
      <w:tr w14:paraId="5235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2150B331">
            <w:pPr>
              <w:spacing w:line="440" w:lineRule="exact"/>
              <w:rPr>
                <w:rFonts w:hint="eastAsia" w:ascii="宋体" w:hAnsi="宋体" w:eastAsia="宋体" w:cs="宋体"/>
                <w:b w:val="0"/>
                <w:bCs w:val="0"/>
                <w:color w:val="auto"/>
                <w:sz w:val="21"/>
                <w:szCs w:val="21"/>
                <w:highlight w:val="none"/>
              </w:rPr>
            </w:pPr>
          </w:p>
        </w:tc>
        <w:tc>
          <w:tcPr>
            <w:tcW w:w="3420" w:type="dxa"/>
            <w:gridSpan w:val="4"/>
            <w:vAlign w:val="center"/>
          </w:tcPr>
          <w:p w14:paraId="37C1A534">
            <w:pPr>
              <w:spacing w:line="440" w:lineRule="exact"/>
              <w:rPr>
                <w:rFonts w:hint="eastAsia" w:ascii="宋体" w:hAnsi="宋体" w:eastAsia="宋体" w:cs="宋体"/>
                <w:b w:val="0"/>
                <w:bCs w:val="0"/>
                <w:color w:val="auto"/>
                <w:sz w:val="21"/>
                <w:szCs w:val="21"/>
                <w:highlight w:val="none"/>
              </w:rPr>
            </w:pPr>
          </w:p>
        </w:tc>
        <w:tc>
          <w:tcPr>
            <w:tcW w:w="1424" w:type="dxa"/>
            <w:vAlign w:val="center"/>
          </w:tcPr>
          <w:p w14:paraId="0CA91EDB">
            <w:pPr>
              <w:spacing w:line="440" w:lineRule="exact"/>
              <w:rPr>
                <w:rFonts w:hint="eastAsia" w:ascii="宋体" w:hAnsi="宋体" w:eastAsia="宋体" w:cs="宋体"/>
                <w:b w:val="0"/>
                <w:bCs w:val="0"/>
                <w:color w:val="auto"/>
                <w:sz w:val="21"/>
                <w:szCs w:val="21"/>
                <w:highlight w:val="none"/>
              </w:rPr>
            </w:pPr>
          </w:p>
        </w:tc>
        <w:tc>
          <w:tcPr>
            <w:tcW w:w="2369" w:type="dxa"/>
            <w:vAlign w:val="center"/>
          </w:tcPr>
          <w:p w14:paraId="7C3E6081">
            <w:pPr>
              <w:spacing w:line="440" w:lineRule="exact"/>
              <w:rPr>
                <w:rFonts w:hint="eastAsia" w:ascii="宋体" w:hAnsi="宋体" w:eastAsia="宋体" w:cs="宋体"/>
                <w:b w:val="0"/>
                <w:bCs w:val="0"/>
                <w:color w:val="auto"/>
                <w:sz w:val="21"/>
                <w:szCs w:val="21"/>
                <w:highlight w:val="none"/>
              </w:rPr>
            </w:pPr>
          </w:p>
        </w:tc>
      </w:tr>
      <w:tr w14:paraId="225F4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3A5BE2F3">
            <w:pPr>
              <w:spacing w:line="440" w:lineRule="exact"/>
              <w:rPr>
                <w:rFonts w:hint="eastAsia" w:ascii="宋体" w:hAnsi="宋体" w:eastAsia="宋体" w:cs="宋体"/>
                <w:b w:val="0"/>
                <w:bCs w:val="0"/>
                <w:color w:val="auto"/>
                <w:sz w:val="21"/>
                <w:szCs w:val="21"/>
                <w:highlight w:val="none"/>
              </w:rPr>
            </w:pPr>
          </w:p>
        </w:tc>
        <w:tc>
          <w:tcPr>
            <w:tcW w:w="3420" w:type="dxa"/>
            <w:gridSpan w:val="4"/>
            <w:vAlign w:val="center"/>
          </w:tcPr>
          <w:p w14:paraId="63ECF822">
            <w:pPr>
              <w:spacing w:line="440" w:lineRule="exact"/>
              <w:rPr>
                <w:rFonts w:hint="eastAsia" w:ascii="宋体" w:hAnsi="宋体" w:eastAsia="宋体" w:cs="宋体"/>
                <w:b w:val="0"/>
                <w:bCs w:val="0"/>
                <w:color w:val="auto"/>
                <w:sz w:val="21"/>
                <w:szCs w:val="21"/>
                <w:highlight w:val="none"/>
              </w:rPr>
            </w:pPr>
          </w:p>
        </w:tc>
        <w:tc>
          <w:tcPr>
            <w:tcW w:w="1424" w:type="dxa"/>
            <w:vAlign w:val="center"/>
          </w:tcPr>
          <w:p w14:paraId="58B620D3">
            <w:pPr>
              <w:spacing w:line="440" w:lineRule="exact"/>
              <w:rPr>
                <w:rFonts w:hint="eastAsia" w:ascii="宋体" w:hAnsi="宋体" w:eastAsia="宋体" w:cs="宋体"/>
                <w:b w:val="0"/>
                <w:bCs w:val="0"/>
                <w:color w:val="auto"/>
                <w:sz w:val="21"/>
                <w:szCs w:val="21"/>
                <w:highlight w:val="none"/>
              </w:rPr>
            </w:pPr>
          </w:p>
        </w:tc>
        <w:tc>
          <w:tcPr>
            <w:tcW w:w="2369" w:type="dxa"/>
            <w:vAlign w:val="center"/>
          </w:tcPr>
          <w:p w14:paraId="4EC234C9">
            <w:pPr>
              <w:spacing w:line="440" w:lineRule="exact"/>
              <w:rPr>
                <w:rFonts w:hint="eastAsia" w:ascii="宋体" w:hAnsi="宋体" w:eastAsia="宋体" w:cs="宋体"/>
                <w:b w:val="0"/>
                <w:bCs w:val="0"/>
                <w:color w:val="auto"/>
                <w:sz w:val="21"/>
                <w:szCs w:val="21"/>
                <w:highlight w:val="none"/>
              </w:rPr>
            </w:pPr>
          </w:p>
        </w:tc>
      </w:tr>
      <w:tr w14:paraId="04397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239C5E2C">
            <w:pPr>
              <w:spacing w:line="440" w:lineRule="exact"/>
              <w:rPr>
                <w:rFonts w:hint="eastAsia" w:ascii="宋体" w:hAnsi="宋体" w:eastAsia="宋体" w:cs="宋体"/>
                <w:b w:val="0"/>
                <w:bCs w:val="0"/>
                <w:color w:val="auto"/>
                <w:sz w:val="21"/>
                <w:szCs w:val="21"/>
                <w:highlight w:val="none"/>
              </w:rPr>
            </w:pPr>
          </w:p>
        </w:tc>
        <w:tc>
          <w:tcPr>
            <w:tcW w:w="3420" w:type="dxa"/>
            <w:gridSpan w:val="4"/>
            <w:vAlign w:val="center"/>
          </w:tcPr>
          <w:p w14:paraId="144C7104">
            <w:pPr>
              <w:spacing w:line="440" w:lineRule="exact"/>
              <w:rPr>
                <w:rFonts w:hint="eastAsia" w:ascii="宋体" w:hAnsi="宋体" w:eastAsia="宋体" w:cs="宋体"/>
                <w:b w:val="0"/>
                <w:bCs w:val="0"/>
                <w:color w:val="auto"/>
                <w:sz w:val="21"/>
                <w:szCs w:val="21"/>
                <w:highlight w:val="none"/>
              </w:rPr>
            </w:pPr>
          </w:p>
        </w:tc>
        <w:tc>
          <w:tcPr>
            <w:tcW w:w="1424" w:type="dxa"/>
            <w:vAlign w:val="center"/>
          </w:tcPr>
          <w:p w14:paraId="107DFAA1">
            <w:pPr>
              <w:spacing w:line="440" w:lineRule="exact"/>
              <w:rPr>
                <w:rFonts w:hint="eastAsia" w:ascii="宋体" w:hAnsi="宋体" w:eastAsia="宋体" w:cs="宋体"/>
                <w:b w:val="0"/>
                <w:bCs w:val="0"/>
                <w:color w:val="auto"/>
                <w:sz w:val="21"/>
                <w:szCs w:val="21"/>
                <w:highlight w:val="none"/>
              </w:rPr>
            </w:pPr>
          </w:p>
        </w:tc>
        <w:tc>
          <w:tcPr>
            <w:tcW w:w="2369" w:type="dxa"/>
            <w:vAlign w:val="center"/>
          </w:tcPr>
          <w:p w14:paraId="3C9417EE">
            <w:pPr>
              <w:spacing w:line="440" w:lineRule="exact"/>
              <w:rPr>
                <w:rFonts w:hint="eastAsia" w:ascii="宋体" w:hAnsi="宋体" w:eastAsia="宋体" w:cs="宋体"/>
                <w:b w:val="0"/>
                <w:bCs w:val="0"/>
                <w:color w:val="auto"/>
                <w:sz w:val="21"/>
                <w:szCs w:val="21"/>
                <w:highlight w:val="none"/>
              </w:rPr>
            </w:pPr>
          </w:p>
        </w:tc>
      </w:tr>
      <w:tr w14:paraId="3600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79E3799C">
            <w:pPr>
              <w:spacing w:line="440" w:lineRule="exact"/>
              <w:rPr>
                <w:rFonts w:hint="eastAsia" w:ascii="宋体" w:hAnsi="宋体" w:eastAsia="宋体" w:cs="宋体"/>
                <w:b w:val="0"/>
                <w:bCs w:val="0"/>
                <w:color w:val="auto"/>
                <w:sz w:val="21"/>
                <w:szCs w:val="21"/>
                <w:highlight w:val="none"/>
              </w:rPr>
            </w:pPr>
          </w:p>
        </w:tc>
        <w:tc>
          <w:tcPr>
            <w:tcW w:w="3420" w:type="dxa"/>
            <w:gridSpan w:val="4"/>
            <w:vAlign w:val="center"/>
          </w:tcPr>
          <w:p w14:paraId="40960C8C">
            <w:pPr>
              <w:spacing w:line="440" w:lineRule="exact"/>
              <w:rPr>
                <w:rFonts w:hint="eastAsia" w:ascii="宋体" w:hAnsi="宋体" w:eastAsia="宋体" w:cs="宋体"/>
                <w:b w:val="0"/>
                <w:bCs w:val="0"/>
                <w:color w:val="auto"/>
                <w:sz w:val="21"/>
                <w:szCs w:val="21"/>
                <w:highlight w:val="none"/>
              </w:rPr>
            </w:pPr>
          </w:p>
        </w:tc>
        <w:tc>
          <w:tcPr>
            <w:tcW w:w="1424" w:type="dxa"/>
            <w:vAlign w:val="center"/>
          </w:tcPr>
          <w:p w14:paraId="6D42356C">
            <w:pPr>
              <w:spacing w:line="440" w:lineRule="exact"/>
              <w:rPr>
                <w:rFonts w:hint="eastAsia" w:ascii="宋体" w:hAnsi="宋体" w:eastAsia="宋体" w:cs="宋体"/>
                <w:b w:val="0"/>
                <w:bCs w:val="0"/>
                <w:color w:val="auto"/>
                <w:sz w:val="21"/>
                <w:szCs w:val="21"/>
                <w:highlight w:val="none"/>
              </w:rPr>
            </w:pPr>
          </w:p>
        </w:tc>
        <w:tc>
          <w:tcPr>
            <w:tcW w:w="2369" w:type="dxa"/>
            <w:vAlign w:val="center"/>
          </w:tcPr>
          <w:p w14:paraId="02DF42E6">
            <w:pPr>
              <w:spacing w:line="440" w:lineRule="exact"/>
              <w:rPr>
                <w:rFonts w:hint="eastAsia" w:ascii="宋体" w:hAnsi="宋体" w:eastAsia="宋体" w:cs="宋体"/>
                <w:b w:val="0"/>
                <w:bCs w:val="0"/>
                <w:color w:val="auto"/>
                <w:sz w:val="21"/>
                <w:szCs w:val="21"/>
                <w:highlight w:val="none"/>
              </w:rPr>
            </w:pPr>
          </w:p>
        </w:tc>
      </w:tr>
    </w:tbl>
    <w:p w14:paraId="70208367">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46A3AA42">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“主要人员简历表”中填写项目负责人（项目经理）、技术负责人</w:t>
      </w:r>
      <w:r>
        <w:rPr>
          <w:rFonts w:hint="eastAsia" w:ascii="宋体" w:hAnsi="宋体" w:eastAsia="宋体" w:cs="宋体"/>
          <w:b w:val="0"/>
          <w:bCs w:val="0"/>
          <w:color w:val="auto"/>
          <w:sz w:val="21"/>
          <w:szCs w:val="21"/>
          <w:highlight w:val="none"/>
          <w:lang w:eastAsia="zh-CN"/>
        </w:rPr>
        <w:t>，须分别填写</w:t>
      </w:r>
      <w:r>
        <w:rPr>
          <w:rFonts w:hint="eastAsia" w:ascii="宋体" w:hAnsi="宋体" w:eastAsia="宋体" w:cs="宋体"/>
          <w:b w:val="0"/>
          <w:bCs w:val="0"/>
          <w:color w:val="auto"/>
          <w:sz w:val="21"/>
          <w:szCs w:val="21"/>
          <w:highlight w:val="none"/>
        </w:rPr>
        <w:t>。</w:t>
      </w:r>
    </w:p>
    <w:p w14:paraId="3A589BB9">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本表中项目负责人（项目经理）应附</w:t>
      </w:r>
      <w:r>
        <w:rPr>
          <w:rFonts w:hint="eastAsia" w:ascii="宋体" w:hAnsi="宋体" w:cs="宋体"/>
          <w:b w:val="0"/>
          <w:bCs w:val="0"/>
          <w:color w:val="auto"/>
          <w:sz w:val="21"/>
          <w:szCs w:val="21"/>
          <w:highlight w:val="none"/>
          <w:lang w:val="en-US" w:eastAsia="zh-CN"/>
        </w:rPr>
        <w:t>身份证、</w:t>
      </w:r>
      <w:r>
        <w:rPr>
          <w:rFonts w:hint="eastAsia" w:ascii="宋体" w:hAnsi="宋体" w:eastAsia="宋体" w:cs="宋体"/>
          <w:b w:val="0"/>
          <w:bCs w:val="0"/>
          <w:color w:val="auto"/>
          <w:sz w:val="21"/>
          <w:szCs w:val="21"/>
          <w:highlight w:val="none"/>
        </w:rPr>
        <w:t>注册建造师证、安全生产考核合格证（B证）、职称证（如有）、学历证、投标截止日期前连续3个月在投标单位参保的职工基本养老保险参保证明或社保证明</w:t>
      </w:r>
      <w:r>
        <w:rPr>
          <w:rFonts w:hint="eastAsia" w:ascii="宋体" w:hAnsi="宋体" w:cs="宋体"/>
          <w:b w:val="0"/>
          <w:bCs w:val="0"/>
          <w:color w:val="auto"/>
          <w:sz w:val="21"/>
          <w:szCs w:val="21"/>
          <w:highlight w:val="none"/>
          <w:lang w:val="en-US" w:eastAsia="zh-CN"/>
        </w:rPr>
        <w:t>原件</w:t>
      </w:r>
      <w:r>
        <w:rPr>
          <w:rFonts w:hint="eastAsia" w:ascii="宋体" w:hAnsi="宋体" w:eastAsia="宋体" w:cs="宋体"/>
          <w:b w:val="0"/>
          <w:bCs w:val="0"/>
          <w:color w:val="auto"/>
          <w:sz w:val="21"/>
          <w:szCs w:val="21"/>
          <w:highlight w:val="none"/>
        </w:rPr>
        <w:t>扫描件；技术负责人应附</w:t>
      </w:r>
      <w:r>
        <w:rPr>
          <w:rFonts w:hint="eastAsia" w:ascii="宋体" w:hAnsi="宋体" w:cs="宋体"/>
          <w:b w:val="0"/>
          <w:bCs w:val="0"/>
          <w:color w:val="auto"/>
          <w:sz w:val="21"/>
          <w:szCs w:val="21"/>
          <w:highlight w:val="none"/>
          <w:lang w:val="en-US" w:eastAsia="zh-CN"/>
        </w:rPr>
        <w:t>身份证、</w:t>
      </w:r>
      <w:r>
        <w:rPr>
          <w:rFonts w:hint="eastAsia" w:ascii="宋体" w:hAnsi="宋体" w:eastAsia="宋体" w:cs="宋体"/>
          <w:b w:val="0"/>
          <w:bCs w:val="0"/>
          <w:color w:val="auto"/>
          <w:sz w:val="21"/>
          <w:szCs w:val="21"/>
          <w:highlight w:val="none"/>
        </w:rPr>
        <w:t>职称证、学历证、投标截止日期前连续3个月在投标单位参保的职工基本养老保险参保证明或社保证明</w:t>
      </w:r>
      <w:r>
        <w:rPr>
          <w:rFonts w:hint="eastAsia" w:ascii="宋体" w:hAnsi="宋体" w:cs="宋体"/>
          <w:b w:val="0"/>
          <w:bCs w:val="0"/>
          <w:color w:val="auto"/>
          <w:sz w:val="21"/>
          <w:szCs w:val="21"/>
          <w:highlight w:val="none"/>
          <w:lang w:val="en-US" w:eastAsia="zh-CN"/>
        </w:rPr>
        <w:t>原件</w:t>
      </w:r>
      <w:r>
        <w:rPr>
          <w:rFonts w:hint="eastAsia" w:ascii="宋体" w:hAnsi="宋体" w:eastAsia="宋体" w:cs="宋体"/>
          <w:b w:val="0"/>
          <w:bCs w:val="0"/>
          <w:color w:val="auto"/>
          <w:sz w:val="21"/>
          <w:szCs w:val="21"/>
          <w:highlight w:val="none"/>
        </w:rPr>
        <w:t>扫描件。</w:t>
      </w:r>
    </w:p>
    <w:p w14:paraId="0368F337">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4C601065">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5C155199">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3E21048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type="page"/>
      </w:r>
    </w:p>
    <w:p w14:paraId="746C28ED">
      <w:pPr>
        <w:pStyle w:val="48"/>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附1：承诺书</w:t>
      </w:r>
    </w:p>
    <w:p w14:paraId="5AAB797E">
      <w:pPr>
        <w:pStyle w:val="48"/>
        <w:rPr>
          <w:rFonts w:hint="eastAsia" w:ascii="宋体" w:hAnsi="宋体" w:eastAsia="宋体" w:cs="宋体"/>
          <w:b w:val="0"/>
          <w:bCs w:val="0"/>
          <w:color w:val="auto"/>
          <w:sz w:val="21"/>
          <w:szCs w:val="21"/>
          <w:highlight w:val="none"/>
        </w:rPr>
      </w:pPr>
    </w:p>
    <w:p w14:paraId="5A3256F9">
      <w:pPr>
        <w:pStyle w:val="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项目负责人（项目经理）无在建承诺书</w:t>
      </w:r>
    </w:p>
    <w:p w14:paraId="3AD644C3">
      <w:pPr>
        <w:pStyle w:val="48"/>
        <w:spacing w:line="360" w:lineRule="auto"/>
        <w:rPr>
          <w:rFonts w:hint="eastAsia" w:ascii="宋体" w:hAnsi="宋体" w:eastAsia="宋体" w:cs="宋体"/>
          <w:b w:val="0"/>
          <w:bCs w:val="0"/>
          <w:color w:val="auto"/>
          <w:sz w:val="21"/>
          <w:szCs w:val="21"/>
          <w:highlight w:val="none"/>
          <w:u w:val="single"/>
        </w:rPr>
      </w:pPr>
    </w:p>
    <w:p w14:paraId="2336091C">
      <w:pPr>
        <w:pStyle w:val="48"/>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（招标人名称）：</w:t>
      </w:r>
    </w:p>
    <w:p w14:paraId="7AB339A4">
      <w:pPr>
        <w:pStyle w:val="48"/>
        <w:spacing w:line="360" w:lineRule="auto"/>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我方在此声明，我方拟派往</w:t>
      </w:r>
      <w:r>
        <w:rPr>
          <w:rStyle w:val="44"/>
          <w:rFonts w:hint="eastAsia" w:ascii="宋体" w:hAnsi="宋体" w:eastAsia="宋体" w:cs="宋体"/>
          <w:b w:val="0"/>
          <w:bCs w:val="0"/>
          <w:color w:val="auto"/>
          <w:kern w:val="2"/>
          <w:sz w:val="21"/>
          <w:szCs w:val="21"/>
          <w:highlight w:val="none"/>
          <w:u w:val="single"/>
        </w:rPr>
        <w:t xml:space="preserve">   （</w:t>
      </w:r>
      <w:r>
        <w:rPr>
          <w:rStyle w:val="44"/>
          <w:rFonts w:hint="eastAsia" w:ascii="宋体" w:hAnsi="宋体" w:eastAsia="宋体" w:cs="宋体"/>
          <w:b w:val="0"/>
          <w:bCs w:val="0"/>
          <w:color w:val="auto"/>
          <w:kern w:val="2"/>
          <w:sz w:val="21"/>
          <w:szCs w:val="21"/>
          <w:highlight w:val="none"/>
          <w:u w:val="single"/>
          <w:lang w:val="en-US" w:eastAsia="zh-CN"/>
        </w:rPr>
        <w:t>项目名称</w:t>
      </w:r>
      <w:r>
        <w:rPr>
          <w:rStyle w:val="44"/>
          <w:rFonts w:hint="eastAsia" w:ascii="宋体" w:hAnsi="宋体" w:eastAsia="宋体" w:cs="宋体"/>
          <w:b w:val="0"/>
          <w:bCs w:val="0"/>
          <w:color w:val="auto"/>
          <w:kern w:val="2"/>
          <w:sz w:val="21"/>
          <w:szCs w:val="21"/>
          <w:highlight w:val="none"/>
          <w:u w:val="single"/>
        </w:rPr>
        <w:t xml:space="preserve">）  </w:t>
      </w:r>
      <w:r>
        <w:rPr>
          <w:rFonts w:hint="eastAsia" w:ascii="宋体" w:hAnsi="宋体" w:eastAsia="宋体" w:cs="宋体"/>
          <w:b w:val="0"/>
          <w:bCs w:val="0"/>
          <w:color w:val="auto"/>
          <w:sz w:val="21"/>
          <w:szCs w:val="21"/>
          <w:highlight w:val="none"/>
        </w:rPr>
        <w:t>的项目经理</w:t>
      </w:r>
      <w:r>
        <w:rPr>
          <w:rFonts w:hint="eastAsia" w:ascii="宋体" w:hAnsi="宋体" w:eastAsia="宋体" w:cs="宋体"/>
          <w:b w:val="0"/>
          <w:bCs w:val="0"/>
          <w:color w:val="auto"/>
          <w:sz w:val="21"/>
          <w:szCs w:val="21"/>
          <w:highlight w:val="none"/>
          <w:u w:val="single"/>
        </w:rPr>
        <w:t xml:space="preserve">       （项目经理姓名）</w:t>
      </w:r>
      <w:r>
        <w:rPr>
          <w:rFonts w:hint="eastAsia" w:ascii="宋体" w:hAnsi="宋体" w:eastAsia="宋体" w:cs="宋体"/>
          <w:b w:val="0"/>
          <w:bCs w:val="0"/>
          <w:color w:val="auto"/>
          <w:sz w:val="21"/>
          <w:szCs w:val="21"/>
          <w:highlight w:val="none"/>
        </w:rPr>
        <w:t>现阶段没有担任任何在建工程项目的</w:t>
      </w:r>
      <w:r>
        <w:rPr>
          <w:rFonts w:hint="eastAsia" w:ascii="宋体" w:hAnsi="宋体" w:eastAsia="宋体" w:cs="宋体"/>
          <w:b w:val="0"/>
          <w:bCs w:val="0"/>
          <w:color w:val="auto"/>
          <w:sz w:val="21"/>
          <w:szCs w:val="21"/>
          <w:highlight w:val="none"/>
          <w:lang w:val="en-US" w:eastAsia="zh-CN"/>
        </w:rPr>
        <w:t>项目负责人</w:t>
      </w:r>
      <w:r>
        <w:rPr>
          <w:rFonts w:hint="eastAsia" w:ascii="宋体" w:hAnsi="宋体" w:eastAsia="宋体" w:cs="宋体"/>
          <w:b w:val="0"/>
          <w:bCs w:val="0"/>
          <w:color w:val="auto"/>
          <w:sz w:val="21"/>
          <w:szCs w:val="21"/>
          <w:highlight w:val="none"/>
        </w:rPr>
        <w:t>；其作为拟派</w:t>
      </w:r>
      <w:r>
        <w:rPr>
          <w:rFonts w:hint="eastAsia" w:ascii="宋体" w:hAnsi="宋体" w:eastAsia="宋体" w:cs="宋体"/>
          <w:b w:val="0"/>
          <w:bCs w:val="0"/>
          <w:color w:val="auto"/>
          <w:sz w:val="21"/>
          <w:szCs w:val="21"/>
          <w:highlight w:val="none"/>
          <w:lang w:val="en-US" w:eastAsia="zh-CN"/>
        </w:rPr>
        <w:t>项目负责人</w:t>
      </w:r>
      <w:r>
        <w:rPr>
          <w:rFonts w:hint="eastAsia" w:ascii="宋体" w:hAnsi="宋体" w:eastAsia="宋体" w:cs="宋体"/>
          <w:b w:val="0"/>
          <w:bCs w:val="0"/>
          <w:color w:val="auto"/>
          <w:sz w:val="21"/>
          <w:szCs w:val="21"/>
          <w:highlight w:val="none"/>
        </w:rPr>
        <w:t>在以往中标项目中，不存在中标后更换项目经理的情况。</w:t>
      </w:r>
    </w:p>
    <w:p w14:paraId="463A8FD7">
      <w:pPr>
        <w:pStyle w:val="48"/>
        <w:spacing w:line="360" w:lineRule="auto"/>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我方保证上述信息的真实和准确，并愿意承担因我方就此弄虚作假所引起的一切法律后果。</w:t>
      </w:r>
    </w:p>
    <w:p w14:paraId="6D5CB85E">
      <w:pPr>
        <w:pStyle w:val="48"/>
        <w:spacing w:line="360" w:lineRule="auto"/>
        <w:ind w:firstLine="480"/>
        <w:rPr>
          <w:rFonts w:hint="eastAsia" w:ascii="宋体" w:hAnsi="宋体" w:eastAsia="宋体" w:cs="宋体"/>
          <w:b w:val="0"/>
          <w:bCs w:val="0"/>
          <w:color w:val="auto"/>
          <w:sz w:val="21"/>
          <w:szCs w:val="21"/>
          <w:highlight w:val="none"/>
        </w:rPr>
      </w:pPr>
    </w:p>
    <w:p w14:paraId="01AF2BDD">
      <w:pPr>
        <w:pStyle w:val="48"/>
        <w:spacing w:line="360" w:lineRule="auto"/>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特此承诺</w:t>
      </w:r>
    </w:p>
    <w:p w14:paraId="39D2C4EC">
      <w:pPr>
        <w:pStyle w:val="48"/>
        <w:spacing w:line="360" w:lineRule="auto"/>
        <w:ind w:firstLine="480"/>
        <w:rPr>
          <w:rFonts w:hint="eastAsia" w:ascii="宋体" w:hAnsi="宋体" w:eastAsia="宋体" w:cs="宋体"/>
          <w:b w:val="0"/>
          <w:bCs w:val="0"/>
          <w:color w:val="auto"/>
          <w:sz w:val="21"/>
          <w:szCs w:val="21"/>
          <w:highlight w:val="none"/>
        </w:rPr>
      </w:pPr>
    </w:p>
    <w:p w14:paraId="3A3D9D06">
      <w:pPr>
        <w:pStyle w:val="48"/>
        <w:spacing w:line="360" w:lineRule="auto"/>
        <w:ind w:firstLine="480"/>
        <w:rPr>
          <w:rFonts w:hint="eastAsia" w:ascii="宋体" w:hAnsi="宋体" w:eastAsia="宋体" w:cs="宋体"/>
          <w:b w:val="0"/>
          <w:bCs w:val="0"/>
          <w:color w:val="auto"/>
          <w:sz w:val="21"/>
          <w:szCs w:val="21"/>
          <w:highlight w:val="none"/>
        </w:rPr>
      </w:pPr>
    </w:p>
    <w:p w14:paraId="51843151">
      <w:pPr>
        <w:pStyle w:val="48"/>
        <w:spacing w:line="360" w:lineRule="auto"/>
        <w:ind w:firstLine="480"/>
        <w:rPr>
          <w:rFonts w:hint="eastAsia" w:ascii="宋体" w:hAnsi="宋体" w:eastAsia="宋体" w:cs="宋体"/>
          <w:b w:val="0"/>
          <w:bCs w:val="0"/>
          <w:color w:val="auto"/>
          <w:sz w:val="21"/>
          <w:szCs w:val="21"/>
          <w:highlight w:val="none"/>
        </w:rPr>
      </w:pPr>
    </w:p>
    <w:p w14:paraId="5483E4B4">
      <w:pPr>
        <w:pStyle w:val="48"/>
        <w:spacing w:line="360" w:lineRule="auto"/>
        <w:ind w:firstLine="480"/>
        <w:rPr>
          <w:rFonts w:hint="eastAsia" w:ascii="宋体" w:hAnsi="宋体" w:eastAsia="宋体" w:cs="宋体"/>
          <w:b w:val="0"/>
          <w:bCs w:val="0"/>
          <w:color w:val="auto"/>
          <w:sz w:val="21"/>
          <w:szCs w:val="21"/>
          <w:highlight w:val="none"/>
        </w:rPr>
      </w:pPr>
    </w:p>
    <w:p w14:paraId="4F44339B">
      <w:pPr>
        <w:pStyle w:val="48"/>
        <w:spacing w:line="360" w:lineRule="auto"/>
        <w:ind w:firstLine="480"/>
        <w:rPr>
          <w:rFonts w:hint="eastAsia" w:ascii="宋体" w:hAnsi="宋体" w:eastAsia="宋体" w:cs="宋体"/>
          <w:b w:val="0"/>
          <w:bCs w:val="0"/>
          <w:color w:val="auto"/>
          <w:sz w:val="21"/>
          <w:szCs w:val="21"/>
          <w:highlight w:val="none"/>
        </w:rPr>
      </w:pPr>
    </w:p>
    <w:p w14:paraId="62A0B437">
      <w:pPr>
        <w:pStyle w:val="48"/>
        <w:spacing w:line="360" w:lineRule="auto"/>
        <w:ind w:firstLine="480"/>
        <w:rPr>
          <w:rFonts w:hint="eastAsia" w:ascii="宋体" w:hAnsi="宋体" w:eastAsia="宋体" w:cs="宋体"/>
          <w:b w:val="0"/>
          <w:bCs w:val="0"/>
          <w:color w:val="auto"/>
          <w:sz w:val="21"/>
          <w:szCs w:val="21"/>
          <w:highlight w:val="none"/>
        </w:rPr>
      </w:pPr>
    </w:p>
    <w:p w14:paraId="2661711E">
      <w:pPr>
        <w:pStyle w:val="48"/>
        <w:spacing w:line="360" w:lineRule="auto"/>
        <w:ind w:firstLine="480"/>
        <w:rPr>
          <w:rFonts w:hint="eastAsia" w:ascii="宋体" w:hAnsi="宋体" w:eastAsia="宋体" w:cs="宋体"/>
          <w:b w:val="0"/>
          <w:bCs w:val="0"/>
          <w:color w:val="auto"/>
          <w:sz w:val="21"/>
          <w:szCs w:val="21"/>
          <w:highlight w:val="none"/>
        </w:rPr>
      </w:pPr>
    </w:p>
    <w:p w14:paraId="492BB85B">
      <w:pPr>
        <w:pStyle w:val="48"/>
        <w:spacing w:line="360" w:lineRule="auto"/>
        <w:ind w:firstLine="480"/>
        <w:rPr>
          <w:rFonts w:hint="eastAsia" w:ascii="宋体" w:hAnsi="宋体" w:eastAsia="宋体" w:cs="宋体"/>
          <w:b w:val="0"/>
          <w:bCs w:val="0"/>
          <w:color w:val="auto"/>
          <w:sz w:val="21"/>
          <w:szCs w:val="21"/>
          <w:highlight w:val="none"/>
        </w:rPr>
      </w:pPr>
    </w:p>
    <w:p w14:paraId="4459D131">
      <w:pPr>
        <w:pStyle w:val="48"/>
        <w:spacing w:line="360" w:lineRule="auto"/>
        <w:ind w:firstLine="480"/>
        <w:rPr>
          <w:rFonts w:hint="eastAsia" w:ascii="宋体" w:hAnsi="宋体" w:eastAsia="宋体" w:cs="宋体"/>
          <w:b w:val="0"/>
          <w:bCs w:val="0"/>
          <w:color w:val="auto"/>
          <w:sz w:val="21"/>
          <w:szCs w:val="21"/>
          <w:highlight w:val="none"/>
        </w:rPr>
      </w:pPr>
    </w:p>
    <w:p w14:paraId="4C42ABE3">
      <w:pPr>
        <w:pStyle w:val="48"/>
        <w:spacing w:line="360" w:lineRule="auto"/>
        <w:ind w:firstLine="48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w:t>
      </w:r>
      <w:r>
        <w:rPr>
          <w:rFonts w:hint="eastAsia" w:ascii="宋体" w:hAnsi="宋体" w:eastAsia="宋体" w:cs="宋体"/>
          <w:b w:val="0"/>
          <w:bCs w:val="0"/>
          <w:color w:val="auto"/>
          <w:sz w:val="21"/>
          <w:szCs w:val="21"/>
          <w:highlight w:val="none"/>
          <w:lang w:eastAsia="zh-CN"/>
        </w:rPr>
        <w:t>投标单位名称</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（电子签章）</w:t>
      </w:r>
    </w:p>
    <w:p w14:paraId="4034D0FF">
      <w:pPr>
        <w:pStyle w:val="48"/>
        <w:spacing w:line="360" w:lineRule="auto"/>
        <w:ind w:firstLine="48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法定代表人</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其委托代理人</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（电子签章或签字）</w:t>
      </w:r>
    </w:p>
    <w:p w14:paraId="246FBE20">
      <w:pPr>
        <w:pStyle w:val="48"/>
        <w:spacing w:line="360" w:lineRule="auto"/>
        <w:ind w:firstLine="480"/>
        <w:rPr>
          <w:rFonts w:hint="eastAsia" w:ascii="宋体" w:hAnsi="宋体" w:eastAsia="宋体" w:cs="宋体"/>
          <w:b w:val="0"/>
          <w:bCs w:val="0"/>
          <w:color w:val="auto"/>
          <w:sz w:val="21"/>
          <w:szCs w:val="21"/>
          <w:highlight w:val="none"/>
        </w:rPr>
      </w:pPr>
    </w:p>
    <w:p w14:paraId="44C5ADDB">
      <w:pPr>
        <w:pStyle w:val="48"/>
        <w:spacing w:line="360" w:lineRule="auto"/>
        <w:ind w:firstLine="48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w:t>
      </w:r>
    </w:p>
    <w:p w14:paraId="5EBE2CEB">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3071E794">
      <w:pPr>
        <w:pStyle w:val="46"/>
        <w:numPr>
          <w:ilvl w:val="0"/>
          <w:numId w:val="0"/>
        </w:numPr>
        <w:snapToGrid w:val="0"/>
        <w:spacing w:after="120" w:afterLines="50" w:line="360" w:lineRule="auto"/>
        <w:rPr>
          <w:rFonts w:hint="eastAsia" w:ascii="宋体" w:hAnsi="宋体" w:eastAsia="宋体" w:cs="宋体"/>
          <w:b w:val="0"/>
          <w:bCs w:val="0"/>
          <w:color w:val="auto"/>
          <w:sz w:val="21"/>
          <w:szCs w:val="21"/>
          <w:highlight w:val="none"/>
        </w:rPr>
      </w:pPr>
    </w:p>
    <w:p w14:paraId="2265C0EF">
      <w:pPr>
        <w:rPr>
          <w:rFonts w:hint="eastAsia" w:ascii="宋体" w:hAnsi="宋体" w:eastAsia="宋体" w:cs="宋体"/>
          <w:b w:val="0"/>
          <w:bCs w:val="0"/>
          <w:color w:val="auto"/>
          <w:sz w:val="21"/>
          <w:szCs w:val="21"/>
          <w:highlight w:val="none"/>
        </w:rPr>
      </w:pPr>
      <w:bookmarkStart w:id="979" w:name="_Toc19452"/>
      <w:r>
        <w:rPr>
          <w:rFonts w:hint="eastAsia" w:ascii="宋体" w:hAnsi="宋体" w:eastAsia="宋体" w:cs="宋体"/>
          <w:b w:val="0"/>
          <w:bCs w:val="0"/>
          <w:color w:val="auto"/>
          <w:sz w:val="21"/>
          <w:szCs w:val="21"/>
          <w:highlight w:val="none"/>
        </w:rPr>
        <w:br w:type="page"/>
      </w:r>
    </w:p>
    <w:p w14:paraId="3A5202B8">
      <w:pPr>
        <w:pStyle w:val="48"/>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附</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：承诺书</w:t>
      </w:r>
    </w:p>
    <w:p w14:paraId="068D600F">
      <w:pPr>
        <w:pStyle w:val="48"/>
        <w:rPr>
          <w:rFonts w:hint="eastAsia" w:ascii="宋体" w:hAnsi="宋体" w:eastAsia="宋体" w:cs="宋体"/>
          <w:b w:val="0"/>
          <w:bCs w:val="0"/>
          <w:color w:val="auto"/>
          <w:sz w:val="21"/>
          <w:szCs w:val="21"/>
          <w:highlight w:val="none"/>
        </w:rPr>
      </w:pPr>
    </w:p>
    <w:p w14:paraId="6FEF1139">
      <w:pPr>
        <w:pStyle w:val="48"/>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技术负责人</w:t>
      </w:r>
      <w:r>
        <w:rPr>
          <w:rFonts w:hint="eastAsia" w:ascii="宋体" w:hAnsi="宋体" w:eastAsia="宋体" w:cs="宋体"/>
          <w:b w:val="0"/>
          <w:bCs w:val="0"/>
          <w:color w:val="auto"/>
          <w:sz w:val="24"/>
          <w:szCs w:val="24"/>
          <w:highlight w:val="none"/>
        </w:rPr>
        <w:t>无在建承诺书</w:t>
      </w:r>
    </w:p>
    <w:p w14:paraId="35FF69AB">
      <w:pPr>
        <w:pStyle w:val="48"/>
        <w:spacing w:line="360" w:lineRule="auto"/>
        <w:rPr>
          <w:rFonts w:hint="eastAsia" w:ascii="宋体" w:hAnsi="宋体" w:eastAsia="宋体" w:cs="宋体"/>
          <w:b w:val="0"/>
          <w:bCs w:val="0"/>
          <w:color w:val="auto"/>
          <w:sz w:val="21"/>
          <w:szCs w:val="21"/>
          <w:highlight w:val="none"/>
          <w:u w:val="single"/>
        </w:rPr>
      </w:pPr>
    </w:p>
    <w:p w14:paraId="2E54E203">
      <w:pPr>
        <w:pStyle w:val="48"/>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（招标人名称）：</w:t>
      </w:r>
    </w:p>
    <w:p w14:paraId="5CA91E25">
      <w:pPr>
        <w:pStyle w:val="48"/>
        <w:spacing w:line="360" w:lineRule="auto"/>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我方在此声明，我方拟派往</w:t>
      </w:r>
      <w:r>
        <w:rPr>
          <w:rStyle w:val="44"/>
          <w:rFonts w:hint="eastAsia" w:ascii="宋体" w:hAnsi="宋体" w:eastAsia="宋体" w:cs="宋体"/>
          <w:b w:val="0"/>
          <w:bCs w:val="0"/>
          <w:color w:val="auto"/>
          <w:kern w:val="2"/>
          <w:sz w:val="21"/>
          <w:szCs w:val="21"/>
          <w:highlight w:val="none"/>
          <w:u w:val="single"/>
        </w:rPr>
        <w:t xml:space="preserve">  （</w:t>
      </w:r>
      <w:r>
        <w:rPr>
          <w:rStyle w:val="44"/>
          <w:rFonts w:hint="eastAsia" w:ascii="宋体" w:hAnsi="宋体" w:eastAsia="宋体" w:cs="宋体"/>
          <w:b w:val="0"/>
          <w:bCs w:val="0"/>
          <w:color w:val="auto"/>
          <w:kern w:val="2"/>
          <w:sz w:val="21"/>
          <w:szCs w:val="21"/>
          <w:highlight w:val="none"/>
          <w:u w:val="single"/>
          <w:lang w:val="en-US" w:eastAsia="zh-CN"/>
        </w:rPr>
        <w:t>项目名称</w:t>
      </w:r>
      <w:r>
        <w:rPr>
          <w:rStyle w:val="44"/>
          <w:rFonts w:hint="eastAsia" w:ascii="宋体" w:hAnsi="宋体" w:eastAsia="宋体" w:cs="宋体"/>
          <w:b w:val="0"/>
          <w:bCs w:val="0"/>
          <w:color w:val="auto"/>
          <w:kern w:val="2"/>
          <w:sz w:val="21"/>
          <w:szCs w:val="21"/>
          <w:highlight w:val="none"/>
          <w:u w:val="single"/>
        </w:rPr>
        <w:t xml:space="preserve">）  </w:t>
      </w:r>
      <w:r>
        <w:rPr>
          <w:rFonts w:hint="eastAsia" w:ascii="宋体" w:hAnsi="宋体" w:eastAsia="宋体" w:cs="宋体"/>
          <w:b w:val="0"/>
          <w:bCs w:val="0"/>
          <w:color w:val="auto"/>
          <w:sz w:val="21"/>
          <w:szCs w:val="21"/>
          <w:highlight w:val="none"/>
        </w:rPr>
        <w:t>的</w:t>
      </w:r>
      <w:r>
        <w:rPr>
          <w:rFonts w:hint="eastAsia" w:ascii="宋体" w:hAnsi="宋体" w:eastAsia="宋体" w:cs="宋体"/>
          <w:b w:val="0"/>
          <w:bCs w:val="0"/>
          <w:color w:val="auto"/>
          <w:sz w:val="21"/>
          <w:szCs w:val="21"/>
          <w:highlight w:val="none"/>
          <w:lang w:val="en-US" w:eastAsia="zh-CN"/>
        </w:rPr>
        <w:t>技术负责人</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（姓名）</w:t>
      </w:r>
      <w:r>
        <w:rPr>
          <w:rFonts w:hint="eastAsia" w:ascii="宋体" w:hAnsi="宋体" w:eastAsia="宋体" w:cs="宋体"/>
          <w:b w:val="0"/>
          <w:bCs w:val="0"/>
          <w:color w:val="auto"/>
          <w:sz w:val="21"/>
          <w:szCs w:val="21"/>
          <w:highlight w:val="none"/>
        </w:rPr>
        <w:t>现阶段没有担任任何</w:t>
      </w:r>
      <w:r>
        <w:rPr>
          <w:rFonts w:hint="eastAsia" w:ascii="宋体" w:hAnsi="宋体" w:eastAsia="宋体" w:cs="宋体"/>
          <w:b w:val="0"/>
          <w:bCs w:val="0"/>
          <w:color w:val="auto"/>
          <w:sz w:val="21"/>
          <w:szCs w:val="21"/>
          <w:highlight w:val="none"/>
          <w:lang w:val="en-US" w:eastAsia="zh-CN"/>
        </w:rPr>
        <w:t>在建</w:t>
      </w:r>
      <w:r>
        <w:rPr>
          <w:rFonts w:hint="eastAsia" w:ascii="宋体" w:hAnsi="宋体" w:eastAsia="宋体" w:cs="宋体"/>
          <w:b w:val="0"/>
          <w:bCs w:val="0"/>
          <w:color w:val="auto"/>
          <w:sz w:val="21"/>
          <w:szCs w:val="21"/>
          <w:highlight w:val="none"/>
        </w:rPr>
        <w:t>项目的</w:t>
      </w:r>
      <w:r>
        <w:rPr>
          <w:rFonts w:hint="eastAsia" w:ascii="宋体" w:hAnsi="宋体" w:eastAsia="宋体" w:cs="宋体"/>
          <w:b w:val="0"/>
          <w:bCs w:val="0"/>
          <w:color w:val="auto"/>
          <w:sz w:val="21"/>
          <w:szCs w:val="21"/>
          <w:highlight w:val="none"/>
          <w:lang w:val="en-US" w:eastAsia="zh-CN"/>
        </w:rPr>
        <w:t>技术负责人</w:t>
      </w:r>
      <w:r>
        <w:rPr>
          <w:rFonts w:hint="eastAsia" w:ascii="宋体" w:hAnsi="宋体" w:eastAsia="宋体" w:cs="宋体"/>
          <w:b w:val="0"/>
          <w:bCs w:val="0"/>
          <w:color w:val="auto"/>
          <w:sz w:val="21"/>
          <w:szCs w:val="21"/>
          <w:highlight w:val="none"/>
        </w:rPr>
        <w:t>；其作为拟派</w:t>
      </w:r>
      <w:r>
        <w:rPr>
          <w:rFonts w:hint="eastAsia" w:ascii="宋体" w:hAnsi="宋体" w:eastAsia="宋体" w:cs="宋体"/>
          <w:b w:val="0"/>
          <w:bCs w:val="0"/>
          <w:color w:val="auto"/>
          <w:sz w:val="21"/>
          <w:szCs w:val="21"/>
          <w:highlight w:val="none"/>
          <w:lang w:val="en-US" w:eastAsia="zh-CN"/>
        </w:rPr>
        <w:t>技术负责人</w:t>
      </w:r>
      <w:r>
        <w:rPr>
          <w:rFonts w:hint="eastAsia" w:ascii="宋体" w:hAnsi="宋体" w:eastAsia="宋体" w:cs="宋体"/>
          <w:b w:val="0"/>
          <w:bCs w:val="0"/>
          <w:color w:val="auto"/>
          <w:sz w:val="21"/>
          <w:szCs w:val="21"/>
          <w:highlight w:val="none"/>
        </w:rPr>
        <w:t>在以往中标项目中，不存在中标后更换</w:t>
      </w:r>
      <w:r>
        <w:rPr>
          <w:rFonts w:hint="eastAsia" w:ascii="宋体" w:hAnsi="宋体" w:eastAsia="宋体" w:cs="宋体"/>
          <w:b w:val="0"/>
          <w:bCs w:val="0"/>
          <w:color w:val="auto"/>
          <w:sz w:val="21"/>
          <w:szCs w:val="21"/>
          <w:highlight w:val="none"/>
          <w:lang w:val="en-US" w:eastAsia="zh-CN"/>
        </w:rPr>
        <w:t>技术负责人</w:t>
      </w:r>
      <w:r>
        <w:rPr>
          <w:rFonts w:hint="eastAsia" w:ascii="宋体" w:hAnsi="宋体" w:eastAsia="宋体" w:cs="宋体"/>
          <w:b w:val="0"/>
          <w:bCs w:val="0"/>
          <w:color w:val="auto"/>
          <w:sz w:val="21"/>
          <w:szCs w:val="21"/>
          <w:highlight w:val="none"/>
        </w:rPr>
        <w:t>的情况。</w:t>
      </w:r>
    </w:p>
    <w:p w14:paraId="694B66DF">
      <w:pPr>
        <w:pStyle w:val="48"/>
        <w:spacing w:line="360" w:lineRule="auto"/>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我方保证上述信息的真实和准确，并愿意承担因我方就此弄虚作假所引起的一切法律后果。</w:t>
      </w:r>
    </w:p>
    <w:p w14:paraId="42065539">
      <w:pPr>
        <w:pStyle w:val="48"/>
        <w:spacing w:line="360" w:lineRule="auto"/>
        <w:ind w:firstLine="480"/>
        <w:rPr>
          <w:rFonts w:hint="eastAsia" w:ascii="宋体" w:hAnsi="宋体" w:eastAsia="宋体" w:cs="宋体"/>
          <w:b w:val="0"/>
          <w:bCs w:val="0"/>
          <w:color w:val="auto"/>
          <w:sz w:val="21"/>
          <w:szCs w:val="21"/>
          <w:highlight w:val="none"/>
        </w:rPr>
      </w:pPr>
    </w:p>
    <w:p w14:paraId="3F78533A">
      <w:pPr>
        <w:pStyle w:val="48"/>
        <w:spacing w:line="360" w:lineRule="auto"/>
        <w:ind w:firstLine="48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特此承诺</w:t>
      </w:r>
    </w:p>
    <w:p w14:paraId="1FEAB847">
      <w:pPr>
        <w:pStyle w:val="48"/>
        <w:spacing w:line="360" w:lineRule="auto"/>
        <w:ind w:firstLine="480"/>
        <w:rPr>
          <w:rFonts w:hint="eastAsia" w:ascii="宋体" w:hAnsi="宋体" w:eastAsia="宋体" w:cs="宋体"/>
          <w:b w:val="0"/>
          <w:bCs w:val="0"/>
          <w:color w:val="auto"/>
          <w:sz w:val="21"/>
          <w:szCs w:val="21"/>
          <w:highlight w:val="none"/>
        </w:rPr>
      </w:pPr>
    </w:p>
    <w:p w14:paraId="45FE2EFB">
      <w:pPr>
        <w:pStyle w:val="48"/>
        <w:spacing w:line="360" w:lineRule="auto"/>
        <w:ind w:firstLine="480"/>
        <w:rPr>
          <w:rFonts w:hint="eastAsia" w:ascii="宋体" w:hAnsi="宋体" w:eastAsia="宋体" w:cs="宋体"/>
          <w:b w:val="0"/>
          <w:bCs w:val="0"/>
          <w:color w:val="auto"/>
          <w:sz w:val="21"/>
          <w:szCs w:val="21"/>
          <w:highlight w:val="none"/>
        </w:rPr>
      </w:pPr>
    </w:p>
    <w:p w14:paraId="4128925C">
      <w:pPr>
        <w:pStyle w:val="48"/>
        <w:spacing w:line="360" w:lineRule="auto"/>
        <w:ind w:firstLine="480"/>
        <w:rPr>
          <w:rFonts w:hint="eastAsia" w:ascii="宋体" w:hAnsi="宋体" w:eastAsia="宋体" w:cs="宋体"/>
          <w:b w:val="0"/>
          <w:bCs w:val="0"/>
          <w:color w:val="auto"/>
          <w:sz w:val="21"/>
          <w:szCs w:val="21"/>
          <w:highlight w:val="none"/>
        </w:rPr>
      </w:pPr>
    </w:p>
    <w:p w14:paraId="31632BB9">
      <w:pPr>
        <w:pStyle w:val="48"/>
        <w:spacing w:line="360" w:lineRule="auto"/>
        <w:ind w:firstLine="480"/>
        <w:rPr>
          <w:rFonts w:hint="eastAsia" w:ascii="宋体" w:hAnsi="宋体" w:eastAsia="宋体" w:cs="宋体"/>
          <w:b w:val="0"/>
          <w:bCs w:val="0"/>
          <w:color w:val="auto"/>
          <w:sz w:val="21"/>
          <w:szCs w:val="21"/>
          <w:highlight w:val="none"/>
        </w:rPr>
      </w:pPr>
    </w:p>
    <w:p w14:paraId="27F17D19">
      <w:pPr>
        <w:pStyle w:val="48"/>
        <w:spacing w:line="360" w:lineRule="auto"/>
        <w:ind w:firstLine="480"/>
        <w:rPr>
          <w:rFonts w:hint="eastAsia" w:ascii="宋体" w:hAnsi="宋体" w:eastAsia="宋体" w:cs="宋体"/>
          <w:b w:val="0"/>
          <w:bCs w:val="0"/>
          <w:color w:val="auto"/>
          <w:sz w:val="21"/>
          <w:szCs w:val="21"/>
          <w:highlight w:val="none"/>
        </w:rPr>
      </w:pPr>
    </w:p>
    <w:p w14:paraId="68074A1D">
      <w:pPr>
        <w:pStyle w:val="48"/>
        <w:spacing w:line="360" w:lineRule="auto"/>
        <w:ind w:firstLine="480"/>
        <w:rPr>
          <w:rFonts w:hint="eastAsia" w:ascii="宋体" w:hAnsi="宋体" w:eastAsia="宋体" w:cs="宋体"/>
          <w:b w:val="0"/>
          <w:bCs w:val="0"/>
          <w:color w:val="auto"/>
          <w:sz w:val="21"/>
          <w:szCs w:val="21"/>
          <w:highlight w:val="none"/>
        </w:rPr>
      </w:pPr>
    </w:p>
    <w:p w14:paraId="2D3A0C2B">
      <w:pPr>
        <w:pStyle w:val="48"/>
        <w:spacing w:line="360" w:lineRule="auto"/>
        <w:ind w:firstLine="480"/>
        <w:rPr>
          <w:rFonts w:hint="eastAsia" w:ascii="宋体" w:hAnsi="宋体" w:eastAsia="宋体" w:cs="宋体"/>
          <w:b w:val="0"/>
          <w:bCs w:val="0"/>
          <w:color w:val="auto"/>
          <w:sz w:val="21"/>
          <w:szCs w:val="21"/>
          <w:highlight w:val="none"/>
        </w:rPr>
      </w:pPr>
    </w:p>
    <w:p w14:paraId="5201158E">
      <w:pPr>
        <w:pStyle w:val="48"/>
        <w:spacing w:line="360" w:lineRule="auto"/>
        <w:ind w:firstLine="480"/>
        <w:rPr>
          <w:rFonts w:hint="eastAsia" w:ascii="宋体" w:hAnsi="宋体" w:eastAsia="宋体" w:cs="宋体"/>
          <w:b w:val="0"/>
          <w:bCs w:val="0"/>
          <w:color w:val="auto"/>
          <w:sz w:val="21"/>
          <w:szCs w:val="21"/>
          <w:highlight w:val="none"/>
        </w:rPr>
      </w:pPr>
    </w:p>
    <w:p w14:paraId="15324C39">
      <w:pPr>
        <w:pStyle w:val="48"/>
        <w:spacing w:line="360" w:lineRule="auto"/>
        <w:ind w:firstLine="480"/>
        <w:rPr>
          <w:rFonts w:hint="eastAsia" w:ascii="宋体" w:hAnsi="宋体" w:eastAsia="宋体" w:cs="宋体"/>
          <w:b w:val="0"/>
          <w:bCs w:val="0"/>
          <w:color w:val="auto"/>
          <w:sz w:val="21"/>
          <w:szCs w:val="21"/>
          <w:highlight w:val="none"/>
        </w:rPr>
      </w:pPr>
    </w:p>
    <w:p w14:paraId="7AE2C41B">
      <w:pPr>
        <w:pStyle w:val="48"/>
        <w:spacing w:line="360" w:lineRule="auto"/>
        <w:ind w:firstLine="48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w:t>
      </w:r>
      <w:r>
        <w:rPr>
          <w:rFonts w:hint="eastAsia" w:ascii="宋体" w:hAnsi="宋体" w:eastAsia="宋体" w:cs="宋体"/>
          <w:b w:val="0"/>
          <w:bCs w:val="0"/>
          <w:color w:val="auto"/>
          <w:sz w:val="21"/>
          <w:szCs w:val="21"/>
          <w:highlight w:val="none"/>
          <w:lang w:eastAsia="zh-CN"/>
        </w:rPr>
        <w:t>投标单位名称</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（电子签章）</w:t>
      </w:r>
    </w:p>
    <w:p w14:paraId="436AF755">
      <w:pPr>
        <w:pStyle w:val="48"/>
        <w:spacing w:line="360" w:lineRule="auto"/>
        <w:ind w:firstLine="48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法定代表人</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其委托代理人</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（电子签章或签字）</w:t>
      </w:r>
    </w:p>
    <w:p w14:paraId="3FFC8DAF">
      <w:pPr>
        <w:pStyle w:val="48"/>
        <w:spacing w:line="360" w:lineRule="auto"/>
        <w:ind w:firstLine="480"/>
        <w:rPr>
          <w:rFonts w:hint="eastAsia" w:ascii="宋体" w:hAnsi="宋体" w:eastAsia="宋体" w:cs="宋体"/>
          <w:b w:val="0"/>
          <w:bCs w:val="0"/>
          <w:color w:val="auto"/>
          <w:sz w:val="21"/>
          <w:szCs w:val="21"/>
          <w:highlight w:val="none"/>
        </w:rPr>
      </w:pPr>
    </w:p>
    <w:p w14:paraId="5D1310B8">
      <w:pPr>
        <w:pStyle w:val="48"/>
        <w:spacing w:line="360" w:lineRule="auto"/>
        <w:ind w:firstLine="48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w:t>
      </w:r>
    </w:p>
    <w:p w14:paraId="0412A384">
      <w:pPr>
        <w:rPr>
          <w:rFonts w:hint="eastAsia" w:ascii="宋体" w:hAnsi="宋体" w:eastAsia="宋体" w:cs="宋体"/>
          <w:b w:val="0"/>
          <w:bCs w:val="0"/>
          <w:color w:val="auto"/>
          <w:sz w:val="21"/>
          <w:szCs w:val="21"/>
          <w:highlight w:val="none"/>
        </w:rPr>
      </w:pPr>
    </w:p>
    <w:p w14:paraId="3DF2A090">
      <w:pPr>
        <w:rPr>
          <w:rFonts w:hint="eastAsia" w:ascii="宋体" w:hAnsi="宋体" w:eastAsia="宋体" w:cs="宋体"/>
          <w:b w:val="0"/>
          <w:bCs w:val="0"/>
          <w:color w:val="auto"/>
          <w:sz w:val="21"/>
          <w:szCs w:val="21"/>
          <w:highlight w:val="none"/>
        </w:rPr>
      </w:pPr>
    </w:p>
    <w:p w14:paraId="0F89D97C">
      <w:pPr>
        <w:rPr>
          <w:rFonts w:hint="eastAsia" w:ascii="宋体" w:hAnsi="宋体" w:eastAsia="宋体" w:cs="宋体"/>
          <w:b w:val="0"/>
          <w:bCs w:val="0"/>
          <w:color w:val="auto"/>
          <w:sz w:val="21"/>
          <w:szCs w:val="21"/>
          <w:highlight w:val="none"/>
        </w:rPr>
      </w:pPr>
    </w:p>
    <w:p w14:paraId="0125C6A4">
      <w:pPr>
        <w:rPr>
          <w:rFonts w:hint="eastAsia" w:ascii="宋体" w:hAnsi="宋体" w:eastAsia="宋体" w:cs="宋体"/>
          <w:b w:val="0"/>
          <w:bCs w:val="0"/>
          <w:color w:val="auto"/>
          <w:sz w:val="21"/>
          <w:szCs w:val="21"/>
          <w:highlight w:val="none"/>
        </w:rPr>
      </w:pPr>
    </w:p>
    <w:p w14:paraId="2ACF3D16">
      <w:pPr>
        <w:rPr>
          <w:rFonts w:hint="eastAsia" w:ascii="宋体" w:hAnsi="宋体" w:eastAsia="宋体" w:cs="宋体"/>
          <w:b w:val="0"/>
          <w:bCs w:val="0"/>
          <w:color w:val="auto"/>
          <w:sz w:val="21"/>
          <w:szCs w:val="21"/>
          <w:highlight w:val="none"/>
        </w:rPr>
      </w:pPr>
    </w:p>
    <w:p w14:paraId="45C64B7E">
      <w:pPr>
        <w:rPr>
          <w:rFonts w:hint="eastAsia" w:ascii="宋体" w:hAnsi="宋体" w:eastAsia="宋体" w:cs="宋体"/>
          <w:b w:val="0"/>
          <w:bCs w:val="0"/>
          <w:color w:val="auto"/>
          <w:sz w:val="21"/>
          <w:szCs w:val="21"/>
          <w:highlight w:val="none"/>
        </w:rPr>
      </w:pPr>
    </w:p>
    <w:p w14:paraId="609BCB02">
      <w:pPr>
        <w:rPr>
          <w:rFonts w:hint="eastAsia" w:ascii="宋体" w:hAnsi="宋体" w:eastAsia="宋体" w:cs="宋体"/>
          <w:b w:val="0"/>
          <w:bCs w:val="0"/>
          <w:color w:val="auto"/>
          <w:sz w:val="21"/>
          <w:szCs w:val="21"/>
          <w:highlight w:val="none"/>
        </w:rPr>
      </w:pPr>
    </w:p>
    <w:p w14:paraId="0A10BB17">
      <w:pPr>
        <w:rPr>
          <w:rFonts w:hint="eastAsia" w:ascii="宋体" w:hAnsi="宋体" w:eastAsia="宋体" w:cs="宋体"/>
          <w:b w:val="0"/>
          <w:bCs w:val="0"/>
          <w:color w:val="auto"/>
          <w:sz w:val="21"/>
          <w:szCs w:val="21"/>
          <w:highlight w:val="none"/>
        </w:rPr>
      </w:pPr>
    </w:p>
    <w:p w14:paraId="256998FF">
      <w:pPr>
        <w:rPr>
          <w:rFonts w:hint="eastAsia" w:ascii="宋体" w:hAnsi="宋体" w:eastAsia="宋体" w:cs="宋体"/>
          <w:b w:val="0"/>
          <w:bCs w:val="0"/>
          <w:color w:val="auto"/>
          <w:sz w:val="21"/>
          <w:szCs w:val="21"/>
          <w:highlight w:val="none"/>
        </w:rPr>
      </w:pPr>
    </w:p>
    <w:p w14:paraId="09F1C0C3">
      <w:pPr>
        <w:rPr>
          <w:rFonts w:hint="eastAsia" w:ascii="宋体" w:hAnsi="宋体" w:eastAsia="宋体" w:cs="宋体"/>
          <w:b w:val="0"/>
          <w:bCs w:val="0"/>
          <w:color w:val="auto"/>
          <w:sz w:val="21"/>
          <w:szCs w:val="21"/>
          <w:highlight w:val="none"/>
        </w:rPr>
      </w:pPr>
    </w:p>
    <w:p w14:paraId="3AECE9E2">
      <w:pPr>
        <w:rPr>
          <w:rFonts w:hint="eastAsia" w:ascii="宋体" w:hAnsi="宋体" w:eastAsia="宋体" w:cs="宋体"/>
          <w:b w:val="0"/>
          <w:bCs w:val="0"/>
          <w:color w:val="auto"/>
          <w:sz w:val="21"/>
          <w:szCs w:val="21"/>
          <w:highlight w:val="none"/>
        </w:rPr>
      </w:pPr>
    </w:p>
    <w:p w14:paraId="45E8AC05">
      <w:pPr>
        <w:rPr>
          <w:rFonts w:hint="eastAsia" w:ascii="宋体" w:hAnsi="宋体" w:eastAsia="宋体" w:cs="宋体"/>
          <w:b w:val="0"/>
          <w:bCs w:val="0"/>
          <w:color w:val="auto"/>
          <w:sz w:val="21"/>
          <w:szCs w:val="21"/>
          <w:highlight w:val="none"/>
        </w:rPr>
      </w:pPr>
    </w:p>
    <w:p w14:paraId="6E4C5293">
      <w:pPr>
        <w:rPr>
          <w:rFonts w:hint="eastAsia" w:ascii="宋体" w:hAnsi="宋体" w:eastAsia="宋体" w:cs="宋体"/>
          <w:b w:val="0"/>
          <w:bCs w:val="0"/>
          <w:color w:val="auto"/>
          <w:sz w:val="21"/>
          <w:szCs w:val="21"/>
          <w:highlight w:val="none"/>
        </w:rPr>
      </w:pPr>
    </w:p>
    <w:p w14:paraId="3541B162">
      <w:pPr>
        <w:rPr>
          <w:rFonts w:hint="eastAsia" w:ascii="宋体" w:hAnsi="宋体" w:eastAsia="宋体" w:cs="宋体"/>
          <w:b w:val="0"/>
          <w:bCs w:val="0"/>
          <w:color w:val="auto"/>
          <w:sz w:val="21"/>
          <w:szCs w:val="21"/>
          <w:highlight w:val="none"/>
        </w:rPr>
      </w:pPr>
    </w:p>
    <w:p w14:paraId="22B68D52">
      <w:pPr>
        <w:rPr>
          <w:rFonts w:hint="eastAsia" w:ascii="宋体" w:hAnsi="宋体" w:eastAsia="宋体" w:cs="宋体"/>
          <w:b w:val="0"/>
          <w:bCs w:val="0"/>
          <w:color w:val="auto"/>
          <w:sz w:val="21"/>
          <w:szCs w:val="21"/>
          <w:highlight w:val="none"/>
        </w:rPr>
      </w:pPr>
    </w:p>
    <w:p w14:paraId="54098281">
      <w:pPr>
        <w:rPr>
          <w:rFonts w:hint="eastAsia" w:ascii="宋体" w:hAnsi="宋体" w:eastAsia="宋体" w:cs="宋体"/>
          <w:b w:val="0"/>
          <w:bCs w:val="0"/>
          <w:color w:val="auto"/>
          <w:sz w:val="21"/>
          <w:szCs w:val="21"/>
          <w:highlight w:val="none"/>
        </w:rPr>
      </w:pPr>
    </w:p>
    <w:p w14:paraId="2D5539A1">
      <w:pPr>
        <w:rPr>
          <w:rFonts w:hint="eastAsia" w:ascii="宋体" w:hAnsi="宋体" w:eastAsia="宋体" w:cs="宋体"/>
          <w:b w:val="0"/>
          <w:bCs w:val="0"/>
          <w:color w:val="auto"/>
          <w:sz w:val="21"/>
          <w:szCs w:val="21"/>
          <w:highlight w:val="none"/>
        </w:rPr>
      </w:pPr>
    </w:p>
    <w:bookmarkEnd w:id="979"/>
    <w:p w14:paraId="76EFE6A0">
      <w:pPr>
        <w:pStyle w:val="37"/>
        <w:ind w:firstLine="2310" w:firstLineChars="1100"/>
        <w:outlineLvl w:val="1"/>
        <w:rPr>
          <w:rFonts w:hint="eastAsia" w:ascii="宋体" w:hAnsi="宋体" w:eastAsia="宋体" w:cs="宋体"/>
          <w:b w:val="0"/>
          <w:bCs w:val="0"/>
          <w:color w:val="auto"/>
          <w:sz w:val="21"/>
          <w:szCs w:val="21"/>
          <w:highlight w:val="none"/>
        </w:rPr>
      </w:pPr>
      <w:bookmarkStart w:id="980" w:name="_Toc6223"/>
      <w:bookmarkStart w:id="981" w:name="_Toc3651"/>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三</w:t>
      </w:r>
      <w:r>
        <w:rPr>
          <w:rFonts w:hint="eastAsia" w:ascii="宋体" w:hAnsi="宋体" w:eastAsia="宋体" w:cs="宋体"/>
          <w:b w:val="0"/>
          <w:bCs w:val="0"/>
          <w:color w:val="auto"/>
          <w:sz w:val="21"/>
          <w:szCs w:val="21"/>
          <w:highlight w:val="none"/>
        </w:rPr>
        <w:t>）</w:t>
      </w:r>
      <w:bookmarkEnd w:id="980"/>
      <w:bookmarkEnd w:id="981"/>
      <w:r>
        <w:rPr>
          <w:rFonts w:hint="eastAsia" w:ascii="宋体" w:hAnsi="宋体" w:eastAsia="宋体" w:cs="宋体"/>
          <w:b w:val="0"/>
          <w:bCs w:val="0"/>
          <w:color w:val="auto"/>
          <w:sz w:val="21"/>
          <w:szCs w:val="21"/>
          <w:highlight w:val="none"/>
          <w:lang w:val="en-US" w:eastAsia="zh-CN"/>
        </w:rPr>
        <w:t>施工现场专业（管理）人员配备表</w:t>
      </w:r>
    </w:p>
    <w:tbl>
      <w:tblPr>
        <w:tblStyle w:val="28"/>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6"/>
        <w:gridCol w:w="1155"/>
        <w:gridCol w:w="709"/>
        <w:gridCol w:w="709"/>
        <w:gridCol w:w="1276"/>
        <w:gridCol w:w="1135"/>
        <w:gridCol w:w="709"/>
        <w:gridCol w:w="803"/>
        <w:gridCol w:w="1702"/>
      </w:tblGrid>
      <w:tr w14:paraId="124B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3A02CA46">
            <w:pPr>
              <w:autoSpaceDE w:val="0"/>
              <w:autoSpaceDN w:val="0"/>
              <w:adjustRightIn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专业岗位</w:t>
            </w:r>
          </w:p>
        </w:tc>
        <w:tc>
          <w:tcPr>
            <w:tcW w:w="1155" w:type="dxa"/>
            <w:tcBorders>
              <w:top w:val="single" w:color="auto" w:sz="4" w:space="0"/>
              <w:left w:val="single" w:color="auto" w:sz="4" w:space="0"/>
              <w:bottom w:val="single" w:color="auto" w:sz="4" w:space="0"/>
              <w:right w:val="single" w:color="auto" w:sz="4" w:space="0"/>
            </w:tcBorders>
            <w:vAlign w:val="center"/>
          </w:tcPr>
          <w:p w14:paraId="2DB066A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岗位要求</w:t>
            </w:r>
          </w:p>
        </w:tc>
        <w:tc>
          <w:tcPr>
            <w:tcW w:w="709" w:type="dxa"/>
            <w:tcBorders>
              <w:top w:val="single" w:color="auto" w:sz="4" w:space="0"/>
              <w:left w:val="single" w:color="auto" w:sz="4" w:space="0"/>
              <w:bottom w:val="single" w:color="auto" w:sz="4" w:space="0"/>
              <w:right w:val="single" w:color="auto" w:sz="4" w:space="0"/>
            </w:tcBorders>
            <w:vAlign w:val="center"/>
          </w:tcPr>
          <w:p w14:paraId="4E07140F">
            <w:pPr>
              <w:autoSpaceDE w:val="0"/>
              <w:autoSpaceDN w:val="0"/>
              <w:adjustRightIn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6606605F">
            <w:pPr>
              <w:autoSpaceDE w:val="0"/>
              <w:autoSpaceDN w:val="0"/>
              <w:adjustRightIn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性别</w:t>
            </w:r>
          </w:p>
        </w:tc>
        <w:tc>
          <w:tcPr>
            <w:tcW w:w="1276" w:type="dxa"/>
            <w:tcBorders>
              <w:top w:val="single" w:color="auto" w:sz="4" w:space="0"/>
              <w:left w:val="single" w:color="auto" w:sz="4" w:space="0"/>
              <w:bottom w:val="single" w:color="auto" w:sz="4" w:space="0"/>
              <w:right w:val="single" w:color="auto" w:sz="4" w:space="0"/>
            </w:tcBorders>
            <w:vAlign w:val="center"/>
          </w:tcPr>
          <w:p w14:paraId="2F205BF0">
            <w:pPr>
              <w:autoSpaceDE w:val="0"/>
              <w:autoSpaceDN w:val="0"/>
              <w:adjustRightIn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出生年月</w:t>
            </w:r>
          </w:p>
        </w:tc>
        <w:tc>
          <w:tcPr>
            <w:tcW w:w="1135" w:type="dxa"/>
            <w:tcBorders>
              <w:top w:val="single" w:color="auto" w:sz="4" w:space="0"/>
              <w:left w:val="single" w:color="auto" w:sz="4" w:space="0"/>
              <w:bottom w:val="single" w:color="auto" w:sz="4" w:space="0"/>
              <w:right w:val="single" w:color="auto" w:sz="4" w:space="0"/>
            </w:tcBorders>
            <w:vAlign w:val="center"/>
          </w:tcPr>
          <w:p w14:paraId="0530BD6C">
            <w:pPr>
              <w:autoSpaceDE w:val="0"/>
              <w:autoSpaceDN w:val="0"/>
              <w:adjustRightIn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工作年限</w:t>
            </w:r>
          </w:p>
        </w:tc>
        <w:tc>
          <w:tcPr>
            <w:tcW w:w="709" w:type="dxa"/>
            <w:tcBorders>
              <w:top w:val="single" w:color="auto" w:sz="4" w:space="0"/>
              <w:left w:val="single" w:color="auto" w:sz="4" w:space="0"/>
              <w:bottom w:val="single" w:color="auto" w:sz="4" w:space="0"/>
              <w:right w:val="single" w:color="auto" w:sz="4" w:space="0"/>
            </w:tcBorders>
            <w:vAlign w:val="center"/>
          </w:tcPr>
          <w:p w14:paraId="395203B5">
            <w:pPr>
              <w:autoSpaceDE w:val="0"/>
              <w:autoSpaceDN w:val="0"/>
              <w:adjustRightIn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职称</w:t>
            </w:r>
          </w:p>
        </w:tc>
        <w:tc>
          <w:tcPr>
            <w:tcW w:w="803" w:type="dxa"/>
            <w:tcBorders>
              <w:top w:val="single" w:color="auto" w:sz="4" w:space="0"/>
              <w:left w:val="single" w:color="auto" w:sz="4" w:space="0"/>
              <w:bottom w:val="single" w:color="auto" w:sz="4" w:space="0"/>
              <w:right w:val="single" w:color="auto" w:sz="4" w:space="0"/>
            </w:tcBorders>
            <w:vAlign w:val="center"/>
          </w:tcPr>
          <w:p w14:paraId="269DD5AA">
            <w:pPr>
              <w:autoSpaceDE w:val="0"/>
              <w:autoSpaceDN w:val="0"/>
              <w:adjustRightIn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学历</w:t>
            </w:r>
          </w:p>
        </w:tc>
        <w:tc>
          <w:tcPr>
            <w:tcW w:w="1702" w:type="dxa"/>
            <w:tcBorders>
              <w:top w:val="single" w:color="auto" w:sz="4" w:space="0"/>
              <w:left w:val="single" w:color="auto" w:sz="4" w:space="0"/>
              <w:bottom w:val="single" w:color="auto" w:sz="4" w:space="0"/>
              <w:right w:val="single" w:color="auto" w:sz="4" w:space="0"/>
            </w:tcBorders>
            <w:vAlign w:val="center"/>
          </w:tcPr>
          <w:p w14:paraId="79DE3691">
            <w:pPr>
              <w:autoSpaceDE w:val="0"/>
              <w:autoSpaceDN w:val="0"/>
              <w:adjustRightIn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相关证书及编号</w:t>
            </w:r>
          </w:p>
        </w:tc>
      </w:tr>
      <w:tr w14:paraId="0D2AB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2CCF703F">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5D508300">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p w14:paraId="1B76CA76">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6F8C1335">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07406D3">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18D5D55">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3F506EE2">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44782B4">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7ACD983F">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396998DA">
            <w:pPr>
              <w:autoSpaceDE w:val="0"/>
              <w:autoSpaceDN w:val="0"/>
              <w:adjustRightInd w:val="0"/>
              <w:jc w:val="center"/>
              <w:rPr>
                <w:rFonts w:hint="eastAsia" w:ascii="宋体" w:hAnsi="宋体" w:eastAsia="宋体" w:cs="宋体"/>
                <w:b w:val="0"/>
                <w:bCs w:val="0"/>
                <w:color w:val="auto"/>
                <w:sz w:val="21"/>
                <w:szCs w:val="21"/>
                <w:highlight w:val="none"/>
              </w:rPr>
            </w:pPr>
          </w:p>
        </w:tc>
      </w:tr>
      <w:tr w14:paraId="5B66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57614BBE">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52929F0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p w14:paraId="6319DBBC">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347DE846">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BC5451D">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096A4B6">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44266418">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87C332C">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2880C1A3">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66E739B8">
            <w:pPr>
              <w:autoSpaceDE w:val="0"/>
              <w:autoSpaceDN w:val="0"/>
              <w:adjustRightInd w:val="0"/>
              <w:jc w:val="center"/>
              <w:rPr>
                <w:rFonts w:hint="eastAsia" w:ascii="宋体" w:hAnsi="宋体" w:eastAsia="宋体" w:cs="宋体"/>
                <w:b w:val="0"/>
                <w:bCs w:val="0"/>
                <w:color w:val="auto"/>
                <w:sz w:val="21"/>
                <w:szCs w:val="21"/>
                <w:highlight w:val="none"/>
              </w:rPr>
            </w:pPr>
          </w:p>
        </w:tc>
      </w:tr>
      <w:tr w14:paraId="06119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31B9AD36">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465188BF">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p w14:paraId="6ED259D1">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7451C6B1">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D9FE661">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1B41C171">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247E747C">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EBFD189">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0A7ED43D">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49D93D1F">
            <w:pPr>
              <w:autoSpaceDE w:val="0"/>
              <w:autoSpaceDN w:val="0"/>
              <w:adjustRightInd w:val="0"/>
              <w:jc w:val="center"/>
              <w:rPr>
                <w:rFonts w:hint="eastAsia" w:ascii="宋体" w:hAnsi="宋体" w:eastAsia="宋体" w:cs="宋体"/>
                <w:b w:val="0"/>
                <w:bCs w:val="0"/>
                <w:color w:val="auto"/>
                <w:sz w:val="21"/>
                <w:szCs w:val="21"/>
                <w:highlight w:val="none"/>
              </w:rPr>
            </w:pPr>
          </w:p>
        </w:tc>
      </w:tr>
      <w:tr w14:paraId="29AA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229BBAEB">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1321C460">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p w14:paraId="5B7618F8">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4AFD44C3">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1796D28">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30EDBA9">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4E96C8EC">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2C393D4">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345569A5">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188D43DC">
            <w:pPr>
              <w:autoSpaceDE w:val="0"/>
              <w:autoSpaceDN w:val="0"/>
              <w:adjustRightInd w:val="0"/>
              <w:jc w:val="center"/>
              <w:rPr>
                <w:rFonts w:hint="eastAsia" w:ascii="宋体" w:hAnsi="宋体" w:eastAsia="宋体" w:cs="宋体"/>
                <w:b w:val="0"/>
                <w:bCs w:val="0"/>
                <w:color w:val="auto"/>
                <w:sz w:val="21"/>
                <w:szCs w:val="21"/>
                <w:highlight w:val="none"/>
              </w:rPr>
            </w:pPr>
          </w:p>
        </w:tc>
      </w:tr>
      <w:tr w14:paraId="1164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0710CC71">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471AEE6B">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p w14:paraId="0CEB478C">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4E27D95C">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8C90712">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5C821FB2">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3F2CF5B7">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6A4A983">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4DA9F483">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1834E834">
            <w:pPr>
              <w:autoSpaceDE w:val="0"/>
              <w:autoSpaceDN w:val="0"/>
              <w:adjustRightInd w:val="0"/>
              <w:jc w:val="center"/>
              <w:rPr>
                <w:rFonts w:hint="eastAsia" w:ascii="宋体" w:hAnsi="宋体" w:eastAsia="宋体" w:cs="宋体"/>
                <w:b w:val="0"/>
                <w:bCs w:val="0"/>
                <w:color w:val="auto"/>
                <w:sz w:val="21"/>
                <w:szCs w:val="21"/>
                <w:highlight w:val="none"/>
              </w:rPr>
            </w:pPr>
          </w:p>
        </w:tc>
      </w:tr>
      <w:tr w14:paraId="3AC9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2F157436">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37D4C8D1">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55DD828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46784C47">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09B5C55">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D3FFAB0">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32E050FF">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C64DC1E">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6355F5AC">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6234ED56">
            <w:pPr>
              <w:autoSpaceDE w:val="0"/>
              <w:autoSpaceDN w:val="0"/>
              <w:adjustRightInd w:val="0"/>
              <w:jc w:val="center"/>
              <w:rPr>
                <w:rFonts w:hint="eastAsia" w:ascii="宋体" w:hAnsi="宋体" w:eastAsia="宋体" w:cs="宋体"/>
                <w:b w:val="0"/>
                <w:bCs w:val="0"/>
                <w:color w:val="auto"/>
                <w:sz w:val="21"/>
                <w:szCs w:val="21"/>
                <w:highlight w:val="none"/>
              </w:rPr>
            </w:pPr>
          </w:p>
        </w:tc>
      </w:tr>
      <w:tr w14:paraId="7232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272D6587">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1446087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495C38F5">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1F14794E">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6159A62">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68A4C31D">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438226AA">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F784676">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76D9D424">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464AC0DD">
            <w:pPr>
              <w:autoSpaceDE w:val="0"/>
              <w:autoSpaceDN w:val="0"/>
              <w:adjustRightInd w:val="0"/>
              <w:jc w:val="center"/>
              <w:rPr>
                <w:rFonts w:hint="eastAsia" w:ascii="宋体" w:hAnsi="宋体" w:eastAsia="宋体" w:cs="宋体"/>
                <w:b w:val="0"/>
                <w:bCs w:val="0"/>
                <w:color w:val="auto"/>
                <w:sz w:val="21"/>
                <w:szCs w:val="21"/>
                <w:highlight w:val="none"/>
              </w:rPr>
            </w:pPr>
          </w:p>
        </w:tc>
      </w:tr>
      <w:tr w14:paraId="5E0CB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40FF85BB">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14CD1437">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3B3165EE">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36BF4D20">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E587106">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468F71E3">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1C65013B">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8C678E2">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3FA6030A">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178E01ED">
            <w:pPr>
              <w:autoSpaceDE w:val="0"/>
              <w:autoSpaceDN w:val="0"/>
              <w:adjustRightInd w:val="0"/>
              <w:jc w:val="center"/>
              <w:rPr>
                <w:rFonts w:hint="eastAsia" w:ascii="宋体" w:hAnsi="宋体" w:eastAsia="宋体" w:cs="宋体"/>
                <w:b w:val="0"/>
                <w:bCs w:val="0"/>
                <w:color w:val="auto"/>
                <w:sz w:val="21"/>
                <w:szCs w:val="21"/>
                <w:highlight w:val="none"/>
              </w:rPr>
            </w:pPr>
          </w:p>
        </w:tc>
      </w:tr>
      <w:tr w14:paraId="1CC4D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52C05EB8">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22F42C5F">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0F3D5782">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72FFB7A1">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C7686AD">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1DDAA92">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0CCA2CE0">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68E8094">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1C2F188D">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644F774C">
            <w:pPr>
              <w:autoSpaceDE w:val="0"/>
              <w:autoSpaceDN w:val="0"/>
              <w:adjustRightInd w:val="0"/>
              <w:jc w:val="center"/>
              <w:rPr>
                <w:rFonts w:hint="eastAsia" w:ascii="宋体" w:hAnsi="宋体" w:eastAsia="宋体" w:cs="宋体"/>
                <w:b w:val="0"/>
                <w:bCs w:val="0"/>
                <w:color w:val="auto"/>
                <w:sz w:val="21"/>
                <w:szCs w:val="21"/>
                <w:highlight w:val="none"/>
              </w:rPr>
            </w:pPr>
          </w:p>
        </w:tc>
      </w:tr>
      <w:tr w14:paraId="68E3B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436" w:type="dxa"/>
            <w:tcBorders>
              <w:top w:val="single" w:color="auto" w:sz="4" w:space="0"/>
              <w:left w:val="single" w:color="auto" w:sz="4" w:space="0"/>
              <w:bottom w:val="single" w:color="auto" w:sz="4" w:space="0"/>
              <w:right w:val="single" w:color="auto" w:sz="4" w:space="0"/>
            </w:tcBorders>
            <w:vAlign w:val="center"/>
          </w:tcPr>
          <w:p w14:paraId="0D59FA7B">
            <w:pPr>
              <w:autoSpaceDE w:val="0"/>
              <w:autoSpaceDN w:val="0"/>
              <w:adjustRightInd w:val="0"/>
              <w:jc w:val="center"/>
              <w:rPr>
                <w:rFonts w:hint="eastAsia" w:ascii="宋体" w:hAnsi="宋体" w:eastAsia="宋体" w:cs="宋体"/>
                <w:b w:val="0"/>
                <w:bCs w:val="0"/>
                <w:color w:val="auto"/>
                <w:sz w:val="21"/>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375527D9">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专职：</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input552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end"/>
            </w:r>
          </w:p>
          <w:p w14:paraId="118FA4DC">
            <w:pPr>
              <w:keepNext w:val="0"/>
              <w:keepLines w:val="0"/>
              <w:pageBreakBefore w:val="0"/>
              <w:widowControl w:val="0"/>
              <w:kinsoku/>
              <w:wordWrap/>
              <w:overflowPunct/>
              <w:topLinePunct w:val="0"/>
              <w:autoSpaceDE/>
              <w:autoSpaceDN/>
              <w:bidi w:val="0"/>
              <w:adjustRightInd/>
              <w:snapToGrid/>
              <w:spacing w:after="0"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0"/>
                <w:szCs w:val="20"/>
                <w:highlight w:val="none"/>
              </w:rPr>
              <w:t>兼任：</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AUTOTEXT  input541 \* MERGEFORMAT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fldChar w:fldCharType="end"/>
            </w:r>
          </w:p>
        </w:tc>
        <w:tc>
          <w:tcPr>
            <w:tcW w:w="709" w:type="dxa"/>
            <w:tcBorders>
              <w:top w:val="single" w:color="auto" w:sz="4" w:space="0"/>
              <w:left w:val="single" w:color="auto" w:sz="4" w:space="0"/>
              <w:bottom w:val="single" w:color="auto" w:sz="4" w:space="0"/>
              <w:right w:val="single" w:color="auto" w:sz="4" w:space="0"/>
            </w:tcBorders>
            <w:vAlign w:val="center"/>
          </w:tcPr>
          <w:p w14:paraId="4C0231B4">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A7FDC96">
            <w:pPr>
              <w:autoSpaceDE w:val="0"/>
              <w:autoSpaceDN w:val="0"/>
              <w:adjustRightInd w:val="0"/>
              <w:jc w:val="center"/>
              <w:rPr>
                <w:rFonts w:hint="eastAsia" w:ascii="宋体" w:hAnsi="宋体" w:eastAsia="宋体" w:cs="宋体"/>
                <w:b w:val="0"/>
                <w:bCs w:val="0"/>
                <w:color w:val="auto"/>
                <w:sz w:val="21"/>
                <w:szCs w:val="21"/>
                <w:highlight w:val="none"/>
              </w:rPr>
            </w:pPr>
          </w:p>
        </w:tc>
        <w:tc>
          <w:tcPr>
            <w:tcW w:w="1276" w:type="dxa"/>
            <w:tcBorders>
              <w:top w:val="single" w:color="auto" w:sz="4" w:space="0"/>
              <w:left w:val="single" w:color="auto" w:sz="4" w:space="0"/>
              <w:bottom w:val="single" w:color="auto" w:sz="4" w:space="0"/>
              <w:right w:val="single" w:color="auto" w:sz="4" w:space="0"/>
            </w:tcBorders>
            <w:vAlign w:val="center"/>
          </w:tcPr>
          <w:p w14:paraId="7657C14F">
            <w:pPr>
              <w:autoSpaceDE w:val="0"/>
              <w:autoSpaceDN w:val="0"/>
              <w:adjustRightInd w:val="0"/>
              <w:jc w:val="center"/>
              <w:rPr>
                <w:rFonts w:hint="eastAsia" w:ascii="宋体" w:hAnsi="宋体" w:eastAsia="宋体" w:cs="宋体"/>
                <w:b w:val="0"/>
                <w:bCs w:val="0"/>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vAlign w:val="center"/>
          </w:tcPr>
          <w:p w14:paraId="07BCF55B">
            <w:pPr>
              <w:autoSpaceDE w:val="0"/>
              <w:autoSpaceDN w:val="0"/>
              <w:adjustRightInd w:val="0"/>
              <w:jc w:val="center"/>
              <w:rPr>
                <w:rFonts w:hint="eastAsia" w:ascii="宋体" w:hAnsi="宋体" w:eastAsia="宋体" w:cs="宋体"/>
                <w:b w:val="0"/>
                <w:bCs w:val="0"/>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13C29CC">
            <w:pPr>
              <w:autoSpaceDE w:val="0"/>
              <w:autoSpaceDN w:val="0"/>
              <w:adjustRightInd w:val="0"/>
              <w:jc w:val="center"/>
              <w:rPr>
                <w:rFonts w:hint="eastAsia" w:ascii="宋体" w:hAnsi="宋体" w:eastAsia="宋体" w:cs="宋体"/>
                <w:b w:val="0"/>
                <w:bCs w:val="0"/>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vAlign w:val="center"/>
          </w:tcPr>
          <w:p w14:paraId="46A39DD8">
            <w:pPr>
              <w:autoSpaceDE w:val="0"/>
              <w:autoSpaceDN w:val="0"/>
              <w:adjustRightInd w:val="0"/>
              <w:jc w:val="center"/>
              <w:rPr>
                <w:rFonts w:hint="eastAsia" w:ascii="宋体" w:hAnsi="宋体" w:eastAsia="宋体" w:cs="宋体"/>
                <w:b w:val="0"/>
                <w:bCs w:val="0"/>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vAlign w:val="center"/>
          </w:tcPr>
          <w:p w14:paraId="2900BEEF">
            <w:pPr>
              <w:autoSpaceDE w:val="0"/>
              <w:autoSpaceDN w:val="0"/>
              <w:adjustRightInd w:val="0"/>
              <w:jc w:val="center"/>
              <w:rPr>
                <w:rFonts w:hint="eastAsia" w:ascii="宋体" w:hAnsi="宋体" w:eastAsia="宋体" w:cs="宋体"/>
                <w:b w:val="0"/>
                <w:bCs w:val="0"/>
                <w:color w:val="auto"/>
                <w:sz w:val="21"/>
                <w:szCs w:val="21"/>
                <w:highlight w:val="none"/>
              </w:rPr>
            </w:pPr>
          </w:p>
        </w:tc>
      </w:tr>
    </w:tbl>
    <w:p w14:paraId="4248731C">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w:t>
      </w:r>
    </w:p>
    <w:p w14:paraId="107D67B5">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1.此表须符合招标文件中</w:t>
      </w:r>
      <w:r>
        <w:rPr>
          <w:rFonts w:hint="eastAsia" w:ascii="宋体" w:hAnsi="宋体" w:eastAsia="宋体" w:cs="宋体"/>
          <w:color w:val="auto"/>
          <w:kern w:val="0"/>
          <w:sz w:val="21"/>
          <w:szCs w:val="21"/>
          <w:highlight w:val="none"/>
          <w:u w:val="none"/>
          <w:lang w:val="en-US" w:eastAsia="zh-CN"/>
        </w:rPr>
        <w:t>《施工现场专业（管理）人员配备表》</w:t>
      </w:r>
      <w:r>
        <w:rPr>
          <w:rFonts w:hint="eastAsia" w:ascii="宋体" w:hAnsi="宋体" w:eastAsia="宋体" w:cs="宋体"/>
          <w:b w:val="0"/>
          <w:bCs w:val="0"/>
          <w:color w:val="auto"/>
          <w:sz w:val="21"/>
          <w:szCs w:val="21"/>
          <w:highlight w:val="none"/>
        </w:rPr>
        <w:t>的要求</w:t>
      </w:r>
      <w:r>
        <w:rPr>
          <w:rFonts w:hint="eastAsia" w:ascii="宋体" w:hAnsi="宋体" w:cs="宋体"/>
          <w:b w:val="0"/>
          <w:bCs w:val="0"/>
          <w:color w:val="auto"/>
          <w:sz w:val="21"/>
          <w:szCs w:val="21"/>
          <w:highlight w:val="none"/>
          <w:lang w:val="en-US" w:eastAsia="zh-CN"/>
        </w:rPr>
        <w:t>配置，尽量保持顺序一致</w:t>
      </w:r>
      <w:r>
        <w:rPr>
          <w:rFonts w:hint="eastAsia" w:ascii="宋体" w:hAnsi="宋体" w:eastAsia="宋体" w:cs="宋体"/>
          <w:b w:val="0"/>
          <w:bCs w:val="0"/>
          <w:color w:val="auto"/>
          <w:sz w:val="21"/>
          <w:szCs w:val="21"/>
          <w:highlight w:val="none"/>
        </w:rPr>
        <w:t>；</w:t>
      </w:r>
    </w:p>
    <w:p w14:paraId="03C85612">
      <w:pPr>
        <w:widowControl w:val="0"/>
        <w:spacing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2.本表后附人员身份证、相关资格证书、职称证（如有）、学历证、投标截止日期前连续3个月在投标单位参保的职工基本养老保险参保证明或社保证明</w:t>
      </w:r>
      <w:r>
        <w:rPr>
          <w:rFonts w:hint="eastAsia" w:ascii="宋体" w:hAnsi="宋体" w:cs="宋体"/>
          <w:color w:val="auto"/>
          <w:kern w:val="2"/>
          <w:sz w:val="21"/>
          <w:szCs w:val="21"/>
          <w:highlight w:val="none"/>
          <w:lang w:val="en-US" w:eastAsia="zh-CN" w:bidi="ar-SA"/>
        </w:rPr>
        <w:t>原件</w:t>
      </w:r>
      <w:r>
        <w:rPr>
          <w:rFonts w:hint="eastAsia" w:ascii="宋体" w:hAnsi="宋体" w:eastAsia="宋体" w:cs="宋体"/>
          <w:b w:val="0"/>
          <w:bCs w:val="0"/>
          <w:color w:val="auto"/>
          <w:sz w:val="21"/>
          <w:szCs w:val="21"/>
          <w:highlight w:val="none"/>
        </w:rPr>
        <w:t>扫描件</w:t>
      </w:r>
      <w:r>
        <w:rPr>
          <w:rFonts w:hint="eastAsia" w:ascii="宋体" w:hAnsi="宋体" w:eastAsia="宋体" w:cs="宋体"/>
          <w:color w:val="auto"/>
          <w:kern w:val="2"/>
          <w:sz w:val="21"/>
          <w:szCs w:val="21"/>
          <w:highlight w:val="none"/>
          <w:lang w:val="en-US" w:eastAsia="zh-CN" w:bidi="ar-SA"/>
        </w:rPr>
        <w:t>。</w:t>
      </w:r>
    </w:p>
    <w:p w14:paraId="538CC873">
      <w:pPr>
        <w:widowControl w:val="0"/>
        <w:spacing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3.本表可根据实际情况增加行数。</w:t>
      </w:r>
    </w:p>
    <w:p w14:paraId="02174EE2">
      <w:pPr>
        <w:rPr>
          <w:rFonts w:hint="eastAsia" w:ascii="宋体" w:hAnsi="宋体" w:eastAsia="宋体" w:cs="宋体"/>
          <w:b w:val="0"/>
          <w:bCs w:val="0"/>
          <w:color w:val="auto"/>
          <w:sz w:val="21"/>
          <w:szCs w:val="21"/>
          <w:highlight w:val="none"/>
          <w:lang w:val="en-US" w:eastAsia="zh-CN"/>
        </w:rPr>
      </w:pPr>
    </w:p>
    <w:p w14:paraId="63C6D8C9">
      <w:pPr>
        <w:pStyle w:val="46"/>
        <w:numPr>
          <w:ilvl w:val="0"/>
          <w:numId w:val="0"/>
        </w:numPr>
        <w:snapToGrid w:val="0"/>
        <w:spacing w:after="120" w:afterLines="50" w:line="360" w:lineRule="auto"/>
        <w:ind w:left="1"/>
        <w:jc w:val="center"/>
        <w:rPr>
          <w:rFonts w:hint="eastAsia" w:ascii="宋体" w:hAnsi="宋体" w:eastAsia="宋体" w:cs="宋体"/>
          <w:b w:val="0"/>
          <w:bCs w:val="0"/>
          <w:color w:val="auto"/>
          <w:sz w:val="21"/>
          <w:szCs w:val="21"/>
          <w:highlight w:val="none"/>
        </w:rPr>
      </w:pPr>
    </w:p>
    <w:p w14:paraId="33DFC246">
      <w:pPr>
        <w:pStyle w:val="46"/>
        <w:numPr>
          <w:ilvl w:val="0"/>
          <w:numId w:val="0"/>
        </w:numPr>
        <w:snapToGrid w:val="0"/>
        <w:spacing w:after="120" w:afterLines="50" w:line="360" w:lineRule="auto"/>
        <w:ind w:left="1"/>
        <w:jc w:val="center"/>
        <w:outlineLvl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type="page"/>
      </w:r>
      <w:bookmarkStart w:id="982" w:name="_Toc247514301"/>
      <w:bookmarkStart w:id="983" w:name="_Toc318966032"/>
      <w:bookmarkStart w:id="984" w:name="_Toc144974877"/>
      <w:bookmarkStart w:id="985" w:name="_Toc11432_WPSOffice_Level2"/>
      <w:bookmarkStart w:id="986" w:name="_Toc247527849"/>
      <w:bookmarkStart w:id="987" w:name="_Toc26026_WPSOffice_Level2"/>
      <w:bookmarkStart w:id="988" w:name="_Toc30773"/>
      <w:bookmarkStart w:id="989" w:name="_Toc27951"/>
      <w:bookmarkStart w:id="990" w:name="_Toc152042598"/>
      <w:bookmarkStart w:id="991" w:name="_Toc27110"/>
      <w:bookmarkStart w:id="992" w:name="_Toc152045809"/>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、近年财务状况表</w:t>
      </w:r>
      <w:bookmarkEnd w:id="982"/>
      <w:bookmarkEnd w:id="983"/>
      <w:bookmarkEnd w:id="984"/>
      <w:bookmarkEnd w:id="985"/>
      <w:bookmarkEnd w:id="986"/>
      <w:bookmarkEnd w:id="987"/>
      <w:bookmarkEnd w:id="988"/>
      <w:bookmarkEnd w:id="989"/>
      <w:bookmarkEnd w:id="990"/>
      <w:bookmarkEnd w:id="991"/>
      <w:bookmarkEnd w:id="992"/>
    </w:p>
    <w:tbl>
      <w:tblPr>
        <w:tblStyle w:val="28"/>
        <w:tblW w:w="94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2721"/>
        <w:gridCol w:w="1265"/>
        <w:gridCol w:w="1810"/>
        <w:gridCol w:w="1811"/>
        <w:gridCol w:w="1811"/>
      </w:tblGrid>
      <w:tr w14:paraId="5A20E9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2FBB5B0E">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项目或指标</w:t>
            </w:r>
          </w:p>
        </w:tc>
        <w:tc>
          <w:tcPr>
            <w:tcW w:w="1265" w:type="dxa"/>
            <w:vAlign w:val="center"/>
          </w:tcPr>
          <w:p w14:paraId="5644CA71">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单位</w:t>
            </w:r>
          </w:p>
        </w:tc>
        <w:tc>
          <w:tcPr>
            <w:tcW w:w="1810" w:type="dxa"/>
            <w:vAlign w:val="center"/>
          </w:tcPr>
          <w:p w14:paraId="69FD61F9">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rPr>
              <w:t>_____</w:t>
            </w:r>
            <w:r>
              <w:rPr>
                <w:rFonts w:hint="eastAsia" w:ascii="宋体" w:hAnsi="宋体" w:eastAsia="宋体" w:cs="宋体"/>
                <w:b w:val="0"/>
                <w:bCs w:val="0"/>
                <w:color w:val="auto"/>
                <w:kern w:val="0"/>
                <w:sz w:val="21"/>
                <w:szCs w:val="21"/>
                <w:highlight w:val="none"/>
                <w:lang w:val="zh-TW" w:eastAsia="zh-TW"/>
              </w:rPr>
              <w:t>年</w:t>
            </w:r>
          </w:p>
        </w:tc>
        <w:tc>
          <w:tcPr>
            <w:tcW w:w="1811" w:type="dxa"/>
            <w:vAlign w:val="center"/>
          </w:tcPr>
          <w:p w14:paraId="3A50014C">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rPr>
              <w:t>_____</w:t>
            </w:r>
            <w:r>
              <w:rPr>
                <w:rFonts w:hint="eastAsia" w:ascii="宋体" w:hAnsi="宋体" w:eastAsia="宋体" w:cs="宋体"/>
                <w:b w:val="0"/>
                <w:bCs w:val="0"/>
                <w:color w:val="auto"/>
                <w:kern w:val="0"/>
                <w:sz w:val="21"/>
                <w:szCs w:val="21"/>
                <w:highlight w:val="none"/>
                <w:lang w:val="zh-TW" w:eastAsia="zh-TW"/>
              </w:rPr>
              <w:t>年</w:t>
            </w:r>
          </w:p>
        </w:tc>
        <w:tc>
          <w:tcPr>
            <w:tcW w:w="1811" w:type="dxa"/>
            <w:vAlign w:val="center"/>
          </w:tcPr>
          <w:p w14:paraId="2559450F">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rPr>
              <w:t>_____</w:t>
            </w:r>
            <w:r>
              <w:rPr>
                <w:rFonts w:hint="eastAsia" w:ascii="宋体" w:hAnsi="宋体" w:eastAsia="宋体" w:cs="宋体"/>
                <w:b w:val="0"/>
                <w:bCs w:val="0"/>
                <w:color w:val="auto"/>
                <w:kern w:val="0"/>
                <w:sz w:val="21"/>
                <w:szCs w:val="21"/>
                <w:highlight w:val="none"/>
                <w:lang w:val="zh-TW" w:eastAsia="zh-TW"/>
              </w:rPr>
              <w:t>年</w:t>
            </w:r>
          </w:p>
        </w:tc>
      </w:tr>
      <w:tr w14:paraId="21D8AE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575EE11C">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一、注册资金</w:t>
            </w:r>
          </w:p>
        </w:tc>
        <w:tc>
          <w:tcPr>
            <w:tcW w:w="1265" w:type="dxa"/>
            <w:vAlign w:val="center"/>
          </w:tcPr>
          <w:p w14:paraId="749A05CB">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30232F65">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41FAC233">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60F076F5">
            <w:pPr>
              <w:adjustRightInd w:val="0"/>
              <w:snapToGrid w:val="0"/>
              <w:jc w:val="center"/>
              <w:rPr>
                <w:rFonts w:hint="eastAsia" w:ascii="宋体" w:hAnsi="宋体" w:eastAsia="宋体" w:cs="宋体"/>
                <w:b w:val="0"/>
                <w:bCs w:val="0"/>
                <w:color w:val="auto"/>
                <w:sz w:val="21"/>
                <w:szCs w:val="21"/>
                <w:highlight w:val="none"/>
              </w:rPr>
            </w:pPr>
          </w:p>
        </w:tc>
      </w:tr>
      <w:tr w14:paraId="138C68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5AFF169B">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二、净资产</w:t>
            </w:r>
          </w:p>
        </w:tc>
        <w:tc>
          <w:tcPr>
            <w:tcW w:w="1265" w:type="dxa"/>
            <w:vAlign w:val="center"/>
          </w:tcPr>
          <w:p w14:paraId="31CD15D5">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554423DB">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28BE1006">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274EFB86">
            <w:pPr>
              <w:adjustRightInd w:val="0"/>
              <w:snapToGrid w:val="0"/>
              <w:jc w:val="center"/>
              <w:rPr>
                <w:rFonts w:hint="eastAsia" w:ascii="宋体" w:hAnsi="宋体" w:eastAsia="宋体" w:cs="宋体"/>
                <w:b w:val="0"/>
                <w:bCs w:val="0"/>
                <w:color w:val="auto"/>
                <w:sz w:val="21"/>
                <w:szCs w:val="21"/>
                <w:highlight w:val="none"/>
              </w:rPr>
            </w:pPr>
          </w:p>
        </w:tc>
      </w:tr>
      <w:tr w14:paraId="73DA31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18364AAF">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三、总资产</w:t>
            </w:r>
          </w:p>
        </w:tc>
        <w:tc>
          <w:tcPr>
            <w:tcW w:w="1265" w:type="dxa"/>
            <w:vAlign w:val="center"/>
          </w:tcPr>
          <w:p w14:paraId="17B7E3FC">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09631B36">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458A857C">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30671196">
            <w:pPr>
              <w:adjustRightInd w:val="0"/>
              <w:snapToGrid w:val="0"/>
              <w:jc w:val="center"/>
              <w:rPr>
                <w:rFonts w:hint="eastAsia" w:ascii="宋体" w:hAnsi="宋体" w:eastAsia="宋体" w:cs="宋体"/>
                <w:b w:val="0"/>
                <w:bCs w:val="0"/>
                <w:color w:val="auto"/>
                <w:sz w:val="21"/>
                <w:szCs w:val="21"/>
                <w:highlight w:val="none"/>
              </w:rPr>
            </w:pPr>
          </w:p>
        </w:tc>
      </w:tr>
      <w:tr w14:paraId="3D8A3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2464D011">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四、固定资产</w:t>
            </w:r>
          </w:p>
        </w:tc>
        <w:tc>
          <w:tcPr>
            <w:tcW w:w="1265" w:type="dxa"/>
            <w:vAlign w:val="center"/>
          </w:tcPr>
          <w:p w14:paraId="29146D02">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67CAC50F">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0AD369B2">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1C1F8B6D">
            <w:pPr>
              <w:adjustRightInd w:val="0"/>
              <w:snapToGrid w:val="0"/>
              <w:jc w:val="center"/>
              <w:rPr>
                <w:rFonts w:hint="eastAsia" w:ascii="宋体" w:hAnsi="宋体" w:eastAsia="宋体" w:cs="宋体"/>
                <w:b w:val="0"/>
                <w:bCs w:val="0"/>
                <w:color w:val="auto"/>
                <w:sz w:val="21"/>
                <w:szCs w:val="21"/>
                <w:highlight w:val="none"/>
              </w:rPr>
            </w:pPr>
          </w:p>
        </w:tc>
      </w:tr>
      <w:tr w14:paraId="458C7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7838E9B6">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五、流动资产</w:t>
            </w:r>
          </w:p>
        </w:tc>
        <w:tc>
          <w:tcPr>
            <w:tcW w:w="1265" w:type="dxa"/>
            <w:vAlign w:val="center"/>
          </w:tcPr>
          <w:p w14:paraId="1675662A">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3D69EA2A">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3DB02525">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0A0BAD61">
            <w:pPr>
              <w:adjustRightInd w:val="0"/>
              <w:snapToGrid w:val="0"/>
              <w:jc w:val="center"/>
              <w:rPr>
                <w:rFonts w:hint="eastAsia" w:ascii="宋体" w:hAnsi="宋体" w:eastAsia="宋体" w:cs="宋体"/>
                <w:b w:val="0"/>
                <w:bCs w:val="0"/>
                <w:color w:val="auto"/>
                <w:sz w:val="21"/>
                <w:szCs w:val="21"/>
                <w:highlight w:val="none"/>
              </w:rPr>
            </w:pPr>
          </w:p>
        </w:tc>
      </w:tr>
      <w:tr w14:paraId="751CAA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12961DAE">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六、流动负债</w:t>
            </w:r>
          </w:p>
        </w:tc>
        <w:tc>
          <w:tcPr>
            <w:tcW w:w="1265" w:type="dxa"/>
            <w:vAlign w:val="center"/>
          </w:tcPr>
          <w:p w14:paraId="475ADE69">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3F1B554F">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54E74EB2">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00151963">
            <w:pPr>
              <w:adjustRightInd w:val="0"/>
              <w:snapToGrid w:val="0"/>
              <w:jc w:val="center"/>
              <w:rPr>
                <w:rFonts w:hint="eastAsia" w:ascii="宋体" w:hAnsi="宋体" w:eastAsia="宋体" w:cs="宋体"/>
                <w:b w:val="0"/>
                <w:bCs w:val="0"/>
                <w:color w:val="auto"/>
                <w:sz w:val="21"/>
                <w:szCs w:val="21"/>
                <w:highlight w:val="none"/>
              </w:rPr>
            </w:pPr>
          </w:p>
        </w:tc>
      </w:tr>
      <w:tr w14:paraId="5CC2C2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11C90FFA">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七、负债合计</w:t>
            </w:r>
          </w:p>
        </w:tc>
        <w:tc>
          <w:tcPr>
            <w:tcW w:w="1265" w:type="dxa"/>
            <w:vAlign w:val="center"/>
          </w:tcPr>
          <w:p w14:paraId="03B56B10">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3990A8CF">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325F880D">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1BE6612C">
            <w:pPr>
              <w:adjustRightInd w:val="0"/>
              <w:snapToGrid w:val="0"/>
              <w:jc w:val="center"/>
              <w:rPr>
                <w:rFonts w:hint="eastAsia" w:ascii="宋体" w:hAnsi="宋体" w:eastAsia="宋体" w:cs="宋体"/>
                <w:b w:val="0"/>
                <w:bCs w:val="0"/>
                <w:color w:val="auto"/>
                <w:sz w:val="21"/>
                <w:szCs w:val="21"/>
                <w:highlight w:val="none"/>
              </w:rPr>
            </w:pPr>
          </w:p>
        </w:tc>
      </w:tr>
      <w:tr w14:paraId="044A9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6CC384CD">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八、营业收入</w:t>
            </w:r>
          </w:p>
        </w:tc>
        <w:tc>
          <w:tcPr>
            <w:tcW w:w="1265" w:type="dxa"/>
            <w:vAlign w:val="center"/>
          </w:tcPr>
          <w:p w14:paraId="0685F283">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41777BE3">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0A14036B">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6BFDD4A6">
            <w:pPr>
              <w:adjustRightInd w:val="0"/>
              <w:snapToGrid w:val="0"/>
              <w:jc w:val="center"/>
              <w:rPr>
                <w:rFonts w:hint="eastAsia" w:ascii="宋体" w:hAnsi="宋体" w:eastAsia="宋体" w:cs="宋体"/>
                <w:b w:val="0"/>
                <w:bCs w:val="0"/>
                <w:color w:val="auto"/>
                <w:sz w:val="21"/>
                <w:szCs w:val="21"/>
                <w:highlight w:val="none"/>
              </w:rPr>
            </w:pPr>
          </w:p>
        </w:tc>
      </w:tr>
      <w:tr w14:paraId="5399A6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2721" w:type="dxa"/>
            <w:tcMar>
              <w:top w:w="80" w:type="dxa"/>
              <w:left w:w="80" w:type="dxa"/>
              <w:bottom w:w="80" w:type="dxa"/>
              <w:right w:w="80" w:type="dxa"/>
            </w:tcMar>
            <w:vAlign w:val="center"/>
          </w:tcPr>
          <w:p w14:paraId="785F3A57">
            <w:pPr>
              <w:pStyle w:val="47"/>
              <w:adjustRightInd w:val="0"/>
              <w:snapToGrid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九、净利润</w:t>
            </w:r>
          </w:p>
        </w:tc>
        <w:tc>
          <w:tcPr>
            <w:tcW w:w="1265" w:type="dxa"/>
            <w:vAlign w:val="center"/>
          </w:tcPr>
          <w:p w14:paraId="4E12674D">
            <w:pPr>
              <w:pStyle w:val="47"/>
              <w:adjustRightInd w:val="0"/>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zh-TW" w:eastAsia="zh-TW"/>
              </w:rPr>
              <w:t>万元</w:t>
            </w:r>
          </w:p>
        </w:tc>
        <w:tc>
          <w:tcPr>
            <w:tcW w:w="1810" w:type="dxa"/>
            <w:vAlign w:val="center"/>
          </w:tcPr>
          <w:p w14:paraId="11970DA2">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6BEA6CE5">
            <w:pPr>
              <w:adjustRightInd w:val="0"/>
              <w:snapToGrid w:val="0"/>
              <w:jc w:val="center"/>
              <w:rPr>
                <w:rFonts w:hint="eastAsia" w:ascii="宋体" w:hAnsi="宋体" w:eastAsia="宋体" w:cs="宋体"/>
                <w:b w:val="0"/>
                <w:bCs w:val="0"/>
                <w:color w:val="auto"/>
                <w:sz w:val="21"/>
                <w:szCs w:val="21"/>
                <w:highlight w:val="none"/>
              </w:rPr>
            </w:pPr>
          </w:p>
        </w:tc>
        <w:tc>
          <w:tcPr>
            <w:tcW w:w="1811" w:type="dxa"/>
            <w:vAlign w:val="center"/>
          </w:tcPr>
          <w:p w14:paraId="134A2E63">
            <w:pPr>
              <w:adjustRightInd w:val="0"/>
              <w:snapToGrid w:val="0"/>
              <w:jc w:val="center"/>
              <w:rPr>
                <w:rFonts w:hint="eastAsia" w:ascii="宋体" w:hAnsi="宋体" w:eastAsia="宋体" w:cs="宋体"/>
                <w:b w:val="0"/>
                <w:bCs w:val="0"/>
                <w:color w:val="auto"/>
                <w:sz w:val="21"/>
                <w:szCs w:val="21"/>
                <w:highlight w:val="none"/>
              </w:rPr>
            </w:pPr>
          </w:p>
        </w:tc>
      </w:tr>
    </w:tbl>
    <w:p w14:paraId="56E47869">
      <w:pPr>
        <w:pStyle w:val="47"/>
        <w:adjustRightInd w:val="0"/>
        <w:snapToGrid w:val="0"/>
        <w:spacing w:before="120" w:beforeLines="50" w:line="360" w:lineRule="auto"/>
        <w:ind w:firstLine="464"/>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TW"/>
        </w:rPr>
        <w:t>备注：本表后附经会计师事务所或其他第三方机构审计的财务报表（含资产负债表、利润表或损益表、现金流量表）及审计报告等原件扫描件，具体年份要求</w:t>
      </w:r>
      <w:r>
        <w:rPr>
          <w:rFonts w:hint="eastAsia" w:ascii="宋体" w:hAnsi="宋体" w:eastAsia="宋体" w:cs="宋体"/>
          <w:b w:val="0"/>
          <w:bCs w:val="0"/>
          <w:color w:val="auto"/>
          <w:sz w:val="21"/>
          <w:szCs w:val="21"/>
          <w:highlight w:val="none"/>
          <w:lang w:val="en-US" w:eastAsia="zh-CN"/>
        </w:rPr>
        <w:t>详见招标公告及</w:t>
      </w:r>
      <w:r>
        <w:rPr>
          <w:rFonts w:hint="eastAsia" w:ascii="宋体" w:hAnsi="宋体" w:eastAsia="宋体" w:cs="宋体"/>
          <w:b w:val="0"/>
          <w:bCs w:val="0"/>
          <w:color w:val="auto"/>
          <w:sz w:val="21"/>
          <w:szCs w:val="21"/>
          <w:highlight w:val="none"/>
          <w:lang w:val="zh-TW"/>
        </w:rPr>
        <w:t>投标人须知前附表。</w:t>
      </w:r>
    </w:p>
    <w:p w14:paraId="09328A11">
      <w:pPr>
        <w:pStyle w:val="46"/>
        <w:numPr>
          <w:ilvl w:val="0"/>
          <w:numId w:val="0"/>
        </w:numPr>
        <w:snapToGrid w:val="0"/>
        <w:spacing w:after="120" w:afterLines="50" w:line="360" w:lineRule="auto"/>
        <w:ind w:left="0" w:leftChars="0" w:firstLine="0" w:firstLineChars="0"/>
        <w:jc w:val="center"/>
        <w:outlineLvl w:val="0"/>
        <w:rPr>
          <w:rStyle w:val="44"/>
          <w:rFonts w:hint="eastAsia" w:ascii="宋体" w:hAnsi="宋体" w:eastAsia="宋体" w:cs="宋体"/>
          <w:b w:val="0"/>
          <w:bCs w:val="0"/>
          <w:color w:val="auto"/>
          <w:sz w:val="21"/>
          <w:szCs w:val="21"/>
          <w:highlight w:val="none"/>
        </w:rPr>
      </w:pPr>
      <w:bookmarkStart w:id="993" w:name="_Toc379979513"/>
      <w:bookmarkStart w:id="994" w:name="_Toc381086294"/>
      <w:r>
        <w:rPr>
          <w:rFonts w:hint="eastAsia" w:ascii="宋体" w:hAnsi="宋体" w:eastAsia="宋体" w:cs="宋体"/>
          <w:b w:val="0"/>
          <w:bCs w:val="0"/>
          <w:color w:val="auto"/>
          <w:sz w:val="21"/>
          <w:szCs w:val="21"/>
          <w:highlight w:val="none"/>
        </w:rPr>
        <w:br w:type="page"/>
      </w:r>
      <w:bookmarkEnd w:id="993"/>
      <w:bookmarkEnd w:id="994"/>
      <w:bookmarkStart w:id="995" w:name="_Toc28959"/>
      <w:bookmarkStart w:id="996" w:name="_Toc717"/>
      <w:r>
        <w:rPr>
          <w:rStyle w:val="44"/>
          <w:rFonts w:hint="eastAsia" w:ascii="宋体" w:hAnsi="宋体" w:eastAsia="宋体" w:cs="宋体"/>
          <w:b/>
          <w:bCs/>
          <w:color w:val="auto"/>
          <w:sz w:val="21"/>
          <w:szCs w:val="21"/>
          <w:highlight w:val="none"/>
          <w:lang w:val="en-US" w:eastAsia="zh-CN"/>
        </w:rPr>
        <w:t>六</w:t>
      </w:r>
      <w:r>
        <w:rPr>
          <w:rStyle w:val="44"/>
          <w:rFonts w:hint="eastAsia" w:ascii="宋体" w:hAnsi="宋体" w:eastAsia="宋体" w:cs="宋体"/>
          <w:b/>
          <w:bCs/>
          <w:color w:val="auto"/>
          <w:sz w:val="21"/>
          <w:szCs w:val="21"/>
          <w:highlight w:val="none"/>
        </w:rPr>
        <w:t>、信誉承诺</w:t>
      </w:r>
      <w:bookmarkEnd w:id="995"/>
      <w:bookmarkEnd w:id="996"/>
    </w:p>
    <w:p w14:paraId="1E0B9B54">
      <w:pPr>
        <w:pStyle w:val="50"/>
        <w:adjustRightInd w:val="0"/>
        <w:snapToGrid w:val="0"/>
        <w:spacing w:after="200" w:line="360" w:lineRule="auto"/>
        <w:jc w:val="center"/>
        <w:rPr>
          <w:rStyle w:val="44"/>
          <w:rFonts w:hint="eastAsia" w:ascii="宋体" w:hAnsi="宋体" w:eastAsia="宋体" w:cs="宋体"/>
          <w:b w:val="0"/>
          <w:bCs w:val="0"/>
          <w:color w:val="auto"/>
          <w:kern w:val="2"/>
          <w:sz w:val="21"/>
          <w:szCs w:val="21"/>
          <w:highlight w:val="none"/>
        </w:rPr>
      </w:pPr>
      <w:r>
        <w:rPr>
          <w:rStyle w:val="44"/>
          <w:rFonts w:hint="eastAsia" w:ascii="宋体" w:hAnsi="宋体" w:eastAsia="宋体" w:cs="宋体"/>
          <w:b w:val="0"/>
          <w:bCs w:val="0"/>
          <w:color w:val="auto"/>
          <w:kern w:val="2"/>
          <w:sz w:val="21"/>
          <w:szCs w:val="21"/>
          <w:highlight w:val="none"/>
        </w:rPr>
        <w:t>（符合第二章“投标人须知前附表”1.4.1项规定）</w:t>
      </w:r>
    </w:p>
    <w:p w14:paraId="1D6C47BE">
      <w:pPr>
        <w:keepNext w:val="0"/>
        <w:keepLines w:val="0"/>
        <w:pageBreakBefore w:val="0"/>
        <w:widowControl w:val="0"/>
        <w:kinsoku/>
        <w:wordWrap/>
        <w:overflowPunct/>
        <w:topLinePunct w:val="0"/>
        <w:autoSpaceDE/>
        <w:autoSpaceDN/>
        <w:bidi w:val="0"/>
        <w:adjustRightInd/>
        <w:snapToGrid/>
        <w:spacing w:after="146" w:afterLines="50" w:line="400" w:lineRule="exact"/>
        <w:ind w:firstLine="420" w:firstLineChars="200"/>
        <w:textAlignment w:val="auto"/>
        <w:rPr>
          <w:rStyle w:val="44"/>
          <w:rFonts w:hint="eastAsia" w:ascii="宋体" w:hAnsi="宋体" w:eastAsia="宋体" w:cs="宋体"/>
          <w:b w:val="0"/>
          <w:bCs w:val="0"/>
          <w:color w:val="auto"/>
          <w:kern w:val="2"/>
          <w:sz w:val="21"/>
          <w:szCs w:val="21"/>
          <w:highlight w:val="none"/>
        </w:rPr>
      </w:pPr>
      <w:r>
        <w:rPr>
          <w:rStyle w:val="44"/>
          <w:rFonts w:hint="eastAsia" w:ascii="宋体" w:hAnsi="宋体" w:eastAsia="宋体" w:cs="宋体"/>
          <w:b w:val="0"/>
          <w:bCs w:val="0"/>
          <w:color w:val="auto"/>
          <w:kern w:val="2"/>
          <w:sz w:val="21"/>
          <w:szCs w:val="21"/>
          <w:highlight w:val="none"/>
        </w:rPr>
        <w:br w:type="page"/>
      </w:r>
    </w:p>
    <w:p w14:paraId="21C0AF8E">
      <w:pPr>
        <w:pStyle w:val="46"/>
        <w:numPr>
          <w:ilvl w:val="0"/>
          <w:numId w:val="0"/>
        </w:numPr>
        <w:snapToGrid w:val="0"/>
        <w:spacing w:after="120" w:afterLines="50" w:line="360" w:lineRule="auto"/>
        <w:ind w:left="1"/>
        <w:jc w:val="center"/>
        <w:outlineLvl w:val="0"/>
        <w:rPr>
          <w:rFonts w:hint="eastAsia" w:ascii="宋体" w:hAnsi="宋体" w:eastAsia="宋体" w:cs="宋体"/>
          <w:b/>
          <w:bCs/>
          <w:color w:val="auto"/>
          <w:sz w:val="21"/>
          <w:szCs w:val="21"/>
          <w:highlight w:val="none"/>
        </w:rPr>
      </w:pPr>
      <w:bookmarkStart w:id="997" w:name="_Toc4896"/>
      <w:bookmarkStart w:id="998" w:name="_Toc6415"/>
      <w:r>
        <w:rPr>
          <w:rStyle w:val="44"/>
          <w:rFonts w:hint="eastAsia" w:ascii="宋体" w:hAnsi="宋体" w:eastAsia="宋体" w:cs="宋体"/>
          <w:b/>
          <w:bCs/>
          <w:color w:val="auto"/>
          <w:sz w:val="21"/>
          <w:szCs w:val="21"/>
          <w:highlight w:val="none"/>
          <w:lang w:val="en-US" w:eastAsia="zh-CN"/>
        </w:rPr>
        <w:t>七</w:t>
      </w:r>
      <w:r>
        <w:rPr>
          <w:rStyle w:val="44"/>
          <w:rFonts w:hint="eastAsia" w:ascii="宋体" w:hAnsi="宋体" w:eastAsia="宋体" w:cs="宋体"/>
          <w:b/>
          <w:bCs/>
          <w:color w:val="auto"/>
          <w:sz w:val="21"/>
          <w:szCs w:val="21"/>
          <w:highlight w:val="none"/>
        </w:rPr>
        <w:t>、投标人认为需要补充的其他材料</w:t>
      </w:r>
      <w:bookmarkEnd w:id="997"/>
      <w:bookmarkEnd w:id="998"/>
    </w:p>
    <w:p w14:paraId="2BE083C0">
      <w:pPr>
        <w:rPr>
          <w:rFonts w:hint="eastAsia" w:ascii="宋体" w:hAnsi="宋体" w:eastAsia="宋体" w:cs="宋体"/>
          <w:b/>
          <w:bCs/>
          <w:color w:val="auto"/>
          <w:sz w:val="24"/>
          <w:szCs w:val="24"/>
          <w:highlight w:val="none"/>
        </w:rPr>
      </w:pPr>
      <w:bookmarkStart w:id="999" w:name="_Toc26899"/>
      <w:bookmarkStart w:id="1000" w:name="_Toc29116"/>
      <w:r>
        <w:rPr>
          <w:rFonts w:hint="eastAsia" w:ascii="宋体" w:hAnsi="宋体" w:eastAsia="宋体" w:cs="宋体"/>
          <w:b/>
          <w:bCs/>
          <w:color w:val="auto"/>
          <w:sz w:val="24"/>
          <w:szCs w:val="24"/>
          <w:highlight w:val="none"/>
        </w:rPr>
        <w:br w:type="page"/>
      </w:r>
    </w:p>
    <w:p w14:paraId="2E3563F5">
      <w:pPr>
        <w:pStyle w:val="45"/>
        <w:numPr>
          <w:ilvl w:val="0"/>
          <w:numId w:val="0"/>
        </w:numPr>
        <w:snapToGrid w:val="0"/>
        <w:spacing w:before="120" w:beforeLines="50" w:after="240" w:afterLines="100" w:line="360" w:lineRule="auto"/>
        <w:jc w:val="center"/>
        <w:outlineLvl w:val="0"/>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4"/>
          <w:szCs w:val="24"/>
          <w:highlight w:val="none"/>
        </w:rPr>
        <w:t>第二部分</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商务</w:t>
      </w:r>
      <w:r>
        <w:rPr>
          <w:rFonts w:hint="eastAsia" w:ascii="宋体" w:hAnsi="宋体" w:eastAsia="宋体" w:cs="宋体"/>
          <w:b/>
          <w:bCs/>
          <w:color w:val="auto"/>
          <w:sz w:val="24"/>
          <w:szCs w:val="24"/>
          <w:highlight w:val="none"/>
          <w:lang w:val="en-US" w:eastAsia="zh-CN"/>
        </w:rPr>
        <w:t>标</w:t>
      </w:r>
      <w:r>
        <w:rPr>
          <w:rFonts w:hint="eastAsia" w:ascii="宋体" w:hAnsi="宋体" w:eastAsia="宋体" w:cs="宋体"/>
          <w:b/>
          <w:bCs/>
          <w:color w:val="auto"/>
          <w:sz w:val="24"/>
          <w:szCs w:val="24"/>
          <w:highlight w:val="none"/>
        </w:rPr>
        <w:t>部分</w:t>
      </w:r>
      <w:bookmarkEnd w:id="999"/>
      <w:bookmarkEnd w:id="1000"/>
    </w:p>
    <w:p w14:paraId="73178871">
      <w:pPr>
        <w:pStyle w:val="45"/>
        <w:numPr>
          <w:ilvl w:val="0"/>
          <w:numId w:val="0"/>
        </w:numPr>
        <w:snapToGrid w:val="0"/>
        <w:spacing w:before="120" w:beforeLines="50" w:after="240" w:afterLines="100" w:line="360" w:lineRule="auto"/>
        <w:jc w:val="center"/>
        <w:outlineLvl w:val="0"/>
        <w:rPr>
          <w:rFonts w:hint="eastAsia" w:ascii="宋体" w:hAnsi="宋体" w:eastAsia="宋体" w:cs="宋体"/>
          <w:b w:val="0"/>
          <w:bCs w:val="0"/>
          <w:color w:val="auto"/>
          <w:sz w:val="21"/>
          <w:szCs w:val="21"/>
          <w:highlight w:val="none"/>
        </w:rPr>
      </w:pPr>
      <w:bookmarkStart w:id="1001" w:name="_Toc3427"/>
      <w:bookmarkStart w:id="1002" w:name="_Toc25047"/>
      <w:r>
        <w:rPr>
          <w:rFonts w:hint="eastAsia" w:ascii="宋体" w:hAnsi="宋体" w:eastAsia="宋体" w:cs="宋体"/>
          <w:b w:val="0"/>
          <w:bCs w:val="0"/>
          <w:color w:val="auto"/>
          <w:sz w:val="21"/>
          <w:szCs w:val="21"/>
          <w:highlight w:val="none"/>
        </w:rPr>
        <w:t>一、</w:t>
      </w:r>
      <w:r>
        <w:rPr>
          <w:rFonts w:hint="eastAsia" w:ascii="宋体" w:hAnsi="宋体" w:eastAsia="宋体" w:cs="宋体"/>
          <w:b w:val="0"/>
          <w:bCs w:val="0"/>
          <w:color w:val="auto"/>
          <w:sz w:val="21"/>
          <w:szCs w:val="21"/>
          <w:highlight w:val="none"/>
          <w:lang w:val="en-US" w:eastAsia="zh-CN"/>
        </w:rPr>
        <w:t>开标</w:t>
      </w:r>
      <w:r>
        <w:rPr>
          <w:rFonts w:hint="eastAsia" w:ascii="宋体" w:hAnsi="宋体" w:eastAsia="宋体" w:cs="宋体"/>
          <w:b w:val="0"/>
          <w:bCs w:val="0"/>
          <w:color w:val="auto"/>
          <w:sz w:val="21"/>
          <w:szCs w:val="21"/>
          <w:highlight w:val="none"/>
        </w:rPr>
        <w:t>一览表</w:t>
      </w:r>
      <w:bookmarkEnd w:id="1001"/>
      <w:bookmarkEnd w:id="1002"/>
    </w:p>
    <w:p w14:paraId="38DD327A">
      <w:pPr>
        <w:spacing w:line="360" w:lineRule="auto"/>
        <w:ind w:left="-410" w:firstLine="360"/>
        <w:rPr>
          <w:rFonts w:hint="eastAsia" w:ascii="宋体" w:hAnsi="宋体" w:eastAsia="宋体" w:cs="宋体"/>
          <w:b w:val="0"/>
          <w:bCs w:val="0"/>
          <w:color w:val="auto"/>
          <w:sz w:val="21"/>
          <w:szCs w:val="21"/>
          <w:highlight w:val="none"/>
          <w:u w:val="single"/>
        </w:rPr>
      </w:pPr>
      <w:r>
        <w:rPr>
          <w:rFonts w:hint="eastAsia" w:ascii="宋体" w:hAnsi="宋体" w:cs="宋体"/>
          <w:b w:val="0"/>
          <w:bCs w:val="0"/>
          <w:color w:val="auto"/>
          <w:sz w:val="21"/>
          <w:szCs w:val="21"/>
          <w:highlight w:val="none"/>
          <w:lang w:val="en-US" w:eastAsia="zh-CN"/>
        </w:rPr>
        <w:t>项目名称</w:t>
      </w:r>
      <w:r>
        <w:rPr>
          <w:rFonts w:hint="eastAsia" w:ascii="宋体" w:hAnsi="宋体" w:eastAsia="宋体" w:cs="宋体"/>
          <w:b w:val="0"/>
          <w:bCs w:val="0"/>
          <w:color w:val="auto"/>
          <w:sz w:val="21"/>
          <w:szCs w:val="21"/>
          <w:highlight w:val="none"/>
        </w:rPr>
        <w:t>：</w:t>
      </w:r>
    </w:p>
    <w:tbl>
      <w:tblPr>
        <w:tblStyle w:val="28"/>
        <w:tblW w:w="9602" w:type="dxa"/>
        <w:tblInd w:w="0" w:type="dxa"/>
        <w:tblLayout w:type="fixed"/>
        <w:tblCellMar>
          <w:top w:w="0" w:type="dxa"/>
          <w:left w:w="108" w:type="dxa"/>
          <w:bottom w:w="0" w:type="dxa"/>
          <w:right w:w="108" w:type="dxa"/>
        </w:tblCellMar>
      </w:tblPr>
      <w:tblGrid>
        <w:gridCol w:w="933"/>
        <w:gridCol w:w="2829"/>
        <w:gridCol w:w="5840"/>
      </w:tblGrid>
      <w:tr w14:paraId="51FBA135">
        <w:tblPrEx>
          <w:tblCellMar>
            <w:top w:w="0" w:type="dxa"/>
            <w:left w:w="108" w:type="dxa"/>
            <w:bottom w:w="0" w:type="dxa"/>
            <w:right w:w="108" w:type="dxa"/>
          </w:tblCellMar>
        </w:tblPrEx>
        <w:trPr>
          <w:trHeight w:val="85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03EB3AA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序号</w:t>
            </w:r>
          </w:p>
        </w:tc>
        <w:tc>
          <w:tcPr>
            <w:tcW w:w="2829" w:type="dxa"/>
            <w:tcBorders>
              <w:top w:val="single" w:color="000000" w:sz="4" w:space="0"/>
              <w:bottom w:val="single" w:color="000000" w:sz="4" w:space="0"/>
              <w:right w:val="single" w:color="000000" w:sz="4" w:space="0"/>
            </w:tcBorders>
            <w:vAlign w:val="center"/>
          </w:tcPr>
          <w:p w14:paraId="21B46E2D">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w:t>
            </w:r>
          </w:p>
        </w:tc>
        <w:tc>
          <w:tcPr>
            <w:tcW w:w="5840" w:type="dxa"/>
            <w:tcBorders>
              <w:top w:val="single" w:color="000000" w:sz="4" w:space="0"/>
              <w:bottom w:val="single" w:color="000000" w:sz="4" w:space="0"/>
              <w:right w:val="single" w:color="000000" w:sz="4" w:space="0"/>
            </w:tcBorders>
            <w:vAlign w:val="center"/>
          </w:tcPr>
          <w:p w14:paraId="3BD9BD57">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填报内容</w:t>
            </w:r>
          </w:p>
        </w:tc>
      </w:tr>
      <w:tr w14:paraId="359D0CC8">
        <w:tblPrEx>
          <w:tblCellMar>
            <w:top w:w="0" w:type="dxa"/>
            <w:left w:w="108" w:type="dxa"/>
            <w:bottom w:w="0" w:type="dxa"/>
            <w:right w:w="108" w:type="dxa"/>
          </w:tblCellMar>
        </w:tblPrEx>
        <w:trPr>
          <w:trHeight w:val="85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58B81397">
            <w:pPr>
              <w:spacing w:line="24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1</w:t>
            </w:r>
          </w:p>
        </w:tc>
        <w:tc>
          <w:tcPr>
            <w:tcW w:w="2829" w:type="dxa"/>
            <w:tcBorders>
              <w:top w:val="single" w:color="000000" w:sz="4" w:space="0"/>
              <w:bottom w:val="single" w:color="000000" w:sz="4" w:space="0"/>
              <w:right w:val="single" w:color="000000" w:sz="4" w:space="0"/>
            </w:tcBorders>
            <w:vAlign w:val="center"/>
          </w:tcPr>
          <w:p w14:paraId="2B392295">
            <w:pPr>
              <w:spacing w:line="24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投标报价</w:t>
            </w:r>
          </w:p>
        </w:tc>
        <w:tc>
          <w:tcPr>
            <w:tcW w:w="5840" w:type="dxa"/>
            <w:tcBorders>
              <w:top w:val="single" w:color="000000" w:sz="4" w:space="0"/>
              <w:bottom w:val="single" w:color="000000" w:sz="4" w:space="0"/>
              <w:right w:val="single" w:color="000000" w:sz="4" w:space="0"/>
            </w:tcBorders>
            <w:vAlign w:val="center"/>
          </w:tcPr>
          <w:p w14:paraId="3A6975C9">
            <w:pPr>
              <w:spacing w:line="24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（小写：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大写：</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p>
        </w:tc>
      </w:tr>
      <w:tr w14:paraId="4CC65EED">
        <w:tblPrEx>
          <w:tblCellMar>
            <w:top w:w="0" w:type="dxa"/>
            <w:left w:w="108" w:type="dxa"/>
            <w:bottom w:w="0" w:type="dxa"/>
            <w:right w:w="108" w:type="dxa"/>
          </w:tblCellMar>
        </w:tblPrEx>
        <w:trPr>
          <w:trHeight w:val="85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64666CEC">
            <w:pPr>
              <w:spacing w:line="24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p>
        </w:tc>
        <w:tc>
          <w:tcPr>
            <w:tcW w:w="2829" w:type="dxa"/>
            <w:tcBorders>
              <w:top w:val="single" w:color="000000" w:sz="4" w:space="0"/>
              <w:bottom w:val="single" w:color="000000" w:sz="4" w:space="0"/>
              <w:right w:val="single" w:color="000000" w:sz="4" w:space="0"/>
            </w:tcBorders>
            <w:vAlign w:val="center"/>
          </w:tcPr>
          <w:p w14:paraId="7C17F7E6">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项目负责人</w:t>
            </w:r>
            <w:r>
              <w:rPr>
                <w:rFonts w:hint="eastAsia" w:ascii="宋体" w:hAnsi="宋体" w:eastAsia="宋体" w:cs="宋体"/>
                <w:b w:val="0"/>
                <w:bCs w:val="0"/>
                <w:color w:val="auto"/>
                <w:sz w:val="21"/>
                <w:szCs w:val="21"/>
                <w:highlight w:val="none"/>
                <w:lang w:val="en-US" w:eastAsia="zh-CN"/>
              </w:rPr>
              <w:t>姓名</w:t>
            </w:r>
            <w:r>
              <w:rPr>
                <w:rFonts w:hint="eastAsia" w:ascii="宋体" w:hAnsi="宋体" w:eastAsia="宋体" w:cs="宋体"/>
                <w:b w:val="0"/>
                <w:bCs w:val="0"/>
                <w:color w:val="auto"/>
                <w:sz w:val="21"/>
                <w:szCs w:val="21"/>
                <w:highlight w:val="none"/>
              </w:rPr>
              <w:t>及证书编号</w:t>
            </w:r>
          </w:p>
        </w:tc>
        <w:tc>
          <w:tcPr>
            <w:tcW w:w="5840" w:type="dxa"/>
            <w:tcBorders>
              <w:top w:val="single" w:color="000000" w:sz="4" w:space="0"/>
              <w:bottom w:val="single" w:color="000000" w:sz="4" w:space="0"/>
              <w:right w:val="single" w:color="000000" w:sz="4" w:space="0"/>
            </w:tcBorders>
            <w:vAlign w:val="center"/>
          </w:tcPr>
          <w:p w14:paraId="195804D9">
            <w:pPr>
              <w:spacing w:line="240" w:lineRule="auto"/>
              <w:jc w:val="left"/>
              <w:rPr>
                <w:rFonts w:hint="eastAsia" w:ascii="宋体" w:hAnsi="宋体" w:eastAsia="宋体" w:cs="宋体"/>
                <w:b w:val="0"/>
                <w:bCs w:val="0"/>
                <w:color w:val="auto"/>
                <w:sz w:val="21"/>
                <w:szCs w:val="21"/>
                <w:highlight w:val="none"/>
              </w:rPr>
            </w:pPr>
          </w:p>
        </w:tc>
      </w:tr>
      <w:tr w14:paraId="42E89DB9">
        <w:tblPrEx>
          <w:tblCellMar>
            <w:top w:w="0" w:type="dxa"/>
            <w:left w:w="108" w:type="dxa"/>
            <w:bottom w:w="0" w:type="dxa"/>
            <w:right w:w="108" w:type="dxa"/>
          </w:tblCellMar>
        </w:tblPrEx>
        <w:trPr>
          <w:trHeight w:val="85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08DA5ECC">
            <w:pPr>
              <w:spacing w:line="24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w:t>
            </w:r>
          </w:p>
        </w:tc>
        <w:tc>
          <w:tcPr>
            <w:tcW w:w="2829" w:type="dxa"/>
            <w:tcBorders>
              <w:top w:val="single" w:color="000000" w:sz="4" w:space="0"/>
              <w:bottom w:val="single" w:color="000000" w:sz="4" w:space="0"/>
              <w:right w:val="single" w:color="000000" w:sz="4" w:space="0"/>
            </w:tcBorders>
            <w:vAlign w:val="center"/>
          </w:tcPr>
          <w:p w14:paraId="7A769D0A">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质量承诺</w:t>
            </w:r>
          </w:p>
        </w:tc>
        <w:tc>
          <w:tcPr>
            <w:tcW w:w="5840" w:type="dxa"/>
            <w:tcBorders>
              <w:top w:val="single" w:color="000000" w:sz="4" w:space="0"/>
              <w:bottom w:val="single" w:color="000000" w:sz="4" w:space="0"/>
              <w:right w:val="single" w:color="000000" w:sz="4" w:space="0"/>
            </w:tcBorders>
            <w:vAlign w:val="center"/>
          </w:tcPr>
          <w:p w14:paraId="00D87E82">
            <w:pPr>
              <w:pStyle w:val="10"/>
              <w:spacing w:line="240" w:lineRule="auto"/>
              <w:ind w:firstLine="0" w:firstLineChars="0"/>
              <w:rPr>
                <w:rFonts w:hint="eastAsia" w:ascii="宋体" w:hAnsi="宋体" w:eastAsia="宋体" w:cs="宋体"/>
                <w:b w:val="0"/>
                <w:bCs w:val="0"/>
                <w:color w:val="auto"/>
                <w:sz w:val="21"/>
                <w:szCs w:val="21"/>
                <w:highlight w:val="none"/>
              </w:rPr>
            </w:pPr>
          </w:p>
        </w:tc>
      </w:tr>
      <w:tr w14:paraId="07FF74F5">
        <w:tblPrEx>
          <w:tblCellMar>
            <w:top w:w="0" w:type="dxa"/>
            <w:left w:w="108" w:type="dxa"/>
            <w:bottom w:w="0" w:type="dxa"/>
            <w:right w:w="108" w:type="dxa"/>
          </w:tblCellMar>
        </w:tblPrEx>
        <w:trPr>
          <w:trHeight w:val="85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162F7B99">
            <w:pPr>
              <w:spacing w:line="24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4</w:t>
            </w:r>
          </w:p>
        </w:tc>
        <w:tc>
          <w:tcPr>
            <w:tcW w:w="2829" w:type="dxa"/>
            <w:tcBorders>
              <w:top w:val="single" w:color="000000" w:sz="4" w:space="0"/>
              <w:bottom w:val="single" w:color="000000" w:sz="4" w:space="0"/>
              <w:right w:val="single" w:color="000000" w:sz="4" w:space="0"/>
            </w:tcBorders>
            <w:vAlign w:val="center"/>
          </w:tcPr>
          <w:p w14:paraId="003EE389">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工期承诺</w:t>
            </w:r>
          </w:p>
        </w:tc>
        <w:tc>
          <w:tcPr>
            <w:tcW w:w="5840" w:type="dxa"/>
            <w:tcBorders>
              <w:top w:val="single" w:color="000000" w:sz="4" w:space="0"/>
              <w:bottom w:val="single" w:color="000000" w:sz="4" w:space="0"/>
              <w:right w:val="single" w:color="000000" w:sz="4" w:space="0"/>
            </w:tcBorders>
            <w:vAlign w:val="center"/>
          </w:tcPr>
          <w:p w14:paraId="051A9978">
            <w:pPr>
              <w:numPr>
                <w:ilvl w:val="0"/>
                <w:numId w:val="0"/>
              </w:numPr>
              <w:spacing w:line="240" w:lineRule="auto"/>
              <w:rPr>
                <w:rFonts w:hint="eastAsia" w:ascii="宋体" w:hAnsi="宋体" w:eastAsia="宋体" w:cs="宋体"/>
                <w:b w:val="0"/>
                <w:bCs w:val="0"/>
                <w:color w:val="auto"/>
                <w:sz w:val="21"/>
                <w:szCs w:val="21"/>
                <w:highlight w:val="none"/>
              </w:rPr>
            </w:pPr>
          </w:p>
        </w:tc>
      </w:tr>
      <w:tr w14:paraId="583EC79D">
        <w:tblPrEx>
          <w:tblCellMar>
            <w:top w:w="0" w:type="dxa"/>
            <w:left w:w="108" w:type="dxa"/>
            <w:bottom w:w="0" w:type="dxa"/>
            <w:right w:w="108" w:type="dxa"/>
          </w:tblCellMar>
        </w:tblPrEx>
        <w:trPr>
          <w:trHeight w:val="85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18911431">
            <w:pPr>
              <w:spacing w:line="24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w:t>
            </w:r>
          </w:p>
        </w:tc>
        <w:tc>
          <w:tcPr>
            <w:tcW w:w="2829" w:type="dxa"/>
            <w:tcBorders>
              <w:top w:val="single" w:color="000000" w:sz="4" w:space="0"/>
              <w:bottom w:val="single" w:color="000000" w:sz="4" w:space="0"/>
              <w:right w:val="single" w:color="000000" w:sz="4" w:space="0"/>
            </w:tcBorders>
            <w:vAlign w:val="center"/>
          </w:tcPr>
          <w:p w14:paraId="2B461035">
            <w:pPr>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投标保证金</w:t>
            </w:r>
          </w:p>
        </w:tc>
        <w:tc>
          <w:tcPr>
            <w:tcW w:w="5840" w:type="dxa"/>
            <w:tcBorders>
              <w:top w:val="single" w:color="000000" w:sz="4" w:space="0"/>
              <w:bottom w:val="single" w:color="000000" w:sz="4" w:space="0"/>
              <w:right w:val="single" w:color="000000" w:sz="4" w:space="0"/>
            </w:tcBorders>
            <w:vAlign w:val="center"/>
          </w:tcPr>
          <w:p w14:paraId="7BB49171">
            <w:pPr>
              <w:spacing w:line="240" w:lineRule="auto"/>
              <w:jc w:val="center"/>
              <w:rPr>
                <w:rFonts w:hint="eastAsia" w:ascii="宋体" w:hAnsi="宋体" w:eastAsia="宋体" w:cs="宋体"/>
                <w:b w:val="0"/>
                <w:bCs w:val="0"/>
                <w:color w:val="auto"/>
                <w:sz w:val="21"/>
                <w:szCs w:val="21"/>
                <w:highlight w:val="none"/>
              </w:rPr>
            </w:pPr>
          </w:p>
        </w:tc>
      </w:tr>
      <w:tr w14:paraId="04DCC75D">
        <w:tblPrEx>
          <w:tblCellMar>
            <w:top w:w="0" w:type="dxa"/>
            <w:left w:w="108" w:type="dxa"/>
            <w:bottom w:w="0" w:type="dxa"/>
            <w:right w:w="108" w:type="dxa"/>
          </w:tblCellMar>
        </w:tblPrEx>
        <w:trPr>
          <w:trHeight w:val="850" w:hRule="atLeast"/>
        </w:trPr>
        <w:tc>
          <w:tcPr>
            <w:tcW w:w="933" w:type="dxa"/>
            <w:tcBorders>
              <w:top w:val="single" w:color="000000" w:sz="4" w:space="0"/>
              <w:left w:val="single" w:color="000000" w:sz="4" w:space="0"/>
              <w:bottom w:val="single" w:color="000000" w:sz="4" w:space="0"/>
              <w:right w:val="single" w:color="000000" w:sz="4" w:space="0"/>
            </w:tcBorders>
            <w:vAlign w:val="center"/>
          </w:tcPr>
          <w:p w14:paraId="670E2D93">
            <w:pPr>
              <w:spacing w:line="24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w:t>
            </w:r>
          </w:p>
        </w:tc>
        <w:tc>
          <w:tcPr>
            <w:tcW w:w="2829" w:type="dxa"/>
            <w:tcBorders>
              <w:top w:val="single" w:color="000000" w:sz="4" w:space="0"/>
              <w:bottom w:val="single" w:color="000000" w:sz="4" w:space="0"/>
              <w:right w:val="single" w:color="000000" w:sz="4" w:space="0"/>
            </w:tcBorders>
            <w:vAlign w:val="center"/>
          </w:tcPr>
          <w:p w14:paraId="4FE6218F">
            <w:pPr>
              <w:spacing w:line="240" w:lineRule="auto"/>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备注</w:t>
            </w:r>
          </w:p>
        </w:tc>
        <w:tc>
          <w:tcPr>
            <w:tcW w:w="5840" w:type="dxa"/>
            <w:tcBorders>
              <w:top w:val="single" w:color="000000" w:sz="4" w:space="0"/>
              <w:bottom w:val="single" w:color="000000" w:sz="4" w:space="0"/>
              <w:right w:val="single" w:color="000000" w:sz="4" w:space="0"/>
            </w:tcBorders>
            <w:vAlign w:val="center"/>
          </w:tcPr>
          <w:p w14:paraId="1F9BAAD3">
            <w:pPr>
              <w:spacing w:line="240" w:lineRule="auto"/>
              <w:rPr>
                <w:rFonts w:hint="eastAsia" w:ascii="宋体" w:hAnsi="宋体" w:eastAsia="宋体" w:cs="宋体"/>
                <w:b w:val="0"/>
                <w:bCs w:val="0"/>
                <w:color w:val="auto"/>
                <w:sz w:val="21"/>
                <w:szCs w:val="21"/>
                <w:highlight w:val="none"/>
              </w:rPr>
            </w:pPr>
          </w:p>
        </w:tc>
      </w:tr>
    </w:tbl>
    <w:p w14:paraId="4B4CF409">
      <w:pPr>
        <w:spacing w:line="300" w:lineRule="auto"/>
        <w:rPr>
          <w:rFonts w:hint="eastAsia" w:ascii="宋体" w:hAnsi="宋体" w:eastAsia="宋体" w:cs="宋体"/>
          <w:b w:val="0"/>
          <w:bCs w:val="0"/>
          <w:color w:val="auto"/>
          <w:sz w:val="21"/>
          <w:szCs w:val="21"/>
          <w:highlight w:val="none"/>
          <w:u w:val="single"/>
        </w:rPr>
      </w:pPr>
    </w:p>
    <w:p w14:paraId="4F00B177">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p>
    <w:p w14:paraId="4082AADB">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p>
    <w:p w14:paraId="6406822B">
      <w:pPr>
        <w:adjustRightInd w:val="0"/>
        <w:snapToGrid w:val="0"/>
        <w:spacing w:line="360" w:lineRule="auto"/>
        <w:ind w:firstLine="420" w:firstLineChars="200"/>
        <w:jc w:val="center"/>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投标人（</w:t>
      </w:r>
      <w:r>
        <w:rPr>
          <w:rStyle w:val="44"/>
          <w:rFonts w:hint="eastAsia" w:ascii="宋体" w:hAnsi="宋体" w:eastAsia="宋体" w:cs="宋体"/>
          <w:b w:val="0"/>
          <w:bCs w:val="0"/>
          <w:color w:val="auto"/>
          <w:sz w:val="21"/>
          <w:szCs w:val="21"/>
          <w:highlight w:val="none"/>
          <w:lang w:eastAsia="zh-CN"/>
        </w:rPr>
        <w:t>投标单位名称</w:t>
      </w:r>
      <w:r>
        <w:rPr>
          <w:rFonts w:hint="eastAsia" w:ascii="宋体" w:hAnsi="宋体" w:eastAsia="宋体" w:cs="宋体"/>
          <w:b w:val="0"/>
          <w:bCs w:val="0"/>
          <w:color w:val="auto"/>
          <w:sz w:val="21"/>
          <w:szCs w:val="21"/>
          <w:highlight w:val="none"/>
        </w:rPr>
        <w:t>）：___________（电子签章）</w:t>
      </w:r>
    </w:p>
    <w:p w14:paraId="197DCC0B">
      <w:pPr>
        <w:spacing w:line="480" w:lineRule="exact"/>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法定代表人</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其委托代理人：_________（电子签章或签字）</w:t>
      </w:r>
    </w:p>
    <w:p w14:paraId="2C92107C">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49C357E8">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_____年___月___日</w:t>
      </w:r>
    </w:p>
    <w:p w14:paraId="49D9C00D">
      <w:pPr>
        <w:spacing w:line="300" w:lineRule="auto"/>
        <w:ind w:firstLine="490"/>
        <w:rPr>
          <w:rFonts w:hint="eastAsia" w:ascii="宋体" w:hAnsi="宋体" w:eastAsia="宋体" w:cs="宋体"/>
          <w:b w:val="0"/>
          <w:bCs w:val="0"/>
          <w:color w:val="auto"/>
          <w:sz w:val="21"/>
          <w:szCs w:val="21"/>
          <w:highlight w:val="none"/>
        </w:rPr>
      </w:pPr>
    </w:p>
    <w:p w14:paraId="3163DA0E">
      <w:pPr>
        <w:pStyle w:val="10"/>
        <w:rPr>
          <w:rFonts w:hint="eastAsia" w:ascii="宋体" w:hAnsi="宋体" w:eastAsia="宋体" w:cs="宋体"/>
          <w:b w:val="0"/>
          <w:bCs w:val="0"/>
          <w:color w:val="auto"/>
          <w:sz w:val="21"/>
          <w:szCs w:val="21"/>
          <w:highlight w:val="none"/>
        </w:rPr>
      </w:pPr>
    </w:p>
    <w:p w14:paraId="6C085A71">
      <w:pPr>
        <w:pStyle w:val="21"/>
        <w:rPr>
          <w:rFonts w:hint="eastAsia" w:ascii="宋体" w:hAnsi="宋体" w:eastAsia="宋体" w:cs="宋体"/>
          <w:b w:val="0"/>
          <w:bCs w:val="0"/>
          <w:color w:val="auto"/>
          <w:sz w:val="21"/>
          <w:szCs w:val="21"/>
          <w:highlight w:val="none"/>
        </w:rPr>
      </w:pPr>
    </w:p>
    <w:p w14:paraId="7C85F589">
      <w:pPr>
        <w:rPr>
          <w:rFonts w:hint="eastAsia" w:ascii="宋体" w:hAnsi="宋体" w:eastAsia="宋体" w:cs="宋体"/>
          <w:b w:val="0"/>
          <w:bCs w:val="0"/>
          <w:color w:val="auto"/>
          <w:sz w:val="21"/>
          <w:szCs w:val="21"/>
          <w:highlight w:val="none"/>
        </w:rPr>
      </w:pPr>
    </w:p>
    <w:p w14:paraId="689F2542">
      <w:pPr>
        <w:pStyle w:val="10"/>
        <w:rPr>
          <w:rFonts w:hint="eastAsia" w:ascii="宋体" w:hAnsi="宋体" w:eastAsia="宋体" w:cs="宋体"/>
          <w:b w:val="0"/>
          <w:bCs w:val="0"/>
          <w:color w:val="auto"/>
          <w:sz w:val="21"/>
          <w:szCs w:val="21"/>
          <w:highlight w:val="none"/>
        </w:rPr>
      </w:pPr>
    </w:p>
    <w:p w14:paraId="7898312F">
      <w:pPr>
        <w:pStyle w:val="21"/>
        <w:rPr>
          <w:rFonts w:hint="eastAsia" w:ascii="宋体" w:hAnsi="宋体" w:eastAsia="宋体" w:cs="宋体"/>
          <w:b w:val="0"/>
          <w:bCs w:val="0"/>
          <w:color w:val="auto"/>
          <w:sz w:val="21"/>
          <w:szCs w:val="21"/>
          <w:highlight w:val="none"/>
        </w:rPr>
      </w:pPr>
    </w:p>
    <w:p w14:paraId="7B140D22">
      <w:pPr>
        <w:rPr>
          <w:rFonts w:hint="eastAsia" w:ascii="宋体" w:hAnsi="宋体" w:eastAsia="宋体" w:cs="宋体"/>
          <w:b w:val="0"/>
          <w:bCs w:val="0"/>
          <w:color w:val="auto"/>
          <w:sz w:val="21"/>
          <w:szCs w:val="21"/>
          <w:highlight w:val="none"/>
        </w:rPr>
      </w:pPr>
    </w:p>
    <w:p w14:paraId="51474E61">
      <w:pPr>
        <w:rPr>
          <w:rFonts w:hint="eastAsia" w:ascii="宋体" w:hAnsi="宋体" w:eastAsia="宋体" w:cs="宋体"/>
          <w:b w:val="0"/>
          <w:bCs w:val="0"/>
          <w:color w:val="auto"/>
          <w:sz w:val="21"/>
          <w:szCs w:val="21"/>
          <w:highlight w:val="none"/>
        </w:rPr>
      </w:pPr>
      <w:bookmarkStart w:id="1003" w:name="_Toc25647_WPSOffice_Level1"/>
      <w:bookmarkStart w:id="1004" w:name="_Toc14411"/>
      <w:bookmarkStart w:id="1005" w:name="_Toc5230"/>
      <w:bookmarkStart w:id="1006" w:name="_Toc26160_WPSOffice_Level1"/>
      <w:bookmarkStart w:id="1007" w:name="_Toc21073"/>
      <w:r>
        <w:rPr>
          <w:rFonts w:hint="eastAsia" w:ascii="宋体" w:hAnsi="宋体" w:eastAsia="宋体" w:cs="宋体"/>
          <w:b w:val="0"/>
          <w:bCs w:val="0"/>
          <w:color w:val="auto"/>
          <w:sz w:val="21"/>
          <w:szCs w:val="21"/>
          <w:highlight w:val="none"/>
        </w:rPr>
        <w:br w:type="page"/>
      </w:r>
    </w:p>
    <w:p w14:paraId="24A758DD">
      <w:pPr>
        <w:pStyle w:val="45"/>
        <w:numPr>
          <w:ilvl w:val="0"/>
          <w:numId w:val="0"/>
        </w:numPr>
        <w:snapToGrid w:val="0"/>
        <w:spacing w:before="120" w:beforeLines="50" w:after="240" w:afterLines="100" w:line="360" w:lineRule="auto"/>
        <w:jc w:val="center"/>
        <w:outlineLvl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二、投标函及投标函附录</w:t>
      </w:r>
      <w:bookmarkEnd w:id="1003"/>
      <w:bookmarkEnd w:id="1004"/>
      <w:bookmarkEnd w:id="1005"/>
      <w:bookmarkEnd w:id="1006"/>
      <w:bookmarkEnd w:id="1007"/>
    </w:p>
    <w:p w14:paraId="79F1E8EF">
      <w:pPr>
        <w:pStyle w:val="46"/>
        <w:numPr>
          <w:ilvl w:val="2"/>
          <w:numId w:val="0"/>
        </w:numPr>
        <w:snapToGrid w:val="0"/>
        <w:spacing w:after="120" w:afterLines="50" w:line="360" w:lineRule="auto"/>
        <w:ind w:left="1" w:leftChars="0"/>
        <w:jc w:val="center"/>
        <w:outlineLvl w:val="0"/>
        <w:rPr>
          <w:rFonts w:hint="eastAsia" w:ascii="宋体" w:hAnsi="宋体" w:eastAsia="宋体" w:cs="宋体"/>
          <w:b w:val="0"/>
          <w:bCs w:val="0"/>
          <w:color w:val="auto"/>
          <w:sz w:val="21"/>
          <w:szCs w:val="21"/>
          <w:highlight w:val="none"/>
        </w:rPr>
      </w:pPr>
      <w:bookmarkStart w:id="1008" w:name="_Toc19064_WPSOffice_Level2"/>
      <w:bookmarkStart w:id="1009" w:name="_Toc12298"/>
      <w:bookmarkStart w:id="1010" w:name="_Toc318965967"/>
      <w:bookmarkStart w:id="1011" w:name="_Toc28917"/>
      <w:bookmarkStart w:id="1012" w:name="_Toc20408"/>
      <w:bookmarkStart w:id="1013" w:name="_Toc4388_WPSOffice_Level2"/>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一</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投标函</w:t>
      </w:r>
      <w:bookmarkEnd w:id="1008"/>
      <w:bookmarkEnd w:id="1009"/>
      <w:bookmarkEnd w:id="1010"/>
      <w:bookmarkEnd w:id="1011"/>
      <w:bookmarkEnd w:id="1012"/>
      <w:bookmarkEnd w:id="1013"/>
    </w:p>
    <w:p w14:paraId="25EC0A70">
      <w:pPr>
        <w:spacing w:line="4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（招标人名称）：</w:t>
      </w:r>
    </w:p>
    <w:p w14:paraId="0F65616C">
      <w:pPr>
        <w:spacing w:line="440" w:lineRule="exact"/>
        <w:ind w:left="105" w:leftChars="50" w:firstLine="315" w:firstLineChars="1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1．我方已仔细研究了</w:t>
      </w:r>
      <w:r>
        <w:rPr>
          <w:rStyle w:val="44"/>
          <w:rFonts w:hint="eastAsia" w:ascii="宋体" w:hAnsi="宋体" w:eastAsia="宋体" w:cs="宋体"/>
          <w:b w:val="0"/>
          <w:bCs w:val="0"/>
          <w:color w:val="auto"/>
          <w:sz w:val="21"/>
          <w:szCs w:val="21"/>
          <w:highlight w:val="none"/>
          <w:u w:val="single"/>
        </w:rPr>
        <w:t xml:space="preserve">   （</w:t>
      </w:r>
      <w:r>
        <w:rPr>
          <w:rStyle w:val="44"/>
          <w:rFonts w:hint="eastAsia" w:ascii="宋体" w:hAnsi="宋体" w:cs="宋体"/>
          <w:b w:val="0"/>
          <w:bCs w:val="0"/>
          <w:color w:val="auto"/>
          <w:sz w:val="21"/>
          <w:szCs w:val="21"/>
          <w:highlight w:val="none"/>
          <w:u w:val="single"/>
          <w:lang w:val="en-US" w:eastAsia="zh-CN"/>
        </w:rPr>
        <w:t>项目名称</w:t>
      </w:r>
      <w:r>
        <w:rPr>
          <w:rStyle w:val="44"/>
          <w:rFonts w:hint="eastAsia" w:ascii="宋体" w:hAnsi="宋体" w:eastAsia="宋体" w:cs="宋体"/>
          <w:b w:val="0"/>
          <w:bCs w:val="0"/>
          <w:color w:val="auto"/>
          <w:sz w:val="21"/>
          <w:szCs w:val="21"/>
          <w:highlight w:val="none"/>
          <w:u w:val="single"/>
        </w:rPr>
        <w:t xml:space="preserve">）  </w:t>
      </w:r>
      <w:r>
        <w:rPr>
          <w:rStyle w:val="44"/>
          <w:rFonts w:hint="eastAsia" w:ascii="宋体" w:hAnsi="宋体" w:cs="宋体"/>
          <w:b w:val="0"/>
          <w:bCs w:val="0"/>
          <w:color w:val="auto"/>
          <w:sz w:val="21"/>
          <w:szCs w:val="21"/>
          <w:highlight w:val="none"/>
          <w:u w:val="single"/>
          <w:lang w:eastAsia="zh-CN"/>
        </w:rPr>
        <w:t>招标</w:t>
      </w:r>
      <w:r>
        <w:rPr>
          <w:rFonts w:hint="eastAsia" w:ascii="宋体" w:hAnsi="宋体" w:eastAsia="宋体" w:cs="宋体"/>
          <w:b w:val="0"/>
          <w:bCs w:val="0"/>
          <w:color w:val="auto"/>
          <w:sz w:val="21"/>
          <w:szCs w:val="21"/>
          <w:highlight w:val="none"/>
        </w:rPr>
        <w:t>文件的全部内容，愿意以</w:t>
      </w:r>
      <w:r>
        <w:rPr>
          <w:rFonts w:hint="eastAsia" w:ascii="宋体" w:hAnsi="宋体" w:eastAsia="宋体" w:cs="宋体"/>
          <w:b w:val="0"/>
          <w:bCs w:val="0"/>
          <w:color w:val="auto"/>
          <w:sz w:val="21"/>
          <w:szCs w:val="21"/>
          <w:highlight w:val="none"/>
          <w:lang w:val="en-US" w:eastAsia="zh-CN"/>
        </w:rPr>
        <w:t>投标报价：</w:t>
      </w:r>
      <w:r>
        <w:rPr>
          <w:rFonts w:hint="eastAsia" w:ascii="宋体" w:hAnsi="宋体" w:eastAsia="宋体" w:cs="宋体"/>
          <w:b w:val="0"/>
          <w:bCs w:val="0"/>
          <w:color w:val="auto"/>
          <w:sz w:val="21"/>
          <w:szCs w:val="21"/>
          <w:highlight w:val="none"/>
          <w:u w:val="single"/>
          <w:lang w:eastAsia="zh-CN"/>
        </w:rPr>
        <w:t>￥</w:t>
      </w:r>
      <w:r>
        <w:rPr>
          <w:rFonts w:hint="eastAsia" w:ascii="宋体" w:hAnsi="宋体" w:eastAsia="宋体" w:cs="宋体"/>
          <w:b w:val="0"/>
          <w:bCs w:val="0"/>
          <w:color w:val="auto"/>
          <w:sz w:val="21"/>
          <w:szCs w:val="21"/>
          <w:highlight w:val="none"/>
          <w:u w:val="single"/>
          <w:lang w:val="en-US" w:eastAsia="zh-CN"/>
        </w:rPr>
        <w:t xml:space="preserve">    （大写：           ）</w:t>
      </w:r>
      <w:r>
        <w:rPr>
          <w:rFonts w:hint="eastAsia" w:ascii="宋体" w:hAnsi="宋体" w:eastAsia="宋体" w:cs="宋体"/>
          <w:b w:val="0"/>
          <w:bCs w:val="0"/>
          <w:color w:val="auto"/>
          <w:sz w:val="21"/>
          <w:szCs w:val="21"/>
          <w:highlight w:val="none"/>
        </w:rPr>
        <w:t>，工期</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日历天，按合同约定进行施工总承包工程，修补工程中的任何缺陷，工程质量达到</w:t>
      </w:r>
      <w:r>
        <w:rPr>
          <w:rFonts w:hint="eastAsia"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w:t>
      </w:r>
    </w:p>
    <w:p w14:paraId="58E6A05D">
      <w:pPr>
        <w:spacing w:line="440" w:lineRule="exact"/>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2．我方承诺在招标文件规定的投标有效期内不修改、撤销投标文件。</w:t>
      </w:r>
    </w:p>
    <w:p w14:paraId="5ADC71BE">
      <w:pPr>
        <w:spacing w:line="440" w:lineRule="exact"/>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3．随同本投标函提交投标保证金一份，金额为人民币</w:t>
      </w:r>
      <w:r>
        <w:rPr>
          <w:rFonts w:hint="eastAsia" w:ascii="宋体" w:hAnsi="宋体" w:eastAsia="宋体" w:cs="宋体"/>
          <w:b w:val="0"/>
          <w:bCs w:val="0"/>
          <w:color w:val="auto"/>
          <w:sz w:val="21"/>
          <w:szCs w:val="21"/>
          <w:highlight w:val="none"/>
          <w:u w:val="single"/>
          <w:lang w:eastAsia="zh-CN"/>
        </w:rPr>
        <w:t>￥</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w:t>
      </w:r>
      <w:r>
        <w:rPr>
          <w:rFonts w:hint="eastAsia" w:ascii="宋体" w:hAnsi="宋体" w:eastAsia="宋体" w:cs="宋体"/>
          <w:b w:val="0"/>
          <w:bCs w:val="0"/>
          <w:color w:val="auto"/>
          <w:sz w:val="21"/>
          <w:szCs w:val="21"/>
          <w:highlight w:val="none"/>
          <w:u w:val="single"/>
          <w:lang w:val="en-US" w:eastAsia="zh-CN"/>
        </w:rPr>
        <w:t xml:space="preserve">大写：     </w:t>
      </w:r>
      <w:r>
        <w:rPr>
          <w:rFonts w:hint="eastAsia" w:ascii="宋体" w:hAnsi="宋体" w:cs="宋体"/>
          <w:b w:val="0"/>
          <w:bCs w:val="0"/>
          <w:color w:val="auto"/>
          <w:sz w:val="21"/>
          <w:szCs w:val="21"/>
          <w:highlight w:val="none"/>
          <w:u w:val="single"/>
          <w:lang w:val="en-US" w:eastAsia="zh-CN"/>
        </w:rPr>
        <w:t>）</w:t>
      </w:r>
      <w:r>
        <w:rPr>
          <w:rFonts w:hint="eastAsia" w:ascii="宋体" w:hAnsi="宋体" w:eastAsia="宋体" w:cs="宋体"/>
          <w:b w:val="0"/>
          <w:bCs w:val="0"/>
          <w:color w:val="auto"/>
          <w:sz w:val="21"/>
          <w:szCs w:val="21"/>
          <w:highlight w:val="none"/>
        </w:rPr>
        <w:t>。</w:t>
      </w:r>
    </w:p>
    <w:p w14:paraId="08DF2B06">
      <w:pPr>
        <w:spacing w:line="440" w:lineRule="exact"/>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4．如我方中标：</w:t>
      </w:r>
    </w:p>
    <w:p w14:paraId="33E686F8">
      <w:pPr>
        <w:spacing w:line="440" w:lineRule="exact"/>
        <w:ind w:firstLine="718" w:firstLineChars="34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（1）我方承诺在收到中标通知书后，在中标通知书规定的期限内与你方签订合同。</w:t>
      </w:r>
    </w:p>
    <w:p w14:paraId="6E52ED54">
      <w:pPr>
        <w:spacing w:line="440" w:lineRule="exact"/>
        <w:ind w:firstLine="718" w:firstLineChars="34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（2）随同本投标函递交的投标函附录属于合同文件的组成部分。</w:t>
      </w:r>
    </w:p>
    <w:p w14:paraId="3FD73607">
      <w:pPr>
        <w:spacing w:line="440" w:lineRule="exact"/>
        <w:ind w:firstLine="718" w:firstLineChars="34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（3）我方承诺按照招标文件规定向你方递交履约担保。</w:t>
      </w:r>
    </w:p>
    <w:p w14:paraId="6A373A74">
      <w:pPr>
        <w:spacing w:line="440" w:lineRule="exact"/>
        <w:ind w:firstLine="718" w:firstLineChars="34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（4）我方承诺在合同约定的期限内保质保量完成并移交全部合同工程，否则按我方违约承担一切责任。</w:t>
      </w:r>
    </w:p>
    <w:p w14:paraId="329A1762">
      <w:pPr>
        <w:spacing w:line="440" w:lineRule="exact"/>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5．我方在此声明，所递交的投标文件及有关资料内容完整、真实和准确，且不存在第二章“投标人须知”第1.4.</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项规定的任何一种情形。</w:t>
      </w:r>
    </w:p>
    <w:p w14:paraId="496A5588">
      <w:pPr>
        <w:spacing w:line="440" w:lineRule="exact"/>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6．（其他补充说明）。</w:t>
      </w:r>
    </w:p>
    <w:p w14:paraId="4A2C17AC">
      <w:pPr>
        <w:spacing w:line="440" w:lineRule="exact"/>
        <w:ind w:firstLine="3675" w:firstLineChars="17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投标人（</w:t>
      </w:r>
      <w:r>
        <w:rPr>
          <w:rStyle w:val="44"/>
          <w:rFonts w:hint="eastAsia" w:ascii="宋体" w:hAnsi="宋体" w:eastAsia="宋体" w:cs="宋体"/>
          <w:b w:val="0"/>
          <w:bCs w:val="0"/>
          <w:color w:val="auto"/>
          <w:sz w:val="21"/>
          <w:szCs w:val="21"/>
          <w:highlight w:val="none"/>
          <w:lang w:eastAsia="zh-CN"/>
        </w:rPr>
        <w:t>投标单位名称</w:t>
      </w:r>
      <w:r>
        <w:rPr>
          <w:rFonts w:hint="eastAsia" w:ascii="宋体" w:hAnsi="宋体" w:eastAsia="宋体" w:cs="宋体"/>
          <w:b w:val="0"/>
          <w:bCs w:val="0"/>
          <w:color w:val="auto"/>
          <w:sz w:val="21"/>
          <w:szCs w:val="21"/>
          <w:highlight w:val="none"/>
        </w:rPr>
        <w:t>）：（电子签章）</w:t>
      </w:r>
    </w:p>
    <w:p w14:paraId="293F9565">
      <w:pPr>
        <w:spacing w:line="440" w:lineRule="exact"/>
        <w:ind w:firstLine="3570" w:firstLineChars="17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法定代表人或其委托代理人：（电子签章或签字）</w:t>
      </w:r>
    </w:p>
    <w:p w14:paraId="2EB77D4A">
      <w:pPr>
        <w:spacing w:line="440" w:lineRule="exact"/>
        <w:ind w:firstLine="3675" w:firstLineChars="17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p>
    <w:p w14:paraId="0724DBEA">
      <w:pPr>
        <w:spacing w:line="440" w:lineRule="exact"/>
        <w:ind w:firstLine="3675" w:firstLineChars="17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电话：</w:t>
      </w:r>
    </w:p>
    <w:p w14:paraId="33166574">
      <w:pPr>
        <w:spacing w:line="440" w:lineRule="exact"/>
        <w:ind w:firstLine="3675" w:firstLineChars="17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传真：</w:t>
      </w:r>
    </w:p>
    <w:p w14:paraId="08476C20">
      <w:pPr>
        <w:spacing w:line="440" w:lineRule="exact"/>
        <w:ind w:firstLine="3675" w:firstLineChars="17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邮政编码：</w:t>
      </w:r>
    </w:p>
    <w:p w14:paraId="7AC12F55">
      <w:pPr>
        <w:spacing w:line="440" w:lineRule="exact"/>
        <w:ind w:firstLine="4725" w:firstLineChars="22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年   月   日</w:t>
      </w:r>
    </w:p>
    <w:p w14:paraId="6116F131">
      <w:pPr>
        <w:spacing w:line="440" w:lineRule="exact"/>
        <w:ind w:firstLine="4725" w:firstLineChars="2250"/>
        <w:rPr>
          <w:rFonts w:hint="eastAsia" w:ascii="宋体" w:hAnsi="宋体" w:eastAsia="宋体" w:cs="宋体"/>
          <w:b w:val="0"/>
          <w:bCs w:val="0"/>
          <w:color w:val="auto"/>
          <w:sz w:val="21"/>
          <w:szCs w:val="21"/>
          <w:highlight w:val="none"/>
        </w:rPr>
      </w:pPr>
    </w:p>
    <w:p w14:paraId="5CE047AC">
      <w:pPr>
        <w:pStyle w:val="46"/>
        <w:numPr>
          <w:ilvl w:val="2"/>
          <w:numId w:val="0"/>
        </w:numPr>
        <w:snapToGrid w:val="0"/>
        <w:spacing w:after="120" w:afterLines="50" w:line="360" w:lineRule="auto"/>
        <w:ind w:left="1" w:leftChars="0"/>
        <w:jc w:val="center"/>
        <w:outlineLvl w:val="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type="page"/>
      </w:r>
      <w:bookmarkStart w:id="1014" w:name="_Toc7732_WPSOffice_Level2"/>
      <w:bookmarkStart w:id="1015" w:name="_Toc318965968"/>
      <w:bookmarkStart w:id="1016" w:name="_Toc29910_WPSOffice_Level2"/>
      <w:bookmarkStart w:id="1017" w:name="_Toc28034"/>
      <w:bookmarkStart w:id="1018" w:name="_Toc25074"/>
      <w:bookmarkStart w:id="1019" w:name="_Toc25837"/>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二</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投标函附录</w:t>
      </w:r>
      <w:bookmarkEnd w:id="1014"/>
      <w:bookmarkEnd w:id="1015"/>
      <w:bookmarkEnd w:id="1016"/>
      <w:bookmarkEnd w:id="1017"/>
      <w:bookmarkEnd w:id="1018"/>
      <w:bookmarkEnd w:id="1019"/>
    </w:p>
    <w:tbl>
      <w:tblPr>
        <w:tblStyle w:val="28"/>
        <w:tblW w:w="89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93"/>
        <w:gridCol w:w="4121"/>
        <w:gridCol w:w="1486"/>
      </w:tblGrid>
      <w:tr w14:paraId="282DDD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36A26AF2">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序号</w:t>
            </w:r>
          </w:p>
        </w:tc>
        <w:tc>
          <w:tcPr>
            <w:tcW w:w="2593" w:type="dxa"/>
            <w:vAlign w:val="center"/>
          </w:tcPr>
          <w:p w14:paraId="51730265">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条款名称</w:t>
            </w:r>
          </w:p>
        </w:tc>
        <w:tc>
          <w:tcPr>
            <w:tcW w:w="4121" w:type="dxa"/>
            <w:vAlign w:val="center"/>
          </w:tcPr>
          <w:p w14:paraId="35FC490A">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约定内容</w:t>
            </w:r>
          </w:p>
        </w:tc>
        <w:tc>
          <w:tcPr>
            <w:tcW w:w="1486" w:type="dxa"/>
            <w:vAlign w:val="center"/>
          </w:tcPr>
          <w:p w14:paraId="558FE601">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p>
        </w:tc>
      </w:tr>
      <w:tr w14:paraId="4EADF0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67244E46">
            <w:pPr>
              <w:adjustRightInd w:val="0"/>
              <w:snapToGrid w:val="0"/>
              <w:jc w:val="center"/>
              <w:rPr>
                <w:rFonts w:hint="eastAsia" w:ascii="宋体" w:hAnsi="宋体" w:eastAsia="宋体" w:cs="宋体"/>
                <w:b w:val="0"/>
                <w:bCs w:val="0"/>
                <w:color w:val="auto"/>
                <w:sz w:val="21"/>
                <w:szCs w:val="21"/>
                <w:highlight w:val="none"/>
                <w:lang w:val="zh-TW"/>
              </w:rPr>
            </w:pPr>
            <w:r>
              <w:rPr>
                <w:rFonts w:hint="eastAsia" w:ascii="宋体" w:hAnsi="宋体" w:eastAsia="宋体" w:cs="宋体"/>
                <w:b w:val="0"/>
                <w:bCs w:val="0"/>
                <w:color w:val="auto"/>
                <w:sz w:val="21"/>
                <w:szCs w:val="21"/>
                <w:highlight w:val="none"/>
                <w:lang w:val="zh-TW"/>
              </w:rPr>
              <w:t>1</w:t>
            </w:r>
          </w:p>
        </w:tc>
        <w:tc>
          <w:tcPr>
            <w:tcW w:w="2593" w:type="dxa"/>
            <w:vAlign w:val="center"/>
          </w:tcPr>
          <w:p w14:paraId="1EC43E31">
            <w:pPr>
              <w:adjustRightInd w:val="0"/>
              <w:snapToGrid w:val="0"/>
              <w:jc w:val="center"/>
              <w:rPr>
                <w:rFonts w:hint="eastAsia" w:ascii="宋体" w:hAnsi="宋体" w:eastAsia="宋体" w:cs="宋体"/>
                <w:b w:val="0"/>
                <w:bCs w:val="0"/>
                <w:color w:val="auto"/>
                <w:sz w:val="21"/>
                <w:szCs w:val="21"/>
                <w:highlight w:val="none"/>
                <w:lang w:val="zh-TW"/>
              </w:rPr>
            </w:pPr>
            <w:r>
              <w:rPr>
                <w:rFonts w:hint="eastAsia" w:ascii="宋体" w:hAnsi="宋体" w:eastAsia="宋体" w:cs="宋体"/>
                <w:b w:val="0"/>
                <w:bCs w:val="0"/>
                <w:color w:val="auto"/>
                <w:sz w:val="21"/>
                <w:szCs w:val="21"/>
                <w:highlight w:val="none"/>
                <w:lang w:val="en-US" w:eastAsia="zh-CN"/>
              </w:rPr>
              <w:t>项目</w:t>
            </w:r>
            <w:r>
              <w:rPr>
                <w:rFonts w:hint="eastAsia" w:ascii="宋体" w:hAnsi="宋体" w:eastAsia="宋体" w:cs="宋体"/>
                <w:b w:val="0"/>
                <w:bCs w:val="0"/>
                <w:color w:val="auto"/>
                <w:sz w:val="21"/>
                <w:szCs w:val="21"/>
                <w:highlight w:val="none"/>
                <w:lang w:val="zh-TW"/>
              </w:rPr>
              <w:t>负责人</w:t>
            </w:r>
            <w:r>
              <w:rPr>
                <w:rFonts w:hint="eastAsia" w:ascii="宋体" w:hAnsi="宋体" w:eastAsia="宋体" w:cs="宋体"/>
                <w:b w:val="0"/>
                <w:bCs w:val="0"/>
                <w:color w:val="auto"/>
                <w:sz w:val="21"/>
                <w:szCs w:val="21"/>
                <w:highlight w:val="none"/>
              </w:rPr>
              <w:t>（项目经理）</w:t>
            </w:r>
          </w:p>
        </w:tc>
        <w:tc>
          <w:tcPr>
            <w:tcW w:w="4121" w:type="dxa"/>
            <w:vAlign w:val="center"/>
          </w:tcPr>
          <w:p w14:paraId="18E925E7">
            <w:pPr>
              <w:numPr>
                <w:ilvl w:val="0"/>
                <w:numId w:val="0"/>
              </w:numPr>
              <w:snapToGrid w:val="0"/>
              <w:ind w:leftChars="0"/>
              <w:jc w:val="left"/>
              <w:rPr>
                <w:rFonts w:hint="eastAsia" w:ascii="宋体" w:hAnsi="宋体" w:eastAsia="宋体" w:cs="宋体"/>
                <w:b w:val="0"/>
                <w:bCs w:val="0"/>
                <w:color w:val="auto"/>
                <w:sz w:val="21"/>
                <w:szCs w:val="21"/>
                <w:highlight w:val="none"/>
              </w:rPr>
            </w:pPr>
          </w:p>
        </w:tc>
        <w:tc>
          <w:tcPr>
            <w:tcW w:w="1486" w:type="dxa"/>
            <w:vAlign w:val="center"/>
          </w:tcPr>
          <w:p w14:paraId="1FEB88B2">
            <w:pPr>
              <w:snapToGrid w:val="0"/>
              <w:jc w:val="center"/>
              <w:rPr>
                <w:rFonts w:hint="eastAsia" w:ascii="宋体" w:hAnsi="宋体" w:eastAsia="宋体" w:cs="宋体"/>
                <w:b w:val="0"/>
                <w:bCs w:val="0"/>
                <w:color w:val="auto"/>
                <w:sz w:val="21"/>
                <w:szCs w:val="21"/>
                <w:highlight w:val="none"/>
              </w:rPr>
            </w:pPr>
          </w:p>
        </w:tc>
      </w:tr>
      <w:tr w14:paraId="5E91D2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5C98BBEF">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w:t>
            </w:r>
          </w:p>
        </w:tc>
        <w:tc>
          <w:tcPr>
            <w:tcW w:w="2593" w:type="dxa"/>
            <w:vAlign w:val="center"/>
          </w:tcPr>
          <w:p w14:paraId="35ABD5BA">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工期</w:t>
            </w:r>
          </w:p>
        </w:tc>
        <w:tc>
          <w:tcPr>
            <w:tcW w:w="4121" w:type="dxa"/>
            <w:vAlign w:val="center"/>
          </w:tcPr>
          <w:p w14:paraId="03E1318C">
            <w:pPr>
              <w:snapToGrid w:val="0"/>
              <w:ind w:firstLine="1680" w:firstLineChars="8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日历天</w:t>
            </w:r>
          </w:p>
        </w:tc>
        <w:tc>
          <w:tcPr>
            <w:tcW w:w="1486" w:type="dxa"/>
            <w:vAlign w:val="center"/>
          </w:tcPr>
          <w:p w14:paraId="72980842">
            <w:pPr>
              <w:snapToGrid w:val="0"/>
              <w:ind w:firstLine="718" w:firstLineChars="342"/>
              <w:jc w:val="center"/>
              <w:rPr>
                <w:rFonts w:hint="eastAsia" w:ascii="宋体" w:hAnsi="宋体" w:eastAsia="宋体" w:cs="宋体"/>
                <w:b w:val="0"/>
                <w:bCs w:val="0"/>
                <w:color w:val="auto"/>
                <w:sz w:val="21"/>
                <w:szCs w:val="21"/>
                <w:highlight w:val="none"/>
              </w:rPr>
            </w:pPr>
          </w:p>
        </w:tc>
      </w:tr>
      <w:tr w14:paraId="01B346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618F5F6B">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p>
        </w:tc>
        <w:tc>
          <w:tcPr>
            <w:tcW w:w="2593" w:type="dxa"/>
            <w:vAlign w:val="center"/>
          </w:tcPr>
          <w:p w14:paraId="3DC74844">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缺陷责任期</w:t>
            </w:r>
          </w:p>
        </w:tc>
        <w:tc>
          <w:tcPr>
            <w:tcW w:w="4121" w:type="dxa"/>
            <w:vAlign w:val="center"/>
          </w:tcPr>
          <w:p w14:paraId="02C51DAC">
            <w:pPr>
              <w:snapToGrid w:val="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缺陷责任期自实际竣工日期起计算24个月</w:t>
            </w:r>
          </w:p>
        </w:tc>
        <w:tc>
          <w:tcPr>
            <w:tcW w:w="1486" w:type="dxa"/>
            <w:vAlign w:val="center"/>
          </w:tcPr>
          <w:p w14:paraId="7C674A73">
            <w:pPr>
              <w:snapToGrid w:val="0"/>
              <w:jc w:val="center"/>
              <w:rPr>
                <w:rFonts w:hint="eastAsia" w:ascii="宋体" w:hAnsi="宋体" w:eastAsia="宋体" w:cs="宋体"/>
                <w:b w:val="0"/>
                <w:bCs w:val="0"/>
                <w:color w:val="auto"/>
                <w:sz w:val="21"/>
                <w:szCs w:val="21"/>
                <w:highlight w:val="none"/>
              </w:rPr>
            </w:pPr>
          </w:p>
        </w:tc>
      </w:tr>
      <w:tr w14:paraId="7AF24E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1AEE78BF">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w:t>
            </w:r>
          </w:p>
        </w:tc>
        <w:tc>
          <w:tcPr>
            <w:tcW w:w="2593" w:type="dxa"/>
            <w:vAlign w:val="center"/>
          </w:tcPr>
          <w:p w14:paraId="3CE90A6C">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TW" w:eastAsia="zh-TW"/>
              </w:rPr>
              <w:t>承包人履约担保金额</w:t>
            </w:r>
          </w:p>
        </w:tc>
        <w:tc>
          <w:tcPr>
            <w:tcW w:w="4121" w:type="dxa"/>
            <w:vAlign w:val="center"/>
          </w:tcPr>
          <w:p w14:paraId="375A8248">
            <w:pPr>
              <w:snapToGrid w:val="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按照签约合同价的5%计算收取</w:t>
            </w:r>
          </w:p>
        </w:tc>
        <w:tc>
          <w:tcPr>
            <w:tcW w:w="1486" w:type="dxa"/>
            <w:vAlign w:val="center"/>
          </w:tcPr>
          <w:p w14:paraId="7178D5ED">
            <w:pPr>
              <w:snapToGrid w:val="0"/>
              <w:jc w:val="center"/>
              <w:rPr>
                <w:rFonts w:hint="eastAsia" w:ascii="宋体" w:hAnsi="宋体" w:eastAsia="宋体" w:cs="宋体"/>
                <w:b w:val="0"/>
                <w:bCs w:val="0"/>
                <w:color w:val="auto"/>
                <w:sz w:val="21"/>
                <w:szCs w:val="21"/>
                <w:highlight w:val="none"/>
              </w:rPr>
            </w:pPr>
          </w:p>
        </w:tc>
      </w:tr>
      <w:tr w14:paraId="09E417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69559A51">
            <w:pPr>
              <w:snapToGrid w:val="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w:t>
            </w:r>
          </w:p>
        </w:tc>
        <w:tc>
          <w:tcPr>
            <w:tcW w:w="2593" w:type="dxa"/>
            <w:vAlign w:val="center"/>
          </w:tcPr>
          <w:p w14:paraId="06280529">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TW" w:eastAsia="zh-TW"/>
              </w:rPr>
              <w:t>质量标准</w:t>
            </w:r>
          </w:p>
        </w:tc>
        <w:tc>
          <w:tcPr>
            <w:tcW w:w="4121" w:type="dxa"/>
            <w:vAlign w:val="center"/>
          </w:tcPr>
          <w:p w14:paraId="45792AA8">
            <w:pPr>
              <w:snapToGrid w:val="0"/>
              <w:jc w:val="left"/>
              <w:rPr>
                <w:rFonts w:hint="eastAsia" w:ascii="宋体" w:hAnsi="宋体" w:eastAsia="宋体" w:cs="宋体"/>
                <w:b w:val="0"/>
                <w:bCs w:val="0"/>
                <w:color w:val="auto"/>
                <w:sz w:val="21"/>
                <w:szCs w:val="21"/>
                <w:highlight w:val="none"/>
              </w:rPr>
            </w:pPr>
          </w:p>
        </w:tc>
        <w:tc>
          <w:tcPr>
            <w:tcW w:w="1486" w:type="dxa"/>
            <w:vAlign w:val="center"/>
          </w:tcPr>
          <w:p w14:paraId="7A69F64F">
            <w:pPr>
              <w:snapToGrid w:val="0"/>
              <w:jc w:val="center"/>
              <w:rPr>
                <w:rFonts w:hint="eastAsia" w:ascii="宋体" w:hAnsi="宋体" w:eastAsia="宋体" w:cs="宋体"/>
                <w:b w:val="0"/>
                <w:bCs w:val="0"/>
                <w:color w:val="auto"/>
                <w:sz w:val="21"/>
                <w:szCs w:val="21"/>
                <w:highlight w:val="none"/>
              </w:rPr>
            </w:pPr>
          </w:p>
        </w:tc>
      </w:tr>
      <w:tr w14:paraId="3E8F7A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3F15DE1A">
            <w:pPr>
              <w:snapToGrid w:val="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6</w:t>
            </w:r>
          </w:p>
        </w:tc>
        <w:tc>
          <w:tcPr>
            <w:tcW w:w="2593" w:type="dxa"/>
            <w:vAlign w:val="center"/>
          </w:tcPr>
          <w:p w14:paraId="32685F6D">
            <w:pPr>
              <w:snapToGrid w:val="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投标有效期</w:t>
            </w:r>
          </w:p>
        </w:tc>
        <w:tc>
          <w:tcPr>
            <w:tcW w:w="4121" w:type="dxa"/>
            <w:vAlign w:val="center"/>
          </w:tcPr>
          <w:p w14:paraId="3868725C">
            <w:pPr>
              <w:snapToGrid w:val="0"/>
              <w:jc w:val="left"/>
              <w:rPr>
                <w:rFonts w:hint="eastAsia" w:ascii="宋体" w:hAnsi="宋体" w:eastAsia="宋体" w:cs="宋体"/>
                <w:b w:val="0"/>
                <w:bCs w:val="0"/>
                <w:color w:val="auto"/>
                <w:sz w:val="21"/>
                <w:szCs w:val="21"/>
                <w:highlight w:val="none"/>
              </w:rPr>
            </w:pPr>
          </w:p>
        </w:tc>
        <w:tc>
          <w:tcPr>
            <w:tcW w:w="1486" w:type="dxa"/>
            <w:vAlign w:val="center"/>
          </w:tcPr>
          <w:p w14:paraId="40027F13">
            <w:pPr>
              <w:snapToGrid w:val="0"/>
              <w:jc w:val="center"/>
              <w:rPr>
                <w:rFonts w:hint="eastAsia" w:ascii="宋体" w:hAnsi="宋体" w:eastAsia="宋体" w:cs="宋体"/>
                <w:b w:val="0"/>
                <w:bCs w:val="0"/>
                <w:color w:val="auto"/>
                <w:sz w:val="21"/>
                <w:szCs w:val="21"/>
                <w:highlight w:val="none"/>
              </w:rPr>
            </w:pPr>
          </w:p>
        </w:tc>
      </w:tr>
      <w:tr w14:paraId="044F76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4C71392A">
            <w:pPr>
              <w:snapToGrid w:val="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7</w:t>
            </w:r>
          </w:p>
        </w:tc>
        <w:tc>
          <w:tcPr>
            <w:tcW w:w="2593" w:type="dxa"/>
            <w:vAlign w:val="center"/>
          </w:tcPr>
          <w:p w14:paraId="38EA3679">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开工预付款金额</w:t>
            </w:r>
          </w:p>
        </w:tc>
        <w:tc>
          <w:tcPr>
            <w:tcW w:w="4121" w:type="dxa"/>
            <w:vAlign w:val="center"/>
          </w:tcPr>
          <w:p w14:paraId="053B4628">
            <w:pPr>
              <w:snapToGrid w:val="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无</w:t>
            </w:r>
          </w:p>
        </w:tc>
        <w:tc>
          <w:tcPr>
            <w:tcW w:w="1486" w:type="dxa"/>
            <w:vAlign w:val="center"/>
          </w:tcPr>
          <w:p w14:paraId="5A1C8D4B">
            <w:pPr>
              <w:snapToGrid w:val="0"/>
              <w:jc w:val="center"/>
              <w:rPr>
                <w:rFonts w:hint="eastAsia" w:ascii="宋体" w:hAnsi="宋体" w:eastAsia="宋体" w:cs="宋体"/>
                <w:b w:val="0"/>
                <w:bCs w:val="0"/>
                <w:color w:val="auto"/>
                <w:sz w:val="21"/>
                <w:szCs w:val="21"/>
                <w:highlight w:val="none"/>
              </w:rPr>
            </w:pPr>
          </w:p>
        </w:tc>
      </w:tr>
      <w:tr w14:paraId="236A5F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60" w:type="dxa"/>
            <w:vAlign w:val="center"/>
          </w:tcPr>
          <w:p w14:paraId="6B981E4E">
            <w:pPr>
              <w:snapToGrid w:val="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8</w:t>
            </w:r>
          </w:p>
        </w:tc>
        <w:tc>
          <w:tcPr>
            <w:tcW w:w="2593" w:type="dxa"/>
            <w:vAlign w:val="center"/>
          </w:tcPr>
          <w:p w14:paraId="6788977D">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保修期</w:t>
            </w:r>
          </w:p>
        </w:tc>
        <w:tc>
          <w:tcPr>
            <w:tcW w:w="4121" w:type="dxa"/>
            <w:vAlign w:val="center"/>
          </w:tcPr>
          <w:p w14:paraId="0B3ED774">
            <w:pPr>
              <w:snapToGrid w:val="0"/>
              <w:jc w:val="left"/>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按国家规定执行</w:t>
            </w:r>
          </w:p>
        </w:tc>
        <w:tc>
          <w:tcPr>
            <w:tcW w:w="1486" w:type="dxa"/>
            <w:vAlign w:val="center"/>
          </w:tcPr>
          <w:p w14:paraId="4D53FF15">
            <w:pPr>
              <w:snapToGrid w:val="0"/>
              <w:jc w:val="center"/>
              <w:rPr>
                <w:rFonts w:hint="eastAsia" w:ascii="宋体" w:hAnsi="宋体" w:eastAsia="宋体" w:cs="宋体"/>
                <w:b w:val="0"/>
                <w:bCs w:val="0"/>
                <w:color w:val="auto"/>
                <w:sz w:val="21"/>
                <w:szCs w:val="21"/>
                <w:highlight w:val="none"/>
              </w:rPr>
            </w:pPr>
          </w:p>
        </w:tc>
      </w:tr>
      <w:tr w14:paraId="634027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5F6CDACF">
            <w:pPr>
              <w:snapToGrid w:val="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9</w:t>
            </w:r>
          </w:p>
        </w:tc>
        <w:tc>
          <w:tcPr>
            <w:tcW w:w="2593" w:type="dxa"/>
            <w:vAlign w:val="center"/>
          </w:tcPr>
          <w:p w14:paraId="016FB690">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价格调整的差额计算</w:t>
            </w:r>
          </w:p>
        </w:tc>
        <w:tc>
          <w:tcPr>
            <w:tcW w:w="4121" w:type="dxa"/>
            <w:vAlign w:val="center"/>
          </w:tcPr>
          <w:p w14:paraId="62B0333B">
            <w:pPr>
              <w:snapToGrid w:val="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合同期内不调价差</w:t>
            </w:r>
          </w:p>
        </w:tc>
        <w:tc>
          <w:tcPr>
            <w:tcW w:w="1486" w:type="dxa"/>
            <w:vAlign w:val="center"/>
          </w:tcPr>
          <w:p w14:paraId="5DD96FF9">
            <w:pPr>
              <w:snapToGrid w:val="0"/>
              <w:jc w:val="center"/>
              <w:rPr>
                <w:rFonts w:hint="eastAsia" w:ascii="宋体" w:hAnsi="宋体" w:eastAsia="宋体" w:cs="宋体"/>
                <w:b w:val="0"/>
                <w:bCs w:val="0"/>
                <w:color w:val="auto"/>
                <w:sz w:val="21"/>
                <w:szCs w:val="21"/>
                <w:highlight w:val="none"/>
              </w:rPr>
            </w:pPr>
          </w:p>
        </w:tc>
      </w:tr>
      <w:tr w14:paraId="5EDC1D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69714D80">
            <w:pPr>
              <w:snapToGrid w:val="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p>
        </w:tc>
        <w:tc>
          <w:tcPr>
            <w:tcW w:w="2593" w:type="dxa"/>
            <w:vAlign w:val="center"/>
          </w:tcPr>
          <w:p w14:paraId="270A88EB">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逾期完工违约金限额</w:t>
            </w:r>
          </w:p>
        </w:tc>
        <w:tc>
          <w:tcPr>
            <w:tcW w:w="4121" w:type="dxa"/>
            <w:vAlign w:val="center"/>
          </w:tcPr>
          <w:p w14:paraId="45CA32F6">
            <w:pPr>
              <w:snapToGrid w:val="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签约合同价</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u w:val="none"/>
              </w:rPr>
              <w:t>5%</w:t>
            </w:r>
          </w:p>
        </w:tc>
        <w:tc>
          <w:tcPr>
            <w:tcW w:w="1486" w:type="dxa"/>
            <w:vAlign w:val="center"/>
          </w:tcPr>
          <w:p w14:paraId="2260FD90">
            <w:pPr>
              <w:snapToGrid w:val="0"/>
              <w:jc w:val="center"/>
              <w:rPr>
                <w:rFonts w:hint="eastAsia" w:ascii="宋体" w:hAnsi="宋体" w:eastAsia="宋体" w:cs="宋体"/>
                <w:b w:val="0"/>
                <w:bCs w:val="0"/>
                <w:color w:val="auto"/>
                <w:sz w:val="21"/>
                <w:szCs w:val="21"/>
                <w:highlight w:val="none"/>
              </w:rPr>
            </w:pPr>
          </w:p>
        </w:tc>
      </w:tr>
      <w:tr w14:paraId="7F1510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Align w:val="center"/>
          </w:tcPr>
          <w:p w14:paraId="1A2A955F">
            <w:pPr>
              <w:snapToGrid w:val="0"/>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11</w:t>
            </w:r>
          </w:p>
        </w:tc>
        <w:tc>
          <w:tcPr>
            <w:tcW w:w="2593" w:type="dxa"/>
            <w:vAlign w:val="center"/>
          </w:tcPr>
          <w:p w14:paraId="3BB015AF">
            <w:pPr>
              <w:snapToGrid w:val="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逾期付款违约金的比例</w:t>
            </w:r>
          </w:p>
        </w:tc>
        <w:tc>
          <w:tcPr>
            <w:tcW w:w="4121" w:type="dxa"/>
            <w:vAlign w:val="center"/>
          </w:tcPr>
          <w:p w14:paraId="4963843D">
            <w:pPr>
              <w:snapToGrid w:val="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无</w:t>
            </w:r>
          </w:p>
        </w:tc>
        <w:tc>
          <w:tcPr>
            <w:tcW w:w="1486" w:type="dxa"/>
            <w:vAlign w:val="center"/>
          </w:tcPr>
          <w:p w14:paraId="7D59E7A7">
            <w:pPr>
              <w:snapToGrid w:val="0"/>
              <w:jc w:val="center"/>
              <w:rPr>
                <w:rFonts w:hint="eastAsia" w:ascii="宋体" w:hAnsi="宋体" w:eastAsia="宋体" w:cs="宋体"/>
                <w:b w:val="0"/>
                <w:bCs w:val="0"/>
                <w:color w:val="auto"/>
                <w:sz w:val="21"/>
                <w:szCs w:val="21"/>
                <w:highlight w:val="none"/>
              </w:rPr>
            </w:pPr>
          </w:p>
        </w:tc>
      </w:tr>
    </w:tbl>
    <w:p w14:paraId="76EC4674">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3B21676C">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p>
    <w:p w14:paraId="6B4159D7">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p>
    <w:p w14:paraId="6FFB8758">
      <w:pPr>
        <w:adjustRightInd w:val="0"/>
        <w:snapToGrid w:val="0"/>
        <w:spacing w:line="360" w:lineRule="auto"/>
        <w:ind w:firstLine="420" w:firstLineChars="200"/>
        <w:jc w:val="center"/>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投标人（</w:t>
      </w:r>
      <w:r>
        <w:rPr>
          <w:rStyle w:val="44"/>
          <w:rFonts w:hint="eastAsia" w:ascii="宋体" w:hAnsi="宋体" w:eastAsia="宋体" w:cs="宋体"/>
          <w:b w:val="0"/>
          <w:bCs w:val="0"/>
          <w:color w:val="auto"/>
          <w:sz w:val="21"/>
          <w:szCs w:val="21"/>
          <w:highlight w:val="none"/>
          <w:lang w:eastAsia="zh-CN"/>
        </w:rPr>
        <w:t>投标单位名称</w:t>
      </w:r>
      <w:r>
        <w:rPr>
          <w:rFonts w:hint="eastAsia" w:ascii="宋体" w:hAnsi="宋体" w:eastAsia="宋体" w:cs="宋体"/>
          <w:b w:val="0"/>
          <w:bCs w:val="0"/>
          <w:color w:val="auto"/>
          <w:sz w:val="21"/>
          <w:szCs w:val="21"/>
          <w:highlight w:val="none"/>
        </w:rPr>
        <w:t>）：___________（电子签章）</w:t>
      </w:r>
    </w:p>
    <w:p w14:paraId="4546599F">
      <w:pPr>
        <w:spacing w:line="480" w:lineRule="exact"/>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法定代表人</w:t>
      </w:r>
      <w:r>
        <w:rPr>
          <w:rFonts w:hint="eastAsia" w:ascii="宋体" w:hAnsi="宋体" w:eastAsia="宋体" w:cs="宋体"/>
          <w:b w:val="0"/>
          <w:bCs w:val="0"/>
          <w:color w:val="auto"/>
          <w:sz w:val="21"/>
          <w:szCs w:val="21"/>
          <w:highlight w:val="none"/>
          <w:lang w:val="en-US" w:eastAsia="zh-CN"/>
        </w:rPr>
        <w:t>或</w:t>
      </w:r>
      <w:r>
        <w:rPr>
          <w:rFonts w:hint="eastAsia" w:ascii="宋体" w:hAnsi="宋体" w:eastAsia="宋体" w:cs="宋体"/>
          <w:b w:val="0"/>
          <w:bCs w:val="0"/>
          <w:color w:val="auto"/>
          <w:sz w:val="21"/>
          <w:szCs w:val="21"/>
          <w:highlight w:val="none"/>
        </w:rPr>
        <w:t>其委托代理人：_________（电子签章或签字）</w:t>
      </w:r>
    </w:p>
    <w:p w14:paraId="4550BB4C">
      <w:pPr>
        <w:adjustRightInd w:val="0"/>
        <w:snapToGrid w:val="0"/>
        <w:spacing w:line="360" w:lineRule="auto"/>
        <w:ind w:firstLine="420" w:firstLineChars="200"/>
        <w:rPr>
          <w:rFonts w:hint="eastAsia" w:ascii="宋体" w:hAnsi="宋体" w:eastAsia="宋体" w:cs="宋体"/>
          <w:b w:val="0"/>
          <w:bCs w:val="0"/>
          <w:color w:val="auto"/>
          <w:sz w:val="21"/>
          <w:szCs w:val="21"/>
          <w:highlight w:val="none"/>
        </w:rPr>
      </w:pPr>
    </w:p>
    <w:p w14:paraId="1BE1511D">
      <w:pPr>
        <w:adjustRightInd w:val="0"/>
        <w:snapToGrid w:val="0"/>
        <w:spacing w:line="360" w:lineRule="auto"/>
        <w:ind w:firstLine="420" w:firstLineChars="200"/>
        <w:jc w:val="righ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_____年___月___日</w:t>
      </w:r>
    </w:p>
    <w:p w14:paraId="171747DC">
      <w:pPr>
        <w:pStyle w:val="26"/>
        <w:spacing w:line="380" w:lineRule="exact"/>
        <w:rPr>
          <w:rFonts w:hint="eastAsia" w:ascii="宋体" w:hAnsi="宋体" w:eastAsia="宋体" w:cs="宋体"/>
          <w:b w:val="0"/>
          <w:bCs w:val="0"/>
          <w:color w:val="auto"/>
          <w:sz w:val="21"/>
          <w:szCs w:val="21"/>
          <w:highlight w:val="none"/>
        </w:rPr>
      </w:pPr>
    </w:p>
    <w:p w14:paraId="0DA504F5">
      <w:pPr>
        <w:pStyle w:val="26"/>
        <w:spacing w:line="38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备注：投标人在响应招标文件中规定的实质性要求和条件的基础上，可做出其他有利于招标人的承诺。此类承诺可在本表中予以补充填写。</w:t>
      </w:r>
      <w:bookmarkStart w:id="1020" w:name="_Toc8528"/>
    </w:p>
    <w:p w14:paraId="488E3869">
      <w:pPr>
        <w:pStyle w:val="26"/>
        <w:spacing w:line="380" w:lineRule="exact"/>
        <w:rPr>
          <w:rFonts w:hint="eastAsia" w:ascii="宋体" w:hAnsi="宋体" w:eastAsia="宋体" w:cs="宋体"/>
          <w:b w:val="0"/>
          <w:bCs w:val="0"/>
          <w:color w:val="auto"/>
          <w:kern w:val="2"/>
          <w:sz w:val="21"/>
          <w:szCs w:val="21"/>
          <w:highlight w:val="none"/>
          <w:lang w:val="en-US" w:eastAsia="zh-CN" w:bidi="ar-SA"/>
        </w:rPr>
      </w:pPr>
    </w:p>
    <w:p w14:paraId="06C9F287">
      <w:pPr>
        <w:pStyle w:val="26"/>
        <w:spacing w:line="380" w:lineRule="exact"/>
        <w:rPr>
          <w:rFonts w:hint="eastAsia" w:ascii="宋体" w:hAnsi="宋体" w:eastAsia="宋体" w:cs="宋体"/>
          <w:b w:val="0"/>
          <w:bCs w:val="0"/>
          <w:color w:val="auto"/>
          <w:kern w:val="2"/>
          <w:sz w:val="21"/>
          <w:szCs w:val="21"/>
          <w:highlight w:val="none"/>
          <w:lang w:val="en-US" w:eastAsia="zh-CN" w:bidi="ar-SA"/>
        </w:rPr>
      </w:pPr>
    </w:p>
    <w:p w14:paraId="41E6DA0F">
      <w:pPr>
        <w:pStyle w:val="26"/>
        <w:spacing w:line="380" w:lineRule="exact"/>
        <w:rPr>
          <w:rFonts w:hint="eastAsia" w:ascii="宋体" w:hAnsi="宋体" w:eastAsia="宋体" w:cs="宋体"/>
          <w:b w:val="0"/>
          <w:bCs w:val="0"/>
          <w:color w:val="auto"/>
          <w:kern w:val="2"/>
          <w:sz w:val="21"/>
          <w:szCs w:val="21"/>
          <w:highlight w:val="none"/>
          <w:lang w:val="en-US" w:eastAsia="zh-CN" w:bidi="ar-SA"/>
        </w:rPr>
      </w:pPr>
    </w:p>
    <w:p w14:paraId="37EE176D">
      <w:pPr>
        <w:pStyle w:val="26"/>
        <w:spacing w:line="380" w:lineRule="exact"/>
        <w:rPr>
          <w:rFonts w:hint="eastAsia" w:ascii="宋体" w:hAnsi="宋体" w:eastAsia="宋体" w:cs="宋体"/>
          <w:b w:val="0"/>
          <w:bCs w:val="0"/>
          <w:color w:val="auto"/>
          <w:kern w:val="2"/>
          <w:sz w:val="21"/>
          <w:szCs w:val="21"/>
          <w:highlight w:val="none"/>
          <w:lang w:val="en-US" w:eastAsia="zh-CN" w:bidi="ar-SA"/>
        </w:rPr>
      </w:pPr>
    </w:p>
    <w:p w14:paraId="60DF59BE">
      <w:pPr>
        <w:pStyle w:val="26"/>
        <w:spacing w:line="380" w:lineRule="exact"/>
        <w:rPr>
          <w:rFonts w:hint="eastAsia" w:ascii="宋体" w:hAnsi="宋体" w:eastAsia="宋体" w:cs="宋体"/>
          <w:b w:val="0"/>
          <w:bCs w:val="0"/>
          <w:color w:val="auto"/>
          <w:kern w:val="2"/>
          <w:sz w:val="21"/>
          <w:szCs w:val="21"/>
          <w:highlight w:val="none"/>
          <w:lang w:val="en-US" w:eastAsia="zh-CN" w:bidi="ar-SA"/>
        </w:rPr>
      </w:pPr>
    </w:p>
    <w:p w14:paraId="061542AE">
      <w:pPr>
        <w:pStyle w:val="26"/>
        <w:spacing w:line="380" w:lineRule="exact"/>
        <w:rPr>
          <w:rFonts w:hint="eastAsia" w:ascii="宋体" w:hAnsi="宋体" w:eastAsia="宋体" w:cs="宋体"/>
          <w:b w:val="0"/>
          <w:bCs w:val="0"/>
          <w:color w:val="auto"/>
          <w:kern w:val="2"/>
          <w:sz w:val="21"/>
          <w:szCs w:val="21"/>
          <w:highlight w:val="none"/>
          <w:lang w:val="en-US" w:eastAsia="zh-CN" w:bidi="ar-SA"/>
        </w:rPr>
      </w:pPr>
    </w:p>
    <w:p w14:paraId="2B96B144">
      <w:pPr>
        <w:pStyle w:val="26"/>
        <w:spacing w:line="380" w:lineRule="exact"/>
        <w:rPr>
          <w:rFonts w:hint="eastAsia" w:ascii="宋体" w:hAnsi="宋体" w:eastAsia="宋体" w:cs="宋体"/>
          <w:b w:val="0"/>
          <w:bCs w:val="0"/>
          <w:color w:val="auto"/>
          <w:kern w:val="2"/>
          <w:sz w:val="21"/>
          <w:szCs w:val="21"/>
          <w:highlight w:val="none"/>
          <w:lang w:val="en-US" w:eastAsia="zh-CN" w:bidi="ar-SA"/>
        </w:rPr>
      </w:pPr>
    </w:p>
    <w:p w14:paraId="0B176FC2">
      <w:pPr>
        <w:pStyle w:val="26"/>
        <w:numPr>
          <w:ilvl w:val="0"/>
          <w:numId w:val="0"/>
        </w:numPr>
        <w:spacing w:line="380" w:lineRule="exact"/>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三、已标价的工程量清单</w:t>
      </w:r>
      <w:bookmarkStart w:id="1021" w:name="_Toc13409"/>
    </w:p>
    <w:p w14:paraId="219082CB">
      <w:pPr>
        <w:pStyle w:val="26"/>
        <w:numPr>
          <w:ilvl w:val="0"/>
          <w:numId w:val="0"/>
        </w:numPr>
        <w:spacing w:line="380" w:lineRule="exact"/>
        <w:jc w:val="both"/>
        <w:rPr>
          <w:rFonts w:hint="eastAsia" w:ascii="宋体" w:hAnsi="宋体" w:eastAsia="宋体" w:cs="宋体"/>
          <w:b/>
          <w:bCs/>
          <w:color w:val="auto"/>
          <w:kern w:val="2"/>
          <w:sz w:val="24"/>
          <w:szCs w:val="24"/>
          <w:highlight w:val="none"/>
          <w:lang w:val="en-US" w:eastAsia="zh-CN" w:bidi="ar-SA"/>
        </w:rPr>
      </w:pPr>
    </w:p>
    <w:p w14:paraId="7827FE5E">
      <w:pPr>
        <w:pStyle w:val="26"/>
        <w:numPr>
          <w:ilvl w:val="0"/>
          <w:numId w:val="0"/>
        </w:numPr>
        <w:spacing w:line="360" w:lineRule="auto"/>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（1）已标价工程量清单（按照招标工程量清单填报）。</w:t>
      </w:r>
    </w:p>
    <w:p w14:paraId="71139C5A">
      <w:pPr>
        <w:pStyle w:val="26"/>
        <w:numPr>
          <w:ilvl w:val="0"/>
          <w:numId w:val="0"/>
        </w:numPr>
        <w:spacing w:line="360" w:lineRule="auto"/>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（2）主要单价分析表或其他预算表格（格式自拟）。</w:t>
      </w:r>
    </w:p>
    <w:p w14:paraId="12DAA318">
      <w:pPr>
        <w:pStyle w:val="26"/>
        <w:numPr>
          <w:ilvl w:val="0"/>
          <w:numId w:val="0"/>
        </w:numPr>
        <w:spacing w:line="380" w:lineRule="exact"/>
        <w:jc w:val="center"/>
        <w:rPr>
          <w:rFonts w:hint="eastAsia" w:ascii="宋体" w:hAnsi="宋体" w:eastAsia="宋体" w:cs="宋体"/>
          <w:b/>
          <w:bCs/>
          <w:color w:val="auto"/>
          <w:kern w:val="2"/>
          <w:sz w:val="24"/>
          <w:szCs w:val="24"/>
          <w:highlight w:val="none"/>
          <w:lang w:val="en-US" w:eastAsia="zh-CN" w:bidi="ar-SA"/>
        </w:rPr>
      </w:pPr>
    </w:p>
    <w:p w14:paraId="4C3A062C">
      <w:pP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br w:type="page"/>
      </w:r>
    </w:p>
    <w:p w14:paraId="7E1FABCE">
      <w:pPr>
        <w:pStyle w:val="26"/>
        <w:numPr>
          <w:ilvl w:val="0"/>
          <w:numId w:val="0"/>
        </w:numPr>
        <w:spacing w:line="380" w:lineRule="exact"/>
        <w:jc w:val="center"/>
        <w:rPr>
          <w:rFonts w:hint="eastAsia" w:ascii="宋体" w:hAnsi="宋体" w:eastAsia="宋体" w:cs="宋体"/>
          <w:b/>
          <w:bCs/>
          <w:color w:val="auto"/>
          <w:kern w:val="2"/>
          <w:sz w:val="24"/>
          <w:szCs w:val="24"/>
          <w:highlight w:val="none"/>
          <w:lang w:val="en-US" w:eastAsia="zh-CN" w:bidi="ar-SA"/>
        </w:rPr>
      </w:pPr>
    </w:p>
    <w:p w14:paraId="55897A97">
      <w:pPr>
        <w:pStyle w:val="26"/>
        <w:numPr>
          <w:ilvl w:val="0"/>
          <w:numId w:val="0"/>
        </w:numPr>
        <w:spacing w:line="380" w:lineRule="exact"/>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第三部分  技术标部分</w:t>
      </w:r>
      <w:bookmarkEnd w:id="1020"/>
      <w:bookmarkEnd w:id="1021"/>
      <w:bookmarkStart w:id="1022" w:name="_Toc763_WPSOffice_Level1"/>
      <w:bookmarkStart w:id="1023" w:name="_Toc8424_WPSOffice_Level1"/>
      <w:bookmarkStart w:id="1024" w:name="_Toc14189"/>
    </w:p>
    <w:bookmarkEnd w:id="1022"/>
    <w:bookmarkEnd w:id="1023"/>
    <w:bookmarkEnd w:id="1024"/>
    <w:p w14:paraId="013B14C1">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sq-AL"/>
        </w:rPr>
      </w:pPr>
    </w:p>
    <w:p w14:paraId="4F7C1BE8">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sq-AL"/>
        </w:rPr>
        <w:t>1</w:t>
      </w:r>
      <w:r>
        <w:rPr>
          <w:rFonts w:hint="eastAsia" w:ascii="宋体" w:hAnsi="宋体" w:cs="宋体"/>
          <w:b w:val="0"/>
          <w:bCs w:val="0"/>
          <w:color w:val="auto"/>
          <w:sz w:val="21"/>
          <w:szCs w:val="21"/>
          <w:highlight w:val="none"/>
          <w:lang w:val="sq-AL" w:eastAsia="zh-CN"/>
        </w:rPr>
        <w:t>、</w:t>
      </w:r>
      <w:r>
        <w:rPr>
          <w:rFonts w:hint="eastAsia" w:ascii="宋体" w:hAnsi="宋体" w:eastAsia="宋体" w:cs="宋体"/>
          <w:b w:val="0"/>
          <w:bCs w:val="0"/>
          <w:color w:val="auto"/>
          <w:sz w:val="21"/>
          <w:szCs w:val="21"/>
          <w:highlight w:val="none"/>
          <w:lang w:val="en-US" w:eastAsia="zh-CN"/>
        </w:rPr>
        <w:t>本项目施工重点、难点的分析</w:t>
      </w:r>
    </w:p>
    <w:p w14:paraId="4494D002">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施工方案及技术措施</w:t>
      </w:r>
    </w:p>
    <w:p w14:paraId="36869AAE">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质量承诺及保证措施</w:t>
      </w:r>
    </w:p>
    <w:p w14:paraId="225E9A63">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进度计划安排及工期保证措施</w:t>
      </w:r>
    </w:p>
    <w:p w14:paraId="4D05FEAF">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资源配备计划</w:t>
      </w:r>
    </w:p>
    <w:p w14:paraId="1EDF0994">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安全文明施工目标及违约承诺</w:t>
      </w:r>
    </w:p>
    <w:p w14:paraId="36B04741">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项目管理机构配置</w:t>
      </w:r>
    </w:p>
    <w:p w14:paraId="1360D898">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p>
    <w:p w14:paraId="27364BE6">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w:t>
      </w:r>
    </w:p>
    <w:p w14:paraId="54EA1C2C">
      <w:pPr>
        <w:pStyle w:val="46"/>
        <w:numPr>
          <w:ilvl w:val="0"/>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sq-AL" w:eastAsia="zh-CN"/>
        </w:rPr>
      </w:pPr>
      <w:r>
        <w:rPr>
          <w:rFonts w:hint="eastAsia" w:ascii="宋体" w:hAnsi="宋体" w:eastAsia="宋体" w:cs="宋体"/>
          <w:b w:val="0"/>
          <w:bCs w:val="0"/>
          <w:color w:val="auto"/>
          <w:kern w:val="2"/>
          <w:sz w:val="21"/>
          <w:szCs w:val="21"/>
          <w:highlight w:val="none"/>
          <w:lang w:val="sq-AL" w:eastAsia="zh-CN" w:bidi="ar-SA"/>
        </w:rPr>
        <w:t>（1）</w:t>
      </w:r>
      <w:r>
        <w:rPr>
          <w:rFonts w:hint="eastAsia" w:ascii="宋体" w:hAnsi="宋体" w:eastAsia="宋体" w:cs="宋体"/>
          <w:b w:val="0"/>
          <w:bCs w:val="0"/>
          <w:color w:val="auto"/>
          <w:sz w:val="21"/>
          <w:szCs w:val="21"/>
          <w:highlight w:val="none"/>
          <w:lang w:val="en-US" w:eastAsia="zh-CN"/>
        </w:rPr>
        <w:t>技术方案</w:t>
      </w:r>
      <w:r>
        <w:rPr>
          <w:rFonts w:hint="eastAsia" w:ascii="宋体" w:hAnsi="宋体" w:eastAsia="宋体" w:cs="宋体"/>
          <w:b w:val="0"/>
          <w:bCs w:val="0"/>
          <w:color w:val="auto"/>
          <w:sz w:val="21"/>
          <w:szCs w:val="21"/>
          <w:highlight w:val="none"/>
          <w:lang w:val="sq-AL"/>
        </w:rPr>
        <w:t>除采用文字表述外</w:t>
      </w:r>
      <w:r>
        <w:rPr>
          <w:rFonts w:hint="eastAsia" w:ascii="宋体" w:hAnsi="宋体" w:eastAsia="宋体" w:cs="宋体"/>
          <w:b w:val="0"/>
          <w:bCs w:val="0"/>
          <w:color w:val="auto"/>
          <w:sz w:val="21"/>
          <w:szCs w:val="21"/>
          <w:highlight w:val="none"/>
          <w:lang w:val="sq-AL" w:eastAsia="zh-CN"/>
        </w:rPr>
        <w:t>，</w:t>
      </w:r>
      <w:r>
        <w:rPr>
          <w:rFonts w:hint="eastAsia" w:ascii="宋体" w:hAnsi="宋体" w:eastAsia="宋体" w:cs="宋体"/>
          <w:b w:val="0"/>
          <w:bCs w:val="0"/>
          <w:color w:val="auto"/>
          <w:sz w:val="21"/>
          <w:szCs w:val="21"/>
          <w:highlight w:val="none"/>
          <w:lang w:val="sq-AL"/>
        </w:rPr>
        <w:t>投标人</w:t>
      </w:r>
      <w:r>
        <w:rPr>
          <w:rFonts w:hint="eastAsia" w:ascii="宋体" w:hAnsi="宋体" w:eastAsia="宋体" w:cs="宋体"/>
          <w:b w:val="0"/>
          <w:bCs w:val="0"/>
          <w:color w:val="auto"/>
          <w:sz w:val="21"/>
          <w:szCs w:val="21"/>
          <w:highlight w:val="none"/>
          <w:lang w:val="en-US" w:eastAsia="zh-CN"/>
        </w:rPr>
        <w:t>可</w:t>
      </w:r>
      <w:r>
        <w:rPr>
          <w:rFonts w:hint="eastAsia" w:ascii="宋体" w:hAnsi="宋体" w:eastAsia="宋体" w:cs="宋体"/>
          <w:b w:val="0"/>
          <w:bCs w:val="0"/>
          <w:color w:val="auto"/>
          <w:sz w:val="21"/>
          <w:szCs w:val="21"/>
          <w:highlight w:val="none"/>
          <w:lang w:val="sq-AL"/>
        </w:rPr>
        <w:t>根据其施工的要求</w:t>
      </w:r>
      <w:r>
        <w:rPr>
          <w:rFonts w:hint="eastAsia" w:ascii="宋体" w:hAnsi="宋体" w:eastAsia="宋体" w:cs="宋体"/>
          <w:b w:val="0"/>
          <w:bCs w:val="0"/>
          <w:color w:val="auto"/>
          <w:sz w:val="21"/>
          <w:szCs w:val="21"/>
          <w:highlight w:val="none"/>
          <w:lang w:val="sq-AL" w:eastAsia="zh-CN"/>
        </w:rPr>
        <w:t>，</w:t>
      </w:r>
      <w:r>
        <w:rPr>
          <w:rFonts w:hint="eastAsia" w:ascii="宋体" w:hAnsi="宋体" w:eastAsia="宋体" w:cs="宋体"/>
          <w:b w:val="0"/>
          <w:bCs w:val="0"/>
          <w:color w:val="auto"/>
          <w:sz w:val="21"/>
          <w:szCs w:val="21"/>
          <w:highlight w:val="none"/>
          <w:lang w:val="sq-AL"/>
        </w:rPr>
        <w:t>自行</w:t>
      </w:r>
      <w:r>
        <w:rPr>
          <w:rFonts w:hint="eastAsia" w:ascii="宋体" w:hAnsi="宋体" w:cs="宋体"/>
          <w:b w:val="0"/>
          <w:bCs w:val="0"/>
          <w:color w:val="auto"/>
          <w:sz w:val="21"/>
          <w:szCs w:val="21"/>
          <w:highlight w:val="none"/>
          <w:lang w:val="en-US" w:eastAsia="zh-CN"/>
        </w:rPr>
        <w:t>将</w:t>
      </w:r>
      <w:r>
        <w:rPr>
          <w:rFonts w:hint="eastAsia" w:ascii="宋体" w:hAnsi="宋体" w:eastAsia="宋体" w:cs="宋体"/>
          <w:b w:val="0"/>
          <w:bCs w:val="0"/>
          <w:color w:val="auto"/>
          <w:sz w:val="21"/>
          <w:szCs w:val="21"/>
          <w:highlight w:val="none"/>
          <w:lang w:val="sq-AL"/>
        </w:rPr>
        <w:t>图表添加到相应的项目</w:t>
      </w:r>
      <w:r>
        <w:rPr>
          <w:rFonts w:hint="eastAsia" w:ascii="宋体" w:hAnsi="宋体" w:eastAsia="宋体" w:cs="宋体"/>
          <w:b w:val="0"/>
          <w:bCs w:val="0"/>
          <w:color w:val="auto"/>
          <w:sz w:val="21"/>
          <w:szCs w:val="21"/>
          <w:highlight w:val="none"/>
          <w:lang w:val="sq-AL" w:eastAsia="zh-CN"/>
        </w:rPr>
        <w:t>。</w:t>
      </w:r>
      <w:bookmarkStart w:id="1025" w:name="_Toc22071"/>
    </w:p>
    <w:p w14:paraId="472C307B">
      <w:pPr>
        <w:pStyle w:val="46"/>
        <w:keepNext w:val="0"/>
        <w:keepLines w:val="0"/>
        <w:pageBreakBefore w:val="0"/>
        <w:numPr>
          <w:ilvl w:val="2"/>
          <w:numId w:val="0"/>
        </w:numPr>
        <w:kinsoku/>
        <w:wordWrap/>
        <w:overflowPunct/>
        <w:topLinePunct w:val="0"/>
        <w:autoSpaceDE/>
        <w:autoSpaceDN/>
        <w:bidi w:val="0"/>
        <w:adjustRightInd/>
        <w:snapToGrid w:val="0"/>
        <w:spacing w:after="120" w:afterLines="50" w:line="360" w:lineRule="auto"/>
        <w:ind w:firstLine="420" w:firstLineChars="200"/>
        <w:jc w:val="both"/>
        <w:textAlignment w:val="auto"/>
        <w:outlineLvl w:val="0"/>
        <w:rPr>
          <w:rFonts w:hint="eastAsia" w:ascii="宋体" w:hAnsi="宋体" w:eastAsia="宋体" w:cs="宋体"/>
          <w:b w:val="0"/>
          <w:bCs w:val="0"/>
          <w:color w:val="auto"/>
          <w:sz w:val="21"/>
          <w:szCs w:val="21"/>
          <w:highlight w:val="none"/>
          <w:lang w:val="sq-AL" w:eastAsia="zh-CN"/>
        </w:rPr>
      </w:pPr>
      <w:r>
        <w:rPr>
          <w:rFonts w:hint="eastAsia" w:ascii="宋体" w:hAnsi="宋体" w:cs="宋体"/>
          <w:b w:val="0"/>
          <w:bCs w:val="0"/>
          <w:color w:val="auto"/>
          <w:sz w:val="21"/>
          <w:szCs w:val="21"/>
          <w:highlight w:val="none"/>
          <w:lang w:val="sq-AL" w:eastAsia="zh-CN"/>
        </w:rPr>
        <w:t>（</w:t>
      </w:r>
      <w:r>
        <w:rPr>
          <w:rFonts w:hint="eastAsia" w:ascii="宋体" w:hAnsi="宋体" w:cs="宋体"/>
          <w:b w:val="0"/>
          <w:bCs w:val="0"/>
          <w:color w:val="auto"/>
          <w:sz w:val="21"/>
          <w:szCs w:val="21"/>
          <w:highlight w:val="none"/>
          <w:lang w:val="en-US" w:eastAsia="zh-CN"/>
        </w:rPr>
        <w:t>2</w:t>
      </w:r>
      <w:r>
        <w:rPr>
          <w:rFonts w:hint="eastAsia" w:ascii="宋体" w:hAnsi="宋体" w:cs="宋体"/>
          <w:b w:val="0"/>
          <w:bCs w:val="0"/>
          <w:color w:val="auto"/>
          <w:sz w:val="21"/>
          <w:szCs w:val="21"/>
          <w:highlight w:val="none"/>
          <w:lang w:val="sq-AL" w:eastAsia="zh-CN"/>
        </w:rPr>
        <w:t>）技术方案中</w:t>
      </w:r>
      <w:r>
        <w:rPr>
          <w:rFonts w:hint="eastAsia" w:ascii="宋体" w:hAnsi="宋体" w:eastAsia="宋体" w:cs="宋体"/>
          <w:b w:val="0"/>
          <w:bCs w:val="0"/>
          <w:color w:val="auto"/>
          <w:sz w:val="21"/>
          <w:szCs w:val="21"/>
          <w:highlight w:val="none"/>
          <w:lang w:val="sq-AL" w:eastAsia="zh-CN"/>
        </w:rPr>
        <w:t>除采用文字表述外应附下列图表</w:t>
      </w:r>
      <w:r>
        <w:rPr>
          <w:rFonts w:hint="eastAsia" w:ascii="宋体" w:hAnsi="宋体" w:cs="宋体"/>
          <w:b w:val="0"/>
          <w:bCs w:val="0"/>
          <w:color w:val="auto"/>
          <w:sz w:val="21"/>
          <w:szCs w:val="21"/>
          <w:highlight w:val="none"/>
          <w:lang w:val="sq-AL" w:eastAsia="zh-CN"/>
        </w:rPr>
        <w:t>，</w:t>
      </w:r>
      <w:r>
        <w:rPr>
          <w:rFonts w:hint="eastAsia" w:ascii="宋体" w:hAnsi="宋体" w:eastAsia="宋体" w:cs="宋体"/>
          <w:b w:val="0"/>
          <w:bCs w:val="0"/>
          <w:color w:val="auto"/>
          <w:sz w:val="21"/>
          <w:szCs w:val="21"/>
          <w:highlight w:val="none"/>
          <w:lang w:val="sq-AL" w:eastAsia="zh-CN"/>
        </w:rPr>
        <w:t>图表及格式要求附后</w:t>
      </w:r>
      <w:r>
        <w:rPr>
          <w:rFonts w:hint="eastAsia" w:ascii="宋体" w:hAnsi="宋体" w:cs="宋体"/>
          <w:b w:val="0"/>
          <w:bCs w:val="0"/>
          <w:color w:val="auto"/>
          <w:sz w:val="21"/>
          <w:szCs w:val="21"/>
          <w:highlight w:val="none"/>
          <w:lang w:val="sq-AL" w:eastAsia="zh-CN"/>
        </w:rPr>
        <w:t>，相关格式如下：</w:t>
      </w:r>
    </w:p>
    <w:p w14:paraId="5E1A3487">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sq-AL" w:eastAsia="zh-CN"/>
        </w:rPr>
      </w:pPr>
      <w:r>
        <w:rPr>
          <w:rFonts w:hint="eastAsia" w:ascii="宋体" w:hAnsi="宋体" w:eastAsia="宋体" w:cs="宋体"/>
          <w:b w:val="0"/>
          <w:bCs w:val="0"/>
          <w:color w:val="auto"/>
          <w:sz w:val="21"/>
          <w:szCs w:val="21"/>
          <w:highlight w:val="none"/>
          <w:lang w:val="sq-AL" w:eastAsia="zh-CN"/>
        </w:rPr>
        <w:t>附表一  拟投入本项目标段的劳动力计划表</w:t>
      </w:r>
    </w:p>
    <w:p w14:paraId="460DFE21">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sq-AL" w:eastAsia="zh-CN"/>
        </w:rPr>
      </w:pPr>
      <w:r>
        <w:rPr>
          <w:rFonts w:hint="eastAsia" w:ascii="宋体" w:hAnsi="宋体" w:eastAsia="宋体" w:cs="宋体"/>
          <w:b w:val="0"/>
          <w:bCs w:val="0"/>
          <w:color w:val="auto"/>
          <w:sz w:val="21"/>
          <w:szCs w:val="21"/>
          <w:highlight w:val="none"/>
          <w:lang w:val="sq-AL" w:eastAsia="zh-CN"/>
        </w:rPr>
        <w:t>附表二  计划开工日期、完工日期和施工进度网络图</w:t>
      </w:r>
    </w:p>
    <w:p w14:paraId="416EDD91">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sq-AL" w:eastAsia="zh-CN"/>
        </w:rPr>
      </w:pPr>
      <w:r>
        <w:rPr>
          <w:rFonts w:hint="eastAsia" w:ascii="宋体" w:hAnsi="宋体" w:eastAsia="宋体" w:cs="宋体"/>
          <w:b w:val="0"/>
          <w:bCs w:val="0"/>
          <w:color w:val="auto"/>
          <w:sz w:val="21"/>
          <w:szCs w:val="21"/>
          <w:highlight w:val="none"/>
          <w:lang w:val="sq-AL" w:eastAsia="zh-CN"/>
        </w:rPr>
        <w:t>附表三  施工总平面图</w:t>
      </w:r>
    </w:p>
    <w:p w14:paraId="05CEFEAB">
      <w:pPr>
        <w:pStyle w:val="46"/>
        <w:numPr>
          <w:ilvl w:val="2"/>
          <w:numId w:val="0"/>
        </w:numPr>
        <w:snapToGrid w:val="0"/>
        <w:spacing w:after="120" w:afterLines="50" w:line="360" w:lineRule="auto"/>
        <w:ind w:left="1" w:leftChars="0" w:firstLine="420" w:firstLineChars="200"/>
        <w:jc w:val="both"/>
        <w:outlineLvl w:val="0"/>
        <w:rPr>
          <w:rFonts w:hint="eastAsia" w:ascii="宋体" w:hAnsi="宋体" w:eastAsia="宋体" w:cs="宋体"/>
          <w:b w:val="0"/>
          <w:bCs w:val="0"/>
          <w:color w:val="auto"/>
          <w:sz w:val="21"/>
          <w:szCs w:val="21"/>
          <w:highlight w:val="none"/>
          <w:lang w:val="sq-AL" w:eastAsia="zh-CN"/>
        </w:rPr>
      </w:pPr>
      <w:r>
        <w:rPr>
          <w:rFonts w:hint="eastAsia" w:ascii="宋体" w:hAnsi="宋体" w:eastAsia="宋体" w:cs="宋体"/>
          <w:b w:val="0"/>
          <w:bCs w:val="0"/>
          <w:color w:val="auto"/>
          <w:sz w:val="21"/>
          <w:szCs w:val="21"/>
          <w:highlight w:val="none"/>
          <w:lang w:val="sq-AL" w:eastAsia="zh-CN"/>
        </w:rPr>
        <w:t>附表四  临时用地表</w:t>
      </w:r>
    </w:p>
    <w:p w14:paraId="1F1B298D">
      <w:pPr>
        <w:rPr>
          <w:rFonts w:hint="eastAsia" w:ascii="宋体" w:hAnsi="宋体" w:eastAsia="宋体" w:cs="宋体"/>
          <w:b w:val="0"/>
          <w:bCs w:val="0"/>
          <w:color w:val="FF0000"/>
          <w:sz w:val="21"/>
          <w:szCs w:val="21"/>
          <w:highlight w:val="none"/>
          <w:lang w:val="sq-AL" w:eastAsia="zh-CN"/>
        </w:rPr>
      </w:pPr>
      <w:r>
        <w:rPr>
          <w:rFonts w:hint="eastAsia" w:ascii="宋体" w:hAnsi="宋体" w:eastAsia="宋体" w:cs="宋体"/>
          <w:b w:val="0"/>
          <w:bCs w:val="0"/>
          <w:color w:val="FF0000"/>
          <w:sz w:val="21"/>
          <w:szCs w:val="21"/>
          <w:highlight w:val="none"/>
          <w:lang w:val="sq-AL" w:eastAsia="zh-CN"/>
        </w:rPr>
        <w:br w:type="page"/>
      </w:r>
    </w:p>
    <w:p w14:paraId="47230819">
      <w:pPr>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b/>
          <w:bCs w:val="0"/>
          <w:color w:val="auto"/>
          <w:kern w:val="0"/>
          <w:sz w:val="21"/>
          <w:szCs w:val="21"/>
          <w:highlight w:val="none"/>
          <w:lang w:val="zh-CN" w:eastAsia="zh-CN" w:bidi="ar-SA"/>
        </w:rPr>
      </w:pPr>
      <w:bookmarkStart w:id="1026" w:name="_Toc168476329"/>
      <w:bookmarkStart w:id="1027" w:name="_Toc144974867"/>
      <w:bookmarkStart w:id="1028" w:name="_Toc221952101"/>
      <w:bookmarkStart w:id="1029" w:name="_Toc168475926"/>
      <w:r>
        <w:rPr>
          <w:rFonts w:hint="eastAsia" w:ascii="宋体" w:hAnsi="宋体" w:eastAsia="宋体" w:cs="宋体"/>
          <w:b/>
          <w:bCs w:val="0"/>
          <w:color w:val="auto"/>
          <w:kern w:val="0"/>
          <w:sz w:val="21"/>
          <w:szCs w:val="21"/>
          <w:highlight w:val="none"/>
          <w:lang w:val="zh-CN" w:eastAsia="zh-CN" w:bidi="ar-SA"/>
        </w:rPr>
        <w:t>附表一：拟投入本项目标段的劳动力计划表</w:t>
      </w:r>
      <w:bookmarkEnd w:id="1026"/>
      <w:bookmarkEnd w:id="1027"/>
      <w:bookmarkEnd w:id="1028"/>
      <w:bookmarkEnd w:id="1029"/>
    </w:p>
    <w:p w14:paraId="64337CDD">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val="0"/>
          <w:bCs/>
          <w:color w:val="auto"/>
          <w:sz w:val="21"/>
          <w:szCs w:val="21"/>
          <w:highlight w:val="none"/>
        </w:rPr>
      </w:pPr>
      <w:bookmarkStart w:id="1030" w:name="_Toc221952102"/>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rPr>
        <w:t>单位：人</w:t>
      </w:r>
      <w:bookmarkEnd w:id="1030"/>
    </w:p>
    <w:tbl>
      <w:tblPr>
        <w:tblStyle w:val="28"/>
        <w:tblW w:w="9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887"/>
      </w:tblGrid>
      <w:tr w14:paraId="339C4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2EA99C2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bookmarkStart w:id="1031" w:name="_Toc221952103"/>
            <w:r>
              <w:rPr>
                <w:rFonts w:hint="eastAsia" w:ascii="宋体" w:hAnsi="宋体" w:eastAsia="宋体" w:cs="宋体"/>
                <w:color w:val="auto"/>
                <w:sz w:val="21"/>
                <w:szCs w:val="21"/>
                <w:highlight w:val="none"/>
              </w:rPr>
              <w:t>工种</w:t>
            </w:r>
            <w:bookmarkEnd w:id="1031"/>
          </w:p>
        </w:tc>
        <w:tc>
          <w:tcPr>
            <w:tcW w:w="8112" w:type="dxa"/>
            <w:gridSpan w:val="7"/>
          </w:tcPr>
          <w:p w14:paraId="39CC71A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bookmarkStart w:id="1032" w:name="_Toc221952104"/>
            <w:r>
              <w:rPr>
                <w:rFonts w:hint="eastAsia" w:ascii="宋体" w:hAnsi="宋体" w:eastAsia="宋体" w:cs="宋体"/>
                <w:color w:val="auto"/>
                <w:sz w:val="21"/>
                <w:szCs w:val="21"/>
                <w:highlight w:val="none"/>
              </w:rPr>
              <w:t>按工程施工阶段投入劳动力情况</w:t>
            </w:r>
            <w:bookmarkEnd w:id="1032"/>
          </w:p>
        </w:tc>
      </w:tr>
      <w:tr w14:paraId="2F6B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2A0DA5F1">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4FCA0DA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D1C298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E47320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3A5266C">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04B4881">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7E30CA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0306129C">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3E88E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44DC7289">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71B2A397">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3AD959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EA4D0D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E8B590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466A9B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4ED2B914">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5BB333B1">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70EA2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55A70167">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42C6834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B403C8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735324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675CC7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581C83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D377A2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1613B39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68F82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77C53266">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3706972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C51B08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87447A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8FDAD34">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3EA2284">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D4F9599">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4F9DEF8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5904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270229A4">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71EEF6C6">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AB0212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B8B078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010B91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E868BB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78DA1E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61813DB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119A2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77ADE8D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50BB1FC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18F877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3D7AB57">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A4ECA99">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8A7FBE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85C54A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040C9C46">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6EB2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49E5BB9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1CD0AFD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E26A9C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30ECD37">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BECD3A7">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516701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F13F19C">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3D3ECC4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47F2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6FA0E4D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0C50703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F67C85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0F23DD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A82C6C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C23EC8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BEFF004">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33954AC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46073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3F72ECE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35472E9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B32601C">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BCCBF3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A840A0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650872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9D47876">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12C98C16">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11FE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31057B4D">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5707E90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68B145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D3AC02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314BF1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D9DF4D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7921E3D">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0129BBA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6E82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77BA6121">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768CEEB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4AA8147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8B525A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7E854C4">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83F985C">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3E4B66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094EC9AC">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718F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61AFF9F7">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59988B1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1FA0A2D">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0637D8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4DB33B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0BFDFF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5E3344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13C2C42B">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4BBB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75F4BE5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071B648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4AD08286">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A5CF41D">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243C23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6B09FF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26B95C2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43435DB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4E48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4CDEAF7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54AE72CC">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FF07CA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9B7E837">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8488058">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9392D09">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681C289">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10EC7A1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4F7A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13CB58B9">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34E92101">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90C24D4">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609A6569">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152AB8A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039CF5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5FBD9097">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79B03DDC">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r w14:paraId="3563F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tcPr>
          <w:p w14:paraId="32BF54ED">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420" w:type="dxa"/>
          </w:tcPr>
          <w:p w14:paraId="688493B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079319F">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056A5286">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3AB024D3">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74B5460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1161" w:type="dxa"/>
          </w:tcPr>
          <w:p w14:paraId="4347BBFB">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c>
          <w:tcPr>
            <w:tcW w:w="887" w:type="dxa"/>
          </w:tcPr>
          <w:p w14:paraId="5A7B772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auto"/>
                <w:sz w:val="21"/>
                <w:szCs w:val="21"/>
                <w:highlight w:val="none"/>
              </w:rPr>
            </w:pPr>
          </w:p>
        </w:tc>
      </w:tr>
    </w:tbl>
    <w:p w14:paraId="26AC7664">
      <w:pPr>
        <w:topLinePunct/>
        <w:spacing w:after="0" w:line="360" w:lineRule="auto"/>
        <w:jc w:val="center"/>
        <w:rPr>
          <w:rFonts w:hint="eastAsia" w:ascii="宋体" w:hAnsi="宋体" w:eastAsia="宋体" w:cs="宋体"/>
          <w:color w:val="auto"/>
          <w:sz w:val="21"/>
          <w:szCs w:val="21"/>
          <w:highlight w:val="none"/>
        </w:rPr>
      </w:pPr>
    </w:p>
    <w:p w14:paraId="3CBAEBFE">
      <w:pPr>
        <w:widowControl/>
        <w:spacing w:after="0" w:line="360" w:lineRule="auto"/>
        <w:jc w:val="left"/>
        <w:rPr>
          <w:rFonts w:hint="eastAsia" w:ascii="宋体" w:hAnsi="宋体" w:eastAsia="宋体" w:cs="宋体"/>
          <w:b/>
          <w:color w:val="auto"/>
          <w:sz w:val="21"/>
          <w:szCs w:val="21"/>
          <w:highlight w:val="none"/>
        </w:rPr>
      </w:pPr>
      <w:bookmarkStart w:id="1033" w:name="_Toc168476330"/>
      <w:bookmarkStart w:id="1034" w:name="_Toc144974868"/>
      <w:bookmarkStart w:id="1035" w:name="_Toc221952105"/>
      <w:bookmarkStart w:id="1036" w:name="_Toc168475927"/>
      <w:r>
        <w:rPr>
          <w:rFonts w:hint="eastAsia" w:ascii="宋体" w:hAnsi="宋体" w:eastAsia="宋体" w:cs="宋体"/>
          <w:color w:val="auto"/>
          <w:sz w:val="21"/>
          <w:szCs w:val="21"/>
          <w:highlight w:val="none"/>
        </w:rPr>
        <w:br w:type="page"/>
      </w:r>
    </w:p>
    <w:p w14:paraId="086FD94C">
      <w:pPr>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b/>
          <w:bCs w:val="0"/>
          <w:color w:val="auto"/>
          <w:kern w:val="0"/>
          <w:sz w:val="21"/>
          <w:szCs w:val="21"/>
          <w:highlight w:val="none"/>
          <w:lang w:val="zh-CN" w:eastAsia="zh-CN" w:bidi="ar-SA"/>
        </w:rPr>
      </w:pPr>
      <w:r>
        <w:rPr>
          <w:rFonts w:hint="eastAsia" w:ascii="宋体" w:hAnsi="宋体" w:eastAsia="宋体" w:cs="宋体"/>
          <w:b/>
          <w:bCs w:val="0"/>
          <w:color w:val="auto"/>
          <w:kern w:val="0"/>
          <w:sz w:val="21"/>
          <w:szCs w:val="21"/>
          <w:highlight w:val="none"/>
          <w:lang w:val="zh-CN" w:eastAsia="zh-CN" w:bidi="ar-SA"/>
        </w:rPr>
        <w:t>附表二：计划开工日期、完工日期和施工进度网络图</w:t>
      </w:r>
      <w:bookmarkEnd w:id="1033"/>
      <w:bookmarkEnd w:id="1034"/>
      <w:bookmarkEnd w:id="1035"/>
      <w:bookmarkEnd w:id="1036"/>
    </w:p>
    <w:p w14:paraId="5D2A83D5">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bCs/>
          <w:color w:val="auto"/>
          <w:sz w:val="21"/>
          <w:szCs w:val="21"/>
          <w:highlight w:val="none"/>
        </w:rPr>
      </w:pPr>
      <w:bookmarkStart w:id="1037" w:name="_Toc221952106"/>
    </w:p>
    <w:p w14:paraId="0108D134">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 投标人应递交施工进度网络图或施工进度表，说明按招标文件要求的计划工期进行施工的各个关键日期。</w:t>
      </w:r>
      <w:bookmarkEnd w:id="1037"/>
    </w:p>
    <w:p w14:paraId="2895ADD3">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bCs/>
          <w:color w:val="auto"/>
          <w:sz w:val="21"/>
          <w:szCs w:val="21"/>
          <w:highlight w:val="none"/>
        </w:rPr>
      </w:pPr>
      <w:bookmarkStart w:id="1038" w:name="_Toc221952107"/>
      <w:r>
        <w:rPr>
          <w:rFonts w:hint="eastAsia" w:ascii="宋体" w:hAnsi="宋体" w:eastAsia="宋体" w:cs="宋体"/>
          <w:b w:val="0"/>
          <w:bCs/>
          <w:color w:val="auto"/>
          <w:sz w:val="21"/>
          <w:szCs w:val="21"/>
          <w:highlight w:val="none"/>
        </w:rPr>
        <w:t>2. 施工进度表可采用网络图（或横道图）表示。</w:t>
      </w:r>
      <w:bookmarkEnd w:id="1038"/>
    </w:p>
    <w:p w14:paraId="3B54CB63">
      <w:pPr>
        <w:spacing w:after="0" w:line="360" w:lineRule="auto"/>
        <w:rPr>
          <w:rFonts w:hint="eastAsia" w:ascii="宋体" w:hAnsi="宋体" w:eastAsia="宋体" w:cs="宋体"/>
          <w:color w:val="auto"/>
          <w:sz w:val="21"/>
          <w:szCs w:val="21"/>
          <w:highlight w:val="none"/>
        </w:rPr>
      </w:pPr>
    </w:p>
    <w:p w14:paraId="4BA624FD">
      <w:pPr>
        <w:spacing w:after="0" w:line="360" w:lineRule="auto"/>
        <w:rPr>
          <w:rFonts w:hint="eastAsia" w:ascii="宋体" w:hAnsi="宋体" w:eastAsia="宋体" w:cs="宋体"/>
          <w:color w:val="auto"/>
          <w:sz w:val="21"/>
          <w:szCs w:val="21"/>
          <w:highlight w:val="none"/>
        </w:rPr>
      </w:pPr>
    </w:p>
    <w:p w14:paraId="63B6B4F0">
      <w:pPr>
        <w:spacing w:after="0" w:line="360" w:lineRule="auto"/>
        <w:rPr>
          <w:rFonts w:hint="eastAsia" w:ascii="宋体" w:hAnsi="宋体" w:eastAsia="宋体" w:cs="宋体"/>
          <w:color w:val="auto"/>
          <w:sz w:val="21"/>
          <w:szCs w:val="21"/>
          <w:highlight w:val="none"/>
        </w:rPr>
      </w:pPr>
    </w:p>
    <w:p w14:paraId="5528FF5B">
      <w:pPr>
        <w:spacing w:after="0" w:line="360" w:lineRule="auto"/>
        <w:rPr>
          <w:rFonts w:hint="eastAsia" w:ascii="宋体" w:hAnsi="宋体" w:eastAsia="宋体" w:cs="宋体"/>
          <w:color w:val="auto"/>
          <w:sz w:val="21"/>
          <w:szCs w:val="21"/>
          <w:highlight w:val="none"/>
        </w:rPr>
      </w:pPr>
    </w:p>
    <w:p w14:paraId="3D81EA6C">
      <w:pPr>
        <w:spacing w:after="0" w:line="360" w:lineRule="auto"/>
        <w:rPr>
          <w:rFonts w:hint="eastAsia" w:ascii="宋体" w:hAnsi="宋体" w:eastAsia="宋体" w:cs="宋体"/>
          <w:color w:val="auto"/>
          <w:sz w:val="21"/>
          <w:szCs w:val="21"/>
          <w:highlight w:val="none"/>
        </w:rPr>
      </w:pPr>
    </w:p>
    <w:p w14:paraId="68193E9B">
      <w:pPr>
        <w:spacing w:after="0" w:line="360" w:lineRule="auto"/>
        <w:rPr>
          <w:rFonts w:hint="eastAsia" w:ascii="宋体" w:hAnsi="宋体" w:eastAsia="宋体" w:cs="宋体"/>
          <w:color w:val="auto"/>
          <w:sz w:val="21"/>
          <w:szCs w:val="21"/>
          <w:highlight w:val="none"/>
        </w:rPr>
      </w:pPr>
    </w:p>
    <w:p w14:paraId="4A03F3DD">
      <w:pPr>
        <w:widowControl/>
        <w:spacing w:after="0" w:line="360" w:lineRule="auto"/>
        <w:jc w:val="left"/>
        <w:rPr>
          <w:rFonts w:hint="eastAsia" w:ascii="宋体" w:hAnsi="宋体" w:eastAsia="宋体" w:cs="宋体"/>
          <w:b/>
          <w:color w:val="auto"/>
          <w:sz w:val="21"/>
          <w:szCs w:val="21"/>
          <w:highlight w:val="none"/>
        </w:rPr>
      </w:pPr>
      <w:bookmarkStart w:id="1039" w:name="_Toc168475928"/>
      <w:bookmarkStart w:id="1040" w:name="_Toc168476331"/>
      <w:bookmarkStart w:id="1041" w:name="_Toc221952108"/>
      <w:bookmarkStart w:id="1042" w:name="_Toc144974869"/>
      <w:r>
        <w:rPr>
          <w:rFonts w:hint="eastAsia" w:ascii="宋体" w:hAnsi="宋体" w:eastAsia="宋体" w:cs="宋体"/>
          <w:color w:val="auto"/>
          <w:sz w:val="21"/>
          <w:szCs w:val="21"/>
          <w:highlight w:val="none"/>
        </w:rPr>
        <w:br w:type="page"/>
      </w:r>
    </w:p>
    <w:p w14:paraId="1F5975F1">
      <w:pPr>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b/>
          <w:bCs w:val="0"/>
          <w:color w:val="auto"/>
          <w:kern w:val="0"/>
          <w:sz w:val="21"/>
          <w:szCs w:val="21"/>
          <w:highlight w:val="none"/>
          <w:lang w:val="zh-CN" w:eastAsia="zh-CN" w:bidi="ar-SA"/>
        </w:rPr>
      </w:pPr>
      <w:r>
        <w:rPr>
          <w:rFonts w:hint="eastAsia" w:ascii="宋体" w:hAnsi="宋体" w:eastAsia="宋体" w:cs="宋体"/>
          <w:b/>
          <w:bCs w:val="0"/>
          <w:color w:val="auto"/>
          <w:kern w:val="0"/>
          <w:sz w:val="21"/>
          <w:szCs w:val="21"/>
          <w:highlight w:val="none"/>
          <w:lang w:val="zh-CN" w:eastAsia="zh-CN" w:bidi="ar-SA"/>
        </w:rPr>
        <w:t>附表三：施工总平面图</w:t>
      </w:r>
      <w:bookmarkEnd w:id="1039"/>
      <w:bookmarkEnd w:id="1040"/>
      <w:bookmarkEnd w:id="1041"/>
      <w:bookmarkEnd w:id="1042"/>
    </w:p>
    <w:p w14:paraId="78839C01">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bCs/>
          <w:color w:val="auto"/>
          <w:sz w:val="21"/>
          <w:szCs w:val="21"/>
          <w:highlight w:val="none"/>
        </w:rPr>
      </w:pPr>
      <w:bookmarkStart w:id="1043" w:name="_Toc221952109"/>
    </w:p>
    <w:p w14:paraId="2A225C6F">
      <w:pPr>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投标人应递交一份施工总平面图，绘出现场临时设施布置图表并附文字说明，说明临时设施、加工车间、现场办公、设备及仓储、供电、供水、卫生、生活、道路、消防及取土位置等设施的情况和布置。</w:t>
      </w:r>
      <w:bookmarkEnd w:id="1043"/>
    </w:p>
    <w:p w14:paraId="191F31C5">
      <w:pPr>
        <w:spacing w:after="0" w:line="360" w:lineRule="auto"/>
        <w:rPr>
          <w:rFonts w:hint="eastAsia" w:ascii="宋体" w:hAnsi="宋体" w:eastAsia="宋体" w:cs="宋体"/>
          <w:color w:val="auto"/>
          <w:sz w:val="21"/>
          <w:szCs w:val="21"/>
          <w:highlight w:val="none"/>
        </w:rPr>
      </w:pPr>
    </w:p>
    <w:p w14:paraId="3E30417A">
      <w:pPr>
        <w:spacing w:after="0" w:line="360" w:lineRule="auto"/>
        <w:rPr>
          <w:rFonts w:hint="eastAsia" w:ascii="宋体" w:hAnsi="宋体" w:eastAsia="宋体" w:cs="宋体"/>
          <w:color w:val="auto"/>
          <w:sz w:val="21"/>
          <w:szCs w:val="21"/>
          <w:highlight w:val="none"/>
        </w:rPr>
      </w:pPr>
    </w:p>
    <w:p w14:paraId="39D19846">
      <w:pPr>
        <w:spacing w:after="0" w:line="360" w:lineRule="auto"/>
        <w:rPr>
          <w:rFonts w:hint="eastAsia" w:ascii="宋体" w:hAnsi="宋体" w:eastAsia="宋体" w:cs="宋体"/>
          <w:color w:val="auto"/>
          <w:sz w:val="21"/>
          <w:szCs w:val="21"/>
          <w:highlight w:val="none"/>
        </w:rPr>
      </w:pPr>
    </w:p>
    <w:p w14:paraId="298E8C7C">
      <w:pPr>
        <w:spacing w:after="0" w:line="360" w:lineRule="auto"/>
        <w:rPr>
          <w:rFonts w:hint="eastAsia" w:ascii="宋体" w:hAnsi="宋体" w:eastAsia="宋体" w:cs="宋体"/>
          <w:color w:val="auto"/>
          <w:sz w:val="21"/>
          <w:szCs w:val="21"/>
          <w:highlight w:val="none"/>
        </w:rPr>
      </w:pPr>
    </w:p>
    <w:p w14:paraId="32EB23A9">
      <w:pPr>
        <w:spacing w:after="0" w:line="360" w:lineRule="auto"/>
        <w:rPr>
          <w:rFonts w:hint="eastAsia" w:ascii="宋体" w:hAnsi="宋体" w:eastAsia="宋体" w:cs="宋体"/>
          <w:color w:val="auto"/>
          <w:sz w:val="21"/>
          <w:szCs w:val="21"/>
          <w:highlight w:val="none"/>
        </w:rPr>
      </w:pPr>
    </w:p>
    <w:p w14:paraId="018FEB0E">
      <w:pPr>
        <w:spacing w:after="0" w:line="360" w:lineRule="auto"/>
        <w:rPr>
          <w:rFonts w:hint="eastAsia" w:ascii="宋体" w:hAnsi="宋体" w:eastAsia="宋体" w:cs="宋体"/>
          <w:color w:val="auto"/>
          <w:sz w:val="21"/>
          <w:szCs w:val="21"/>
          <w:highlight w:val="none"/>
        </w:rPr>
      </w:pPr>
    </w:p>
    <w:p w14:paraId="357AF6FC">
      <w:pPr>
        <w:widowControl/>
        <w:spacing w:after="0" w:line="360" w:lineRule="auto"/>
        <w:jc w:val="left"/>
        <w:rPr>
          <w:rFonts w:hint="eastAsia" w:ascii="宋体" w:hAnsi="宋体" w:eastAsia="宋体" w:cs="宋体"/>
          <w:b/>
          <w:color w:val="auto"/>
          <w:sz w:val="21"/>
          <w:szCs w:val="21"/>
          <w:highlight w:val="none"/>
        </w:rPr>
      </w:pPr>
      <w:bookmarkStart w:id="1044" w:name="_Toc144974870"/>
      <w:bookmarkStart w:id="1045" w:name="_Toc168475929"/>
      <w:bookmarkStart w:id="1046" w:name="_Toc221952110"/>
      <w:bookmarkStart w:id="1047" w:name="_Toc168476332"/>
      <w:r>
        <w:rPr>
          <w:rFonts w:hint="eastAsia" w:ascii="宋体" w:hAnsi="宋体" w:eastAsia="宋体" w:cs="宋体"/>
          <w:color w:val="auto"/>
          <w:sz w:val="21"/>
          <w:szCs w:val="21"/>
          <w:highlight w:val="none"/>
        </w:rPr>
        <w:br w:type="page"/>
      </w:r>
    </w:p>
    <w:p w14:paraId="2E0CC9AB">
      <w:pPr>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宋体" w:hAnsi="宋体" w:eastAsia="宋体" w:cs="宋体"/>
          <w:b/>
          <w:bCs w:val="0"/>
          <w:color w:val="auto"/>
          <w:kern w:val="0"/>
          <w:sz w:val="21"/>
          <w:szCs w:val="21"/>
          <w:highlight w:val="none"/>
          <w:lang w:val="zh-CN" w:eastAsia="zh-CN" w:bidi="ar-SA"/>
        </w:rPr>
      </w:pPr>
      <w:r>
        <w:rPr>
          <w:rFonts w:hint="eastAsia" w:ascii="宋体" w:hAnsi="宋体" w:eastAsia="宋体" w:cs="宋体"/>
          <w:b/>
          <w:bCs w:val="0"/>
          <w:color w:val="auto"/>
          <w:kern w:val="0"/>
          <w:sz w:val="21"/>
          <w:szCs w:val="21"/>
          <w:highlight w:val="none"/>
          <w:lang w:val="zh-CN" w:eastAsia="zh-CN" w:bidi="ar-SA"/>
        </w:rPr>
        <w:t>附表四：临时用地表</w:t>
      </w:r>
      <w:bookmarkEnd w:id="1044"/>
      <w:bookmarkEnd w:id="1045"/>
      <w:bookmarkEnd w:id="1046"/>
      <w:bookmarkEnd w:id="1047"/>
    </w:p>
    <w:p w14:paraId="1EDF856C">
      <w:pPr>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9"/>
        <w:rPr>
          <w:rFonts w:hint="eastAsia" w:ascii="宋体" w:hAnsi="宋体" w:eastAsia="宋体" w:cs="宋体"/>
          <w:b/>
          <w:bCs w:val="0"/>
          <w:color w:val="auto"/>
          <w:kern w:val="0"/>
          <w:sz w:val="21"/>
          <w:szCs w:val="21"/>
          <w:highlight w:val="none"/>
          <w:lang w:val="zh-CN" w:eastAsia="zh-CN" w:bidi="ar-SA"/>
        </w:rPr>
      </w:pPr>
    </w:p>
    <w:tbl>
      <w:tblPr>
        <w:tblStyle w:val="28"/>
        <w:tblW w:w="8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1885"/>
      </w:tblGrid>
      <w:tr w14:paraId="1D9D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2321" w:type="dxa"/>
            <w:vAlign w:val="center"/>
          </w:tcPr>
          <w:p w14:paraId="07C04D7C">
            <w:pPr>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color w:val="auto"/>
                <w:sz w:val="21"/>
                <w:szCs w:val="21"/>
                <w:highlight w:val="none"/>
              </w:rPr>
            </w:pPr>
            <w:bookmarkStart w:id="1048" w:name="_Toc221952111"/>
            <w:r>
              <w:rPr>
                <w:rFonts w:hint="eastAsia" w:ascii="宋体" w:hAnsi="宋体" w:eastAsia="宋体" w:cs="宋体"/>
                <w:b w:val="0"/>
                <w:bCs/>
                <w:color w:val="auto"/>
                <w:sz w:val="21"/>
                <w:szCs w:val="21"/>
                <w:highlight w:val="none"/>
              </w:rPr>
              <w:t>用 途</w:t>
            </w:r>
            <w:bookmarkEnd w:id="1048"/>
          </w:p>
        </w:tc>
        <w:tc>
          <w:tcPr>
            <w:tcW w:w="2321" w:type="dxa"/>
            <w:vAlign w:val="center"/>
          </w:tcPr>
          <w:p w14:paraId="0285C94F">
            <w:pPr>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color w:val="auto"/>
                <w:sz w:val="21"/>
                <w:szCs w:val="21"/>
                <w:highlight w:val="none"/>
              </w:rPr>
            </w:pPr>
            <w:bookmarkStart w:id="1049" w:name="_Toc221952112"/>
            <w:r>
              <w:rPr>
                <w:rFonts w:hint="eastAsia" w:ascii="宋体" w:hAnsi="宋体" w:eastAsia="宋体" w:cs="宋体"/>
                <w:b w:val="0"/>
                <w:bCs/>
                <w:color w:val="auto"/>
                <w:sz w:val="21"/>
                <w:szCs w:val="21"/>
                <w:highlight w:val="none"/>
              </w:rPr>
              <w:t>面 积（㎡）</w:t>
            </w:r>
            <w:bookmarkEnd w:id="1049"/>
          </w:p>
        </w:tc>
        <w:tc>
          <w:tcPr>
            <w:tcW w:w="2322" w:type="dxa"/>
            <w:vAlign w:val="center"/>
          </w:tcPr>
          <w:p w14:paraId="131AA87A">
            <w:pPr>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color w:val="auto"/>
                <w:sz w:val="21"/>
                <w:szCs w:val="21"/>
                <w:highlight w:val="none"/>
              </w:rPr>
            </w:pPr>
            <w:bookmarkStart w:id="1050" w:name="_Toc221952113"/>
            <w:r>
              <w:rPr>
                <w:rFonts w:hint="eastAsia" w:ascii="宋体" w:hAnsi="宋体" w:eastAsia="宋体" w:cs="宋体"/>
                <w:b w:val="0"/>
                <w:bCs/>
                <w:color w:val="auto"/>
                <w:sz w:val="21"/>
                <w:szCs w:val="21"/>
                <w:highlight w:val="none"/>
              </w:rPr>
              <w:t>位 置</w:t>
            </w:r>
            <w:bookmarkEnd w:id="1050"/>
          </w:p>
        </w:tc>
        <w:tc>
          <w:tcPr>
            <w:tcW w:w="1885" w:type="dxa"/>
            <w:vAlign w:val="center"/>
          </w:tcPr>
          <w:p w14:paraId="1277C4EA">
            <w:pPr>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color w:val="auto"/>
                <w:sz w:val="21"/>
                <w:szCs w:val="21"/>
                <w:highlight w:val="none"/>
              </w:rPr>
            </w:pPr>
            <w:bookmarkStart w:id="1051" w:name="_Toc221952114"/>
            <w:r>
              <w:rPr>
                <w:rFonts w:hint="eastAsia" w:ascii="宋体" w:hAnsi="宋体" w:eastAsia="宋体" w:cs="宋体"/>
                <w:b w:val="0"/>
                <w:bCs/>
                <w:color w:val="auto"/>
                <w:sz w:val="21"/>
                <w:szCs w:val="21"/>
                <w:highlight w:val="none"/>
              </w:rPr>
              <w:t>需用时间</w:t>
            </w:r>
            <w:bookmarkEnd w:id="1051"/>
          </w:p>
        </w:tc>
      </w:tr>
      <w:tr w14:paraId="52F96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01B901B5">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2D6BDBC8">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1D52E7C8">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378C863A">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2F42F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7E4B367C">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4ECE9CCE">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3909744E">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102C7841">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7074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75B72ACC">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035F6F58">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49CADD31">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0F53F63F">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390C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7E382560">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56AACE0E">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2E8EE37D">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1F860A17">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6FEF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13F8DB36">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5FC5C885">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5EBBCFC5">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6DD26F9F">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5DADE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61DA659D">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26F5FDD7">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322074D7">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2EB5756D">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39DA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321CF3FA">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7FA30986">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70D82299">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02213CF6">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4234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52C5CEA4">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07603E6B">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6C397030">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62B8BEAB">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322F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61EA1EE4">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4E35E433">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13651EAC">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472D1033">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0C53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61CC84BF">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4E6C7073">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5BF3BC95">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47EE3C4F">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7D2DE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498D146A">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132D8C94">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241AF4ED">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35047786">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4735F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5AE76233">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39393043">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0D5C2824">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6EEF0472">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24097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3EE0781E">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23D28B45">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676EDD40">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1F828084">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370DF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0157E618">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2C665E3E">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3A1AEC6C">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31CDC9B3">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1C29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255293ED">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5CC67728">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18D0D729">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6771397D">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3A812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465528DD">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7893C5FE">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58AEAEC4">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1312A209">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4281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79C10BB2">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5631B782">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6D66BC33">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1A4A3F94">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r w14:paraId="4D04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1" w:type="dxa"/>
          </w:tcPr>
          <w:p w14:paraId="36D8BD66">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1" w:type="dxa"/>
          </w:tcPr>
          <w:p w14:paraId="51C3CD84">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2322" w:type="dxa"/>
          </w:tcPr>
          <w:p w14:paraId="2501E802">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c>
          <w:tcPr>
            <w:tcW w:w="1885" w:type="dxa"/>
          </w:tcPr>
          <w:p w14:paraId="06156059">
            <w:pPr>
              <w:pageBreakBefore w:val="0"/>
              <w:widowControl w:val="0"/>
              <w:kinsoku/>
              <w:wordWrap/>
              <w:overflowPunct/>
              <w:topLinePunct w:val="0"/>
              <w:autoSpaceDE/>
              <w:autoSpaceDN/>
              <w:bidi w:val="0"/>
              <w:spacing w:after="0" w:line="360" w:lineRule="auto"/>
              <w:jc w:val="center"/>
              <w:textAlignment w:val="auto"/>
              <w:rPr>
                <w:rFonts w:hint="eastAsia" w:ascii="宋体" w:hAnsi="宋体" w:eastAsia="宋体" w:cs="宋体"/>
                <w:color w:val="auto"/>
                <w:sz w:val="21"/>
                <w:szCs w:val="21"/>
                <w:highlight w:val="none"/>
              </w:rPr>
            </w:pPr>
          </w:p>
        </w:tc>
      </w:tr>
    </w:tbl>
    <w:p w14:paraId="20364BC4">
      <w:pPr>
        <w:pStyle w:val="3"/>
        <w:jc w:val="both"/>
        <w:rPr>
          <w:rFonts w:hint="eastAsia" w:ascii="宋体" w:hAnsi="宋体" w:eastAsia="宋体" w:cs="宋体"/>
          <w:color w:val="auto"/>
          <w:highlight w:val="none"/>
        </w:rPr>
      </w:pPr>
    </w:p>
    <w:p w14:paraId="5770BFC6">
      <w:pPr>
        <w:rPr>
          <w:rFonts w:hint="eastAsia" w:ascii="宋体" w:hAnsi="宋体" w:eastAsia="宋体" w:cs="宋体"/>
          <w:color w:val="auto"/>
          <w:highlight w:val="none"/>
        </w:rPr>
      </w:pPr>
    </w:p>
    <w:p w14:paraId="5206C0F1">
      <w:pPr>
        <w:rPr>
          <w:rFonts w:hint="eastAsia" w:ascii="宋体" w:hAnsi="宋体" w:eastAsia="宋体" w:cs="宋体"/>
          <w:color w:val="auto"/>
          <w:highlight w:val="none"/>
        </w:rPr>
      </w:pPr>
    </w:p>
    <w:p w14:paraId="6EE56F6C">
      <w:pPr>
        <w:pStyle w:val="2"/>
        <w:bidi w:val="0"/>
        <w:rPr>
          <w:rFonts w:hint="eastAsia" w:ascii="宋体" w:hAnsi="宋体" w:eastAsia="宋体" w:cs="宋体"/>
          <w:highlight w:val="none"/>
        </w:rPr>
      </w:pPr>
      <w:r>
        <w:rPr>
          <w:rFonts w:hint="eastAsia" w:ascii="宋体" w:hAnsi="宋体" w:eastAsia="宋体" w:cs="宋体"/>
          <w:color w:val="auto"/>
          <w:highlight w:val="none"/>
        </w:rPr>
        <w:br w:type="textWrapping"/>
      </w:r>
    </w:p>
    <w:p w14:paraId="3C246B03">
      <w:pPr>
        <w:rPr>
          <w:rFonts w:hint="eastAsia" w:ascii="宋体" w:hAnsi="宋体" w:eastAsia="宋体" w:cs="宋体"/>
          <w:highlight w:val="none"/>
        </w:rPr>
      </w:pPr>
      <w:r>
        <w:rPr>
          <w:rFonts w:hint="eastAsia" w:ascii="宋体" w:hAnsi="宋体" w:eastAsia="宋体" w:cs="宋体"/>
          <w:highlight w:val="none"/>
        </w:rPr>
        <w:br w:type="page"/>
      </w:r>
    </w:p>
    <w:p w14:paraId="2256C95F">
      <w:pPr>
        <w:pStyle w:val="2"/>
        <w:bidi w:val="0"/>
        <w:rPr>
          <w:rFonts w:hint="eastAsia" w:ascii="宋体" w:hAnsi="宋体" w:eastAsia="宋体" w:cs="宋体"/>
          <w:highlight w:val="none"/>
          <w:lang w:val="en-US" w:eastAsia="zh-CN"/>
        </w:rPr>
      </w:pPr>
      <w:r>
        <w:rPr>
          <w:rFonts w:hint="eastAsia" w:ascii="宋体" w:hAnsi="宋体" w:eastAsia="宋体" w:cs="宋体"/>
          <w:highlight w:val="none"/>
        </w:rPr>
        <w:t>第</w:t>
      </w:r>
      <w:r>
        <w:rPr>
          <w:rFonts w:hint="eastAsia" w:ascii="宋体" w:hAnsi="宋体" w:eastAsia="宋体" w:cs="宋体"/>
          <w:highlight w:val="none"/>
          <w:lang w:val="en-US" w:eastAsia="zh-CN"/>
        </w:rPr>
        <w:t>七</w:t>
      </w:r>
      <w:r>
        <w:rPr>
          <w:rFonts w:hint="eastAsia" w:ascii="宋体" w:hAnsi="宋体" w:eastAsia="宋体" w:cs="宋体"/>
          <w:highlight w:val="none"/>
        </w:rPr>
        <w:t xml:space="preserve">章  </w:t>
      </w:r>
      <w:r>
        <w:rPr>
          <w:rFonts w:hint="eastAsia" w:ascii="宋体" w:hAnsi="宋体" w:eastAsia="宋体" w:cs="宋体"/>
          <w:highlight w:val="none"/>
          <w:lang w:val="en-US" w:eastAsia="zh-CN"/>
        </w:rPr>
        <w:t>招标工程量清单</w:t>
      </w:r>
      <w:bookmarkEnd w:id="1025"/>
    </w:p>
    <w:p w14:paraId="228EF538">
      <w:pPr>
        <w:spacing w:line="360" w:lineRule="auto"/>
        <w:ind w:firstLine="495" w:firstLineChars="236"/>
        <w:jc w:val="center"/>
        <w:rPr>
          <w:rFonts w:hint="eastAsia" w:ascii="宋体" w:hAnsi="宋体" w:eastAsia="宋体" w:cs="宋体"/>
          <w:b/>
          <w:snapToGrid w:val="0"/>
          <w:kern w:val="0"/>
          <w:sz w:val="32"/>
          <w:szCs w:val="32"/>
          <w:highlight w:val="none"/>
          <w:lang w:val="en-US" w:eastAsia="zh-CN"/>
        </w:rPr>
      </w:pPr>
      <w:r>
        <w:rPr>
          <w:rFonts w:hint="eastAsia" w:ascii="宋体" w:hAnsi="宋体" w:eastAsia="宋体" w:cs="宋体"/>
          <w:b w:val="0"/>
          <w:bCs w:val="0"/>
          <w:color w:val="auto"/>
          <w:sz w:val="21"/>
          <w:szCs w:val="21"/>
          <w:highlight w:val="none"/>
          <w:lang w:val="en-US" w:eastAsia="zh-CN"/>
        </w:rPr>
        <w:t>另册提供</w:t>
      </w:r>
      <w:r>
        <w:rPr>
          <w:rFonts w:hint="eastAsia" w:ascii="宋体" w:hAnsi="宋体" w:cs="宋体"/>
          <w:b w:val="0"/>
          <w:bCs w:val="0"/>
          <w:color w:val="auto"/>
          <w:sz w:val="21"/>
          <w:szCs w:val="21"/>
          <w:highlight w:val="none"/>
          <w:lang w:val="en-US" w:eastAsia="zh-CN"/>
        </w:rPr>
        <w:t>（投标人自行下载）</w:t>
      </w:r>
    </w:p>
    <w:sectPr>
      <w:headerReference r:id="rId7" w:type="default"/>
      <w:footerReference r:id="rId8" w:type="default"/>
      <w:pgSz w:w="11907" w:h="16840"/>
      <w:pgMar w:top="1304" w:right="1418" w:bottom="1304" w:left="1418" w:header="851" w:footer="992"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24FD7F2-CC0B-4C66-A937-B755601B84B5}"/>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38F11A5-04D0-453D-B355-D26E5D7DB0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embedRegular r:id="rId3" w:fontKey="{D8347304-5144-4778-9384-D0A2C91C6C69}"/>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B2549">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EDD77">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9EC03">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191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149EC03">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191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B46A1">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4012CA">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191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E4012CA">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191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85B5A">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52C9CC">
                          <w:pPr>
                            <w:pStyle w:val="17"/>
                          </w:pPr>
                          <w:r>
                            <w:t xml:space="preserve">第 </w:t>
                          </w:r>
                          <w:r>
                            <w:fldChar w:fldCharType="begin"/>
                          </w:r>
                          <w:r>
                            <w:instrText xml:space="preserve"> PAGE  \* MERGEFORMAT </w:instrText>
                          </w:r>
                          <w:r>
                            <w:fldChar w:fldCharType="separate"/>
                          </w:r>
                          <w:r>
                            <w:t>116</w:t>
                          </w:r>
                          <w:r>
                            <w:fldChar w:fldCharType="end"/>
                          </w:r>
                          <w:r>
                            <w:t xml:space="preserve"> 页 共 </w:t>
                          </w:r>
                          <w:r>
                            <w:fldChar w:fldCharType="begin"/>
                          </w:r>
                          <w:r>
                            <w:instrText xml:space="preserve"> NUMPAGES  \* MERGEFORMAT </w:instrText>
                          </w:r>
                          <w:r>
                            <w:fldChar w:fldCharType="separate"/>
                          </w:r>
                          <w:r>
                            <w:t>191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552C9CC">
                    <w:pPr>
                      <w:pStyle w:val="17"/>
                    </w:pPr>
                    <w:r>
                      <w:t xml:space="preserve">第 </w:t>
                    </w:r>
                    <w:r>
                      <w:fldChar w:fldCharType="begin"/>
                    </w:r>
                    <w:r>
                      <w:instrText xml:space="preserve"> PAGE  \* MERGEFORMAT </w:instrText>
                    </w:r>
                    <w:r>
                      <w:fldChar w:fldCharType="separate"/>
                    </w:r>
                    <w:r>
                      <w:t>116</w:t>
                    </w:r>
                    <w:r>
                      <w:fldChar w:fldCharType="end"/>
                    </w:r>
                    <w:r>
                      <w:t xml:space="preserve"> 页 共 </w:t>
                    </w:r>
                    <w:r>
                      <w:fldChar w:fldCharType="begin"/>
                    </w:r>
                    <w:r>
                      <w:instrText xml:space="preserve"> NUMPAGES  \* MERGEFORMAT </w:instrText>
                    </w:r>
                    <w:r>
                      <w:fldChar w:fldCharType="separate"/>
                    </w:r>
                    <w:r>
                      <w:t>191</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3065780</wp:posOffset>
              </wp:positionH>
              <wp:positionV relativeFrom="paragraph">
                <wp:posOffset>-19685</wp:posOffset>
              </wp:positionV>
              <wp:extent cx="138430" cy="151130"/>
              <wp:effectExtent l="0" t="0" r="0" b="0"/>
              <wp:wrapNone/>
              <wp:docPr id="10" name="文本框 1"/>
              <wp:cNvGraphicFramePr/>
              <a:graphic xmlns:a="http://schemas.openxmlformats.org/drawingml/2006/main">
                <a:graphicData uri="http://schemas.microsoft.com/office/word/2010/wordprocessingShape">
                  <wps:wsp>
                    <wps:cNvSpPr txBox="1"/>
                    <wps:spPr>
                      <a:xfrm>
                        <a:off x="0" y="0"/>
                        <a:ext cx="138430" cy="151130"/>
                      </a:xfrm>
                      <a:prstGeom prst="rect">
                        <a:avLst/>
                      </a:prstGeom>
                      <a:noFill/>
                      <a:ln>
                        <a:noFill/>
                      </a:ln>
                    </wps:spPr>
                    <wps:txbx>
                      <w:txbxContent>
                        <w:p w14:paraId="4D3C88C1">
                          <w:pPr>
                            <w:pStyle w:val="17"/>
                            <w:rPr>
                              <w:rStyle w:val="32"/>
                            </w:rPr>
                          </w:pPr>
                        </w:p>
                      </w:txbxContent>
                    </wps:txbx>
                    <wps:bodyPr wrap="square" lIns="0" tIns="0" rIns="0" bIns="0"/>
                  </wps:wsp>
                </a:graphicData>
              </a:graphic>
            </wp:anchor>
          </w:drawing>
        </mc:Choice>
        <mc:Fallback>
          <w:pict>
            <v:shape id="文本框 1" o:spid="_x0000_s1026" o:spt="202" type="#_x0000_t202" style="position:absolute;left:0pt;margin-left:241.4pt;margin-top:-1.55pt;height:11.9pt;width:10.9pt;mso-position-horizontal-relative:margin;z-index:251659264;mso-width-relative:page;mso-height-relative:page;" filled="f" stroked="f" coordsize="21600,21600" o:gfxdata="UEsDBAoAAAAAAIdO4kAAAAAAAAAAAAAAAAAEAAAAZHJzL1BLAwQUAAAACACHTuJAuHBMstkAAAAJ&#10;AQAADwAAAGRycy9kb3ducmV2LnhtbE2PzU7DMBCE70i8g7VI3Fo7oYQSsqkQghMSIg0Hjk68TaLG&#10;6xC7P7w95gTH0Yxmvik2ZzuKI81+cIyQLBUI4taZgTuEj/plsQbhg2ajR8eE8E0eNuXlRaFz405c&#10;0XEbOhFL2OcaoQ9hyqX0bU9W+6WbiKO3c7PVIcq5k2bWp1huR5kqlUmrB44LvZ7oqad2vz1YhMdP&#10;rp6Hr7fmvdpVQ13fK37N9ojXV4l6ABHoHP7C8Isf0aGMTI07sPFiRFit04geEBY3CYgYuFWrDESD&#10;kKo7kGUh/z8ofwBQSwMEFAAAAAgAh07iQB7Zfa67AQAAdAMAAA4AAABkcnMvZTJvRG9jLnhtbK1T&#10;S27bMBDdF8gdCO5jWklbBILlAIWRokDRFkhzAJqiLAL8dYa25Au0N+iqm+57Lp+jQ0l2fpsssqGG&#10;M8PH995Qi+veWbbTgCb4ihezOWfaq1Abv6n43feb8yvOMElfSxu8rvheI79enr1ZdLHUF6ENttbA&#10;CMRj2cWKtynFUghUrXYSZyFqT8UmgJOJtrARNciO0J0VF/P5e9EFqCMEpREpuxqLfEKElwCGpjFK&#10;r4LaOu3TiAraykSSsDUR+XJg2zRapa9NgzoxW3FSmoaVLqF4nVexXMhyAzK2Rk0U5EsoPNHkpPF0&#10;6QlqJZNkWzDPoJxREDA0aaaCE6OQwRFSUcyfeHPbyqgHLWQ1xpPp+Hqw6svuGzBT00sgS7x0NPHD&#10;71+HP/8Of3+yIvvTRSyp7TZSY+o/hJ56j3mkZJbdN+DylwQxqhPU/uSu7hNT+dDl1dtLqigqFe+K&#10;gmJCF/eHI2D6qINjOag40PAGT+XuM6ax9diS7/Lhxlg7DND6RwnCzBmRmY8Mc5T6dT/JWYd6T2o6&#10;mnvF8cdWgubMfvJkLBFMxwCOwXoKMokMRcMYmE8PJ0/74X7ouv9Zlv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HBMstkAAAAJAQAADwAAAAAAAAABACAAAAAiAAAAZHJzL2Rvd25yZXYueG1sUEsB&#10;AhQAFAAAAAgAh07iQB7Zfa67AQAAdAMAAA4AAAAAAAAAAQAgAAAAKAEAAGRycy9lMm9Eb2MueG1s&#10;UEsFBgAAAAAGAAYAWQEAAFUFAAAAAA==&#10;">
              <v:fill on="f" focussize="0,0"/>
              <v:stroke on="f"/>
              <v:imagedata o:title=""/>
              <o:lock v:ext="edit" aspectratio="f"/>
              <v:textbox inset="0mm,0mm,0mm,0mm">
                <w:txbxContent>
                  <w:p w14:paraId="4D3C88C1">
                    <w:pPr>
                      <w:pStyle w:val="17"/>
                      <w:rPr>
                        <w:rStyle w:val="32"/>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38733">
    <w:pPr>
      <w:pStyle w:val="18"/>
      <w:pBdr>
        <w:top w:val="none" w:color="auto" w:sz="0" w:space="0"/>
        <w:left w:val="none" w:color="auto" w:sz="0" w:space="0"/>
        <w:bottom w:val="none" w:color="auto" w:sz="0" w:space="1"/>
        <w:right w:val="none" w:color="auto" w:sz="0" w:space="0"/>
        <w:between w:val="none" w:color="auto" w:sz="0" w:space="0"/>
      </w:pBdr>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AD26F">
    <w:pPr>
      <w:pStyle w:val="18"/>
      <w:pBdr>
        <w:top w:val="none" w:color="auto" w:sz="0" w:space="0"/>
        <w:left w:val="none" w:color="auto" w:sz="0" w:space="0"/>
        <w:bottom w:val="none" w:color="auto" w:sz="0" w:space="1"/>
        <w:right w:val="none" w:color="auto" w:sz="0" w:space="0"/>
        <w:between w:val="none" w:color="auto" w:sz="0" w:space="0"/>
      </w:pBdr>
      <w:tabs>
        <w:tab w:val="clear" w:pos="4153"/>
      </w:tabs>
      <w:jc w:val="both"/>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F9B099"/>
    <w:multiLevelType w:val="singleLevel"/>
    <w:tmpl w:val="F7F9B099"/>
    <w:lvl w:ilvl="0" w:tentative="0">
      <w:start w:val="3"/>
      <w:numFmt w:val="decimal"/>
      <w:lvlText w:val="%1."/>
      <w:lvlJc w:val="left"/>
      <w:pPr>
        <w:tabs>
          <w:tab w:val="left" w:pos="312"/>
        </w:tabs>
      </w:pPr>
    </w:lvl>
  </w:abstractNum>
  <w:abstractNum w:abstractNumId="1">
    <w:nsid w:val="00000003"/>
    <w:multiLevelType w:val="multilevel"/>
    <w:tmpl w:val="00000003"/>
    <w:lvl w:ilvl="0" w:tentative="0">
      <w:start w:val="1"/>
      <w:numFmt w:val="none"/>
      <w:suff w:val="space"/>
      <w:lvlText w:val="%1"/>
      <w:lvlJc w:val="left"/>
      <w:pPr>
        <w:ind w:left="0" w:firstLine="0"/>
      </w:pPr>
      <w:rPr>
        <w:rFonts w:hint="eastAsia"/>
      </w:rPr>
    </w:lvl>
    <w:lvl w:ilvl="1" w:tentative="0">
      <w:start w:val="1"/>
      <w:numFmt w:val="chineseCountingThousand"/>
      <w:pStyle w:val="45"/>
      <w:suff w:val="space"/>
      <w:lvlText w:val="%2."/>
      <w:lvlJc w:val="left"/>
      <w:pPr>
        <w:ind w:left="142" w:firstLine="0"/>
      </w:pPr>
      <w:rPr>
        <w:rFonts w:hint="eastAsia"/>
      </w:rPr>
    </w:lvl>
    <w:lvl w:ilvl="2" w:tentative="0">
      <w:start w:val="1"/>
      <w:numFmt w:val="chineseCountingThousand"/>
      <w:pStyle w:val="46"/>
      <w:suff w:val="space"/>
      <w:lvlText w:val="(%3)"/>
      <w:lvlJc w:val="left"/>
      <w:pPr>
        <w:ind w:left="2552" w:firstLine="0"/>
      </w:pPr>
      <w:rPr>
        <w:rFonts w:hint="eastAsia" w:ascii="宋体" w:hAnsi="宋体" w:eastAsia="宋体"/>
        <w:b/>
        <w:sz w:val="28"/>
        <w:szCs w:val="28"/>
      </w:rPr>
    </w:lvl>
    <w:lvl w:ilvl="3" w:tentative="0">
      <w:start w:val="1"/>
      <w:numFmt w:val="lowerLetter"/>
      <w:lvlText w:val="%4."/>
      <w:lvlJc w:val="left"/>
      <w:pPr>
        <w:tabs>
          <w:tab w:val="left" w:pos="0"/>
        </w:tabs>
        <w:ind w:left="2551" w:firstLine="0"/>
      </w:pPr>
      <w:rPr>
        <w:rFonts w:hint="default" w:ascii="宋体" w:hAnsi="宋体" w:eastAsia="宋体"/>
      </w:rPr>
    </w:lvl>
    <w:lvl w:ilvl="4" w:tentative="0">
      <w:start w:val="1"/>
      <w:numFmt w:val="lowerRoman"/>
      <w:suff w:val="space"/>
      <w:lvlText w:val="%5."/>
      <w:lvlJc w:val="left"/>
      <w:pPr>
        <w:ind w:left="3402" w:firstLine="0"/>
      </w:pPr>
      <w:rPr>
        <w:rFonts w:hint="eastAsia"/>
      </w:rPr>
    </w:lvl>
    <w:lvl w:ilvl="5" w:tentative="0">
      <w:start w:val="1"/>
      <w:numFmt w:val="lowerRoman"/>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427ACC14"/>
    <w:multiLevelType w:val="singleLevel"/>
    <w:tmpl w:val="427ACC14"/>
    <w:lvl w:ilvl="0" w:tentative="0">
      <w:start w:val="1"/>
      <w:numFmt w:val="decimal"/>
      <w:suff w:val="nothing"/>
      <w:lvlText w:val="（%1）"/>
      <w:lvlJc w:val="left"/>
    </w:lvl>
  </w:abstractNum>
  <w:abstractNum w:abstractNumId="3">
    <w:nsid w:val="48953BBE"/>
    <w:multiLevelType w:val="singleLevel"/>
    <w:tmpl w:val="48953BBE"/>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k5ZTJhNWU5NTI4YWY4N2I2MGZmYzZjMDY5Yjg4YWIifQ=="/>
    <w:docVar w:name="KSO_WPS_MARK_KEY" w:val="3a24622e-ea09-446a-bc5c-8098269c136b"/>
  </w:docVars>
  <w:rsids>
    <w:rsidRoot w:val="00172A27"/>
    <w:rsid w:val="00103897"/>
    <w:rsid w:val="00115C78"/>
    <w:rsid w:val="004479E5"/>
    <w:rsid w:val="00465F83"/>
    <w:rsid w:val="004C416B"/>
    <w:rsid w:val="00593490"/>
    <w:rsid w:val="00691CF3"/>
    <w:rsid w:val="006E05BE"/>
    <w:rsid w:val="007007DA"/>
    <w:rsid w:val="0075194C"/>
    <w:rsid w:val="007D5EF2"/>
    <w:rsid w:val="008E0C60"/>
    <w:rsid w:val="00B561ED"/>
    <w:rsid w:val="00BC57CD"/>
    <w:rsid w:val="00C11035"/>
    <w:rsid w:val="00DE025B"/>
    <w:rsid w:val="00E6284A"/>
    <w:rsid w:val="00E80370"/>
    <w:rsid w:val="011C648D"/>
    <w:rsid w:val="012375FA"/>
    <w:rsid w:val="01280DEF"/>
    <w:rsid w:val="013D61C0"/>
    <w:rsid w:val="01514860"/>
    <w:rsid w:val="015225CC"/>
    <w:rsid w:val="0156177E"/>
    <w:rsid w:val="015F3538"/>
    <w:rsid w:val="01B14C06"/>
    <w:rsid w:val="01B235F7"/>
    <w:rsid w:val="01CC7BB0"/>
    <w:rsid w:val="01CE57B8"/>
    <w:rsid w:val="01F36FCC"/>
    <w:rsid w:val="01FB40D3"/>
    <w:rsid w:val="020016E9"/>
    <w:rsid w:val="022C24DE"/>
    <w:rsid w:val="024C0DD3"/>
    <w:rsid w:val="0286634E"/>
    <w:rsid w:val="02AD7AC3"/>
    <w:rsid w:val="02C848FD"/>
    <w:rsid w:val="02DC2156"/>
    <w:rsid w:val="02E7673E"/>
    <w:rsid w:val="02E84657"/>
    <w:rsid w:val="02F52676"/>
    <w:rsid w:val="02FC45A7"/>
    <w:rsid w:val="03103494"/>
    <w:rsid w:val="0324120A"/>
    <w:rsid w:val="032558AB"/>
    <w:rsid w:val="03465822"/>
    <w:rsid w:val="034D6BB0"/>
    <w:rsid w:val="036208AE"/>
    <w:rsid w:val="03655CA8"/>
    <w:rsid w:val="03983936"/>
    <w:rsid w:val="03AA6683"/>
    <w:rsid w:val="03C055D4"/>
    <w:rsid w:val="03D845C5"/>
    <w:rsid w:val="03E14DCB"/>
    <w:rsid w:val="03E5328D"/>
    <w:rsid w:val="03EB0498"/>
    <w:rsid w:val="03EE320A"/>
    <w:rsid w:val="04090AB6"/>
    <w:rsid w:val="040B1EA8"/>
    <w:rsid w:val="043D09D3"/>
    <w:rsid w:val="043E3D8B"/>
    <w:rsid w:val="044D5F90"/>
    <w:rsid w:val="04545D1C"/>
    <w:rsid w:val="045B52FD"/>
    <w:rsid w:val="04675A50"/>
    <w:rsid w:val="04762137"/>
    <w:rsid w:val="048605CC"/>
    <w:rsid w:val="04912ACD"/>
    <w:rsid w:val="049F168E"/>
    <w:rsid w:val="04A22F2C"/>
    <w:rsid w:val="04A31AD1"/>
    <w:rsid w:val="04B61232"/>
    <w:rsid w:val="04C17856"/>
    <w:rsid w:val="04CD61FB"/>
    <w:rsid w:val="04EA6DAD"/>
    <w:rsid w:val="04EB042F"/>
    <w:rsid w:val="04FE466B"/>
    <w:rsid w:val="0510665E"/>
    <w:rsid w:val="052102F4"/>
    <w:rsid w:val="0526590B"/>
    <w:rsid w:val="05287170"/>
    <w:rsid w:val="05452235"/>
    <w:rsid w:val="05473AED"/>
    <w:rsid w:val="0549003C"/>
    <w:rsid w:val="056A68A7"/>
    <w:rsid w:val="05790336"/>
    <w:rsid w:val="05BB29E7"/>
    <w:rsid w:val="05CF1AFF"/>
    <w:rsid w:val="05D55540"/>
    <w:rsid w:val="05D71CB5"/>
    <w:rsid w:val="05D77BA1"/>
    <w:rsid w:val="05F44D83"/>
    <w:rsid w:val="061075C5"/>
    <w:rsid w:val="061B46EB"/>
    <w:rsid w:val="061D5695"/>
    <w:rsid w:val="064217FF"/>
    <w:rsid w:val="064E5119"/>
    <w:rsid w:val="06562220"/>
    <w:rsid w:val="06662F82"/>
    <w:rsid w:val="066C1A43"/>
    <w:rsid w:val="067032E2"/>
    <w:rsid w:val="067D2341"/>
    <w:rsid w:val="06BD160A"/>
    <w:rsid w:val="06C17F23"/>
    <w:rsid w:val="06D21925"/>
    <w:rsid w:val="06FC2DC7"/>
    <w:rsid w:val="07177643"/>
    <w:rsid w:val="071A324D"/>
    <w:rsid w:val="071B228E"/>
    <w:rsid w:val="074327A4"/>
    <w:rsid w:val="079E5C2C"/>
    <w:rsid w:val="07A174CB"/>
    <w:rsid w:val="07A41884"/>
    <w:rsid w:val="07A82607"/>
    <w:rsid w:val="07E5385B"/>
    <w:rsid w:val="08114650"/>
    <w:rsid w:val="084367D4"/>
    <w:rsid w:val="08510EF1"/>
    <w:rsid w:val="08534C69"/>
    <w:rsid w:val="086E30BE"/>
    <w:rsid w:val="0873339B"/>
    <w:rsid w:val="087911A9"/>
    <w:rsid w:val="087A0447"/>
    <w:rsid w:val="088D0955"/>
    <w:rsid w:val="089E0A9F"/>
    <w:rsid w:val="08B50391"/>
    <w:rsid w:val="08F24482"/>
    <w:rsid w:val="08F6736E"/>
    <w:rsid w:val="09044651"/>
    <w:rsid w:val="09047D11"/>
    <w:rsid w:val="090C3C32"/>
    <w:rsid w:val="09307AB0"/>
    <w:rsid w:val="09403496"/>
    <w:rsid w:val="094B52F2"/>
    <w:rsid w:val="097C3D4B"/>
    <w:rsid w:val="099866AB"/>
    <w:rsid w:val="09A80893"/>
    <w:rsid w:val="09D26061"/>
    <w:rsid w:val="09DC2418"/>
    <w:rsid w:val="09DE3D12"/>
    <w:rsid w:val="09DE4A06"/>
    <w:rsid w:val="0A1D552E"/>
    <w:rsid w:val="0A2166A1"/>
    <w:rsid w:val="0A2543E3"/>
    <w:rsid w:val="0A2F5262"/>
    <w:rsid w:val="0A310FDA"/>
    <w:rsid w:val="0A3B7763"/>
    <w:rsid w:val="0A5B6057"/>
    <w:rsid w:val="0A8729A8"/>
    <w:rsid w:val="0A8D4287"/>
    <w:rsid w:val="0ACE4A7B"/>
    <w:rsid w:val="0AD876A7"/>
    <w:rsid w:val="0ADF0BB9"/>
    <w:rsid w:val="0AEA00FF"/>
    <w:rsid w:val="0AF3628F"/>
    <w:rsid w:val="0AF73FD1"/>
    <w:rsid w:val="0AFC15E8"/>
    <w:rsid w:val="0B07016A"/>
    <w:rsid w:val="0B330D82"/>
    <w:rsid w:val="0B786794"/>
    <w:rsid w:val="0B8C3FEE"/>
    <w:rsid w:val="0B9A2BAF"/>
    <w:rsid w:val="0B9E269F"/>
    <w:rsid w:val="0BA72CEB"/>
    <w:rsid w:val="0BA852CC"/>
    <w:rsid w:val="0BB7550F"/>
    <w:rsid w:val="0BBC0D77"/>
    <w:rsid w:val="0BBF43C3"/>
    <w:rsid w:val="0BD87233"/>
    <w:rsid w:val="0BF40085"/>
    <w:rsid w:val="0C193B0A"/>
    <w:rsid w:val="0C2B3807"/>
    <w:rsid w:val="0C345D80"/>
    <w:rsid w:val="0C442687"/>
    <w:rsid w:val="0C4843B9"/>
    <w:rsid w:val="0C605BA6"/>
    <w:rsid w:val="0C653D96"/>
    <w:rsid w:val="0C6F1945"/>
    <w:rsid w:val="0C725B23"/>
    <w:rsid w:val="0C7B3AB4"/>
    <w:rsid w:val="0C831DFB"/>
    <w:rsid w:val="0CA27F6D"/>
    <w:rsid w:val="0CAC2B9A"/>
    <w:rsid w:val="0CC06645"/>
    <w:rsid w:val="0CC40697"/>
    <w:rsid w:val="0CE246C6"/>
    <w:rsid w:val="0CFD2C16"/>
    <w:rsid w:val="0D1C43CC"/>
    <w:rsid w:val="0D1E3490"/>
    <w:rsid w:val="0D3A135B"/>
    <w:rsid w:val="0D4F0832"/>
    <w:rsid w:val="0D7B7556"/>
    <w:rsid w:val="0DB42190"/>
    <w:rsid w:val="0DB55A7E"/>
    <w:rsid w:val="0DDF2AFB"/>
    <w:rsid w:val="0DF014E1"/>
    <w:rsid w:val="0DF62142"/>
    <w:rsid w:val="0DF70CC0"/>
    <w:rsid w:val="0E1C565C"/>
    <w:rsid w:val="0E2B3F92"/>
    <w:rsid w:val="0E2D3866"/>
    <w:rsid w:val="0E3D0BA1"/>
    <w:rsid w:val="0E3F0624"/>
    <w:rsid w:val="0E6F3E7F"/>
    <w:rsid w:val="0E76520D"/>
    <w:rsid w:val="0E7C47EE"/>
    <w:rsid w:val="0ECB569B"/>
    <w:rsid w:val="0ED85EC8"/>
    <w:rsid w:val="0EEF4FBF"/>
    <w:rsid w:val="0EF2321E"/>
    <w:rsid w:val="0F1113DA"/>
    <w:rsid w:val="0F16079E"/>
    <w:rsid w:val="0F2757FC"/>
    <w:rsid w:val="0F2F360E"/>
    <w:rsid w:val="0F331350"/>
    <w:rsid w:val="0F5A68DD"/>
    <w:rsid w:val="0F6961A0"/>
    <w:rsid w:val="0F76123D"/>
    <w:rsid w:val="0F7F273A"/>
    <w:rsid w:val="0F91589E"/>
    <w:rsid w:val="0FA22E25"/>
    <w:rsid w:val="0FA704BD"/>
    <w:rsid w:val="0FC95811"/>
    <w:rsid w:val="0FCD2DB6"/>
    <w:rsid w:val="0FCD5301"/>
    <w:rsid w:val="0FCE3C1D"/>
    <w:rsid w:val="0FD22917"/>
    <w:rsid w:val="0FFB7A5A"/>
    <w:rsid w:val="102869DB"/>
    <w:rsid w:val="10345560"/>
    <w:rsid w:val="10505F32"/>
    <w:rsid w:val="105D7575"/>
    <w:rsid w:val="10702130"/>
    <w:rsid w:val="107514F4"/>
    <w:rsid w:val="109539F3"/>
    <w:rsid w:val="10A67900"/>
    <w:rsid w:val="10B64DE5"/>
    <w:rsid w:val="10C5422A"/>
    <w:rsid w:val="10C77FA2"/>
    <w:rsid w:val="10D75D0B"/>
    <w:rsid w:val="10E16B8A"/>
    <w:rsid w:val="1102547E"/>
    <w:rsid w:val="111331E7"/>
    <w:rsid w:val="11145FBB"/>
    <w:rsid w:val="11252648"/>
    <w:rsid w:val="112A22DF"/>
    <w:rsid w:val="112B0016"/>
    <w:rsid w:val="11407D54"/>
    <w:rsid w:val="11843655"/>
    <w:rsid w:val="119740B3"/>
    <w:rsid w:val="11986E59"/>
    <w:rsid w:val="119C142F"/>
    <w:rsid w:val="11AB1672"/>
    <w:rsid w:val="11DC1F34"/>
    <w:rsid w:val="11F770EF"/>
    <w:rsid w:val="12192A7F"/>
    <w:rsid w:val="121C56B0"/>
    <w:rsid w:val="126006AE"/>
    <w:rsid w:val="126B2BAF"/>
    <w:rsid w:val="127001C5"/>
    <w:rsid w:val="127A5AD5"/>
    <w:rsid w:val="1292638E"/>
    <w:rsid w:val="129A3494"/>
    <w:rsid w:val="12AF5192"/>
    <w:rsid w:val="12B94041"/>
    <w:rsid w:val="12C02EFB"/>
    <w:rsid w:val="12E57450"/>
    <w:rsid w:val="13023513"/>
    <w:rsid w:val="13180F89"/>
    <w:rsid w:val="135D4BEE"/>
    <w:rsid w:val="13816D08"/>
    <w:rsid w:val="13961EAE"/>
    <w:rsid w:val="13B14F39"/>
    <w:rsid w:val="13BF12F1"/>
    <w:rsid w:val="13C95DDF"/>
    <w:rsid w:val="13CC5A4F"/>
    <w:rsid w:val="13EB1E14"/>
    <w:rsid w:val="13F90BB1"/>
    <w:rsid w:val="14014FF9"/>
    <w:rsid w:val="140D62C1"/>
    <w:rsid w:val="14151024"/>
    <w:rsid w:val="14302302"/>
    <w:rsid w:val="145D12F1"/>
    <w:rsid w:val="145D29CB"/>
    <w:rsid w:val="145F04F1"/>
    <w:rsid w:val="1466110B"/>
    <w:rsid w:val="14680FAC"/>
    <w:rsid w:val="147243FE"/>
    <w:rsid w:val="14812B5E"/>
    <w:rsid w:val="14863DBE"/>
    <w:rsid w:val="14983A03"/>
    <w:rsid w:val="14AE3227"/>
    <w:rsid w:val="14B6767D"/>
    <w:rsid w:val="14C34494"/>
    <w:rsid w:val="14E046B5"/>
    <w:rsid w:val="14EC0958"/>
    <w:rsid w:val="151E71BA"/>
    <w:rsid w:val="155362A8"/>
    <w:rsid w:val="157A0966"/>
    <w:rsid w:val="15804BC3"/>
    <w:rsid w:val="1585042C"/>
    <w:rsid w:val="15A500FB"/>
    <w:rsid w:val="15D373E9"/>
    <w:rsid w:val="15F95522"/>
    <w:rsid w:val="16001A6E"/>
    <w:rsid w:val="1606331B"/>
    <w:rsid w:val="16102902"/>
    <w:rsid w:val="161F618A"/>
    <w:rsid w:val="16223ECC"/>
    <w:rsid w:val="16300397"/>
    <w:rsid w:val="164107F7"/>
    <w:rsid w:val="16526560"/>
    <w:rsid w:val="166804F5"/>
    <w:rsid w:val="167C6724"/>
    <w:rsid w:val="168C7A34"/>
    <w:rsid w:val="16900E36"/>
    <w:rsid w:val="169A3A63"/>
    <w:rsid w:val="16A20B69"/>
    <w:rsid w:val="16A75634"/>
    <w:rsid w:val="16D43419"/>
    <w:rsid w:val="16F413C5"/>
    <w:rsid w:val="17017F86"/>
    <w:rsid w:val="17046187"/>
    <w:rsid w:val="170610F8"/>
    <w:rsid w:val="171A4BA4"/>
    <w:rsid w:val="17237EFC"/>
    <w:rsid w:val="172B0B5F"/>
    <w:rsid w:val="1745342B"/>
    <w:rsid w:val="174B2FAF"/>
    <w:rsid w:val="176848A2"/>
    <w:rsid w:val="178606A4"/>
    <w:rsid w:val="17C313F0"/>
    <w:rsid w:val="17EC4792"/>
    <w:rsid w:val="17F6116D"/>
    <w:rsid w:val="18300BA0"/>
    <w:rsid w:val="18397E11"/>
    <w:rsid w:val="183A7A40"/>
    <w:rsid w:val="18463EA2"/>
    <w:rsid w:val="18481DFF"/>
    <w:rsid w:val="185634EE"/>
    <w:rsid w:val="18597DC9"/>
    <w:rsid w:val="18756535"/>
    <w:rsid w:val="189527D5"/>
    <w:rsid w:val="18BC4164"/>
    <w:rsid w:val="18BD20C2"/>
    <w:rsid w:val="18E45469"/>
    <w:rsid w:val="18E70105"/>
    <w:rsid w:val="18E831AB"/>
    <w:rsid w:val="18F7519C"/>
    <w:rsid w:val="1904772F"/>
    <w:rsid w:val="190653E0"/>
    <w:rsid w:val="19341F4D"/>
    <w:rsid w:val="193A32DB"/>
    <w:rsid w:val="193E101D"/>
    <w:rsid w:val="195C76F5"/>
    <w:rsid w:val="19650358"/>
    <w:rsid w:val="198C1D89"/>
    <w:rsid w:val="198D78AF"/>
    <w:rsid w:val="198E5CD8"/>
    <w:rsid w:val="19960E59"/>
    <w:rsid w:val="19976EBD"/>
    <w:rsid w:val="19A60971"/>
    <w:rsid w:val="19C016F2"/>
    <w:rsid w:val="19D92AF4"/>
    <w:rsid w:val="19F058B3"/>
    <w:rsid w:val="19F83806"/>
    <w:rsid w:val="1A230218"/>
    <w:rsid w:val="1A3441CE"/>
    <w:rsid w:val="1A4E5290"/>
    <w:rsid w:val="1A54439E"/>
    <w:rsid w:val="1A676352"/>
    <w:rsid w:val="1A685E54"/>
    <w:rsid w:val="1A8B6650"/>
    <w:rsid w:val="1ABE5CF0"/>
    <w:rsid w:val="1ADE4866"/>
    <w:rsid w:val="1AE25F33"/>
    <w:rsid w:val="1AFA35AB"/>
    <w:rsid w:val="1B033D85"/>
    <w:rsid w:val="1B041EB6"/>
    <w:rsid w:val="1B731645"/>
    <w:rsid w:val="1B7A3E63"/>
    <w:rsid w:val="1B8C46FA"/>
    <w:rsid w:val="1B8F790E"/>
    <w:rsid w:val="1B9B4C08"/>
    <w:rsid w:val="1B9E07BD"/>
    <w:rsid w:val="1BC81072"/>
    <w:rsid w:val="1BCE2A30"/>
    <w:rsid w:val="1BE24BBA"/>
    <w:rsid w:val="1C0D4CD7"/>
    <w:rsid w:val="1C35022F"/>
    <w:rsid w:val="1C396513"/>
    <w:rsid w:val="1C4151B4"/>
    <w:rsid w:val="1C4306F9"/>
    <w:rsid w:val="1C550B58"/>
    <w:rsid w:val="1C5D5C5E"/>
    <w:rsid w:val="1C7D00AF"/>
    <w:rsid w:val="1C9378D2"/>
    <w:rsid w:val="1CA266AD"/>
    <w:rsid w:val="1CA4388D"/>
    <w:rsid w:val="1CA53D47"/>
    <w:rsid w:val="1CAE2016"/>
    <w:rsid w:val="1CBA6C0D"/>
    <w:rsid w:val="1CD37CCF"/>
    <w:rsid w:val="1D0369B5"/>
    <w:rsid w:val="1D24052A"/>
    <w:rsid w:val="1D2624F4"/>
    <w:rsid w:val="1D28626C"/>
    <w:rsid w:val="1D302D06"/>
    <w:rsid w:val="1D3C5874"/>
    <w:rsid w:val="1D3F35B6"/>
    <w:rsid w:val="1D440BCC"/>
    <w:rsid w:val="1D844347"/>
    <w:rsid w:val="1D8D2573"/>
    <w:rsid w:val="1DAD49C3"/>
    <w:rsid w:val="1DB401C9"/>
    <w:rsid w:val="1DB93368"/>
    <w:rsid w:val="1DBC5621"/>
    <w:rsid w:val="1DCA2E80"/>
    <w:rsid w:val="1DD72298"/>
    <w:rsid w:val="1DEF7AD8"/>
    <w:rsid w:val="1E270330"/>
    <w:rsid w:val="1E417B2A"/>
    <w:rsid w:val="1E5866DD"/>
    <w:rsid w:val="1E817D33"/>
    <w:rsid w:val="1EA062D6"/>
    <w:rsid w:val="1EA53289"/>
    <w:rsid w:val="1EC52B84"/>
    <w:rsid w:val="1EC91F8E"/>
    <w:rsid w:val="1EC93137"/>
    <w:rsid w:val="1ECB3353"/>
    <w:rsid w:val="1F147105"/>
    <w:rsid w:val="1F2667DB"/>
    <w:rsid w:val="1F596413"/>
    <w:rsid w:val="1F6D7F66"/>
    <w:rsid w:val="1F7521C4"/>
    <w:rsid w:val="1FCD6C57"/>
    <w:rsid w:val="1FCF0C21"/>
    <w:rsid w:val="1FED10A7"/>
    <w:rsid w:val="20032679"/>
    <w:rsid w:val="20126E5F"/>
    <w:rsid w:val="202F6387"/>
    <w:rsid w:val="203739B2"/>
    <w:rsid w:val="204F58BE"/>
    <w:rsid w:val="20517888"/>
    <w:rsid w:val="205C1496"/>
    <w:rsid w:val="20692E24"/>
    <w:rsid w:val="208714FC"/>
    <w:rsid w:val="20AD0837"/>
    <w:rsid w:val="20BB43BE"/>
    <w:rsid w:val="20BE1A24"/>
    <w:rsid w:val="20D97ED6"/>
    <w:rsid w:val="20E22BD6"/>
    <w:rsid w:val="20F326ED"/>
    <w:rsid w:val="20FB5A46"/>
    <w:rsid w:val="210928A3"/>
    <w:rsid w:val="210D60DD"/>
    <w:rsid w:val="211B1C44"/>
    <w:rsid w:val="21341A94"/>
    <w:rsid w:val="213827F6"/>
    <w:rsid w:val="213976FC"/>
    <w:rsid w:val="216B6728"/>
    <w:rsid w:val="216C049B"/>
    <w:rsid w:val="217C0A1F"/>
    <w:rsid w:val="21AD0AEE"/>
    <w:rsid w:val="21B06830"/>
    <w:rsid w:val="21CA315E"/>
    <w:rsid w:val="21CB71C6"/>
    <w:rsid w:val="220C40C4"/>
    <w:rsid w:val="221E7C3E"/>
    <w:rsid w:val="2230171F"/>
    <w:rsid w:val="22486CE2"/>
    <w:rsid w:val="2271516D"/>
    <w:rsid w:val="22851A6B"/>
    <w:rsid w:val="228D6B72"/>
    <w:rsid w:val="22920B7E"/>
    <w:rsid w:val="22C47BC7"/>
    <w:rsid w:val="22E30F16"/>
    <w:rsid w:val="22F4274D"/>
    <w:rsid w:val="23333275"/>
    <w:rsid w:val="23372ABA"/>
    <w:rsid w:val="234B3A0A"/>
    <w:rsid w:val="234E00AF"/>
    <w:rsid w:val="23542709"/>
    <w:rsid w:val="236271B7"/>
    <w:rsid w:val="236454ED"/>
    <w:rsid w:val="23764185"/>
    <w:rsid w:val="23774C51"/>
    <w:rsid w:val="23A11547"/>
    <w:rsid w:val="23A22FF6"/>
    <w:rsid w:val="23AE66CF"/>
    <w:rsid w:val="23B26890"/>
    <w:rsid w:val="23BF7609"/>
    <w:rsid w:val="23C16AD3"/>
    <w:rsid w:val="23CB65C5"/>
    <w:rsid w:val="23D031BA"/>
    <w:rsid w:val="23DD0DC1"/>
    <w:rsid w:val="24482D50"/>
    <w:rsid w:val="244A1D5C"/>
    <w:rsid w:val="24594F5D"/>
    <w:rsid w:val="246A7D54"/>
    <w:rsid w:val="246F652F"/>
    <w:rsid w:val="249C309C"/>
    <w:rsid w:val="249F0EAF"/>
    <w:rsid w:val="24B07D43"/>
    <w:rsid w:val="24D42BAD"/>
    <w:rsid w:val="24DA5379"/>
    <w:rsid w:val="24DB0068"/>
    <w:rsid w:val="24E039AB"/>
    <w:rsid w:val="250D59BB"/>
    <w:rsid w:val="25130B84"/>
    <w:rsid w:val="251B2213"/>
    <w:rsid w:val="25203CCD"/>
    <w:rsid w:val="25216146"/>
    <w:rsid w:val="25383810"/>
    <w:rsid w:val="2540611D"/>
    <w:rsid w:val="2547125A"/>
    <w:rsid w:val="254A1588"/>
    <w:rsid w:val="254F010E"/>
    <w:rsid w:val="2551032A"/>
    <w:rsid w:val="255552F4"/>
    <w:rsid w:val="255C5B39"/>
    <w:rsid w:val="256911D0"/>
    <w:rsid w:val="256B383C"/>
    <w:rsid w:val="25845AB3"/>
    <w:rsid w:val="259A582D"/>
    <w:rsid w:val="25AD64F9"/>
    <w:rsid w:val="25AF0E3F"/>
    <w:rsid w:val="25B82157"/>
    <w:rsid w:val="25BF6475"/>
    <w:rsid w:val="25DF40F4"/>
    <w:rsid w:val="25FF1B34"/>
    <w:rsid w:val="26040EF9"/>
    <w:rsid w:val="26377460"/>
    <w:rsid w:val="264B4D7A"/>
    <w:rsid w:val="266100F9"/>
    <w:rsid w:val="266B176E"/>
    <w:rsid w:val="266B71CA"/>
    <w:rsid w:val="26835CAA"/>
    <w:rsid w:val="26BC42D3"/>
    <w:rsid w:val="26D46B1D"/>
    <w:rsid w:val="26F22428"/>
    <w:rsid w:val="2723183D"/>
    <w:rsid w:val="27257216"/>
    <w:rsid w:val="272F7585"/>
    <w:rsid w:val="278E3170"/>
    <w:rsid w:val="279F712B"/>
    <w:rsid w:val="27B5694E"/>
    <w:rsid w:val="27E13C65"/>
    <w:rsid w:val="27F51441"/>
    <w:rsid w:val="27FF1062"/>
    <w:rsid w:val="281F201A"/>
    <w:rsid w:val="28246E0F"/>
    <w:rsid w:val="282D6EFC"/>
    <w:rsid w:val="282E6701"/>
    <w:rsid w:val="28754330"/>
    <w:rsid w:val="28A13603"/>
    <w:rsid w:val="28BB78EB"/>
    <w:rsid w:val="28BD5AC9"/>
    <w:rsid w:val="28C93D61"/>
    <w:rsid w:val="28CA6A2C"/>
    <w:rsid w:val="28D020B7"/>
    <w:rsid w:val="28DC43AF"/>
    <w:rsid w:val="28F2772E"/>
    <w:rsid w:val="28FD67FF"/>
    <w:rsid w:val="290847A8"/>
    <w:rsid w:val="29143B49"/>
    <w:rsid w:val="2919433A"/>
    <w:rsid w:val="296C33E5"/>
    <w:rsid w:val="297F5466"/>
    <w:rsid w:val="29805BC8"/>
    <w:rsid w:val="29CA0D15"/>
    <w:rsid w:val="29E17ECF"/>
    <w:rsid w:val="29EE77FA"/>
    <w:rsid w:val="2A07545B"/>
    <w:rsid w:val="2A273408"/>
    <w:rsid w:val="2A3224D8"/>
    <w:rsid w:val="2A5561C7"/>
    <w:rsid w:val="2A6D1762"/>
    <w:rsid w:val="2A706698"/>
    <w:rsid w:val="2A8E176A"/>
    <w:rsid w:val="2A9071FF"/>
    <w:rsid w:val="2A9C5BA4"/>
    <w:rsid w:val="2A9F38E6"/>
    <w:rsid w:val="2AA8777C"/>
    <w:rsid w:val="2AE752D9"/>
    <w:rsid w:val="2B1440A6"/>
    <w:rsid w:val="2B195446"/>
    <w:rsid w:val="2B1C08BB"/>
    <w:rsid w:val="2B1F2768"/>
    <w:rsid w:val="2B4F0E68"/>
    <w:rsid w:val="2B595843"/>
    <w:rsid w:val="2B6E5792"/>
    <w:rsid w:val="2B6E72B2"/>
    <w:rsid w:val="2B90223A"/>
    <w:rsid w:val="2B9D683D"/>
    <w:rsid w:val="2BA71534"/>
    <w:rsid w:val="2BBB7293"/>
    <w:rsid w:val="2BC1560F"/>
    <w:rsid w:val="2BC34150"/>
    <w:rsid w:val="2BC929C8"/>
    <w:rsid w:val="2BDA6C77"/>
    <w:rsid w:val="2BEA0B91"/>
    <w:rsid w:val="2BFA4688"/>
    <w:rsid w:val="2BFF463C"/>
    <w:rsid w:val="2C025EDA"/>
    <w:rsid w:val="2C195DCB"/>
    <w:rsid w:val="2C245956"/>
    <w:rsid w:val="2C29790B"/>
    <w:rsid w:val="2C31354D"/>
    <w:rsid w:val="2C4C0BF5"/>
    <w:rsid w:val="2C6474E6"/>
    <w:rsid w:val="2C7C520A"/>
    <w:rsid w:val="2C931DC2"/>
    <w:rsid w:val="2CA23219"/>
    <w:rsid w:val="2CBD192A"/>
    <w:rsid w:val="2CEC6C42"/>
    <w:rsid w:val="2CED7EEF"/>
    <w:rsid w:val="2CFE744D"/>
    <w:rsid w:val="2D001CDF"/>
    <w:rsid w:val="2D0B7011"/>
    <w:rsid w:val="2D0D0FDB"/>
    <w:rsid w:val="2D1063D5"/>
    <w:rsid w:val="2D385540"/>
    <w:rsid w:val="2D3E4249"/>
    <w:rsid w:val="2D54104E"/>
    <w:rsid w:val="2D860D50"/>
    <w:rsid w:val="2D915768"/>
    <w:rsid w:val="2D945258"/>
    <w:rsid w:val="2DA2135E"/>
    <w:rsid w:val="2DA354EC"/>
    <w:rsid w:val="2DB43204"/>
    <w:rsid w:val="2DB56DA0"/>
    <w:rsid w:val="2DBE22D5"/>
    <w:rsid w:val="2DC23B73"/>
    <w:rsid w:val="2E0C3040"/>
    <w:rsid w:val="2E1A39AF"/>
    <w:rsid w:val="2E2465DC"/>
    <w:rsid w:val="2E2B5898"/>
    <w:rsid w:val="2E60784E"/>
    <w:rsid w:val="2E693FEF"/>
    <w:rsid w:val="2E782484"/>
    <w:rsid w:val="2E7D5CEC"/>
    <w:rsid w:val="2E921798"/>
    <w:rsid w:val="2E9A328C"/>
    <w:rsid w:val="2EB01C1E"/>
    <w:rsid w:val="2EB66A3F"/>
    <w:rsid w:val="2EB931C8"/>
    <w:rsid w:val="2EBE13B7"/>
    <w:rsid w:val="2ED753FC"/>
    <w:rsid w:val="2F1033BF"/>
    <w:rsid w:val="2F25260C"/>
    <w:rsid w:val="2F4033C5"/>
    <w:rsid w:val="2F4D56BE"/>
    <w:rsid w:val="2F5C1DA5"/>
    <w:rsid w:val="2F782CC6"/>
    <w:rsid w:val="2FAB5C55"/>
    <w:rsid w:val="2FB219C5"/>
    <w:rsid w:val="2FB73E74"/>
    <w:rsid w:val="2FC75471"/>
    <w:rsid w:val="2FF82E60"/>
    <w:rsid w:val="3013798C"/>
    <w:rsid w:val="301937F3"/>
    <w:rsid w:val="30376066"/>
    <w:rsid w:val="305111DE"/>
    <w:rsid w:val="3054286E"/>
    <w:rsid w:val="305667F5"/>
    <w:rsid w:val="30616CBE"/>
    <w:rsid w:val="306C426A"/>
    <w:rsid w:val="307F5D4C"/>
    <w:rsid w:val="3089073D"/>
    <w:rsid w:val="309D08C8"/>
    <w:rsid w:val="309E5AD2"/>
    <w:rsid w:val="30A71AE3"/>
    <w:rsid w:val="30AF25B1"/>
    <w:rsid w:val="30E462E4"/>
    <w:rsid w:val="310A7634"/>
    <w:rsid w:val="31181217"/>
    <w:rsid w:val="312D39F9"/>
    <w:rsid w:val="316B4522"/>
    <w:rsid w:val="317E2AB6"/>
    <w:rsid w:val="317E6003"/>
    <w:rsid w:val="3199108F"/>
    <w:rsid w:val="31A02F0F"/>
    <w:rsid w:val="31E06CBE"/>
    <w:rsid w:val="31E65D4E"/>
    <w:rsid w:val="31F74D99"/>
    <w:rsid w:val="321B5F48"/>
    <w:rsid w:val="3233326A"/>
    <w:rsid w:val="325B4596"/>
    <w:rsid w:val="32690A61"/>
    <w:rsid w:val="32693390"/>
    <w:rsid w:val="32715B68"/>
    <w:rsid w:val="329D070B"/>
    <w:rsid w:val="329E36B9"/>
    <w:rsid w:val="32A04B81"/>
    <w:rsid w:val="32A5328C"/>
    <w:rsid w:val="32A63A63"/>
    <w:rsid w:val="32A6623F"/>
    <w:rsid w:val="32A777DC"/>
    <w:rsid w:val="32AA39CA"/>
    <w:rsid w:val="32B1171B"/>
    <w:rsid w:val="32BF6760"/>
    <w:rsid w:val="32D3237F"/>
    <w:rsid w:val="32D61E6F"/>
    <w:rsid w:val="32E91BA2"/>
    <w:rsid w:val="32EB7474"/>
    <w:rsid w:val="32F80037"/>
    <w:rsid w:val="330269F2"/>
    <w:rsid w:val="330B3DCC"/>
    <w:rsid w:val="331623E5"/>
    <w:rsid w:val="331935FC"/>
    <w:rsid w:val="334B63B9"/>
    <w:rsid w:val="335F1E64"/>
    <w:rsid w:val="338673F1"/>
    <w:rsid w:val="33890452"/>
    <w:rsid w:val="338F44F8"/>
    <w:rsid w:val="33947D60"/>
    <w:rsid w:val="33A8380B"/>
    <w:rsid w:val="33AA100E"/>
    <w:rsid w:val="33AE370E"/>
    <w:rsid w:val="33BA29CC"/>
    <w:rsid w:val="33BB77C8"/>
    <w:rsid w:val="33D71E67"/>
    <w:rsid w:val="33F86541"/>
    <w:rsid w:val="3403482B"/>
    <w:rsid w:val="34154834"/>
    <w:rsid w:val="341D2E42"/>
    <w:rsid w:val="343D21A6"/>
    <w:rsid w:val="34727975"/>
    <w:rsid w:val="350C1B78"/>
    <w:rsid w:val="35215623"/>
    <w:rsid w:val="354D6418"/>
    <w:rsid w:val="35773495"/>
    <w:rsid w:val="3580765A"/>
    <w:rsid w:val="35AD321F"/>
    <w:rsid w:val="35C81F43"/>
    <w:rsid w:val="35D42696"/>
    <w:rsid w:val="35ED7BFB"/>
    <w:rsid w:val="35EF74CF"/>
    <w:rsid w:val="35F03248"/>
    <w:rsid w:val="35FA7C22"/>
    <w:rsid w:val="35FE3BB6"/>
    <w:rsid w:val="36176A26"/>
    <w:rsid w:val="36195BEB"/>
    <w:rsid w:val="36230BAA"/>
    <w:rsid w:val="36301896"/>
    <w:rsid w:val="364D2448"/>
    <w:rsid w:val="36624145"/>
    <w:rsid w:val="36721EAF"/>
    <w:rsid w:val="367C32C0"/>
    <w:rsid w:val="367D2D2D"/>
    <w:rsid w:val="3690626B"/>
    <w:rsid w:val="369D7C73"/>
    <w:rsid w:val="36B55913"/>
    <w:rsid w:val="36BB1AA7"/>
    <w:rsid w:val="36E92171"/>
    <w:rsid w:val="3700570C"/>
    <w:rsid w:val="37115B0C"/>
    <w:rsid w:val="37146B1C"/>
    <w:rsid w:val="3777484E"/>
    <w:rsid w:val="378620B5"/>
    <w:rsid w:val="37887BDC"/>
    <w:rsid w:val="378C0D4E"/>
    <w:rsid w:val="37967A1C"/>
    <w:rsid w:val="37A442EA"/>
    <w:rsid w:val="37B35173"/>
    <w:rsid w:val="37BC1633"/>
    <w:rsid w:val="37C170DA"/>
    <w:rsid w:val="37D7504F"/>
    <w:rsid w:val="37E666B0"/>
    <w:rsid w:val="37EE37B7"/>
    <w:rsid w:val="38033706"/>
    <w:rsid w:val="38172D0E"/>
    <w:rsid w:val="38190834"/>
    <w:rsid w:val="381B27FE"/>
    <w:rsid w:val="38267F5A"/>
    <w:rsid w:val="383C09C6"/>
    <w:rsid w:val="384855BD"/>
    <w:rsid w:val="3848736B"/>
    <w:rsid w:val="384B0C09"/>
    <w:rsid w:val="385B68D8"/>
    <w:rsid w:val="386D0B7F"/>
    <w:rsid w:val="38762583"/>
    <w:rsid w:val="387E4B3B"/>
    <w:rsid w:val="388E7474"/>
    <w:rsid w:val="38C34C43"/>
    <w:rsid w:val="38C641BE"/>
    <w:rsid w:val="38DD5D05"/>
    <w:rsid w:val="390267C5"/>
    <w:rsid w:val="392E6561"/>
    <w:rsid w:val="393A3157"/>
    <w:rsid w:val="39447B32"/>
    <w:rsid w:val="39477622"/>
    <w:rsid w:val="394A59F5"/>
    <w:rsid w:val="39535FC7"/>
    <w:rsid w:val="3960002D"/>
    <w:rsid w:val="396C52DB"/>
    <w:rsid w:val="398B5761"/>
    <w:rsid w:val="39902D77"/>
    <w:rsid w:val="3995395B"/>
    <w:rsid w:val="39987E7E"/>
    <w:rsid w:val="39A52F16"/>
    <w:rsid w:val="39A80615"/>
    <w:rsid w:val="39C219B7"/>
    <w:rsid w:val="39D063F0"/>
    <w:rsid w:val="39DC5FBD"/>
    <w:rsid w:val="39DF785B"/>
    <w:rsid w:val="3A1219DE"/>
    <w:rsid w:val="3A137505"/>
    <w:rsid w:val="3A176FF5"/>
    <w:rsid w:val="3A2317DB"/>
    <w:rsid w:val="3A2B0CF2"/>
    <w:rsid w:val="3A311503"/>
    <w:rsid w:val="3A3E27D3"/>
    <w:rsid w:val="3A6238C4"/>
    <w:rsid w:val="3A62621D"/>
    <w:rsid w:val="3A6C4FEA"/>
    <w:rsid w:val="3A8C165E"/>
    <w:rsid w:val="3AA56402"/>
    <w:rsid w:val="3AFA311F"/>
    <w:rsid w:val="3B047F72"/>
    <w:rsid w:val="3B3A188F"/>
    <w:rsid w:val="3B3F3BF5"/>
    <w:rsid w:val="3B512F70"/>
    <w:rsid w:val="3B54214A"/>
    <w:rsid w:val="3B5B6F6B"/>
    <w:rsid w:val="3B691AD2"/>
    <w:rsid w:val="3B6E70E8"/>
    <w:rsid w:val="3B756864"/>
    <w:rsid w:val="3BA96372"/>
    <w:rsid w:val="3BB77BFA"/>
    <w:rsid w:val="3BB865B6"/>
    <w:rsid w:val="3BBA5216"/>
    <w:rsid w:val="3BDA652C"/>
    <w:rsid w:val="3C123F18"/>
    <w:rsid w:val="3C1F128F"/>
    <w:rsid w:val="3C233115"/>
    <w:rsid w:val="3C241E9D"/>
    <w:rsid w:val="3C7921E9"/>
    <w:rsid w:val="3C9C7C85"/>
    <w:rsid w:val="3CD63197"/>
    <w:rsid w:val="3CDD2778"/>
    <w:rsid w:val="3CFC7112"/>
    <w:rsid w:val="3D265397"/>
    <w:rsid w:val="3D4A76E1"/>
    <w:rsid w:val="3D714C6E"/>
    <w:rsid w:val="3D931088"/>
    <w:rsid w:val="3DAC4A93"/>
    <w:rsid w:val="3DB37034"/>
    <w:rsid w:val="3DB41489"/>
    <w:rsid w:val="3DB737DD"/>
    <w:rsid w:val="3DC56D68"/>
    <w:rsid w:val="3DD97F1E"/>
    <w:rsid w:val="3DE71FBC"/>
    <w:rsid w:val="3DEB4A20"/>
    <w:rsid w:val="3DF8538F"/>
    <w:rsid w:val="3E047145"/>
    <w:rsid w:val="3E06185A"/>
    <w:rsid w:val="3E145CB4"/>
    <w:rsid w:val="3E151A9D"/>
    <w:rsid w:val="3E21358D"/>
    <w:rsid w:val="3E52684D"/>
    <w:rsid w:val="3E66679D"/>
    <w:rsid w:val="3E722318"/>
    <w:rsid w:val="3E7B6900"/>
    <w:rsid w:val="3E9B4698"/>
    <w:rsid w:val="3E9C21BE"/>
    <w:rsid w:val="3EA6303D"/>
    <w:rsid w:val="3EB07A18"/>
    <w:rsid w:val="3EB2454C"/>
    <w:rsid w:val="3ECF43C6"/>
    <w:rsid w:val="3F1D4F90"/>
    <w:rsid w:val="3F255D10"/>
    <w:rsid w:val="3F381EE7"/>
    <w:rsid w:val="3F4024E2"/>
    <w:rsid w:val="3F450160"/>
    <w:rsid w:val="3F4F33B6"/>
    <w:rsid w:val="3F5465F5"/>
    <w:rsid w:val="3F5D736D"/>
    <w:rsid w:val="3F6530D5"/>
    <w:rsid w:val="3F656A54"/>
    <w:rsid w:val="3F892AEE"/>
    <w:rsid w:val="3F8C2321"/>
    <w:rsid w:val="3F8F6C07"/>
    <w:rsid w:val="3F8F762D"/>
    <w:rsid w:val="3FB11C9A"/>
    <w:rsid w:val="3FB35A12"/>
    <w:rsid w:val="3FB60937"/>
    <w:rsid w:val="3FB84A8E"/>
    <w:rsid w:val="3FCA4B09"/>
    <w:rsid w:val="3FCE0156"/>
    <w:rsid w:val="3FCF2205"/>
    <w:rsid w:val="4001677D"/>
    <w:rsid w:val="4004626D"/>
    <w:rsid w:val="400718BA"/>
    <w:rsid w:val="40286EE9"/>
    <w:rsid w:val="40397820"/>
    <w:rsid w:val="405C39B3"/>
    <w:rsid w:val="40683F38"/>
    <w:rsid w:val="40896772"/>
    <w:rsid w:val="409E221E"/>
    <w:rsid w:val="409F13DF"/>
    <w:rsid w:val="409F1AF2"/>
    <w:rsid w:val="40AD2461"/>
    <w:rsid w:val="40B3559D"/>
    <w:rsid w:val="40C1415E"/>
    <w:rsid w:val="40C309FA"/>
    <w:rsid w:val="41067DC3"/>
    <w:rsid w:val="4110479E"/>
    <w:rsid w:val="41232FB4"/>
    <w:rsid w:val="412F34CC"/>
    <w:rsid w:val="41313092"/>
    <w:rsid w:val="413466DE"/>
    <w:rsid w:val="41384420"/>
    <w:rsid w:val="41425778"/>
    <w:rsid w:val="41547EEF"/>
    <w:rsid w:val="41686388"/>
    <w:rsid w:val="416E7E42"/>
    <w:rsid w:val="4172782E"/>
    <w:rsid w:val="419453CF"/>
    <w:rsid w:val="41A90E7A"/>
    <w:rsid w:val="41C03876"/>
    <w:rsid w:val="421A58D4"/>
    <w:rsid w:val="4227255A"/>
    <w:rsid w:val="423C1CEE"/>
    <w:rsid w:val="424826B6"/>
    <w:rsid w:val="42811B20"/>
    <w:rsid w:val="429328F4"/>
    <w:rsid w:val="42A81132"/>
    <w:rsid w:val="42B31F04"/>
    <w:rsid w:val="42B5384F"/>
    <w:rsid w:val="42BB0FA6"/>
    <w:rsid w:val="42E15657"/>
    <w:rsid w:val="43026FC7"/>
    <w:rsid w:val="432307B8"/>
    <w:rsid w:val="43355A10"/>
    <w:rsid w:val="43704724"/>
    <w:rsid w:val="4374370A"/>
    <w:rsid w:val="43A41395"/>
    <w:rsid w:val="43A833B4"/>
    <w:rsid w:val="43AA0EDA"/>
    <w:rsid w:val="43B574BF"/>
    <w:rsid w:val="43CB5335"/>
    <w:rsid w:val="43D00BA3"/>
    <w:rsid w:val="43DD12AF"/>
    <w:rsid w:val="43F15BB5"/>
    <w:rsid w:val="43FC2ACB"/>
    <w:rsid w:val="44006D4C"/>
    <w:rsid w:val="442946B9"/>
    <w:rsid w:val="443B6D8D"/>
    <w:rsid w:val="443D394B"/>
    <w:rsid w:val="44673A1A"/>
    <w:rsid w:val="446C43E1"/>
    <w:rsid w:val="44807817"/>
    <w:rsid w:val="44856072"/>
    <w:rsid w:val="44890AEF"/>
    <w:rsid w:val="449974D6"/>
    <w:rsid w:val="44A37C8C"/>
    <w:rsid w:val="44C102DC"/>
    <w:rsid w:val="44C164DB"/>
    <w:rsid w:val="44C86A3D"/>
    <w:rsid w:val="44CD349B"/>
    <w:rsid w:val="44D34460"/>
    <w:rsid w:val="44EA49D7"/>
    <w:rsid w:val="44ED5522"/>
    <w:rsid w:val="44FE772F"/>
    <w:rsid w:val="45036AF3"/>
    <w:rsid w:val="45060392"/>
    <w:rsid w:val="451E44F1"/>
    <w:rsid w:val="45315E04"/>
    <w:rsid w:val="45392515"/>
    <w:rsid w:val="45433394"/>
    <w:rsid w:val="454E264E"/>
    <w:rsid w:val="455D27B6"/>
    <w:rsid w:val="458C09F0"/>
    <w:rsid w:val="4597723C"/>
    <w:rsid w:val="45A33E32"/>
    <w:rsid w:val="45A8277B"/>
    <w:rsid w:val="45C81AEB"/>
    <w:rsid w:val="45D16BF2"/>
    <w:rsid w:val="45DF42F9"/>
    <w:rsid w:val="45E561F9"/>
    <w:rsid w:val="45F75F2C"/>
    <w:rsid w:val="460674A4"/>
    <w:rsid w:val="463816F0"/>
    <w:rsid w:val="464D7698"/>
    <w:rsid w:val="46763D1E"/>
    <w:rsid w:val="467A2DE5"/>
    <w:rsid w:val="46862D23"/>
    <w:rsid w:val="46A165C4"/>
    <w:rsid w:val="46B22304"/>
    <w:rsid w:val="46B300A5"/>
    <w:rsid w:val="46BD0F24"/>
    <w:rsid w:val="46BF38E5"/>
    <w:rsid w:val="46BF4C9C"/>
    <w:rsid w:val="46C37ED8"/>
    <w:rsid w:val="46C44060"/>
    <w:rsid w:val="46D70238"/>
    <w:rsid w:val="46E07E03"/>
    <w:rsid w:val="4703102D"/>
    <w:rsid w:val="47121270"/>
    <w:rsid w:val="471227E0"/>
    <w:rsid w:val="47215957"/>
    <w:rsid w:val="4743767B"/>
    <w:rsid w:val="47471B82"/>
    <w:rsid w:val="4755115C"/>
    <w:rsid w:val="47591D86"/>
    <w:rsid w:val="476F601D"/>
    <w:rsid w:val="47CE5C82"/>
    <w:rsid w:val="47D14C87"/>
    <w:rsid w:val="47FE002E"/>
    <w:rsid w:val="480542FE"/>
    <w:rsid w:val="480908C5"/>
    <w:rsid w:val="481B5EDD"/>
    <w:rsid w:val="481F6480"/>
    <w:rsid w:val="484D62D8"/>
    <w:rsid w:val="48595198"/>
    <w:rsid w:val="486C0E54"/>
    <w:rsid w:val="48783354"/>
    <w:rsid w:val="487D096B"/>
    <w:rsid w:val="488D1901"/>
    <w:rsid w:val="489839F7"/>
    <w:rsid w:val="48AE4FC8"/>
    <w:rsid w:val="48FF7F8E"/>
    <w:rsid w:val="490B5F77"/>
    <w:rsid w:val="49103ECA"/>
    <w:rsid w:val="49351245"/>
    <w:rsid w:val="493925A8"/>
    <w:rsid w:val="49401AC7"/>
    <w:rsid w:val="494871CB"/>
    <w:rsid w:val="49570623"/>
    <w:rsid w:val="49583186"/>
    <w:rsid w:val="496501BE"/>
    <w:rsid w:val="49731136"/>
    <w:rsid w:val="49861AA1"/>
    <w:rsid w:val="49885819"/>
    <w:rsid w:val="499A379E"/>
    <w:rsid w:val="49D96075"/>
    <w:rsid w:val="49E05655"/>
    <w:rsid w:val="4A001853"/>
    <w:rsid w:val="4A0330F2"/>
    <w:rsid w:val="4A056E6A"/>
    <w:rsid w:val="4A0B01F8"/>
    <w:rsid w:val="4A144007"/>
    <w:rsid w:val="4A1470AD"/>
    <w:rsid w:val="4A162E25"/>
    <w:rsid w:val="4A2512BA"/>
    <w:rsid w:val="4A2733EB"/>
    <w:rsid w:val="4A2808DB"/>
    <w:rsid w:val="4A396B0D"/>
    <w:rsid w:val="4A3B288C"/>
    <w:rsid w:val="4A422570"/>
    <w:rsid w:val="4A510301"/>
    <w:rsid w:val="4A78588E"/>
    <w:rsid w:val="4A802994"/>
    <w:rsid w:val="4A8F4985"/>
    <w:rsid w:val="4A9326C8"/>
    <w:rsid w:val="4A9D3546"/>
    <w:rsid w:val="4AA03036"/>
    <w:rsid w:val="4AAB3785"/>
    <w:rsid w:val="4AB26AE1"/>
    <w:rsid w:val="4AD22DFC"/>
    <w:rsid w:val="4ADB6003"/>
    <w:rsid w:val="4B0D06CC"/>
    <w:rsid w:val="4B2A7FCD"/>
    <w:rsid w:val="4B4C0AC8"/>
    <w:rsid w:val="4B6978CC"/>
    <w:rsid w:val="4B872113"/>
    <w:rsid w:val="4B8A461E"/>
    <w:rsid w:val="4BC52D55"/>
    <w:rsid w:val="4BD72A88"/>
    <w:rsid w:val="4BEC6F8D"/>
    <w:rsid w:val="4BEE23C9"/>
    <w:rsid w:val="4C0D64AA"/>
    <w:rsid w:val="4C237FED"/>
    <w:rsid w:val="4C3B6274"/>
    <w:rsid w:val="4C455C43"/>
    <w:rsid w:val="4C706808"/>
    <w:rsid w:val="4C883D82"/>
    <w:rsid w:val="4C8F3A69"/>
    <w:rsid w:val="4C96649F"/>
    <w:rsid w:val="4CA4216F"/>
    <w:rsid w:val="4CB67D8C"/>
    <w:rsid w:val="4CC052CA"/>
    <w:rsid w:val="4CD82614"/>
    <w:rsid w:val="4CD86AB8"/>
    <w:rsid w:val="4CE30FB8"/>
    <w:rsid w:val="4CF136D5"/>
    <w:rsid w:val="4D13189E"/>
    <w:rsid w:val="4D2515D1"/>
    <w:rsid w:val="4D25766E"/>
    <w:rsid w:val="4D2967F3"/>
    <w:rsid w:val="4D3006A2"/>
    <w:rsid w:val="4D3D1CC9"/>
    <w:rsid w:val="4D493511"/>
    <w:rsid w:val="4D573E80"/>
    <w:rsid w:val="4D6363BA"/>
    <w:rsid w:val="4D697710"/>
    <w:rsid w:val="4D8073F2"/>
    <w:rsid w:val="4D981DA3"/>
    <w:rsid w:val="4DA262F1"/>
    <w:rsid w:val="4DD63967"/>
    <w:rsid w:val="4DDD3C56"/>
    <w:rsid w:val="4E013DEC"/>
    <w:rsid w:val="4E0A0EF3"/>
    <w:rsid w:val="4E286A1B"/>
    <w:rsid w:val="4E446DA5"/>
    <w:rsid w:val="4E465CA3"/>
    <w:rsid w:val="4E507A66"/>
    <w:rsid w:val="4E5816A8"/>
    <w:rsid w:val="4E6B74B7"/>
    <w:rsid w:val="4E6D101E"/>
    <w:rsid w:val="4E854A1D"/>
    <w:rsid w:val="4E870795"/>
    <w:rsid w:val="4E9764FE"/>
    <w:rsid w:val="4EA81E3C"/>
    <w:rsid w:val="4EB33338"/>
    <w:rsid w:val="4EB62E28"/>
    <w:rsid w:val="4EBE7F2F"/>
    <w:rsid w:val="4EC372F3"/>
    <w:rsid w:val="4EC512BE"/>
    <w:rsid w:val="4EC878EE"/>
    <w:rsid w:val="4EE72FE2"/>
    <w:rsid w:val="4EF87280"/>
    <w:rsid w:val="4EFB6A8D"/>
    <w:rsid w:val="4F043B94"/>
    <w:rsid w:val="4F065556"/>
    <w:rsid w:val="4F073684"/>
    <w:rsid w:val="4F1C6956"/>
    <w:rsid w:val="4F255848"/>
    <w:rsid w:val="4F4026F2"/>
    <w:rsid w:val="4F7F76BE"/>
    <w:rsid w:val="4F9F1B0F"/>
    <w:rsid w:val="4FA567E3"/>
    <w:rsid w:val="4FCB6460"/>
    <w:rsid w:val="4FD07F1A"/>
    <w:rsid w:val="4FDE3D55"/>
    <w:rsid w:val="4FF84D7B"/>
    <w:rsid w:val="4FFA0AF3"/>
    <w:rsid w:val="50041972"/>
    <w:rsid w:val="500946B4"/>
    <w:rsid w:val="500C712E"/>
    <w:rsid w:val="501778F7"/>
    <w:rsid w:val="501A2F43"/>
    <w:rsid w:val="502A45ED"/>
    <w:rsid w:val="502C7E07"/>
    <w:rsid w:val="50306C0B"/>
    <w:rsid w:val="50450CE1"/>
    <w:rsid w:val="504F7091"/>
    <w:rsid w:val="505E1082"/>
    <w:rsid w:val="506F328F"/>
    <w:rsid w:val="508B4C98"/>
    <w:rsid w:val="508E06E0"/>
    <w:rsid w:val="50940F47"/>
    <w:rsid w:val="50A078EC"/>
    <w:rsid w:val="50B05655"/>
    <w:rsid w:val="50BD049E"/>
    <w:rsid w:val="50C335DB"/>
    <w:rsid w:val="50D86BE2"/>
    <w:rsid w:val="50F934A0"/>
    <w:rsid w:val="50FF2147"/>
    <w:rsid w:val="51002139"/>
    <w:rsid w:val="5100482F"/>
    <w:rsid w:val="51254295"/>
    <w:rsid w:val="51280566"/>
    <w:rsid w:val="51457635"/>
    <w:rsid w:val="51765FC3"/>
    <w:rsid w:val="51795D96"/>
    <w:rsid w:val="5181771E"/>
    <w:rsid w:val="51926A48"/>
    <w:rsid w:val="51B66656"/>
    <w:rsid w:val="51CB0999"/>
    <w:rsid w:val="51D3784E"/>
    <w:rsid w:val="51D971C0"/>
    <w:rsid w:val="51E41A5B"/>
    <w:rsid w:val="51E63A25"/>
    <w:rsid w:val="51FA302C"/>
    <w:rsid w:val="51FA75DE"/>
    <w:rsid w:val="520461F6"/>
    <w:rsid w:val="521E1A19"/>
    <w:rsid w:val="521E31BF"/>
    <w:rsid w:val="52235AA1"/>
    <w:rsid w:val="522A1187"/>
    <w:rsid w:val="52374280"/>
    <w:rsid w:val="5237602E"/>
    <w:rsid w:val="523D1475"/>
    <w:rsid w:val="52426781"/>
    <w:rsid w:val="526A01B2"/>
    <w:rsid w:val="52756B57"/>
    <w:rsid w:val="527F3531"/>
    <w:rsid w:val="528358CA"/>
    <w:rsid w:val="52846D9A"/>
    <w:rsid w:val="529671F9"/>
    <w:rsid w:val="529A030F"/>
    <w:rsid w:val="52A15B9E"/>
    <w:rsid w:val="52A336C4"/>
    <w:rsid w:val="52BA27BB"/>
    <w:rsid w:val="52BE405A"/>
    <w:rsid w:val="53065A01"/>
    <w:rsid w:val="53130849"/>
    <w:rsid w:val="5320626E"/>
    <w:rsid w:val="533B7582"/>
    <w:rsid w:val="53487DC7"/>
    <w:rsid w:val="534E7AD3"/>
    <w:rsid w:val="5352788A"/>
    <w:rsid w:val="535E75EB"/>
    <w:rsid w:val="535F6B32"/>
    <w:rsid w:val="53764934"/>
    <w:rsid w:val="539B439B"/>
    <w:rsid w:val="53A04A55"/>
    <w:rsid w:val="53A67021"/>
    <w:rsid w:val="53C622D9"/>
    <w:rsid w:val="540301AA"/>
    <w:rsid w:val="54113FC9"/>
    <w:rsid w:val="541A3609"/>
    <w:rsid w:val="5426635A"/>
    <w:rsid w:val="542C518A"/>
    <w:rsid w:val="54396E8B"/>
    <w:rsid w:val="54435BA1"/>
    <w:rsid w:val="545E3D46"/>
    <w:rsid w:val="547C241E"/>
    <w:rsid w:val="547E7F44"/>
    <w:rsid w:val="547F6AC4"/>
    <w:rsid w:val="549810E1"/>
    <w:rsid w:val="54A31759"/>
    <w:rsid w:val="54C31DA1"/>
    <w:rsid w:val="54CA318A"/>
    <w:rsid w:val="54E8150C"/>
    <w:rsid w:val="54EF7FDF"/>
    <w:rsid w:val="55164621"/>
    <w:rsid w:val="552E03B1"/>
    <w:rsid w:val="553D30A7"/>
    <w:rsid w:val="55421798"/>
    <w:rsid w:val="55543A3C"/>
    <w:rsid w:val="55807CEC"/>
    <w:rsid w:val="558F0172"/>
    <w:rsid w:val="559317CE"/>
    <w:rsid w:val="55D00D1F"/>
    <w:rsid w:val="55D83684"/>
    <w:rsid w:val="55E0078B"/>
    <w:rsid w:val="55FE57CA"/>
    <w:rsid w:val="561F3537"/>
    <w:rsid w:val="565A053D"/>
    <w:rsid w:val="566C2342"/>
    <w:rsid w:val="56717635"/>
    <w:rsid w:val="56764C4B"/>
    <w:rsid w:val="567A2FB6"/>
    <w:rsid w:val="5692023C"/>
    <w:rsid w:val="5697353F"/>
    <w:rsid w:val="569F41A2"/>
    <w:rsid w:val="56C41E5B"/>
    <w:rsid w:val="56DB28F3"/>
    <w:rsid w:val="56DF0F4E"/>
    <w:rsid w:val="56E2109B"/>
    <w:rsid w:val="56E27F2F"/>
    <w:rsid w:val="56F52014"/>
    <w:rsid w:val="56FD7377"/>
    <w:rsid w:val="56FF5121"/>
    <w:rsid w:val="5718173F"/>
    <w:rsid w:val="572C1A40"/>
    <w:rsid w:val="573B1BA5"/>
    <w:rsid w:val="57632CB7"/>
    <w:rsid w:val="578F4217"/>
    <w:rsid w:val="57A360EE"/>
    <w:rsid w:val="57A51C8C"/>
    <w:rsid w:val="57AA1051"/>
    <w:rsid w:val="57B40121"/>
    <w:rsid w:val="57D60097"/>
    <w:rsid w:val="57D85BBE"/>
    <w:rsid w:val="58107FB8"/>
    <w:rsid w:val="583F79EB"/>
    <w:rsid w:val="58510B05"/>
    <w:rsid w:val="58597148"/>
    <w:rsid w:val="58620DD5"/>
    <w:rsid w:val="589715D5"/>
    <w:rsid w:val="58B953FB"/>
    <w:rsid w:val="58F00CE5"/>
    <w:rsid w:val="58FE1654"/>
    <w:rsid w:val="59060509"/>
    <w:rsid w:val="59134455"/>
    <w:rsid w:val="5914445F"/>
    <w:rsid w:val="591F15CA"/>
    <w:rsid w:val="592B7F6F"/>
    <w:rsid w:val="595A361D"/>
    <w:rsid w:val="597436C4"/>
    <w:rsid w:val="5980147E"/>
    <w:rsid w:val="59964095"/>
    <w:rsid w:val="599C52A8"/>
    <w:rsid w:val="59BA2E10"/>
    <w:rsid w:val="59BE5287"/>
    <w:rsid w:val="59C33B6C"/>
    <w:rsid w:val="59E20F76"/>
    <w:rsid w:val="5A1629CD"/>
    <w:rsid w:val="5A2C6EB9"/>
    <w:rsid w:val="5A5D3255"/>
    <w:rsid w:val="5A754FD7"/>
    <w:rsid w:val="5A7752B7"/>
    <w:rsid w:val="5AD9079F"/>
    <w:rsid w:val="5AE12F22"/>
    <w:rsid w:val="5B1038C0"/>
    <w:rsid w:val="5B524A14"/>
    <w:rsid w:val="5B57504B"/>
    <w:rsid w:val="5B593760"/>
    <w:rsid w:val="5B613C4B"/>
    <w:rsid w:val="5B726329"/>
    <w:rsid w:val="5B78135F"/>
    <w:rsid w:val="5B85620A"/>
    <w:rsid w:val="5BA109BC"/>
    <w:rsid w:val="5BA23BFC"/>
    <w:rsid w:val="5BA5225B"/>
    <w:rsid w:val="5BA919BA"/>
    <w:rsid w:val="5BAA5D2B"/>
    <w:rsid w:val="5BAC1760"/>
    <w:rsid w:val="5BE32D83"/>
    <w:rsid w:val="5BFB7E59"/>
    <w:rsid w:val="5C1D50C1"/>
    <w:rsid w:val="5C20631D"/>
    <w:rsid w:val="5C2E2250"/>
    <w:rsid w:val="5C37035E"/>
    <w:rsid w:val="5C613D4A"/>
    <w:rsid w:val="5C9E3B0B"/>
    <w:rsid w:val="5CA52B77"/>
    <w:rsid w:val="5CAE778C"/>
    <w:rsid w:val="5CBD35D4"/>
    <w:rsid w:val="5CBF734C"/>
    <w:rsid w:val="5CDE504C"/>
    <w:rsid w:val="5CFD1C22"/>
    <w:rsid w:val="5D0F6CD8"/>
    <w:rsid w:val="5D1E0A6F"/>
    <w:rsid w:val="5D276C9F"/>
    <w:rsid w:val="5D46758A"/>
    <w:rsid w:val="5D4F48F7"/>
    <w:rsid w:val="5D600B2F"/>
    <w:rsid w:val="5D6C443D"/>
    <w:rsid w:val="5D75228F"/>
    <w:rsid w:val="5D7E5F3C"/>
    <w:rsid w:val="5D902BE3"/>
    <w:rsid w:val="5DDB1718"/>
    <w:rsid w:val="5DDC5CDC"/>
    <w:rsid w:val="5DF34AE8"/>
    <w:rsid w:val="5E113BD7"/>
    <w:rsid w:val="5E115985"/>
    <w:rsid w:val="5E14191A"/>
    <w:rsid w:val="5E2A4209"/>
    <w:rsid w:val="5E421FE3"/>
    <w:rsid w:val="5E4A70E9"/>
    <w:rsid w:val="5E8F1B41"/>
    <w:rsid w:val="5E946735"/>
    <w:rsid w:val="5E954808"/>
    <w:rsid w:val="5EB6652D"/>
    <w:rsid w:val="5EBF1885"/>
    <w:rsid w:val="5EC450EE"/>
    <w:rsid w:val="5ECE3876"/>
    <w:rsid w:val="5ED2780B"/>
    <w:rsid w:val="5ED370DF"/>
    <w:rsid w:val="5ED9408C"/>
    <w:rsid w:val="5EDC13ED"/>
    <w:rsid w:val="5EE906B0"/>
    <w:rsid w:val="5EEC1F4F"/>
    <w:rsid w:val="5EFC4888"/>
    <w:rsid w:val="5F1240A2"/>
    <w:rsid w:val="5F1D4B92"/>
    <w:rsid w:val="5F494151"/>
    <w:rsid w:val="5F70441C"/>
    <w:rsid w:val="5F7E5392"/>
    <w:rsid w:val="5F905F57"/>
    <w:rsid w:val="5F9E76ED"/>
    <w:rsid w:val="5FA6034F"/>
    <w:rsid w:val="5FB85BFB"/>
    <w:rsid w:val="5FC92D4F"/>
    <w:rsid w:val="5FCE4114"/>
    <w:rsid w:val="5FD255E8"/>
    <w:rsid w:val="5FE80793"/>
    <w:rsid w:val="5FFD551C"/>
    <w:rsid w:val="600B28A8"/>
    <w:rsid w:val="601C4AB5"/>
    <w:rsid w:val="603B5FCC"/>
    <w:rsid w:val="6058457E"/>
    <w:rsid w:val="60714E01"/>
    <w:rsid w:val="6074044E"/>
    <w:rsid w:val="608A7C71"/>
    <w:rsid w:val="60912DAE"/>
    <w:rsid w:val="60997EB4"/>
    <w:rsid w:val="609D1971"/>
    <w:rsid w:val="60AA3E6F"/>
    <w:rsid w:val="60AE1334"/>
    <w:rsid w:val="60B847DE"/>
    <w:rsid w:val="60BA0556"/>
    <w:rsid w:val="60BA5B08"/>
    <w:rsid w:val="60BF3DBF"/>
    <w:rsid w:val="60CF1B28"/>
    <w:rsid w:val="61291238"/>
    <w:rsid w:val="61377DF9"/>
    <w:rsid w:val="613C71BD"/>
    <w:rsid w:val="61447297"/>
    <w:rsid w:val="615A3AE7"/>
    <w:rsid w:val="615B787F"/>
    <w:rsid w:val="615E3029"/>
    <w:rsid w:val="616E7593"/>
    <w:rsid w:val="61EF4230"/>
    <w:rsid w:val="61FE0917"/>
    <w:rsid w:val="62391F12"/>
    <w:rsid w:val="625978FB"/>
    <w:rsid w:val="62600812"/>
    <w:rsid w:val="6263278A"/>
    <w:rsid w:val="62710BA3"/>
    <w:rsid w:val="627D29B7"/>
    <w:rsid w:val="629848C7"/>
    <w:rsid w:val="629B7F14"/>
    <w:rsid w:val="629E5C56"/>
    <w:rsid w:val="62C51434"/>
    <w:rsid w:val="62CE1116"/>
    <w:rsid w:val="62EA49F7"/>
    <w:rsid w:val="62F06D62"/>
    <w:rsid w:val="62F12229"/>
    <w:rsid w:val="63100901"/>
    <w:rsid w:val="633734BF"/>
    <w:rsid w:val="635161DD"/>
    <w:rsid w:val="6378408A"/>
    <w:rsid w:val="638906B4"/>
    <w:rsid w:val="63984453"/>
    <w:rsid w:val="639A0E1F"/>
    <w:rsid w:val="63B315F5"/>
    <w:rsid w:val="63BF7C32"/>
    <w:rsid w:val="63CB4828"/>
    <w:rsid w:val="64020817"/>
    <w:rsid w:val="642A6969"/>
    <w:rsid w:val="642A77A1"/>
    <w:rsid w:val="643B19AE"/>
    <w:rsid w:val="6442401C"/>
    <w:rsid w:val="64634048"/>
    <w:rsid w:val="646D6FCF"/>
    <w:rsid w:val="647E7AED"/>
    <w:rsid w:val="648F1CFA"/>
    <w:rsid w:val="64AB50DC"/>
    <w:rsid w:val="64CD16CA"/>
    <w:rsid w:val="64D12312"/>
    <w:rsid w:val="64DD7D1A"/>
    <w:rsid w:val="6511270F"/>
    <w:rsid w:val="65312DB1"/>
    <w:rsid w:val="6535464F"/>
    <w:rsid w:val="654973EF"/>
    <w:rsid w:val="654B6FBF"/>
    <w:rsid w:val="655C5A01"/>
    <w:rsid w:val="657131AE"/>
    <w:rsid w:val="65794FD7"/>
    <w:rsid w:val="6580340B"/>
    <w:rsid w:val="65896749"/>
    <w:rsid w:val="65A11CE5"/>
    <w:rsid w:val="65C6799D"/>
    <w:rsid w:val="65D976D1"/>
    <w:rsid w:val="65DD0843"/>
    <w:rsid w:val="65DD6A95"/>
    <w:rsid w:val="65ED6CD8"/>
    <w:rsid w:val="65F55B8D"/>
    <w:rsid w:val="660202AA"/>
    <w:rsid w:val="6635242D"/>
    <w:rsid w:val="663D6677"/>
    <w:rsid w:val="664803B2"/>
    <w:rsid w:val="66754F1F"/>
    <w:rsid w:val="668549C3"/>
    <w:rsid w:val="66A25987"/>
    <w:rsid w:val="66B141AA"/>
    <w:rsid w:val="66B941C2"/>
    <w:rsid w:val="66FD6D23"/>
    <w:rsid w:val="67045FEF"/>
    <w:rsid w:val="671604B0"/>
    <w:rsid w:val="672E75BC"/>
    <w:rsid w:val="673D5A43"/>
    <w:rsid w:val="673D77EB"/>
    <w:rsid w:val="67476D91"/>
    <w:rsid w:val="674943E2"/>
    <w:rsid w:val="675039C2"/>
    <w:rsid w:val="675C6581"/>
    <w:rsid w:val="676F196F"/>
    <w:rsid w:val="677376B1"/>
    <w:rsid w:val="67793DA9"/>
    <w:rsid w:val="6784541A"/>
    <w:rsid w:val="6796514D"/>
    <w:rsid w:val="679D472E"/>
    <w:rsid w:val="67A1421E"/>
    <w:rsid w:val="67A54F4C"/>
    <w:rsid w:val="67C24194"/>
    <w:rsid w:val="67C27CF0"/>
    <w:rsid w:val="67CA4DF7"/>
    <w:rsid w:val="67CC6DC1"/>
    <w:rsid w:val="67D434F5"/>
    <w:rsid w:val="67EB4F70"/>
    <w:rsid w:val="67F04BCB"/>
    <w:rsid w:val="67FA4933"/>
    <w:rsid w:val="67FC2F18"/>
    <w:rsid w:val="67FF05E4"/>
    <w:rsid w:val="68143677"/>
    <w:rsid w:val="682208CE"/>
    <w:rsid w:val="68324ED0"/>
    <w:rsid w:val="684E5A28"/>
    <w:rsid w:val="687339B2"/>
    <w:rsid w:val="68906041"/>
    <w:rsid w:val="68A87665"/>
    <w:rsid w:val="68B64EBF"/>
    <w:rsid w:val="68B97345"/>
    <w:rsid w:val="68BE5B6E"/>
    <w:rsid w:val="69133BB1"/>
    <w:rsid w:val="69472BA3"/>
    <w:rsid w:val="694C1F68"/>
    <w:rsid w:val="696A0640"/>
    <w:rsid w:val="69777C99"/>
    <w:rsid w:val="697A2F79"/>
    <w:rsid w:val="6998102F"/>
    <w:rsid w:val="699833FF"/>
    <w:rsid w:val="699F29DF"/>
    <w:rsid w:val="69BA15C7"/>
    <w:rsid w:val="69BB533F"/>
    <w:rsid w:val="69D02B99"/>
    <w:rsid w:val="69D33990"/>
    <w:rsid w:val="69DB32EB"/>
    <w:rsid w:val="69DC22B7"/>
    <w:rsid w:val="69E27FA8"/>
    <w:rsid w:val="69F43B0C"/>
    <w:rsid w:val="6A010FA4"/>
    <w:rsid w:val="6A2E78BF"/>
    <w:rsid w:val="6A334ED5"/>
    <w:rsid w:val="6A4B66C3"/>
    <w:rsid w:val="6A5E63F6"/>
    <w:rsid w:val="6AA9734A"/>
    <w:rsid w:val="6AAF0A00"/>
    <w:rsid w:val="6AB42F97"/>
    <w:rsid w:val="6AC36259"/>
    <w:rsid w:val="6AC42DB6"/>
    <w:rsid w:val="6AD30444"/>
    <w:rsid w:val="6ADF1441"/>
    <w:rsid w:val="6AF93A8C"/>
    <w:rsid w:val="6AFF397A"/>
    <w:rsid w:val="6B090A12"/>
    <w:rsid w:val="6B107439"/>
    <w:rsid w:val="6B1637B6"/>
    <w:rsid w:val="6B2A277C"/>
    <w:rsid w:val="6B3233DF"/>
    <w:rsid w:val="6B3C52FC"/>
    <w:rsid w:val="6B481F0D"/>
    <w:rsid w:val="6B4D6CDD"/>
    <w:rsid w:val="6B4E56D4"/>
    <w:rsid w:val="6B5B5230"/>
    <w:rsid w:val="6B6C080A"/>
    <w:rsid w:val="6B6F63E1"/>
    <w:rsid w:val="6B715CB5"/>
    <w:rsid w:val="6B880ED6"/>
    <w:rsid w:val="6BA3608B"/>
    <w:rsid w:val="6BC73521"/>
    <w:rsid w:val="6BD2397F"/>
    <w:rsid w:val="6BD53C28"/>
    <w:rsid w:val="6C061855"/>
    <w:rsid w:val="6C3167E1"/>
    <w:rsid w:val="6C3867D3"/>
    <w:rsid w:val="6C4038DA"/>
    <w:rsid w:val="6C53260B"/>
    <w:rsid w:val="6C6D2921"/>
    <w:rsid w:val="6C6E6699"/>
    <w:rsid w:val="6C720B6D"/>
    <w:rsid w:val="6C8824A7"/>
    <w:rsid w:val="6C937EAD"/>
    <w:rsid w:val="6C9F4AA4"/>
    <w:rsid w:val="6CA84F54"/>
    <w:rsid w:val="6CB14A9B"/>
    <w:rsid w:val="6CC10EBE"/>
    <w:rsid w:val="6CCE7457"/>
    <w:rsid w:val="6CD429A0"/>
    <w:rsid w:val="6CF03552"/>
    <w:rsid w:val="6CFD633E"/>
    <w:rsid w:val="6D0E471C"/>
    <w:rsid w:val="6D136310"/>
    <w:rsid w:val="6D3B701E"/>
    <w:rsid w:val="6D4B0788"/>
    <w:rsid w:val="6D4C4621"/>
    <w:rsid w:val="6D5E670D"/>
    <w:rsid w:val="6D6261FE"/>
    <w:rsid w:val="6D677D53"/>
    <w:rsid w:val="6D7101EF"/>
    <w:rsid w:val="6D8141AA"/>
    <w:rsid w:val="6D8F68C7"/>
    <w:rsid w:val="6DC8572F"/>
    <w:rsid w:val="6DD54C21"/>
    <w:rsid w:val="6DF36E56"/>
    <w:rsid w:val="6E14190F"/>
    <w:rsid w:val="6E1F2B69"/>
    <w:rsid w:val="6E241705"/>
    <w:rsid w:val="6E3556C0"/>
    <w:rsid w:val="6E4B6C92"/>
    <w:rsid w:val="6E5C0E9F"/>
    <w:rsid w:val="6E6D5647"/>
    <w:rsid w:val="6E71421E"/>
    <w:rsid w:val="6E731D44"/>
    <w:rsid w:val="6EA840E4"/>
    <w:rsid w:val="6EAD6B2D"/>
    <w:rsid w:val="6EB04D47"/>
    <w:rsid w:val="6EC6456A"/>
    <w:rsid w:val="6ED31611"/>
    <w:rsid w:val="6EEA332A"/>
    <w:rsid w:val="6EEB78B2"/>
    <w:rsid w:val="6EEF69CC"/>
    <w:rsid w:val="6F0E7CBF"/>
    <w:rsid w:val="6F174DC6"/>
    <w:rsid w:val="6F216314"/>
    <w:rsid w:val="6F241291"/>
    <w:rsid w:val="6F514C29"/>
    <w:rsid w:val="6F655B31"/>
    <w:rsid w:val="6F6D284B"/>
    <w:rsid w:val="6F7246F2"/>
    <w:rsid w:val="6F814935"/>
    <w:rsid w:val="6F966D02"/>
    <w:rsid w:val="6FA348AB"/>
    <w:rsid w:val="6FB95E7D"/>
    <w:rsid w:val="6FEF2100"/>
    <w:rsid w:val="702C2AF3"/>
    <w:rsid w:val="702D1B02"/>
    <w:rsid w:val="70377A4E"/>
    <w:rsid w:val="704240C4"/>
    <w:rsid w:val="70455BD8"/>
    <w:rsid w:val="70473489"/>
    <w:rsid w:val="707029DF"/>
    <w:rsid w:val="708A15C7"/>
    <w:rsid w:val="70BA1EAD"/>
    <w:rsid w:val="70F21646"/>
    <w:rsid w:val="70F57389"/>
    <w:rsid w:val="70F759EB"/>
    <w:rsid w:val="71031AA6"/>
    <w:rsid w:val="71184E25"/>
    <w:rsid w:val="711B76F1"/>
    <w:rsid w:val="71313367"/>
    <w:rsid w:val="7148696E"/>
    <w:rsid w:val="714F44B8"/>
    <w:rsid w:val="715C7408"/>
    <w:rsid w:val="71815E8E"/>
    <w:rsid w:val="71844269"/>
    <w:rsid w:val="71B27028"/>
    <w:rsid w:val="71C73400"/>
    <w:rsid w:val="71D62D16"/>
    <w:rsid w:val="71DB20DB"/>
    <w:rsid w:val="71E2204B"/>
    <w:rsid w:val="71F94C57"/>
    <w:rsid w:val="72216AAD"/>
    <w:rsid w:val="72444CFB"/>
    <w:rsid w:val="724C122A"/>
    <w:rsid w:val="725974A3"/>
    <w:rsid w:val="726D4E24"/>
    <w:rsid w:val="727644F9"/>
    <w:rsid w:val="727F0297"/>
    <w:rsid w:val="7289422C"/>
    <w:rsid w:val="728D3E8F"/>
    <w:rsid w:val="728D50FC"/>
    <w:rsid w:val="729130E1"/>
    <w:rsid w:val="729329B5"/>
    <w:rsid w:val="729C7EBE"/>
    <w:rsid w:val="72B34E05"/>
    <w:rsid w:val="72BA6194"/>
    <w:rsid w:val="72BB1F0C"/>
    <w:rsid w:val="72C023B8"/>
    <w:rsid w:val="72DE21B2"/>
    <w:rsid w:val="72F571CC"/>
    <w:rsid w:val="731D16EF"/>
    <w:rsid w:val="731D4975"/>
    <w:rsid w:val="732574F1"/>
    <w:rsid w:val="732C6966"/>
    <w:rsid w:val="734A27AC"/>
    <w:rsid w:val="734B7734"/>
    <w:rsid w:val="73593BFF"/>
    <w:rsid w:val="735E1215"/>
    <w:rsid w:val="739F538A"/>
    <w:rsid w:val="73B201E3"/>
    <w:rsid w:val="73EA0EDA"/>
    <w:rsid w:val="74066F72"/>
    <w:rsid w:val="74081181"/>
    <w:rsid w:val="740F5FB3"/>
    <w:rsid w:val="74172DDF"/>
    <w:rsid w:val="743B6A6C"/>
    <w:rsid w:val="743D56C4"/>
    <w:rsid w:val="7443040B"/>
    <w:rsid w:val="74802078"/>
    <w:rsid w:val="748944CA"/>
    <w:rsid w:val="748A55A8"/>
    <w:rsid w:val="74AC5F05"/>
    <w:rsid w:val="74BF4D28"/>
    <w:rsid w:val="74C46298"/>
    <w:rsid w:val="74CF151E"/>
    <w:rsid w:val="74E1730A"/>
    <w:rsid w:val="74E4574A"/>
    <w:rsid w:val="751A5610"/>
    <w:rsid w:val="751E0D04"/>
    <w:rsid w:val="752A6B80"/>
    <w:rsid w:val="753B22D6"/>
    <w:rsid w:val="753C5586"/>
    <w:rsid w:val="758754C2"/>
    <w:rsid w:val="758F3FBD"/>
    <w:rsid w:val="759B5DBA"/>
    <w:rsid w:val="75A849CA"/>
    <w:rsid w:val="75AF3FAA"/>
    <w:rsid w:val="75CD2682"/>
    <w:rsid w:val="75D86691"/>
    <w:rsid w:val="75E25897"/>
    <w:rsid w:val="75F96FD3"/>
    <w:rsid w:val="76004806"/>
    <w:rsid w:val="76032465"/>
    <w:rsid w:val="763D457B"/>
    <w:rsid w:val="7644557D"/>
    <w:rsid w:val="76607052"/>
    <w:rsid w:val="76636B42"/>
    <w:rsid w:val="76764AC8"/>
    <w:rsid w:val="7688664F"/>
    <w:rsid w:val="76937428"/>
    <w:rsid w:val="76A14624"/>
    <w:rsid w:val="76AE4262"/>
    <w:rsid w:val="76B31878"/>
    <w:rsid w:val="76CC1462"/>
    <w:rsid w:val="76DD06A3"/>
    <w:rsid w:val="77000835"/>
    <w:rsid w:val="77057BFA"/>
    <w:rsid w:val="770D3F13"/>
    <w:rsid w:val="772B58B2"/>
    <w:rsid w:val="774E76A8"/>
    <w:rsid w:val="77533854"/>
    <w:rsid w:val="77846D70"/>
    <w:rsid w:val="778B00FF"/>
    <w:rsid w:val="77981E3E"/>
    <w:rsid w:val="77AB6973"/>
    <w:rsid w:val="77BF26A1"/>
    <w:rsid w:val="77ED700C"/>
    <w:rsid w:val="77F50D46"/>
    <w:rsid w:val="780305DD"/>
    <w:rsid w:val="780A196C"/>
    <w:rsid w:val="78252301"/>
    <w:rsid w:val="78255920"/>
    <w:rsid w:val="783D0D9D"/>
    <w:rsid w:val="78430BF2"/>
    <w:rsid w:val="784E5D4B"/>
    <w:rsid w:val="78680A80"/>
    <w:rsid w:val="7893405E"/>
    <w:rsid w:val="78A3591C"/>
    <w:rsid w:val="78AF6EF2"/>
    <w:rsid w:val="78D15FE5"/>
    <w:rsid w:val="78D51699"/>
    <w:rsid w:val="78FA19E0"/>
    <w:rsid w:val="79112BA7"/>
    <w:rsid w:val="79132AA2"/>
    <w:rsid w:val="79315BF2"/>
    <w:rsid w:val="793A6280"/>
    <w:rsid w:val="793C0847"/>
    <w:rsid w:val="797B776E"/>
    <w:rsid w:val="7982673A"/>
    <w:rsid w:val="798968C0"/>
    <w:rsid w:val="798E037A"/>
    <w:rsid w:val="79A656C4"/>
    <w:rsid w:val="79B7167F"/>
    <w:rsid w:val="79D07F63"/>
    <w:rsid w:val="79E75577"/>
    <w:rsid w:val="79E95A12"/>
    <w:rsid w:val="79F36DB4"/>
    <w:rsid w:val="79FB716F"/>
    <w:rsid w:val="7A02547E"/>
    <w:rsid w:val="7A080F83"/>
    <w:rsid w:val="7A11523E"/>
    <w:rsid w:val="7A3079B1"/>
    <w:rsid w:val="7A394769"/>
    <w:rsid w:val="7A626586"/>
    <w:rsid w:val="7A65732D"/>
    <w:rsid w:val="7A85352B"/>
    <w:rsid w:val="7A8552D9"/>
    <w:rsid w:val="7AA528DF"/>
    <w:rsid w:val="7AAF7244"/>
    <w:rsid w:val="7AB91427"/>
    <w:rsid w:val="7ABC3569"/>
    <w:rsid w:val="7ACC115A"/>
    <w:rsid w:val="7AD80A50"/>
    <w:rsid w:val="7AEE23C9"/>
    <w:rsid w:val="7AEF6BF7"/>
    <w:rsid w:val="7AFB284F"/>
    <w:rsid w:val="7B130B37"/>
    <w:rsid w:val="7B1B3742"/>
    <w:rsid w:val="7B452056"/>
    <w:rsid w:val="7B5E7A13"/>
    <w:rsid w:val="7B6C6060"/>
    <w:rsid w:val="7B6E3FBF"/>
    <w:rsid w:val="7B724CBB"/>
    <w:rsid w:val="7B845A59"/>
    <w:rsid w:val="7BCC0CE6"/>
    <w:rsid w:val="7BE2675B"/>
    <w:rsid w:val="7BEE4778"/>
    <w:rsid w:val="7BF32717"/>
    <w:rsid w:val="7BF546E1"/>
    <w:rsid w:val="7BFF2E69"/>
    <w:rsid w:val="7C014E34"/>
    <w:rsid w:val="7C087B27"/>
    <w:rsid w:val="7C1745DC"/>
    <w:rsid w:val="7C1B7EC0"/>
    <w:rsid w:val="7C3D3992"/>
    <w:rsid w:val="7C3F3BAE"/>
    <w:rsid w:val="7C817D22"/>
    <w:rsid w:val="7C8506F5"/>
    <w:rsid w:val="7C8E270A"/>
    <w:rsid w:val="7C9537CE"/>
    <w:rsid w:val="7D0E5F15"/>
    <w:rsid w:val="7D0F532E"/>
    <w:rsid w:val="7D2F777E"/>
    <w:rsid w:val="7D3A28B1"/>
    <w:rsid w:val="7D8750EF"/>
    <w:rsid w:val="7D8F646F"/>
    <w:rsid w:val="7DB40383"/>
    <w:rsid w:val="7DCA10C8"/>
    <w:rsid w:val="7DCF791A"/>
    <w:rsid w:val="7DD345AE"/>
    <w:rsid w:val="7DD54E72"/>
    <w:rsid w:val="7DD86068"/>
    <w:rsid w:val="7E0522DA"/>
    <w:rsid w:val="7E097FCF"/>
    <w:rsid w:val="7E11492D"/>
    <w:rsid w:val="7E2114A5"/>
    <w:rsid w:val="7E3331A4"/>
    <w:rsid w:val="7E377EF0"/>
    <w:rsid w:val="7E4215D3"/>
    <w:rsid w:val="7E4E00D8"/>
    <w:rsid w:val="7E4E1E86"/>
    <w:rsid w:val="7E631DD5"/>
    <w:rsid w:val="7E7C2430"/>
    <w:rsid w:val="7E806A0E"/>
    <w:rsid w:val="7E8B2094"/>
    <w:rsid w:val="7EA146AC"/>
    <w:rsid w:val="7F007624"/>
    <w:rsid w:val="7F1255AA"/>
    <w:rsid w:val="7F272E03"/>
    <w:rsid w:val="7F2F7F0A"/>
    <w:rsid w:val="7F5F1F5B"/>
    <w:rsid w:val="7F7123CF"/>
    <w:rsid w:val="7F8D69DE"/>
    <w:rsid w:val="7F9A66EF"/>
    <w:rsid w:val="7FBC33E3"/>
    <w:rsid w:val="7FBF128D"/>
    <w:rsid w:val="7FE37BEC"/>
    <w:rsid w:val="7FEA5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9"/>
    <w:qFormat/>
    <w:uiPriority w:val="0"/>
    <w:pPr>
      <w:keepNext/>
      <w:keepLines/>
      <w:spacing w:line="360" w:lineRule="auto"/>
      <w:jc w:val="center"/>
      <w:outlineLvl w:val="0"/>
    </w:pPr>
    <w:rPr>
      <w:rFonts w:ascii="Times New Roman" w:hAnsi="Times New Roman" w:eastAsia="仿宋"/>
      <w:b/>
      <w:bCs/>
      <w:kern w:val="44"/>
      <w:sz w:val="36"/>
      <w:szCs w:val="44"/>
    </w:rPr>
  </w:style>
  <w:style w:type="paragraph" w:styleId="3">
    <w:name w:val="heading 2"/>
    <w:basedOn w:val="1"/>
    <w:next w:val="1"/>
    <w:link w:val="40"/>
    <w:qFormat/>
    <w:uiPriority w:val="0"/>
    <w:pPr>
      <w:keepNext/>
      <w:keepLines/>
      <w:spacing w:line="360" w:lineRule="auto"/>
      <w:jc w:val="center"/>
      <w:outlineLvl w:val="1"/>
    </w:pPr>
    <w:rPr>
      <w:rFonts w:ascii="Arial" w:hAnsi="Arial" w:eastAsia="仿宋"/>
      <w:b/>
      <w:bCs/>
      <w:sz w:val="32"/>
      <w:szCs w:val="32"/>
    </w:rPr>
  </w:style>
  <w:style w:type="paragraph" w:styleId="4">
    <w:name w:val="heading 3"/>
    <w:basedOn w:val="1"/>
    <w:next w:val="1"/>
    <w:qFormat/>
    <w:uiPriority w:val="0"/>
    <w:pPr>
      <w:keepNext/>
      <w:widowControl/>
      <w:spacing w:before="240" w:after="60" w:line="360" w:lineRule="auto"/>
      <w:ind w:firstLine="420" w:firstLineChars="200"/>
      <w:jc w:val="left"/>
      <w:outlineLvl w:val="2"/>
    </w:pPr>
    <w:rPr>
      <w:rFonts w:ascii="Cambria" w:hAnsi="Cambria"/>
      <w:b/>
      <w:bCs/>
      <w:kern w:val="0"/>
      <w:sz w:val="26"/>
      <w:szCs w:val="26"/>
      <w:lang w:bidi="en-US"/>
    </w:rPr>
  </w:style>
  <w:style w:type="paragraph" w:styleId="5">
    <w:name w:val="heading 4"/>
    <w:basedOn w:val="1"/>
    <w:next w:val="1"/>
    <w:qFormat/>
    <w:uiPriority w:val="0"/>
    <w:pPr>
      <w:keepNext/>
      <w:widowControl/>
      <w:spacing w:before="240" w:after="60" w:line="360" w:lineRule="auto"/>
      <w:ind w:firstLine="420" w:firstLineChars="200"/>
      <w:jc w:val="left"/>
      <w:outlineLvl w:val="3"/>
    </w:pPr>
    <w:rPr>
      <w:rFonts w:ascii="仿宋_GB2312" w:hAnsi="宋体" w:eastAsia="仿宋_GB2312"/>
      <w:b/>
      <w:bCs/>
      <w:kern w:val="0"/>
      <w:sz w:val="28"/>
      <w:szCs w:val="28"/>
      <w:lang w:bidi="en-US"/>
    </w:rPr>
  </w:style>
  <w:style w:type="character" w:default="1" w:styleId="30">
    <w:name w:val="Default Paragraph Font"/>
    <w:qFormat/>
    <w:uiPriority w:val="0"/>
  </w:style>
  <w:style w:type="table" w:default="1" w:styleId="28">
    <w:name w:val="Normal Table"/>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Document Map"/>
    <w:basedOn w:val="1"/>
    <w:next w:val="1"/>
    <w:semiHidden/>
    <w:qFormat/>
    <w:uiPriority w:val="0"/>
    <w:pPr>
      <w:shd w:val="clear" w:color="auto" w:fill="000080"/>
    </w:pPr>
  </w:style>
  <w:style w:type="paragraph" w:styleId="8">
    <w:name w:val="toa heading"/>
    <w:basedOn w:val="1"/>
    <w:next w:val="1"/>
    <w:qFormat/>
    <w:uiPriority w:val="0"/>
    <w:pPr>
      <w:autoSpaceDE w:val="0"/>
      <w:spacing w:before="120"/>
    </w:pPr>
    <w:rPr>
      <w:rFonts w:ascii="Arial" w:hAnsi="Arial"/>
      <w:b/>
      <w:kern w:val="0"/>
      <w:sz w:val="18"/>
      <w:szCs w:val="20"/>
    </w:rPr>
  </w:style>
  <w:style w:type="paragraph" w:styleId="9">
    <w:name w:val="Body Text 3"/>
    <w:basedOn w:val="1"/>
    <w:qFormat/>
    <w:uiPriority w:val="0"/>
    <w:rPr>
      <w:rFonts w:ascii="宋体"/>
      <w:kern w:val="0"/>
      <w:sz w:val="24"/>
      <w:szCs w:val="20"/>
      <w:lang w:val="zh-CN"/>
    </w:rPr>
  </w:style>
  <w:style w:type="paragraph" w:styleId="10">
    <w:name w:val="Body Text"/>
    <w:basedOn w:val="1"/>
    <w:next w:val="11"/>
    <w:qFormat/>
    <w:uiPriority w:val="0"/>
    <w:pPr>
      <w:widowControl/>
      <w:spacing w:line="360" w:lineRule="auto"/>
      <w:ind w:firstLine="420" w:firstLineChars="200"/>
      <w:jc w:val="left"/>
    </w:pPr>
    <w:rPr>
      <w:rFonts w:ascii="宋体" w:hAnsi="宋体"/>
      <w:color w:val="000000"/>
      <w:kern w:val="0"/>
      <w:sz w:val="18"/>
      <w:szCs w:val="18"/>
      <w:lang w:bidi="en-US"/>
    </w:rPr>
  </w:style>
  <w:style w:type="paragraph" w:styleId="11">
    <w:name w:val="toc 5"/>
    <w:basedOn w:val="1"/>
    <w:next w:val="1"/>
    <w:qFormat/>
    <w:uiPriority w:val="39"/>
    <w:pPr>
      <w:ind w:left="1680" w:leftChars="800"/>
    </w:pPr>
  </w:style>
  <w:style w:type="paragraph" w:styleId="12">
    <w:name w:val="Body Text Indent"/>
    <w:basedOn w:val="1"/>
    <w:next w:val="13"/>
    <w:qFormat/>
    <w:uiPriority w:val="0"/>
    <w:pPr>
      <w:widowControl/>
      <w:spacing w:line="360" w:lineRule="auto"/>
      <w:ind w:firstLine="489" w:firstLineChars="178"/>
      <w:jc w:val="left"/>
    </w:pPr>
    <w:rPr>
      <w:rFonts w:ascii="宋体" w:hAnsi="宋体"/>
      <w:color w:val="000000"/>
      <w:kern w:val="0"/>
      <w:sz w:val="18"/>
      <w:szCs w:val="18"/>
      <w:lang w:bidi="en-US"/>
    </w:rPr>
  </w:style>
  <w:style w:type="paragraph" w:styleId="13">
    <w:name w:val="Body Text First Indent 2"/>
    <w:basedOn w:val="12"/>
    <w:qFormat/>
    <w:uiPriority w:val="0"/>
    <w:pPr>
      <w:widowControl w:val="0"/>
      <w:spacing w:after="120" w:line="240" w:lineRule="auto"/>
      <w:ind w:left="420" w:leftChars="200" w:firstLine="420" w:firstLineChars="200"/>
    </w:pPr>
    <w:rPr>
      <w:sz w:val="24"/>
      <w:szCs w:val="24"/>
    </w:rPr>
  </w:style>
  <w:style w:type="paragraph" w:styleId="14">
    <w:name w:val="toc 3"/>
    <w:basedOn w:val="1"/>
    <w:next w:val="1"/>
    <w:qFormat/>
    <w:uiPriority w:val="39"/>
    <w:pPr>
      <w:ind w:left="420"/>
      <w:jc w:val="left"/>
    </w:pPr>
    <w:rPr>
      <w:rFonts w:ascii="Calibri" w:hAnsi="Calibri"/>
      <w:i/>
      <w:iCs/>
      <w:sz w:val="20"/>
      <w:szCs w:val="20"/>
    </w:rPr>
  </w:style>
  <w:style w:type="paragraph" w:styleId="15">
    <w:name w:val="Plain Text"/>
    <w:basedOn w:val="1"/>
    <w:next w:val="1"/>
    <w:qFormat/>
    <w:uiPriority w:val="0"/>
    <w:rPr>
      <w:rFonts w:ascii="宋体" w:hAnsi="Courier New"/>
      <w:szCs w:val="21"/>
    </w:rPr>
  </w:style>
  <w:style w:type="paragraph" w:styleId="16">
    <w:name w:val="Body Text Indent 2"/>
    <w:basedOn w:val="1"/>
    <w:qFormat/>
    <w:uiPriority w:val="0"/>
    <w:pPr>
      <w:ind w:firstLine="480" w:firstLineChars="200"/>
    </w:pPr>
    <w:rPr>
      <w:rFonts w:ascii="Tahoma" w:hAnsi="Tahoma" w:eastAsia="宋体"/>
      <w:kern w:val="2"/>
      <w:sz w:val="24"/>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qFormat/>
    <w:uiPriority w:val="99"/>
    <w:pPr>
      <w:pBdr>
        <w:bottom w:val="single" w:color="auto" w:sz="6" w:space="1"/>
      </w:pBdr>
      <w:tabs>
        <w:tab w:val="center" w:pos="4153"/>
        <w:tab w:val="right" w:pos="8306"/>
      </w:tabs>
      <w:snapToGrid w:val="0"/>
      <w:jc w:val="center"/>
    </w:pPr>
    <w:rPr>
      <w:rFonts w:ascii="Times New Roman" w:hAnsi="Times New Roman" w:eastAsia="宋体"/>
      <w:sz w:val="18"/>
      <w:szCs w:val="18"/>
    </w:rPr>
  </w:style>
  <w:style w:type="paragraph" w:styleId="19">
    <w:name w:val="toc 1"/>
    <w:basedOn w:val="1"/>
    <w:next w:val="1"/>
    <w:qFormat/>
    <w:uiPriority w:val="39"/>
    <w:pPr>
      <w:adjustRightInd/>
      <w:snapToGrid/>
      <w:spacing w:before="120" w:after="120" w:line="240" w:lineRule="auto"/>
      <w:jc w:val="left"/>
    </w:pPr>
    <w:rPr>
      <w:rFonts w:ascii="Calibri" w:hAnsi="Calibri"/>
      <w:b/>
      <w:bCs/>
      <w:caps/>
      <w:snapToGrid/>
      <w:kern w:val="2"/>
      <w:sz w:val="20"/>
      <w:szCs w:val="20"/>
    </w:rPr>
  </w:style>
  <w:style w:type="paragraph" w:styleId="20">
    <w:name w:val="toc 4"/>
    <w:basedOn w:val="1"/>
    <w:next w:val="1"/>
    <w:qFormat/>
    <w:uiPriority w:val="0"/>
    <w:pPr>
      <w:ind w:left="1260" w:leftChars="600"/>
    </w:pPr>
  </w:style>
  <w:style w:type="paragraph" w:styleId="21">
    <w:name w:val="Subtitle"/>
    <w:basedOn w:val="1"/>
    <w:next w:val="1"/>
    <w:qFormat/>
    <w:uiPriority w:val="11"/>
    <w:pPr>
      <w:spacing w:before="240" w:after="60" w:line="312" w:lineRule="auto"/>
      <w:jc w:val="center"/>
      <w:outlineLvl w:val="1"/>
    </w:pPr>
    <w:rPr>
      <w:rFonts w:ascii="Cambria" w:hAnsi="Cambria" w:cs="Times New Roman"/>
      <w:b/>
      <w:bCs/>
      <w:kern w:val="28"/>
      <w:sz w:val="32"/>
      <w:szCs w:val="32"/>
    </w:rPr>
  </w:style>
  <w:style w:type="paragraph" w:styleId="22">
    <w:name w:val="List 5"/>
    <w:basedOn w:val="1"/>
    <w:next w:val="23"/>
    <w:semiHidden/>
    <w:qFormat/>
    <w:uiPriority w:val="99"/>
    <w:pPr>
      <w:ind w:left="2100" w:hanging="420"/>
    </w:pPr>
  </w:style>
  <w:style w:type="paragraph" w:customStyle="1" w:styleId="23">
    <w:name w:val="目录 51"/>
    <w:basedOn w:val="1"/>
    <w:next w:val="1"/>
    <w:qFormat/>
    <w:uiPriority w:val="0"/>
    <w:pPr>
      <w:ind w:left="630"/>
    </w:pPr>
    <w:rPr>
      <w:sz w:val="20"/>
    </w:rPr>
  </w:style>
  <w:style w:type="paragraph" w:styleId="24">
    <w:name w:val="toc 2"/>
    <w:basedOn w:val="1"/>
    <w:next w:val="1"/>
    <w:qFormat/>
    <w:uiPriority w:val="39"/>
    <w:pPr>
      <w:ind w:left="210"/>
      <w:jc w:val="left"/>
    </w:pPr>
    <w:rPr>
      <w:rFonts w:ascii="Calibri" w:hAnsi="Calibri"/>
      <w:smallCaps/>
      <w:sz w:val="20"/>
      <w:szCs w:val="20"/>
    </w:rPr>
  </w:style>
  <w:style w:type="paragraph" w:styleId="2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6">
    <w:name w:val="Normal (Web)"/>
    <w:basedOn w:val="1"/>
    <w:qFormat/>
    <w:uiPriority w:val="0"/>
    <w:pPr>
      <w:widowControl/>
      <w:spacing w:line="360" w:lineRule="auto"/>
      <w:ind w:firstLine="420" w:firstLineChars="200"/>
      <w:jc w:val="left"/>
    </w:pPr>
    <w:rPr>
      <w:rFonts w:ascii="仿宋_GB2312" w:hAnsi="宋体"/>
      <w:kern w:val="0"/>
      <w:szCs w:val="21"/>
      <w:lang w:bidi="en-US"/>
    </w:rPr>
  </w:style>
  <w:style w:type="paragraph" w:styleId="27">
    <w:name w:val="Body Text First Indent"/>
    <w:basedOn w:val="10"/>
    <w:qFormat/>
    <w:uiPriority w:val="0"/>
    <w:pPr>
      <w:widowControl/>
      <w:spacing w:after="120" w:line="276" w:lineRule="auto"/>
      <w:ind w:firstLine="420" w:firstLineChars="100"/>
      <w:jc w:val="left"/>
    </w:pPr>
    <w:rPr>
      <w:rFonts w:ascii="宋体"/>
      <w:sz w:val="21"/>
    </w:rPr>
  </w:style>
  <w:style w:type="table" w:styleId="29">
    <w:name w:val="Table Grid"/>
    <w:basedOn w:val="2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qFormat/>
    <w:uiPriority w:val="0"/>
    <w:rPr>
      <w:b/>
    </w:rPr>
  </w:style>
  <w:style w:type="character" w:styleId="32">
    <w:name w:val="page number"/>
    <w:basedOn w:val="30"/>
    <w:qFormat/>
    <w:uiPriority w:val="0"/>
  </w:style>
  <w:style w:type="character" w:styleId="33">
    <w:name w:val="Hyperlink"/>
    <w:basedOn w:val="30"/>
    <w:qFormat/>
    <w:uiPriority w:val="0"/>
    <w:rPr>
      <w:color w:val="0000FF"/>
      <w:u w:val="single"/>
    </w:rPr>
  </w:style>
  <w:style w:type="character" w:styleId="34">
    <w:name w:val="annotation reference"/>
    <w:qFormat/>
    <w:uiPriority w:val="99"/>
    <w:rPr>
      <w:sz w:val="21"/>
      <w:szCs w:val="21"/>
    </w:rPr>
  </w:style>
  <w:style w:type="paragraph" w:customStyle="1" w:styleId="35">
    <w:name w:val="Normal_1"/>
    <w:qFormat/>
    <w:uiPriority w:val="99"/>
    <w:pPr>
      <w:widowControl w:val="0"/>
      <w:spacing w:after="200" w:line="276" w:lineRule="auto"/>
      <w:jc w:val="both"/>
    </w:pPr>
    <w:rPr>
      <w:rFonts w:ascii="Times New Roman" w:hAnsi="Times New Roman" w:eastAsia="宋体" w:cs="Times New Roman"/>
      <w:sz w:val="21"/>
      <w:szCs w:val="21"/>
      <w:lang w:val="en-US" w:eastAsia="zh-CN" w:bidi="ar-SA"/>
    </w:rPr>
  </w:style>
  <w:style w:type="paragraph" w:customStyle="1" w:styleId="36">
    <w:name w:val="表"/>
    <w:basedOn w:val="1"/>
    <w:qFormat/>
    <w:uiPriority w:val="0"/>
    <w:pPr>
      <w:adjustRightInd w:val="0"/>
      <w:snapToGrid w:val="0"/>
      <w:spacing w:line="360" w:lineRule="auto"/>
      <w:jc w:val="center"/>
    </w:pPr>
    <w:rPr>
      <w:rFonts w:ascii="宋体" w:hAnsi="宋体"/>
      <w:snapToGrid w:val="0"/>
      <w:kern w:val="24"/>
      <w:szCs w:val="21"/>
    </w:rPr>
  </w:style>
  <w:style w:type="paragraph" w:customStyle="1" w:styleId="37">
    <w:name w:val="Default"/>
    <w:next w:val="38"/>
    <w:qFormat/>
    <w:uiPriority w:val="0"/>
    <w:pPr>
      <w:widowControl w:val="0"/>
      <w:autoSpaceDE w:val="0"/>
      <w:autoSpaceDN w:val="0"/>
      <w:adjustRightInd w:val="0"/>
    </w:pPr>
    <w:rPr>
      <w:rFonts w:ascii="黑体" w:hAnsi="Times New Roman" w:eastAsia="黑体" w:cs="Times New Roman"/>
      <w:color w:val="000000"/>
      <w:sz w:val="24"/>
      <w:szCs w:val="24"/>
      <w:lang w:val="en-US" w:eastAsia="zh-CN" w:bidi="ar-SA"/>
    </w:rPr>
  </w:style>
  <w:style w:type="paragraph" w:customStyle="1" w:styleId="38">
    <w:name w:val="正文缩进1"/>
    <w:qFormat/>
    <w:uiPriority w:val="0"/>
    <w:pPr>
      <w:wordWrap w:val="0"/>
      <w:ind w:left="3400"/>
      <w:jc w:val="both"/>
    </w:pPr>
    <w:rPr>
      <w:rFonts w:ascii="Times New Roman" w:hAnsi="Times New Roman" w:eastAsia="宋体" w:cs="Times New Roman"/>
      <w:sz w:val="21"/>
      <w:lang w:val="en-US" w:eastAsia="zh-CN" w:bidi="ar-SA"/>
    </w:rPr>
  </w:style>
  <w:style w:type="character" w:customStyle="1" w:styleId="39">
    <w:name w:val="标题 1 Char"/>
    <w:link w:val="2"/>
    <w:qFormat/>
    <w:uiPriority w:val="0"/>
    <w:rPr>
      <w:rFonts w:ascii="Times New Roman" w:hAnsi="Times New Roman" w:eastAsia="仿宋"/>
      <w:b/>
      <w:bCs/>
      <w:kern w:val="44"/>
      <w:sz w:val="36"/>
      <w:szCs w:val="44"/>
    </w:rPr>
  </w:style>
  <w:style w:type="character" w:customStyle="1" w:styleId="40">
    <w:name w:val="标题 2 Char"/>
    <w:link w:val="3"/>
    <w:qFormat/>
    <w:uiPriority w:val="0"/>
    <w:rPr>
      <w:rFonts w:ascii="Arial" w:hAnsi="Arial" w:eastAsia="仿宋"/>
      <w:b/>
      <w:bCs/>
      <w:sz w:val="32"/>
      <w:szCs w:val="32"/>
    </w:rPr>
  </w:style>
  <w:style w:type="paragraph" w:customStyle="1" w:styleId="41">
    <w:name w:val="表格样式2"/>
    <w:basedOn w:val="1"/>
    <w:qFormat/>
    <w:uiPriority w:val="0"/>
    <w:pPr>
      <w:widowControl/>
      <w:spacing w:line="276" w:lineRule="auto"/>
      <w:jc w:val="left"/>
    </w:pPr>
    <w:rPr>
      <w:rFonts w:ascii="仿宋_GB2312" w:hAnsi="宋体" w:eastAsia="仿宋_GB2312"/>
      <w:kern w:val="0"/>
      <w:sz w:val="18"/>
      <w:szCs w:val="18"/>
      <w:lang w:bidi="en-US"/>
    </w:rPr>
  </w:style>
  <w:style w:type="paragraph" w:customStyle="1" w:styleId="42">
    <w:name w:val="列出段落2"/>
    <w:basedOn w:val="1"/>
    <w:qFormat/>
    <w:uiPriority w:val="99"/>
    <w:pPr>
      <w:ind w:firstLine="420" w:firstLineChars="200"/>
    </w:pPr>
    <w:rPr>
      <w:rFonts w:ascii="Calibri" w:hAnsi="Calibri" w:cs="黑体"/>
      <w:szCs w:val="22"/>
    </w:rPr>
  </w:style>
  <w:style w:type="paragraph" w:customStyle="1" w:styleId="43">
    <w:name w:val="正文（标准）"/>
    <w:basedOn w:val="1"/>
    <w:next w:val="1"/>
    <w:qFormat/>
    <w:uiPriority w:val="0"/>
    <w:pPr>
      <w:ind w:firstLine="525"/>
    </w:pPr>
    <w:rPr>
      <w:rFonts w:ascii="宋体" w:hAnsi="宋体"/>
    </w:rPr>
  </w:style>
  <w:style w:type="character" w:customStyle="1" w:styleId="44">
    <w:name w:val="10"/>
    <w:basedOn w:val="30"/>
    <w:qFormat/>
    <w:uiPriority w:val="0"/>
    <w:rPr>
      <w:rFonts w:hint="default" w:ascii="Calibri" w:hAnsi="Calibri" w:eastAsia="宋体" w:cs="Times New Roman"/>
    </w:rPr>
  </w:style>
  <w:style w:type="paragraph" w:customStyle="1" w:styleId="45">
    <w:name w:val="副标题1"/>
    <w:basedOn w:val="1"/>
    <w:qFormat/>
    <w:uiPriority w:val="0"/>
    <w:pPr>
      <w:numPr>
        <w:ilvl w:val="1"/>
        <w:numId w:val="1"/>
      </w:numPr>
    </w:pPr>
  </w:style>
  <w:style w:type="paragraph" w:customStyle="1" w:styleId="46">
    <w:name w:val="副标题2"/>
    <w:basedOn w:val="1"/>
    <w:qFormat/>
    <w:uiPriority w:val="0"/>
    <w:pPr>
      <w:numPr>
        <w:ilvl w:val="2"/>
        <w:numId w:val="1"/>
      </w:numPr>
    </w:pPr>
  </w:style>
  <w:style w:type="paragraph" w:customStyle="1" w:styleId="47">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48">
    <w:name w:val="正常"/>
    <w:qFormat/>
    <w:uiPriority w:val="0"/>
    <w:rPr>
      <w:rFonts w:ascii="Times New Roman" w:hAnsi="Times New Roman" w:eastAsia="Times New Roman" w:cs="Times New Roman"/>
      <w:sz w:val="24"/>
      <w:szCs w:val="24"/>
      <w:lang w:val="en-US" w:eastAsia="zh-CN" w:bidi="ar-SA"/>
    </w:rPr>
  </w:style>
  <w:style w:type="paragraph" w:customStyle="1" w:styleId="49">
    <w:name w:val="Table Paragraph"/>
    <w:basedOn w:val="1"/>
    <w:qFormat/>
    <w:uiPriority w:val="99"/>
    <w:pPr>
      <w:autoSpaceDE w:val="0"/>
      <w:autoSpaceDN w:val="0"/>
      <w:adjustRightInd w:val="0"/>
      <w:spacing w:after="200" w:line="276" w:lineRule="auto"/>
      <w:jc w:val="left"/>
    </w:pPr>
    <w:rPr>
      <w:kern w:val="0"/>
      <w:sz w:val="24"/>
    </w:rPr>
  </w:style>
  <w:style w:type="paragraph" w:customStyle="1" w:styleId="50">
    <w:name w:val="Normal_0_0_0"/>
    <w:basedOn w:val="51"/>
    <w:qFormat/>
    <w:uiPriority w:val="0"/>
    <w:pPr>
      <w:jc w:val="left"/>
    </w:pPr>
    <w:rPr>
      <w:rFonts w:ascii="Calibri" w:hAnsi="Calibri" w:cs="宋体"/>
      <w:sz w:val="24"/>
      <w:szCs w:val="24"/>
    </w:rPr>
  </w:style>
  <w:style w:type="paragraph" w:customStyle="1" w:styleId="51">
    <w:name w:val="Normal_4"/>
    <w:qFormat/>
    <w:uiPriority w:val="0"/>
    <w:pPr>
      <w:widowControl w:val="0"/>
      <w:jc w:val="both"/>
    </w:pPr>
    <w:rPr>
      <w:rFonts w:ascii="Times New Roman" w:hAnsi="Times New Roman" w:eastAsia="宋体" w:cs="Times New Roman"/>
      <w:szCs w:val="21"/>
      <w:lang w:val="en-US" w:eastAsia="zh-CN" w:bidi="ar-SA"/>
    </w:rPr>
  </w:style>
  <w:style w:type="paragraph" w:customStyle="1" w:styleId="52">
    <w:name w:val="Normal_3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53">
    <w:name w:val="p15"/>
    <w:basedOn w:val="52"/>
    <w:qFormat/>
    <w:uiPriority w:val="0"/>
    <w:pPr>
      <w:spacing w:line="30" w:lineRule="atLeast"/>
      <w:ind w:firstLine="4200"/>
      <w:jc w:val="left"/>
    </w:pPr>
    <w:rPr>
      <w:rFonts w:hint="eastAsia" w:ascii="宋体" w:hAnsi="宋体"/>
      <w:kern w:val="0"/>
      <w:szCs w:val="21"/>
    </w:rPr>
  </w:style>
  <w:style w:type="paragraph" w:customStyle="1" w:styleId="54">
    <w:name w:val="p12"/>
    <w:basedOn w:val="1"/>
    <w:qFormat/>
    <w:uiPriority w:val="0"/>
    <w:pPr>
      <w:widowControl/>
      <w:spacing w:before="100" w:beforeAutospacing="1" w:after="100" w:afterAutospacing="1"/>
      <w:jc w:val="left"/>
    </w:pPr>
    <w:rPr>
      <w:rFonts w:ascii="Calibri" w:hAnsi="Calibri"/>
      <w:color w:val="000000"/>
      <w:kern w:val="0"/>
      <w:sz w:val="24"/>
      <w:szCs w:val="20"/>
    </w:rPr>
  </w:style>
  <w:style w:type="paragraph" w:customStyle="1" w:styleId="55">
    <w:name w:val="Normal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7">
    <w:name w:val="首行缩进"/>
    <w:basedOn w:val="1"/>
    <w:qFormat/>
    <w:uiPriority w:val="0"/>
    <w:pPr>
      <w:ind w:firstLine="480" w:firstLineChars="200"/>
    </w:pPr>
    <w:rPr>
      <w:lang w:val="zh-CN"/>
    </w:rPr>
  </w:style>
  <w:style w:type="paragraph" w:customStyle="1" w:styleId="58">
    <w:name w:val="25正文"/>
    <w:basedOn w:val="1"/>
    <w:qFormat/>
    <w:uiPriority w:val="0"/>
    <w:pPr>
      <w:spacing w:line="500" w:lineRule="exact"/>
      <w:ind w:firstLine="567"/>
    </w:pPr>
    <w:rPr>
      <w:rFonts w:cs="宋体"/>
      <w:sz w:val="28"/>
      <w:szCs w:val="28"/>
    </w:rPr>
  </w:style>
  <w:style w:type="table" w:customStyle="1" w:styleId="59">
    <w:name w:val="Table Normal_0"/>
    <w:qFormat/>
    <w:uiPriority w:val="0"/>
    <w:tblPr>
      <w:tblCellMar>
        <w:top w:w="0" w:type="dxa"/>
        <w:left w:w="0" w:type="dxa"/>
        <w:bottom w:w="0" w:type="dxa"/>
        <w:right w:w="0" w:type="dxa"/>
      </w:tblCellMar>
    </w:tblPr>
  </w:style>
  <w:style w:type="paragraph" w:customStyle="1" w:styleId="60">
    <w:name w:val="Heading 3_0"/>
    <w:basedOn w:val="61"/>
    <w:next w:val="61"/>
    <w:qFormat/>
    <w:uiPriority w:val="0"/>
    <w:pPr>
      <w:keepNext/>
      <w:keepLines/>
      <w:spacing w:before="260" w:after="260" w:line="415" w:lineRule="auto"/>
      <w:outlineLvl w:val="2"/>
    </w:pPr>
    <w:rPr>
      <w:b/>
      <w:bCs/>
      <w:sz w:val="32"/>
      <w:szCs w:val="32"/>
    </w:rPr>
  </w:style>
  <w:style w:type="paragraph" w:customStyle="1" w:styleId="61">
    <w:name w:val="Normal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表格文字居中"/>
    <w:next w:val="1"/>
    <w:qFormat/>
    <w:uiPriority w:val="0"/>
    <w:pPr>
      <w:tabs>
        <w:tab w:val="left" w:pos="720"/>
        <w:tab w:val="left" w:pos="900"/>
      </w:tabs>
      <w:wordWrap w:val="0"/>
      <w:adjustRightInd w:val="0"/>
      <w:snapToGrid w:val="0"/>
      <w:spacing w:before="140" w:line="360" w:lineRule="auto"/>
      <w:contextualSpacing/>
      <w:jc w:val="center"/>
    </w:pPr>
    <w:rPr>
      <w:rFonts w:ascii="Times New Roman" w:hAnsi="Times New Roman" w:eastAsia="宋体" w:cs="Times New Roman"/>
      <w:sz w:val="21"/>
      <w:szCs w:val="21"/>
      <w:lang w:val="en-US" w:eastAsia="zh-CN" w:bidi="ar-SA"/>
    </w:rPr>
  </w:style>
  <w:style w:type="paragraph" w:customStyle="1" w:styleId="63">
    <w:name w:val="目录"/>
    <w:basedOn w:val="1"/>
    <w:qFormat/>
    <w:uiPriority w:val="99"/>
    <w:pPr>
      <w:spacing w:before="240" w:after="600" w:line="560" w:lineRule="exact"/>
      <w:jc w:val="center"/>
    </w:pPr>
    <w:rPr>
      <w:rFonts w:eastAsia="黑体"/>
      <w:sz w:val="32"/>
      <w:szCs w:val="32"/>
    </w:rPr>
  </w:style>
  <w:style w:type="paragraph" w:customStyle="1" w:styleId="64">
    <w:name w:val="正文首行缩进1"/>
    <w:basedOn w:val="10"/>
    <w:qFormat/>
    <w:uiPriority w:val="0"/>
    <w:pPr>
      <w:ind w:firstLine="420" w:firstLineChars="100"/>
    </w:pPr>
  </w:style>
  <w:style w:type="paragraph" w:customStyle="1" w:styleId="65">
    <w:name w:val="正文1"/>
    <w:basedOn w:val="1"/>
    <w:next w:val="15"/>
    <w:autoRedefine/>
    <w:qFormat/>
    <w:uiPriority w:val="0"/>
    <w:pPr>
      <w:ind w:firstLine="504" w:firstLineChars="200"/>
    </w:pPr>
    <w:rPr>
      <w:sz w:val="24"/>
      <w:szCs w:val="21"/>
      <w:lang w:val="zh-CN"/>
    </w:rPr>
  </w:style>
  <w:style w:type="paragraph" w:customStyle="1" w:styleId="66">
    <w:name w:val="样式 标题 1 + 小四"/>
    <w:basedOn w:val="2"/>
    <w:autoRedefine/>
    <w:qFormat/>
    <w:uiPriority w:val="0"/>
    <w:pPr>
      <w:tabs>
        <w:tab w:val="left" w:pos="747"/>
      </w:tabs>
      <w:spacing w:before="300" w:after="200" w:line="240" w:lineRule="auto"/>
      <w:ind w:left="747" w:hanging="567"/>
      <w:outlineLvl w:val="1"/>
    </w:pPr>
    <w:rPr>
      <w:sz w:val="24"/>
    </w:rPr>
  </w:style>
  <w:style w:type="paragraph" w:customStyle="1" w:styleId="67">
    <w:name w:val="样式3-1"/>
    <w:basedOn w:val="1"/>
    <w:autoRedefine/>
    <w:qFormat/>
    <w:uiPriority w:val="0"/>
    <w:pPr>
      <w:autoSpaceDE w:val="0"/>
      <w:autoSpaceDN w:val="0"/>
      <w:adjustRightInd w:val="0"/>
      <w:snapToGrid w:val="0"/>
      <w:spacing w:beforeLines="50"/>
      <w:jc w:val="left"/>
      <w:outlineLvl w:val="2"/>
    </w:pPr>
    <w:rPr>
      <w:rFonts w:ascii="Arial" w:hAnsi="Arial" w:eastAsia="黑体" w:cs="Arial"/>
      <w:b/>
      <w:bCs/>
      <w:color w:val="000000"/>
      <w:kern w:val="0"/>
      <w:sz w:val="32"/>
      <w:szCs w:val="32"/>
      <w:lang w:val="zh-CN"/>
    </w:rPr>
  </w:style>
  <w:style w:type="paragraph" w:customStyle="1" w:styleId="68">
    <w:name w:val="p0"/>
    <w:basedOn w:val="1"/>
    <w:qFormat/>
    <w:uiPriority w:val="0"/>
    <w:pPr>
      <w:widowControl/>
    </w:pPr>
    <w:rPr>
      <w:kern w:val="0"/>
      <w:szCs w:val="21"/>
    </w:rPr>
  </w:style>
  <w:style w:type="paragraph" w:customStyle="1" w:styleId="69">
    <w:name w:val="无间隔1"/>
    <w:basedOn w:val="27"/>
    <w:next w:val="1"/>
    <w:autoRedefine/>
    <w:unhideWhenUsed/>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70">
    <w:name w:val="Normal_2"/>
    <w:next w:val="1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1">
    <w:name w:val="p2"/>
    <w:basedOn w:val="1"/>
    <w:qFormat/>
    <w:uiPriority w:val="99"/>
    <w:pPr>
      <w:widowControl/>
      <w:spacing w:line="480" w:lineRule="auto"/>
      <w:ind w:firstLine="420"/>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23740</Words>
  <Characters>25799</Characters>
  <Lines>0</Lines>
  <Paragraphs>4136</Paragraphs>
  <TotalTime>0</TotalTime>
  <ScaleCrop>false</ScaleCrop>
  <LinksUpToDate>false</LinksUpToDate>
  <CharactersWithSpaces>26017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2022-08-30T06:56:00Z</dcterms:created>
  <dc:creator>Sun了个晒</dc:creator>
  <cp:lastModifiedBy>！</cp:lastModifiedBy>
  <cp:lastPrinted>2023-05-29T18:07:00Z</cp:lastPrinted>
  <dcterms:modified xsi:type="dcterms:W3CDTF">2026-05-09T07:41:34Z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AF7B2E1692A946ADBA4F833E9A7FFA78_13</vt:lpwstr>
  </property>
  <property fmtid="{D5CDD505-2E9C-101B-9397-08002B2CF9AE}" pid="3" name="KSOProductBuildVer">
    <vt:lpwstr>2052-12.1.0.25865</vt:lpwstr>
  </property>
  <property fmtid="{D5CDD505-2E9C-101B-9397-08002B2CF9AE}" pid="4" name="KSOTemplateDocerSaveRecord">
    <vt:lpwstr>eyJoZGlkIjoiODU4Mzg1MGE1ZTEwMjY1MmU4ZWM3MzllOWQ2MjQ4NDciLCJ1c2VySWQiOiIzOTU2MDkwOTMifQ==</vt:lpwstr>
  </property>
</Properties>
</file>