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Times New Roman"/>
          <w:color w:val="auto"/>
          <w:sz w:val="20"/>
          <w:szCs w:val="20"/>
          <w:highlight w:val="none"/>
        </w:rPr>
      </w:pPr>
    </w:p>
    <w:p>
      <w:pPr>
        <w:spacing w:line="400" w:lineRule="exact"/>
        <w:rPr>
          <w:rFonts w:ascii="Times New Roman" w:hAnsi="Times New Roman" w:eastAsia="宋体" w:cs="Times New Roman"/>
          <w:color w:val="auto"/>
          <w:szCs w:val="24"/>
          <w:highlight w:val="none"/>
        </w:rPr>
      </w:pPr>
    </w:p>
    <w:p>
      <w:pPr>
        <w:adjustRightInd w:val="0"/>
        <w:snapToGrid w:val="0"/>
        <w:jc w:val="center"/>
        <w:rPr>
          <w:rFonts w:ascii="Times New Roman" w:hAnsi="Times New Roman" w:eastAsia="宋体" w:cs="Times New Roman"/>
          <w:color w:val="auto"/>
          <w:sz w:val="44"/>
          <w:szCs w:val="44"/>
          <w:highlight w:val="none"/>
          <w:u w:val="single"/>
        </w:rPr>
      </w:pPr>
      <w:r>
        <w:rPr>
          <w:rFonts w:hint="eastAsia" w:ascii="Times New Roman" w:hAnsi="Times New Roman" w:eastAsia="宋体" w:cs="Times New Roman"/>
          <w:color w:val="auto"/>
          <w:sz w:val="44"/>
          <w:szCs w:val="44"/>
          <w:highlight w:val="none"/>
          <w:u w:val="single"/>
        </w:rPr>
        <w:t>普洱市主城区火车站片区排水防涝地下管网及设施建设项目（一期）</w:t>
      </w:r>
      <w:r>
        <w:rPr>
          <w:rFonts w:hint="eastAsia" w:ascii="Times New Roman" w:hAnsi="Times New Roman" w:eastAsia="宋体" w:cs="Times New Roman"/>
          <w:color w:val="auto"/>
          <w:sz w:val="44"/>
          <w:szCs w:val="44"/>
          <w:highlight w:val="none"/>
        </w:rPr>
        <w:t>工程总承包</w:t>
      </w:r>
      <w:r>
        <w:rPr>
          <w:rFonts w:hint="eastAsia" w:ascii="Times New Roman" w:hAnsi="Times New Roman" w:eastAsia="宋体" w:cs="黑体"/>
          <w:color w:val="auto"/>
          <w:sz w:val="44"/>
          <w:szCs w:val="44"/>
          <w:highlight w:val="none"/>
        </w:rPr>
        <w:t>招标</w:t>
      </w:r>
    </w:p>
    <w:p>
      <w:pPr>
        <w:jc w:val="center"/>
        <w:rPr>
          <w:rFonts w:ascii="黑体" w:hAnsi="Times New Roman" w:eastAsia="黑体" w:cs="Times New Roman"/>
          <w:color w:val="auto"/>
          <w:sz w:val="28"/>
          <w:szCs w:val="28"/>
          <w:highlight w:val="none"/>
        </w:rPr>
      </w:pPr>
    </w:p>
    <w:p>
      <w:pPr>
        <w:rPr>
          <w:rFonts w:ascii="Times New Roman" w:hAnsi="Times New Roman" w:eastAsia="宋体" w:cs="Times New Roman"/>
          <w:color w:val="auto"/>
          <w:sz w:val="28"/>
          <w:szCs w:val="28"/>
          <w:highlight w:val="none"/>
        </w:rPr>
      </w:pPr>
    </w:p>
    <w:p>
      <w:pPr>
        <w:rPr>
          <w:rFonts w:ascii="Times New Roman" w:hAnsi="Times New Roman" w:eastAsia="宋体" w:cs="Times New Roman"/>
          <w:color w:val="auto"/>
          <w:sz w:val="28"/>
          <w:szCs w:val="28"/>
          <w:highlight w:val="none"/>
        </w:rPr>
      </w:pPr>
      <w:bookmarkStart w:id="1798" w:name="_GoBack"/>
      <w:bookmarkEnd w:id="1798"/>
    </w:p>
    <w:p>
      <w:pPr>
        <w:rPr>
          <w:rFonts w:ascii="Times New Roman" w:hAnsi="Times New Roman" w:eastAsia="宋体" w:cs="Times New Roman"/>
          <w:color w:val="auto"/>
          <w:sz w:val="28"/>
          <w:szCs w:val="28"/>
          <w:highlight w:val="none"/>
        </w:rPr>
      </w:pPr>
    </w:p>
    <w:p>
      <w:pPr>
        <w:jc w:val="center"/>
        <w:rPr>
          <w:rFonts w:ascii="Times New Roman" w:hAnsi="Times New Roman" w:eastAsia="宋体" w:cs="黑体"/>
          <w:color w:val="auto"/>
          <w:sz w:val="72"/>
          <w:szCs w:val="72"/>
          <w:highlight w:val="none"/>
        </w:rPr>
      </w:pPr>
      <w:r>
        <w:rPr>
          <w:rFonts w:hint="eastAsia" w:ascii="Times New Roman" w:hAnsi="Times New Roman" w:eastAsia="宋体" w:cs="黑体"/>
          <w:color w:val="auto"/>
          <w:sz w:val="72"/>
          <w:szCs w:val="72"/>
          <w:highlight w:val="none"/>
        </w:rPr>
        <w:t>招标文件</w:t>
      </w:r>
    </w:p>
    <w:p>
      <w:pPr>
        <w:autoSpaceDE w:val="0"/>
        <w:autoSpaceDN w:val="0"/>
        <w:adjustRightInd w:val="0"/>
        <w:jc w:val="center"/>
        <w:rPr>
          <w:rFonts w:ascii="宋体" w:hAnsi="宋体" w:eastAsia="宋体" w:cs="黑体"/>
          <w:color w:val="auto"/>
          <w:kern w:val="0"/>
          <w:sz w:val="28"/>
          <w:szCs w:val="28"/>
          <w:highlight w:val="none"/>
        </w:rPr>
      </w:pPr>
      <w:r>
        <w:rPr>
          <w:rFonts w:hint="eastAsia" w:ascii="宋体" w:hAnsi="宋体" w:eastAsia="宋体" w:cs="黑体"/>
          <w:color w:val="auto"/>
          <w:kern w:val="0"/>
          <w:sz w:val="28"/>
          <w:szCs w:val="28"/>
          <w:highlight w:val="none"/>
        </w:rPr>
        <w:t>招标编号：PPZB</w:t>
      </w:r>
      <w:r>
        <w:rPr>
          <w:rFonts w:ascii="宋体" w:hAnsi="宋体" w:eastAsia="宋体" w:cs="黑体"/>
          <w:color w:val="auto"/>
          <w:kern w:val="0"/>
          <w:sz w:val="28"/>
          <w:szCs w:val="28"/>
          <w:highlight w:val="none"/>
        </w:rPr>
        <w:t>20</w:t>
      </w:r>
      <w:r>
        <w:rPr>
          <w:rFonts w:hint="eastAsia" w:ascii="宋体" w:hAnsi="宋体" w:eastAsia="宋体" w:cs="黑体"/>
          <w:color w:val="auto"/>
          <w:kern w:val="0"/>
          <w:sz w:val="28"/>
          <w:szCs w:val="28"/>
          <w:highlight w:val="none"/>
        </w:rPr>
        <w:t>25</w:t>
      </w:r>
      <w:r>
        <w:rPr>
          <w:rFonts w:ascii="宋体" w:hAnsi="宋体" w:eastAsia="宋体" w:cs="黑体"/>
          <w:color w:val="auto"/>
          <w:kern w:val="0"/>
          <w:sz w:val="28"/>
          <w:szCs w:val="28"/>
          <w:highlight w:val="none"/>
        </w:rPr>
        <w:t>-</w:t>
      </w:r>
      <w:r>
        <w:rPr>
          <w:rFonts w:hint="eastAsia" w:ascii="宋体" w:hAnsi="宋体" w:eastAsia="宋体" w:cs="黑体"/>
          <w:color w:val="auto"/>
          <w:kern w:val="0"/>
          <w:sz w:val="28"/>
          <w:szCs w:val="28"/>
          <w:highlight w:val="none"/>
        </w:rPr>
        <w:t>12</w:t>
      </w:r>
      <w:r>
        <w:rPr>
          <w:rFonts w:ascii="宋体" w:hAnsi="宋体" w:eastAsia="宋体" w:cs="黑体"/>
          <w:color w:val="auto"/>
          <w:kern w:val="0"/>
          <w:sz w:val="28"/>
          <w:szCs w:val="28"/>
          <w:highlight w:val="none"/>
        </w:rPr>
        <w:t>-</w:t>
      </w:r>
      <w:r>
        <w:rPr>
          <w:rFonts w:hint="eastAsia" w:ascii="宋体" w:hAnsi="宋体" w:eastAsia="宋体" w:cs="黑体"/>
          <w:color w:val="auto"/>
          <w:kern w:val="0"/>
          <w:sz w:val="28"/>
          <w:szCs w:val="28"/>
          <w:highlight w:val="none"/>
        </w:rPr>
        <w:t>01</w:t>
      </w: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 </w:t>
      </w: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autoSpaceDE w:val="0"/>
        <w:autoSpaceDN w:val="0"/>
        <w:adjustRightInd w:val="0"/>
        <w:ind w:left="1120" w:hanging="1120" w:hangingChars="400"/>
        <w:jc w:val="left"/>
        <w:rPr>
          <w:rFonts w:ascii="宋体" w:hAnsi="宋体" w:eastAsia="宋体" w:cs="黑体"/>
          <w:color w:val="auto"/>
          <w:kern w:val="0"/>
          <w:sz w:val="28"/>
          <w:szCs w:val="28"/>
          <w:highlight w:val="none"/>
          <w:u w:val="single"/>
        </w:rPr>
      </w:pPr>
      <w:bookmarkStart w:id="0" w:name="_Toc152042286"/>
      <w:bookmarkStart w:id="1" w:name="_Toc144974478"/>
      <w:r>
        <w:rPr>
          <w:rFonts w:hint="eastAsia" w:ascii="宋体" w:hAnsi="宋体" w:eastAsia="宋体" w:cs="黑体"/>
          <w:color w:val="auto"/>
          <w:kern w:val="0"/>
          <w:sz w:val="28"/>
          <w:szCs w:val="28"/>
          <w:highlight w:val="none"/>
        </w:rPr>
        <w:t>招   标   人：</w:t>
      </w:r>
      <w:r>
        <w:rPr>
          <w:rFonts w:hint="eastAsia" w:ascii="宋体" w:hAnsi="宋体" w:eastAsia="宋体" w:cs="黑体"/>
          <w:color w:val="auto"/>
          <w:kern w:val="0"/>
          <w:sz w:val="28"/>
          <w:szCs w:val="28"/>
          <w:highlight w:val="none"/>
          <w:u w:val="single"/>
        </w:rPr>
        <w:t>普洱源洌环境治理有限公司</w:t>
      </w:r>
    </w:p>
    <w:p>
      <w:pPr>
        <w:autoSpaceDE w:val="0"/>
        <w:autoSpaceDN w:val="0"/>
        <w:adjustRightInd w:val="0"/>
        <w:ind w:left="1120" w:hanging="1120" w:hangingChars="400"/>
        <w:jc w:val="left"/>
        <w:rPr>
          <w:rFonts w:ascii="宋体" w:hAnsi="宋体" w:eastAsia="宋体" w:cs="黑体"/>
          <w:color w:val="auto"/>
          <w:kern w:val="0"/>
          <w:sz w:val="28"/>
          <w:szCs w:val="28"/>
          <w:highlight w:val="none"/>
        </w:rPr>
      </w:pPr>
      <w:r>
        <w:rPr>
          <w:rFonts w:hint="eastAsia" w:ascii="宋体" w:hAnsi="宋体" w:eastAsia="宋体" w:cs="黑体"/>
          <w:color w:val="auto"/>
          <w:kern w:val="0"/>
          <w:sz w:val="28"/>
          <w:szCs w:val="28"/>
          <w:highlight w:val="none"/>
        </w:rPr>
        <w:t>招标代理机构：</w:t>
      </w:r>
      <w:r>
        <w:rPr>
          <w:rFonts w:hint="eastAsia" w:ascii="宋体" w:hAnsi="宋体" w:eastAsia="宋体" w:cs="黑体"/>
          <w:color w:val="auto"/>
          <w:kern w:val="0"/>
          <w:sz w:val="28"/>
          <w:szCs w:val="28"/>
          <w:highlight w:val="none"/>
          <w:u w:val="single"/>
        </w:rPr>
        <w:t>普洱市普平工程招标有限责任公司</w:t>
      </w:r>
      <w:r>
        <w:rPr>
          <w:rFonts w:hint="eastAsia" w:ascii="宋体" w:hAnsi="宋体" w:eastAsia="宋体" w:cs="黑体"/>
          <w:color w:val="auto"/>
          <w:kern w:val="0"/>
          <w:sz w:val="28"/>
          <w:szCs w:val="28"/>
          <w:highlight w:val="none"/>
        </w:rPr>
        <w:t>（电子签章）</w:t>
      </w:r>
    </w:p>
    <w:p>
      <w:pPr>
        <w:autoSpaceDE w:val="0"/>
        <w:autoSpaceDN w:val="0"/>
        <w:adjustRightInd w:val="0"/>
        <w:rPr>
          <w:rFonts w:ascii="宋体" w:hAnsi="宋体" w:eastAsia="宋体" w:cs="黑体"/>
          <w:color w:val="auto"/>
          <w:kern w:val="0"/>
          <w:sz w:val="23"/>
          <w:szCs w:val="23"/>
          <w:highlight w:val="none"/>
        </w:rPr>
      </w:pPr>
      <w:r>
        <w:rPr>
          <w:rFonts w:hint="eastAsia" w:ascii="宋体" w:hAnsi="宋体" w:eastAsia="宋体" w:cs="黑体"/>
          <w:color w:val="auto"/>
          <w:kern w:val="0"/>
          <w:sz w:val="28"/>
          <w:szCs w:val="28"/>
          <w:highlight w:val="none"/>
        </w:rPr>
        <w:t>日        期：</w:t>
      </w:r>
      <w:r>
        <w:rPr>
          <w:rFonts w:hint="eastAsia" w:ascii="宋体" w:hAnsi="宋体" w:eastAsia="宋体" w:cs="黑体"/>
          <w:color w:val="auto"/>
          <w:kern w:val="0"/>
          <w:sz w:val="28"/>
          <w:szCs w:val="28"/>
          <w:highlight w:val="none"/>
        </w:rPr>
        <w:t xml:space="preserve"> </w:t>
      </w:r>
      <w:r>
        <w:rPr>
          <w:rFonts w:ascii="宋体" w:hAnsi="宋体" w:eastAsia="宋体" w:cs="黑体"/>
          <w:color w:val="auto"/>
          <w:kern w:val="0"/>
          <w:sz w:val="28"/>
          <w:szCs w:val="28"/>
          <w:highlight w:val="none"/>
          <w:u w:val="single"/>
        </w:rPr>
        <w:t>20</w:t>
      </w:r>
      <w:r>
        <w:rPr>
          <w:rFonts w:hint="eastAsia" w:ascii="宋体" w:hAnsi="宋体" w:eastAsia="宋体" w:cs="黑体"/>
          <w:color w:val="auto"/>
          <w:kern w:val="0"/>
          <w:sz w:val="28"/>
          <w:szCs w:val="28"/>
          <w:highlight w:val="none"/>
          <w:u w:val="single"/>
        </w:rPr>
        <w:t>25</w:t>
      </w:r>
      <w:r>
        <w:rPr>
          <w:rFonts w:hint="eastAsia" w:ascii="宋体" w:hAnsi="宋体" w:eastAsia="宋体" w:cs="黑体"/>
          <w:color w:val="auto"/>
          <w:kern w:val="0"/>
          <w:sz w:val="28"/>
          <w:szCs w:val="28"/>
          <w:highlight w:val="none"/>
        </w:rPr>
        <w:t>年</w:t>
      </w:r>
      <w:r>
        <w:rPr>
          <w:rFonts w:hint="eastAsia" w:ascii="宋体" w:hAnsi="宋体" w:eastAsia="宋体" w:cs="黑体"/>
          <w:color w:val="auto"/>
          <w:kern w:val="0"/>
          <w:sz w:val="28"/>
          <w:szCs w:val="28"/>
          <w:highlight w:val="none"/>
          <w:u w:val="single"/>
        </w:rPr>
        <w:t>12</w:t>
      </w:r>
      <w:r>
        <w:rPr>
          <w:rFonts w:hint="eastAsia" w:ascii="宋体" w:hAnsi="宋体" w:eastAsia="宋体" w:cs="黑体"/>
          <w:color w:val="auto"/>
          <w:kern w:val="0"/>
          <w:sz w:val="28"/>
          <w:szCs w:val="28"/>
          <w:highlight w:val="none"/>
        </w:rPr>
        <w:t>月</w:t>
      </w:r>
      <w:r>
        <w:rPr>
          <w:rFonts w:hint="eastAsia" w:ascii="宋体" w:hAnsi="宋体" w:eastAsia="宋体" w:cs="黑体"/>
          <w:color w:val="auto"/>
          <w:kern w:val="0"/>
          <w:sz w:val="28"/>
          <w:szCs w:val="28"/>
          <w:highlight w:val="none"/>
          <w:u w:val="single"/>
        </w:rPr>
        <w:t>XX</w:t>
      </w:r>
      <w:r>
        <w:rPr>
          <w:rFonts w:hint="eastAsia" w:ascii="宋体" w:hAnsi="宋体" w:eastAsia="宋体" w:cs="黑体"/>
          <w:color w:val="auto"/>
          <w:kern w:val="0"/>
          <w:sz w:val="28"/>
          <w:szCs w:val="28"/>
          <w:highlight w:val="none"/>
        </w:rPr>
        <w:t>日</w:t>
      </w:r>
    </w:p>
    <w:p>
      <w:pPr>
        <w:spacing w:line="400" w:lineRule="exact"/>
        <w:rPr>
          <w:rFonts w:ascii="Times New Roman" w:hAnsi="Times New Roman" w:eastAsia="宋体" w:cs="Times New Roman"/>
          <w:color w:val="auto"/>
          <w:szCs w:val="24"/>
          <w:highlight w:val="none"/>
        </w:rPr>
        <w:sectPr>
          <w:pgSz w:w="11906" w:h="16838"/>
          <w:pgMar w:top="1440" w:right="1800" w:bottom="1440" w:left="1800" w:header="851" w:footer="992" w:gutter="0"/>
          <w:cols w:space="720" w:num="1"/>
          <w:docGrid w:type="lines" w:linePitch="312" w:charSpace="0"/>
        </w:sectPr>
      </w:pP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bookmarkStart w:id="2" w:name="_Toc216681819"/>
      <w:bookmarkStart w:id="3" w:name="_Toc247527532"/>
      <w:bookmarkStart w:id="4" w:name="_Toc300834926"/>
      <w:r>
        <w:rPr>
          <w:rFonts w:hint="eastAsia" w:ascii="Times New Roman" w:hAnsi="Times New Roman" w:eastAsia="宋体" w:cs="Times New Roman"/>
          <w:b/>
          <w:bCs/>
          <w:color w:val="auto"/>
          <w:kern w:val="44"/>
          <w:sz w:val="44"/>
          <w:szCs w:val="44"/>
          <w:highlight w:val="none"/>
        </w:rPr>
        <w:t>目   录</w:t>
      </w:r>
      <w:bookmarkEnd w:id="0"/>
      <w:bookmarkEnd w:id="1"/>
      <w:bookmarkEnd w:id="2"/>
      <w:bookmarkEnd w:id="3"/>
      <w:bookmarkEnd w:id="4"/>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bookmarkStart w:id="5" w:name="_Toc144974479"/>
      <w:bookmarkStart w:id="6" w:name="_Toc152042287"/>
      <w:bookmarkStart w:id="7" w:name="_Toc152045511"/>
      <w:bookmarkStart w:id="8" w:name="_Toc247527533"/>
      <w:bookmarkStart w:id="9" w:name="_Toc247513932"/>
      <w:r>
        <w:rPr>
          <w:b w:val="0"/>
          <w:bCs w:val="0"/>
          <w:color w:val="auto"/>
          <w:highlight w:val="none"/>
        </w:rPr>
        <w:fldChar w:fldCharType="begin"/>
      </w:r>
      <w:r>
        <w:rPr>
          <w:color w:val="auto"/>
          <w:highlight w:val="none"/>
        </w:rPr>
        <w:instrText xml:space="preserve"> TOC \o "1-3" \h \z \u </w:instrText>
      </w:r>
      <w:r>
        <w:rPr>
          <w:b w:val="0"/>
          <w:bCs w:val="0"/>
          <w:color w:val="auto"/>
          <w:highlight w:val="none"/>
        </w:rPr>
        <w:fldChar w:fldCharType="separate"/>
      </w:r>
      <w:r>
        <w:rPr>
          <w:color w:val="auto"/>
          <w:highlight w:val="none"/>
        </w:rPr>
        <w:fldChar w:fldCharType="begin"/>
      </w:r>
      <w:r>
        <w:rPr>
          <w:color w:val="auto"/>
          <w:highlight w:val="none"/>
        </w:rPr>
        <w:instrText xml:space="preserve"> HYPERLINK \l "_Toc216681819" </w:instrText>
      </w:r>
      <w:r>
        <w:rPr>
          <w:color w:val="auto"/>
          <w:highlight w:val="none"/>
        </w:rPr>
        <w:fldChar w:fldCharType="separate"/>
      </w:r>
      <w:r>
        <w:rPr>
          <w:rStyle w:val="47"/>
          <w:rFonts w:hint="eastAsia"/>
          <w:color w:val="auto"/>
          <w:kern w:val="44"/>
          <w:highlight w:val="none"/>
        </w:rPr>
        <w:t>目</w:t>
      </w:r>
      <w:r>
        <w:rPr>
          <w:rStyle w:val="47"/>
          <w:color w:val="auto"/>
          <w:kern w:val="44"/>
          <w:highlight w:val="none"/>
        </w:rPr>
        <w:t xml:space="preserve">   </w:t>
      </w:r>
      <w:r>
        <w:rPr>
          <w:rStyle w:val="47"/>
          <w:rFonts w:hint="eastAsia"/>
          <w:color w:val="auto"/>
          <w:kern w:val="44"/>
          <w:highlight w:val="none"/>
        </w:rPr>
        <w:t>录</w:t>
      </w:r>
      <w:r>
        <w:rPr>
          <w:color w:val="auto"/>
          <w:highlight w:val="none"/>
        </w:rPr>
        <w:tab/>
      </w:r>
      <w:r>
        <w:rPr>
          <w:color w:val="auto"/>
          <w:highlight w:val="none"/>
        </w:rPr>
        <w:fldChar w:fldCharType="begin"/>
      </w:r>
      <w:r>
        <w:rPr>
          <w:color w:val="auto"/>
          <w:highlight w:val="none"/>
        </w:rPr>
        <w:instrText xml:space="preserve"> PAGEREF _Toc216681819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"_Toc216681820" </w:instrText>
      </w:r>
      <w:r>
        <w:rPr>
          <w:color w:val="auto"/>
          <w:highlight w:val="none"/>
        </w:rPr>
        <w:fldChar w:fldCharType="separate"/>
      </w:r>
      <w:r>
        <w:rPr>
          <w:rStyle w:val="47"/>
          <w:rFonts w:hint="eastAsia"/>
          <w:color w:val="auto"/>
          <w:kern w:val="44"/>
          <w:highlight w:val="none"/>
        </w:rPr>
        <w:t>第一章</w:t>
      </w:r>
      <w:r>
        <w:rPr>
          <w:rStyle w:val="47"/>
          <w:color w:val="auto"/>
          <w:kern w:val="44"/>
          <w:highlight w:val="none"/>
        </w:rPr>
        <w:t xml:space="preserve"> </w:t>
      </w:r>
      <w:r>
        <w:rPr>
          <w:rStyle w:val="47"/>
          <w:rFonts w:hint="eastAsia"/>
          <w:color w:val="auto"/>
          <w:kern w:val="44"/>
          <w:highlight w:val="none"/>
        </w:rPr>
        <w:t>招标公告</w:t>
      </w:r>
      <w:r>
        <w:rPr>
          <w:color w:val="auto"/>
          <w:highlight w:val="none"/>
        </w:rPr>
        <w:tab/>
      </w:r>
      <w:r>
        <w:rPr>
          <w:color w:val="auto"/>
          <w:highlight w:val="none"/>
        </w:rPr>
        <w:fldChar w:fldCharType="begin"/>
      </w:r>
      <w:r>
        <w:rPr>
          <w:color w:val="auto"/>
          <w:highlight w:val="none"/>
        </w:rPr>
        <w:instrText xml:space="preserve"> PAGEREF _Toc216681820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"_Toc216681821" </w:instrText>
      </w:r>
      <w:r>
        <w:rPr>
          <w:color w:val="auto"/>
          <w:highlight w:val="none"/>
        </w:rPr>
        <w:fldChar w:fldCharType="separate"/>
      </w:r>
      <w:r>
        <w:rPr>
          <w:rStyle w:val="47"/>
          <w:rFonts w:ascii="宋体" w:hAnsi="宋体"/>
          <w:b/>
          <w:bCs/>
          <w:color w:val="auto"/>
          <w:highlight w:val="none"/>
        </w:rPr>
        <w:t>1</w:t>
      </w:r>
      <w:r>
        <w:rPr>
          <w:rStyle w:val="47"/>
          <w:rFonts w:hint="eastAsia" w:ascii="宋体" w:hAnsi="宋体"/>
          <w:b/>
          <w:bCs/>
          <w:color w:val="auto"/>
          <w:highlight w:val="none"/>
        </w:rPr>
        <w:t>．招标条件</w:t>
      </w:r>
      <w:r>
        <w:rPr>
          <w:color w:val="auto"/>
          <w:highlight w:val="none"/>
        </w:rPr>
        <w:tab/>
      </w:r>
      <w:r>
        <w:rPr>
          <w:color w:val="auto"/>
          <w:highlight w:val="none"/>
        </w:rPr>
        <w:fldChar w:fldCharType="begin"/>
      </w:r>
      <w:r>
        <w:rPr>
          <w:color w:val="auto"/>
          <w:highlight w:val="none"/>
        </w:rPr>
        <w:instrText xml:space="preserve"> PAGEREF _Toc216681821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"_Toc216681822" </w:instrText>
      </w:r>
      <w:r>
        <w:rPr>
          <w:color w:val="auto"/>
          <w:highlight w:val="none"/>
        </w:rPr>
        <w:fldChar w:fldCharType="separate"/>
      </w:r>
      <w:r>
        <w:rPr>
          <w:rStyle w:val="47"/>
          <w:rFonts w:ascii="宋体" w:hAnsi="宋体"/>
          <w:b/>
          <w:bCs/>
          <w:color w:val="auto"/>
          <w:highlight w:val="none"/>
        </w:rPr>
        <w:t>2</w:t>
      </w:r>
      <w:r>
        <w:rPr>
          <w:rStyle w:val="47"/>
          <w:rFonts w:hint="eastAsia" w:ascii="宋体" w:hAnsi="宋体"/>
          <w:b/>
          <w:bCs/>
          <w:color w:val="auto"/>
          <w:highlight w:val="none"/>
        </w:rPr>
        <w:t>．项目概况与招标范围</w:t>
      </w:r>
      <w:r>
        <w:rPr>
          <w:color w:val="auto"/>
          <w:highlight w:val="none"/>
        </w:rPr>
        <w:tab/>
      </w:r>
      <w:r>
        <w:rPr>
          <w:color w:val="auto"/>
          <w:highlight w:val="none"/>
        </w:rPr>
        <w:fldChar w:fldCharType="begin"/>
      </w:r>
      <w:r>
        <w:rPr>
          <w:color w:val="auto"/>
          <w:highlight w:val="none"/>
        </w:rPr>
        <w:instrText xml:space="preserve"> PAGEREF _Toc216681822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"_Toc216681823" </w:instrText>
      </w:r>
      <w:r>
        <w:rPr>
          <w:color w:val="auto"/>
          <w:highlight w:val="none"/>
        </w:rPr>
        <w:fldChar w:fldCharType="separate"/>
      </w:r>
      <w:r>
        <w:rPr>
          <w:rStyle w:val="47"/>
          <w:rFonts w:ascii="宋体" w:hAnsi="宋体"/>
          <w:b/>
          <w:bCs/>
          <w:color w:val="auto"/>
          <w:highlight w:val="none"/>
        </w:rPr>
        <w:t>3</w:t>
      </w:r>
      <w:r>
        <w:rPr>
          <w:rStyle w:val="47"/>
          <w:rFonts w:hint="eastAsia" w:ascii="宋体" w:hAnsi="宋体"/>
          <w:b/>
          <w:bCs/>
          <w:color w:val="auto"/>
          <w:highlight w:val="none"/>
        </w:rPr>
        <w:t>．投标人资格要求</w:t>
      </w:r>
      <w:r>
        <w:rPr>
          <w:color w:val="auto"/>
          <w:highlight w:val="none"/>
        </w:rPr>
        <w:tab/>
      </w:r>
      <w:r>
        <w:rPr>
          <w:color w:val="auto"/>
          <w:highlight w:val="none"/>
        </w:rPr>
        <w:fldChar w:fldCharType="begin"/>
      </w:r>
      <w:r>
        <w:rPr>
          <w:color w:val="auto"/>
          <w:highlight w:val="none"/>
        </w:rPr>
        <w:instrText xml:space="preserve"> PAGEREF _Toc216681823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"_Toc216681824" </w:instrText>
      </w:r>
      <w:r>
        <w:rPr>
          <w:color w:val="auto"/>
          <w:highlight w:val="none"/>
        </w:rPr>
        <w:fldChar w:fldCharType="separate"/>
      </w:r>
      <w:r>
        <w:rPr>
          <w:rStyle w:val="47"/>
          <w:rFonts w:ascii="宋体" w:hAnsi="宋体"/>
          <w:b/>
          <w:bCs/>
          <w:color w:val="auto"/>
          <w:highlight w:val="none"/>
        </w:rPr>
        <w:t>4.</w:t>
      </w:r>
      <w:r>
        <w:rPr>
          <w:rStyle w:val="47"/>
          <w:rFonts w:hint="eastAsia" w:ascii="宋体" w:hAnsi="宋体"/>
          <w:b/>
          <w:bCs/>
          <w:color w:val="auto"/>
          <w:highlight w:val="none"/>
        </w:rPr>
        <w:t>资格审查方法</w:t>
      </w:r>
      <w:r>
        <w:rPr>
          <w:color w:val="auto"/>
          <w:highlight w:val="none"/>
        </w:rPr>
        <w:tab/>
      </w:r>
      <w:r>
        <w:rPr>
          <w:color w:val="auto"/>
          <w:highlight w:val="none"/>
        </w:rPr>
        <w:fldChar w:fldCharType="begin"/>
      </w:r>
      <w:r>
        <w:rPr>
          <w:color w:val="auto"/>
          <w:highlight w:val="none"/>
        </w:rPr>
        <w:instrText xml:space="preserve"> PAGEREF _Toc216681824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"_Toc216681825" </w:instrText>
      </w:r>
      <w:r>
        <w:rPr>
          <w:color w:val="auto"/>
          <w:highlight w:val="none"/>
        </w:rPr>
        <w:fldChar w:fldCharType="separate"/>
      </w:r>
      <w:r>
        <w:rPr>
          <w:rStyle w:val="47"/>
          <w:rFonts w:ascii="宋体" w:hAnsi="宋体"/>
          <w:b/>
          <w:bCs/>
          <w:color w:val="auto"/>
          <w:highlight w:val="none"/>
        </w:rPr>
        <w:t>5.</w:t>
      </w:r>
      <w:r>
        <w:rPr>
          <w:rStyle w:val="47"/>
          <w:rFonts w:hint="eastAsia" w:ascii="宋体" w:hAnsi="宋体"/>
          <w:b/>
          <w:bCs/>
          <w:color w:val="auto"/>
          <w:highlight w:val="none"/>
        </w:rPr>
        <w:t>投标文件的获取</w:t>
      </w:r>
      <w:r>
        <w:rPr>
          <w:color w:val="auto"/>
          <w:highlight w:val="none"/>
        </w:rPr>
        <w:tab/>
      </w:r>
      <w:r>
        <w:rPr>
          <w:color w:val="auto"/>
          <w:highlight w:val="none"/>
        </w:rPr>
        <w:fldChar w:fldCharType="begin"/>
      </w:r>
      <w:r>
        <w:rPr>
          <w:color w:val="auto"/>
          <w:highlight w:val="none"/>
        </w:rPr>
        <w:instrText xml:space="preserve"> PAGEREF _Toc216681825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"_Toc216681826" </w:instrText>
      </w:r>
      <w:r>
        <w:rPr>
          <w:color w:val="auto"/>
          <w:highlight w:val="none"/>
        </w:rPr>
        <w:fldChar w:fldCharType="separate"/>
      </w:r>
      <w:r>
        <w:rPr>
          <w:rStyle w:val="47"/>
          <w:rFonts w:ascii="宋体" w:hAnsi="宋体"/>
          <w:b/>
          <w:bCs/>
          <w:color w:val="auto"/>
          <w:highlight w:val="none"/>
        </w:rPr>
        <w:t>6</w:t>
      </w:r>
      <w:r>
        <w:rPr>
          <w:rStyle w:val="47"/>
          <w:rFonts w:hint="eastAsia" w:ascii="宋体" w:hAnsi="宋体"/>
          <w:b/>
          <w:bCs/>
          <w:color w:val="auto"/>
          <w:highlight w:val="none"/>
        </w:rPr>
        <w:t>．投标文件的上传</w:t>
      </w:r>
      <w:r>
        <w:rPr>
          <w:color w:val="auto"/>
          <w:highlight w:val="none"/>
        </w:rPr>
        <w:tab/>
      </w:r>
      <w:r>
        <w:rPr>
          <w:color w:val="auto"/>
          <w:highlight w:val="none"/>
        </w:rPr>
        <w:fldChar w:fldCharType="begin"/>
      </w:r>
      <w:r>
        <w:rPr>
          <w:color w:val="auto"/>
          <w:highlight w:val="none"/>
        </w:rPr>
        <w:instrText xml:space="preserve"> PAGEREF _Toc216681826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"_Toc216681827" </w:instrText>
      </w:r>
      <w:r>
        <w:rPr>
          <w:color w:val="auto"/>
          <w:highlight w:val="none"/>
        </w:rPr>
        <w:fldChar w:fldCharType="separate"/>
      </w:r>
      <w:r>
        <w:rPr>
          <w:rStyle w:val="47"/>
          <w:rFonts w:ascii="宋体" w:hAnsi="宋体"/>
          <w:b/>
          <w:bCs/>
          <w:color w:val="auto"/>
          <w:highlight w:val="none"/>
        </w:rPr>
        <w:t>7.</w:t>
      </w:r>
      <w:r>
        <w:rPr>
          <w:rStyle w:val="47"/>
          <w:rFonts w:hint="eastAsia" w:ascii="宋体" w:hAnsi="宋体"/>
          <w:b/>
          <w:bCs/>
          <w:color w:val="auto"/>
          <w:highlight w:val="none"/>
        </w:rPr>
        <w:t>保证金</w:t>
      </w:r>
      <w:r>
        <w:rPr>
          <w:color w:val="auto"/>
          <w:highlight w:val="none"/>
        </w:rPr>
        <w:tab/>
      </w:r>
      <w:r>
        <w:rPr>
          <w:color w:val="auto"/>
          <w:highlight w:val="none"/>
        </w:rPr>
        <w:fldChar w:fldCharType="begin"/>
      </w:r>
      <w:r>
        <w:rPr>
          <w:color w:val="auto"/>
          <w:highlight w:val="none"/>
        </w:rPr>
        <w:instrText xml:space="preserve"> PAGEREF _Toc216681827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"_Toc216681828" </w:instrText>
      </w:r>
      <w:r>
        <w:rPr>
          <w:color w:val="auto"/>
          <w:highlight w:val="none"/>
        </w:rPr>
        <w:fldChar w:fldCharType="separate"/>
      </w:r>
      <w:r>
        <w:rPr>
          <w:rStyle w:val="47"/>
          <w:rFonts w:ascii="宋体" w:hAnsi="宋体"/>
          <w:b/>
          <w:bCs/>
          <w:color w:val="auto"/>
          <w:highlight w:val="none"/>
        </w:rPr>
        <w:t>8.</w:t>
      </w:r>
      <w:r>
        <w:rPr>
          <w:rStyle w:val="47"/>
          <w:rFonts w:hint="eastAsia" w:ascii="宋体" w:hAnsi="宋体"/>
          <w:b/>
          <w:bCs/>
          <w:color w:val="auto"/>
          <w:highlight w:val="none"/>
        </w:rPr>
        <w:t>布公告的媒介</w:t>
      </w:r>
      <w:r>
        <w:rPr>
          <w:color w:val="auto"/>
          <w:highlight w:val="none"/>
        </w:rPr>
        <w:tab/>
      </w:r>
      <w:r>
        <w:rPr>
          <w:color w:val="auto"/>
          <w:highlight w:val="none"/>
        </w:rPr>
        <w:fldChar w:fldCharType="begin"/>
      </w:r>
      <w:r>
        <w:rPr>
          <w:color w:val="auto"/>
          <w:highlight w:val="none"/>
        </w:rPr>
        <w:instrText xml:space="preserve"> PAGEREF _Toc216681828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"_Toc216681829" </w:instrText>
      </w:r>
      <w:r>
        <w:rPr>
          <w:color w:val="auto"/>
          <w:highlight w:val="none"/>
        </w:rPr>
        <w:fldChar w:fldCharType="separate"/>
      </w:r>
      <w:r>
        <w:rPr>
          <w:rStyle w:val="47"/>
          <w:rFonts w:hint="eastAsia"/>
          <w:color w:val="auto"/>
          <w:kern w:val="44"/>
          <w:highlight w:val="none"/>
        </w:rPr>
        <w:t>第二章</w:t>
      </w:r>
      <w:r>
        <w:rPr>
          <w:rStyle w:val="47"/>
          <w:color w:val="auto"/>
          <w:kern w:val="44"/>
          <w:highlight w:val="none"/>
        </w:rPr>
        <w:t xml:space="preserve"> </w:t>
      </w:r>
      <w:r>
        <w:rPr>
          <w:rStyle w:val="47"/>
          <w:rFonts w:hint="eastAsia"/>
          <w:color w:val="auto"/>
          <w:kern w:val="44"/>
          <w:highlight w:val="none"/>
        </w:rPr>
        <w:t>投标人须知</w:t>
      </w:r>
      <w:r>
        <w:rPr>
          <w:color w:val="auto"/>
          <w:highlight w:val="none"/>
        </w:rPr>
        <w:tab/>
      </w:r>
      <w:r>
        <w:rPr>
          <w:color w:val="auto"/>
          <w:highlight w:val="none"/>
        </w:rPr>
        <w:fldChar w:fldCharType="begin"/>
      </w:r>
      <w:r>
        <w:rPr>
          <w:color w:val="auto"/>
          <w:highlight w:val="none"/>
        </w:rPr>
        <w:instrText xml:space="preserve"> PAGEREF _Toc216681829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"_Toc216681830" </w:instrText>
      </w:r>
      <w:r>
        <w:rPr>
          <w:color w:val="auto"/>
          <w:highlight w:val="none"/>
        </w:rPr>
        <w:fldChar w:fldCharType="separate"/>
      </w:r>
      <w:r>
        <w:rPr>
          <w:rStyle w:val="47"/>
          <w:rFonts w:hint="eastAsia" w:ascii="Arial" w:hAnsi="Arial" w:eastAsia="黑体"/>
          <w:b/>
          <w:bCs/>
          <w:color w:val="auto"/>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_Toc216681830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"_Toc216681831" </w:instrText>
      </w:r>
      <w:r>
        <w:rPr>
          <w:color w:val="auto"/>
          <w:highlight w:val="none"/>
        </w:rPr>
        <w:fldChar w:fldCharType="separate"/>
      </w:r>
      <w:r>
        <w:rPr>
          <w:rStyle w:val="47"/>
          <w:rFonts w:ascii="Arial" w:hAnsi="Arial" w:eastAsia="黑体"/>
          <w:b/>
          <w:bCs/>
          <w:color w:val="auto"/>
          <w:highlight w:val="none"/>
        </w:rPr>
        <w:t xml:space="preserve">1. </w:t>
      </w:r>
      <w:r>
        <w:rPr>
          <w:rStyle w:val="47"/>
          <w:rFonts w:hint="eastAsia" w:ascii="Arial" w:hAnsi="Arial" w:eastAsia="黑体"/>
          <w:b/>
          <w:bCs/>
          <w:color w:val="auto"/>
          <w:highlight w:val="none"/>
        </w:rPr>
        <w:t>总则</w:t>
      </w:r>
      <w:r>
        <w:rPr>
          <w:color w:val="auto"/>
          <w:highlight w:val="none"/>
        </w:rPr>
        <w:tab/>
      </w:r>
      <w:r>
        <w:rPr>
          <w:color w:val="auto"/>
          <w:highlight w:val="none"/>
        </w:rPr>
        <w:fldChar w:fldCharType="begin"/>
      </w:r>
      <w:r>
        <w:rPr>
          <w:color w:val="auto"/>
          <w:highlight w:val="none"/>
        </w:rPr>
        <w:instrText xml:space="preserve"> PAGEREF _Toc216681831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"_Toc216681832" </w:instrText>
      </w:r>
      <w:r>
        <w:rPr>
          <w:color w:val="auto"/>
          <w:highlight w:val="none"/>
        </w:rPr>
        <w:fldChar w:fldCharType="separate"/>
      </w:r>
      <w:r>
        <w:rPr>
          <w:rStyle w:val="47"/>
          <w:rFonts w:eastAsia="黑体"/>
          <w:bCs/>
          <w:color w:val="auto"/>
          <w:highlight w:val="none"/>
        </w:rPr>
        <w:t>1.1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项目概况</w:t>
      </w:r>
      <w:r>
        <w:rPr>
          <w:color w:val="auto"/>
          <w:highlight w:val="none"/>
        </w:rPr>
        <w:tab/>
      </w:r>
      <w:r>
        <w:rPr>
          <w:color w:val="auto"/>
          <w:highlight w:val="none"/>
        </w:rPr>
        <w:fldChar w:fldCharType="begin"/>
      </w:r>
      <w:r>
        <w:rPr>
          <w:color w:val="auto"/>
          <w:highlight w:val="none"/>
        </w:rPr>
        <w:instrText xml:space="preserve"> PAGEREF _Toc216681832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"_Toc216681833" </w:instrText>
      </w:r>
      <w:r>
        <w:rPr>
          <w:color w:val="auto"/>
          <w:highlight w:val="none"/>
        </w:rPr>
        <w:fldChar w:fldCharType="separate"/>
      </w:r>
      <w:r>
        <w:rPr>
          <w:rStyle w:val="47"/>
          <w:rFonts w:eastAsia="黑体"/>
          <w:bCs/>
          <w:color w:val="auto"/>
          <w:highlight w:val="none"/>
        </w:rPr>
        <w:t xml:space="preserve">1.2 </w:t>
      </w:r>
      <w:r>
        <w:rPr>
          <w:rStyle w:val="47"/>
          <w:rFonts w:hint="eastAsia" w:ascii="黑体" w:hAnsi="宋体" w:eastAsia="黑体"/>
          <w:bCs/>
          <w:color w:val="auto"/>
          <w:highlight w:val="none"/>
        </w:rPr>
        <w:t>项目的资金来源和落实情况</w:t>
      </w:r>
      <w:r>
        <w:rPr>
          <w:color w:val="auto"/>
          <w:highlight w:val="none"/>
        </w:rPr>
        <w:tab/>
      </w:r>
      <w:r>
        <w:rPr>
          <w:color w:val="auto"/>
          <w:highlight w:val="none"/>
        </w:rPr>
        <w:fldChar w:fldCharType="begin"/>
      </w:r>
      <w:r>
        <w:rPr>
          <w:color w:val="auto"/>
          <w:highlight w:val="none"/>
        </w:rPr>
        <w:instrText xml:space="preserve"> PAGEREF _Toc216681833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"_Toc216681834" </w:instrText>
      </w:r>
      <w:r>
        <w:rPr>
          <w:color w:val="auto"/>
          <w:highlight w:val="none"/>
        </w:rPr>
        <w:fldChar w:fldCharType="separate"/>
      </w:r>
      <w:r>
        <w:rPr>
          <w:rStyle w:val="47"/>
          <w:rFonts w:eastAsia="黑体"/>
          <w:bCs/>
          <w:color w:val="auto"/>
          <w:highlight w:val="none"/>
        </w:rPr>
        <w:t>1.3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招标范围、计划工期和质量要求</w:t>
      </w:r>
      <w:r>
        <w:rPr>
          <w:color w:val="auto"/>
          <w:highlight w:val="none"/>
        </w:rPr>
        <w:tab/>
      </w:r>
      <w:r>
        <w:rPr>
          <w:color w:val="auto"/>
          <w:highlight w:val="none"/>
        </w:rPr>
        <w:fldChar w:fldCharType="begin"/>
      </w:r>
      <w:r>
        <w:rPr>
          <w:color w:val="auto"/>
          <w:highlight w:val="none"/>
        </w:rPr>
        <w:instrText xml:space="preserve"> PAGEREF _Toc216681834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"_Toc216681835" </w:instrText>
      </w:r>
      <w:r>
        <w:rPr>
          <w:color w:val="auto"/>
          <w:highlight w:val="none"/>
        </w:rPr>
        <w:fldChar w:fldCharType="separate"/>
      </w:r>
      <w:r>
        <w:rPr>
          <w:rStyle w:val="47"/>
          <w:rFonts w:eastAsia="黑体"/>
          <w:bCs/>
          <w:color w:val="auto"/>
          <w:highlight w:val="none"/>
        </w:rPr>
        <w:t>1.4</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投标人资格要求</w:t>
      </w:r>
      <w:r>
        <w:rPr>
          <w:color w:val="auto"/>
          <w:highlight w:val="none"/>
        </w:rPr>
        <w:tab/>
      </w:r>
      <w:r>
        <w:rPr>
          <w:color w:val="auto"/>
          <w:highlight w:val="none"/>
        </w:rPr>
        <w:fldChar w:fldCharType="begin"/>
      </w:r>
      <w:r>
        <w:rPr>
          <w:color w:val="auto"/>
          <w:highlight w:val="none"/>
        </w:rPr>
        <w:instrText xml:space="preserve"> PAGEREF _Toc216681835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"_Toc216681836" </w:instrText>
      </w:r>
      <w:r>
        <w:rPr>
          <w:color w:val="auto"/>
          <w:highlight w:val="none"/>
        </w:rPr>
        <w:fldChar w:fldCharType="separate"/>
      </w:r>
      <w:r>
        <w:rPr>
          <w:rStyle w:val="47"/>
          <w:rFonts w:eastAsia="黑体"/>
          <w:bCs/>
          <w:color w:val="auto"/>
          <w:highlight w:val="none"/>
        </w:rPr>
        <w:t>1.5</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费用承担和设计成果补偿</w:t>
      </w:r>
      <w:r>
        <w:rPr>
          <w:color w:val="auto"/>
          <w:highlight w:val="none"/>
        </w:rPr>
        <w:tab/>
      </w:r>
      <w:r>
        <w:rPr>
          <w:color w:val="auto"/>
          <w:highlight w:val="none"/>
        </w:rPr>
        <w:fldChar w:fldCharType="begin"/>
      </w:r>
      <w:r>
        <w:rPr>
          <w:color w:val="auto"/>
          <w:highlight w:val="none"/>
        </w:rPr>
        <w:instrText xml:space="preserve"> PAGEREF _Toc216681836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"_Toc216681837" </w:instrText>
      </w:r>
      <w:r>
        <w:rPr>
          <w:color w:val="auto"/>
          <w:highlight w:val="none"/>
        </w:rPr>
        <w:fldChar w:fldCharType="separate"/>
      </w:r>
      <w:r>
        <w:rPr>
          <w:rStyle w:val="47"/>
          <w:rFonts w:eastAsia="黑体"/>
          <w:bCs/>
          <w:color w:val="auto"/>
          <w:highlight w:val="none"/>
        </w:rPr>
        <w:t xml:space="preserve">1.6 </w:t>
      </w:r>
      <w:r>
        <w:rPr>
          <w:rStyle w:val="47"/>
          <w:rFonts w:hint="eastAsia" w:ascii="黑体" w:hAnsi="宋体" w:eastAsia="黑体"/>
          <w:bCs/>
          <w:color w:val="auto"/>
          <w:highlight w:val="none"/>
        </w:rPr>
        <w:t>保密</w:t>
      </w:r>
      <w:r>
        <w:rPr>
          <w:color w:val="auto"/>
          <w:highlight w:val="none"/>
        </w:rPr>
        <w:tab/>
      </w:r>
      <w:r>
        <w:rPr>
          <w:color w:val="auto"/>
          <w:highlight w:val="none"/>
        </w:rPr>
        <w:fldChar w:fldCharType="begin"/>
      </w:r>
      <w:r>
        <w:rPr>
          <w:color w:val="auto"/>
          <w:highlight w:val="none"/>
        </w:rPr>
        <w:instrText xml:space="preserve"> PAGEREF _Toc216681837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"_Toc216681838" </w:instrText>
      </w:r>
      <w:r>
        <w:rPr>
          <w:color w:val="auto"/>
          <w:highlight w:val="none"/>
        </w:rPr>
        <w:fldChar w:fldCharType="separate"/>
      </w:r>
      <w:r>
        <w:rPr>
          <w:rStyle w:val="47"/>
          <w:rFonts w:eastAsia="黑体"/>
          <w:bCs/>
          <w:color w:val="auto"/>
          <w:highlight w:val="none"/>
        </w:rPr>
        <w:t>1.7</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语言文字</w:t>
      </w:r>
      <w:r>
        <w:rPr>
          <w:color w:val="auto"/>
          <w:highlight w:val="none"/>
        </w:rPr>
        <w:tab/>
      </w:r>
      <w:r>
        <w:rPr>
          <w:color w:val="auto"/>
          <w:highlight w:val="none"/>
        </w:rPr>
        <w:fldChar w:fldCharType="begin"/>
      </w:r>
      <w:r>
        <w:rPr>
          <w:color w:val="auto"/>
          <w:highlight w:val="none"/>
        </w:rPr>
        <w:instrText xml:space="preserve"> PAGEREF _Toc216681838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"_Toc216681839" </w:instrText>
      </w:r>
      <w:r>
        <w:rPr>
          <w:color w:val="auto"/>
          <w:highlight w:val="none"/>
        </w:rPr>
        <w:fldChar w:fldCharType="separate"/>
      </w:r>
      <w:r>
        <w:rPr>
          <w:rStyle w:val="47"/>
          <w:rFonts w:eastAsia="黑体"/>
          <w:bCs/>
          <w:color w:val="auto"/>
          <w:highlight w:val="none"/>
        </w:rPr>
        <w:t xml:space="preserve">1.8 </w:t>
      </w:r>
      <w:r>
        <w:rPr>
          <w:rStyle w:val="47"/>
          <w:rFonts w:hint="eastAsia" w:ascii="黑体" w:hAnsi="宋体" w:eastAsia="黑体"/>
          <w:bCs/>
          <w:color w:val="auto"/>
          <w:highlight w:val="none"/>
        </w:rPr>
        <w:t>计量单位</w:t>
      </w:r>
      <w:r>
        <w:rPr>
          <w:color w:val="auto"/>
          <w:highlight w:val="none"/>
        </w:rPr>
        <w:tab/>
      </w:r>
      <w:r>
        <w:rPr>
          <w:color w:val="auto"/>
          <w:highlight w:val="none"/>
        </w:rPr>
        <w:fldChar w:fldCharType="begin"/>
      </w:r>
      <w:r>
        <w:rPr>
          <w:color w:val="auto"/>
          <w:highlight w:val="none"/>
        </w:rPr>
        <w:instrText xml:space="preserve"> PAGEREF _Toc216681839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"_Toc216681840" </w:instrText>
      </w:r>
      <w:r>
        <w:rPr>
          <w:color w:val="auto"/>
          <w:highlight w:val="none"/>
        </w:rPr>
        <w:fldChar w:fldCharType="separate"/>
      </w:r>
      <w:r>
        <w:rPr>
          <w:rStyle w:val="47"/>
          <w:rFonts w:eastAsia="黑体"/>
          <w:bCs/>
          <w:color w:val="auto"/>
          <w:highlight w:val="none"/>
        </w:rPr>
        <w:t>1.9</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踏勘现场</w:t>
      </w:r>
      <w:r>
        <w:rPr>
          <w:color w:val="auto"/>
          <w:highlight w:val="none"/>
        </w:rPr>
        <w:tab/>
      </w:r>
      <w:r>
        <w:rPr>
          <w:color w:val="auto"/>
          <w:highlight w:val="none"/>
        </w:rPr>
        <w:fldChar w:fldCharType="begin"/>
      </w:r>
      <w:r>
        <w:rPr>
          <w:color w:val="auto"/>
          <w:highlight w:val="none"/>
        </w:rPr>
        <w:instrText xml:space="preserve"> PAGEREF _Toc216681840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"_Toc216681841" </w:instrText>
      </w:r>
      <w:r>
        <w:rPr>
          <w:color w:val="auto"/>
          <w:highlight w:val="none"/>
        </w:rPr>
        <w:fldChar w:fldCharType="separate"/>
      </w:r>
      <w:r>
        <w:rPr>
          <w:rStyle w:val="47"/>
          <w:rFonts w:eastAsia="黑体"/>
          <w:bCs/>
          <w:color w:val="auto"/>
          <w:highlight w:val="none"/>
        </w:rPr>
        <w:t>1.10</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投标预备会</w:t>
      </w:r>
      <w:r>
        <w:rPr>
          <w:color w:val="auto"/>
          <w:highlight w:val="none"/>
        </w:rPr>
        <w:tab/>
      </w:r>
      <w:r>
        <w:rPr>
          <w:color w:val="auto"/>
          <w:highlight w:val="none"/>
        </w:rPr>
        <w:fldChar w:fldCharType="begin"/>
      </w:r>
      <w:r>
        <w:rPr>
          <w:color w:val="auto"/>
          <w:highlight w:val="none"/>
        </w:rPr>
        <w:instrText xml:space="preserve"> PAGEREF _Toc216681841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"_Toc216681842" </w:instrText>
      </w:r>
      <w:r>
        <w:rPr>
          <w:color w:val="auto"/>
          <w:highlight w:val="none"/>
        </w:rPr>
        <w:fldChar w:fldCharType="separate"/>
      </w:r>
      <w:r>
        <w:rPr>
          <w:rStyle w:val="47"/>
          <w:rFonts w:eastAsia="黑体"/>
          <w:bCs/>
          <w:color w:val="auto"/>
          <w:highlight w:val="none"/>
        </w:rPr>
        <w:t xml:space="preserve">1.11 </w:t>
      </w:r>
      <w:r>
        <w:rPr>
          <w:rStyle w:val="47"/>
          <w:rFonts w:hint="eastAsia" w:ascii="黑体" w:hAnsi="宋体" w:eastAsia="黑体"/>
          <w:bCs/>
          <w:color w:val="auto"/>
          <w:highlight w:val="none"/>
        </w:rPr>
        <w:t>分包</w:t>
      </w:r>
      <w:r>
        <w:rPr>
          <w:color w:val="auto"/>
          <w:highlight w:val="none"/>
        </w:rPr>
        <w:tab/>
      </w:r>
      <w:r>
        <w:rPr>
          <w:color w:val="auto"/>
          <w:highlight w:val="none"/>
        </w:rPr>
        <w:fldChar w:fldCharType="begin"/>
      </w:r>
      <w:r>
        <w:rPr>
          <w:color w:val="auto"/>
          <w:highlight w:val="none"/>
        </w:rPr>
        <w:instrText xml:space="preserve"> PAGEREF _Toc216681842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"_Toc216681843" </w:instrText>
      </w:r>
      <w:r>
        <w:rPr>
          <w:color w:val="auto"/>
          <w:highlight w:val="none"/>
        </w:rPr>
        <w:fldChar w:fldCharType="separate"/>
      </w:r>
      <w:r>
        <w:rPr>
          <w:rStyle w:val="47"/>
          <w:rFonts w:eastAsia="黑体"/>
          <w:bCs/>
          <w:color w:val="auto"/>
          <w:highlight w:val="none"/>
        </w:rPr>
        <w:t>1.12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偏离</w:t>
      </w:r>
      <w:r>
        <w:rPr>
          <w:color w:val="auto"/>
          <w:highlight w:val="none"/>
        </w:rPr>
        <w:tab/>
      </w:r>
      <w:r>
        <w:rPr>
          <w:color w:val="auto"/>
          <w:highlight w:val="none"/>
        </w:rPr>
        <w:fldChar w:fldCharType="begin"/>
      </w:r>
      <w:r>
        <w:rPr>
          <w:color w:val="auto"/>
          <w:highlight w:val="none"/>
        </w:rPr>
        <w:instrText xml:space="preserve"> PAGEREF _Toc216681843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"_Toc216681844" </w:instrText>
      </w:r>
      <w:r>
        <w:rPr>
          <w:color w:val="auto"/>
          <w:highlight w:val="none"/>
        </w:rPr>
        <w:fldChar w:fldCharType="separate"/>
      </w:r>
      <w:r>
        <w:rPr>
          <w:rStyle w:val="47"/>
          <w:rFonts w:ascii="Arial" w:hAnsi="Arial" w:eastAsia="黑体"/>
          <w:b/>
          <w:bCs/>
          <w:color w:val="auto"/>
          <w:highlight w:val="none"/>
        </w:rPr>
        <w:t xml:space="preserve">2. </w:t>
      </w:r>
      <w:r>
        <w:rPr>
          <w:rStyle w:val="47"/>
          <w:rFonts w:hint="eastAsia" w:ascii="Arial" w:hAnsi="Arial" w:eastAsia="黑体"/>
          <w:b/>
          <w:bCs/>
          <w:color w:val="auto"/>
          <w:highlight w:val="none"/>
        </w:rPr>
        <w:t>招标文件</w:t>
      </w:r>
      <w:r>
        <w:rPr>
          <w:color w:val="auto"/>
          <w:highlight w:val="none"/>
        </w:rPr>
        <w:tab/>
      </w:r>
      <w:r>
        <w:rPr>
          <w:color w:val="auto"/>
          <w:highlight w:val="none"/>
        </w:rPr>
        <w:fldChar w:fldCharType="begin"/>
      </w:r>
      <w:r>
        <w:rPr>
          <w:color w:val="auto"/>
          <w:highlight w:val="none"/>
        </w:rPr>
        <w:instrText xml:space="preserve"> PAGEREF _Toc216681844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"_Toc216681845" </w:instrText>
      </w:r>
      <w:r>
        <w:rPr>
          <w:color w:val="auto"/>
          <w:highlight w:val="none"/>
        </w:rPr>
        <w:fldChar w:fldCharType="separate"/>
      </w:r>
      <w:r>
        <w:rPr>
          <w:rStyle w:val="47"/>
          <w:rFonts w:eastAsia="黑体"/>
          <w:bCs/>
          <w:color w:val="auto"/>
          <w:highlight w:val="none"/>
        </w:rPr>
        <w:t>2.1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招标文件的组成</w:t>
      </w:r>
      <w:r>
        <w:rPr>
          <w:color w:val="auto"/>
          <w:highlight w:val="none"/>
        </w:rPr>
        <w:tab/>
      </w:r>
      <w:r>
        <w:rPr>
          <w:color w:val="auto"/>
          <w:highlight w:val="none"/>
        </w:rPr>
        <w:fldChar w:fldCharType="begin"/>
      </w:r>
      <w:r>
        <w:rPr>
          <w:color w:val="auto"/>
          <w:highlight w:val="none"/>
        </w:rPr>
        <w:instrText xml:space="preserve"> PAGEREF _Toc216681845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"_Toc216681846" </w:instrText>
      </w:r>
      <w:r>
        <w:rPr>
          <w:color w:val="auto"/>
          <w:highlight w:val="none"/>
        </w:rPr>
        <w:fldChar w:fldCharType="separate"/>
      </w:r>
      <w:r>
        <w:rPr>
          <w:rStyle w:val="47"/>
          <w:rFonts w:eastAsia="黑体"/>
          <w:bCs/>
          <w:color w:val="auto"/>
          <w:highlight w:val="none"/>
        </w:rPr>
        <w:t>2.2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招标文件的澄清</w:t>
      </w:r>
      <w:r>
        <w:rPr>
          <w:color w:val="auto"/>
          <w:highlight w:val="none"/>
        </w:rPr>
        <w:tab/>
      </w:r>
      <w:r>
        <w:rPr>
          <w:color w:val="auto"/>
          <w:highlight w:val="none"/>
        </w:rPr>
        <w:fldChar w:fldCharType="begin"/>
      </w:r>
      <w:r>
        <w:rPr>
          <w:color w:val="auto"/>
          <w:highlight w:val="none"/>
        </w:rPr>
        <w:instrText xml:space="preserve"> PAGEREF _Toc216681846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"_Toc216681847" </w:instrText>
      </w:r>
      <w:r>
        <w:rPr>
          <w:color w:val="auto"/>
          <w:highlight w:val="none"/>
        </w:rPr>
        <w:fldChar w:fldCharType="separate"/>
      </w:r>
      <w:r>
        <w:rPr>
          <w:rStyle w:val="47"/>
          <w:rFonts w:eastAsia="黑体"/>
          <w:bCs/>
          <w:color w:val="auto"/>
          <w:highlight w:val="none"/>
        </w:rPr>
        <w:t>2.3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招标文件的修改</w:t>
      </w:r>
      <w:r>
        <w:rPr>
          <w:color w:val="auto"/>
          <w:highlight w:val="none"/>
        </w:rPr>
        <w:tab/>
      </w:r>
      <w:r>
        <w:rPr>
          <w:color w:val="auto"/>
          <w:highlight w:val="none"/>
        </w:rPr>
        <w:fldChar w:fldCharType="begin"/>
      </w:r>
      <w:r>
        <w:rPr>
          <w:color w:val="auto"/>
          <w:highlight w:val="none"/>
        </w:rPr>
        <w:instrText xml:space="preserve"> PAGEREF _Toc216681847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"_Toc216681848" </w:instrText>
      </w:r>
      <w:r>
        <w:rPr>
          <w:color w:val="auto"/>
          <w:highlight w:val="none"/>
        </w:rPr>
        <w:fldChar w:fldCharType="separate"/>
      </w:r>
      <w:r>
        <w:rPr>
          <w:rStyle w:val="47"/>
          <w:rFonts w:ascii="Arial" w:hAnsi="Arial" w:eastAsia="黑体"/>
          <w:b/>
          <w:bCs/>
          <w:color w:val="auto"/>
          <w:highlight w:val="none"/>
        </w:rPr>
        <w:t xml:space="preserve">3. </w:t>
      </w:r>
      <w:r>
        <w:rPr>
          <w:rStyle w:val="47"/>
          <w:rFonts w:hint="eastAsia" w:ascii="Arial" w:hAnsi="Arial" w:eastAsia="黑体"/>
          <w:b/>
          <w:bCs/>
          <w:color w:val="auto"/>
          <w:highlight w:val="none"/>
        </w:rPr>
        <w:t>投标文件</w:t>
      </w:r>
      <w:r>
        <w:rPr>
          <w:color w:val="auto"/>
          <w:highlight w:val="none"/>
        </w:rPr>
        <w:tab/>
      </w:r>
      <w:r>
        <w:rPr>
          <w:color w:val="auto"/>
          <w:highlight w:val="none"/>
        </w:rPr>
        <w:fldChar w:fldCharType="begin"/>
      </w:r>
      <w:r>
        <w:rPr>
          <w:color w:val="auto"/>
          <w:highlight w:val="none"/>
        </w:rPr>
        <w:instrText xml:space="preserve"> PAGEREF _Toc216681848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"_Toc216681849" </w:instrText>
      </w:r>
      <w:r>
        <w:rPr>
          <w:color w:val="auto"/>
          <w:highlight w:val="none"/>
        </w:rPr>
        <w:fldChar w:fldCharType="separate"/>
      </w:r>
      <w:r>
        <w:rPr>
          <w:rStyle w:val="47"/>
          <w:rFonts w:eastAsia="黑体"/>
          <w:bCs/>
          <w:color w:val="auto"/>
          <w:highlight w:val="none"/>
        </w:rPr>
        <w:t>3.1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投标文件的组成</w:t>
      </w:r>
      <w:r>
        <w:rPr>
          <w:color w:val="auto"/>
          <w:highlight w:val="none"/>
        </w:rPr>
        <w:tab/>
      </w:r>
      <w:r>
        <w:rPr>
          <w:color w:val="auto"/>
          <w:highlight w:val="none"/>
        </w:rPr>
        <w:fldChar w:fldCharType="begin"/>
      </w:r>
      <w:r>
        <w:rPr>
          <w:color w:val="auto"/>
          <w:highlight w:val="none"/>
        </w:rPr>
        <w:instrText xml:space="preserve"> PAGEREF _Toc216681849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"_Toc216681850" </w:instrText>
      </w:r>
      <w:r>
        <w:rPr>
          <w:color w:val="auto"/>
          <w:highlight w:val="none"/>
        </w:rPr>
        <w:fldChar w:fldCharType="separate"/>
      </w:r>
      <w:r>
        <w:rPr>
          <w:rStyle w:val="47"/>
          <w:rFonts w:eastAsia="黑体"/>
          <w:bCs/>
          <w:color w:val="auto"/>
          <w:highlight w:val="none"/>
        </w:rPr>
        <w:t>3.2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投标报价</w:t>
      </w:r>
      <w:r>
        <w:rPr>
          <w:color w:val="auto"/>
          <w:highlight w:val="none"/>
        </w:rPr>
        <w:tab/>
      </w:r>
      <w:r>
        <w:rPr>
          <w:color w:val="auto"/>
          <w:highlight w:val="none"/>
        </w:rPr>
        <w:fldChar w:fldCharType="begin"/>
      </w:r>
      <w:r>
        <w:rPr>
          <w:color w:val="auto"/>
          <w:highlight w:val="none"/>
        </w:rPr>
        <w:instrText xml:space="preserve"> PAGEREF _Toc216681850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"_Toc216681851" </w:instrText>
      </w:r>
      <w:r>
        <w:rPr>
          <w:color w:val="auto"/>
          <w:highlight w:val="none"/>
        </w:rPr>
        <w:fldChar w:fldCharType="separate"/>
      </w:r>
      <w:r>
        <w:rPr>
          <w:rStyle w:val="47"/>
          <w:rFonts w:eastAsia="黑体"/>
          <w:bCs/>
          <w:color w:val="auto"/>
          <w:highlight w:val="none"/>
        </w:rPr>
        <w:t>3.3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投标有效期</w:t>
      </w:r>
      <w:r>
        <w:rPr>
          <w:color w:val="auto"/>
          <w:highlight w:val="none"/>
        </w:rPr>
        <w:tab/>
      </w:r>
      <w:r>
        <w:rPr>
          <w:color w:val="auto"/>
          <w:highlight w:val="none"/>
        </w:rPr>
        <w:fldChar w:fldCharType="begin"/>
      </w:r>
      <w:r>
        <w:rPr>
          <w:color w:val="auto"/>
          <w:highlight w:val="none"/>
        </w:rPr>
        <w:instrText xml:space="preserve"> PAGEREF _Toc216681851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"_Toc216681852" </w:instrText>
      </w:r>
      <w:r>
        <w:rPr>
          <w:color w:val="auto"/>
          <w:highlight w:val="none"/>
        </w:rPr>
        <w:fldChar w:fldCharType="separate"/>
      </w:r>
      <w:r>
        <w:rPr>
          <w:rStyle w:val="47"/>
          <w:rFonts w:eastAsia="黑体"/>
          <w:bCs/>
          <w:color w:val="auto"/>
          <w:highlight w:val="none"/>
        </w:rPr>
        <w:t>3.4</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投标保证金</w:t>
      </w:r>
      <w:r>
        <w:rPr>
          <w:color w:val="auto"/>
          <w:highlight w:val="none"/>
        </w:rPr>
        <w:tab/>
      </w:r>
      <w:r>
        <w:rPr>
          <w:color w:val="auto"/>
          <w:highlight w:val="none"/>
        </w:rPr>
        <w:fldChar w:fldCharType="begin"/>
      </w:r>
      <w:r>
        <w:rPr>
          <w:color w:val="auto"/>
          <w:highlight w:val="none"/>
        </w:rPr>
        <w:instrText xml:space="preserve"> PAGEREF _Toc216681852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"_Toc216681853" </w:instrText>
      </w:r>
      <w:r>
        <w:rPr>
          <w:color w:val="auto"/>
          <w:highlight w:val="none"/>
        </w:rPr>
        <w:fldChar w:fldCharType="separate"/>
      </w:r>
      <w:r>
        <w:rPr>
          <w:rStyle w:val="47"/>
          <w:rFonts w:eastAsia="黑体"/>
          <w:bCs/>
          <w:color w:val="auto"/>
          <w:highlight w:val="none"/>
        </w:rPr>
        <w:t>3.5</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资格审查资料</w:t>
      </w:r>
      <w:r>
        <w:rPr>
          <w:color w:val="auto"/>
          <w:highlight w:val="none"/>
        </w:rPr>
        <w:tab/>
      </w:r>
      <w:r>
        <w:rPr>
          <w:color w:val="auto"/>
          <w:highlight w:val="none"/>
        </w:rPr>
        <w:fldChar w:fldCharType="begin"/>
      </w:r>
      <w:r>
        <w:rPr>
          <w:color w:val="auto"/>
          <w:highlight w:val="none"/>
        </w:rPr>
        <w:instrText xml:space="preserve"> PAGEREF _Toc216681853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"_Toc216681854" </w:instrText>
      </w:r>
      <w:r>
        <w:rPr>
          <w:color w:val="auto"/>
          <w:highlight w:val="none"/>
        </w:rPr>
        <w:fldChar w:fldCharType="separate"/>
      </w:r>
      <w:r>
        <w:rPr>
          <w:rStyle w:val="47"/>
          <w:rFonts w:eastAsia="黑体"/>
          <w:bCs/>
          <w:color w:val="auto"/>
          <w:highlight w:val="none"/>
        </w:rPr>
        <w:t>3.6</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备选投标方案</w:t>
      </w:r>
      <w:r>
        <w:rPr>
          <w:color w:val="auto"/>
          <w:highlight w:val="none"/>
        </w:rPr>
        <w:tab/>
      </w:r>
      <w:r>
        <w:rPr>
          <w:color w:val="auto"/>
          <w:highlight w:val="none"/>
        </w:rPr>
        <w:fldChar w:fldCharType="begin"/>
      </w:r>
      <w:r>
        <w:rPr>
          <w:color w:val="auto"/>
          <w:highlight w:val="none"/>
        </w:rPr>
        <w:instrText xml:space="preserve"> PAGEREF _Toc216681854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"_Toc216681855" </w:instrText>
      </w:r>
      <w:r>
        <w:rPr>
          <w:color w:val="auto"/>
          <w:highlight w:val="none"/>
        </w:rPr>
        <w:fldChar w:fldCharType="separate"/>
      </w:r>
      <w:r>
        <w:rPr>
          <w:rStyle w:val="47"/>
          <w:rFonts w:eastAsia="黑体"/>
          <w:bCs/>
          <w:color w:val="auto"/>
          <w:highlight w:val="none"/>
        </w:rPr>
        <w:t>3.7</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投标文件的编制</w:t>
      </w:r>
      <w:r>
        <w:rPr>
          <w:color w:val="auto"/>
          <w:highlight w:val="none"/>
        </w:rPr>
        <w:tab/>
      </w:r>
      <w:r>
        <w:rPr>
          <w:color w:val="auto"/>
          <w:highlight w:val="none"/>
        </w:rPr>
        <w:fldChar w:fldCharType="begin"/>
      </w:r>
      <w:r>
        <w:rPr>
          <w:color w:val="auto"/>
          <w:highlight w:val="none"/>
        </w:rPr>
        <w:instrText xml:space="preserve"> PAGEREF _Toc216681855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"_Toc216681856" </w:instrText>
      </w:r>
      <w:r>
        <w:rPr>
          <w:color w:val="auto"/>
          <w:highlight w:val="none"/>
        </w:rPr>
        <w:fldChar w:fldCharType="separate"/>
      </w:r>
      <w:r>
        <w:rPr>
          <w:rStyle w:val="47"/>
          <w:rFonts w:ascii="Arial" w:hAnsi="Arial" w:eastAsia="黑体"/>
          <w:b/>
          <w:bCs/>
          <w:color w:val="auto"/>
          <w:highlight w:val="none"/>
        </w:rPr>
        <w:t xml:space="preserve">4. </w:t>
      </w:r>
      <w:r>
        <w:rPr>
          <w:rStyle w:val="47"/>
          <w:rFonts w:hint="eastAsia" w:ascii="Arial" w:hAnsi="Arial" w:eastAsia="黑体"/>
          <w:b/>
          <w:bCs/>
          <w:color w:val="auto"/>
          <w:highlight w:val="none"/>
        </w:rPr>
        <w:t>投标</w:t>
      </w:r>
      <w:r>
        <w:rPr>
          <w:color w:val="auto"/>
          <w:highlight w:val="none"/>
        </w:rPr>
        <w:tab/>
      </w:r>
      <w:r>
        <w:rPr>
          <w:color w:val="auto"/>
          <w:highlight w:val="none"/>
        </w:rPr>
        <w:fldChar w:fldCharType="begin"/>
      </w:r>
      <w:r>
        <w:rPr>
          <w:color w:val="auto"/>
          <w:highlight w:val="none"/>
        </w:rPr>
        <w:instrText xml:space="preserve"> PAGEREF _Toc216681856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"_Toc216681857" </w:instrText>
      </w:r>
      <w:r>
        <w:rPr>
          <w:color w:val="auto"/>
          <w:highlight w:val="none"/>
        </w:rPr>
        <w:fldChar w:fldCharType="separate"/>
      </w:r>
      <w:r>
        <w:rPr>
          <w:rStyle w:val="47"/>
          <w:rFonts w:eastAsia="黑体"/>
          <w:bCs/>
          <w:color w:val="auto"/>
          <w:highlight w:val="none"/>
        </w:rPr>
        <w:t>4.1</w:t>
      </w:r>
      <w:r>
        <w:rPr>
          <w:rStyle w:val="47"/>
          <w:rFonts w:hint="eastAsia" w:ascii="黑体" w:hAnsi="宋体" w:eastAsia="黑体"/>
          <w:bCs/>
          <w:color w:val="auto"/>
          <w:highlight w:val="none"/>
        </w:rPr>
        <w:t>投标文件的上传</w:t>
      </w:r>
      <w:r>
        <w:rPr>
          <w:color w:val="auto"/>
          <w:highlight w:val="none"/>
        </w:rPr>
        <w:tab/>
      </w:r>
      <w:r>
        <w:rPr>
          <w:color w:val="auto"/>
          <w:highlight w:val="none"/>
        </w:rPr>
        <w:fldChar w:fldCharType="begin"/>
      </w:r>
      <w:r>
        <w:rPr>
          <w:color w:val="auto"/>
          <w:highlight w:val="none"/>
        </w:rPr>
        <w:instrText xml:space="preserve"> PAGEREF _Toc216681857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"_Toc216681858" </w:instrText>
      </w:r>
      <w:r>
        <w:rPr>
          <w:color w:val="auto"/>
          <w:highlight w:val="none"/>
        </w:rPr>
        <w:fldChar w:fldCharType="separate"/>
      </w:r>
      <w:r>
        <w:rPr>
          <w:rStyle w:val="47"/>
          <w:rFonts w:eastAsia="黑体"/>
          <w:bCs/>
          <w:color w:val="auto"/>
          <w:highlight w:val="none"/>
        </w:rPr>
        <w:t>4.2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投标文件的修改与撤回</w:t>
      </w:r>
      <w:r>
        <w:rPr>
          <w:color w:val="auto"/>
          <w:highlight w:val="none"/>
        </w:rPr>
        <w:tab/>
      </w:r>
      <w:r>
        <w:rPr>
          <w:color w:val="auto"/>
          <w:highlight w:val="none"/>
        </w:rPr>
        <w:fldChar w:fldCharType="begin"/>
      </w:r>
      <w:r>
        <w:rPr>
          <w:color w:val="auto"/>
          <w:highlight w:val="none"/>
        </w:rPr>
        <w:instrText xml:space="preserve"> PAGEREF _Toc216681858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"_Toc216681859" </w:instrText>
      </w:r>
      <w:r>
        <w:rPr>
          <w:color w:val="auto"/>
          <w:highlight w:val="none"/>
        </w:rPr>
        <w:fldChar w:fldCharType="separate"/>
      </w:r>
      <w:r>
        <w:rPr>
          <w:rStyle w:val="47"/>
          <w:rFonts w:ascii="Arial" w:hAnsi="Arial" w:eastAsia="黑体"/>
          <w:b/>
          <w:bCs/>
          <w:color w:val="auto"/>
          <w:highlight w:val="none"/>
        </w:rPr>
        <w:t xml:space="preserve">5. </w:t>
      </w:r>
      <w:r>
        <w:rPr>
          <w:rStyle w:val="47"/>
          <w:rFonts w:hint="eastAsia" w:ascii="Arial" w:hAnsi="Arial" w:eastAsia="黑体"/>
          <w:b/>
          <w:bCs/>
          <w:color w:val="auto"/>
          <w:highlight w:val="none"/>
        </w:rPr>
        <w:t>开标</w:t>
      </w:r>
      <w:r>
        <w:rPr>
          <w:color w:val="auto"/>
          <w:highlight w:val="none"/>
        </w:rPr>
        <w:tab/>
      </w:r>
      <w:r>
        <w:rPr>
          <w:color w:val="auto"/>
          <w:highlight w:val="none"/>
        </w:rPr>
        <w:fldChar w:fldCharType="begin"/>
      </w:r>
      <w:r>
        <w:rPr>
          <w:color w:val="auto"/>
          <w:highlight w:val="none"/>
        </w:rPr>
        <w:instrText xml:space="preserve"> PAGEREF _Toc216681859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"_Toc216681860" </w:instrText>
      </w:r>
      <w:r>
        <w:rPr>
          <w:color w:val="auto"/>
          <w:highlight w:val="none"/>
        </w:rPr>
        <w:fldChar w:fldCharType="separate"/>
      </w:r>
      <w:r>
        <w:rPr>
          <w:rStyle w:val="47"/>
          <w:rFonts w:eastAsia="黑体"/>
          <w:bCs/>
          <w:color w:val="auto"/>
          <w:highlight w:val="none"/>
        </w:rPr>
        <w:t>5.1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开标时间和地点</w:t>
      </w:r>
      <w:r>
        <w:rPr>
          <w:color w:val="auto"/>
          <w:highlight w:val="none"/>
        </w:rPr>
        <w:tab/>
      </w:r>
      <w:r>
        <w:rPr>
          <w:color w:val="auto"/>
          <w:highlight w:val="none"/>
        </w:rPr>
        <w:fldChar w:fldCharType="begin"/>
      </w:r>
      <w:r>
        <w:rPr>
          <w:color w:val="auto"/>
          <w:highlight w:val="none"/>
        </w:rPr>
        <w:instrText xml:space="preserve"> PAGEREF _Toc216681860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"_Toc216681861" </w:instrText>
      </w:r>
      <w:r>
        <w:rPr>
          <w:color w:val="auto"/>
          <w:highlight w:val="none"/>
        </w:rPr>
        <w:fldChar w:fldCharType="separate"/>
      </w:r>
      <w:r>
        <w:rPr>
          <w:rStyle w:val="47"/>
          <w:rFonts w:eastAsia="黑体"/>
          <w:bCs/>
          <w:color w:val="auto"/>
          <w:highlight w:val="none"/>
        </w:rPr>
        <w:t>5.2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开标程序</w:t>
      </w:r>
      <w:r>
        <w:rPr>
          <w:color w:val="auto"/>
          <w:highlight w:val="none"/>
        </w:rPr>
        <w:tab/>
      </w:r>
      <w:r>
        <w:rPr>
          <w:color w:val="auto"/>
          <w:highlight w:val="none"/>
        </w:rPr>
        <w:fldChar w:fldCharType="begin"/>
      </w:r>
      <w:r>
        <w:rPr>
          <w:color w:val="auto"/>
          <w:highlight w:val="none"/>
        </w:rPr>
        <w:instrText xml:space="preserve"> PAGEREF _Toc216681861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"_Toc216681862" </w:instrText>
      </w:r>
      <w:r>
        <w:rPr>
          <w:color w:val="auto"/>
          <w:highlight w:val="none"/>
        </w:rPr>
        <w:fldChar w:fldCharType="separate"/>
      </w:r>
      <w:r>
        <w:rPr>
          <w:rStyle w:val="47"/>
          <w:rFonts w:eastAsia="黑体"/>
          <w:bCs/>
          <w:color w:val="auto"/>
          <w:highlight w:val="none"/>
        </w:rPr>
        <w:t>5.3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开标异议</w:t>
      </w:r>
      <w:r>
        <w:rPr>
          <w:color w:val="auto"/>
          <w:highlight w:val="none"/>
        </w:rPr>
        <w:tab/>
      </w:r>
      <w:r>
        <w:rPr>
          <w:color w:val="auto"/>
          <w:highlight w:val="none"/>
        </w:rPr>
        <w:fldChar w:fldCharType="begin"/>
      </w:r>
      <w:r>
        <w:rPr>
          <w:color w:val="auto"/>
          <w:highlight w:val="none"/>
        </w:rPr>
        <w:instrText xml:space="preserve"> PAGEREF _Toc216681862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"_Toc216681863" </w:instrText>
      </w:r>
      <w:r>
        <w:rPr>
          <w:color w:val="auto"/>
          <w:highlight w:val="none"/>
        </w:rPr>
        <w:fldChar w:fldCharType="separate"/>
      </w:r>
      <w:r>
        <w:rPr>
          <w:rStyle w:val="47"/>
          <w:rFonts w:ascii="Arial" w:hAnsi="Arial" w:eastAsia="黑体"/>
          <w:b/>
          <w:bCs/>
          <w:color w:val="auto"/>
          <w:highlight w:val="none"/>
        </w:rPr>
        <w:t xml:space="preserve">6. </w:t>
      </w:r>
      <w:r>
        <w:rPr>
          <w:rStyle w:val="47"/>
          <w:rFonts w:hint="eastAsia" w:ascii="Arial" w:hAnsi="Arial" w:eastAsia="黑体"/>
          <w:b/>
          <w:bCs/>
          <w:color w:val="auto"/>
          <w:highlight w:val="none"/>
        </w:rPr>
        <w:t>评标</w:t>
      </w:r>
      <w:r>
        <w:rPr>
          <w:color w:val="auto"/>
          <w:highlight w:val="none"/>
        </w:rPr>
        <w:tab/>
      </w:r>
      <w:r>
        <w:rPr>
          <w:color w:val="auto"/>
          <w:highlight w:val="none"/>
        </w:rPr>
        <w:fldChar w:fldCharType="begin"/>
      </w:r>
      <w:r>
        <w:rPr>
          <w:color w:val="auto"/>
          <w:highlight w:val="none"/>
        </w:rPr>
        <w:instrText xml:space="preserve"> PAGEREF _Toc216681863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"_Toc216681864" </w:instrText>
      </w:r>
      <w:r>
        <w:rPr>
          <w:color w:val="auto"/>
          <w:highlight w:val="none"/>
        </w:rPr>
        <w:fldChar w:fldCharType="separate"/>
      </w:r>
      <w:r>
        <w:rPr>
          <w:rStyle w:val="47"/>
          <w:rFonts w:eastAsia="黑体"/>
          <w:bCs/>
          <w:color w:val="auto"/>
          <w:highlight w:val="none"/>
        </w:rPr>
        <w:t>6.1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评标委员会</w:t>
      </w:r>
      <w:r>
        <w:rPr>
          <w:color w:val="auto"/>
          <w:highlight w:val="none"/>
        </w:rPr>
        <w:tab/>
      </w:r>
      <w:r>
        <w:rPr>
          <w:color w:val="auto"/>
          <w:highlight w:val="none"/>
        </w:rPr>
        <w:fldChar w:fldCharType="begin"/>
      </w:r>
      <w:r>
        <w:rPr>
          <w:color w:val="auto"/>
          <w:highlight w:val="none"/>
        </w:rPr>
        <w:instrText xml:space="preserve"> PAGEREF _Toc216681864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"_Toc216681865" </w:instrText>
      </w:r>
      <w:r>
        <w:rPr>
          <w:color w:val="auto"/>
          <w:highlight w:val="none"/>
        </w:rPr>
        <w:fldChar w:fldCharType="separate"/>
      </w:r>
      <w:r>
        <w:rPr>
          <w:rStyle w:val="47"/>
          <w:rFonts w:eastAsia="黑体"/>
          <w:bCs/>
          <w:color w:val="auto"/>
          <w:highlight w:val="none"/>
        </w:rPr>
        <w:t>6.2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评标原则</w:t>
      </w:r>
      <w:r>
        <w:rPr>
          <w:color w:val="auto"/>
          <w:highlight w:val="none"/>
        </w:rPr>
        <w:tab/>
      </w:r>
      <w:r>
        <w:rPr>
          <w:color w:val="auto"/>
          <w:highlight w:val="none"/>
        </w:rPr>
        <w:fldChar w:fldCharType="begin"/>
      </w:r>
      <w:r>
        <w:rPr>
          <w:color w:val="auto"/>
          <w:highlight w:val="none"/>
        </w:rPr>
        <w:instrText xml:space="preserve"> PAGEREF _Toc216681865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"_Toc216681866" </w:instrText>
      </w:r>
      <w:r>
        <w:rPr>
          <w:color w:val="auto"/>
          <w:highlight w:val="none"/>
        </w:rPr>
        <w:fldChar w:fldCharType="separate"/>
      </w:r>
      <w:r>
        <w:rPr>
          <w:rStyle w:val="47"/>
          <w:rFonts w:eastAsia="黑体"/>
          <w:bCs/>
          <w:color w:val="auto"/>
          <w:highlight w:val="none"/>
        </w:rPr>
        <w:t>6.3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评标</w:t>
      </w:r>
      <w:r>
        <w:rPr>
          <w:color w:val="auto"/>
          <w:highlight w:val="none"/>
        </w:rPr>
        <w:tab/>
      </w:r>
      <w:r>
        <w:rPr>
          <w:color w:val="auto"/>
          <w:highlight w:val="none"/>
        </w:rPr>
        <w:fldChar w:fldCharType="begin"/>
      </w:r>
      <w:r>
        <w:rPr>
          <w:color w:val="auto"/>
          <w:highlight w:val="none"/>
        </w:rPr>
        <w:instrText xml:space="preserve"> PAGEREF _Toc216681866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"_Toc216681867" </w:instrText>
      </w:r>
      <w:r>
        <w:rPr>
          <w:color w:val="auto"/>
          <w:highlight w:val="none"/>
        </w:rPr>
        <w:fldChar w:fldCharType="separate"/>
      </w:r>
      <w:r>
        <w:rPr>
          <w:rStyle w:val="47"/>
          <w:rFonts w:ascii="Arial" w:hAnsi="Arial" w:eastAsia="黑体"/>
          <w:b/>
          <w:bCs/>
          <w:color w:val="auto"/>
          <w:highlight w:val="none"/>
        </w:rPr>
        <w:t xml:space="preserve">7. </w:t>
      </w:r>
      <w:r>
        <w:rPr>
          <w:rStyle w:val="47"/>
          <w:rFonts w:hint="eastAsia" w:ascii="Arial" w:hAnsi="Arial" w:eastAsia="黑体"/>
          <w:b/>
          <w:bCs/>
          <w:color w:val="auto"/>
          <w:highlight w:val="none"/>
        </w:rPr>
        <w:t>合同授予</w:t>
      </w:r>
      <w:r>
        <w:rPr>
          <w:color w:val="auto"/>
          <w:highlight w:val="none"/>
        </w:rPr>
        <w:tab/>
      </w:r>
      <w:r>
        <w:rPr>
          <w:color w:val="auto"/>
          <w:highlight w:val="none"/>
        </w:rPr>
        <w:fldChar w:fldCharType="begin"/>
      </w:r>
      <w:r>
        <w:rPr>
          <w:color w:val="auto"/>
          <w:highlight w:val="none"/>
        </w:rPr>
        <w:instrText xml:space="preserve"> PAGEREF _Toc216681867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"_Toc216681868" </w:instrText>
      </w:r>
      <w:r>
        <w:rPr>
          <w:color w:val="auto"/>
          <w:highlight w:val="none"/>
        </w:rPr>
        <w:fldChar w:fldCharType="separate"/>
      </w:r>
      <w:r>
        <w:rPr>
          <w:rStyle w:val="47"/>
          <w:rFonts w:eastAsia="黑体"/>
          <w:bCs/>
          <w:color w:val="auto"/>
          <w:highlight w:val="none"/>
        </w:rPr>
        <w:t>7.1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定标方式</w:t>
      </w:r>
      <w:r>
        <w:rPr>
          <w:color w:val="auto"/>
          <w:highlight w:val="none"/>
        </w:rPr>
        <w:tab/>
      </w:r>
      <w:r>
        <w:rPr>
          <w:color w:val="auto"/>
          <w:highlight w:val="none"/>
        </w:rPr>
        <w:fldChar w:fldCharType="begin"/>
      </w:r>
      <w:r>
        <w:rPr>
          <w:color w:val="auto"/>
          <w:highlight w:val="none"/>
        </w:rPr>
        <w:instrText xml:space="preserve"> PAGEREF _Toc216681868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"_Toc216681869" </w:instrText>
      </w:r>
      <w:r>
        <w:rPr>
          <w:color w:val="auto"/>
          <w:highlight w:val="none"/>
        </w:rPr>
        <w:fldChar w:fldCharType="separate"/>
      </w:r>
      <w:r>
        <w:rPr>
          <w:rStyle w:val="47"/>
          <w:rFonts w:eastAsia="黑体"/>
          <w:bCs/>
          <w:color w:val="auto"/>
          <w:highlight w:val="none"/>
        </w:rPr>
        <w:t>7.2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中标候选人公示</w:t>
      </w:r>
      <w:r>
        <w:rPr>
          <w:color w:val="auto"/>
          <w:highlight w:val="none"/>
        </w:rPr>
        <w:tab/>
      </w:r>
      <w:r>
        <w:rPr>
          <w:color w:val="auto"/>
          <w:highlight w:val="none"/>
        </w:rPr>
        <w:fldChar w:fldCharType="begin"/>
      </w:r>
      <w:r>
        <w:rPr>
          <w:color w:val="auto"/>
          <w:highlight w:val="none"/>
        </w:rPr>
        <w:instrText xml:space="preserve"> PAGEREF _Toc216681869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"_Toc216681870" </w:instrText>
      </w:r>
      <w:r>
        <w:rPr>
          <w:color w:val="auto"/>
          <w:highlight w:val="none"/>
        </w:rPr>
        <w:fldChar w:fldCharType="separate"/>
      </w:r>
      <w:r>
        <w:rPr>
          <w:rStyle w:val="47"/>
          <w:rFonts w:eastAsia="黑体"/>
          <w:bCs/>
          <w:color w:val="auto"/>
          <w:highlight w:val="none"/>
        </w:rPr>
        <w:t>7.3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中标通知</w:t>
      </w:r>
      <w:r>
        <w:rPr>
          <w:color w:val="auto"/>
          <w:highlight w:val="none"/>
        </w:rPr>
        <w:tab/>
      </w:r>
      <w:r>
        <w:rPr>
          <w:color w:val="auto"/>
          <w:highlight w:val="none"/>
        </w:rPr>
        <w:fldChar w:fldCharType="begin"/>
      </w:r>
      <w:r>
        <w:rPr>
          <w:color w:val="auto"/>
          <w:highlight w:val="none"/>
        </w:rPr>
        <w:instrText xml:space="preserve"> PAGEREF _Toc216681870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"_Toc216681871" </w:instrText>
      </w:r>
      <w:r>
        <w:rPr>
          <w:color w:val="auto"/>
          <w:highlight w:val="none"/>
        </w:rPr>
        <w:fldChar w:fldCharType="separate"/>
      </w:r>
      <w:r>
        <w:rPr>
          <w:rStyle w:val="47"/>
          <w:rFonts w:eastAsia="黑体"/>
          <w:bCs/>
          <w:color w:val="auto"/>
          <w:highlight w:val="none"/>
        </w:rPr>
        <w:t>7.4</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履约担保</w:t>
      </w:r>
      <w:r>
        <w:rPr>
          <w:color w:val="auto"/>
          <w:highlight w:val="none"/>
        </w:rPr>
        <w:tab/>
      </w:r>
      <w:r>
        <w:rPr>
          <w:color w:val="auto"/>
          <w:highlight w:val="none"/>
        </w:rPr>
        <w:fldChar w:fldCharType="begin"/>
      </w:r>
      <w:r>
        <w:rPr>
          <w:color w:val="auto"/>
          <w:highlight w:val="none"/>
        </w:rPr>
        <w:instrText xml:space="preserve"> PAGEREF _Toc216681871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"_Toc216681872" </w:instrText>
      </w:r>
      <w:r>
        <w:rPr>
          <w:color w:val="auto"/>
          <w:highlight w:val="none"/>
        </w:rPr>
        <w:fldChar w:fldCharType="separate"/>
      </w:r>
      <w:r>
        <w:rPr>
          <w:rStyle w:val="47"/>
          <w:rFonts w:eastAsia="黑体"/>
          <w:bCs/>
          <w:color w:val="auto"/>
          <w:highlight w:val="none"/>
        </w:rPr>
        <w:t>7.5</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签订合同</w:t>
      </w:r>
      <w:r>
        <w:rPr>
          <w:color w:val="auto"/>
          <w:highlight w:val="none"/>
        </w:rPr>
        <w:tab/>
      </w:r>
      <w:r>
        <w:rPr>
          <w:color w:val="auto"/>
          <w:highlight w:val="none"/>
        </w:rPr>
        <w:fldChar w:fldCharType="begin"/>
      </w:r>
      <w:r>
        <w:rPr>
          <w:color w:val="auto"/>
          <w:highlight w:val="none"/>
        </w:rPr>
        <w:instrText xml:space="preserve"> PAGEREF _Toc216681872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"_Toc216681873" </w:instrText>
      </w:r>
      <w:r>
        <w:rPr>
          <w:color w:val="auto"/>
          <w:highlight w:val="none"/>
        </w:rPr>
        <w:fldChar w:fldCharType="separate"/>
      </w:r>
      <w:r>
        <w:rPr>
          <w:rStyle w:val="47"/>
          <w:rFonts w:ascii="Arial" w:hAnsi="Arial" w:eastAsia="黑体"/>
          <w:b/>
          <w:bCs/>
          <w:color w:val="auto"/>
          <w:highlight w:val="none"/>
        </w:rPr>
        <w:t xml:space="preserve">8. </w:t>
      </w:r>
      <w:r>
        <w:rPr>
          <w:rStyle w:val="47"/>
          <w:rFonts w:hint="eastAsia" w:ascii="Arial" w:hAnsi="Arial" w:eastAsia="黑体"/>
          <w:b/>
          <w:bCs/>
          <w:color w:val="auto"/>
          <w:highlight w:val="none"/>
        </w:rPr>
        <w:t>纪律和监督</w:t>
      </w:r>
      <w:r>
        <w:rPr>
          <w:color w:val="auto"/>
          <w:highlight w:val="none"/>
        </w:rPr>
        <w:tab/>
      </w:r>
      <w:r>
        <w:rPr>
          <w:color w:val="auto"/>
          <w:highlight w:val="none"/>
        </w:rPr>
        <w:fldChar w:fldCharType="begin"/>
      </w:r>
      <w:r>
        <w:rPr>
          <w:color w:val="auto"/>
          <w:highlight w:val="none"/>
        </w:rPr>
        <w:instrText xml:space="preserve"> PAGEREF _Toc216681873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"_Toc216681874" </w:instrText>
      </w:r>
      <w:r>
        <w:rPr>
          <w:color w:val="auto"/>
          <w:highlight w:val="none"/>
        </w:rPr>
        <w:fldChar w:fldCharType="separate"/>
      </w:r>
      <w:r>
        <w:rPr>
          <w:rStyle w:val="47"/>
          <w:rFonts w:eastAsia="黑体"/>
          <w:bCs/>
          <w:color w:val="auto"/>
          <w:highlight w:val="none"/>
        </w:rPr>
        <w:t>8.1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对招标人的纪律要求</w:t>
      </w:r>
      <w:r>
        <w:rPr>
          <w:color w:val="auto"/>
          <w:highlight w:val="none"/>
        </w:rPr>
        <w:tab/>
      </w:r>
      <w:r>
        <w:rPr>
          <w:color w:val="auto"/>
          <w:highlight w:val="none"/>
        </w:rPr>
        <w:fldChar w:fldCharType="begin"/>
      </w:r>
      <w:r>
        <w:rPr>
          <w:color w:val="auto"/>
          <w:highlight w:val="none"/>
        </w:rPr>
        <w:instrText xml:space="preserve"> PAGEREF _Toc216681874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"_Toc216681875" </w:instrText>
      </w:r>
      <w:r>
        <w:rPr>
          <w:color w:val="auto"/>
          <w:highlight w:val="none"/>
        </w:rPr>
        <w:fldChar w:fldCharType="separate"/>
      </w:r>
      <w:r>
        <w:rPr>
          <w:rStyle w:val="47"/>
          <w:rFonts w:eastAsia="黑体"/>
          <w:bCs/>
          <w:color w:val="auto"/>
          <w:highlight w:val="none"/>
        </w:rPr>
        <w:t>8.2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对投标人的纪律要求</w:t>
      </w:r>
      <w:r>
        <w:rPr>
          <w:color w:val="auto"/>
          <w:highlight w:val="none"/>
        </w:rPr>
        <w:tab/>
      </w:r>
      <w:r>
        <w:rPr>
          <w:color w:val="auto"/>
          <w:highlight w:val="none"/>
        </w:rPr>
        <w:fldChar w:fldCharType="begin"/>
      </w:r>
      <w:r>
        <w:rPr>
          <w:color w:val="auto"/>
          <w:highlight w:val="none"/>
        </w:rPr>
        <w:instrText xml:space="preserve"> PAGEREF _Toc216681875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"_Toc216681876" </w:instrText>
      </w:r>
      <w:r>
        <w:rPr>
          <w:color w:val="auto"/>
          <w:highlight w:val="none"/>
        </w:rPr>
        <w:fldChar w:fldCharType="separate"/>
      </w:r>
      <w:r>
        <w:rPr>
          <w:rStyle w:val="47"/>
          <w:rFonts w:eastAsia="黑体"/>
          <w:bCs/>
          <w:color w:val="auto"/>
          <w:highlight w:val="none"/>
        </w:rPr>
        <w:t>8.3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对评标委员会成员的纪律要求</w:t>
      </w:r>
      <w:r>
        <w:rPr>
          <w:color w:val="auto"/>
          <w:highlight w:val="none"/>
        </w:rPr>
        <w:tab/>
      </w:r>
      <w:r>
        <w:rPr>
          <w:color w:val="auto"/>
          <w:highlight w:val="none"/>
        </w:rPr>
        <w:fldChar w:fldCharType="begin"/>
      </w:r>
      <w:r>
        <w:rPr>
          <w:color w:val="auto"/>
          <w:highlight w:val="none"/>
        </w:rPr>
        <w:instrText xml:space="preserve"> PAGEREF _Toc216681876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"_Toc216681877" </w:instrText>
      </w:r>
      <w:r>
        <w:rPr>
          <w:color w:val="auto"/>
          <w:highlight w:val="none"/>
        </w:rPr>
        <w:fldChar w:fldCharType="separate"/>
      </w:r>
      <w:r>
        <w:rPr>
          <w:rStyle w:val="47"/>
          <w:rFonts w:eastAsia="黑体"/>
          <w:bCs/>
          <w:color w:val="auto"/>
          <w:highlight w:val="none"/>
        </w:rPr>
        <w:t>8.4</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对与评标活动有关的工作人员的纪律要求</w:t>
      </w:r>
      <w:r>
        <w:rPr>
          <w:color w:val="auto"/>
          <w:highlight w:val="none"/>
        </w:rPr>
        <w:tab/>
      </w:r>
      <w:r>
        <w:rPr>
          <w:color w:val="auto"/>
          <w:highlight w:val="none"/>
        </w:rPr>
        <w:fldChar w:fldCharType="begin"/>
      </w:r>
      <w:r>
        <w:rPr>
          <w:color w:val="auto"/>
          <w:highlight w:val="none"/>
        </w:rPr>
        <w:instrText xml:space="preserve"> PAGEREF _Toc216681877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"_Toc216681878" </w:instrText>
      </w:r>
      <w:r>
        <w:rPr>
          <w:color w:val="auto"/>
          <w:highlight w:val="none"/>
        </w:rPr>
        <w:fldChar w:fldCharType="separate"/>
      </w:r>
      <w:r>
        <w:rPr>
          <w:rStyle w:val="47"/>
          <w:rFonts w:eastAsia="黑体"/>
          <w:bCs/>
          <w:color w:val="auto"/>
          <w:highlight w:val="none"/>
        </w:rPr>
        <w:t>8.5</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投诉</w:t>
      </w:r>
      <w:r>
        <w:rPr>
          <w:color w:val="auto"/>
          <w:highlight w:val="none"/>
        </w:rPr>
        <w:tab/>
      </w:r>
      <w:r>
        <w:rPr>
          <w:color w:val="auto"/>
          <w:highlight w:val="none"/>
        </w:rPr>
        <w:fldChar w:fldCharType="begin"/>
      </w:r>
      <w:r>
        <w:rPr>
          <w:color w:val="auto"/>
          <w:highlight w:val="none"/>
        </w:rPr>
        <w:instrText xml:space="preserve"> PAGEREF _Toc216681878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"_Toc216681879" </w:instrText>
      </w:r>
      <w:r>
        <w:rPr>
          <w:color w:val="auto"/>
          <w:highlight w:val="none"/>
        </w:rPr>
        <w:fldChar w:fldCharType="separate"/>
      </w:r>
      <w:r>
        <w:rPr>
          <w:rStyle w:val="47"/>
          <w:rFonts w:ascii="Arial" w:hAnsi="Arial" w:eastAsia="黑体"/>
          <w:b/>
          <w:bCs/>
          <w:color w:val="auto"/>
          <w:highlight w:val="none"/>
        </w:rPr>
        <w:t xml:space="preserve">9. </w:t>
      </w:r>
      <w:r>
        <w:rPr>
          <w:rStyle w:val="47"/>
          <w:rFonts w:hint="eastAsia" w:ascii="Arial" w:hAnsi="Arial" w:eastAsia="黑体"/>
          <w:b/>
          <w:bCs/>
          <w:color w:val="auto"/>
          <w:highlight w:val="none"/>
        </w:rPr>
        <w:t>需要补充的其他内容</w:t>
      </w:r>
      <w:r>
        <w:rPr>
          <w:color w:val="auto"/>
          <w:highlight w:val="none"/>
        </w:rPr>
        <w:tab/>
      </w:r>
      <w:r>
        <w:rPr>
          <w:color w:val="auto"/>
          <w:highlight w:val="none"/>
        </w:rPr>
        <w:fldChar w:fldCharType="begin"/>
      </w:r>
      <w:r>
        <w:rPr>
          <w:color w:val="auto"/>
          <w:highlight w:val="none"/>
        </w:rPr>
        <w:instrText xml:space="preserve"> PAGEREF _Toc216681879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"_Toc216681880" </w:instrText>
      </w:r>
      <w:r>
        <w:rPr>
          <w:color w:val="auto"/>
          <w:highlight w:val="none"/>
        </w:rPr>
        <w:fldChar w:fldCharType="separate"/>
      </w:r>
      <w:r>
        <w:rPr>
          <w:rStyle w:val="47"/>
          <w:rFonts w:hint="eastAsia" w:ascii="黑体" w:hAnsi="宋体" w:eastAsia="黑体"/>
          <w:bCs/>
          <w:color w:val="auto"/>
          <w:highlight w:val="none"/>
        </w:rPr>
        <w:t>附件一：问题澄清通知</w:t>
      </w:r>
      <w:r>
        <w:rPr>
          <w:color w:val="auto"/>
          <w:highlight w:val="none"/>
        </w:rPr>
        <w:tab/>
      </w:r>
      <w:r>
        <w:rPr>
          <w:color w:val="auto"/>
          <w:highlight w:val="none"/>
        </w:rPr>
        <w:fldChar w:fldCharType="begin"/>
      </w:r>
      <w:r>
        <w:rPr>
          <w:color w:val="auto"/>
          <w:highlight w:val="none"/>
        </w:rPr>
        <w:instrText xml:space="preserve"> PAGEREF _Toc216681880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"_Toc216681881" </w:instrText>
      </w:r>
      <w:r>
        <w:rPr>
          <w:color w:val="auto"/>
          <w:highlight w:val="none"/>
        </w:rPr>
        <w:fldChar w:fldCharType="separate"/>
      </w:r>
      <w:r>
        <w:rPr>
          <w:rStyle w:val="47"/>
          <w:rFonts w:hint="eastAsia" w:ascii="黑体" w:hAnsi="宋体" w:eastAsia="黑体"/>
          <w:bCs/>
          <w:color w:val="auto"/>
          <w:highlight w:val="none"/>
        </w:rPr>
        <w:t>附件二：问题的澄清</w:t>
      </w:r>
      <w:r>
        <w:rPr>
          <w:color w:val="auto"/>
          <w:highlight w:val="none"/>
        </w:rPr>
        <w:tab/>
      </w:r>
      <w:r>
        <w:rPr>
          <w:color w:val="auto"/>
          <w:highlight w:val="none"/>
        </w:rPr>
        <w:fldChar w:fldCharType="begin"/>
      </w:r>
      <w:r>
        <w:rPr>
          <w:color w:val="auto"/>
          <w:highlight w:val="none"/>
        </w:rPr>
        <w:instrText xml:space="preserve"> PAGEREF _Toc216681881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"_Toc216681882" </w:instrText>
      </w:r>
      <w:r>
        <w:rPr>
          <w:color w:val="auto"/>
          <w:highlight w:val="none"/>
        </w:rPr>
        <w:fldChar w:fldCharType="separate"/>
      </w:r>
      <w:r>
        <w:rPr>
          <w:rStyle w:val="47"/>
          <w:rFonts w:hint="eastAsia"/>
          <w:color w:val="auto"/>
          <w:kern w:val="44"/>
          <w:highlight w:val="none"/>
        </w:rPr>
        <w:t>第三章</w:t>
      </w:r>
      <w:r>
        <w:rPr>
          <w:rStyle w:val="47"/>
          <w:color w:val="auto"/>
          <w:kern w:val="44"/>
          <w:highlight w:val="none"/>
        </w:rPr>
        <w:t xml:space="preserve"> </w:t>
      </w:r>
      <w:r>
        <w:rPr>
          <w:rStyle w:val="47"/>
          <w:rFonts w:hint="eastAsia"/>
          <w:color w:val="auto"/>
          <w:kern w:val="44"/>
          <w:highlight w:val="none"/>
        </w:rPr>
        <w:t>评标办法（综合评估法）</w:t>
      </w:r>
      <w:r>
        <w:rPr>
          <w:color w:val="auto"/>
          <w:highlight w:val="none"/>
        </w:rPr>
        <w:tab/>
      </w:r>
      <w:r>
        <w:rPr>
          <w:color w:val="auto"/>
          <w:highlight w:val="none"/>
        </w:rPr>
        <w:fldChar w:fldCharType="begin"/>
      </w:r>
      <w:r>
        <w:rPr>
          <w:color w:val="auto"/>
          <w:highlight w:val="none"/>
        </w:rPr>
        <w:instrText xml:space="preserve"> PAGEREF _Toc216681882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"_Toc216681883" </w:instrText>
      </w:r>
      <w:r>
        <w:rPr>
          <w:color w:val="auto"/>
          <w:highlight w:val="none"/>
        </w:rPr>
        <w:fldChar w:fldCharType="separate"/>
      </w:r>
      <w:r>
        <w:rPr>
          <w:rStyle w:val="47"/>
          <w:rFonts w:hint="eastAsia" w:ascii="Arial" w:hAnsi="Arial" w:eastAsia="黑体"/>
          <w:b/>
          <w:bCs/>
          <w:color w:val="auto"/>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_Toc216681883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"_Toc216681884" </w:instrText>
      </w:r>
      <w:r>
        <w:rPr>
          <w:color w:val="auto"/>
          <w:highlight w:val="none"/>
        </w:rPr>
        <w:fldChar w:fldCharType="separate"/>
      </w:r>
      <w:r>
        <w:rPr>
          <w:rStyle w:val="47"/>
          <w:rFonts w:ascii="Arial" w:hAnsi="Arial" w:eastAsia="黑体"/>
          <w:b/>
          <w:bCs/>
          <w:color w:val="auto"/>
          <w:highlight w:val="none"/>
        </w:rPr>
        <w:t xml:space="preserve">1. </w:t>
      </w:r>
      <w:r>
        <w:rPr>
          <w:rStyle w:val="47"/>
          <w:rFonts w:hint="eastAsia" w:ascii="Arial" w:hAnsi="Arial" w:eastAsia="黑体"/>
          <w:b/>
          <w:bCs/>
          <w:color w:val="auto"/>
          <w:highlight w:val="none"/>
        </w:rPr>
        <w:t>评标方法</w:t>
      </w:r>
      <w:r>
        <w:rPr>
          <w:color w:val="auto"/>
          <w:highlight w:val="none"/>
        </w:rPr>
        <w:tab/>
      </w:r>
      <w:r>
        <w:rPr>
          <w:color w:val="auto"/>
          <w:highlight w:val="none"/>
        </w:rPr>
        <w:fldChar w:fldCharType="begin"/>
      </w:r>
      <w:r>
        <w:rPr>
          <w:color w:val="auto"/>
          <w:highlight w:val="none"/>
        </w:rPr>
        <w:instrText xml:space="preserve"> PAGEREF _Toc216681884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"_Toc216681885" </w:instrText>
      </w:r>
      <w:r>
        <w:rPr>
          <w:color w:val="auto"/>
          <w:highlight w:val="none"/>
        </w:rPr>
        <w:fldChar w:fldCharType="separate"/>
      </w:r>
      <w:r>
        <w:rPr>
          <w:rStyle w:val="47"/>
          <w:rFonts w:ascii="Arial" w:hAnsi="Arial" w:eastAsia="黑体"/>
          <w:b/>
          <w:bCs/>
          <w:color w:val="auto"/>
          <w:highlight w:val="none"/>
        </w:rPr>
        <w:t xml:space="preserve">2. </w:t>
      </w:r>
      <w:r>
        <w:rPr>
          <w:rStyle w:val="47"/>
          <w:rFonts w:hint="eastAsia" w:ascii="Arial" w:hAnsi="Arial" w:eastAsia="黑体"/>
          <w:b/>
          <w:bCs/>
          <w:color w:val="auto"/>
          <w:highlight w:val="none"/>
        </w:rPr>
        <w:t>评审标准</w:t>
      </w:r>
      <w:r>
        <w:rPr>
          <w:color w:val="auto"/>
          <w:highlight w:val="none"/>
        </w:rPr>
        <w:tab/>
      </w:r>
      <w:r>
        <w:rPr>
          <w:color w:val="auto"/>
          <w:highlight w:val="none"/>
        </w:rPr>
        <w:fldChar w:fldCharType="begin"/>
      </w:r>
      <w:r>
        <w:rPr>
          <w:color w:val="auto"/>
          <w:highlight w:val="none"/>
        </w:rPr>
        <w:instrText xml:space="preserve"> PAGEREF _Toc216681885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"_Toc216681886" </w:instrText>
      </w:r>
      <w:r>
        <w:rPr>
          <w:color w:val="auto"/>
          <w:highlight w:val="none"/>
        </w:rPr>
        <w:fldChar w:fldCharType="separate"/>
      </w:r>
      <w:r>
        <w:rPr>
          <w:rStyle w:val="47"/>
          <w:rFonts w:eastAsia="黑体"/>
          <w:bCs/>
          <w:color w:val="auto"/>
          <w:highlight w:val="none"/>
        </w:rPr>
        <w:t>2.1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初步评审标准</w:t>
      </w:r>
      <w:r>
        <w:rPr>
          <w:color w:val="auto"/>
          <w:highlight w:val="none"/>
        </w:rPr>
        <w:tab/>
      </w:r>
      <w:r>
        <w:rPr>
          <w:color w:val="auto"/>
          <w:highlight w:val="none"/>
        </w:rPr>
        <w:fldChar w:fldCharType="begin"/>
      </w:r>
      <w:r>
        <w:rPr>
          <w:color w:val="auto"/>
          <w:highlight w:val="none"/>
        </w:rPr>
        <w:instrText xml:space="preserve"> PAGEREF _Toc216681886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"_Toc216681887" </w:instrText>
      </w:r>
      <w:r>
        <w:rPr>
          <w:color w:val="auto"/>
          <w:highlight w:val="none"/>
        </w:rPr>
        <w:fldChar w:fldCharType="separate"/>
      </w:r>
      <w:r>
        <w:rPr>
          <w:rStyle w:val="47"/>
          <w:rFonts w:eastAsia="黑体"/>
          <w:bCs/>
          <w:color w:val="auto"/>
          <w:highlight w:val="none"/>
        </w:rPr>
        <w:t>2.2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分值构成与评分标准</w:t>
      </w:r>
      <w:r>
        <w:rPr>
          <w:color w:val="auto"/>
          <w:highlight w:val="none"/>
        </w:rPr>
        <w:tab/>
      </w:r>
      <w:r>
        <w:rPr>
          <w:color w:val="auto"/>
          <w:highlight w:val="none"/>
        </w:rPr>
        <w:fldChar w:fldCharType="begin"/>
      </w:r>
      <w:r>
        <w:rPr>
          <w:color w:val="auto"/>
          <w:highlight w:val="none"/>
        </w:rPr>
        <w:instrText xml:space="preserve"> PAGEREF _Toc216681887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"_Toc216681888" </w:instrText>
      </w:r>
      <w:r>
        <w:rPr>
          <w:color w:val="auto"/>
          <w:highlight w:val="none"/>
        </w:rPr>
        <w:fldChar w:fldCharType="separate"/>
      </w:r>
      <w:r>
        <w:rPr>
          <w:rStyle w:val="47"/>
          <w:rFonts w:ascii="Arial" w:hAnsi="Arial" w:eastAsia="黑体"/>
          <w:b/>
          <w:bCs/>
          <w:color w:val="auto"/>
          <w:highlight w:val="none"/>
        </w:rPr>
        <w:t xml:space="preserve">3. </w:t>
      </w:r>
      <w:r>
        <w:rPr>
          <w:rStyle w:val="47"/>
          <w:rFonts w:hint="eastAsia" w:ascii="Arial" w:hAnsi="Arial" w:eastAsia="黑体"/>
          <w:b/>
          <w:bCs/>
          <w:color w:val="auto"/>
          <w:highlight w:val="none"/>
        </w:rPr>
        <w:t>评标程序</w:t>
      </w:r>
      <w:r>
        <w:rPr>
          <w:color w:val="auto"/>
          <w:highlight w:val="none"/>
        </w:rPr>
        <w:tab/>
      </w:r>
      <w:r>
        <w:rPr>
          <w:color w:val="auto"/>
          <w:highlight w:val="none"/>
        </w:rPr>
        <w:fldChar w:fldCharType="begin"/>
      </w:r>
      <w:r>
        <w:rPr>
          <w:color w:val="auto"/>
          <w:highlight w:val="none"/>
        </w:rPr>
        <w:instrText xml:space="preserve"> PAGEREF _Toc216681888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"_Toc216681889" </w:instrText>
      </w:r>
      <w:r>
        <w:rPr>
          <w:color w:val="auto"/>
          <w:highlight w:val="none"/>
        </w:rPr>
        <w:fldChar w:fldCharType="separate"/>
      </w:r>
      <w:r>
        <w:rPr>
          <w:rStyle w:val="47"/>
          <w:rFonts w:eastAsia="黑体"/>
          <w:bCs/>
          <w:color w:val="auto"/>
          <w:highlight w:val="none"/>
        </w:rPr>
        <w:t>3.1</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初步评审</w:t>
      </w:r>
      <w:r>
        <w:rPr>
          <w:color w:val="auto"/>
          <w:highlight w:val="none"/>
        </w:rPr>
        <w:tab/>
      </w:r>
      <w:r>
        <w:rPr>
          <w:color w:val="auto"/>
          <w:highlight w:val="none"/>
        </w:rPr>
        <w:fldChar w:fldCharType="begin"/>
      </w:r>
      <w:r>
        <w:rPr>
          <w:color w:val="auto"/>
          <w:highlight w:val="none"/>
        </w:rPr>
        <w:instrText xml:space="preserve"> PAGEREF _Toc216681889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"_Toc216681890" </w:instrText>
      </w:r>
      <w:r>
        <w:rPr>
          <w:color w:val="auto"/>
          <w:highlight w:val="none"/>
        </w:rPr>
        <w:fldChar w:fldCharType="separate"/>
      </w:r>
      <w:r>
        <w:rPr>
          <w:rStyle w:val="47"/>
          <w:rFonts w:eastAsia="黑体"/>
          <w:bCs/>
          <w:color w:val="auto"/>
          <w:highlight w:val="none"/>
        </w:rPr>
        <w:t>3.2</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详细评审</w:t>
      </w:r>
      <w:r>
        <w:rPr>
          <w:color w:val="auto"/>
          <w:highlight w:val="none"/>
        </w:rPr>
        <w:tab/>
      </w:r>
      <w:r>
        <w:rPr>
          <w:color w:val="auto"/>
          <w:highlight w:val="none"/>
        </w:rPr>
        <w:fldChar w:fldCharType="begin"/>
      </w:r>
      <w:r>
        <w:rPr>
          <w:color w:val="auto"/>
          <w:highlight w:val="none"/>
        </w:rPr>
        <w:instrText xml:space="preserve"> PAGEREF _Toc216681890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"_Toc216681891" </w:instrText>
      </w:r>
      <w:r>
        <w:rPr>
          <w:color w:val="auto"/>
          <w:highlight w:val="none"/>
        </w:rPr>
        <w:fldChar w:fldCharType="separate"/>
      </w:r>
      <w:r>
        <w:rPr>
          <w:rStyle w:val="47"/>
          <w:rFonts w:eastAsia="黑体"/>
          <w:bCs/>
          <w:color w:val="auto"/>
          <w:highlight w:val="none"/>
        </w:rPr>
        <w:t>3.3</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投标文件的澄清和补正</w:t>
      </w:r>
      <w:r>
        <w:rPr>
          <w:color w:val="auto"/>
          <w:highlight w:val="none"/>
        </w:rPr>
        <w:tab/>
      </w:r>
      <w:r>
        <w:rPr>
          <w:color w:val="auto"/>
          <w:highlight w:val="none"/>
        </w:rPr>
        <w:fldChar w:fldCharType="begin"/>
      </w:r>
      <w:r>
        <w:rPr>
          <w:color w:val="auto"/>
          <w:highlight w:val="none"/>
        </w:rPr>
        <w:instrText xml:space="preserve"> PAGEREF _Toc216681891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"_Toc216681892" </w:instrText>
      </w:r>
      <w:r>
        <w:rPr>
          <w:color w:val="auto"/>
          <w:highlight w:val="none"/>
        </w:rPr>
        <w:fldChar w:fldCharType="separate"/>
      </w:r>
      <w:r>
        <w:rPr>
          <w:rStyle w:val="47"/>
          <w:rFonts w:eastAsia="黑体"/>
          <w:bCs/>
          <w:color w:val="auto"/>
          <w:highlight w:val="none"/>
        </w:rPr>
        <w:t>3.4</w:t>
      </w:r>
      <w:r>
        <w:rPr>
          <w:rStyle w:val="47"/>
          <w:rFonts w:ascii="黑体" w:hAnsi="宋体" w:eastAsia="黑体"/>
          <w:bCs/>
          <w:color w:val="auto"/>
          <w:highlight w:val="none"/>
        </w:rPr>
        <w:t xml:space="preserve"> </w:t>
      </w:r>
      <w:r>
        <w:rPr>
          <w:rStyle w:val="47"/>
          <w:rFonts w:hint="eastAsia" w:ascii="黑体" w:hAnsi="宋体" w:eastAsia="黑体"/>
          <w:bCs/>
          <w:color w:val="auto"/>
          <w:highlight w:val="none"/>
        </w:rPr>
        <w:t>评标结果</w:t>
      </w:r>
      <w:r>
        <w:rPr>
          <w:color w:val="auto"/>
          <w:highlight w:val="none"/>
        </w:rPr>
        <w:tab/>
      </w:r>
      <w:r>
        <w:rPr>
          <w:color w:val="auto"/>
          <w:highlight w:val="none"/>
        </w:rPr>
        <w:fldChar w:fldCharType="begin"/>
      </w:r>
      <w:r>
        <w:rPr>
          <w:color w:val="auto"/>
          <w:highlight w:val="none"/>
        </w:rPr>
        <w:instrText xml:space="preserve"> PAGEREF _Toc216681892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"_Toc216681893" </w:instrText>
      </w:r>
      <w:r>
        <w:rPr>
          <w:color w:val="auto"/>
          <w:highlight w:val="none"/>
        </w:rPr>
        <w:fldChar w:fldCharType="separate"/>
      </w:r>
      <w:r>
        <w:rPr>
          <w:rStyle w:val="47"/>
          <w:rFonts w:hint="eastAsia"/>
          <w:color w:val="auto"/>
          <w:kern w:val="44"/>
          <w:highlight w:val="none"/>
        </w:rPr>
        <w:t>第四章</w:t>
      </w:r>
      <w:r>
        <w:rPr>
          <w:rStyle w:val="47"/>
          <w:color w:val="auto"/>
          <w:kern w:val="44"/>
          <w:highlight w:val="none"/>
        </w:rPr>
        <w:t xml:space="preserve"> </w:t>
      </w:r>
      <w:r>
        <w:rPr>
          <w:rStyle w:val="47"/>
          <w:rFonts w:hint="eastAsia"/>
          <w:color w:val="auto"/>
          <w:kern w:val="44"/>
          <w:highlight w:val="none"/>
        </w:rPr>
        <w:t>合同条款及格式</w:t>
      </w:r>
      <w:r>
        <w:rPr>
          <w:color w:val="auto"/>
          <w:highlight w:val="none"/>
        </w:rPr>
        <w:tab/>
      </w:r>
      <w:r>
        <w:rPr>
          <w:color w:val="auto"/>
          <w:highlight w:val="none"/>
        </w:rPr>
        <w:fldChar w:fldCharType="begin"/>
      </w:r>
      <w:r>
        <w:rPr>
          <w:color w:val="auto"/>
          <w:highlight w:val="none"/>
        </w:rPr>
        <w:instrText xml:space="preserve"> PAGEREF _Toc216681893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"_Toc216681894" </w:instrText>
      </w:r>
      <w:r>
        <w:rPr>
          <w:color w:val="auto"/>
          <w:highlight w:val="none"/>
        </w:rPr>
        <w:fldChar w:fldCharType="separate"/>
      </w:r>
      <w:r>
        <w:rPr>
          <w:rStyle w:val="47"/>
          <w:rFonts w:hint="eastAsia" w:ascii="宋体" w:hAnsi="宋体" w:cs="仿宋"/>
          <w:b/>
          <w:bCs/>
          <w:color w:val="auto"/>
          <w:highlight w:val="none"/>
        </w:rPr>
        <w:t>第一部分</w:t>
      </w:r>
      <w:r>
        <w:rPr>
          <w:rStyle w:val="47"/>
          <w:rFonts w:ascii="宋体" w:hAnsi="宋体" w:cs="仿宋"/>
          <w:b/>
          <w:bCs/>
          <w:color w:val="auto"/>
          <w:highlight w:val="none"/>
        </w:rPr>
        <w:t xml:space="preserve"> </w:t>
      </w:r>
      <w:r>
        <w:rPr>
          <w:rStyle w:val="47"/>
          <w:rFonts w:hint="eastAsia" w:ascii="宋体" w:hAnsi="宋体" w:cs="仿宋"/>
          <w:b/>
          <w:bCs/>
          <w:color w:val="auto"/>
          <w:highlight w:val="none"/>
        </w:rPr>
        <w:t>合同协议书</w:t>
      </w:r>
      <w:r>
        <w:rPr>
          <w:color w:val="auto"/>
          <w:highlight w:val="none"/>
        </w:rPr>
        <w:tab/>
      </w:r>
      <w:r>
        <w:rPr>
          <w:color w:val="auto"/>
          <w:highlight w:val="none"/>
        </w:rPr>
        <w:fldChar w:fldCharType="begin"/>
      </w:r>
      <w:r>
        <w:rPr>
          <w:color w:val="auto"/>
          <w:highlight w:val="none"/>
        </w:rPr>
        <w:instrText xml:space="preserve"> PAGEREF _Toc216681894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"_Toc216681895" </w:instrText>
      </w:r>
      <w:r>
        <w:rPr>
          <w:color w:val="auto"/>
          <w:highlight w:val="none"/>
        </w:rPr>
        <w:fldChar w:fldCharType="separate"/>
      </w:r>
      <w:r>
        <w:rPr>
          <w:rStyle w:val="47"/>
          <w:rFonts w:hint="eastAsia" w:ascii="宋体" w:hAnsi="宋体" w:cs="仿宋"/>
          <w:b/>
          <w:bCs/>
          <w:color w:val="auto"/>
          <w:highlight w:val="none"/>
        </w:rPr>
        <w:t>第二部分 通用合同条件</w:t>
      </w:r>
      <w:r>
        <w:rPr>
          <w:color w:val="auto"/>
          <w:highlight w:val="none"/>
        </w:rPr>
        <w:tab/>
      </w:r>
      <w:r>
        <w:rPr>
          <w:color w:val="auto"/>
          <w:highlight w:val="none"/>
        </w:rPr>
        <w:fldChar w:fldCharType="begin"/>
      </w:r>
      <w:r>
        <w:rPr>
          <w:color w:val="auto"/>
          <w:highlight w:val="none"/>
        </w:rPr>
        <w:instrText xml:space="preserve"> PAGEREF _Toc216681895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"_Toc216681896"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一般约定</w:t>
      </w:r>
      <w:r>
        <w:rPr>
          <w:color w:val="auto"/>
          <w:highlight w:val="none"/>
        </w:rPr>
        <w:tab/>
      </w:r>
      <w:r>
        <w:rPr>
          <w:color w:val="auto"/>
          <w:highlight w:val="none"/>
        </w:rPr>
        <w:fldChar w:fldCharType="begin"/>
      </w:r>
      <w:r>
        <w:rPr>
          <w:color w:val="auto"/>
          <w:highlight w:val="none"/>
        </w:rPr>
        <w:instrText xml:space="preserve"> PAGEREF _Toc216681896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"_Toc216681897"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2</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发包人</w:t>
      </w:r>
      <w:r>
        <w:rPr>
          <w:color w:val="auto"/>
          <w:highlight w:val="none"/>
        </w:rPr>
        <w:tab/>
      </w:r>
      <w:r>
        <w:rPr>
          <w:color w:val="auto"/>
          <w:highlight w:val="none"/>
        </w:rPr>
        <w:fldChar w:fldCharType="begin"/>
      </w:r>
      <w:r>
        <w:rPr>
          <w:color w:val="auto"/>
          <w:highlight w:val="none"/>
        </w:rPr>
        <w:instrText xml:space="preserve"> PAGEREF _Toc216681897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"_Toc216681898"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3</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发包人的管理</w:t>
      </w:r>
      <w:r>
        <w:rPr>
          <w:color w:val="auto"/>
          <w:highlight w:val="none"/>
        </w:rPr>
        <w:tab/>
      </w:r>
      <w:r>
        <w:rPr>
          <w:color w:val="auto"/>
          <w:highlight w:val="none"/>
        </w:rPr>
        <w:fldChar w:fldCharType="begin"/>
      </w:r>
      <w:r>
        <w:rPr>
          <w:color w:val="auto"/>
          <w:highlight w:val="none"/>
        </w:rPr>
        <w:instrText xml:space="preserve"> PAGEREF _Toc216681898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"_Toc216681899"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4</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承包人</w:t>
      </w:r>
      <w:r>
        <w:rPr>
          <w:color w:val="auto"/>
          <w:highlight w:val="none"/>
        </w:rPr>
        <w:tab/>
      </w:r>
      <w:r>
        <w:rPr>
          <w:color w:val="auto"/>
          <w:highlight w:val="none"/>
        </w:rPr>
        <w:fldChar w:fldCharType="begin"/>
      </w:r>
      <w:r>
        <w:rPr>
          <w:color w:val="auto"/>
          <w:highlight w:val="none"/>
        </w:rPr>
        <w:instrText xml:space="preserve"> PAGEREF _Toc216681899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"_Toc216681900"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5</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设计</w:t>
      </w:r>
      <w:r>
        <w:rPr>
          <w:color w:val="auto"/>
          <w:highlight w:val="none"/>
        </w:rPr>
        <w:tab/>
      </w:r>
      <w:r>
        <w:rPr>
          <w:color w:val="auto"/>
          <w:highlight w:val="none"/>
        </w:rPr>
        <w:fldChar w:fldCharType="begin"/>
      </w:r>
      <w:r>
        <w:rPr>
          <w:color w:val="auto"/>
          <w:highlight w:val="none"/>
        </w:rPr>
        <w:instrText xml:space="preserve"> PAGEREF _Toc216681900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"_Toc216681901"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6</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材料、工程设备</w:t>
      </w:r>
      <w:r>
        <w:rPr>
          <w:color w:val="auto"/>
          <w:highlight w:val="none"/>
        </w:rPr>
        <w:tab/>
      </w:r>
      <w:r>
        <w:rPr>
          <w:color w:val="auto"/>
          <w:highlight w:val="none"/>
        </w:rPr>
        <w:fldChar w:fldCharType="begin"/>
      </w:r>
      <w:r>
        <w:rPr>
          <w:color w:val="auto"/>
          <w:highlight w:val="none"/>
        </w:rPr>
        <w:instrText xml:space="preserve"> PAGEREF _Toc216681901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"_Toc216681902"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7</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施工</w:t>
      </w:r>
      <w:r>
        <w:rPr>
          <w:color w:val="auto"/>
          <w:highlight w:val="none"/>
        </w:rPr>
        <w:tab/>
      </w:r>
      <w:r>
        <w:rPr>
          <w:color w:val="auto"/>
          <w:highlight w:val="none"/>
        </w:rPr>
        <w:fldChar w:fldCharType="begin"/>
      </w:r>
      <w:r>
        <w:rPr>
          <w:color w:val="auto"/>
          <w:highlight w:val="none"/>
        </w:rPr>
        <w:instrText xml:space="preserve"> PAGEREF _Toc216681902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"_Toc216681903"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8</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工期和进度</w:t>
      </w:r>
      <w:r>
        <w:rPr>
          <w:color w:val="auto"/>
          <w:highlight w:val="none"/>
        </w:rPr>
        <w:tab/>
      </w:r>
      <w:r>
        <w:rPr>
          <w:color w:val="auto"/>
          <w:highlight w:val="none"/>
        </w:rPr>
        <w:fldChar w:fldCharType="begin"/>
      </w:r>
      <w:r>
        <w:rPr>
          <w:color w:val="auto"/>
          <w:highlight w:val="none"/>
        </w:rPr>
        <w:instrText xml:space="preserve"> PAGEREF _Toc216681903 \h </w:instrText>
      </w:r>
      <w:r>
        <w:rPr>
          <w:color w:val="auto"/>
          <w:highlight w:val="none"/>
        </w:rPr>
        <w:fldChar w:fldCharType="separate"/>
      </w:r>
      <w:r>
        <w:rPr>
          <w:color w:val="auto"/>
          <w:highlight w:val="none"/>
        </w:rPr>
        <w:t>76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"_Toc216681904"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9</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竣工试验</w:t>
      </w:r>
      <w:r>
        <w:rPr>
          <w:color w:val="auto"/>
          <w:highlight w:val="none"/>
        </w:rPr>
        <w:tab/>
      </w:r>
      <w:r>
        <w:rPr>
          <w:color w:val="auto"/>
          <w:highlight w:val="none"/>
        </w:rPr>
        <w:fldChar w:fldCharType="begin"/>
      </w:r>
      <w:r>
        <w:rPr>
          <w:color w:val="auto"/>
          <w:highlight w:val="none"/>
        </w:rPr>
        <w:instrText xml:space="preserve"> PAGEREF _Toc216681904 \h </w:instrText>
      </w:r>
      <w:r>
        <w:rPr>
          <w:color w:val="auto"/>
          <w:highlight w:val="none"/>
        </w:rPr>
        <w:fldChar w:fldCharType="separate"/>
      </w:r>
      <w:r>
        <w:rPr>
          <w:color w:val="auto"/>
          <w:highlight w:val="none"/>
        </w:rPr>
        <w:t>80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"_Toc216681905"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10</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验收和工程接收</w:t>
      </w:r>
      <w:r>
        <w:rPr>
          <w:color w:val="auto"/>
          <w:highlight w:val="none"/>
        </w:rPr>
        <w:tab/>
      </w:r>
      <w:r>
        <w:rPr>
          <w:color w:val="auto"/>
          <w:highlight w:val="none"/>
        </w:rPr>
        <w:fldChar w:fldCharType="begin"/>
      </w:r>
      <w:r>
        <w:rPr>
          <w:color w:val="auto"/>
          <w:highlight w:val="none"/>
        </w:rPr>
        <w:instrText xml:space="preserve"> PAGEREF _Toc216681905 \h </w:instrText>
      </w:r>
      <w:r>
        <w:rPr>
          <w:color w:val="auto"/>
          <w:highlight w:val="none"/>
        </w:rPr>
        <w:fldChar w:fldCharType="separate"/>
      </w:r>
      <w:r>
        <w:rPr>
          <w:color w:val="auto"/>
          <w:highlight w:val="none"/>
        </w:rPr>
        <w:t>82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"_Toc216681906"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11</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缺陷责任与保修</w:t>
      </w:r>
      <w:r>
        <w:rPr>
          <w:color w:val="auto"/>
          <w:highlight w:val="none"/>
        </w:rPr>
        <w:tab/>
      </w:r>
      <w:r>
        <w:rPr>
          <w:color w:val="auto"/>
          <w:highlight w:val="none"/>
        </w:rPr>
        <w:fldChar w:fldCharType="begin"/>
      </w:r>
      <w:r>
        <w:rPr>
          <w:color w:val="auto"/>
          <w:highlight w:val="none"/>
        </w:rPr>
        <w:instrText xml:space="preserve"> PAGEREF _Toc216681906 \h </w:instrText>
      </w:r>
      <w:r>
        <w:rPr>
          <w:color w:val="auto"/>
          <w:highlight w:val="none"/>
        </w:rPr>
        <w:fldChar w:fldCharType="separate"/>
      </w:r>
      <w:r>
        <w:rPr>
          <w:color w:val="auto"/>
          <w:highlight w:val="none"/>
        </w:rPr>
        <w:t>84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"_Toc216681907"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12</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竣工后试验</w:t>
      </w:r>
      <w:r>
        <w:rPr>
          <w:color w:val="auto"/>
          <w:highlight w:val="none"/>
        </w:rPr>
        <w:tab/>
      </w:r>
      <w:r>
        <w:rPr>
          <w:color w:val="auto"/>
          <w:highlight w:val="none"/>
        </w:rPr>
        <w:fldChar w:fldCharType="begin"/>
      </w:r>
      <w:r>
        <w:rPr>
          <w:color w:val="auto"/>
          <w:highlight w:val="none"/>
        </w:rPr>
        <w:instrText xml:space="preserve"> PAGEREF _Toc216681907 \h </w:instrText>
      </w:r>
      <w:r>
        <w:rPr>
          <w:color w:val="auto"/>
          <w:highlight w:val="none"/>
        </w:rPr>
        <w:fldChar w:fldCharType="separate"/>
      </w:r>
      <w:r>
        <w:rPr>
          <w:color w:val="auto"/>
          <w:highlight w:val="none"/>
        </w:rPr>
        <w:t>86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"_Toc216681908"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13</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变更与调整</w:t>
      </w:r>
      <w:r>
        <w:rPr>
          <w:color w:val="auto"/>
          <w:highlight w:val="none"/>
        </w:rPr>
        <w:tab/>
      </w:r>
      <w:r>
        <w:rPr>
          <w:color w:val="auto"/>
          <w:highlight w:val="none"/>
        </w:rPr>
        <w:fldChar w:fldCharType="begin"/>
      </w:r>
      <w:r>
        <w:rPr>
          <w:color w:val="auto"/>
          <w:highlight w:val="none"/>
        </w:rPr>
        <w:instrText xml:space="preserve"> PAGEREF _Toc216681908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"_Toc216681909"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14</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合同价格与支付</w:t>
      </w:r>
      <w:r>
        <w:rPr>
          <w:color w:val="auto"/>
          <w:highlight w:val="none"/>
        </w:rPr>
        <w:tab/>
      </w:r>
      <w:r>
        <w:rPr>
          <w:color w:val="auto"/>
          <w:highlight w:val="none"/>
        </w:rPr>
        <w:fldChar w:fldCharType="begin"/>
      </w:r>
      <w:r>
        <w:rPr>
          <w:color w:val="auto"/>
          <w:highlight w:val="none"/>
        </w:rPr>
        <w:instrText xml:space="preserve"> PAGEREF _Toc216681909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"_Toc216681910"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15</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违约</w:t>
      </w:r>
      <w:r>
        <w:rPr>
          <w:color w:val="auto"/>
          <w:highlight w:val="none"/>
        </w:rPr>
        <w:tab/>
      </w:r>
      <w:r>
        <w:rPr>
          <w:color w:val="auto"/>
          <w:highlight w:val="none"/>
        </w:rPr>
        <w:fldChar w:fldCharType="begin"/>
      </w:r>
      <w:r>
        <w:rPr>
          <w:color w:val="auto"/>
          <w:highlight w:val="none"/>
        </w:rPr>
        <w:instrText xml:space="preserve"> PAGEREF _Toc216681910 \h </w:instrText>
      </w:r>
      <w:r>
        <w:rPr>
          <w:color w:val="auto"/>
          <w:highlight w:val="none"/>
        </w:rPr>
        <w:fldChar w:fldCharType="separate"/>
      </w:r>
      <w:r>
        <w:rPr>
          <w:color w:val="auto"/>
          <w:highlight w:val="none"/>
        </w:rPr>
        <w:t>97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"_Toc216681911"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16</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合同解除</w:t>
      </w:r>
      <w:r>
        <w:rPr>
          <w:color w:val="auto"/>
          <w:highlight w:val="none"/>
        </w:rPr>
        <w:tab/>
      </w:r>
      <w:r>
        <w:rPr>
          <w:color w:val="auto"/>
          <w:highlight w:val="none"/>
        </w:rPr>
        <w:fldChar w:fldCharType="begin"/>
      </w:r>
      <w:r>
        <w:rPr>
          <w:color w:val="auto"/>
          <w:highlight w:val="none"/>
        </w:rPr>
        <w:instrText xml:space="preserve"> PAGEREF _Toc216681911 \h </w:instrText>
      </w:r>
      <w:r>
        <w:rPr>
          <w:color w:val="auto"/>
          <w:highlight w:val="none"/>
        </w:rPr>
        <w:fldChar w:fldCharType="separate"/>
      </w:r>
      <w:r>
        <w:rPr>
          <w:color w:val="auto"/>
          <w:highlight w:val="none"/>
        </w:rPr>
        <w:t>98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"_Toc216681912"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17</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不可抗力</w:t>
      </w:r>
      <w:r>
        <w:rPr>
          <w:color w:val="auto"/>
          <w:highlight w:val="none"/>
        </w:rPr>
        <w:tab/>
      </w:r>
      <w:r>
        <w:rPr>
          <w:color w:val="auto"/>
          <w:highlight w:val="none"/>
        </w:rPr>
        <w:fldChar w:fldCharType="begin"/>
      </w:r>
      <w:r>
        <w:rPr>
          <w:color w:val="auto"/>
          <w:highlight w:val="none"/>
        </w:rPr>
        <w:instrText xml:space="preserve"> PAGEREF _Toc216681912 \h </w:instrText>
      </w:r>
      <w:r>
        <w:rPr>
          <w:color w:val="auto"/>
          <w:highlight w:val="none"/>
        </w:rPr>
        <w:fldChar w:fldCharType="separate"/>
      </w:r>
      <w:r>
        <w:rPr>
          <w:color w:val="auto"/>
          <w:highlight w:val="none"/>
        </w:rPr>
        <w:t>102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"_Toc216681913"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18</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保险</w:t>
      </w:r>
      <w:r>
        <w:rPr>
          <w:color w:val="auto"/>
          <w:highlight w:val="none"/>
        </w:rPr>
        <w:tab/>
      </w:r>
      <w:r>
        <w:rPr>
          <w:color w:val="auto"/>
          <w:highlight w:val="none"/>
        </w:rPr>
        <w:fldChar w:fldCharType="begin"/>
      </w:r>
      <w:r>
        <w:rPr>
          <w:color w:val="auto"/>
          <w:highlight w:val="none"/>
        </w:rPr>
        <w:instrText xml:space="preserve"> PAGEREF _Toc216681913 \h </w:instrText>
      </w:r>
      <w:r>
        <w:rPr>
          <w:color w:val="auto"/>
          <w:highlight w:val="none"/>
        </w:rPr>
        <w:fldChar w:fldCharType="separate"/>
      </w:r>
      <w:r>
        <w:rPr>
          <w:color w:val="auto"/>
          <w:highlight w:val="none"/>
        </w:rPr>
        <w:t>103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"_Toc216681914"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19</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索赔</w:t>
      </w:r>
      <w:r>
        <w:rPr>
          <w:color w:val="auto"/>
          <w:highlight w:val="none"/>
        </w:rPr>
        <w:tab/>
      </w:r>
      <w:r>
        <w:rPr>
          <w:color w:val="auto"/>
          <w:highlight w:val="none"/>
        </w:rPr>
        <w:fldChar w:fldCharType="begin"/>
      </w:r>
      <w:r>
        <w:rPr>
          <w:color w:val="auto"/>
          <w:highlight w:val="none"/>
        </w:rPr>
        <w:instrText xml:space="preserve"> PAGEREF _Toc216681914 \h </w:instrText>
      </w:r>
      <w:r>
        <w:rPr>
          <w:color w:val="auto"/>
          <w:highlight w:val="none"/>
        </w:rPr>
        <w:fldChar w:fldCharType="separate"/>
      </w:r>
      <w:r>
        <w:rPr>
          <w:color w:val="auto"/>
          <w:highlight w:val="none"/>
        </w:rPr>
        <w:t>104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"_Toc216681915" </w:instrText>
      </w:r>
      <w:r>
        <w:rPr>
          <w:color w:val="auto"/>
          <w:highlight w:val="none"/>
        </w:rPr>
        <w:fldChar w:fldCharType="separate"/>
      </w:r>
      <w:r>
        <w:rPr>
          <w:rStyle w:val="47"/>
          <w:rFonts w:hint="eastAsia" w:ascii="宋体" w:hAnsi="宋体" w:cs="仿宋"/>
          <w:bCs/>
          <w:color w:val="auto"/>
          <w:kern w:val="0"/>
          <w:highlight w:val="none"/>
        </w:rPr>
        <w:t>第</w:t>
      </w:r>
      <w:r>
        <w:rPr>
          <w:rStyle w:val="47"/>
          <w:rFonts w:ascii="宋体" w:hAnsi="宋体" w:cs="仿宋"/>
          <w:bCs/>
          <w:color w:val="auto"/>
          <w:kern w:val="0"/>
          <w:highlight w:val="none"/>
        </w:rPr>
        <w:t>20</w:t>
      </w:r>
      <w:r>
        <w:rPr>
          <w:rStyle w:val="47"/>
          <w:rFonts w:hint="eastAsia" w:ascii="宋体" w:hAnsi="宋体" w:cs="仿宋"/>
          <w:bCs/>
          <w:color w:val="auto"/>
          <w:kern w:val="0"/>
          <w:highlight w:val="none"/>
        </w:rPr>
        <w:t>条</w:t>
      </w:r>
      <w:r>
        <w:rPr>
          <w:rStyle w:val="47"/>
          <w:rFonts w:ascii="宋体" w:hAnsi="宋体" w:cs="仿宋"/>
          <w:bCs/>
          <w:color w:val="auto"/>
          <w:kern w:val="0"/>
          <w:highlight w:val="none"/>
        </w:rPr>
        <w:t xml:space="preserve"> </w:t>
      </w:r>
      <w:r>
        <w:rPr>
          <w:rStyle w:val="47"/>
          <w:rFonts w:hint="eastAsia" w:ascii="宋体" w:hAnsi="宋体" w:cs="仿宋"/>
          <w:bCs/>
          <w:color w:val="auto"/>
          <w:kern w:val="0"/>
          <w:highlight w:val="none"/>
        </w:rPr>
        <w:t>争议解决</w:t>
      </w:r>
      <w:r>
        <w:rPr>
          <w:color w:val="auto"/>
          <w:highlight w:val="none"/>
        </w:rPr>
        <w:tab/>
      </w:r>
      <w:r>
        <w:rPr>
          <w:color w:val="auto"/>
          <w:highlight w:val="none"/>
        </w:rPr>
        <w:fldChar w:fldCharType="begin"/>
      </w:r>
      <w:r>
        <w:rPr>
          <w:color w:val="auto"/>
          <w:highlight w:val="none"/>
        </w:rPr>
        <w:instrText xml:space="preserve"> PAGEREF _Toc216681915 \h </w:instrText>
      </w:r>
      <w:r>
        <w:rPr>
          <w:color w:val="auto"/>
          <w:highlight w:val="none"/>
        </w:rPr>
        <w:fldChar w:fldCharType="separate"/>
      </w:r>
      <w:r>
        <w:rPr>
          <w:color w:val="auto"/>
          <w:highlight w:val="none"/>
        </w:rPr>
        <w:t>105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"_Toc216681916" </w:instrText>
      </w:r>
      <w:r>
        <w:rPr>
          <w:color w:val="auto"/>
          <w:highlight w:val="none"/>
        </w:rPr>
        <w:fldChar w:fldCharType="separate"/>
      </w:r>
      <w:r>
        <w:rPr>
          <w:rStyle w:val="47"/>
          <w:rFonts w:hint="eastAsia" w:ascii="宋体" w:hAnsi="宋体" w:cs="仿宋"/>
          <w:b/>
          <w:bCs/>
          <w:color w:val="auto"/>
          <w:highlight w:val="none"/>
        </w:rPr>
        <w:t>第三部分 专用合同条件</w:t>
      </w:r>
      <w:r>
        <w:rPr>
          <w:color w:val="auto"/>
          <w:highlight w:val="none"/>
        </w:rPr>
        <w:tab/>
      </w:r>
      <w:r>
        <w:rPr>
          <w:color w:val="auto"/>
          <w:highlight w:val="none"/>
        </w:rPr>
        <w:fldChar w:fldCharType="begin"/>
      </w:r>
      <w:r>
        <w:rPr>
          <w:color w:val="auto"/>
          <w:highlight w:val="none"/>
        </w:rPr>
        <w:instrText xml:space="preserve"> PAGEREF _Toc216681916 \h </w:instrText>
      </w:r>
      <w:r>
        <w:rPr>
          <w:color w:val="auto"/>
          <w:highlight w:val="none"/>
        </w:rPr>
        <w:fldChar w:fldCharType="separate"/>
      </w:r>
      <w:r>
        <w:rPr>
          <w:color w:val="auto"/>
          <w:highlight w:val="none"/>
        </w:rPr>
        <w:t>108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"_Toc216681917"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一般约定</w:t>
      </w:r>
      <w:r>
        <w:rPr>
          <w:color w:val="auto"/>
          <w:highlight w:val="none"/>
        </w:rPr>
        <w:tab/>
      </w:r>
      <w:r>
        <w:rPr>
          <w:color w:val="auto"/>
          <w:highlight w:val="none"/>
        </w:rPr>
        <w:fldChar w:fldCharType="begin"/>
      </w:r>
      <w:r>
        <w:rPr>
          <w:color w:val="auto"/>
          <w:highlight w:val="none"/>
        </w:rPr>
        <w:instrText xml:space="preserve"> PAGEREF _Toc216681917 \h </w:instrText>
      </w:r>
      <w:r>
        <w:rPr>
          <w:color w:val="auto"/>
          <w:highlight w:val="none"/>
        </w:rPr>
        <w:fldChar w:fldCharType="separate"/>
      </w:r>
      <w:r>
        <w:rPr>
          <w:color w:val="auto"/>
          <w:highlight w:val="none"/>
        </w:rPr>
        <w:t>108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"_Toc216681918"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2</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发包人</w:t>
      </w:r>
      <w:r>
        <w:rPr>
          <w:color w:val="auto"/>
          <w:highlight w:val="none"/>
        </w:rPr>
        <w:tab/>
      </w:r>
      <w:r>
        <w:rPr>
          <w:color w:val="auto"/>
          <w:highlight w:val="none"/>
        </w:rPr>
        <w:fldChar w:fldCharType="begin"/>
      </w:r>
      <w:r>
        <w:rPr>
          <w:color w:val="auto"/>
          <w:highlight w:val="none"/>
        </w:rPr>
        <w:instrText xml:space="preserve"> PAGEREF _Toc216681918 \h </w:instrText>
      </w:r>
      <w:r>
        <w:rPr>
          <w:color w:val="auto"/>
          <w:highlight w:val="none"/>
        </w:rPr>
        <w:fldChar w:fldCharType="separate"/>
      </w:r>
      <w:r>
        <w:rPr>
          <w:color w:val="auto"/>
          <w:highlight w:val="none"/>
        </w:rPr>
        <w:t>109</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"_Toc216681919"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3</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发包人的管理</w:t>
      </w:r>
      <w:r>
        <w:rPr>
          <w:color w:val="auto"/>
          <w:highlight w:val="none"/>
        </w:rPr>
        <w:tab/>
      </w:r>
      <w:r>
        <w:rPr>
          <w:color w:val="auto"/>
          <w:highlight w:val="none"/>
        </w:rPr>
        <w:fldChar w:fldCharType="begin"/>
      </w:r>
      <w:r>
        <w:rPr>
          <w:color w:val="auto"/>
          <w:highlight w:val="none"/>
        </w:rPr>
        <w:instrText xml:space="preserve"> PAGEREF _Toc216681919 \h </w:instrText>
      </w:r>
      <w:r>
        <w:rPr>
          <w:color w:val="auto"/>
          <w:highlight w:val="none"/>
        </w:rPr>
        <w:fldChar w:fldCharType="separate"/>
      </w:r>
      <w:r>
        <w:rPr>
          <w:color w:val="auto"/>
          <w:highlight w:val="none"/>
        </w:rPr>
        <w:t>110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"_Toc216681920"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4</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承包人</w:t>
      </w:r>
      <w:r>
        <w:rPr>
          <w:color w:val="auto"/>
          <w:highlight w:val="none"/>
        </w:rPr>
        <w:tab/>
      </w:r>
      <w:r>
        <w:rPr>
          <w:color w:val="auto"/>
          <w:highlight w:val="none"/>
        </w:rPr>
        <w:fldChar w:fldCharType="begin"/>
      </w:r>
      <w:r>
        <w:rPr>
          <w:color w:val="auto"/>
          <w:highlight w:val="none"/>
        </w:rPr>
        <w:instrText xml:space="preserve"> PAGEREF _Toc216681920 \h </w:instrText>
      </w:r>
      <w:r>
        <w:rPr>
          <w:color w:val="auto"/>
          <w:highlight w:val="none"/>
        </w:rPr>
        <w:fldChar w:fldCharType="separate"/>
      </w:r>
      <w:r>
        <w:rPr>
          <w:color w:val="auto"/>
          <w:highlight w:val="none"/>
        </w:rPr>
        <w:t>111</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"_Toc216681921"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5</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设计</w:t>
      </w:r>
      <w:r>
        <w:rPr>
          <w:color w:val="auto"/>
          <w:highlight w:val="none"/>
        </w:rPr>
        <w:tab/>
      </w:r>
      <w:r>
        <w:rPr>
          <w:color w:val="auto"/>
          <w:highlight w:val="none"/>
        </w:rPr>
        <w:fldChar w:fldCharType="begin"/>
      </w:r>
      <w:r>
        <w:rPr>
          <w:color w:val="auto"/>
          <w:highlight w:val="none"/>
        </w:rPr>
        <w:instrText xml:space="preserve"> PAGEREF _Toc216681921 \h </w:instrText>
      </w:r>
      <w:r>
        <w:rPr>
          <w:color w:val="auto"/>
          <w:highlight w:val="none"/>
        </w:rPr>
        <w:fldChar w:fldCharType="separate"/>
      </w:r>
      <w:r>
        <w:rPr>
          <w:color w:val="auto"/>
          <w:highlight w:val="none"/>
        </w:rPr>
        <w:t>115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"_Toc216681922"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6</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材料、工程设备</w:t>
      </w:r>
      <w:r>
        <w:rPr>
          <w:color w:val="auto"/>
          <w:highlight w:val="none"/>
        </w:rPr>
        <w:tab/>
      </w:r>
      <w:r>
        <w:rPr>
          <w:color w:val="auto"/>
          <w:highlight w:val="none"/>
        </w:rPr>
        <w:fldChar w:fldCharType="begin"/>
      </w:r>
      <w:r>
        <w:rPr>
          <w:color w:val="auto"/>
          <w:highlight w:val="none"/>
        </w:rPr>
        <w:instrText xml:space="preserve"> PAGEREF _Toc216681922 \h </w:instrText>
      </w:r>
      <w:r>
        <w:rPr>
          <w:color w:val="auto"/>
          <w:highlight w:val="none"/>
        </w:rPr>
        <w:fldChar w:fldCharType="separate"/>
      </w:r>
      <w:r>
        <w:rPr>
          <w:color w:val="auto"/>
          <w:highlight w:val="none"/>
        </w:rPr>
        <w:t>116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"_Toc216681923" </w:instrText>
      </w:r>
      <w:r>
        <w:rPr>
          <w:color w:val="auto"/>
          <w:highlight w:val="none"/>
        </w:rPr>
        <w:fldChar w:fldCharType="separate"/>
      </w:r>
      <w:r>
        <w:rPr>
          <w:rStyle w:val="47"/>
          <w:rFonts w:hint="eastAsia" w:ascii="宋体" w:hAnsi="宋体" w:cs="仿宋"/>
          <w:color w:val="auto"/>
          <w:highlight w:val="none"/>
        </w:rPr>
        <w:t>第</w:t>
      </w:r>
      <w:r>
        <w:rPr>
          <w:rStyle w:val="47"/>
          <w:rFonts w:ascii="宋体" w:hAnsi="宋体" w:cs="仿宋"/>
          <w:color w:val="auto"/>
          <w:highlight w:val="none"/>
        </w:rPr>
        <w:t>7</w:t>
      </w:r>
      <w:r>
        <w:rPr>
          <w:rStyle w:val="47"/>
          <w:rFonts w:hint="eastAsia" w:ascii="宋体" w:hAnsi="宋体" w:cs="仿宋"/>
          <w:color w:val="auto"/>
          <w:highlight w:val="none"/>
        </w:rPr>
        <w:t>条</w:t>
      </w:r>
      <w:r>
        <w:rPr>
          <w:rStyle w:val="47"/>
          <w:rFonts w:ascii="宋体" w:hAnsi="宋体" w:cs="仿宋"/>
          <w:color w:val="auto"/>
          <w:highlight w:val="none"/>
        </w:rPr>
        <w:t xml:space="preserve"> </w:t>
      </w:r>
      <w:r>
        <w:rPr>
          <w:rStyle w:val="47"/>
          <w:rFonts w:hint="eastAsia" w:ascii="宋体" w:hAnsi="宋体" w:cs="仿宋"/>
          <w:color w:val="auto"/>
          <w:highlight w:val="none"/>
        </w:rPr>
        <w:t>施工</w:t>
      </w:r>
      <w:r>
        <w:rPr>
          <w:color w:val="auto"/>
          <w:highlight w:val="none"/>
        </w:rPr>
        <w:tab/>
      </w:r>
      <w:r>
        <w:rPr>
          <w:color w:val="auto"/>
          <w:highlight w:val="none"/>
        </w:rPr>
        <w:fldChar w:fldCharType="begin"/>
      </w:r>
      <w:r>
        <w:rPr>
          <w:color w:val="auto"/>
          <w:highlight w:val="none"/>
        </w:rPr>
        <w:instrText xml:space="preserve"> PAGEREF _Toc216681923 \h </w:instrText>
      </w:r>
      <w:r>
        <w:rPr>
          <w:color w:val="auto"/>
          <w:highlight w:val="none"/>
        </w:rPr>
        <w:fldChar w:fldCharType="separate"/>
      </w:r>
      <w:r>
        <w:rPr>
          <w:color w:val="auto"/>
          <w:highlight w:val="none"/>
        </w:rPr>
        <w:t>117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"_Toc216681924"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8</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工期和进度</w:t>
      </w:r>
      <w:r>
        <w:rPr>
          <w:color w:val="auto"/>
          <w:highlight w:val="none"/>
        </w:rPr>
        <w:tab/>
      </w:r>
      <w:r>
        <w:rPr>
          <w:color w:val="auto"/>
          <w:highlight w:val="none"/>
        </w:rPr>
        <w:fldChar w:fldCharType="begin"/>
      </w:r>
      <w:r>
        <w:rPr>
          <w:color w:val="auto"/>
          <w:highlight w:val="none"/>
        </w:rPr>
        <w:instrText xml:space="preserve"> PAGEREF _Toc216681924 \h </w:instrText>
      </w:r>
      <w:r>
        <w:rPr>
          <w:color w:val="auto"/>
          <w:highlight w:val="none"/>
        </w:rPr>
        <w:fldChar w:fldCharType="separate"/>
      </w:r>
      <w:r>
        <w:rPr>
          <w:color w:val="auto"/>
          <w:highlight w:val="none"/>
        </w:rPr>
        <w:t>120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"_Toc216681925"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9</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竣工试验</w:t>
      </w:r>
      <w:r>
        <w:rPr>
          <w:color w:val="auto"/>
          <w:highlight w:val="none"/>
        </w:rPr>
        <w:tab/>
      </w:r>
      <w:r>
        <w:rPr>
          <w:color w:val="auto"/>
          <w:highlight w:val="none"/>
        </w:rPr>
        <w:fldChar w:fldCharType="begin"/>
      </w:r>
      <w:r>
        <w:rPr>
          <w:color w:val="auto"/>
          <w:highlight w:val="none"/>
        </w:rPr>
        <w:instrText xml:space="preserve"> PAGEREF _Toc216681925 \h </w:instrText>
      </w:r>
      <w:r>
        <w:rPr>
          <w:color w:val="auto"/>
          <w:highlight w:val="none"/>
        </w:rPr>
        <w:fldChar w:fldCharType="separate"/>
      </w:r>
      <w:r>
        <w:rPr>
          <w:color w:val="auto"/>
          <w:highlight w:val="none"/>
        </w:rPr>
        <w:t>121</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"_Toc216681926"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10</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验收和工程接收</w:t>
      </w:r>
      <w:r>
        <w:rPr>
          <w:color w:val="auto"/>
          <w:highlight w:val="none"/>
        </w:rPr>
        <w:tab/>
      </w:r>
      <w:r>
        <w:rPr>
          <w:color w:val="auto"/>
          <w:highlight w:val="none"/>
        </w:rPr>
        <w:fldChar w:fldCharType="begin"/>
      </w:r>
      <w:r>
        <w:rPr>
          <w:color w:val="auto"/>
          <w:highlight w:val="none"/>
        </w:rPr>
        <w:instrText xml:space="preserve"> PAGEREF _Toc216681926 \h </w:instrText>
      </w:r>
      <w:r>
        <w:rPr>
          <w:color w:val="auto"/>
          <w:highlight w:val="none"/>
        </w:rPr>
        <w:fldChar w:fldCharType="separate"/>
      </w:r>
      <w:r>
        <w:rPr>
          <w:color w:val="auto"/>
          <w:highlight w:val="none"/>
        </w:rPr>
        <w:t>121</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"_Toc216681927"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11</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缺陷责任与保修</w:t>
      </w:r>
      <w:r>
        <w:rPr>
          <w:color w:val="auto"/>
          <w:highlight w:val="none"/>
        </w:rPr>
        <w:tab/>
      </w:r>
      <w:r>
        <w:rPr>
          <w:color w:val="auto"/>
          <w:highlight w:val="none"/>
        </w:rPr>
        <w:fldChar w:fldCharType="begin"/>
      </w:r>
      <w:r>
        <w:rPr>
          <w:color w:val="auto"/>
          <w:highlight w:val="none"/>
        </w:rPr>
        <w:instrText xml:space="preserve"> PAGEREF _Toc216681927 \h </w:instrText>
      </w:r>
      <w:r>
        <w:rPr>
          <w:color w:val="auto"/>
          <w:highlight w:val="none"/>
        </w:rPr>
        <w:fldChar w:fldCharType="separate"/>
      </w:r>
      <w:r>
        <w:rPr>
          <w:color w:val="auto"/>
          <w:highlight w:val="none"/>
        </w:rPr>
        <w:t>122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"_Toc216681928"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12</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竣工后试验</w:t>
      </w:r>
      <w:r>
        <w:rPr>
          <w:color w:val="auto"/>
          <w:highlight w:val="none"/>
        </w:rPr>
        <w:tab/>
      </w:r>
      <w:r>
        <w:rPr>
          <w:color w:val="auto"/>
          <w:highlight w:val="none"/>
        </w:rPr>
        <w:fldChar w:fldCharType="begin"/>
      </w:r>
      <w:r>
        <w:rPr>
          <w:color w:val="auto"/>
          <w:highlight w:val="none"/>
        </w:rPr>
        <w:instrText xml:space="preserve"> PAGEREF _Toc216681928 \h </w:instrText>
      </w:r>
      <w:r>
        <w:rPr>
          <w:color w:val="auto"/>
          <w:highlight w:val="none"/>
        </w:rPr>
        <w:fldChar w:fldCharType="separate"/>
      </w:r>
      <w:r>
        <w:rPr>
          <w:color w:val="auto"/>
          <w:highlight w:val="none"/>
        </w:rPr>
        <w:t>122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"_Toc216681929"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13</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变更与调整</w:t>
      </w:r>
      <w:r>
        <w:rPr>
          <w:color w:val="auto"/>
          <w:highlight w:val="none"/>
        </w:rPr>
        <w:tab/>
      </w:r>
      <w:r>
        <w:rPr>
          <w:color w:val="auto"/>
          <w:highlight w:val="none"/>
        </w:rPr>
        <w:fldChar w:fldCharType="begin"/>
      </w:r>
      <w:r>
        <w:rPr>
          <w:color w:val="auto"/>
          <w:highlight w:val="none"/>
        </w:rPr>
        <w:instrText xml:space="preserve"> PAGEREF _Toc216681929 \h </w:instrText>
      </w:r>
      <w:r>
        <w:rPr>
          <w:color w:val="auto"/>
          <w:highlight w:val="none"/>
        </w:rPr>
        <w:fldChar w:fldCharType="separate"/>
      </w:r>
      <w:r>
        <w:rPr>
          <w:color w:val="auto"/>
          <w:highlight w:val="none"/>
        </w:rPr>
        <w:t>122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"_Toc216681930"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14</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合同价格与支付</w:t>
      </w:r>
      <w:r>
        <w:rPr>
          <w:color w:val="auto"/>
          <w:highlight w:val="none"/>
        </w:rPr>
        <w:tab/>
      </w:r>
      <w:r>
        <w:rPr>
          <w:color w:val="auto"/>
          <w:highlight w:val="none"/>
        </w:rPr>
        <w:fldChar w:fldCharType="begin"/>
      </w:r>
      <w:r>
        <w:rPr>
          <w:color w:val="auto"/>
          <w:highlight w:val="none"/>
        </w:rPr>
        <w:instrText xml:space="preserve"> PAGEREF _Toc216681930 \h </w:instrText>
      </w:r>
      <w:r>
        <w:rPr>
          <w:color w:val="auto"/>
          <w:highlight w:val="none"/>
        </w:rPr>
        <w:fldChar w:fldCharType="separate"/>
      </w:r>
      <w:r>
        <w:rPr>
          <w:color w:val="auto"/>
          <w:highlight w:val="none"/>
        </w:rPr>
        <w:t>124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"_Toc216681931"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15</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违约</w:t>
      </w:r>
      <w:r>
        <w:rPr>
          <w:color w:val="auto"/>
          <w:highlight w:val="none"/>
        </w:rPr>
        <w:tab/>
      </w:r>
      <w:r>
        <w:rPr>
          <w:color w:val="auto"/>
          <w:highlight w:val="none"/>
        </w:rPr>
        <w:fldChar w:fldCharType="begin"/>
      </w:r>
      <w:r>
        <w:rPr>
          <w:color w:val="auto"/>
          <w:highlight w:val="none"/>
        </w:rPr>
        <w:instrText xml:space="preserve"> PAGEREF _Toc216681931 \h </w:instrText>
      </w:r>
      <w:r>
        <w:rPr>
          <w:color w:val="auto"/>
          <w:highlight w:val="none"/>
        </w:rPr>
        <w:fldChar w:fldCharType="separate"/>
      </w:r>
      <w:r>
        <w:rPr>
          <w:color w:val="auto"/>
          <w:highlight w:val="none"/>
        </w:rPr>
        <w:t>126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"_Toc216681932"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16</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合同解除</w:t>
      </w:r>
      <w:r>
        <w:rPr>
          <w:color w:val="auto"/>
          <w:highlight w:val="none"/>
        </w:rPr>
        <w:tab/>
      </w:r>
      <w:r>
        <w:rPr>
          <w:color w:val="auto"/>
          <w:highlight w:val="none"/>
        </w:rPr>
        <w:fldChar w:fldCharType="begin"/>
      </w:r>
      <w:r>
        <w:rPr>
          <w:color w:val="auto"/>
          <w:highlight w:val="none"/>
        </w:rPr>
        <w:instrText xml:space="preserve"> PAGEREF _Toc216681932 \h </w:instrText>
      </w:r>
      <w:r>
        <w:rPr>
          <w:color w:val="auto"/>
          <w:highlight w:val="none"/>
        </w:rPr>
        <w:fldChar w:fldCharType="separate"/>
      </w:r>
      <w:r>
        <w:rPr>
          <w:color w:val="auto"/>
          <w:highlight w:val="none"/>
        </w:rPr>
        <w:t>127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"_Toc216681933"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17</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不可抗力</w:t>
      </w:r>
      <w:r>
        <w:rPr>
          <w:color w:val="auto"/>
          <w:highlight w:val="none"/>
        </w:rPr>
        <w:tab/>
      </w:r>
      <w:r>
        <w:rPr>
          <w:color w:val="auto"/>
          <w:highlight w:val="none"/>
        </w:rPr>
        <w:fldChar w:fldCharType="begin"/>
      </w:r>
      <w:r>
        <w:rPr>
          <w:color w:val="auto"/>
          <w:highlight w:val="none"/>
        </w:rPr>
        <w:instrText xml:space="preserve"> PAGEREF _Toc216681933 \h </w:instrText>
      </w:r>
      <w:r>
        <w:rPr>
          <w:color w:val="auto"/>
          <w:highlight w:val="none"/>
        </w:rPr>
        <w:fldChar w:fldCharType="separate"/>
      </w:r>
      <w:r>
        <w:rPr>
          <w:color w:val="auto"/>
          <w:highlight w:val="none"/>
        </w:rPr>
        <w:t>127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"_Toc216681934"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18</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保险</w:t>
      </w:r>
      <w:r>
        <w:rPr>
          <w:color w:val="auto"/>
          <w:highlight w:val="none"/>
        </w:rPr>
        <w:tab/>
      </w:r>
      <w:r>
        <w:rPr>
          <w:color w:val="auto"/>
          <w:highlight w:val="none"/>
        </w:rPr>
        <w:fldChar w:fldCharType="begin"/>
      </w:r>
      <w:r>
        <w:rPr>
          <w:color w:val="auto"/>
          <w:highlight w:val="none"/>
        </w:rPr>
        <w:instrText xml:space="preserve"> PAGEREF _Toc216681934 \h </w:instrText>
      </w:r>
      <w:r>
        <w:rPr>
          <w:color w:val="auto"/>
          <w:highlight w:val="none"/>
        </w:rPr>
        <w:fldChar w:fldCharType="separate"/>
      </w:r>
      <w:r>
        <w:rPr>
          <w:color w:val="auto"/>
          <w:highlight w:val="none"/>
        </w:rPr>
        <w:t>127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"_Toc216681935" </w:instrText>
      </w:r>
      <w:r>
        <w:rPr>
          <w:color w:val="auto"/>
          <w:highlight w:val="none"/>
        </w:rPr>
        <w:fldChar w:fldCharType="separate"/>
      </w:r>
      <w:r>
        <w:rPr>
          <w:rStyle w:val="47"/>
          <w:rFonts w:hint="eastAsia" w:ascii="宋体" w:hAnsi="宋体" w:cs="仿宋"/>
          <w:bCs/>
          <w:color w:val="auto"/>
          <w:highlight w:val="none"/>
        </w:rPr>
        <w:t>第</w:t>
      </w:r>
      <w:r>
        <w:rPr>
          <w:rStyle w:val="47"/>
          <w:rFonts w:ascii="宋体" w:hAnsi="宋体" w:cs="仿宋"/>
          <w:bCs/>
          <w:color w:val="auto"/>
          <w:highlight w:val="none"/>
        </w:rPr>
        <w:t>20</w:t>
      </w:r>
      <w:r>
        <w:rPr>
          <w:rStyle w:val="47"/>
          <w:rFonts w:hint="eastAsia" w:ascii="宋体" w:hAnsi="宋体" w:cs="仿宋"/>
          <w:bCs/>
          <w:color w:val="auto"/>
          <w:highlight w:val="none"/>
        </w:rPr>
        <w:t>条</w:t>
      </w:r>
      <w:r>
        <w:rPr>
          <w:rStyle w:val="47"/>
          <w:rFonts w:ascii="宋体" w:hAnsi="宋体" w:cs="仿宋"/>
          <w:bCs/>
          <w:color w:val="auto"/>
          <w:highlight w:val="none"/>
        </w:rPr>
        <w:t xml:space="preserve"> </w:t>
      </w:r>
      <w:r>
        <w:rPr>
          <w:rStyle w:val="47"/>
          <w:rFonts w:hint="eastAsia" w:ascii="宋体" w:hAnsi="宋体" w:cs="仿宋"/>
          <w:bCs/>
          <w:color w:val="auto"/>
          <w:highlight w:val="none"/>
        </w:rPr>
        <w:t>争议解决</w:t>
      </w:r>
      <w:r>
        <w:rPr>
          <w:color w:val="auto"/>
          <w:highlight w:val="none"/>
        </w:rPr>
        <w:tab/>
      </w:r>
      <w:r>
        <w:rPr>
          <w:color w:val="auto"/>
          <w:highlight w:val="none"/>
        </w:rPr>
        <w:fldChar w:fldCharType="begin"/>
      </w:r>
      <w:r>
        <w:rPr>
          <w:color w:val="auto"/>
          <w:highlight w:val="none"/>
        </w:rPr>
        <w:instrText xml:space="preserve"> PAGEREF _Toc216681935 \h </w:instrText>
      </w:r>
      <w:r>
        <w:rPr>
          <w:color w:val="auto"/>
          <w:highlight w:val="none"/>
        </w:rPr>
        <w:fldChar w:fldCharType="separate"/>
      </w:r>
      <w:r>
        <w:rPr>
          <w:color w:val="auto"/>
          <w:highlight w:val="none"/>
        </w:rPr>
        <w:t>128</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"_Toc216681936" </w:instrText>
      </w:r>
      <w:r>
        <w:rPr>
          <w:color w:val="auto"/>
          <w:highlight w:val="none"/>
        </w:rPr>
        <w:fldChar w:fldCharType="separate"/>
      </w:r>
      <w:r>
        <w:rPr>
          <w:rStyle w:val="47"/>
          <w:rFonts w:hint="eastAsia" w:ascii="宋体" w:hAnsi="宋体"/>
          <w:color w:val="auto"/>
          <w:kern w:val="44"/>
          <w:highlight w:val="none"/>
          <w:lang w:val="zh-CN"/>
        </w:rPr>
        <w:t>专用合同条件附件</w:t>
      </w:r>
      <w:r>
        <w:rPr>
          <w:color w:val="auto"/>
          <w:highlight w:val="none"/>
        </w:rPr>
        <w:tab/>
      </w:r>
      <w:r>
        <w:rPr>
          <w:color w:val="auto"/>
          <w:highlight w:val="none"/>
        </w:rPr>
        <w:fldChar w:fldCharType="begin"/>
      </w:r>
      <w:r>
        <w:rPr>
          <w:color w:val="auto"/>
          <w:highlight w:val="none"/>
        </w:rPr>
        <w:instrText xml:space="preserve"> PAGEREF _Toc216681936 \h </w:instrText>
      </w:r>
      <w:r>
        <w:rPr>
          <w:color w:val="auto"/>
          <w:highlight w:val="none"/>
        </w:rPr>
        <w:fldChar w:fldCharType="separate"/>
      </w:r>
      <w:r>
        <w:rPr>
          <w:color w:val="auto"/>
          <w:highlight w:val="none"/>
        </w:rPr>
        <w:t>130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"_Toc216681937" </w:instrText>
      </w:r>
      <w:r>
        <w:rPr>
          <w:color w:val="auto"/>
          <w:highlight w:val="none"/>
        </w:rPr>
        <w:fldChar w:fldCharType="separate"/>
      </w:r>
      <w:r>
        <w:rPr>
          <w:rStyle w:val="47"/>
          <w:rFonts w:hint="eastAsia" w:ascii="宋体" w:hAnsi="宋体"/>
          <w:b/>
          <w:color w:val="auto"/>
          <w:kern w:val="0"/>
          <w:highlight w:val="none"/>
        </w:rPr>
        <w:t>附件</w:t>
      </w:r>
      <w:r>
        <w:rPr>
          <w:rStyle w:val="47"/>
          <w:rFonts w:ascii="宋体" w:hAnsi="宋体"/>
          <w:b/>
          <w:color w:val="auto"/>
          <w:kern w:val="0"/>
          <w:highlight w:val="none"/>
        </w:rPr>
        <w:t xml:space="preserve">1 </w:t>
      </w:r>
      <w:r>
        <w:rPr>
          <w:rStyle w:val="47"/>
          <w:rFonts w:hint="eastAsia" w:ascii="宋体" w:hAnsi="宋体"/>
          <w:b/>
          <w:color w:val="auto"/>
          <w:kern w:val="0"/>
          <w:highlight w:val="none"/>
        </w:rPr>
        <w:t>《发包人要求》</w:t>
      </w:r>
      <w:r>
        <w:rPr>
          <w:color w:val="auto"/>
          <w:highlight w:val="none"/>
        </w:rPr>
        <w:tab/>
      </w:r>
      <w:r>
        <w:rPr>
          <w:color w:val="auto"/>
          <w:highlight w:val="none"/>
        </w:rPr>
        <w:fldChar w:fldCharType="begin"/>
      </w:r>
      <w:r>
        <w:rPr>
          <w:color w:val="auto"/>
          <w:highlight w:val="none"/>
        </w:rPr>
        <w:instrText xml:space="preserve"> PAGEREF _Toc216681937 \h </w:instrText>
      </w:r>
      <w:r>
        <w:rPr>
          <w:color w:val="auto"/>
          <w:highlight w:val="none"/>
        </w:rPr>
        <w:fldChar w:fldCharType="separate"/>
      </w:r>
      <w:r>
        <w:rPr>
          <w:color w:val="auto"/>
          <w:highlight w:val="none"/>
        </w:rPr>
        <w:t>132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"_Toc216681938" </w:instrText>
      </w:r>
      <w:r>
        <w:rPr>
          <w:color w:val="auto"/>
          <w:highlight w:val="none"/>
        </w:rPr>
        <w:fldChar w:fldCharType="separate"/>
      </w:r>
      <w:r>
        <w:rPr>
          <w:rStyle w:val="47"/>
          <w:rFonts w:hint="eastAsia" w:ascii="宋体" w:hAnsi="宋体"/>
          <w:b/>
          <w:color w:val="auto"/>
          <w:kern w:val="0"/>
          <w:highlight w:val="none"/>
        </w:rPr>
        <w:t>附件</w:t>
      </w:r>
      <w:r>
        <w:rPr>
          <w:rStyle w:val="47"/>
          <w:rFonts w:ascii="宋体" w:hAnsi="宋体"/>
          <w:b/>
          <w:color w:val="auto"/>
          <w:kern w:val="0"/>
          <w:highlight w:val="none"/>
        </w:rPr>
        <w:t xml:space="preserve">2 </w:t>
      </w:r>
      <w:r>
        <w:rPr>
          <w:rStyle w:val="47"/>
          <w:rFonts w:hint="eastAsia" w:ascii="宋体" w:hAnsi="宋体"/>
          <w:b/>
          <w:color w:val="auto"/>
          <w:kern w:val="0"/>
          <w:highlight w:val="none"/>
        </w:rPr>
        <w:t>发包人供应材料设备一览表</w:t>
      </w:r>
      <w:r>
        <w:rPr>
          <w:color w:val="auto"/>
          <w:highlight w:val="none"/>
        </w:rPr>
        <w:tab/>
      </w:r>
      <w:r>
        <w:rPr>
          <w:color w:val="auto"/>
          <w:highlight w:val="none"/>
        </w:rPr>
        <w:fldChar w:fldCharType="begin"/>
      </w:r>
      <w:r>
        <w:rPr>
          <w:color w:val="auto"/>
          <w:highlight w:val="none"/>
        </w:rPr>
        <w:instrText xml:space="preserve"> PAGEREF _Toc216681938 \h </w:instrText>
      </w:r>
      <w:r>
        <w:rPr>
          <w:color w:val="auto"/>
          <w:highlight w:val="none"/>
        </w:rPr>
        <w:fldChar w:fldCharType="separate"/>
      </w:r>
      <w:r>
        <w:rPr>
          <w:color w:val="auto"/>
          <w:highlight w:val="none"/>
        </w:rPr>
        <w:t>133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"_Toc216681939" </w:instrText>
      </w:r>
      <w:r>
        <w:rPr>
          <w:color w:val="auto"/>
          <w:highlight w:val="none"/>
        </w:rPr>
        <w:fldChar w:fldCharType="separate"/>
      </w:r>
      <w:r>
        <w:rPr>
          <w:rStyle w:val="47"/>
          <w:rFonts w:hint="eastAsia" w:ascii="宋体" w:hAnsi="宋体" w:cs="仿宋"/>
          <w:b/>
          <w:bCs/>
          <w:color w:val="auto"/>
          <w:highlight w:val="none"/>
        </w:rPr>
        <w:t>附件</w:t>
      </w:r>
      <w:r>
        <w:rPr>
          <w:rStyle w:val="47"/>
          <w:rFonts w:ascii="宋体" w:hAnsi="宋体" w:cs="仿宋"/>
          <w:b/>
          <w:bCs/>
          <w:color w:val="auto"/>
          <w:highlight w:val="none"/>
        </w:rPr>
        <w:t xml:space="preserve">3 </w:t>
      </w:r>
      <w:r>
        <w:rPr>
          <w:rStyle w:val="47"/>
          <w:rFonts w:hint="eastAsia" w:ascii="宋体" w:hAnsi="宋体" w:cs="仿宋"/>
          <w:b/>
          <w:bCs/>
          <w:color w:val="auto"/>
          <w:highlight w:val="none"/>
        </w:rPr>
        <w:t>工程质量保修书</w:t>
      </w:r>
      <w:r>
        <w:rPr>
          <w:color w:val="auto"/>
          <w:highlight w:val="none"/>
        </w:rPr>
        <w:tab/>
      </w:r>
      <w:r>
        <w:rPr>
          <w:color w:val="auto"/>
          <w:highlight w:val="none"/>
        </w:rPr>
        <w:fldChar w:fldCharType="begin"/>
      </w:r>
      <w:r>
        <w:rPr>
          <w:color w:val="auto"/>
          <w:highlight w:val="none"/>
        </w:rPr>
        <w:instrText xml:space="preserve"> PAGEREF _Toc216681939 \h </w:instrText>
      </w:r>
      <w:r>
        <w:rPr>
          <w:color w:val="auto"/>
          <w:highlight w:val="none"/>
        </w:rPr>
        <w:fldChar w:fldCharType="separate"/>
      </w:r>
      <w:r>
        <w:rPr>
          <w:color w:val="auto"/>
          <w:highlight w:val="none"/>
        </w:rPr>
        <w:t>134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"_Toc216681940" </w:instrText>
      </w:r>
      <w:r>
        <w:rPr>
          <w:color w:val="auto"/>
          <w:highlight w:val="none"/>
        </w:rPr>
        <w:fldChar w:fldCharType="separate"/>
      </w:r>
      <w:r>
        <w:rPr>
          <w:rStyle w:val="47"/>
          <w:rFonts w:hint="eastAsia" w:ascii="宋体" w:hAnsi="宋体"/>
          <w:b/>
          <w:color w:val="auto"/>
          <w:kern w:val="0"/>
          <w:highlight w:val="none"/>
        </w:rPr>
        <w:t>附件</w:t>
      </w:r>
      <w:r>
        <w:rPr>
          <w:rStyle w:val="47"/>
          <w:rFonts w:ascii="宋体" w:hAnsi="宋体"/>
          <w:b/>
          <w:color w:val="auto"/>
          <w:kern w:val="0"/>
          <w:highlight w:val="none"/>
        </w:rPr>
        <w:t xml:space="preserve">4 </w:t>
      </w:r>
      <w:r>
        <w:rPr>
          <w:rStyle w:val="47"/>
          <w:rFonts w:hint="eastAsia" w:ascii="宋体" w:hAnsi="宋体"/>
          <w:b/>
          <w:color w:val="auto"/>
          <w:kern w:val="0"/>
          <w:highlight w:val="none"/>
        </w:rPr>
        <w:t>主要建设工程文件目录</w:t>
      </w:r>
      <w:r>
        <w:rPr>
          <w:color w:val="auto"/>
          <w:highlight w:val="none"/>
        </w:rPr>
        <w:tab/>
      </w:r>
      <w:r>
        <w:rPr>
          <w:color w:val="auto"/>
          <w:highlight w:val="none"/>
        </w:rPr>
        <w:fldChar w:fldCharType="begin"/>
      </w:r>
      <w:r>
        <w:rPr>
          <w:color w:val="auto"/>
          <w:highlight w:val="none"/>
        </w:rPr>
        <w:instrText xml:space="preserve"> PAGEREF _Toc216681940 \h </w:instrText>
      </w:r>
      <w:r>
        <w:rPr>
          <w:color w:val="auto"/>
          <w:highlight w:val="none"/>
        </w:rPr>
        <w:fldChar w:fldCharType="separate"/>
      </w:r>
      <w:r>
        <w:rPr>
          <w:color w:val="auto"/>
          <w:highlight w:val="none"/>
        </w:rPr>
        <w:t>136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"_Toc216681941" </w:instrText>
      </w:r>
      <w:r>
        <w:rPr>
          <w:color w:val="auto"/>
          <w:highlight w:val="none"/>
        </w:rPr>
        <w:fldChar w:fldCharType="separate"/>
      </w:r>
      <w:r>
        <w:rPr>
          <w:rStyle w:val="47"/>
          <w:rFonts w:hint="eastAsia" w:ascii="宋体" w:hAnsi="宋体"/>
          <w:b/>
          <w:color w:val="auto"/>
          <w:kern w:val="0"/>
          <w:highlight w:val="none"/>
        </w:rPr>
        <w:t>附件</w:t>
      </w:r>
      <w:r>
        <w:rPr>
          <w:rStyle w:val="47"/>
          <w:rFonts w:ascii="宋体" w:hAnsi="宋体"/>
          <w:b/>
          <w:color w:val="auto"/>
          <w:kern w:val="0"/>
          <w:highlight w:val="none"/>
        </w:rPr>
        <w:t xml:space="preserve">5 </w:t>
      </w:r>
      <w:r>
        <w:rPr>
          <w:rStyle w:val="47"/>
          <w:rFonts w:hint="eastAsia" w:ascii="宋体" w:hAnsi="宋体"/>
          <w:b/>
          <w:color w:val="auto"/>
          <w:kern w:val="0"/>
          <w:highlight w:val="none"/>
        </w:rPr>
        <w:t>承包人主要管理人员表</w:t>
      </w:r>
      <w:r>
        <w:rPr>
          <w:color w:val="auto"/>
          <w:highlight w:val="none"/>
        </w:rPr>
        <w:tab/>
      </w:r>
      <w:r>
        <w:rPr>
          <w:color w:val="auto"/>
          <w:highlight w:val="none"/>
        </w:rPr>
        <w:fldChar w:fldCharType="begin"/>
      </w:r>
      <w:r>
        <w:rPr>
          <w:color w:val="auto"/>
          <w:highlight w:val="none"/>
        </w:rPr>
        <w:instrText xml:space="preserve"> PAGEREF _Toc216681941 \h </w:instrText>
      </w:r>
      <w:r>
        <w:rPr>
          <w:color w:val="auto"/>
          <w:highlight w:val="none"/>
        </w:rPr>
        <w:fldChar w:fldCharType="separate"/>
      </w:r>
      <w:r>
        <w:rPr>
          <w:color w:val="auto"/>
          <w:highlight w:val="none"/>
        </w:rPr>
        <w:t>137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"_Toc216681942" </w:instrText>
      </w:r>
      <w:r>
        <w:rPr>
          <w:color w:val="auto"/>
          <w:highlight w:val="none"/>
        </w:rPr>
        <w:fldChar w:fldCharType="separate"/>
      </w:r>
      <w:r>
        <w:rPr>
          <w:rStyle w:val="47"/>
          <w:rFonts w:hint="eastAsia" w:ascii="宋体" w:hAnsi="宋体"/>
          <w:b/>
          <w:color w:val="auto"/>
          <w:kern w:val="0"/>
          <w:highlight w:val="none"/>
        </w:rPr>
        <w:t>附件</w:t>
      </w:r>
      <w:r>
        <w:rPr>
          <w:rStyle w:val="47"/>
          <w:rFonts w:ascii="宋体" w:hAnsi="宋体"/>
          <w:b/>
          <w:color w:val="auto"/>
          <w:kern w:val="0"/>
          <w:highlight w:val="none"/>
        </w:rPr>
        <w:t xml:space="preserve">6 </w:t>
      </w:r>
      <w:r>
        <w:rPr>
          <w:rStyle w:val="47"/>
          <w:rFonts w:hint="eastAsia" w:ascii="宋体" w:hAnsi="宋体"/>
          <w:b/>
          <w:color w:val="auto"/>
          <w:kern w:val="0"/>
          <w:highlight w:val="none"/>
        </w:rPr>
        <w:t>价格指数权重表</w:t>
      </w:r>
      <w:r>
        <w:rPr>
          <w:color w:val="auto"/>
          <w:highlight w:val="none"/>
        </w:rPr>
        <w:tab/>
      </w:r>
      <w:r>
        <w:rPr>
          <w:color w:val="auto"/>
          <w:highlight w:val="none"/>
        </w:rPr>
        <w:fldChar w:fldCharType="begin"/>
      </w:r>
      <w:r>
        <w:rPr>
          <w:color w:val="auto"/>
          <w:highlight w:val="none"/>
        </w:rPr>
        <w:instrText xml:space="preserve"> PAGEREF _Toc216681942 \h </w:instrText>
      </w:r>
      <w:r>
        <w:rPr>
          <w:color w:val="auto"/>
          <w:highlight w:val="none"/>
        </w:rPr>
        <w:fldChar w:fldCharType="separate"/>
      </w:r>
      <w:r>
        <w:rPr>
          <w:color w:val="auto"/>
          <w:highlight w:val="none"/>
        </w:rPr>
        <w:t>138</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"_Toc216681943" </w:instrText>
      </w:r>
      <w:r>
        <w:rPr>
          <w:color w:val="auto"/>
          <w:highlight w:val="none"/>
        </w:rPr>
        <w:fldChar w:fldCharType="separate"/>
      </w:r>
      <w:r>
        <w:rPr>
          <w:rStyle w:val="47"/>
          <w:rFonts w:hint="eastAsia"/>
          <w:color w:val="auto"/>
          <w:kern w:val="44"/>
          <w:highlight w:val="none"/>
        </w:rPr>
        <w:t>第五章</w:t>
      </w:r>
      <w:r>
        <w:rPr>
          <w:rStyle w:val="47"/>
          <w:color w:val="auto"/>
          <w:kern w:val="44"/>
          <w:highlight w:val="none"/>
        </w:rPr>
        <w:t xml:space="preserve">  </w:t>
      </w:r>
      <w:r>
        <w:rPr>
          <w:rStyle w:val="47"/>
          <w:rFonts w:hint="eastAsia"/>
          <w:color w:val="auto"/>
          <w:kern w:val="44"/>
          <w:highlight w:val="none"/>
        </w:rPr>
        <w:t>初步设计文件</w:t>
      </w:r>
      <w:r>
        <w:rPr>
          <w:color w:val="auto"/>
          <w:highlight w:val="none"/>
        </w:rPr>
        <w:tab/>
      </w:r>
      <w:r>
        <w:rPr>
          <w:color w:val="auto"/>
          <w:highlight w:val="none"/>
        </w:rPr>
        <w:fldChar w:fldCharType="begin"/>
      </w:r>
      <w:r>
        <w:rPr>
          <w:color w:val="auto"/>
          <w:highlight w:val="none"/>
        </w:rPr>
        <w:instrText xml:space="preserve"> PAGEREF _Toc216681943 \h </w:instrText>
      </w:r>
      <w:r>
        <w:rPr>
          <w:color w:val="auto"/>
          <w:highlight w:val="none"/>
        </w:rPr>
        <w:fldChar w:fldCharType="separate"/>
      </w:r>
      <w:r>
        <w:rPr>
          <w:color w:val="auto"/>
          <w:highlight w:val="none"/>
        </w:rPr>
        <w:t>139</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"_Toc216681944" </w:instrText>
      </w:r>
      <w:r>
        <w:rPr>
          <w:color w:val="auto"/>
          <w:highlight w:val="none"/>
        </w:rPr>
        <w:fldChar w:fldCharType="separate"/>
      </w:r>
      <w:r>
        <w:rPr>
          <w:rStyle w:val="47"/>
          <w:rFonts w:hint="eastAsia"/>
          <w:color w:val="auto"/>
          <w:kern w:val="44"/>
          <w:highlight w:val="none"/>
        </w:rPr>
        <w:t>第六章</w:t>
      </w:r>
      <w:r>
        <w:rPr>
          <w:rStyle w:val="47"/>
          <w:color w:val="auto"/>
          <w:kern w:val="44"/>
          <w:highlight w:val="none"/>
        </w:rPr>
        <w:t xml:space="preserve">  </w:t>
      </w:r>
      <w:r>
        <w:rPr>
          <w:rStyle w:val="47"/>
          <w:rFonts w:hint="eastAsia"/>
          <w:color w:val="auto"/>
          <w:kern w:val="44"/>
          <w:highlight w:val="none"/>
        </w:rPr>
        <w:t>工程量清单</w:t>
      </w:r>
      <w:r>
        <w:rPr>
          <w:color w:val="auto"/>
          <w:highlight w:val="none"/>
        </w:rPr>
        <w:tab/>
      </w:r>
      <w:r>
        <w:rPr>
          <w:color w:val="auto"/>
          <w:highlight w:val="none"/>
        </w:rPr>
        <w:fldChar w:fldCharType="begin"/>
      </w:r>
      <w:r>
        <w:rPr>
          <w:color w:val="auto"/>
          <w:highlight w:val="none"/>
        </w:rPr>
        <w:instrText xml:space="preserve"> PAGEREF _Toc216681944 \h </w:instrText>
      </w:r>
      <w:r>
        <w:rPr>
          <w:color w:val="auto"/>
          <w:highlight w:val="none"/>
        </w:rPr>
        <w:fldChar w:fldCharType="separate"/>
      </w:r>
      <w:r>
        <w:rPr>
          <w:color w:val="auto"/>
          <w:highlight w:val="none"/>
        </w:rPr>
        <w:t>140</w:t>
      </w:r>
      <w:r>
        <w:rPr>
          <w:color w:val="auto"/>
          <w:highlight w:val="none"/>
        </w:rPr>
        <w:fldChar w:fldCharType="end"/>
      </w:r>
      <w:r>
        <w:rPr>
          <w:color w:val="auto"/>
          <w:highlight w:val="none"/>
        </w:rPr>
        <w:fldChar w:fldCharType="end"/>
      </w:r>
    </w:p>
    <w:p>
      <w:pPr>
        <w:pStyle w:val="27"/>
        <w:tabs>
          <w:tab w:val="right" w:leader="dot" w:pos="9628"/>
        </w:tabs>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"_Toc216681945" </w:instrText>
      </w:r>
      <w:r>
        <w:rPr>
          <w:color w:val="auto"/>
          <w:highlight w:val="none"/>
        </w:rPr>
        <w:fldChar w:fldCharType="separate"/>
      </w:r>
      <w:r>
        <w:rPr>
          <w:rStyle w:val="47"/>
          <w:rFonts w:hint="eastAsia"/>
          <w:color w:val="auto"/>
          <w:kern w:val="44"/>
          <w:highlight w:val="none"/>
        </w:rPr>
        <w:t>第七章</w:t>
      </w:r>
      <w:r>
        <w:rPr>
          <w:rStyle w:val="47"/>
          <w:color w:val="auto"/>
          <w:kern w:val="44"/>
          <w:highlight w:val="none"/>
        </w:rPr>
        <w:t xml:space="preserve">  </w:t>
      </w:r>
      <w:r>
        <w:rPr>
          <w:rStyle w:val="47"/>
          <w:rFonts w:hint="eastAsia"/>
          <w:color w:val="auto"/>
          <w:kern w:val="44"/>
          <w:highlight w:val="none"/>
        </w:rPr>
        <w:t>投标文件格式</w:t>
      </w:r>
      <w:r>
        <w:rPr>
          <w:color w:val="auto"/>
          <w:highlight w:val="none"/>
        </w:rPr>
        <w:tab/>
      </w:r>
      <w:r>
        <w:rPr>
          <w:color w:val="auto"/>
          <w:highlight w:val="none"/>
        </w:rPr>
        <w:fldChar w:fldCharType="begin"/>
      </w:r>
      <w:r>
        <w:rPr>
          <w:color w:val="auto"/>
          <w:highlight w:val="none"/>
        </w:rPr>
        <w:instrText xml:space="preserve"> PAGEREF _Toc216681945 \h </w:instrText>
      </w:r>
      <w:r>
        <w:rPr>
          <w:color w:val="auto"/>
          <w:highlight w:val="none"/>
        </w:rPr>
        <w:fldChar w:fldCharType="separate"/>
      </w:r>
      <w:r>
        <w:rPr>
          <w:color w:val="auto"/>
          <w:highlight w:val="none"/>
        </w:rPr>
        <w:t>141</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"_Toc216681946" </w:instrText>
      </w:r>
      <w:r>
        <w:rPr>
          <w:color w:val="auto"/>
          <w:highlight w:val="none"/>
        </w:rPr>
        <w:fldChar w:fldCharType="separate"/>
      </w:r>
      <w:r>
        <w:rPr>
          <w:rStyle w:val="47"/>
          <w:rFonts w:hint="eastAsia" w:ascii="Arial" w:hAnsi="Arial" w:eastAsia="黑体"/>
          <w:b/>
          <w:bCs/>
          <w:color w:val="auto"/>
          <w:highlight w:val="none"/>
        </w:rPr>
        <w:t>目</w:t>
      </w:r>
      <w:r>
        <w:rPr>
          <w:rStyle w:val="47"/>
          <w:rFonts w:ascii="Arial" w:hAnsi="Arial" w:eastAsia="黑体"/>
          <w:b/>
          <w:bCs/>
          <w:color w:val="auto"/>
          <w:highlight w:val="none"/>
        </w:rPr>
        <w:t xml:space="preserve">    </w:t>
      </w:r>
      <w:r>
        <w:rPr>
          <w:rStyle w:val="47"/>
          <w:rFonts w:hint="eastAsia" w:ascii="Arial" w:hAnsi="Arial" w:eastAsia="黑体"/>
          <w:b/>
          <w:bCs/>
          <w:color w:val="auto"/>
          <w:highlight w:val="none"/>
        </w:rPr>
        <w:t>录</w:t>
      </w:r>
      <w:r>
        <w:rPr>
          <w:color w:val="auto"/>
          <w:highlight w:val="none"/>
        </w:rPr>
        <w:tab/>
      </w:r>
      <w:r>
        <w:rPr>
          <w:color w:val="auto"/>
          <w:highlight w:val="none"/>
        </w:rPr>
        <w:fldChar w:fldCharType="begin"/>
      </w:r>
      <w:r>
        <w:rPr>
          <w:color w:val="auto"/>
          <w:highlight w:val="none"/>
        </w:rPr>
        <w:instrText xml:space="preserve"> PAGEREF _Toc216681946 \h </w:instrText>
      </w:r>
      <w:r>
        <w:rPr>
          <w:color w:val="auto"/>
          <w:highlight w:val="none"/>
        </w:rPr>
        <w:fldChar w:fldCharType="separate"/>
      </w:r>
      <w:r>
        <w:rPr>
          <w:color w:val="auto"/>
          <w:highlight w:val="none"/>
        </w:rPr>
        <w:t>143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"_Toc216681947" </w:instrText>
      </w:r>
      <w:r>
        <w:rPr>
          <w:color w:val="auto"/>
          <w:highlight w:val="none"/>
        </w:rPr>
        <w:fldChar w:fldCharType="separate"/>
      </w:r>
      <w:r>
        <w:rPr>
          <w:rStyle w:val="47"/>
          <w:rFonts w:hint="eastAsia" w:ascii="Arial" w:hAnsi="Arial" w:eastAsia="黑体"/>
          <w:b/>
          <w:bCs/>
          <w:color w:val="auto"/>
          <w:highlight w:val="none"/>
        </w:rPr>
        <w:t>一、投标函及投标函附录</w:t>
      </w:r>
      <w:r>
        <w:rPr>
          <w:color w:val="auto"/>
          <w:highlight w:val="none"/>
        </w:rPr>
        <w:tab/>
      </w:r>
      <w:r>
        <w:rPr>
          <w:color w:val="auto"/>
          <w:highlight w:val="none"/>
        </w:rPr>
        <w:fldChar w:fldCharType="begin"/>
      </w:r>
      <w:r>
        <w:rPr>
          <w:color w:val="auto"/>
          <w:highlight w:val="none"/>
        </w:rPr>
        <w:instrText xml:space="preserve"> PAGEREF _Toc216681947 \h </w:instrText>
      </w:r>
      <w:r>
        <w:rPr>
          <w:color w:val="auto"/>
          <w:highlight w:val="none"/>
        </w:rPr>
        <w:fldChar w:fldCharType="separate"/>
      </w:r>
      <w:r>
        <w:rPr>
          <w:color w:val="auto"/>
          <w:highlight w:val="none"/>
        </w:rPr>
        <w:t>144</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"_Toc216681948" </w:instrText>
      </w:r>
      <w:r>
        <w:rPr>
          <w:color w:val="auto"/>
          <w:highlight w:val="none"/>
        </w:rPr>
        <w:fldChar w:fldCharType="separate"/>
      </w:r>
      <w:r>
        <w:rPr>
          <w:rStyle w:val="47"/>
          <w:rFonts w:hint="eastAsia" w:ascii="黑体" w:hAnsi="宋体" w:eastAsia="黑体"/>
          <w:bCs/>
          <w:color w:val="auto"/>
          <w:highlight w:val="none"/>
        </w:rPr>
        <w:t>（一）投标函</w:t>
      </w:r>
      <w:r>
        <w:rPr>
          <w:color w:val="auto"/>
          <w:highlight w:val="none"/>
        </w:rPr>
        <w:tab/>
      </w:r>
      <w:r>
        <w:rPr>
          <w:color w:val="auto"/>
          <w:highlight w:val="none"/>
        </w:rPr>
        <w:fldChar w:fldCharType="begin"/>
      </w:r>
      <w:r>
        <w:rPr>
          <w:color w:val="auto"/>
          <w:highlight w:val="none"/>
        </w:rPr>
        <w:instrText xml:space="preserve"> PAGEREF _Toc216681948 \h </w:instrText>
      </w:r>
      <w:r>
        <w:rPr>
          <w:color w:val="auto"/>
          <w:highlight w:val="none"/>
        </w:rPr>
        <w:fldChar w:fldCharType="separate"/>
      </w:r>
      <w:r>
        <w:rPr>
          <w:color w:val="auto"/>
          <w:highlight w:val="none"/>
        </w:rPr>
        <w:t>144</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"_Toc216681949" </w:instrText>
      </w:r>
      <w:r>
        <w:rPr>
          <w:color w:val="auto"/>
          <w:highlight w:val="none"/>
        </w:rPr>
        <w:fldChar w:fldCharType="separate"/>
      </w:r>
      <w:r>
        <w:rPr>
          <w:rStyle w:val="47"/>
          <w:rFonts w:hint="eastAsia" w:ascii="黑体" w:hAnsi="宋体" w:eastAsia="黑体"/>
          <w:bCs/>
          <w:color w:val="auto"/>
          <w:highlight w:val="none"/>
        </w:rPr>
        <w:t>（二）投标函附录</w:t>
      </w:r>
      <w:r>
        <w:rPr>
          <w:color w:val="auto"/>
          <w:highlight w:val="none"/>
        </w:rPr>
        <w:tab/>
      </w:r>
      <w:r>
        <w:rPr>
          <w:color w:val="auto"/>
          <w:highlight w:val="none"/>
        </w:rPr>
        <w:fldChar w:fldCharType="begin"/>
      </w:r>
      <w:r>
        <w:rPr>
          <w:color w:val="auto"/>
          <w:highlight w:val="none"/>
        </w:rPr>
        <w:instrText xml:space="preserve"> PAGEREF _Toc216681949 \h </w:instrText>
      </w:r>
      <w:r>
        <w:rPr>
          <w:color w:val="auto"/>
          <w:highlight w:val="none"/>
        </w:rPr>
        <w:fldChar w:fldCharType="separate"/>
      </w:r>
      <w:r>
        <w:rPr>
          <w:color w:val="auto"/>
          <w:highlight w:val="none"/>
        </w:rPr>
        <w:t>145</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"_Toc216681950" </w:instrText>
      </w:r>
      <w:r>
        <w:rPr>
          <w:color w:val="auto"/>
          <w:highlight w:val="none"/>
        </w:rPr>
        <w:fldChar w:fldCharType="separate"/>
      </w:r>
      <w:r>
        <w:rPr>
          <w:rStyle w:val="47"/>
          <w:rFonts w:hint="eastAsia" w:ascii="Arial" w:hAnsi="Arial" w:eastAsia="黑体"/>
          <w:b/>
          <w:bCs/>
          <w:color w:val="auto"/>
          <w:highlight w:val="none"/>
        </w:rPr>
        <w:t>二、法定代表人身份证明</w:t>
      </w:r>
      <w:r>
        <w:rPr>
          <w:color w:val="auto"/>
          <w:highlight w:val="none"/>
        </w:rPr>
        <w:tab/>
      </w:r>
      <w:r>
        <w:rPr>
          <w:color w:val="auto"/>
          <w:highlight w:val="none"/>
        </w:rPr>
        <w:fldChar w:fldCharType="begin"/>
      </w:r>
      <w:r>
        <w:rPr>
          <w:color w:val="auto"/>
          <w:highlight w:val="none"/>
        </w:rPr>
        <w:instrText xml:space="preserve"> PAGEREF _Toc216681950 \h </w:instrText>
      </w:r>
      <w:r>
        <w:rPr>
          <w:color w:val="auto"/>
          <w:highlight w:val="none"/>
        </w:rPr>
        <w:fldChar w:fldCharType="separate"/>
      </w:r>
      <w:r>
        <w:rPr>
          <w:color w:val="auto"/>
          <w:highlight w:val="none"/>
        </w:rPr>
        <w:t>146</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"_Toc216681951" </w:instrText>
      </w:r>
      <w:r>
        <w:rPr>
          <w:color w:val="auto"/>
          <w:highlight w:val="none"/>
        </w:rPr>
        <w:fldChar w:fldCharType="separate"/>
      </w:r>
      <w:r>
        <w:rPr>
          <w:rStyle w:val="47"/>
          <w:rFonts w:hint="eastAsia" w:ascii="Arial" w:hAnsi="Arial" w:eastAsia="黑体"/>
          <w:b/>
          <w:bCs/>
          <w:color w:val="auto"/>
          <w:highlight w:val="none"/>
        </w:rPr>
        <w:t>二、授权委托书</w:t>
      </w:r>
      <w:r>
        <w:rPr>
          <w:color w:val="auto"/>
          <w:highlight w:val="none"/>
        </w:rPr>
        <w:tab/>
      </w:r>
      <w:r>
        <w:rPr>
          <w:color w:val="auto"/>
          <w:highlight w:val="none"/>
        </w:rPr>
        <w:fldChar w:fldCharType="begin"/>
      </w:r>
      <w:r>
        <w:rPr>
          <w:color w:val="auto"/>
          <w:highlight w:val="none"/>
        </w:rPr>
        <w:instrText xml:space="preserve"> PAGEREF _Toc216681951 \h </w:instrText>
      </w:r>
      <w:r>
        <w:rPr>
          <w:color w:val="auto"/>
          <w:highlight w:val="none"/>
        </w:rPr>
        <w:fldChar w:fldCharType="separate"/>
      </w:r>
      <w:r>
        <w:rPr>
          <w:color w:val="auto"/>
          <w:highlight w:val="none"/>
        </w:rPr>
        <w:t>147</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"_Toc216681952" </w:instrText>
      </w:r>
      <w:r>
        <w:rPr>
          <w:color w:val="auto"/>
          <w:highlight w:val="none"/>
        </w:rPr>
        <w:fldChar w:fldCharType="separate"/>
      </w:r>
      <w:r>
        <w:rPr>
          <w:rStyle w:val="47"/>
          <w:rFonts w:hint="eastAsia" w:ascii="Arial" w:hAnsi="Arial" w:eastAsia="黑体"/>
          <w:b/>
          <w:bCs/>
          <w:color w:val="auto"/>
          <w:highlight w:val="none"/>
        </w:rPr>
        <w:t>三、联合体协议书</w:t>
      </w:r>
      <w:r>
        <w:rPr>
          <w:color w:val="auto"/>
          <w:highlight w:val="none"/>
        </w:rPr>
        <w:tab/>
      </w:r>
      <w:r>
        <w:rPr>
          <w:color w:val="auto"/>
          <w:highlight w:val="none"/>
        </w:rPr>
        <w:fldChar w:fldCharType="begin"/>
      </w:r>
      <w:r>
        <w:rPr>
          <w:color w:val="auto"/>
          <w:highlight w:val="none"/>
        </w:rPr>
        <w:instrText xml:space="preserve"> PAGEREF _Toc216681952 \h </w:instrText>
      </w:r>
      <w:r>
        <w:rPr>
          <w:color w:val="auto"/>
          <w:highlight w:val="none"/>
        </w:rPr>
        <w:fldChar w:fldCharType="separate"/>
      </w:r>
      <w:r>
        <w:rPr>
          <w:color w:val="auto"/>
          <w:highlight w:val="none"/>
        </w:rPr>
        <w:t>148</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"_Toc216681953" </w:instrText>
      </w:r>
      <w:r>
        <w:rPr>
          <w:color w:val="auto"/>
          <w:highlight w:val="none"/>
        </w:rPr>
        <w:fldChar w:fldCharType="separate"/>
      </w:r>
      <w:r>
        <w:rPr>
          <w:rStyle w:val="47"/>
          <w:rFonts w:hint="eastAsia" w:ascii="Arial" w:hAnsi="Arial" w:eastAsia="黑体"/>
          <w:b/>
          <w:bCs/>
          <w:color w:val="auto"/>
          <w:highlight w:val="none"/>
        </w:rPr>
        <w:t>四、投标保证金</w:t>
      </w:r>
      <w:r>
        <w:rPr>
          <w:color w:val="auto"/>
          <w:highlight w:val="none"/>
        </w:rPr>
        <w:tab/>
      </w:r>
      <w:r>
        <w:rPr>
          <w:color w:val="auto"/>
          <w:highlight w:val="none"/>
        </w:rPr>
        <w:fldChar w:fldCharType="begin"/>
      </w:r>
      <w:r>
        <w:rPr>
          <w:color w:val="auto"/>
          <w:highlight w:val="none"/>
        </w:rPr>
        <w:instrText xml:space="preserve"> PAGEREF _Toc216681953 \h </w:instrText>
      </w:r>
      <w:r>
        <w:rPr>
          <w:color w:val="auto"/>
          <w:highlight w:val="none"/>
        </w:rPr>
        <w:fldChar w:fldCharType="separate"/>
      </w:r>
      <w:r>
        <w:rPr>
          <w:color w:val="auto"/>
          <w:highlight w:val="none"/>
        </w:rPr>
        <w:t>150</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"_Toc216681954" </w:instrText>
      </w:r>
      <w:r>
        <w:rPr>
          <w:color w:val="auto"/>
          <w:highlight w:val="none"/>
        </w:rPr>
        <w:fldChar w:fldCharType="separate"/>
      </w:r>
      <w:r>
        <w:rPr>
          <w:rStyle w:val="47"/>
          <w:rFonts w:hint="eastAsia" w:ascii="Arial" w:hAnsi="Arial" w:eastAsia="黑体"/>
          <w:b/>
          <w:bCs/>
          <w:color w:val="auto"/>
          <w:highlight w:val="none"/>
        </w:rPr>
        <w:t>五、投标报价</w:t>
      </w:r>
      <w:r>
        <w:rPr>
          <w:color w:val="auto"/>
          <w:highlight w:val="none"/>
        </w:rPr>
        <w:tab/>
      </w:r>
      <w:r>
        <w:rPr>
          <w:color w:val="auto"/>
          <w:highlight w:val="none"/>
        </w:rPr>
        <w:fldChar w:fldCharType="begin"/>
      </w:r>
      <w:r>
        <w:rPr>
          <w:color w:val="auto"/>
          <w:highlight w:val="none"/>
        </w:rPr>
        <w:instrText xml:space="preserve"> PAGEREF _Toc216681954 \h </w:instrText>
      </w:r>
      <w:r>
        <w:rPr>
          <w:color w:val="auto"/>
          <w:highlight w:val="none"/>
        </w:rPr>
        <w:fldChar w:fldCharType="separate"/>
      </w:r>
      <w:r>
        <w:rPr>
          <w:color w:val="auto"/>
          <w:highlight w:val="none"/>
        </w:rPr>
        <w:t>151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"_Toc216681955" </w:instrText>
      </w:r>
      <w:r>
        <w:rPr>
          <w:color w:val="auto"/>
          <w:highlight w:val="none"/>
        </w:rPr>
        <w:fldChar w:fldCharType="separate"/>
      </w:r>
      <w:r>
        <w:rPr>
          <w:rStyle w:val="47"/>
          <w:rFonts w:hint="eastAsia" w:ascii="黑体" w:hAnsi="宋体" w:eastAsia="黑体"/>
          <w:bCs/>
          <w:color w:val="auto"/>
          <w:highlight w:val="none"/>
        </w:rPr>
        <w:t>（一）投标报价（开标）一览表</w:t>
      </w:r>
      <w:r>
        <w:rPr>
          <w:color w:val="auto"/>
          <w:highlight w:val="none"/>
        </w:rPr>
        <w:tab/>
      </w:r>
      <w:r>
        <w:rPr>
          <w:color w:val="auto"/>
          <w:highlight w:val="none"/>
        </w:rPr>
        <w:fldChar w:fldCharType="begin"/>
      </w:r>
      <w:r>
        <w:rPr>
          <w:color w:val="auto"/>
          <w:highlight w:val="none"/>
        </w:rPr>
        <w:instrText xml:space="preserve"> PAGEREF _Toc216681955 \h </w:instrText>
      </w:r>
      <w:r>
        <w:rPr>
          <w:color w:val="auto"/>
          <w:highlight w:val="none"/>
        </w:rPr>
        <w:fldChar w:fldCharType="separate"/>
      </w:r>
      <w:r>
        <w:rPr>
          <w:color w:val="auto"/>
          <w:highlight w:val="none"/>
        </w:rPr>
        <w:t>151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"_Toc216681956" </w:instrText>
      </w:r>
      <w:r>
        <w:rPr>
          <w:color w:val="auto"/>
          <w:highlight w:val="none"/>
        </w:rPr>
        <w:fldChar w:fldCharType="separate"/>
      </w:r>
      <w:r>
        <w:rPr>
          <w:rStyle w:val="47"/>
          <w:rFonts w:hint="eastAsia" w:ascii="黑体" w:hAnsi="宋体" w:eastAsia="黑体"/>
          <w:bCs/>
          <w:color w:val="auto"/>
          <w:highlight w:val="none"/>
        </w:rPr>
        <w:t>（二）已标价工程量清单</w:t>
      </w:r>
      <w:r>
        <w:rPr>
          <w:color w:val="auto"/>
          <w:highlight w:val="none"/>
        </w:rPr>
        <w:tab/>
      </w:r>
      <w:r>
        <w:rPr>
          <w:color w:val="auto"/>
          <w:highlight w:val="none"/>
        </w:rPr>
        <w:fldChar w:fldCharType="begin"/>
      </w:r>
      <w:r>
        <w:rPr>
          <w:color w:val="auto"/>
          <w:highlight w:val="none"/>
        </w:rPr>
        <w:instrText xml:space="preserve"> PAGEREF _Toc216681956 \h </w:instrText>
      </w:r>
      <w:r>
        <w:rPr>
          <w:color w:val="auto"/>
          <w:highlight w:val="none"/>
        </w:rPr>
        <w:fldChar w:fldCharType="separate"/>
      </w:r>
      <w:r>
        <w:rPr>
          <w:color w:val="auto"/>
          <w:highlight w:val="none"/>
        </w:rPr>
        <w:t>152</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"_Toc216681957" </w:instrText>
      </w:r>
      <w:r>
        <w:rPr>
          <w:color w:val="auto"/>
          <w:highlight w:val="none"/>
        </w:rPr>
        <w:fldChar w:fldCharType="separate"/>
      </w:r>
      <w:r>
        <w:rPr>
          <w:rStyle w:val="47"/>
          <w:rFonts w:hint="eastAsia" w:ascii="Arial" w:hAnsi="Arial" w:eastAsia="黑体"/>
          <w:b/>
          <w:bCs/>
          <w:color w:val="auto"/>
          <w:highlight w:val="none"/>
        </w:rPr>
        <w:t>六、承包人建议书</w:t>
      </w:r>
      <w:r>
        <w:rPr>
          <w:color w:val="auto"/>
          <w:highlight w:val="none"/>
        </w:rPr>
        <w:tab/>
      </w:r>
      <w:r>
        <w:rPr>
          <w:color w:val="auto"/>
          <w:highlight w:val="none"/>
        </w:rPr>
        <w:fldChar w:fldCharType="begin"/>
      </w:r>
      <w:r>
        <w:rPr>
          <w:color w:val="auto"/>
          <w:highlight w:val="none"/>
        </w:rPr>
        <w:instrText xml:space="preserve"> PAGEREF _Toc216681957 \h </w:instrText>
      </w:r>
      <w:r>
        <w:rPr>
          <w:color w:val="auto"/>
          <w:highlight w:val="none"/>
        </w:rPr>
        <w:fldChar w:fldCharType="separate"/>
      </w:r>
      <w:r>
        <w:rPr>
          <w:color w:val="auto"/>
          <w:highlight w:val="none"/>
        </w:rPr>
        <w:t>153</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"_Toc216681958" </w:instrText>
      </w:r>
      <w:r>
        <w:rPr>
          <w:color w:val="auto"/>
          <w:highlight w:val="none"/>
        </w:rPr>
        <w:fldChar w:fldCharType="separate"/>
      </w:r>
      <w:r>
        <w:rPr>
          <w:rStyle w:val="47"/>
          <w:rFonts w:hint="eastAsia" w:ascii="Arial" w:hAnsi="Arial" w:eastAsia="黑体"/>
          <w:b/>
          <w:bCs/>
          <w:color w:val="auto"/>
          <w:highlight w:val="none"/>
        </w:rPr>
        <w:t>七、承包人实施计划</w:t>
      </w:r>
      <w:r>
        <w:rPr>
          <w:color w:val="auto"/>
          <w:highlight w:val="none"/>
        </w:rPr>
        <w:tab/>
      </w:r>
      <w:r>
        <w:rPr>
          <w:color w:val="auto"/>
          <w:highlight w:val="none"/>
        </w:rPr>
        <w:fldChar w:fldCharType="begin"/>
      </w:r>
      <w:r>
        <w:rPr>
          <w:color w:val="auto"/>
          <w:highlight w:val="none"/>
        </w:rPr>
        <w:instrText xml:space="preserve"> PAGEREF _Toc216681958 \h </w:instrText>
      </w:r>
      <w:r>
        <w:rPr>
          <w:color w:val="auto"/>
          <w:highlight w:val="none"/>
        </w:rPr>
        <w:fldChar w:fldCharType="separate"/>
      </w:r>
      <w:r>
        <w:rPr>
          <w:color w:val="auto"/>
          <w:highlight w:val="none"/>
        </w:rPr>
        <w:t>154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"_Toc216681959" </w:instrText>
      </w:r>
      <w:r>
        <w:rPr>
          <w:color w:val="auto"/>
          <w:highlight w:val="none"/>
        </w:rPr>
        <w:fldChar w:fldCharType="separate"/>
      </w:r>
      <w:r>
        <w:rPr>
          <w:rStyle w:val="47"/>
          <w:rFonts w:hint="eastAsia" w:ascii="Arial" w:hAnsi="Arial" w:eastAsia="黑体"/>
          <w:b/>
          <w:bCs/>
          <w:color w:val="auto"/>
          <w:highlight w:val="none"/>
        </w:rPr>
        <w:t>八、资格审查资料</w:t>
      </w:r>
      <w:r>
        <w:rPr>
          <w:color w:val="auto"/>
          <w:highlight w:val="none"/>
        </w:rPr>
        <w:tab/>
      </w:r>
      <w:r>
        <w:rPr>
          <w:color w:val="auto"/>
          <w:highlight w:val="none"/>
        </w:rPr>
        <w:fldChar w:fldCharType="begin"/>
      </w:r>
      <w:r>
        <w:rPr>
          <w:color w:val="auto"/>
          <w:highlight w:val="none"/>
        </w:rPr>
        <w:instrText xml:space="preserve"> PAGEREF _Toc216681959 \h </w:instrText>
      </w:r>
      <w:r>
        <w:rPr>
          <w:color w:val="auto"/>
          <w:highlight w:val="none"/>
        </w:rPr>
        <w:fldChar w:fldCharType="separate"/>
      </w:r>
      <w:r>
        <w:rPr>
          <w:color w:val="auto"/>
          <w:highlight w:val="none"/>
        </w:rPr>
        <w:t>155</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"_Toc216681960" </w:instrText>
      </w:r>
      <w:r>
        <w:rPr>
          <w:color w:val="auto"/>
          <w:highlight w:val="none"/>
        </w:rPr>
        <w:fldChar w:fldCharType="separate"/>
      </w:r>
      <w:r>
        <w:rPr>
          <w:rStyle w:val="47"/>
          <w:rFonts w:hint="eastAsia" w:ascii="黑体" w:hAnsi="宋体" w:eastAsia="黑体"/>
          <w:bCs/>
          <w:color w:val="auto"/>
          <w:highlight w:val="none"/>
        </w:rPr>
        <w:t>（一）投标人基本情况表</w:t>
      </w:r>
      <w:r>
        <w:rPr>
          <w:color w:val="auto"/>
          <w:highlight w:val="none"/>
        </w:rPr>
        <w:tab/>
      </w:r>
      <w:r>
        <w:rPr>
          <w:color w:val="auto"/>
          <w:highlight w:val="none"/>
        </w:rPr>
        <w:fldChar w:fldCharType="begin"/>
      </w:r>
      <w:r>
        <w:rPr>
          <w:color w:val="auto"/>
          <w:highlight w:val="none"/>
        </w:rPr>
        <w:instrText xml:space="preserve"> PAGEREF _Toc216681960 \h </w:instrText>
      </w:r>
      <w:r>
        <w:rPr>
          <w:color w:val="auto"/>
          <w:highlight w:val="none"/>
        </w:rPr>
        <w:fldChar w:fldCharType="separate"/>
      </w:r>
      <w:r>
        <w:rPr>
          <w:color w:val="auto"/>
          <w:highlight w:val="none"/>
        </w:rPr>
        <w:t>155</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"_Toc216681961" </w:instrText>
      </w:r>
      <w:r>
        <w:rPr>
          <w:color w:val="auto"/>
          <w:highlight w:val="none"/>
        </w:rPr>
        <w:fldChar w:fldCharType="separate"/>
      </w:r>
      <w:r>
        <w:rPr>
          <w:rStyle w:val="47"/>
          <w:rFonts w:hint="eastAsia" w:ascii="黑体" w:hAnsi="宋体" w:eastAsia="黑体"/>
          <w:bCs/>
          <w:color w:val="auto"/>
          <w:highlight w:val="none"/>
        </w:rPr>
        <w:t>（二）近年财务状况表</w:t>
      </w:r>
      <w:r>
        <w:rPr>
          <w:color w:val="auto"/>
          <w:highlight w:val="none"/>
        </w:rPr>
        <w:tab/>
      </w:r>
      <w:r>
        <w:rPr>
          <w:color w:val="auto"/>
          <w:highlight w:val="none"/>
        </w:rPr>
        <w:fldChar w:fldCharType="begin"/>
      </w:r>
      <w:r>
        <w:rPr>
          <w:color w:val="auto"/>
          <w:highlight w:val="none"/>
        </w:rPr>
        <w:instrText xml:space="preserve"> PAGEREF _Toc216681961 \h </w:instrText>
      </w:r>
      <w:r>
        <w:rPr>
          <w:color w:val="auto"/>
          <w:highlight w:val="none"/>
        </w:rPr>
        <w:fldChar w:fldCharType="separate"/>
      </w:r>
      <w:r>
        <w:rPr>
          <w:color w:val="auto"/>
          <w:highlight w:val="none"/>
        </w:rPr>
        <w:t>156</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"_Toc216681962" </w:instrText>
      </w:r>
      <w:r>
        <w:rPr>
          <w:color w:val="auto"/>
          <w:highlight w:val="none"/>
        </w:rPr>
        <w:fldChar w:fldCharType="separate"/>
      </w:r>
      <w:r>
        <w:rPr>
          <w:rStyle w:val="47"/>
          <w:rFonts w:hint="eastAsia" w:ascii="黑体" w:hAnsi="宋体" w:eastAsia="黑体"/>
          <w:bCs/>
          <w:color w:val="auto"/>
          <w:highlight w:val="none"/>
        </w:rPr>
        <w:t>（三）信誉证明材料</w:t>
      </w:r>
      <w:r>
        <w:rPr>
          <w:color w:val="auto"/>
          <w:highlight w:val="none"/>
        </w:rPr>
        <w:tab/>
      </w:r>
      <w:r>
        <w:rPr>
          <w:color w:val="auto"/>
          <w:highlight w:val="none"/>
        </w:rPr>
        <w:fldChar w:fldCharType="begin"/>
      </w:r>
      <w:r>
        <w:rPr>
          <w:color w:val="auto"/>
          <w:highlight w:val="none"/>
        </w:rPr>
        <w:instrText xml:space="preserve"> PAGEREF _Toc216681962 \h </w:instrText>
      </w:r>
      <w:r>
        <w:rPr>
          <w:color w:val="auto"/>
          <w:highlight w:val="none"/>
        </w:rPr>
        <w:fldChar w:fldCharType="separate"/>
      </w:r>
      <w:r>
        <w:rPr>
          <w:color w:val="auto"/>
          <w:highlight w:val="none"/>
        </w:rPr>
        <w:t>157</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"_Toc216681963" </w:instrText>
      </w:r>
      <w:r>
        <w:rPr>
          <w:color w:val="auto"/>
          <w:highlight w:val="none"/>
        </w:rPr>
        <w:fldChar w:fldCharType="separate"/>
      </w:r>
      <w:r>
        <w:rPr>
          <w:rStyle w:val="47"/>
          <w:rFonts w:hint="eastAsia" w:ascii="黑体" w:hAnsi="宋体" w:eastAsia="黑体"/>
          <w:bCs/>
          <w:color w:val="auto"/>
          <w:highlight w:val="none"/>
        </w:rPr>
        <w:t>（四）近年完成的类似项目情况表</w:t>
      </w:r>
      <w:r>
        <w:rPr>
          <w:color w:val="auto"/>
          <w:highlight w:val="none"/>
        </w:rPr>
        <w:tab/>
      </w:r>
      <w:r>
        <w:rPr>
          <w:color w:val="auto"/>
          <w:highlight w:val="none"/>
        </w:rPr>
        <w:fldChar w:fldCharType="begin"/>
      </w:r>
      <w:r>
        <w:rPr>
          <w:color w:val="auto"/>
          <w:highlight w:val="none"/>
        </w:rPr>
        <w:instrText xml:space="preserve"> PAGEREF _Toc216681963 \h </w:instrText>
      </w:r>
      <w:r>
        <w:rPr>
          <w:color w:val="auto"/>
          <w:highlight w:val="none"/>
        </w:rPr>
        <w:fldChar w:fldCharType="separate"/>
      </w:r>
      <w:r>
        <w:rPr>
          <w:color w:val="auto"/>
          <w:highlight w:val="none"/>
        </w:rPr>
        <w:t>158</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"_Toc216681964" </w:instrText>
      </w:r>
      <w:r>
        <w:rPr>
          <w:color w:val="auto"/>
          <w:highlight w:val="none"/>
        </w:rPr>
        <w:fldChar w:fldCharType="separate"/>
      </w:r>
      <w:r>
        <w:rPr>
          <w:rStyle w:val="47"/>
          <w:rFonts w:hint="eastAsia" w:ascii="黑体" w:hAnsi="宋体" w:eastAsia="黑体"/>
          <w:bCs/>
          <w:color w:val="auto"/>
          <w:highlight w:val="none"/>
        </w:rPr>
        <w:t>（五）正在实施的和新承接的项目情况表</w:t>
      </w:r>
      <w:r>
        <w:rPr>
          <w:color w:val="auto"/>
          <w:highlight w:val="none"/>
        </w:rPr>
        <w:tab/>
      </w:r>
      <w:r>
        <w:rPr>
          <w:color w:val="auto"/>
          <w:highlight w:val="none"/>
        </w:rPr>
        <w:fldChar w:fldCharType="begin"/>
      </w:r>
      <w:r>
        <w:rPr>
          <w:color w:val="auto"/>
          <w:highlight w:val="none"/>
        </w:rPr>
        <w:instrText xml:space="preserve"> PAGEREF _Toc216681964 \h </w:instrText>
      </w:r>
      <w:r>
        <w:rPr>
          <w:color w:val="auto"/>
          <w:highlight w:val="none"/>
        </w:rPr>
        <w:fldChar w:fldCharType="separate"/>
      </w:r>
      <w:r>
        <w:rPr>
          <w:color w:val="auto"/>
          <w:highlight w:val="none"/>
        </w:rPr>
        <w:t>159</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"_Toc216681965" </w:instrText>
      </w:r>
      <w:r>
        <w:rPr>
          <w:color w:val="auto"/>
          <w:highlight w:val="none"/>
        </w:rPr>
        <w:fldChar w:fldCharType="separate"/>
      </w:r>
      <w:r>
        <w:rPr>
          <w:rStyle w:val="47"/>
          <w:rFonts w:hint="eastAsia" w:ascii="黑体" w:hAnsi="宋体" w:eastAsia="黑体"/>
          <w:bCs/>
          <w:color w:val="auto"/>
          <w:highlight w:val="none"/>
        </w:rPr>
        <w:t>（六）近年发生的诉讼和仲裁情况</w:t>
      </w:r>
      <w:r>
        <w:rPr>
          <w:color w:val="auto"/>
          <w:highlight w:val="none"/>
        </w:rPr>
        <w:tab/>
      </w:r>
      <w:r>
        <w:rPr>
          <w:color w:val="auto"/>
          <w:highlight w:val="none"/>
        </w:rPr>
        <w:fldChar w:fldCharType="begin"/>
      </w:r>
      <w:r>
        <w:rPr>
          <w:color w:val="auto"/>
          <w:highlight w:val="none"/>
        </w:rPr>
        <w:instrText xml:space="preserve"> PAGEREF _Toc216681965 \h </w:instrText>
      </w:r>
      <w:r>
        <w:rPr>
          <w:color w:val="auto"/>
          <w:highlight w:val="none"/>
        </w:rPr>
        <w:fldChar w:fldCharType="separate"/>
      </w:r>
      <w:r>
        <w:rPr>
          <w:color w:val="auto"/>
          <w:highlight w:val="none"/>
        </w:rPr>
        <w:t>160</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"_Toc216681966" </w:instrText>
      </w:r>
      <w:r>
        <w:rPr>
          <w:color w:val="auto"/>
          <w:highlight w:val="none"/>
        </w:rPr>
        <w:fldChar w:fldCharType="separate"/>
      </w:r>
      <w:r>
        <w:rPr>
          <w:rStyle w:val="47"/>
          <w:rFonts w:hint="eastAsia" w:ascii="黑体" w:hAnsi="宋体" w:eastAsia="黑体"/>
          <w:bCs/>
          <w:color w:val="auto"/>
          <w:highlight w:val="none"/>
        </w:rPr>
        <w:t>（七）拟投入本项目的主要施工设备表</w:t>
      </w:r>
      <w:r>
        <w:rPr>
          <w:color w:val="auto"/>
          <w:highlight w:val="none"/>
        </w:rPr>
        <w:tab/>
      </w:r>
      <w:r>
        <w:rPr>
          <w:color w:val="auto"/>
          <w:highlight w:val="none"/>
        </w:rPr>
        <w:fldChar w:fldCharType="begin"/>
      </w:r>
      <w:r>
        <w:rPr>
          <w:color w:val="auto"/>
          <w:highlight w:val="none"/>
        </w:rPr>
        <w:instrText xml:space="preserve"> PAGEREF _Toc216681966 \h </w:instrText>
      </w:r>
      <w:r>
        <w:rPr>
          <w:color w:val="auto"/>
          <w:highlight w:val="none"/>
        </w:rPr>
        <w:fldChar w:fldCharType="separate"/>
      </w:r>
      <w:r>
        <w:rPr>
          <w:color w:val="auto"/>
          <w:highlight w:val="none"/>
        </w:rPr>
        <w:t>161</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"_Toc216681967" </w:instrText>
      </w:r>
      <w:r>
        <w:rPr>
          <w:color w:val="auto"/>
          <w:highlight w:val="none"/>
        </w:rPr>
        <w:fldChar w:fldCharType="separate"/>
      </w:r>
      <w:r>
        <w:rPr>
          <w:rStyle w:val="47"/>
          <w:rFonts w:hint="eastAsia" w:ascii="黑体" w:hAnsi="宋体" w:eastAsia="黑体"/>
          <w:bCs/>
          <w:color w:val="auto"/>
          <w:highlight w:val="none"/>
        </w:rPr>
        <w:t>（八）拟配备本项目的试验和检测仪器设备表</w:t>
      </w:r>
      <w:r>
        <w:rPr>
          <w:color w:val="auto"/>
          <w:highlight w:val="none"/>
        </w:rPr>
        <w:tab/>
      </w:r>
      <w:r>
        <w:rPr>
          <w:color w:val="auto"/>
          <w:highlight w:val="none"/>
        </w:rPr>
        <w:fldChar w:fldCharType="begin"/>
      </w:r>
      <w:r>
        <w:rPr>
          <w:color w:val="auto"/>
          <w:highlight w:val="none"/>
        </w:rPr>
        <w:instrText xml:space="preserve"> PAGEREF _Toc216681967 \h </w:instrText>
      </w:r>
      <w:r>
        <w:rPr>
          <w:color w:val="auto"/>
          <w:highlight w:val="none"/>
        </w:rPr>
        <w:fldChar w:fldCharType="separate"/>
      </w:r>
      <w:r>
        <w:rPr>
          <w:color w:val="auto"/>
          <w:highlight w:val="none"/>
        </w:rPr>
        <w:t>162</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"_Toc216681968" </w:instrText>
      </w:r>
      <w:r>
        <w:rPr>
          <w:color w:val="auto"/>
          <w:highlight w:val="none"/>
        </w:rPr>
        <w:fldChar w:fldCharType="separate"/>
      </w:r>
      <w:r>
        <w:rPr>
          <w:rStyle w:val="47"/>
          <w:rFonts w:hint="eastAsia" w:ascii="黑体" w:hAnsi="宋体" w:eastAsia="黑体"/>
          <w:bCs/>
          <w:color w:val="auto"/>
          <w:highlight w:val="none"/>
        </w:rPr>
        <w:t>（九）项目管理机构组成表</w:t>
      </w:r>
      <w:r>
        <w:rPr>
          <w:color w:val="auto"/>
          <w:highlight w:val="none"/>
        </w:rPr>
        <w:tab/>
      </w:r>
      <w:r>
        <w:rPr>
          <w:color w:val="auto"/>
          <w:highlight w:val="none"/>
        </w:rPr>
        <w:fldChar w:fldCharType="begin"/>
      </w:r>
      <w:r>
        <w:rPr>
          <w:color w:val="auto"/>
          <w:highlight w:val="none"/>
        </w:rPr>
        <w:instrText xml:space="preserve"> PAGEREF _Toc216681968 \h </w:instrText>
      </w:r>
      <w:r>
        <w:rPr>
          <w:color w:val="auto"/>
          <w:highlight w:val="none"/>
        </w:rPr>
        <w:fldChar w:fldCharType="separate"/>
      </w:r>
      <w:r>
        <w:rPr>
          <w:color w:val="auto"/>
          <w:highlight w:val="none"/>
        </w:rPr>
        <w:t>163</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"_Toc216681969" </w:instrText>
      </w:r>
      <w:r>
        <w:rPr>
          <w:color w:val="auto"/>
          <w:highlight w:val="none"/>
        </w:rPr>
        <w:fldChar w:fldCharType="separate"/>
      </w:r>
      <w:r>
        <w:rPr>
          <w:rStyle w:val="47"/>
          <w:rFonts w:hint="eastAsia" w:ascii="黑体" w:hAnsi="宋体" w:eastAsia="黑体"/>
          <w:bCs/>
          <w:color w:val="auto"/>
          <w:highlight w:val="none"/>
        </w:rPr>
        <w:t>（十）主要人员简历表</w:t>
      </w:r>
      <w:r>
        <w:rPr>
          <w:color w:val="auto"/>
          <w:highlight w:val="none"/>
        </w:rPr>
        <w:tab/>
      </w:r>
      <w:r>
        <w:rPr>
          <w:color w:val="auto"/>
          <w:highlight w:val="none"/>
        </w:rPr>
        <w:fldChar w:fldCharType="begin"/>
      </w:r>
      <w:r>
        <w:rPr>
          <w:color w:val="auto"/>
          <w:highlight w:val="none"/>
        </w:rPr>
        <w:instrText xml:space="preserve"> PAGEREF _Toc216681969 \h </w:instrText>
      </w:r>
      <w:r>
        <w:rPr>
          <w:color w:val="auto"/>
          <w:highlight w:val="none"/>
        </w:rPr>
        <w:fldChar w:fldCharType="separate"/>
      </w:r>
      <w:r>
        <w:rPr>
          <w:color w:val="auto"/>
          <w:highlight w:val="none"/>
        </w:rPr>
        <w:t>164</w:t>
      </w:r>
      <w:r>
        <w:rPr>
          <w:color w:val="auto"/>
          <w:highlight w:val="none"/>
        </w:rPr>
        <w:fldChar w:fldCharType="end"/>
      </w:r>
      <w:r>
        <w:rPr>
          <w:color w:val="auto"/>
          <w:highlight w:val="none"/>
        </w:rPr>
        <w:fldChar w:fldCharType="end"/>
      </w:r>
    </w:p>
    <w:p>
      <w:pPr>
        <w:pStyle w:val="2"/>
        <w:tabs>
          <w:tab w:val="right" w:leader="dot" w:pos="9628"/>
        </w:tabs>
        <w:rPr>
          <w:rFonts w:asciiTheme="minorHAnsi" w:hAnsiTheme="minorHAnsi" w:eastAsiaTheme="minorEastAsia" w:cstheme="minorBidi"/>
          <w:smallCaps w:val="0"/>
          <w:color w:val="auto"/>
          <w:sz w:val="21"/>
          <w:szCs w:val="22"/>
          <w:highlight w:val="none"/>
        </w:rPr>
      </w:pPr>
      <w:r>
        <w:rPr>
          <w:color w:val="auto"/>
          <w:highlight w:val="none"/>
        </w:rPr>
        <w:fldChar w:fldCharType="begin"/>
      </w:r>
      <w:r>
        <w:rPr>
          <w:color w:val="auto"/>
          <w:highlight w:val="none"/>
        </w:rPr>
        <w:instrText xml:space="preserve"> HYPERLINK \l "_Toc216681970" </w:instrText>
      </w:r>
      <w:r>
        <w:rPr>
          <w:color w:val="auto"/>
          <w:highlight w:val="none"/>
        </w:rPr>
        <w:fldChar w:fldCharType="separate"/>
      </w:r>
      <w:r>
        <w:rPr>
          <w:rStyle w:val="47"/>
          <w:rFonts w:hint="eastAsia" w:ascii="Arial" w:hAnsi="Arial" w:eastAsia="黑体"/>
          <w:b/>
          <w:bCs/>
          <w:color w:val="auto"/>
          <w:highlight w:val="none"/>
        </w:rPr>
        <w:t>九、其他资料</w:t>
      </w:r>
      <w:r>
        <w:rPr>
          <w:color w:val="auto"/>
          <w:highlight w:val="none"/>
        </w:rPr>
        <w:tab/>
      </w:r>
      <w:r>
        <w:rPr>
          <w:color w:val="auto"/>
          <w:highlight w:val="none"/>
        </w:rPr>
        <w:fldChar w:fldCharType="begin"/>
      </w:r>
      <w:r>
        <w:rPr>
          <w:color w:val="auto"/>
          <w:highlight w:val="none"/>
        </w:rPr>
        <w:instrText xml:space="preserve"> PAGEREF _Toc216681970 \h </w:instrText>
      </w:r>
      <w:r>
        <w:rPr>
          <w:color w:val="auto"/>
          <w:highlight w:val="none"/>
        </w:rPr>
        <w:fldChar w:fldCharType="separate"/>
      </w:r>
      <w:r>
        <w:rPr>
          <w:color w:val="auto"/>
          <w:highlight w:val="none"/>
        </w:rPr>
        <w:t>166</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"_Toc216681971" </w:instrText>
      </w:r>
      <w:r>
        <w:rPr>
          <w:color w:val="auto"/>
          <w:highlight w:val="none"/>
        </w:rPr>
        <w:fldChar w:fldCharType="separate"/>
      </w:r>
      <w:r>
        <w:rPr>
          <w:rStyle w:val="47"/>
          <w:rFonts w:hint="eastAsia" w:ascii="黑体" w:hAnsi="宋体" w:eastAsia="黑体"/>
          <w:bCs/>
          <w:color w:val="auto"/>
          <w:highlight w:val="none"/>
        </w:rPr>
        <w:t>（一）承诺书</w:t>
      </w:r>
      <w:r>
        <w:rPr>
          <w:color w:val="auto"/>
          <w:highlight w:val="none"/>
        </w:rPr>
        <w:tab/>
      </w:r>
      <w:r>
        <w:rPr>
          <w:color w:val="auto"/>
          <w:highlight w:val="none"/>
        </w:rPr>
        <w:fldChar w:fldCharType="begin"/>
      </w:r>
      <w:r>
        <w:rPr>
          <w:color w:val="auto"/>
          <w:highlight w:val="none"/>
        </w:rPr>
        <w:instrText xml:space="preserve"> PAGEREF _Toc216681971 \h </w:instrText>
      </w:r>
      <w:r>
        <w:rPr>
          <w:color w:val="auto"/>
          <w:highlight w:val="none"/>
        </w:rPr>
        <w:fldChar w:fldCharType="separate"/>
      </w:r>
      <w:r>
        <w:rPr>
          <w:color w:val="auto"/>
          <w:highlight w:val="none"/>
        </w:rPr>
        <w:t>166</w:t>
      </w:r>
      <w:r>
        <w:rPr>
          <w:color w:val="auto"/>
          <w:highlight w:val="none"/>
        </w:rPr>
        <w:fldChar w:fldCharType="end"/>
      </w:r>
      <w:r>
        <w:rPr>
          <w:color w:val="auto"/>
          <w:highlight w:val="none"/>
        </w:rPr>
        <w:fldChar w:fldCharType="end"/>
      </w:r>
    </w:p>
    <w:p>
      <w:pPr>
        <w:pStyle w:val="20"/>
        <w:tabs>
          <w:tab w:val="right" w:leader="dot" w:pos="9628"/>
        </w:tabs>
        <w:rPr>
          <w:rFonts w:asciiTheme="minorHAnsi" w:hAnsiTheme="minorHAnsi" w:eastAsiaTheme="minorEastAsia" w:cstheme="minorBidi"/>
          <w:iCs w:val="0"/>
          <w:color w:val="auto"/>
          <w:sz w:val="21"/>
          <w:szCs w:val="22"/>
          <w:highlight w:val="none"/>
        </w:rPr>
      </w:pPr>
      <w:r>
        <w:rPr>
          <w:color w:val="auto"/>
          <w:highlight w:val="none"/>
        </w:rPr>
        <w:fldChar w:fldCharType="begin"/>
      </w:r>
      <w:r>
        <w:rPr>
          <w:color w:val="auto"/>
          <w:highlight w:val="none"/>
        </w:rPr>
        <w:instrText xml:space="preserve"> HYPERLINK \l "_Toc216681972" </w:instrText>
      </w:r>
      <w:r>
        <w:rPr>
          <w:color w:val="auto"/>
          <w:highlight w:val="none"/>
        </w:rPr>
        <w:fldChar w:fldCharType="separate"/>
      </w:r>
      <w:r>
        <w:rPr>
          <w:rStyle w:val="47"/>
          <w:rFonts w:hint="eastAsia" w:ascii="黑体" w:hAnsi="宋体" w:eastAsia="黑体"/>
          <w:bCs/>
          <w:color w:val="auto"/>
          <w:highlight w:val="none"/>
        </w:rPr>
        <w:t>（二）其他</w:t>
      </w:r>
      <w:r>
        <w:rPr>
          <w:color w:val="auto"/>
          <w:highlight w:val="none"/>
        </w:rPr>
        <w:tab/>
      </w:r>
      <w:r>
        <w:rPr>
          <w:color w:val="auto"/>
          <w:highlight w:val="none"/>
        </w:rPr>
        <w:fldChar w:fldCharType="begin"/>
      </w:r>
      <w:r>
        <w:rPr>
          <w:color w:val="auto"/>
          <w:highlight w:val="none"/>
        </w:rPr>
        <w:instrText xml:space="preserve"> PAGEREF _Toc216681972 \h </w:instrText>
      </w:r>
      <w:r>
        <w:rPr>
          <w:color w:val="auto"/>
          <w:highlight w:val="none"/>
        </w:rPr>
        <w:fldChar w:fldCharType="separate"/>
      </w:r>
      <w:r>
        <w:rPr>
          <w:color w:val="auto"/>
          <w:highlight w:val="none"/>
        </w:rPr>
        <w:t>168</w:t>
      </w:r>
      <w:r>
        <w:rPr>
          <w:color w:val="auto"/>
          <w:highlight w:val="none"/>
        </w:rPr>
        <w:fldChar w:fldCharType="end"/>
      </w:r>
      <w:r>
        <w:rPr>
          <w:color w:val="auto"/>
          <w:highlight w:val="none"/>
        </w:rPr>
        <w:fldChar w:fldCharType="end"/>
      </w: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sectPr>
          <w:footerReference r:id="rId3" w:type="default"/>
          <w:pgSz w:w="11906" w:h="16838"/>
          <w:pgMar w:top="1418" w:right="1134" w:bottom="1418" w:left="1134" w:header="851" w:footer="992" w:gutter="0"/>
          <w:pgNumType w:start="1"/>
          <w:cols w:space="720" w:num="1"/>
          <w:docGrid w:type="lines" w:linePitch="312" w:charSpace="0"/>
        </w:sectPr>
      </w:pPr>
      <w:r>
        <w:rPr>
          <w:rFonts w:ascii="Times New Roman" w:hAnsi="Times New Roman" w:eastAsia="宋体" w:cs="Times New Roman"/>
          <w:b/>
          <w:bCs/>
          <w:color w:val="auto"/>
          <w:kern w:val="44"/>
          <w:sz w:val="44"/>
          <w:szCs w:val="44"/>
          <w:highlight w:val="none"/>
        </w:rPr>
        <w:fldChar w:fldCharType="end"/>
      </w:r>
    </w:p>
    <w:bookmarkEnd w:id="5"/>
    <w:bookmarkEnd w:id="6"/>
    <w:bookmarkEnd w:id="7"/>
    <w:bookmarkEnd w:id="8"/>
    <w:bookmarkEnd w:id="9"/>
    <w:p>
      <w:pPr>
        <w:keepNext/>
        <w:keepLines/>
        <w:spacing w:line="576" w:lineRule="auto"/>
        <w:jc w:val="center"/>
        <w:outlineLvl w:val="0"/>
        <w:rPr>
          <w:rFonts w:ascii="Times New Roman" w:hAnsi="Times New Roman" w:eastAsia="宋体" w:cs="Times New Roman"/>
          <w:b/>
          <w:bCs/>
          <w:color w:val="auto"/>
          <w:kern w:val="44"/>
          <w:sz w:val="44"/>
          <w:szCs w:val="44"/>
          <w:highlight w:val="none"/>
        </w:rPr>
      </w:pPr>
      <w:bookmarkStart w:id="10" w:name="_Toc152045526"/>
      <w:bookmarkStart w:id="11" w:name="_Toc216681820"/>
      <w:bookmarkStart w:id="12" w:name="_Toc247513949"/>
      <w:bookmarkStart w:id="13" w:name="_Toc144974494"/>
      <w:bookmarkStart w:id="14" w:name="_Toc247527550"/>
      <w:bookmarkStart w:id="15" w:name="_Toc152042302"/>
      <w:r>
        <w:rPr>
          <w:rFonts w:hint="eastAsia" w:ascii="Times New Roman" w:hAnsi="Times New Roman" w:eastAsia="宋体" w:cs="Times New Roman"/>
          <w:b/>
          <w:bCs/>
          <w:color w:val="auto"/>
          <w:kern w:val="44"/>
          <w:sz w:val="44"/>
          <w:szCs w:val="44"/>
          <w:highlight w:val="none"/>
        </w:rPr>
        <w:t>第一章 招标公告</w:t>
      </w:r>
      <w:bookmarkEnd w:id="10"/>
      <w:bookmarkEnd w:id="11"/>
      <w:bookmarkEnd w:id="12"/>
      <w:bookmarkEnd w:id="13"/>
      <w:bookmarkEnd w:id="14"/>
      <w:bookmarkEnd w:id="15"/>
    </w:p>
    <w:p>
      <w:pPr>
        <w:autoSpaceDE w:val="0"/>
        <w:autoSpaceDN w:val="0"/>
        <w:adjustRightInd w:val="0"/>
        <w:ind w:left="420"/>
        <w:jc w:val="center"/>
        <w:rPr>
          <w:rFonts w:ascii="宋体" w:hAnsi="宋体" w:eastAsia="宋体" w:cs="黑体"/>
          <w:color w:val="auto"/>
          <w:kern w:val="0"/>
          <w:sz w:val="24"/>
          <w:szCs w:val="24"/>
          <w:highlight w:val="none"/>
          <w:u w:val="single"/>
        </w:rPr>
      </w:pPr>
      <w:r>
        <w:rPr>
          <w:rFonts w:hint="eastAsia" w:ascii="宋体" w:hAnsi="宋体" w:eastAsia="宋体" w:cs="黑体"/>
          <w:color w:val="auto"/>
          <w:kern w:val="0"/>
          <w:sz w:val="24"/>
          <w:szCs w:val="24"/>
          <w:highlight w:val="none"/>
          <w:u w:val="single"/>
        </w:rPr>
        <w:t>普洱市主城区火车站片区排水防涝地下管网及设施建设项目</w:t>
      </w:r>
      <w:r>
        <w:rPr>
          <w:rFonts w:hint="eastAsia" w:ascii="宋体" w:hAnsi="宋体" w:eastAsia="宋体" w:cs="黑体"/>
          <w:color w:val="auto"/>
          <w:kern w:val="0"/>
          <w:sz w:val="24"/>
          <w:szCs w:val="24"/>
          <w:highlight w:val="none"/>
          <w:u w:val="single"/>
        </w:rPr>
        <w:t>（一期）</w:t>
      </w:r>
    </w:p>
    <w:p>
      <w:pPr>
        <w:autoSpaceDE w:val="0"/>
        <w:autoSpaceDN w:val="0"/>
        <w:adjustRightInd w:val="0"/>
        <w:ind w:left="420"/>
        <w:jc w:val="center"/>
        <w:rPr>
          <w:rFonts w:ascii="宋体" w:hAnsi="Times New Roman" w:eastAsia="黑体" w:cs="宋体"/>
          <w:color w:val="auto"/>
          <w:kern w:val="0"/>
          <w:sz w:val="20"/>
          <w:szCs w:val="20"/>
          <w:highlight w:val="none"/>
        </w:rPr>
      </w:pPr>
      <w:r>
        <w:rPr>
          <w:rFonts w:hint="eastAsia" w:ascii="宋体" w:hAnsi="宋体" w:eastAsia="宋体" w:cs="黑体"/>
          <w:color w:val="auto"/>
          <w:kern w:val="0"/>
          <w:sz w:val="24"/>
          <w:szCs w:val="24"/>
          <w:highlight w:val="none"/>
        </w:rPr>
        <w:t>工程总承包</w:t>
      </w:r>
      <w:r>
        <w:rPr>
          <w:rFonts w:hint="eastAsia" w:ascii="宋体" w:hAnsi="宋体" w:eastAsia="宋体" w:cs="黑体"/>
          <w:color w:val="auto"/>
          <w:kern w:val="0"/>
          <w:sz w:val="24"/>
          <w:szCs w:val="24"/>
          <w:highlight w:val="none"/>
        </w:rPr>
        <w:t>招标公告</w:t>
      </w:r>
    </w:p>
    <w:p>
      <w:pPr>
        <w:keepNext/>
        <w:keepLines/>
        <w:spacing w:before="260" w:after="260" w:line="300" w:lineRule="exact"/>
        <w:outlineLvl w:val="1"/>
        <w:rPr>
          <w:rFonts w:ascii="宋体" w:hAnsi="宋体" w:eastAsia="宋体" w:cs="Times New Roman"/>
          <w:b/>
          <w:bCs/>
          <w:color w:val="auto"/>
          <w:sz w:val="24"/>
          <w:szCs w:val="24"/>
          <w:highlight w:val="none"/>
        </w:rPr>
      </w:pPr>
      <w:bookmarkStart w:id="16" w:name="_Toc12257236"/>
      <w:bookmarkStart w:id="17" w:name="_Toc187219893"/>
      <w:bookmarkStart w:id="18" w:name="_Toc340154912"/>
      <w:bookmarkStart w:id="19" w:name="_Toc216681821"/>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．招标条件</w:t>
      </w:r>
      <w:bookmarkEnd w:id="16"/>
      <w:bookmarkEnd w:id="17"/>
      <w:bookmarkEnd w:id="18"/>
      <w:bookmarkEnd w:id="19"/>
      <w:r>
        <w:rPr>
          <w:rFonts w:ascii="宋体" w:hAnsi="宋体" w:eastAsia="宋体" w:cs="Times New Roman"/>
          <w:b/>
          <w:bCs/>
          <w:color w:val="auto"/>
          <w:sz w:val="24"/>
          <w:szCs w:val="24"/>
          <w:highlight w:val="none"/>
        </w:rPr>
        <w:t xml:space="preserve"> </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u w:val="single"/>
        </w:rPr>
        <w:t>普洱市主城区火车站片区排水防涝地下管网及设施建设项目</w:t>
      </w:r>
      <w:r>
        <w:rPr>
          <w:rFonts w:hint="eastAsia" w:ascii="宋体" w:hAnsi="宋体" w:eastAsia="宋体" w:cs="Times New Roman"/>
          <w:color w:val="auto"/>
          <w:kern w:val="0"/>
          <w:szCs w:val="28"/>
          <w:highlight w:val="none"/>
        </w:rPr>
        <w:t>已由</w:t>
      </w:r>
      <w:r>
        <w:rPr>
          <w:rFonts w:hint="eastAsia" w:ascii="宋体" w:hAnsi="宋体" w:eastAsia="宋体" w:cs="Times New Roman"/>
          <w:color w:val="auto"/>
          <w:kern w:val="0"/>
          <w:szCs w:val="28"/>
          <w:highlight w:val="none"/>
          <w:u w:val="single"/>
        </w:rPr>
        <w:t>普洱市思茅区发展和改革局</w:t>
      </w:r>
      <w:r>
        <w:rPr>
          <w:rFonts w:hint="eastAsia" w:ascii="宋体" w:hAnsi="宋体" w:eastAsia="宋体" w:cs="Times New Roman"/>
          <w:color w:val="auto"/>
          <w:kern w:val="0"/>
          <w:szCs w:val="28"/>
          <w:highlight w:val="none"/>
        </w:rPr>
        <w:t>以</w:t>
      </w:r>
      <w:r>
        <w:rPr>
          <w:rFonts w:hint="eastAsia" w:ascii="宋体" w:hAnsi="宋体" w:eastAsia="宋体" w:cs="Times New Roman"/>
          <w:color w:val="auto"/>
          <w:kern w:val="0"/>
          <w:szCs w:val="28"/>
          <w:highlight w:val="none"/>
          <w:u w:val="single"/>
        </w:rPr>
        <w:t>思发改发〔2023〕142号</w:t>
      </w:r>
      <w:r>
        <w:rPr>
          <w:rFonts w:hint="eastAsia" w:ascii="宋体" w:hAnsi="宋体" w:eastAsia="宋体" w:cs="Times New Roman"/>
          <w:color w:val="auto"/>
          <w:kern w:val="0"/>
          <w:szCs w:val="28"/>
          <w:highlight w:val="none"/>
        </w:rPr>
        <w:t>文件批准建设，项目代码为</w:t>
      </w:r>
      <w:r>
        <w:rPr>
          <w:rFonts w:hint="eastAsia" w:ascii="宋体" w:hAnsi="宋体" w:eastAsia="宋体" w:cs="Times New Roman"/>
          <w:color w:val="auto"/>
          <w:kern w:val="0"/>
          <w:szCs w:val="28"/>
          <w:highlight w:val="none"/>
          <w:u w:val="single"/>
        </w:rPr>
        <w:t>2311-530802-04-01-449628</w:t>
      </w:r>
      <w:r>
        <w:rPr>
          <w:rFonts w:hint="eastAsia" w:ascii="宋体" w:hAnsi="宋体" w:eastAsia="宋体" w:cs="Times New Roman"/>
          <w:color w:val="auto"/>
          <w:kern w:val="0"/>
          <w:szCs w:val="28"/>
          <w:highlight w:val="none"/>
        </w:rPr>
        <w:t>，</w:t>
      </w:r>
      <w:r>
        <w:rPr>
          <w:rFonts w:hint="eastAsia" w:ascii="宋体" w:hAnsi="宋体" w:eastAsia="宋体" w:cs="Times New Roman"/>
          <w:color w:val="auto"/>
          <w:kern w:val="0"/>
          <w:szCs w:val="28"/>
          <w:highlight w:val="none"/>
        </w:rPr>
        <w:t>建设资金来自</w:t>
      </w:r>
      <w:r>
        <w:rPr>
          <w:rFonts w:hint="eastAsia" w:ascii="宋体" w:hAnsi="宋体" w:eastAsia="宋体" w:cs="Times New Roman"/>
          <w:color w:val="auto"/>
          <w:kern w:val="0"/>
          <w:szCs w:val="28"/>
          <w:highlight w:val="none"/>
          <w:u w:val="single"/>
        </w:rPr>
        <w:t>争取上级资金、地方配套和自筹</w:t>
      </w:r>
      <w:r>
        <w:rPr>
          <w:rFonts w:hint="eastAsia" w:ascii="宋体" w:hAnsi="宋体" w:eastAsia="宋体" w:cs="Times New Roman"/>
          <w:color w:val="auto"/>
          <w:kern w:val="0"/>
          <w:szCs w:val="28"/>
          <w:highlight w:val="none"/>
        </w:rPr>
        <w:t>，招标人为</w:t>
      </w:r>
      <w:r>
        <w:rPr>
          <w:rFonts w:hint="eastAsia" w:ascii="宋体" w:hAnsi="宋体" w:eastAsia="宋体" w:cs="Times New Roman"/>
          <w:color w:val="auto"/>
          <w:kern w:val="0"/>
          <w:szCs w:val="28"/>
          <w:highlight w:val="none"/>
          <w:u w:val="single"/>
        </w:rPr>
        <w:t>普洱源洌环境治理有限公司</w:t>
      </w:r>
      <w:r>
        <w:rPr>
          <w:rFonts w:hint="eastAsia" w:ascii="宋体" w:hAnsi="宋体" w:eastAsia="宋体" w:cs="Times New Roman"/>
          <w:color w:val="auto"/>
          <w:kern w:val="0"/>
          <w:szCs w:val="28"/>
          <w:highlight w:val="none"/>
        </w:rPr>
        <w:t>，招标代理机构为</w:t>
      </w:r>
      <w:r>
        <w:rPr>
          <w:rFonts w:hint="eastAsia" w:ascii="宋体" w:hAnsi="宋体" w:eastAsia="宋体" w:cs="Times New Roman"/>
          <w:color w:val="auto"/>
          <w:kern w:val="0"/>
          <w:szCs w:val="28"/>
          <w:highlight w:val="none"/>
          <w:u w:val="single"/>
        </w:rPr>
        <w:t>普洱市普平工程招标有限责任公司</w:t>
      </w:r>
      <w:r>
        <w:rPr>
          <w:rFonts w:hint="eastAsia" w:ascii="宋体" w:hAnsi="宋体" w:eastAsia="宋体" w:cs="Times New Roman"/>
          <w:color w:val="auto"/>
          <w:kern w:val="0"/>
          <w:szCs w:val="28"/>
          <w:highlight w:val="none"/>
        </w:rPr>
        <w:t>。项目已具备招标条件，现对该项目的</w:t>
      </w:r>
      <w:r>
        <w:rPr>
          <w:rFonts w:hint="eastAsia" w:ascii="宋体" w:hAnsi="宋体" w:eastAsia="宋体" w:cs="Times New Roman"/>
          <w:color w:val="auto"/>
          <w:kern w:val="0"/>
          <w:szCs w:val="28"/>
          <w:highlight w:val="none"/>
          <w:u w:val="single"/>
        </w:rPr>
        <w:t>普洱市主城区火车站片区排水防涝地下管网及设施建设项目（一期）</w:t>
      </w:r>
      <w:r>
        <w:rPr>
          <w:rFonts w:hint="eastAsia" w:ascii="宋体" w:hAnsi="宋体" w:eastAsia="宋体" w:cs="Times New Roman"/>
          <w:color w:val="auto"/>
          <w:kern w:val="0"/>
          <w:szCs w:val="28"/>
          <w:highlight w:val="none"/>
        </w:rPr>
        <w:t>工程总承包进行公开招标。</w:t>
      </w:r>
    </w:p>
    <w:p>
      <w:pPr>
        <w:keepNext/>
        <w:keepLines/>
        <w:spacing w:before="260" w:after="260" w:line="300" w:lineRule="exact"/>
        <w:outlineLvl w:val="1"/>
        <w:rPr>
          <w:rFonts w:ascii="宋体" w:hAnsi="宋体" w:eastAsia="宋体" w:cs="Times New Roman"/>
          <w:b/>
          <w:bCs/>
          <w:color w:val="auto"/>
          <w:sz w:val="24"/>
          <w:szCs w:val="24"/>
          <w:highlight w:val="none"/>
        </w:rPr>
      </w:pPr>
      <w:bookmarkStart w:id="20" w:name="_Toc12257237"/>
      <w:bookmarkStart w:id="21" w:name="_Toc340154913"/>
      <w:bookmarkStart w:id="22" w:name="_Toc216681822"/>
      <w:bookmarkStart w:id="23" w:name="_Toc187219894"/>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．项目概况与招标范围</w:t>
      </w:r>
      <w:bookmarkEnd w:id="20"/>
      <w:bookmarkEnd w:id="21"/>
      <w:bookmarkEnd w:id="22"/>
      <w:bookmarkEnd w:id="23"/>
      <w:r>
        <w:rPr>
          <w:rFonts w:ascii="宋体" w:hAnsi="宋体" w:eastAsia="宋体" w:cs="Times New Roman"/>
          <w:b/>
          <w:bCs/>
          <w:color w:val="auto"/>
          <w:sz w:val="24"/>
          <w:szCs w:val="24"/>
          <w:highlight w:val="none"/>
        </w:rPr>
        <w:t xml:space="preserve"> </w:t>
      </w:r>
    </w:p>
    <w:p>
      <w:pPr>
        <w:adjustRightInd w:val="0"/>
        <w:snapToGrid w:val="0"/>
        <w:spacing w:line="360" w:lineRule="auto"/>
        <w:jc w:val="left"/>
        <w:rPr>
          <w:rFonts w:ascii="宋体" w:hAnsi="宋体" w:eastAsia="宋体" w:cs="Times New Roman"/>
          <w:color w:val="auto"/>
          <w:kern w:val="0"/>
          <w:szCs w:val="28"/>
          <w:highlight w:val="none"/>
        </w:rPr>
      </w:pPr>
      <w:bookmarkStart w:id="24" w:name="_Toc187219895"/>
      <w:r>
        <w:rPr>
          <w:rFonts w:hint="eastAsia" w:ascii="宋体" w:hAnsi="宋体" w:eastAsia="宋体" w:cs="Times New Roman"/>
          <w:color w:val="auto"/>
          <w:kern w:val="0"/>
          <w:szCs w:val="28"/>
          <w:highlight w:val="none"/>
        </w:rPr>
        <w:t>（1）项目名称：普洱市主城区火车站片区排水防涝地下管网及设施建设项目。</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（2）招标项目名称：</w:t>
      </w:r>
      <w:r>
        <w:rPr>
          <w:rFonts w:hint="eastAsia" w:ascii="宋体" w:hAnsi="宋体" w:eastAsia="宋体" w:cs="Times New Roman"/>
          <w:color w:val="auto"/>
          <w:kern w:val="0"/>
          <w:szCs w:val="28"/>
          <w:highlight w:val="none"/>
        </w:rPr>
        <w:t>普洱市主城区火车站片区排水防涝地下管网及设施建设项目</w:t>
      </w:r>
      <w:r>
        <w:rPr>
          <w:rFonts w:hint="eastAsia" w:ascii="宋体" w:hAnsi="宋体" w:eastAsia="宋体" w:cs="Times New Roman"/>
          <w:color w:val="auto"/>
          <w:kern w:val="0"/>
          <w:szCs w:val="28"/>
          <w:highlight w:val="none"/>
        </w:rPr>
        <w:t>（一期）</w:t>
      </w:r>
      <w:r>
        <w:rPr>
          <w:rFonts w:hint="eastAsia" w:ascii="宋体" w:hAnsi="宋体" w:eastAsia="宋体" w:cs="Times New Roman"/>
          <w:color w:val="auto"/>
          <w:kern w:val="0"/>
          <w:szCs w:val="28"/>
          <w:highlight w:val="none"/>
        </w:rPr>
        <w:t>工程总承包</w:t>
      </w:r>
      <w:r>
        <w:rPr>
          <w:rFonts w:hint="eastAsia" w:ascii="宋体" w:hAnsi="宋体" w:eastAsia="宋体" w:cs="Times New Roman"/>
          <w:color w:val="auto"/>
          <w:kern w:val="0"/>
          <w:szCs w:val="28"/>
          <w:highlight w:val="none"/>
        </w:rPr>
        <w:t>。</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（3）标段划分：本招标项目不分标段。</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（4）工程地点：</w:t>
      </w:r>
      <w:r>
        <w:rPr>
          <w:rFonts w:hint="eastAsia" w:ascii="宋体" w:hAnsi="宋体" w:eastAsia="宋体" w:cs="Times New Roman"/>
          <w:color w:val="auto"/>
          <w:kern w:val="0"/>
          <w:szCs w:val="28"/>
          <w:highlight w:val="none"/>
        </w:rPr>
        <w:t>普洱市思茅区主城区。</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（5）资金来源：</w:t>
      </w:r>
      <w:r>
        <w:rPr>
          <w:rFonts w:hint="eastAsia" w:ascii="宋体" w:hAnsi="宋体" w:eastAsia="宋体" w:cs="Times New Roman"/>
          <w:color w:val="auto"/>
          <w:kern w:val="0"/>
          <w:szCs w:val="28"/>
          <w:highlight w:val="none"/>
        </w:rPr>
        <w:t>争取上级资金、地方配套和自筹</w:t>
      </w:r>
      <w:r>
        <w:rPr>
          <w:rFonts w:hint="eastAsia" w:ascii="宋体" w:hAnsi="宋体" w:eastAsia="宋体" w:cs="Times New Roman"/>
          <w:color w:val="auto"/>
          <w:kern w:val="0"/>
          <w:szCs w:val="28"/>
          <w:highlight w:val="none"/>
        </w:rPr>
        <w:t>。</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（6）建设内容及规模：</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普洱市主城区火车站片区排水防涝地下管网及设施建设项目概算总投资12922.71万元，其中建安工程费11054.22万元。</w:t>
      </w:r>
      <w:r>
        <w:rPr>
          <w:rFonts w:hint="eastAsia" w:ascii="宋体" w:hAnsi="宋体" w:eastAsia="宋体" w:cs="Times New Roman"/>
          <w:color w:val="auto"/>
          <w:kern w:val="0"/>
          <w:szCs w:val="28"/>
          <w:highlight w:val="none"/>
        </w:rPr>
        <w:t>本期招标一期项目，建安工程费</w:t>
      </w:r>
      <w:r>
        <w:rPr>
          <w:rFonts w:ascii="宋体" w:hAnsi="宋体" w:eastAsia="宋体" w:cs="Times New Roman"/>
          <w:color w:val="auto"/>
          <w:kern w:val="0"/>
          <w:szCs w:val="28"/>
          <w:highlight w:val="none"/>
        </w:rPr>
        <w:t>10061.3</w:t>
      </w:r>
      <w:r>
        <w:rPr>
          <w:rFonts w:hint="eastAsia" w:ascii="宋体" w:hAnsi="宋体" w:eastAsia="宋体" w:cs="Times New Roman"/>
          <w:color w:val="auto"/>
          <w:kern w:val="0"/>
          <w:szCs w:val="28"/>
          <w:highlight w:val="none"/>
        </w:rPr>
        <w:t>万元。本期招标实施</w:t>
      </w:r>
      <w:r>
        <w:rPr>
          <w:rFonts w:hint="eastAsia" w:ascii="宋体" w:hAnsi="宋体" w:eastAsia="宋体" w:cs="Times New Roman"/>
          <w:color w:val="auto"/>
          <w:kern w:val="0"/>
          <w:szCs w:val="28"/>
          <w:highlight w:val="none"/>
        </w:rPr>
        <w:t>工程建设内容：</w:t>
      </w:r>
    </w:p>
    <w:p>
      <w:pPr>
        <w:adjustRightInd w:val="0"/>
        <w:snapToGrid w:val="0"/>
        <w:spacing w:line="360" w:lineRule="auto"/>
        <w:ind w:firstLine="315" w:firstLineChars="150"/>
        <w:jc w:val="left"/>
        <w:rPr>
          <w:rFonts w:ascii="宋体" w:hAnsi="宋体"/>
          <w:color w:val="auto"/>
          <w:kern w:val="0"/>
          <w:szCs w:val="28"/>
          <w:highlight w:val="none"/>
        </w:rPr>
      </w:pPr>
      <w:r>
        <w:rPr>
          <w:rFonts w:hint="eastAsia" w:ascii="宋体" w:hAnsi="宋体"/>
          <w:color w:val="auto"/>
          <w:kern w:val="0"/>
          <w:szCs w:val="28"/>
          <w:highlight w:val="none"/>
        </w:rPr>
        <w:t>①前路东侧排涝通道</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新建断面1.8m×1.5m钢筋混凝土排水沟共32.66m、DN1500钢筋混凝土管明挖埋管长89.37m，DN1500钢筋混凝土管顶管长211.79m，断面2-2.0×1.0m钢筋混凝土箱涵70m，2.0×0.8m钢筋混凝土排水沟181.65m，并配套建设钢筋混凝土检查井等排水构筑物。</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②机场左河排涝通道建设</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机场左河清淤长度约2.70km，原3.0m×2.0m箱涵扩建为2-3.0m×2.0m，共5处60m。</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③普洱市紧急救援中心排涝通道</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新建断面1.0×1.0m钢筋混凝土排水沟426.11m，1.2×1.2m钢筋混凝土排水沟530m，DN1000钢筋混凝土管长163m，DN1500钢筋混凝土管长191.50m，DN1650钢筋混凝土管长452.90m，DN500球墨铸铁排水管长450.80m，并配套建设钢筋混凝土检查井等排水构筑物。</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④刀官寨北侧排水管网</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新建DN1200钢筋混凝土管长258.18m，DN315聚乙烯PE管长204m，并配套建设钢筋混凝土检查井等排水构筑物。</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⑤普洱南收费站北侧排涝通道</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新建断面2.0×2.0m混凝土排水沟738.1m。</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⑥龙生路沿线排涝通道</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新建断面2-3.0×2.0m双孔钢筋混凝土箱涵930m，2.0×1.5m单孔钢筋混凝土箱涵684.20m，2.5×1.5m单孔钢筋混凝土箱涵276.50m，新建一座节制闸；新建0.6×0.6m路面截水沟60m；DN500球墨铸铁排水管长635.70m，DN600球墨铸铁排水管长1232.90m；现状0.8×0.8m盖板沟原位扩建至1.2×1.0m长255.30m，新建DN600钢筋混凝土管长295.82m；排口上下游思茅河清淤1.0km，农场河、老杨箐河沿线清淤长度3.9km，配套建设钢筋混凝土检查井等排水构筑物。</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⑦文化中心西侧排涝通道</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新建DN1200钢筋混凝土管142.81m，断面1.5×1.0m钢筋混凝土沟495.32m，并配套建设钢筋混凝土检查井等排水构筑物。</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⑧思茅河机场生活区东侧排涝通道改造。</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疏通思茅河机场生活区东侧河道，恢复思茅河设计河道断面。</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⑨具体建设内容以最终审批的设计方案为准。</w:t>
      </w:r>
    </w:p>
    <w:p>
      <w:pPr>
        <w:pStyle w:val="2"/>
        <w:rPr>
          <w:color w:val="auto"/>
          <w:highlight w:val="none"/>
        </w:rPr>
      </w:pP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（7）招标范围：普洱市主城区火车站片区排水防涝地下管网及设施建设项目</w:t>
      </w:r>
      <w:r>
        <w:rPr>
          <w:rFonts w:hint="eastAsia" w:ascii="宋体" w:hAnsi="宋体" w:eastAsia="宋体" w:cs="Times New Roman"/>
          <w:color w:val="auto"/>
          <w:kern w:val="0"/>
          <w:szCs w:val="28"/>
          <w:highlight w:val="none"/>
        </w:rPr>
        <w:t>（一期）</w:t>
      </w:r>
      <w:r>
        <w:rPr>
          <w:rFonts w:hint="eastAsia" w:ascii="宋体" w:hAnsi="宋体" w:eastAsia="宋体" w:cs="Times New Roman"/>
          <w:color w:val="auto"/>
          <w:kern w:val="0"/>
          <w:szCs w:val="28"/>
          <w:highlight w:val="none"/>
        </w:rPr>
        <w:t>的设计、施工、采购及相关服务，包括：</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①设计：</w:t>
      </w:r>
      <w:r>
        <w:rPr>
          <w:rFonts w:hint="eastAsia" w:ascii="宋体" w:hAnsi="宋体" w:eastAsia="宋体" w:cs="Times New Roman"/>
          <w:color w:val="auto"/>
          <w:kern w:val="0"/>
          <w:szCs w:val="28"/>
          <w:highlight w:val="none"/>
        </w:rPr>
        <w:t>优化设计方案、</w:t>
      </w:r>
      <w:r>
        <w:rPr>
          <w:rFonts w:hint="eastAsia" w:ascii="宋体" w:hAnsi="宋体" w:eastAsia="宋体" w:cs="Times New Roman"/>
          <w:color w:val="auto"/>
          <w:kern w:val="0"/>
          <w:szCs w:val="28"/>
          <w:highlight w:val="none"/>
        </w:rPr>
        <w:t>施工图设计、施工阶段</w:t>
      </w:r>
      <w:r>
        <w:rPr>
          <w:rFonts w:hint="eastAsia" w:ascii="宋体" w:hAnsi="宋体" w:eastAsia="宋体" w:cs="Times New Roman"/>
          <w:color w:val="auto"/>
          <w:kern w:val="0"/>
          <w:szCs w:val="28"/>
          <w:highlight w:val="none"/>
        </w:rPr>
        <w:t>及缺陷责任期</w:t>
      </w:r>
      <w:r>
        <w:rPr>
          <w:rFonts w:hint="eastAsia" w:ascii="宋体" w:hAnsi="宋体" w:eastAsia="宋体" w:cs="Times New Roman"/>
          <w:color w:val="auto"/>
          <w:kern w:val="0"/>
          <w:szCs w:val="28"/>
          <w:highlight w:val="none"/>
        </w:rPr>
        <w:t>服务。。</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②施工：施工图范围</w:t>
      </w:r>
      <w:r>
        <w:rPr>
          <w:rFonts w:hint="eastAsia" w:ascii="宋体" w:hAnsi="宋体" w:eastAsia="宋体" w:cs="Times New Roman"/>
          <w:color w:val="auto"/>
          <w:kern w:val="0"/>
          <w:szCs w:val="28"/>
          <w:highlight w:val="none"/>
        </w:rPr>
        <w:t>及发包人确定的变更</w:t>
      </w:r>
      <w:r>
        <w:rPr>
          <w:rFonts w:hint="eastAsia" w:ascii="宋体" w:hAnsi="宋体" w:eastAsia="宋体" w:cs="Times New Roman"/>
          <w:color w:val="auto"/>
          <w:kern w:val="0"/>
          <w:szCs w:val="28"/>
          <w:highlight w:val="none"/>
        </w:rPr>
        <w:t>工程施工、竣工验收、质量缺陷责任期内的缺陷修复、保修等相关工作。</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（8）计划工期：</w:t>
      </w:r>
      <w:r>
        <w:rPr>
          <w:rFonts w:hint="eastAsia" w:ascii="宋体" w:hAnsi="宋体" w:eastAsia="宋体" w:cs="Times New Roman"/>
          <w:color w:val="auto"/>
          <w:kern w:val="0"/>
          <w:szCs w:val="28"/>
          <w:highlight w:val="none"/>
        </w:rPr>
        <w:t>计划工期总日历天数</w:t>
      </w:r>
      <w:r>
        <w:rPr>
          <w:rFonts w:hint="eastAsia" w:ascii="宋体" w:hAnsi="宋体" w:eastAsia="宋体" w:cs="Times New Roman"/>
          <w:color w:val="auto"/>
          <w:kern w:val="0"/>
          <w:szCs w:val="28"/>
          <w:highlight w:val="none"/>
        </w:rPr>
        <w:t>为</w:t>
      </w:r>
      <w:r>
        <w:rPr>
          <w:rFonts w:hint="eastAsia" w:ascii="宋体" w:hAnsi="宋体" w:eastAsia="宋体" w:cs="Times New Roman"/>
          <w:color w:val="auto"/>
          <w:kern w:val="0"/>
          <w:szCs w:val="28"/>
          <w:highlight w:val="none"/>
          <w:u w:val="single"/>
        </w:rPr>
        <w:t>420</w:t>
      </w:r>
      <w:r>
        <w:rPr>
          <w:rFonts w:hint="eastAsia" w:ascii="宋体" w:hAnsi="宋体" w:eastAsia="宋体" w:cs="Times New Roman"/>
          <w:color w:val="auto"/>
          <w:kern w:val="0"/>
          <w:szCs w:val="28"/>
          <w:highlight w:val="none"/>
        </w:rPr>
        <w:t>日历天</w:t>
      </w:r>
      <w:r>
        <w:rPr>
          <w:rFonts w:hint="eastAsia" w:ascii="宋体" w:hAnsi="宋体" w:eastAsia="宋体" w:cs="Times New Roman"/>
          <w:color w:val="auto"/>
          <w:kern w:val="0"/>
          <w:szCs w:val="28"/>
          <w:highlight w:val="none"/>
        </w:rPr>
        <w:t>。</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（9）合同估算价：</w:t>
      </w:r>
      <w:r>
        <w:rPr>
          <w:rFonts w:hint="eastAsia" w:ascii="宋体" w:hAnsi="宋体" w:eastAsia="宋体" w:cs="Times New Roman"/>
          <w:color w:val="auto"/>
          <w:kern w:val="0"/>
          <w:szCs w:val="28"/>
          <w:highlight w:val="none"/>
        </w:rPr>
        <w:t>合同估算</w:t>
      </w:r>
      <w:r>
        <w:rPr>
          <w:rFonts w:hint="eastAsia" w:ascii="宋体" w:hAnsi="宋体" w:eastAsia="宋体" w:cs="Times New Roman"/>
          <w:color w:val="auto"/>
          <w:kern w:val="0"/>
          <w:szCs w:val="28"/>
          <w:highlight w:val="none"/>
        </w:rPr>
        <w:t>价10191.09万元，</w:t>
      </w:r>
      <w:r>
        <w:rPr>
          <w:rFonts w:hint="eastAsia" w:ascii="宋体" w:hAnsi="宋体" w:eastAsia="宋体" w:cs="Times New Roman"/>
          <w:color w:val="auto"/>
          <w:kern w:val="0"/>
          <w:szCs w:val="28"/>
          <w:highlight w:val="none"/>
        </w:rPr>
        <w:t>其中，设计费估算价</w:t>
      </w:r>
      <w:r>
        <w:rPr>
          <w:rFonts w:hint="eastAsia" w:ascii="宋体" w:hAnsi="宋体" w:eastAsia="宋体" w:cs="Times New Roman"/>
          <w:color w:val="auto"/>
          <w:kern w:val="0"/>
          <w:szCs w:val="28"/>
          <w:highlight w:val="none"/>
        </w:rPr>
        <w:t>129.79万元，</w:t>
      </w:r>
      <w:r>
        <w:rPr>
          <w:rFonts w:hint="eastAsia" w:ascii="宋体" w:hAnsi="宋体" w:eastAsia="宋体" w:cs="Times New Roman"/>
          <w:color w:val="auto"/>
          <w:kern w:val="0"/>
          <w:szCs w:val="28"/>
          <w:highlight w:val="none"/>
        </w:rPr>
        <w:t>建筑安装工程费估算</w:t>
      </w:r>
      <w:r>
        <w:rPr>
          <w:rFonts w:hint="eastAsia" w:ascii="宋体" w:hAnsi="宋体" w:eastAsia="宋体" w:cs="Times New Roman"/>
          <w:color w:val="auto"/>
          <w:kern w:val="0"/>
          <w:szCs w:val="28"/>
          <w:highlight w:val="none"/>
        </w:rPr>
        <w:t>价</w:t>
      </w:r>
      <w:r>
        <w:rPr>
          <w:rFonts w:ascii="宋体" w:hAnsi="宋体" w:eastAsia="宋体" w:cs="Times New Roman"/>
          <w:color w:val="auto"/>
          <w:kern w:val="0"/>
          <w:szCs w:val="28"/>
          <w:highlight w:val="none"/>
        </w:rPr>
        <w:t>10061.3</w:t>
      </w:r>
      <w:r>
        <w:rPr>
          <w:rFonts w:hint="eastAsia" w:ascii="宋体" w:hAnsi="宋体" w:eastAsia="宋体" w:cs="Times New Roman"/>
          <w:color w:val="auto"/>
          <w:kern w:val="0"/>
          <w:szCs w:val="28"/>
          <w:highlight w:val="none"/>
        </w:rPr>
        <w:t>万元</w:t>
      </w:r>
      <w:r>
        <w:rPr>
          <w:rFonts w:hint="eastAsia" w:ascii="宋体" w:hAnsi="宋体" w:eastAsia="宋体" w:cs="Times New Roman"/>
          <w:color w:val="auto"/>
          <w:kern w:val="0"/>
          <w:szCs w:val="28"/>
          <w:highlight w:val="none"/>
        </w:rPr>
        <w:t>。</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①设计的质量要求：设计成果满足现行《建筑工程设计文件编制深度规定》及现行国家标准、规范和强制性条文并满足招标人就本项目设计提出的要求，并且通过相应审查。</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②施工的质量要求：符合现行国家工程施工质量验收规范合格标准。</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③其他要求：满足功能性需求、招标人及行政职能部门的审批要求。</w:t>
      </w:r>
    </w:p>
    <w:p>
      <w:pPr>
        <w:pStyle w:val="2"/>
        <w:rPr>
          <w:color w:val="auto"/>
          <w:highlight w:val="none"/>
        </w:rPr>
      </w:pPr>
    </w:p>
    <w:p>
      <w:pPr>
        <w:keepNext/>
        <w:keepLines/>
        <w:spacing w:before="260" w:after="260" w:line="300" w:lineRule="exact"/>
        <w:outlineLvl w:val="1"/>
        <w:rPr>
          <w:rFonts w:ascii="宋体" w:hAnsi="宋体" w:eastAsia="宋体" w:cs="Times New Roman"/>
          <w:b/>
          <w:bCs/>
          <w:color w:val="auto"/>
          <w:sz w:val="24"/>
          <w:szCs w:val="24"/>
          <w:highlight w:val="none"/>
        </w:rPr>
      </w:pPr>
      <w:bookmarkStart w:id="25" w:name="_Toc216681823"/>
      <w:bookmarkStart w:id="26" w:name="_Toc340154914"/>
      <w:bookmarkStart w:id="27" w:name="_Toc12257238"/>
      <w:r>
        <w:rPr>
          <w:rFonts w:ascii="宋体" w:hAnsi="宋体" w:eastAsia="宋体" w:cs="Times New Roman"/>
          <w:b/>
          <w:bCs/>
          <w:color w:val="auto"/>
          <w:sz w:val="24"/>
          <w:szCs w:val="24"/>
          <w:highlight w:val="none"/>
        </w:rPr>
        <w:t>3</w:t>
      </w:r>
      <w:r>
        <w:rPr>
          <w:rFonts w:hint="eastAsia" w:ascii="宋体" w:hAnsi="宋体" w:eastAsia="宋体" w:cs="Times New Roman"/>
          <w:b/>
          <w:bCs/>
          <w:color w:val="auto"/>
          <w:sz w:val="24"/>
          <w:szCs w:val="24"/>
          <w:highlight w:val="none"/>
        </w:rPr>
        <w:t>．投标人资格要求</w:t>
      </w:r>
      <w:bookmarkEnd w:id="24"/>
      <w:bookmarkEnd w:id="25"/>
      <w:bookmarkEnd w:id="26"/>
      <w:bookmarkEnd w:id="27"/>
      <w:r>
        <w:rPr>
          <w:rFonts w:ascii="宋体" w:hAnsi="宋体" w:eastAsia="宋体" w:cs="Times New Roman"/>
          <w:b/>
          <w:bCs/>
          <w:color w:val="auto"/>
          <w:sz w:val="24"/>
          <w:szCs w:val="24"/>
          <w:highlight w:val="none"/>
        </w:rPr>
        <w:t xml:space="preserve"> </w:t>
      </w:r>
      <w:r>
        <w:rPr>
          <w:rFonts w:hint="eastAsia" w:ascii="宋体" w:hAnsi="宋体" w:eastAsia="宋体" w:cs="Times New Roman"/>
          <w:b/>
          <w:bCs/>
          <w:color w:val="auto"/>
          <w:sz w:val="24"/>
          <w:szCs w:val="24"/>
          <w:highlight w:val="none"/>
        </w:rPr>
        <w:t xml:space="preserve"> </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bookmarkStart w:id="28" w:name="_Toc187219897"/>
      <w:bookmarkStart w:id="29" w:name="_Toc187219899"/>
      <w:r>
        <w:rPr>
          <w:rFonts w:hint="eastAsia" w:ascii="宋体" w:hAnsi="宋体" w:eastAsia="宋体" w:cs="Times New Roman"/>
          <w:color w:val="auto"/>
          <w:kern w:val="0"/>
          <w:szCs w:val="28"/>
          <w:highlight w:val="none"/>
        </w:rPr>
        <w:t>3.1 资质要求（投标人须同时具备以下资质）：</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bookmarkStart w:id="30" w:name="_Hlk113522863"/>
      <w:r>
        <w:rPr>
          <w:rFonts w:hint="eastAsia" w:ascii="宋体" w:hAnsi="宋体" w:eastAsia="宋体" w:cs="Times New Roman"/>
          <w:color w:val="auto"/>
          <w:kern w:val="0"/>
          <w:szCs w:val="28"/>
          <w:highlight w:val="none"/>
        </w:rPr>
        <w:t>（1）设计资质要求：</w:t>
      </w:r>
      <w:r>
        <w:rPr>
          <w:rFonts w:hint="eastAsia" w:ascii="宋体" w:hAnsi="宋体" w:eastAsia="宋体" w:cs="Times New Roman"/>
          <w:color w:val="auto"/>
          <w:kern w:val="0"/>
          <w:szCs w:val="28"/>
          <w:highlight w:val="none"/>
        </w:rPr>
        <w:t>具备工程设计市政行业排水工程专业甲级及以上设计资质和工程设计市政行业道路工程专业乙级及以上设计资质</w:t>
      </w:r>
      <w:r>
        <w:rPr>
          <w:rFonts w:hint="eastAsia" w:ascii="宋体" w:hAnsi="宋体" w:eastAsia="宋体" w:cs="Times New Roman"/>
          <w:color w:val="auto"/>
          <w:kern w:val="0"/>
          <w:szCs w:val="28"/>
          <w:highlight w:val="none"/>
        </w:rPr>
        <w:t>。</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（2）施工资质要求：具备市政公用工程工程施工总承包二级及以上施工资质和有效安全生产许可证。</w:t>
      </w:r>
    </w:p>
    <w:bookmarkEnd w:id="30"/>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3.2  工程总承包项目经理的资格要求：</w:t>
      </w:r>
      <w:r>
        <w:rPr>
          <w:rFonts w:hint="eastAsia" w:ascii="宋体" w:hAnsi="宋体" w:eastAsia="宋体" w:cs="Times New Roman"/>
          <w:color w:val="auto"/>
          <w:kern w:val="0"/>
          <w:szCs w:val="28"/>
          <w:highlight w:val="none"/>
        </w:rPr>
        <w:t>具备市政公用工程专业一级注册建造师资格和有效的安全生产考核合格证书，并能提供劳动合同，且不得担任其他在施建设工程项目的项目经理。</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3.3  设计负责人的资格要求：</w:t>
      </w:r>
      <w:r>
        <w:rPr>
          <w:rFonts w:hint="eastAsia" w:ascii="宋体" w:hAnsi="宋体" w:eastAsia="宋体" w:cs="Times New Roman"/>
          <w:color w:val="auto"/>
          <w:kern w:val="0"/>
          <w:szCs w:val="28"/>
          <w:highlight w:val="none"/>
        </w:rPr>
        <w:t>具备注册公用设备工程师(给水排水)执业资格，并能提供劳动合同</w:t>
      </w:r>
      <w:r>
        <w:rPr>
          <w:rFonts w:hint="eastAsia" w:ascii="宋体" w:hAnsi="宋体" w:eastAsia="宋体" w:cs="Times New Roman"/>
          <w:color w:val="auto"/>
          <w:kern w:val="0"/>
          <w:szCs w:val="28"/>
          <w:highlight w:val="none"/>
        </w:rPr>
        <w:t>。</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3.4  施工负责人的资格要求：具备</w:t>
      </w:r>
      <w:r>
        <w:rPr>
          <w:rFonts w:hint="eastAsia" w:ascii="宋体" w:hAnsi="宋体" w:eastAsia="宋体" w:cs="Times New Roman"/>
          <w:color w:val="auto"/>
          <w:kern w:val="0"/>
          <w:szCs w:val="28"/>
          <w:highlight w:val="none"/>
        </w:rPr>
        <w:t>市政公用工程专业一级注册建造师资格</w:t>
      </w:r>
      <w:r>
        <w:rPr>
          <w:rFonts w:hint="eastAsia" w:ascii="宋体" w:hAnsi="宋体" w:eastAsia="宋体" w:cs="Times New Roman"/>
          <w:color w:val="auto"/>
          <w:kern w:val="0"/>
          <w:szCs w:val="28"/>
          <w:highlight w:val="none"/>
        </w:rPr>
        <w:t>和有效的安全生产考核合格证书，并能提供劳动合同。</w:t>
      </w:r>
      <w:r>
        <w:rPr>
          <w:rFonts w:hint="eastAsia" w:ascii="宋体" w:hAnsi="宋体" w:eastAsia="宋体" w:cs="Times New Roman"/>
          <w:color w:val="auto"/>
          <w:kern w:val="0"/>
          <w:szCs w:val="28"/>
          <w:highlight w:val="none"/>
        </w:rPr>
        <w:t>（工程总承包项目经理可以兼任施工负责人）</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3.5  技术负责人的资格要求：具有</w:t>
      </w:r>
      <w:r>
        <w:rPr>
          <w:rFonts w:hint="eastAsia" w:ascii="宋体" w:hAnsi="宋体" w:eastAsia="宋体" w:cs="Times New Roman"/>
          <w:color w:val="auto"/>
          <w:kern w:val="0"/>
          <w:szCs w:val="28"/>
          <w:highlight w:val="none"/>
        </w:rPr>
        <w:t>建筑工程类</w:t>
      </w:r>
      <w:r>
        <w:rPr>
          <w:rFonts w:hint="eastAsia" w:ascii="宋体" w:hAnsi="宋体" w:eastAsia="宋体" w:cs="Times New Roman"/>
          <w:color w:val="auto"/>
          <w:kern w:val="0"/>
          <w:szCs w:val="28"/>
          <w:highlight w:val="none"/>
        </w:rPr>
        <w:t>专业高级及以上职称</w:t>
      </w:r>
      <w:r>
        <w:rPr>
          <w:rFonts w:hint="eastAsia" w:ascii="宋体" w:hAnsi="宋体" w:eastAsia="宋体" w:cs="Times New Roman"/>
          <w:color w:val="auto"/>
          <w:kern w:val="0"/>
          <w:szCs w:val="28"/>
          <w:highlight w:val="none"/>
        </w:rPr>
        <w:t>，并能提供劳动合同和缴纳社会保险证明材料。</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3.6  财务要求：财务状况良好，投标人（包括联合体各成员单位）须提供2024年度经会计师事务所或审计机构审计的财务会计报表</w:t>
      </w:r>
      <w:r>
        <w:rPr>
          <w:rFonts w:hint="eastAsia" w:ascii="宋体" w:hAnsi="宋体" w:eastAsia="宋体" w:cs="Times New Roman"/>
          <w:color w:val="auto"/>
          <w:kern w:val="0"/>
          <w:szCs w:val="28"/>
          <w:highlight w:val="none"/>
        </w:rPr>
        <w:t>（注：公司成立不足一年的，提供公司财务报表及开户银行开具的资信证明相关材料）</w:t>
      </w:r>
      <w:r>
        <w:rPr>
          <w:rFonts w:hint="eastAsia" w:ascii="宋体" w:hAnsi="宋体" w:eastAsia="宋体" w:cs="Times New Roman"/>
          <w:color w:val="auto"/>
          <w:kern w:val="0"/>
          <w:szCs w:val="28"/>
          <w:highlight w:val="none"/>
        </w:rPr>
        <w:t>。</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 xml:space="preserve">3.7   信誉要求：信誉状况良好，投标人（包括联合体各成员单位）在“信用中国”网站（http：//www.creditchina.gov.cn/）中未被列入失信被执行人名单（投标人在投标截止时间前5日内查询，将查询结果网页截图附于投标文件中。在“信用中国”网站查询时，如被链接到“中国执行信息公开网”，按照链接的网页查询，并截图）。 </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3.8   业绩要求：/。</w:t>
      </w:r>
    </w:p>
    <w:p>
      <w:pPr>
        <w:adjustRightInd w:val="0"/>
        <w:snapToGrid w:val="0"/>
        <w:spacing w:line="360" w:lineRule="auto"/>
        <w:ind w:firstLine="420" w:firstLineChars="200"/>
        <w:jc w:val="left"/>
        <w:rPr>
          <w:color w:val="auto"/>
          <w:highlight w:val="none"/>
        </w:rPr>
      </w:pPr>
      <w:r>
        <w:rPr>
          <w:rFonts w:hint="eastAsia" w:ascii="宋体" w:hAnsi="宋体" w:eastAsia="宋体" w:cs="Times New Roman"/>
          <w:color w:val="auto"/>
          <w:kern w:val="0"/>
          <w:szCs w:val="28"/>
          <w:highlight w:val="none"/>
        </w:rPr>
        <w:t>3.9  本次招标</w:t>
      </w:r>
      <w:r>
        <w:rPr>
          <w:rFonts w:hint="eastAsia" w:ascii="宋体" w:hAnsi="宋体" w:eastAsia="宋体" w:cs="Times New Roman"/>
          <w:color w:val="auto"/>
          <w:kern w:val="0"/>
          <w:szCs w:val="28"/>
          <w:highlight w:val="none"/>
          <w:u w:val="single"/>
        </w:rPr>
        <w:t xml:space="preserve"> 接受  </w:t>
      </w:r>
      <w:r>
        <w:rPr>
          <w:rFonts w:hint="eastAsia" w:ascii="宋体" w:hAnsi="宋体" w:eastAsia="宋体" w:cs="Times New Roman"/>
          <w:color w:val="auto"/>
          <w:kern w:val="0"/>
          <w:szCs w:val="28"/>
          <w:highlight w:val="none"/>
        </w:rPr>
        <w:t>联合体投标。联合体投标的，应满足下列要求：</w:t>
      </w:r>
      <w:r>
        <w:rPr>
          <w:rFonts w:hint="eastAsia" w:ascii="宋体" w:hAnsi="宋体" w:eastAsia="宋体" w:cs="Times New Roman"/>
          <w:color w:val="auto"/>
          <w:kern w:val="0"/>
          <w:szCs w:val="28"/>
          <w:highlight w:val="none"/>
          <w:u w:val="single"/>
        </w:rPr>
        <w:t>联合体成员单位不能超过三家，联合体牵头人必须是承担施工主要业务的成员单位</w:t>
      </w:r>
      <w:r>
        <w:rPr>
          <w:rFonts w:hint="eastAsia" w:ascii="宋体" w:hAnsi="宋体" w:eastAsia="宋体" w:cs="Times New Roman"/>
          <w:color w:val="auto"/>
          <w:kern w:val="0"/>
          <w:szCs w:val="28"/>
          <w:highlight w:val="none"/>
        </w:rPr>
        <w:t>。</w:t>
      </w:r>
      <w:r>
        <w:rPr>
          <w:rFonts w:hint="eastAsia" w:ascii="宋体" w:hAnsi="宋体" w:eastAsia="宋体" w:cs="Times New Roman"/>
          <w:color w:val="auto"/>
          <w:kern w:val="0"/>
          <w:szCs w:val="28"/>
          <w:highlight w:val="none"/>
        </w:rPr>
        <w:t xml:space="preserve">  </w:t>
      </w:r>
    </w:p>
    <w:p>
      <w:pPr>
        <w:keepNext/>
        <w:keepLines/>
        <w:spacing w:before="260" w:after="260" w:line="300" w:lineRule="exact"/>
        <w:outlineLvl w:val="1"/>
        <w:rPr>
          <w:rFonts w:ascii="宋体" w:hAnsi="宋体" w:eastAsia="宋体" w:cs="Times New Roman"/>
          <w:b/>
          <w:bCs/>
          <w:color w:val="auto"/>
          <w:sz w:val="24"/>
          <w:szCs w:val="24"/>
          <w:highlight w:val="none"/>
        </w:rPr>
      </w:pPr>
      <w:bookmarkStart w:id="31" w:name="_Toc340154917"/>
      <w:bookmarkStart w:id="32" w:name="_Toc323028837"/>
      <w:bookmarkStart w:id="33" w:name="_Toc12257240"/>
      <w:bookmarkStart w:id="34" w:name="_Toc216681824"/>
      <w:r>
        <w:rPr>
          <w:rFonts w:hint="eastAsia" w:ascii="宋体" w:hAnsi="宋体" w:eastAsia="宋体" w:cs="Times New Roman"/>
          <w:b/>
          <w:bCs/>
          <w:color w:val="auto"/>
          <w:sz w:val="24"/>
          <w:szCs w:val="24"/>
          <w:highlight w:val="none"/>
        </w:rPr>
        <w:t>4.</w:t>
      </w:r>
      <w:bookmarkEnd w:id="28"/>
      <w:bookmarkEnd w:id="31"/>
      <w:bookmarkEnd w:id="32"/>
      <w:bookmarkEnd w:id="33"/>
      <w:r>
        <w:rPr>
          <w:rFonts w:hint="eastAsia" w:ascii="宋体" w:hAnsi="宋体" w:eastAsia="宋体" w:cs="Times New Roman"/>
          <w:b/>
          <w:bCs/>
          <w:color w:val="auto"/>
          <w:sz w:val="24"/>
          <w:szCs w:val="24"/>
          <w:highlight w:val="none"/>
        </w:rPr>
        <w:t>资格审查方法</w:t>
      </w:r>
      <w:bookmarkEnd w:id="34"/>
    </w:p>
    <w:bookmarkEnd w:id="29"/>
    <w:p>
      <w:pPr>
        <w:adjustRightInd w:val="0"/>
        <w:snapToGrid w:val="0"/>
        <w:spacing w:line="360" w:lineRule="auto"/>
        <w:ind w:firstLine="420" w:firstLineChars="200"/>
        <w:jc w:val="left"/>
        <w:rPr>
          <w:rFonts w:ascii="宋体" w:hAnsi="宋体" w:eastAsia="宋体" w:cs="Times New Roman"/>
          <w:color w:val="auto"/>
          <w:kern w:val="0"/>
          <w:szCs w:val="28"/>
          <w:highlight w:val="none"/>
        </w:rPr>
      </w:pPr>
      <w:bookmarkStart w:id="35" w:name="_Toc323028838"/>
      <w:bookmarkStart w:id="36" w:name="_Toc187219898"/>
      <w:bookmarkStart w:id="37" w:name="_Toc340154918"/>
      <w:bookmarkStart w:id="38" w:name="_Toc12257241"/>
      <w:r>
        <w:rPr>
          <w:rFonts w:hint="eastAsia" w:ascii="宋体" w:hAnsi="宋体" w:eastAsia="宋体" w:cs="Times New Roman"/>
          <w:color w:val="auto"/>
          <w:kern w:val="0"/>
          <w:szCs w:val="28"/>
          <w:highlight w:val="none"/>
        </w:rPr>
        <w:t>本项目资格审查方式采用</w:t>
      </w:r>
      <w:r>
        <w:rPr>
          <w:rFonts w:hint="eastAsia" w:ascii="宋体" w:hAnsi="宋体" w:eastAsia="宋体" w:cs="Times New Roman"/>
          <w:color w:val="auto"/>
          <w:kern w:val="0"/>
          <w:szCs w:val="28"/>
          <w:highlight w:val="none"/>
          <w:u w:val="single"/>
        </w:rPr>
        <w:t>资格后审</w:t>
      </w:r>
      <w:r>
        <w:rPr>
          <w:rFonts w:hint="eastAsia" w:ascii="宋体" w:hAnsi="宋体" w:eastAsia="宋体" w:cs="Times New Roman"/>
          <w:color w:val="auto"/>
          <w:kern w:val="0"/>
          <w:szCs w:val="28"/>
          <w:highlight w:val="none"/>
        </w:rPr>
        <w:t>。</w:t>
      </w:r>
    </w:p>
    <w:p>
      <w:pPr>
        <w:keepNext/>
        <w:keepLines/>
        <w:spacing w:before="260" w:after="260" w:line="300" w:lineRule="exact"/>
        <w:outlineLvl w:val="1"/>
        <w:rPr>
          <w:rFonts w:ascii="宋体" w:hAnsi="宋体" w:eastAsia="宋体" w:cs="Times New Roman"/>
          <w:b/>
          <w:bCs/>
          <w:color w:val="auto"/>
          <w:sz w:val="24"/>
          <w:szCs w:val="24"/>
          <w:highlight w:val="none"/>
        </w:rPr>
      </w:pPr>
      <w:bookmarkStart w:id="39" w:name="_Toc216681825"/>
      <w:r>
        <w:rPr>
          <w:rFonts w:hint="eastAsia" w:ascii="宋体" w:hAnsi="宋体" w:eastAsia="宋体" w:cs="Times New Roman"/>
          <w:b/>
          <w:bCs/>
          <w:color w:val="auto"/>
          <w:sz w:val="24"/>
          <w:szCs w:val="24"/>
          <w:highlight w:val="none"/>
        </w:rPr>
        <w:t>5.投标文件的获取</w:t>
      </w:r>
      <w:bookmarkEnd w:id="39"/>
      <w:r>
        <w:rPr>
          <w:rFonts w:ascii="宋体" w:hAnsi="宋体" w:eastAsia="宋体" w:cs="Times New Roman"/>
          <w:b/>
          <w:bCs/>
          <w:color w:val="auto"/>
          <w:sz w:val="24"/>
          <w:szCs w:val="24"/>
          <w:highlight w:val="none"/>
        </w:rPr>
        <w:t xml:space="preserve"> </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凡有意参加投标者，请于招标文件获取截止时间前（以网上公告时间为准），登录云南省公共资源交易信息网（网址：</w:t>
      </w:r>
      <w:r>
        <w:rPr>
          <w:rFonts w:ascii="宋体" w:hAnsi="宋体" w:eastAsia="宋体" w:cs="Times New Roman"/>
          <w:color w:val="auto"/>
          <w:kern w:val="0"/>
          <w:szCs w:val="28"/>
          <w:highlight w:val="none"/>
        </w:rPr>
        <w:t>https://ggzy.yn.gov.cn/homePage</w:t>
      </w:r>
      <w:r>
        <w:rPr>
          <w:rFonts w:hint="eastAsia" w:ascii="宋体" w:hAnsi="宋体" w:eastAsia="宋体" w:cs="Times New Roman"/>
          <w:color w:val="auto"/>
          <w:kern w:val="0"/>
          <w:szCs w:val="28"/>
          <w:highlight w:val="none"/>
        </w:rPr>
        <w:t>，进入后切换至普洱市），凭企业数字证书（CA）在网上获取招标文件及其它招标资料，此为获取招标文件的唯一途径。未办理企业数字证书（CA）的企业需要按照云南省公共资源交易电子认证的要求，办理企业数字证书（CA）。</w:t>
      </w:r>
    </w:p>
    <w:p>
      <w:pPr>
        <w:keepNext/>
        <w:keepLines/>
        <w:spacing w:before="260" w:after="260" w:line="300" w:lineRule="exact"/>
        <w:outlineLvl w:val="1"/>
        <w:rPr>
          <w:rFonts w:ascii="宋体" w:hAnsi="宋体" w:eastAsia="宋体" w:cs="Times New Roman"/>
          <w:b/>
          <w:bCs/>
          <w:color w:val="auto"/>
          <w:sz w:val="24"/>
          <w:szCs w:val="24"/>
          <w:highlight w:val="none"/>
        </w:rPr>
      </w:pPr>
      <w:bookmarkStart w:id="40" w:name="_Toc216681826"/>
      <w:r>
        <w:rPr>
          <w:rFonts w:hint="eastAsia" w:ascii="宋体" w:hAnsi="宋体" w:eastAsia="宋体" w:cs="Times New Roman"/>
          <w:b/>
          <w:bCs/>
          <w:color w:val="auto"/>
          <w:sz w:val="24"/>
          <w:szCs w:val="24"/>
          <w:highlight w:val="none"/>
        </w:rPr>
        <w:t>6．投标文件的</w:t>
      </w:r>
      <w:bookmarkEnd w:id="35"/>
      <w:bookmarkEnd w:id="36"/>
      <w:bookmarkEnd w:id="37"/>
      <w:r>
        <w:rPr>
          <w:rFonts w:hint="eastAsia" w:ascii="宋体" w:hAnsi="宋体" w:eastAsia="宋体" w:cs="Times New Roman"/>
          <w:b/>
          <w:bCs/>
          <w:color w:val="auto"/>
          <w:sz w:val="24"/>
          <w:szCs w:val="24"/>
          <w:highlight w:val="none"/>
        </w:rPr>
        <w:t>上传</w:t>
      </w:r>
      <w:bookmarkEnd w:id="38"/>
      <w:bookmarkEnd w:id="40"/>
    </w:p>
    <w:p>
      <w:pPr>
        <w:adjustRightInd w:val="0"/>
        <w:snapToGrid w:val="0"/>
        <w:spacing w:line="360" w:lineRule="auto"/>
        <w:jc w:val="left"/>
        <w:rPr>
          <w:rFonts w:ascii="宋体" w:hAnsi="宋体" w:eastAsia="宋体" w:cs="Times New Roman"/>
          <w:color w:val="auto"/>
          <w:kern w:val="0"/>
          <w:szCs w:val="21"/>
          <w:highlight w:val="none"/>
          <w:u w:val="single"/>
        </w:rPr>
      </w:pPr>
      <w:r>
        <w:rPr>
          <w:rFonts w:hint="eastAsia" w:ascii="宋体" w:hAnsi="宋体" w:eastAsia="宋体" w:cs="Times New Roman"/>
          <w:color w:val="auto"/>
          <w:kern w:val="0"/>
          <w:szCs w:val="21"/>
          <w:highlight w:val="none"/>
        </w:rPr>
        <w:t>6.1</w:t>
      </w:r>
      <w:r>
        <w:rPr>
          <w:rFonts w:hint="eastAsia" w:ascii="宋体" w:hAnsi="宋体" w:eastAsia="宋体" w:cs="Times New Roman"/>
          <w:color w:val="auto"/>
          <w:kern w:val="0"/>
          <w:szCs w:val="28"/>
          <w:highlight w:val="none"/>
        </w:rPr>
        <w:t>投标文件网上</w:t>
      </w:r>
      <w:r>
        <w:rPr>
          <w:rFonts w:hint="eastAsia" w:ascii="宋体" w:hAnsi="宋体" w:eastAsia="宋体" w:cs="Times New Roman"/>
          <w:color w:val="auto"/>
          <w:kern w:val="0"/>
          <w:szCs w:val="21"/>
          <w:highlight w:val="none"/>
        </w:rPr>
        <w:t>上传的</w:t>
      </w:r>
      <w:r>
        <w:rPr>
          <w:rFonts w:hint="eastAsia" w:ascii="Times New Roman" w:hAnsi="宋体" w:eastAsia="宋体" w:cs="Times New Roman"/>
          <w:color w:val="auto"/>
          <w:szCs w:val="21"/>
          <w:highlight w:val="none"/>
        </w:rPr>
        <w:t>截止时间（投标截止时间，下同）为</w:t>
      </w:r>
      <w:r>
        <w:rPr>
          <w:rFonts w:hint="eastAsia" w:ascii="Times New Roman" w:hAnsi="宋体" w:eastAsia="宋体" w:cs="黑体"/>
          <w:color w:val="auto"/>
          <w:szCs w:val="21"/>
          <w:highlight w:val="none"/>
          <w:u w:val="single"/>
        </w:rPr>
        <w:t>2026</w:t>
      </w:r>
      <w:r>
        <w:rPr>
          <w:rFonts w:hint="eastAsia" w:ascii="Times New Roman" w:hAnsi="宋体" w:eastAsia="宋体" w:cs="Times New Roman"/>
          <w:color w:val="auto"/>
          <w:szCs w:val="21"/>
          <w:highlight w:val="none"/>
          <w:u w:val="single"/>
        </w:rPr>
        <w:t>年XX月XX日8时30分</w:t>
      </w:r>
      <w:r>
        <w:rPr>
          <w:rFonts w:hint="eastAsia" w:ascii="宋体" w:hAnsi="宋体" w:eastAsia="宋体" w:cs="Times New Roman"/>
          <w:color w:val="auto"/>
          <w:kern w:val="0"/>
          <w:szCs w:val="21"/>
          <w:highlight w:val="none"/>
          <w:u w:val="single"/>
        </w:rPr>
        <w:t>。</w:t>
      </w:r>
    </w:p>
    <w:p>
      <w:pPr>
        <w:spacing w:line="460" w:lineRule="exac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6.2网上上传：网上上传网址为云南省公共资源交易信息网（网址：</w:t>
      </w:r>
      <w:r>
        <w:rPr>
          <w:rFonts w:ascii="宋体" w:hAnsi="宋体" w:eastAsia="宋体" w:cs="Times New Roman"/>
          <w:color w:val="auto"/>
          <w:kern w:val="0"/>
          <w:szCs w:val="28"/>
          <w:highlight w:val="none"/>
        </w:rPr>
        <w:t>https://ggzy.yn.gov.cn/homePage</w:t>
      </w:r>
      <w:r>
        <w:rPr>
          <w:rFonts w:hint="eastAsia" w:ascii="宋体" w:hAnsi="宋体" w:eastAsia="宋体" w:cs="Times New Roman"/>
          <w:color w:val="auto"/>
          <w:kern w:val="0"/>
          <w:szCs w:val="28"/>
          <w:highlight w:val="none"/>
        </w:rPr>
        <w:t>，进入后切换至普洱市），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pPr>
        <w:autoSpaceDE w:val="0"/>
        <w:autoSpaceDN w:val="0"/>
        <w:adjustRightInd w:val="0"/>
        <w:spacing w:line="400" w:lineRule="exact"/>
        <w:rPr>
          <w:rFonts w:ascii="宋体" w:hAnsi="宋体" w:eastAsia="宋体" w:cs="宋体"/>
          <w:color w:val="auto"/>
          <w:kern w:val="0"/>
          <w:szCs w:val="21"/>
          <w:highlight w:val="none"/>
        </w:rPr>
      </w:pPr>
      <w:r>
        <w:rPr>
          <w:rFonts w:hint="eastAsia" w:ascii="宋体" w:hAnsi="宋体" w:eastAsia="宋体" w:cs="Times New Roman"/>
          <w:color w:val="auto"/>
          <w:kern w:val="0"/>
          <w:szCs w:val="21"/>
          <w:highlight w:val="none"/>
        </w:rPr>
        <w:t>6</w:t>
      </w:r>
      <w:r>
        <w:rPr>
          <w:rFonts w:ascii="宋体" w:hAnsi="宋体" w:eastAsia="宋体" w:cs="Times New Roman"/>
          <w:color w:val="auto"/>
          <w:kern w:val="0"/>
          <w:szCs w:val="21"/>
          <w:highlight w:val="none"/>
        </w:rPr>
        <w:t>.</w:t>
      </w:r>
      <w:r>
        <w:rPr>
          <w:rFonts w:hint="eastAsia" w:ascii="宋体" w:hAnsi="宋体" w:eastAsia="宋体" w:cs="Times New Roman"/>
          <w:color w:val="auto"/>
          <w:kern w:val="0"/>
          <w:szCs w:val="21"/>
          <w:highlight w:val="none"/>
        </w:rPr>
        <w:t>3 本</w:t>
      </w:r>
      <w:r>
        <w:rPr>
          <w:rFonts w:hint="eastAsia" w:ascii="宋体" w:hAnsi="宋体" w:eastAsia="宋体" w:cs="宋体"/>
          <w:color w:val="auto"/>
          <w:kern w:val="0"/>
          <w:szCs w:val="21"/>
          <w:highlight w:val="none"/>
        </w:rPr>
        <w:t>项目开标采用网上智能开标方式，投标人只能采用网上远程解密方式参与开标,不接受现场解密方式。</w:t>
      </w:r>
      <w:bookmarkStart w:id="41" w:name="_Toc340154919"/>
      <w:bookmarkStart w:id="42" w:name="_Toc12257242"/>
    </w:p>
    <w:p>
      <w:pPr>
        <w:keepNext/>
        <w:keepLines/>
        <w:spacing w:before="260" w:after="260" w:line="300" w:lineRule="exact"/>
        <w:outlineLvl w:val="1"/>
        <w:rPr>
          <w:rFonts w:ascii="宋体" w:hAnsi="宋体" w:eastAsia="宋体" w:cs="Times New Roman"/>
          <w:b/>
          <w:bCs/>
          <w:color w:val="auto"/>
          <w:sz w:val="24"/>
          <w:szCs w:val="24"/>
          <w:highlight w:val="none"/>
        </w:rPr>
      </w:pPr>
      <w:bookmarkStart w:id="43" w:name="_Toc216681827"/>
      <w:r>
        <w:rPr>
          <w:rFonts w:hint="eastAsia" w:ascii="宋体" w:hAnsi="宋体" w:eastAsia="宋体" w:cs="Times New Roman"/>
          <w:b/>
          <w:bCs/>
          <w:color w:val="auto"/>
          <w:sz w:val="24"/>
          <w:szCs w:val="24"/>
          <w:highlight w:val="none"/>
        </w:rPr>
        <w:t>7.保证金</w:t>
      </w:r>
      <w:bookmarkEnd w:id="43"/>
      <w:r>
        <w:rPr>
          <w:rFonts w:ascii="宋体" w:hAnsi="宋体" w:eastAsia="宋体" w:cs="Times New Roman"/>
          <w:b/>
          <w:bCs/>
          <w:color w:val="auto"/>
          <w:sz w:val="24"/>
          <w:szCs w:val="24"/>
          <w:highlight w:val="none"/>
        </w:rPr>
        <w:t xml:space="preserve"> </w:t>
      </w:r>
      <w:r>
        <w:rPr>
          <w:rFonts w:hint="eastAsia" w:ascii="宋体" w:hAnsi="宋体" w:eastAsia="宋体" w:cs="Times New Roman"/>
          <w:b/>
          <w:bCs/>
          <w:color w:val="auto"/>
          <w:sz w:val="24"/>
          <w:szCs w:val="24"/>
          <w:highlight w:val="none"/>
        </w:rPr>
        <w:t xml:space="preserve"> </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7.1投标保证金缴纳形式:银行转账、银行保函、保证保险。</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7.2本项目为政府投资项目，</w:t>
      </w:r>
      <w:r>
        <w:rPr>
          <w:rFonts w:hint="eastAsia" w:ascii="宋体" w:hAnsi="宋体" w:eastAsia="宋体" w:cs="Times New Roman"/>
          <w:color w:val="auto"/>
          <w:kern w:val="0"/>
          <w:szCs w:val="28"/>
          <w:highlight w:val="none"/>
        </w:rPr>
        <w:t>招标金额为</w:t>
      </w:r>
      <w:r>
        <w:rPr>
          <w:rFonts w:hint="eastAsia" w:ascii="宋体" w:hAnsi="宋体" w:eastAsia="宋体" w:cs="Times New Roman"/>
          <w:color w:val="auto"/>
          <w:kern w:val="0"/>
          <w:szCs w:val="28"/>
          <w:highlight w:val="none"/>
        </w:rPr>
        <w:t>XXXX</w:t>
      </w:r>
      <w:r>
        <w:rPr>
          <w:rFonts w:hint="eastAsia" w:ascii="宋体" w:hAnsi="宋体" w:eastAsia="宋体" w:cs="Times New Roman"/>
          <w:color w:val="auto"/>
          <w:kern w:val="0"/>
          <w:szCs w:val="28"/>
          <w:highlight w:val="none"/>
        </w:rPr>
        <w:t>万元</w:t>
      </w:r>
      <w:r>
        <w:rPr>
          <w:rFonts w:hint="eastAsia" w:ascii="宋体" w:hAnsi="宋体" w:eastAsia="宋体" w:cs="Times New Roman"/>
          <w:color w:val="auto"/>
          <w:kern w:val="0"/>
          <w:szCs w:val="28"/>
          <w:highlight w:val="none"/>
        </w:rPr>
        <w:t>。</w:t>
      </w:r>
      <w:r>
        <w:rPr>
          <w:rFonts w:hint="eastAsia" w:ascii="宋体" w:hAnsi="宋体" w:eastAsia="宋体" w:cs="Times New Roman"/>
          <w:color w:val="auto"/>
          <w:kern w:val="0"/>
          <w:szCs w:val="28"/>
          <w:highlight w:val="none"/>
        </w:rPr>
        <w:t>根据投标保证金减免相关规定，对本项目投标保证金给予减免。投标人可采用保险保函、银行转账任一形式缴纳投标保证金。</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(1)降低收取金额。按照投标保证金不得超过招标项目估算价的2%的规定，本项目应收取投标保证金金额为80万元。现落实减免投标保证金降幅不得低于现收取金额的50%的政策要求，</w:t>
      </w:r>
      <w:r>
        <w:rPr>
          <w:rFonts w:hint="eastAsia" w:ascii="宋体" w:hAnsi="宋体" w:eastAsia="宋体" w:cs="Times New Roman"/>
          <w:color w:val="auto"/>
          <w:kern w:val="0"/>
          <w:szCs w:val="28"/>
          <w:highlight w:val="none"/>
        </w:rPr>
        <w:t>实际收取20万元，降幅为75%。</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(2)银行转账。投标人使用注册企业数字证书(CA)时提供的基本账户，向本项目交号保证金账户转账，收款银行及（动态)账号如下。</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户名：普洱市思茅区公共资源交易中心</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银行：中国建设银行普洱阳光悦城支行</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账号：53001686137051005116-XXXX （注意:“-XXXX”为系统随机分配生成的四位数字审核码，详见云南省公共资源交易信息网，登录系统后自行查看，必须以此账号(包括“-XXXX”四位数字审核码)为准缴纳保证金。缴纳时请各投标人注意标段信息和投标保证金关联账号信息是否对应，如有不慎后果自负）</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转账成功后，登录交易服务系统，进入“我的项目一选择我确认投标的项目一缴纳保证金一确认投标保证金一保证金”，按系统指引确认绑定。绑定后打印保证金缴纳回执，将保证金缴纳回执、银行付款回单附于投标文件中。</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3）保险保函。登录交易服务系统，进入“我的项目一选择我确认投标的项目一缴纳保证金一确认投标保证金一电子保险保函一购买保险保函”，按系统指引从云南省公共资源交易电子保函服务系统购买电子保险保函。购买成功后下载保单并附于投标文件中。</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（4）投标保证金受理地点和时间</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地点:普洱市政务服务中心8楼普洱市公共资源交易中心（811室）;</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时间:以专项账户实际到账时间为准，到账截止时间以网上公告时间为准，未按时到账的保证金视为未提交;</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 xml:space="preserve">联系电话:0879-3051824(普洱市思茅区公共资源交易中心)  </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 xml:space="preserve">         010-86483801（北京筑龙信息技术有限责任公司） </w:t>
      </w:r>
    </w:p>
    <w:p>
      <w:pPr>
        <w:autoSpaceDE w:val="0"/>
        <w:autoSpaceDN w:val="0"/>
        <w:adjustRightInd w:val="0"/>
        <w:spacing w:line="400" w:lineRule="exact"/>
        <w:rPr>
          <w:rFonts w:ascii="宋体" w:hAnsi="宋体" w:eastAsia="宋体" w:cs="宋体"/>
          <w:color w:val="auto"/>
          <w:kern w:val="0"/>
          <w:szCs w:val="21"/>
          <w:highlight w:val="none"/>
        </w:rPr>
      </w:pPr>
    </w:p>
    <w:p>
      <w:pPr>
        <w:keepNext/>
        <w:keepLines/>
        <w:spacing w:before="260" w:after="260" w:line="300" w:lineRule="exact"/>
        <w:outlineLvl w:val="1"/>
        <w:rPr>
          <w:rFonts w:ascii="宋体" w:hAnsi="宋体" w:eastAsia="宋体" w:cs="Times New Roman"/>
          <w:b/>
          <w:bCs/>
          <w:color w:val="auto"/>
          <w:sz w:val="24"/>
          <w:szCs w:val="24"/>
          <w:highlight w:val="none"/>
        </w:rPr>
      </w:pPr>
      <w:bookmarkStart w:id="44" w:name="_Toc216681828"/>
      <w:r>
        <w:rPr>
          <w:rFonts w:hint="eastAsia" w:ascii="宋体" w:hAnsi="宋体" w:eastAsia="宋体" w:cs="Times New Roman"/>
          <w:b/>
          <w:bCs/>
          <w:color w:val="auto"/>
          <w:sz w:val="24"/>
          <w:szCs w:val="24"/>
          <w:highlight w:val="none"/>
        </w:rPr>
        <w:t>8.布公告的媒介</w:t>
      </w:r>
      <w:bookmarkEnd w:id="41"/>
      <w:bookmarkEnd w:id="42"/>
      <w:bookmarkEnd w:id="44"/>
      <w:r>
        <w:rPr>
          <w:rFonts w:ascii="宋体" w:hAnsi="宋体" w:eastAsia="宋体" w:cs="Times New Roman"/>
          <w:b/>
          <w:bCs/>
          <w:color w:val="auto"/>
          <w:sz w:val="24"/>
          <w:szCs w:val="24"/>
          <w:highlight w:val="none"/>
        </w:rPr>
        <w:t xml:space="preserve"> </w:t>
      </w:r>
    </w:p>
    <w:p>
      <w:pPr>
        <w:adjustRightInd w:val="0"/>
        <w:snapToGrid w:val="0"/>
        <w:spacing w:line="360" w:lineRule="auto"/>
        <w:ind w:firstLine="420" w:firstLineChars="200"/>
        <w:jc w:val="left"/>
        <w:rPr>
          <w:rFonts w:ascii="宋体" w:hAnsi="宋体" w:eastAsia="宋体" w:cs="Times New Roman"/>
          <w:color w:val="auto"/>
          <w:kern w:val="0"/>
          <w:szCs w:val="20"/>
          <w:highlight w:val="none"/>
        </w:rPr>
      </w:pPr>
    </w:p>
    <w:p>
      <w:pPr>
        <w:adjustRightInd w:val="0"/>
        <w:snapToGrid w:val="0"/>
        <w:spacing w:line="360" w:lineRule="auto"/>
        <w:ind w:firstLine="420" w:firstLineChars="200"/>
        <w:jc w:val="left"/>
        <w:rPr>
          <w:rFonts w:ascii="宋体" w:hAnsi="宋体" w:eastAsia="宋体" w:cs="Times New Roman"/>
          <w:color w:val="auto"/>
          <w:kern w:val="0"/>
          <w:szCs w:val="20"/>
          <w:highlight w:val="none"/>
        </w:rPr>
      </w:pPr>
      <w:r>
        <w:rPr>
          <w:rFonts w:hint="eastAsia" w:ascii="宋体" w:hAnsi="宋体" w:eastAsia="宋体" w:cs="Times New Roman"/>
          <w:color w:val="auto"/>
          <w:kern w:val="0"/>
          <w:szCs w:val="20"/>
          <w:highlight w:val="none"/>
        </w:rPr>
        <w:t>本次</w:t>
      </w:r>
      <w:r>
        <w:rPr>
          <w:rFonts w:hint="eastAsia" w:ascii="Times New Roman" w:hAnsi="宋体" w:eastAsia="宋体" w:cs="Times New Roman"/>
          <w:color w:val="auto"/>
          <w:szCs w:val="21"/>
          <w:highlight w:val="none"/>
        </w:rPr>
        <w:t>招标</w:t>
      </w:r>
      <w:r>
        <w:rPr>
          <w:rFonts w:hint="eastAsia" w:ascii="宋体" w:hAnsi="宋体" w:eastAsia="宋体" w:cs="Times New Roman"/>
          <w:color w:val="auto"/>
          <w:kern w:val="0"/>
          <w:szCs w:val="20"/>
          <w:highlight w:val="none"/>
        </w:rPr>
        <w:t>公告同时在</w:t>
      </w:r>
      <w:r>
        <w:rPr>
          <w:rFonts w:hint="eastAsia" w:ascii="Times New Roman" w:hAnsi="Times New Roman" w:eastAsia="宋体" w:cs="Times New Roman"/>
          <w:color w:val="auto"/>
          <w:szCs w:val="20"/>
          <w:highlight w:val="none"/>
          <w:u w:val="single"/>
        </w:rPr>
        <w:t>云南省公共资源交易信息网（http://ggzy.yn.gov.cn/）及云南省建设监管公共服务平台（http://www.ynjzjgcx.com/）上发布</w:t>
      </w:r>
      <w:r>
        <w:rPr>
          <w:rFonts w:hint="eastAsia" w:ascii="宋体" w:hAnsi="宋体" w:eastAsia="宋体" w:cs="Times New Roman"/>
          <w:color w:val="auto"/>
          <w:kern w:val="0"/>
          <w:szCs w:val="20"/>
          <w:highlight w:val="none"/>
        </w:rPr>
        <w:t>。</w:t>
      </w:r>
    </w:p>
    <w:p>
      <w:pPr>
        <w:adjustRightInd w:val="0"/>
        <w:snapToGrid w:val="0"/>
        <w:spacing w:line="360" w:lineRule="auto"/>
        <w:ind w:firstLine="420" w:firstLineChars="200"/>
        <w:jc w:val="left"/>
        <w:rPr>
          <w:rFonts w:ascii="宋体" w:hAnsi="宋体" w:eastAsia="宋体" w:cs="Times New Roman"/>
          <w:color w:val="auto"/>
          <w:kern w:val="0"/>
          <w:szCs w:val="28"/>
          <w:highlight w:val="none"/>
        </w:rPr>
      </w:pPr>
    </w:p>
    <w:p>
      <w:pPr>
        <w:topLinePunct/>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招标人：</w:t>
      </w:r>
      <w:r>
        <w:rPr>
          <w:rFonts w:hint="eastAsia" w:ascii="Times New Roman" w:hAnsi="Times New Roman" w:eastAsia="宋体" w:cs="Times New Roman"/>
          <w:color w:val="auto"/>
          <w:szCs w:val="21"/>
          <w:highlight w:val="none"/>
          <w:u w:val="single"/>
        </w:rPr>
        <w:t>普洱源洌环境治理有限公司</w:t>
      </w:r>
      <w:r>
        <w:rPr>
          <w:rFonts w:ascii="Times New Roman" w:hAnsi="宋体" w:eastAsia="宋体" w:cs="黑体"/>
          <w:color w:val="auto"/>
          <w:szCs w:val="21"/>
          <w:highlight w:val="none"/>
          <w:u w:val="singl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招标代理机构：</w:t>
      </w:r>
      <w:r>
        <w:rPr>
          <w:rFonts w:hint="eastAsia" w:ascii="Times New Roman" w:hAnsi="宋体" w:eastAsia="宋体" w:cs="黑体"/>
          <w:color w:val="auto"/>
          <w:szCs w:val="21"/>
          <w:highlight w:val="none"/>
          <w:u w:val="single"/>
        </w:rPr>
        <w:t>普洱市普平工程招标有限责任公司</w:t>
      </w:r>
    </w:p>
    <w:p>
      <w:pPr>
        <w:topLinePunct/>
        <w:spacing w:line="440" w:lineRule="exact"/>
        <w:ind w:left="5907" w:leftChars="13" w:hanging="5880" w:hangingChars="2800"/>
        <w:rPr>
          <w:rFonts w:ascii="Times New Roman" w:hAnsi="宋体" w:eastAsia="宋体" w:cs="黑体"/>
          <w:color w:val="auto"/>
          <w:szCs w:val="21"/>
          <w:highlight w:val="none"/>
          <w:u w:val="single"/>
        </w:rPr>
      </w:pPr>
      <w:r>
        <w:rPr>
          <w:rFonts w:ascii="Times New Roman" w:hAnsi="Times New Roman" w:eastAsia="宋体" w:cs="Times New Roman"/>
          <w:color w:val="auto"/>
          <w:szCs w:val="21"/>
          <w:highlight w:val="none"/>
        </w:rPr>
        <w:t>地址：</w:t>
      </w:r>
      <w:r>
        <w:rPr>
          <w:rFonts w:hint="eastAsia" w:ascii="Times New Roman" w:hAnsi="宋体" w:eastAsia="宋体" w:cs="黑体"/>
          <w:color w:val="auto"/>
          <w:szCs w:val="21"/>
          <w:highlight w:val="none"/>
          <w:u w:val="single"/>
        </w:rPr>
        <w:t xml:space="preserve">普洱市北部区普洱人家 </w:t>
      </w:r>
      <w:r>
        <w:rPr>
          <w:rFonts w:hint="eastAsia" w:ascii="Times New Roman" w:hAnsi="宋体" w:eastAsia="宋体" w:cs="黑体"/>
          <w:color w:val="auto"/>
          <w:szCs w:val="21"/>
          <w:highlight w:val="none"/>
        </w:rPr>
        <w:t xml:space="preserve">               地址：</w:t>
      </w:r>
      <w:r>
        <w:rPr>
          <w:rFonts w:hint="eastAsia" w:ascii="Times New Roman" w:hAnsi="宋体" w:eastAsia="宋体" w:cs="黑体"/>
          <w:color w:val="auto"/>
          <w:szCs w:val="21"/>
          <w:highlight w:val="none"/>
          <w:u w:val="single"/>
        </w:rPr>
        <w:t>普洱市龙生路83号办公楼一楼</w:t>
      </w:r>
    </w:p>
    <w:p>
      <w:pPr>
        <w:topLinePunct/>
        <w:spacing w:line="440" w:lineRule="exact"/>
        <w:ind w:left="5907" w:leftChars="13" w:hanging="5880" w:hangingChars="2800"/>
        <w:rPr>
          <w:rFonts w:ascii="Times New Roman" w:hAnsi="宋体" w:eastAsia="宋体" w:cs="黑体"/>
          <w:color w:val="auto"/>
          <w:szCs w:val="21"/>
          <w:highlight w:val="none"/>
          <w:u w:val="single"/>
        </w:rPr>
      </w:pPr>
      <w:r>
        <w:rPr>
          <w:rFonts w:hint="eastAsia" w:ascii="Times New Roman" w:hAnsi="宋体" w:eastAsia="宋体" w:cs="黑体"/>
          <w:color w:val="auto"/>
          <w:szCs w:val="21"/>
          <w:highlight w:val="none"/>
          <w:u w:val="single"/>
        </w:rPr>
        <w:t xml:space="preserve">映山和园107栋10楼   </w:t>
      </w:r>
      <w:r>
        <w:rPr>
          <w:rFonts w:hint="eastAsia" w:ascii="Times New Roman" w:hAnsi="宋体" w:eastAsia="宋体" w:cs="黑体"/>
          <w:color w:val="auto"/>
          <w:sz w:val="18"/>
          <w:szCs w:val="18"/>
          <w:highlight w:val="none"/>
        </w:rPr>
        <w:t xml:space="preserve"> </w:t>
      </w:r>
    </w:p>
    <w:p>
      <w:pPr>
        <w:topLinePunct/>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邮    编：</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665000</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邮    编：</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665000</w:t>
      </w:r>
      <w:r>
        <w:rPr>
          <w:rFonts w:ascii="Times New Roman" w:hAnsi="Times New Roman" w:eastAsia="宋体" w:cs="Times New Roman"/>
          <w:color w:val="auto"/>
          <w:szCs w:val="21"/>
          <w:highlight w:val="none"/>
          <w:u w:val="single"/>
        </w:rPr>
        <w:t xml:space="preserve">         </w:t>
      </w:r>
    </w:p>
    <w:p>
      <w:pPr>
        <w:topLinePunct/>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 系 人：</w:t>
      </w:r>
      <w:r>
        <w:rPr>
          <w:rFonts w:hint="eastAsia" w:ascii="Times New Roman" w:hAnsi="宋体" w:eastAsia="宋体" w:cs="Times New Roman"/>
          <w:color w:val="auto"/>
          <w:szCs w:val="21"/>
          <w:highlight w:val="none"/>
          <w:u w:val="single"/>
        </w:rPr>
        <w:t xml:space="preserve">  </w:t>
      </w:r>
      <w:r>
        <w:rPr>
          <w:rFonts w:hint="eastAsia" w:ascii="Times New Roman" w:hAnsi="宋体" w:eastAsia="宋体" w:cs="Times New Roman"/>
          <w:color w:val="auto"/>
          <w:szCs w:val="21"/>
          <w:highlight w:val="none"/>
          <w:u w:val="single"/>
        </w:rPr>
        <w:t>李老师</w:t>
      </w:r>
      <w:r>
        <w:rPr>
          <w:rFonts w:hint="eastAsia" w:ascii="Times New Roman"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联 系 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李老师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p>
    <w:p>
      <w:pPr>
        <w:topLinePunct/>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    话：</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hint="eastAsia" w:ascii="Times New Roman" w:hAnsi="宋体" w:eastAsia="宋体" w:cs="Times New Roman"/>
          <w:color w:val="auto"/>
          <w:szCs w:val="21"/>
          <w:highlight w:val="none"/>
          <w:u w:val="single"/>
        </w:rPr>
        <w:t>15758223231</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电    话：</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13578197470、0879-2147977</w:t>
      </w:r>
    </w:p>
    <w:p>
      <w:pPr>
        <w:topLinePunct/>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电子邮件：</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rPr>
        <w:t>电子邮件：</w:t>
      </w:r>
      <w:r>
        <w:rPr>
          <w:rFonts w:ascii="Times New Roman" w:hAnsi="Times New Roman" w:eastAsia="宋体" w:cs="Times New Roman"/>
          <w:color w:val="auto"/>
          <w:szCs w:val="21"/>
          <w:highlight w:val="none"/>
          <w:u w:val="single"/>
        </w:rPr>
        <w:t xml:space="preserve">  896555157@qq.com </w:t>
      </w:r>
    </w:p>
    <w:p>
      <w:pPr>
        <w:spacing w:line="440" w:lineRule="exact"/>
        <w:ind w:firstLine="483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u w:val="single"/>
        </w:rPr>
        <w:t>2025</w:t>
      </w:r>
      <w:r>
        <w:rPr>
          <w:rFonts w:ascii="Times New Roman" w:hAnsi="Times New Roman" w:eastAsia="宋体" w:cs="Times New Roman"/>
          <w:color w:val="auto"/>
          <w:szCs w:val="21"/>
          <w:highlight w:val="none"/>
        </w:rPr>
        <w:t>年</w:t>
      </w:r>
      <w:r>
        <w:rPr>
          <w:rFonts w:hint="eastAsia" w:ascii="Times New Roman" w:hAnsi="Times New Roman" w:eastAsia="宋体" w:cs="Times New Roman"/>
          <w:color w:val="auto"/>
          <w:szCs w:val="21"/>
          <w:highlight w:val="none"/>
          <w:u w:val="single"/>
        </w:rPr>
        <w:t>12</w:t>
      </w:r>
      <w:r>
        <w:rPr>
          <w:rFonts w:ascii="Times New Roman" w:hAnsi="Times New Roman" w:eastAsia="宋体" w:cs="Times New Roman"/>
          <w:color w:val="auto"/>
          <w:szCs w:val="21"/>
          <w:highlight w:val="none"/>
        </w:rPr>
        <w:t>月</w:t>
      </w:r>
      <w:r>
        <w:rPr>
          <w:rFonts w:hint="eastAsia" w:ascii="Times New Roman" w:hAnsi="Times New Roman" w:eastAsia="宋体" w:cs="Times New Roman"/>
          <w:color w:val="auto"/>
          <w:szCs w:val="21"/>
          <w:highlight w:val="none"/>
          <w:u w:val="single"/>
        </w:rPr>
        <w:t>XX</w:t>
      </w:r>
      <w:r>
        <w:rPr>
          <w:rFonts w:ascii="Times New Roman" w:hAnsi="Times New Roman" w:eastAsia="宋体" w:cs="Times New Roman"/>
          <w:color w:val="auto"/>
          <w:szCs w:val="21"/>
          <w:highlight w:val="none"/>
        </w:rPr>
        <w:t>日</w:t>
      </w:r>
    </w:p>
    <w:p>
      <w:pPr>
        <w:keepNext/>
        <w:keepLines/>
        <w:spacing w:line="576" w:lineRule="auto"/>
        <w:jc w:val="center"/>
        <w:outlineLvl w:val="0"/>
        <w:rPr>
          <w:rFonts w:ascii="Times New Roman" w:hAnsi="Times New Roman" w:eastAsia="宋体" w:cs="Times New Roman"/>
          <w:color w:val="auto"/>
          <w:sz w:val="44"/>
          <w:szCs w:val="44"/>
          <w:highlight w:val="none"/>
        </w:rPr>
      </w:pPr>
      <w:r>
        <w:rPr>
          <w:rFonts w:ascii="Times New Roman" w:hAnsi="Times New Roman" w:eastAsia="宋体" w:cs="Times New Roman"/>
          <w:color w:val="auto"/>
          <w:szCs w:val="21"/>
          <w:highlight w:val="none"/>
        </w:rPr>
        <w:br w:type="page"/>
      </w:r>
      <w:bookmarkStart w:id="45" w:name="_Toc144974495"/>
      <w:bookmarkStart w:id="46" w:name="_Toc247527551"/>
      <w:bookmarkStart w:id="47" w:name="_Toc247513950"/>
      <w:bookmarkStart w:id="48" w:name="_Toc152045527"/>
      <w:bookmarkStart w:id="49" w:name="_Toc216681829"/>
      <w:bookmarkStart w:id="50" w:name="_Toc152042303"/>
      <w:r>
        <w:rPr>
          <w:rFonts w:hint="eastAsia" w:ascii="Times New Roman" w:hAnsi="Times New Roman" w:eastAsia="宋体" w:cs="Times New Roman"/>
          <w:b/>
          <w:bCs/>
          <w:color w:val="auto"/>
          <w:kern w:val="44"/>
          <w:sz w:val="44"/>
          <w:szCs w:val="44"/>
          <w:highlight w:val="none"/>
        </w:rPr>
        <w:t>第二章 投标人须知</w:t>
      </w:r>
      <w:bookmarkEnd w:id="45"/>
      <w:bookmarkEnd w:id="46"/>
      <w:bookmarkEnd w:id="47"/>
      <w:bookmarkEnd w:id="48"/>
      <w:bookmarkEnd w:id="49"/>
      <w:bookmarkEnd w:id="50"/>
    </w:p>
    <w:p>
      <w:pPr>
        <w:spacing w:line="400" w:lineRule="exact"/>
        <w:rPr>
          <w:rFonts w:ascii="Times New Roman" w:hAnsi="Times New Roman" w:eastAsia="宋体" w:cs="Times New Roman"/>
          <w:color w:val="auto"/>
          <w:szCs w:val="24"/>
          <w:highlight w:val="none"/>
        </w:rPr>
      </w:pPr>
    </w:p>
    <w:p>
      <w:pPr>
        <w:keepNext/>
        <w:keepLines/>
        <w:spacing w:line="416" w:lineRule="auto"/>
        <w:outlineLvl w:val="1"/>
        <w:rPr>
          <w:rFonts w:ascii="Arial" w:hAnsi="Arial" w:eastAsia="黑体" w:cs="Times New Roman"/>
          <w:b/>
          <w:bCs/>
          <w:color w:val="auto"/>
          <w:sz w:val="32"/>
          <w:szCs w:val="32"/>
          <w:highlight w:val="none"/>
        </w:rPr>
      </w:pPr>
      <w:bookmarkStart w:id="51" w:name="_Toc152045528"/>
      <w:bookmarkStart w:id="52" w:name="_Toc152042304"/>
      <w:bookmarkStart w:id="53" w:name="_Toc144974496"/>
      <w:bookmarkStart w:id="54" w:name="_Toc216681830"/>
      <w:bookmarkStart w:id="55" w:name="_Toc247513951"/>
      <w:bookmarkStart w:id="56" w:name="_Toc247527552"/>
      <w:r>
        <w:rPr>
          <w:rFonts w:hint="eastAsia" w:ascii="Arial" w:hAnsi="Arial" w:eastAsia="黑体" w:cs="Times New Roman"/>
          <w:b/>
          <w:bCs/>
          <w:color w:val="auto"/>
          <w:sz w:val="32"/>
          <w:szCs w:val="32"/>
          <w:highlight w:val="none"/>
        </w:rPr>
        <w:t>投标人须知前附表</w:t>
      </w:r>
      <w:bookmarkEnd w:id="51"/>
      <w:bookmarkEnd w:id="52"/>
      <w:bookmarkEnd w:id="53"/>
      <w:bookmarkEnd w:id="54"/>
      <w:bookmarkEnd w:id="55"/>
      <w:bookmarkEnd w:id="56"/>
    </w:p>
    <w:p>
      <w:pPr>
        <w:adjustRightInd w:val="0"/>
        <w:spacing w:line="440" w:lineRule="exact"/>
        <w:textAlignment w:val="baseline"/>
        <w:rPr>
          <w:rFonts w:ascii="Times New Roman" w:hAnsi="Times New Roman" w:eastAsia="宋体" w:cs="Times New Roman"/>
          <w:color w:val="auto"/>
          <w:szCs w:val="24"/>
          <w:highlight w:val="none"/>
        </w:rPr>
      </w:pPr>
    </w:p>
    <w:tbl>
      <w:tblPr>
        <w:tblStyle w:val="41"/>
        <w:tblW w:w="9854" w:type="dxa"/>
        <w:tblInd w:w="0" w:type="dxa"/>
        <w:tblLayout w:type="fixed"/>
        <w:tblCellMar>
          <w:top w:w="0" w:type="dxa"/>
          <w:left w:w="108" w:type="dxa"/>
          <w:bottom w:w="0" w:type="dxa"/>
          <w:right w:w="108" w:type="dxa"/>
        </w:tblCellMar>
      </w:tblPr>
      <w:tblGrid>
        <w:gridCol w:w="1165"/>
        <w:gridCol w:w="1803"/>
        <w:gridCol w:w="1053"/>
        <w:gridCol w:w="5833"/>
      </w:tblGrid>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条款号</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条  款  名  称</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编  列  内  容</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招标人</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名称：</w:t>
            </w:r>
            <w:r>
              <w:rPr>
                <w:rFonts w:hint="eastAsia" w:ascii="Times New Roman" w:hAnsi="Times New Roman" w:eastAsia="宋体" w:cs="Times New Roman"/>
                <w:color w:val="auto"/>
                <w:szCs w:val="21"/>
                <w:highlight w:val="none"/>
              </w:rPr>
              <w:t>普洱源洌环境治理有限公司</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地址：</w:t>
            </w:r>
            <w:r>
              <w:rPr>
                <w:rFonts w:hint="eastAsia" w:ascii="Times New Roman" w:hAnsi="Times New Roman" w:eastAsia="宋体" w:cs="Times New Roman"/>
                <w:color w:val="auto"/>
                <w:szCs w:val="21"/>
                <w:highlight w:val="none"/>
              </w:rPr>
              <w:t xml:space="preserve">普洱市北部区普洱人家映山和园107栋9楼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联系人：</w:t>
            </w:r>
            <w:r>
              <w:rPr>
                <w:rFonts w:hint="eastAsia" w:ascii="Times New Roman" w:hAnsi="Times New Roman" w:eastAsia="宋体" w:cs="Times New Roman"/>
                <w:color w:val="auto"/>
                <w:szCs w:val="21"/>
                <w:highlight w:val="none"/>
              </w:rPr>
              <w:t>李老师</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电话：15758223231</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1.1.3</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招标代理机构</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名称：</w:t>
            </w:r>
            <w:r>
              <w:rPr>
                <w:rFonts w:hint="eastAsia" w:ascii="Times New Roman" w:hAnsi="Times New Roman" w:eastAsia="宋体" w:cs="Times New Roman"/>
                <w:color w:val="auto"/>
                <w:szCs w:val="21"/>
                <w:highlight w:val="none"/>
              </w:rPr>
              <w:t>普洱市普平工程招标有限责任公司</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地址：</w:t>
            </w:r>
            <w:r>
              <w:rPr>
                <w:rFonts w:hint="eastAsia" w:ascii="Times New Roman" w:hAnsi="Times New Roman" w:eastAsia="宋体" w:cs="Times New Roman"/>
                <w:color w:val="auto"/>
                <w:szCs w:val="21"/>
                <w:highlight w:val="none"/>
              </w:rPr>
              <w:t>普洱市龙生路83号办公楼一楼</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联系人：</w:t>
            </w:r>
            <w:r>
              <w:rPr>
                <w:rFonts w:hint="eastAsia" w:ascii="Times New Roman" w:hAnsi="Times New Roman" w:eastAsia="宋体" w:cs="Times New Roman"/>
                <w:color w:val="auto"/>
                <w:szCs w:val="21"/>
                <w:highlight w:val="none"/>
              </w:rPr>
              <w:t>李老师</w:t>
            </w:r>
          </w:p>
          <w:p>
            <w:pPr>
              <w:spacing w:line="440" w:lineRule="exact"/>
              <w:rPr>
                <w:rFonts w:ascii="Times New Roman" w:hAnsi="宋体" w:eastAsia="宋体" w:cs="Times New Roman"/>
                <w:color w:val="auto"/>
                <w:szCs w:val="21"/>
                <w:highlight w:val="none"/>
              </w:rPr>
            </w:pPr>
            <w:r>
              <w:rPr>
                <w:rFonts w:ascii="Times New Roman" w:hAnsi="Times New Roman" w:eastAsia="宋体" w:cs="Times New Roman"/>
                <w:color w:val="auto"/>
                <w:szCs w:val="21"/>
                <w:highlight w:val="none"/>
              </w:rPr>
              <w:t>电话：</w:t>
            </w:r>
            <w:r>
              <w:rPr>
                <w:rFonts w:hint="eastAsia" w:ascii="Times New Roman" w:hAnsi="Times New Roman" w:eastAsia="宋体" w:cs="Times New Roman"/>
                <w:color w:val="auto"/>
                <w:szCs w:val="21"/>
                <w:highlight w:val="none"/>
              </w:rPr>
              <w:t>13578197470</w:t>
            </w:r>
            <w:r>
              <w:rPr>
                <w:rFonts w:hint="eastAsia" w:ascii="Times New Roman" w:hAnsi="宋体" w:eastAsia="宋体" w:cs="Times New Roman"/>
                <w:color w:val="auto"/>
                <w:szCs w:val="21"/>
                <w:highlight w:val="none"/>
              </w:rPr>
              <w:t>0、0879-2147977</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电子邮件：</w:t>
            </w:r>
            <w:r>
              <w:rPr>
                <w:color w:val="auto"/>
                <w:highlight w:val="none"/>
              </w:rPr>
              <w:fldChar w:fldCharType="begin"/>
            </w:r>
            <w:r>
              <w:rPr>
                <w:color w:val="auto"/>
                <w:highlight w:val="none"/>
              </w:rPr>
              <w:instrText xml:space="preserve"> HYPERLINK "mailto:896555157@qq.com" </w:instrText>
            </w:r>
            <w:r>
              <w:rPr>
                <w:color w:val="auto"/>
                <w:highlight w:val="none"/>
              </w:rPr>
              <w:fldChar w:fldCharType="separate"/>
            </w:r>
            <w:r>
              <w:rPr>
                <w:rFonts w:hint="eastAsia" w:ascii="Times New Roman" w:hAnsi="Times New Roman" w:eastAsia="宋体" w:cs="Times New Roman"/>
                <w:color w:val="auto"/>
                <w:szCs w:val="21"/>
                <w:highlight w:val="none"/>
                <w:u w:val="single"/>
              </w:rPr>
              <w:t>896555157@qq.com</w:t>
            </w:r>
            <w:r>
              <w:rPr>
                <w:rFonts w:hint="eastAsia" w:ascii="Times New Roman" w:hAnsi="Times New Roman" w:eastAsia="宋体" w:cs="Times New Roman"/>
                <w:color w:val="auto"/>
                <w:szCs w:val="21"/>
                <w:highlight w:val="none"/>
                <w:u w:val="single"/>
              </w:rPr>
              <w:fldChar w:fldCharType="end"/>
            </w:r>
          </w:p>
        </w:tc>
      </w:tr>
      <w:tr>
        <w:tblPrEx>
          <w:tblCellMar>
            <w:top w:w="0" w:type="dxa"/>
            <w:left w:w="108" w:type="dxa"/>
            <w:bottom w:w="0" w:type="dxa"/>
            <w:right w:w="108" w:type="dxa"/>
          </w:tblCellMar>
        </w:tblPrEx>
        <w:trPr>
          <w:trHeight w:val="586"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1.1.4</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项目名称</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普洱市主城区火车站片区排水防涝地下管网及设施建设项目</w:t>
            </w:r>
          </w:p>
        </w:tc>
      </w:tr>
      <w:tr>
        <w:tblPrEx>
          <w:tblCellMar>
            <w:top w:w="0" w:type="dxa"/>
            <w:left w:w="108" w:type="dxa"/>
            <w:bottom w:w="0" w:type="dxa"/>
            <w:right w:w="108" w:type="dxa"/>
          </w:tblCellMar>
        </w:tblPrEx>
        <w:trPr>
          <w:trHeight w:val="586"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w:t>
            </w:r>
            <w:r>
              <w:rPr>
                <w:rFonts w:hint="eastAsia" w:ascii="Times New Roman" w:hAnsi="Times New Roman" w:eastAsia="宋体" w:cs="Times New Roman"/>
                <w:color w:val="auto"/>
                <w:szCs w:val="21"/>
                <w:highlight w:val="none"/>
              </w:rPr>
              <w:t>5</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招标项目名称</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普洱市主城区火车站片区排水防涝地下管网及设施建设项目</w:t>
            </w:r>
            <w:r>
              <w:rPr>
                <w:rFonts w:hint="eastAsia" w:ascii="Times New Roman" w:hAnsi="宋体" w:eastAsia="宋体" w:cs="Times New Roman"/>
                <w:color w:val="auto"/>
                <w:szCs w:val="21"/>
                <w:highlight w:val="none"/>
              </w:rPr>
              <w:t>（一期）</w:t>
            </w:r>
            <w:r>
              <w:rPr>
                <w:rFonts w:hint="eastAsia" w:ascii="Times New Roman" w:hAnsi="宋体" w:eastAsia="宋体" w:cs="Times New Roman"/>
                <w:color w:val="auto"/>
                <w:szCs w:val="21"/>
                <w:highlight w:val="none"/>
              </w:rPr>
              <w:t>工程总承包</w:t>
            </w:r>
          </w:p>
        </w:tc>
      </w:tr>
      <w:tr>
        <w:tblPrEx>
          <w:tblCellMar>
            <w:top w:w="0" w:type="dxa"/>
            <w:left w:w="108" w:type="dxa"/>
            <w:bottom w:w="0" w:type="dxa"/>
            <w:right w:w="108" w:type="dxa"/>
          </w:tblCellMar>
        </w:tblPrEx>
        <w:trPr>
          <w:trHeight w:val="586"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w:t>
            </w:r>
            <w:r>
              <w:rPr>
                <w:rFonts w:hint="eastAsia" w:ascii="Times New Roman" w:hAnsi="Times New Roman" w:eastAsia="宋体" w:cs="Times New Roman"/>
                <w:color w:val="auto"/>
                <w:szCs w:val="21"/>
                <w:highlight w:val="none"/>
              </w:rPr>
              <w:t>6</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标段划分</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本招标项目不分标段。</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w:t>
            </w:r>
            <w:r>
              <w:rPr>
                <w:rFonts w:hint="eastAsia" w:ascii="Times New Roman" w:hAnsi="Times New Roman" w:eastAsia="宋体" w:cs="Times New Roman"/>
                <w:color w:val="auto"/>
                <w:szCs w:val="21"/>
                <w:highlight w:val="none"/>
              </w:rPr>
              <w:t>7</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工程地点</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普洱市思茅区主城区。</w:t>
            </w:r>
          </w:p>
        </w:tc>
      </w:tr>
      <w:tr>
        <w:tblPrEx>
          <w:tblCellMar>
            <w:top w:w="0" w:type="dxa"/>
            <w:left w:w="108" w:type="dxa"/>
            <w:bottom w:w="0" w:type="dxa"/>
            <w:right w:w="108" w:type="dxa"/>
          </w:tblCellMar>
        </w:tblPrEx>
        <w:trPr>
          <w:trHeight w:val="618"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资金来源</w:t>
            </w:r>
            <w:r>
              <w:rPr>
                <w:rFonts w:hint="eastAsia" w:ascii="Times New Roman" w:hAnsi="Times New Roman" w:eastAsia="宋体" w:cs="Times New Roman"/>
                <w:color w:val="auto"/>
                <w:szCs w:val="21"/>
                <w:highlight w:val="none"/>
              </w:rPr>
              <w:t>及比例</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100%的</w:t>
            </w:r>
            <w:r>
              <w:rPr>
                <w:rFonts w:hint="eastAsia" w:ascii="Times New Roman" w:hAnsi="宋体" w:eastAsia="宋体" w:cs="Times New Roman"/>
                <w:color w:val="auto"/>
                <w:szCs w:val="21"/>
                <w:highlight w:val="none"/>
              </w:rPr>
              <w:t>争取上级资金、地方配套和自筹。</w:t>
            </w:r>
          </w:p>
        </w:tc>
      </w:tr>
      <w:tr>
        <w:tblPrEx>
          <w:tblCellMar>
            <w:top w:w="0" w:type="dxa"/>
            <w:left w:w="108" w:type="dxa"/>
            <w:bottom w:w="0" w:type="dxa"/>
            <w:right w:w="108" w:type="dxa"/>
          </w:tblCellMar>
        </w:tblPrEx>
        <w:trPr>
          <w:trHeight w:val="84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w:t>
            </w:r>
            <w:r>
              <w:rPr>
                <w:rFonts w:hint="eastAsia" w:ascii="Times New Roman" w:hAnsi="Times New Roman" w:eastAsia="宋体" w:cs="Times New Roman"/>
                <w:color w:val="auto"/>
                <w:szCs w:val="21"/>
                <w:highlight w:val="none"/>
              </w:rPr>
              <w:t>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资金</w:t>
            </w:r>
            <w:r>
              <w:rPr>
                <w:rFonts w:ascii="Times New Roman" w:hAnsi="Times New Roman" w:eastAsia="宋体" w:cs="Times New Roman"/>
                <w:color w:val="auto"/>
                <w:szCs w:val="21"/>
                <w:highlight w:val="none"/>
              </w:rPr>
              <w:t>落实情况</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已经落实</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r>
              <w:rPr>
                <w:rFonts w:hint="eastAsia" w:ascii="Times New Roman" w:hAnsi="Times New Roman" w:eastAsia="宋体" w:cs="Times New Roman"/>
                <w:color w:val="auto"/>
                <w:szCs w:val="21"/>
                <w:highlight w:val="none"/>
              </w:rPr>
              <w:t>3</w:t>
            </w:r>
            <w:r>
              <w:rPr>
                <w:rFonts w:ascii="Times New Roman" w:hAnsi="Times New Roman" w:eastAsia="宋体" w:cs="Times New Roman"/>
                <w:color w:val="auto"/>
                <w:szCs w:val="21"/>
                <w:highlight w:val="none"/>
              </w:rPr>
              <w:t>.1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招标范围</w:t>
            </w:r>
          </w:p>
        </w:tc>
        <w:tc>
          <w:tcPr>
            <w:tcW w:w="5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普洱市主城区火车站片区排水防涝地下管网及设施建设项目</w:t>
            </w:r>
            <w:r>
              <w:rPr>
                <w:rFonts w:hint="eastAsia" w:ascii="宋体" w:hAnsi="宋体" w:eastAsia="宋体" w:cs="Times New Roman"/>
                <w:color w:val="auto"/>
                <w:kern w:val="0"/>
                <w:szCs w:val="28"/>
                <w:highlight w:val="none"/>
              </w:rPr>
              <w:t>（一期）</w:t>
            </w:r>
            <w:r>
              <w:rPr>
                <w:rFonts w:hint="eastAsia" w:ascii="宋体" w:hAnsi="宋体" w:eastAsia="宋体" w:cs="Times New Roman"/>
                <w:color w:val="auto"/>
                <w:kern w:val="0"/>
                <w:szCs w:val="28"/>
                <w:highlight w:val="none"/>
              </w:rPr>
              <w:t>的设计、施工、采购及相关服务，包括：</w:t>
            </w:r>
          </w:p>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①设计：</w:t>
            </w:r>
            <w:r>
              <w:rPr>
                <w:rFonts w:hint="eastAsia" w:ascii="宋体" w:hAnsi="宋体" w:eastAsia="宋体" w:cs="Times New Roman"/>
                <w:color w:val="auto"/>
                <w:kern w:val="0"/>
                <w:szCs w:val="28"/>
                <w:highlight w:val="none"/>
              </w:rPr>
              <w:t>优化设计方案</w:t>
            </w:r>
            <w:r>
              <w:rPr>
                <w:rFonts w:hint="eastAsia" w:ascii="宋体" w:hAnsi="宋体" w:eastAsia="宋体" w:cs="Times New Roman"/>
                <w:color w:val="auto"/>
                <w:kern w:val="0"/>
                <w:szCs w:val="28"/>
                <w:highlight w:val="none"/>
              </w:rPr>
              <w:t>、施工图设计、施工阶段</w:t>
            </w:r>
            <w:r>
              <w:rPr>
                <w:rFonts w:hint="eastAsia" w:ascii="宋体" w:hAnsi="宋体" w:eastAsia="宋体" w:cs="Times New Roman"/>
                <w:color w:val="auto"/>
                <w:kern w:val="0"/>
                <w:szCs w:val="28"/>
                <w:highlight w:val="none"/>
              </w:rPr>
              <w:t>及缺陷责任期</w:t>
            </w:r>
            <w:r>
              <w:rPr>
                <w:rFonts w:hint="eastAsia" w:ascii="宋体" w:hAnsi="宋体" w:eastAsia="宋体" w:cs="Times New Roman"/>
                <w:color w:val="auto"/>
                <w:kern w:val="0"/>
                <w:szCs w:val="28"/>
                <w:highlight w:val="none"/>
              </w:rPr>
              <w:t>服务。。</w:t>
            </w:r>
          </w:p>
          <w:p>
            <w:pPr>
              <w:spacing w:line="440" w:lineRule="exact"/>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8"/>
                <w:highlight w:val="none"/>
              </w:rPr>
              <w:t>②施工：施工图范围</w:t>
            </w:r>
            <w:r>
              <w:rPr>
                <w:rFonts w:hint="eastAsia" w:ascii="宋体" w:hAnsi="宋体" w:eastAsia="宋体" w:cs="Times New Roman"/>
                <w:color w:val="auto"/>
                <w:kern w:val="0"/>
                <w:szCs w:val="28"/>
                <w:highlight w:val="none"/>
              </w:rPr>
              <w:t>及发包人确定的变更工程</w:t>
            </w:r>
            <w:r>
              <w:rPr>
                <w:rFonts w:hint="eastAsia" w:ascii="宋体" w:hAnsi="宋体" w:eastAsia="宋体" w:cs="Times New Roman"/>
                <w:color w:val="auto"/>
                <w:kern w:val="0"/>
                <w:szCs w:val="28"/>
                <w:highlight w:val="none"/>
              </w:rPr>
              <w:t>施工、竣工验收、质量缺陷责任期内的缺陷修复、保修等相关工作。</w:t>
            </w:r>
          </w:p>
        </w:tc>
      </w:tr>
      <w:tr>
        <w:tblPrEx>
          <w:tblCellMar>
            <w:top w:w="0" w:type="dxa"/>
            <w:left w:w="108" w:type="dxa"/>
            <w:bottom w:w="0" w:type="dxa"/>
            <w:right w:w="108" w:type="dxa"/>
          </w:tblCellMar>
        </w:tblPrEx>
        <w:trPr>
          <w:trHeight w:val="1827"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计划工期</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宋体" w:eastAsia="宋体" w:cs="Times New Roman"/>
                <w:color w:val="auto"/>
                <w:szCs w:val="21"/>
                <w:highlight w:val="none"/>
              </w:rPr>
            </w:pPr>
            <w:r>
              <w:rPr>
                <w:rFonts w:ascii="Times New Roman" w:hAnsi="宋体" w:eastAsia="宋体" w:cs="Times New Roman"/>
                <w:color w:val="auto"/>
                <w:szCs w:val="21"/>
                <w:highlight w:val="none"/>
              </w:rPr>
              <w:t>计划</w:t>
            </w:r>
            <w:r>
              <w:rPr>
                <w:rFonts w:hint="eastAsia" w:ascii="Times New Roman" w:hAnsi="宋体" w:eastAsia="宋体" w:cs="Times New Roman"/>
                <w:color w:val="auto"/>
                <w:szCs w:val="21"/>
                <w:highlight w:val="none"/>
              </w:rPr>
              <w:t>工期总日历天数</w:t>
            </w:r>
            <w:r>
              <w:rPr>
                <w:rFonts w:ascii="Times New Roman" w:hAnsi="宋体" w:eastAsia="宋体" w:cs="Times New Roman"/>
                <w:color w:val="auto"/>
                <w:szCs w:val="21"/>
                <w:highlight w:val="none"/>
              </w:rPr>
              <w:t>：</w:t>
            </w:r>
            <w:r>
              <w:rPr>
                <w:rFonts w:hint="eastAsia" w:ascii="Times New Roman" w:hAnsi="宋体" w:eastAsia="宋体" w:cs="Times New Roman"/>
                <w:color w:val="auto"/>
                <w:szCs w:val="21"/>
                <w:highlight w:val="none"/>
              </w:rPr>
              <w:t>420</w:t>
            </w:r>
            <w:r>
              <w:rPr>
                <w:rFonts w:ascii="Times New Roman" w:hAnsi="宋体" w:eastAsia="宋体" w:cs="Times New Roman"/>
                <w:color w:val="auto"/>
                <w:szCs w:val="21"/>
                <w:highlight w:val="none"/>
              </w:rPr>
              <w:t>日历天</w:t>
            </w:r>
            <w:r>
              <w:rPr>
                <w:rFonts w:hint="eastAsia" w:ascii="Times New Roman" w:hAnsi="宋体" w:eastAsia="宋体" w:cs="Times New Roman"/>
                <w:color w:val="auto"/>
                <w:szCs w:val="21"/>
                <w:highlight w:val="none"/>
              </w:rPr>
              <w:t>；</w:t>
            </w:r>
          </w:p>
          <w:p>
            <w:pPr>
              <w:autoSpaceDE w:val="0"/>
              <w:autoSpaceDN w:val="0"/>
              <w:adjustRightInd w:val="0"/>
              <w:spacing w:line="420" w:lineRule="exact"/>
              <w:jc w:val="left"/>
              <w:rPr>
                <w:rFonts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计划开始工作日期：</w:t>
            </w:r>
            <w:r>
              <w:rPr>
                <w:rFonts w:hint="eastAsia" w:ascii="Times New Roman" w:hAnsi="宋体" w:eastAsia="宋体" w:cs="Times New Roman"/>
                <w:color w:val="auto"/>
                <w:szCs w:val="21"/>
                <w:highlight w:val="none"/>
                <w:u w:val="single"/>
              </w:rPr>
              <w:t>2026</w:t>
            </w:r>
            <w:r>
              <w:rPr>
                <w:rFonts w:hint="eastAsia" w:ascii="Times New Roman" w:hAnsi="宋体" w:eastAsia="宋体" w:cs="Times New Roman"/>
                <w:color w:val="auto"/>
                <w:szCs w:val="21"/>
                <w:highlight w:val="none"/>
              </w:rPr>
              <w:t>年</w:t>
            </w:r>
            <w:r>
              <w:rPr>
                <w:rFonts w:hint="eastAsia" w:ascii="Times New Roman" w:hAnsi="宋体" w:eastAsia="宋体" w:cs="Times New Roman"/>
                <w:color w:val="auto"/>
                <w:szCs w:val="21"/>
                <w:highlight w:val="none"/>
                <w:u w:val="single"/>
              </w:rPr>
              <w:t>1</w:t>
            </w:r>
            <w:r>
              <w:rPr>
                <w:rFonts w:hint="eastAsia" w:ascii="Times New Roman" w:hAnsi="宋体" w:eastAsia="宋体" w:cs="Times New Roman"/>
                <w:color w:val="auto"/>
                <w:szCs w:val="21"/>
                <w:highlight w:val="none"/>
              </w:rPr>
              <w:t>月</w:t>
            </w:r>
            <w:r>
              <w:rPr>
                <w:rFonts w:hint="eastAsia" w:ascii="Times New Roman" w:hAnsi="宋体" w:eastAsia="宋体" w:cs="Times New Roman"/>
                <w:color w:val="auto"/>
                <w:szCs w:val="21"/>
                <w:highlight w:val="none"/>
                <w:u w:val="single"/>
              </w:rPr>
              <w:t>25</w:t>
            </w:r>
            <w:r>
              <w:rPr>
                <w:rFonts w:hint="eastAsia" w:ascii="Times New Roman" w:hAnsi="宋体" w:eastAsia="宋体" w:cs="Times New Roman"/>
                <w:color w:val="auto"/>
                <w:szCs w:val="21"/>
                <w:highlight w:val="none"/>
              </w:rPr>
              <w:t>日</w:t>
            </w:r>
            <w:r>
              <w:rPr>
                <w:rFonts w:hint="eastAsia" w:ascii="Times New Roman" w:hAnsi="宋体" w:eastAsia="宋体" w:cs="Times New Roman"/>
                <w:color w:val="auto"/>
                <w:szCs w:val="21"/>
                <w:highlight w:val="none"/>
              </w:rPr>
              <w:t xml:space="preserve"> </w:t>
            </w:r>
          </w:p>
          <w:p>
            <w:pPr>
              <w:spacing w:line="440" w:lineRule="exact"/>
              <w:rPr>
                <w:rFonts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计划竣工日期：</w:t>
            </w:r>
            <w:r>
              <w:rPr>
                <w:rFonts w:hint="eastAsia" w:ascii="Times New Roman" w:hAnsi="宋体" w:eastAsia="宋体" w:cs="Times New Roman"/>
                <w:color w:val="auto"/>
                <w:szCs w:val="21"/>
                <w:highlight w:val="none"/>
                <w:u w:val="single"/>
              </w:rPr>
              <w:t>2027</w:t>
            </w:r>
            <w:r>
              <w:rPr>
                <w:rFonts w:hint="eastAsia" w:ascii="Times New Roman" w:hAnsi="宋体" w:eastAsia="宋体" w:cs="Times New Roman"/>
                <w:color w:val="auto"/>
                <w:szCs w:val="21"/>
                <w:highlight w:val="none"/>
              </w:rPr>
              <w:t>年</w:t>
            </w:r>
            <w:r>
              <w:rPr>
                <w:rFonts w:hint="eastAsia" w:ascii="Times New Roman" w:hAnsi="宋体" w:eastAsia="宋体" w:cs="Times New Roman"/>
                <w:color w:val="auto"/>
                <w:szCs w:val="21"/>
                <w:highlight w:val="none"/>
                <w:u w:val="single"/>
              </w:rPr>
              <w:t>3</w:t>
            </w:r>
            <w:r>
              <w:rPr>
                <w:rFonts w:hint="eastAsia" w:ascii="Times New Roman" w:hAnsi="宋体" w:eastAsia="宋体" w:cs="Times New Roman"/>
                <w:color w:val="auto"/>
                <w:szCs w:val="21"/>
                <w:highlight w:val="none"/>
              </w:rPr>
              <w:t>月</w:t>
            </w:r>
            <w:r>
              <w:rPr>
                <w:rFonts w:hint="eastAsia" w:ascii="Times New Roman" w:hAnsi="宋体" w:eastAsia="宋体" w:cs="Times New Roman"/>
                <w:color w:val="auto"/>
                <w:szCs w:val="21"/>
                <w:highlight w:val="none"/>
                <w:u w:val="single"/>
              </w:rPr>
              <w:t>21</w:t>
            </w:r>
            <w:r>
              <w:rPr>
                <w:rFonts w:hint="eastAsia" w:ascii="Times New Roman" w:hAnsi="宋体" w:eastAsia="宋体" w:cs="Times New Roman"/>
                <w:color w:val="auto"/>
                <w:szCs w:val="21"/>
                <w:highlight w:val="none"/>
              </w:rPr>
              <w:t>日</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1.3.3</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质量</w:t>
            </w:r>
            <w:r>
              <w:rPr>
                <w:rFonts w:hint="eastAsia" w:ascii="Times New Roman" w:hAnsi="Times New Roman" w:eastAsia="宋体" w:cs="Times New Roman"/>
                <w:color w:val="auto"/>
                <w:szCs w:val="21"/>
                <w:highlight w:val="none"/>
              </w:rPr>
              <w:t>要求</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设计的质量要求：施工图设计文件的编制符合法律、技术标准的强制性规定及招标人就本项目设计提出的要求，施工图设计文件的深度满足现行《市政公用工程设计文件编制深度规定》，符合国家和行业现行有效的相关规定，并且通过相应审查。</w:t>
            </w:r>
          </w:p>
          <w:p>
            <w:pPr>
              <w:spacing w:line="440" w:lineRule="exact"/>
              <w:rPr>
                <w:rFonts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施工的质量要求：符合现行国家工程施工质量验收规范合格标准。</w:t>
            </w:r>
          </w:p>
          <w:p>
            <w:pPr>
              <w:spacing w:line="440" w:lineRule="exact"/>
              <w:rPr>
                <w:rFonts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其他要求：满足功能性需求、招标人及行政职能部门的审批要求。</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投标人资质条件、能力和信誉</w:t>
            </w:r>
          </w:p>
          <w:p>
            <w:pPr>
              <w:spacing w:line="440" w:lineRule="exact"/>
              <w:rPr>
                <w:rFonts w:ascii="Times New Roman" w:hAnsi="Times New Roman" w:eastAsia="宋体" w:cs="Times New Roman"/>
                <w:color w:val="auto"/>
                <w:szCs w:val="21"/>
                <w:highlight w:val="none"/>
              </w:rPr>
            </w:pP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资质条件：</w:t>
            </w:r>
            <w:r>
              <w:rPr>
                <w:rFonts w:hint="eastAsia" w:ascii="Times New Roman" w:hAnsi="Times New Roman" w:eastAsia="宋体" w:cs="Times New Roman"/>
                <w:color w:val="auto"/>
                <w:szCs w:val="21"/>
                <w:highlight w:val="none"/>
              </w:rPr>
              <w:t>须同时具备工程设计市政行业排水工程专业甲级及以上设计资质和工程设计市政行业道路工程专业乙级及以上设计资质、市政公用工程工程施工总承包二级及以上施工资质和有效安全生产许可证。</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财务要求：</w:t>
            </w:r>
            <w:r>
              <w:rPr>
                <w:rFonts w:hint="eastAsia" w:ascii="Times New Roman" w:hAnsi="Times New Roman" w:eastAsia="宋体" w:cs="Times New Roman"/>
                <w:color w:val="auto"/>
                <w:szCs w:val="21"/>
                <w:highlight w:val="none"/>
              </w:rPr>
              <w:t>财务状况良好，投标人（包括联合体各成员单位）须提供2024年度经会计师事务所或审计机构审计的财务会计报表（注：公司成立不足一年的，提供公司财务报表及开户银行开具的资信证明相关材料）。</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业绩要求：</w:t>
            </w:r>
            <w:r>
              <w:rPr>
                <w:rFonts w:hint="eastAsia" w:ascii="Times New Roman" w:hAnsi="Times New Roman" w:eastAsia="宋体" w:cs="Times New Roman"/>
                <w:color w:val="auto"/>
                <w:szCs w:val="21"/>
                <w:highlight w:val="none"/>
              </w:rPr>
              <w:t>/。</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信誉要求：</w:t>
            </w:r>
            <w:r>
              <w:rPr>
                <w:rFonts w:hint="eastAsia" w:ascii="Times New Roman" w:hAnsi="Times New Roman" w:eastAsia="宋体" w:cs="Times New Roman"/>
                <w:color w:val="auto"/>
                <w:szCs w:val="21"/>
                <w:highlight w:val="none"/>
              </w:rPr>
              <w:t xml:space="preserve">信誉状况良好，投标人（包括联合体各成员单位）在“信用中国”网站（http：//www.creditchina.gov.cn/）中未被列入失信被执行人名单（投标人在投标截止时间前5日内查询，将查询结果网页截图附于投标文件中。在“信用中国”网站查询时，如被链接到“中国执行信息公开网”，按照链接的网页查询，并截图）。   </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b/>
                <w:color w:val="auto"/>
                <w:szCs w:val="21"/>
                <w:highlight w:val="none"/>
              </w:rPr>
              <w:t>工程总承包</w:t>
            </w:r>
            <w:r>
              <w:rPr>
                <w:rFonts w:ascii="Times New Roman" w:hAnsi="Times New Roman" w:eastAsia="宋体" w:cs="Times New Roman"/>
                <w:b/>
                <w:color w:val="auto"/>
                <w:szCs w:val="21"/>
                <w:highlight w:val="none"/>
              </w:rPr>
              <w:t>项目经理</w:t>
            </w:r>
            <w:r>
              <w:rPr>
                <w:rFonts w:hint="eastAsia" w:ascii="Times New Roman" w:hAnsi="Times New Roman" w:eastAsia="宋体" w:cs="Times New Roman"/>
                <w:b/>
                <w:color w:val="auto"/>
                <w:szCs w:val="21"/>
                <w:highlight w:val="none"/>
              </w:rPr>
              <w:t>的资格要求</w:t>
            </w:r>
            <w:r>
              <w:rPr>
                <w:rFonts w:hint="eastAsia" w:ascii="Times New Roman" w:hAnsi="Times New Roman" w:eastAsia="宋体" w:cs="Times New Roman"/>
                <w:color w:val="auto"/>
                <w:szCs w:val="21"/>
                <w:highlight w:val="none"/>
              </w:rPr>
              <w:t>：具备市政公用工程专业一级注册建造师资格和有效的安全生产考核合格证书，并能提供劳动合同，且不得担任其他在施建设工程项目的项目经理。</w:t>
            </w:r>
          </w:p>
          <w:p>
            <w:pPr>
              <w:autoSpaceDE w:val="0"/>
              <w:autoSpaceDN w:val="0"/>
              <w:adjustRightInd w:val="0"/>
              <w:spacing w:line="420" w:lineRule="exact"/>
              <w:jc w:val="left"/>
              <w:rPr>
                <w:rFonts w:ascii="宋体" w:hAnsi="宋体" w:eastAsia="宋体" w:cs="宋体"/>
                <w:bCs/>
                <w:color w:val="auto"/>
                <w:kern w:val="0"/>
                <w:szCs w:val="21"/>
                <w:highlight w:val="none"/>
              </w:rPr>
            </w:pPr>
            <w:r>
              <w:rPr>
                <w:rFonts w:hint="eastAsia" w:ascii="宋体" w:hAnsi="宋体" w:eastAsia="宋体" w:cs="宋体"/>
                <w:b/>
                <w:bCs/>
                <w:color w:val="auto"/>
                <w:kern w:val="0"/>
                <w:szCs w:val="21"/>
                <w:highlight w:val="none"/>
              </w:rPr>
              <w:t>设计负责人的资格要求：</w:t>
            </w:r>
            <w:r>
              <w:rPr>
                <w:rFonts w:hint="eastAsia" w:ascii="宋体" w:hAnsi="宋体" w:eastAsia="宋体" w:cs="宋体"/>
                <w:bCs/>
                <w:color w:val="auto"/>
                <w:kern w:val="0"/>
                <w:szCs w:val="21"/>
                <w:highlight w:val="none"/>
              </w:rPr>
              <w:t>具备注册公用设备工程师(给水排水)执业资格，并能提供劳动合同。</w:t>
            </w:r>
          </w:p>
          <w:p>
            <w:pPr>
              <w:autoSpaceDE w:val="0"/>
              <w:autoSpaceDN w:val="0"/>
              <w:adjustRightInd w:val="0"/>
              <w:spacing w:line="420" w:lineRule="exact"/>
              <w:jc w:val="left"/>
              <w:rPr>
                <w:rFonts w:ascii="宋体" w:hAnsi="宋体" w:eastAsia="宋体" w:cs="宋体"/>
                <w:bCs/>
                <w:color w:val="auto"/>
                <w:kern w:val="0"/>
                <w:szCs w:val="21"/>
                <w:highlight w:val="none"/>
              </w:rPr>
            </w:pPr>
            <w:r>
              <w:rPr>
                <w:rFonts w:hint="eastAsia" w:ascii="宋体" w:hAnsi="宋体" w:eastAsia="宋体" w:cs="宋体"/>
                <w:b/>
                <w:bCs/>
                <w:color w:val="auto"/>
                <w:kern w:val="0"/>
                <w:szCs w:val="21"/>
                <w:highlight w:val="none"/>
              </w:rPr>
              <w:t>施工负责人的资格要求：</w:t>
            </w:r>
            <w:r>
              <w:rPr>
                <w:rFonts w:hint="eastAsia" w:ascii="宋体" w:hAnsi="宋体" w:eastAsia="宋体" w:cs="宋体"/>
                <w:bCs/>
                <w:color w:val="auto"/>
                <w:kern w:val="0"/>
                <w:szCs w:val="21"/>
                <w:highlight w:val="none"/>
              </w:rPr>
              <w:t>具备市政公用工程专业一级注册建造师资格和有效的安全生产考核合格证书，并能提供劳动合同。</w:t>
            </w:r>
            <w:r>
              <w:rPr>
                <w:rFonts w:hint="eastAsia" w:ascii="宋体" w:hAnsi="宋体" w:eastAsia="宋体" w:cs="宋体"/>
                <w:bCs/>
                <w:color w:val="auto"/>
                <w:kern w:val="0"/>
                <w:szCs w:val="21"/>
                <w:highlight w:val="none"/>
              </w:rPr>
              <w:t>（工程总承包项目经理可以兼任施工负责人）</w:t>
            </w:r>
          </w:p>
          <w:p>
            <w:pPr>
              <w:autoSpaceDE w:val="0"/>
              <w:autoSpaceDN w:val="0"/>
              <w:adjustRightInd w:val="0"/>
              <w:spacing w:line="420" w:lineRule="exact"/>
              <w:jc w:val="left"/>
              <w:rPr>
                <w:rFonts w:ascii="宋体" w:hAnsi="宋体" w:eastAsia="宋体" w:cs="宋体"/>
                <w:bCs/>
                <w:color w:val="auto"/>
                <w:kern w:val="0"/>
                <w:szCs w:val="21"/>
                <w:highlight w:val="none"/>
              </w:rPr>
            </w:pPr>
            <w:r>
              <w:rPr>
                <w:rFonts w:hint="eastAsia" w:ascii="宋体" w:hAnsi="宋体" w:eastAsia="宋体" w:cs="宋体"/>
                <w:b/>
                <w:bCs/>
                <w:color w:val="auto"/>
                <w:kern w:val="0"/>
                <w:szCs w:val="21"/>
                <w:highlight w:val="none"/>
              </w:rPr>
              <w:t>技术负责人的资格要求：</w:t>
            </w:r>
            <w:r>
              <w:rPr>
                <w:rFonts w:hint="eastAsia" w:ascii="宋体" w:hAnsi="宋体" w:eastAsia="宋体" w:cs="宋体"/>
                <w:bCs/>
                <w:color w:val="auto"/>
                <w:kern w:val="0"/>
                <w:szCs w:val="21"/>
                <w:highlight w:val="none"/>
              </w:rPr>
              <w:t>具有</w:t>
            </w:r>
            <w:r>
              <w:rPr>
                <w:rFonts w:hint="eastAsia" w:ascii="宋体" w:hAnsi="宋体" w:eastAsia="宋体" w:cs="宋体"/>
                <w:bCs/>
                <w:color w:val="auto"/>
                <w:kern w:val="0"/>
                <w:szCs w:val="21"/>
                <w:highlight w:val="none"/>
              </w:rPr>
              <w:t>建筑工程类</w:t>
            </w:r>
            <w:r>
              <w:rPr>
                <w:rFonts w:hint="eastAsia" w:ascii="宋体" w:hAnsi="宋体" w:eastAsia="宋体" w:cs="宋体"/>
                <w:bCs/>
                <w:color w:val="auto"/>
                <w:kern w:val="0"/>
                <w:szCs w:val="21"/>
                <w:highlight w:val="none"/>
              </w:rPr>
              <w:t>专业高级及以上职称，并能提供劳动合同和缴纳社会保险证明材料。</w:t>
            </w:r>
          </w:p>
          <w:p>
            <w:pPr>
              <w:autoSpaceDE w:val="0"/>
              <w:autoSpaceDN w:val="0"/>
              <w:adjustRightInd w:val="0"/>
              <w:spacing w:line="420" w:lineRule="exact"/>
              <w:jc w:val="left"/>
              <w:rPr>
                <w:rFonts w:ascii="宋体" w:hAnsi="Times New Roman" w:eastAsia="宋体" w:cs="宋体"/>
                <w:color w:val="auto"/>
                <w:kern w:val="0"/>
                <w:sz w:val="24"/>
                <w:szCs w:val="21"/>
                <w:highlight w:val="none"/>
              </w:rPr>
            </w:pPr>
            <w:r>
              <w:rPr>
                <w:rFonts w:hint="eastAsia" w:ascii="宋体" w:hAnsi="宋体" w:eastAsia="宋体" w:cs="宋体"/>
                <w:b/>
                <w:bCs/>
                <w:color w:val="auto"/>
                <w:kern w:val="0"/>
                <w:szCs w:val="21"/>
                <w:highlight w:val="none"/>
              </w:rPr>
              <w:t>其他要求：/</w:t>
            </w:r>
            <w:r>
              <w:rPr>
                <w:rFonts w:ascii="宋体" w:hAnsi="Times New Roman" w:eastAsia="宋体" w:cs="宋体"/>
                <w:color w:val="auto"/>
                <w:kern w:val="0"/>
                <w:sz w:val="24"/>
                <w:szCs w:val="21"/>
                <w:highlight w:val="none"/>
              </w:rPr>
              <w:t xml:space="preserve"> </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1.4.2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是否接受联合体投标</w:t>
            </w:r>
          </w:p>
        </w:tc>
        <w:tc>
          <w:tcPr>
            <w:tcW w:w="5833" w:type="dxa"/>
            <w:tcBorders>
              <w:top w:val="single" w:color="auto" w:sz="4" w:space="0"/>
              <w:left w:val="single" w:color="auto" w:sz="4" w:space="0"/>
              <w:bottom w:val="single" w:color="auto" w:sz="4" w:space="0"/>
              <w:right w:val="single" w:color="auto" w:sz="4" w:space="0"/>
            </w:tcBorders>
            <w:vAlign w:val="center"/>
          </w:tcPr>
          <w:p>
            <w:pPr>
              <w:topLinePunct/>
              <w:spacing w:line="4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 w:val="32"/>
                <w:szCs w:val="32"/>
                <w:highlight w:val="none"/>
              </w:rPr>
              <w:t>□</w:t>
            </w:r>
            <w:r>
              <w:rPr>
                <w:rFonts w:hint="eastAsia" w:ascii="Times New Roman" w:hAnsi="Times New Roman" w:eastAsia="宋体" w:cs="Times New Roman"/>
                <w:color w:val="auto"/>
                <w:szCs w:val="21"/>
                <w:highlight w:val="none"/>
              </w:rPr>
              <w:t>不接受</w:t>
            </w:r>
          </w:p>
          <w:p>
            <w:pPr>
              <w:spacing w:line="440" w:lineRule="exact"/>
              <w:rPr>
                <w:rFonts w:ascii="Times New Roman" w:hAnsi="Times New Roman" w:eastAsia="宋体" w:cs="Times New Roman"/>
                <w:color w:val="auto"/>
                <w:szCs w:val="21"/>
                <w:highlight w:val="none"/>
              </w:rPr>
            </w:pPr>
            <w:r>
              <w:rPr>
                <w:rFonts w:ascii="Times New Roman" w:hAnsi="宋体" w:eastAsia="宋体" w:cs="Times New Roman"/>
                <w:color w:val="auto"/>
                <w:szCs w:val="24"/>
                <w:highlight w:val="none"/>
              </w:rPr>
              <w:fldChar w:fldCharType="begin"/>
            </w:r>
            <w:r>
              <w:rPr>
                <w:rFonts w:ascii="Times New Roman" w:hAnsi="宋体" w:eastAsia="宋体" w:cs="Times New Roman"/>
                <w:color w:val="auto"/>
                <w:szCs w:val="24"/>
                <w:highlight w:val="none"/>
              </w:rPr>
              <w:instrText xml:space="preserve"> eq \o\ac(</w:instrText>
            </w:r>
            <w:r>
              <w:rPr>
                <w:rFonts w:hint="eastAsia" w:ascii="Times New Roman" w:hAnsi="宋体" w:eastAsia="宋体" w:cs="Times New Roman"/>
                <w:color w:val="auto"/>
                <w:position w:val="-2"/>
                <w:sz w:val="31"/>
                <w:szCs w:val="24"/>
                <w:highlight w:val="none"/>
              </w:rPr>
              <w:instrText xml:space="preserve">□</w:instrText>
            </w:r>
            <w:r>
              <w:rPr>
                <w:rFonts w:ascii="Times New Roman" w:hAnsi="宋体" w:eastAsia="宋体" w:cs="Times New Roman"/>
                <w:color w:val="auto"/>
                <w:szCs w:val="24"/>
                <w:highlight w:val="none"/>
              </w:rPr>
              <w:instrText xml:space="preserve">,</w:instrText>
            </w:r>
            <w:r>
              <w:rPr>
                <w:rFonts w:hint="eastAsia"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fldChar w:fldCharType="end"/>
            </w:r>
            <w:r>
              <w:rPr>
                <w:rFonts w:hint="eastAsia" w:ascii="Times New Roman" w:hAnsi="宋体" w:eastAsia="宋体" w:cs="Times New Roman"/>
                <w:color w:val="auto"/>
                <w:szCs w:val="21"/>
                <w:highlight w:val="none"/>
              </w:rPr>
              <w:t>接受，应满足下列要求：</w:t>
            </w:r>
            <w:r>
              <w:rPr>
                <w:rFonts w:hint="eastAsia" w:ascii="Times New Roman" w:hAnsi="宋体" w:eastAsia="宋体" w:cs="Times New Roman"/>
                <w:color w:val="auto"/>
                <w:szCs w:val="28"/>
                <w:highlight w:val="none"/>
                <w:u w:val="single"/>
              </w:rPr>
              <w:t>联合体成员单位不能超过三家，联合体牵头人必须是承担施工主要业务的成员单位。</w:t>
            </w:r>
            <w:r>
              <w:rPr>
                <w:rFonts w:ascii="Times New Roman" w:hAnsi="宋体" w:eastAsia="宋体" w:cs="Times New Roman"/>
                <w:color w:val="auto"/>
                <w:szCs w:val="21"/>
                <w:highlight w:val="none"/>
                <w:u w:val="single"/>
              </w:rPr>
              <w:t xml:space="preserve"> </w:t>
            </w:r>
            <w:r>
              <w:rPr>
                <w:rFonts w:ascii="Times New Roman" w:hAnsi="宋体" w:eastAsia="宋体" w:cs="Times New Roman"/>
                <w:color w:val="auto"/>
                <w:szCs w:val="21"/>
                <w:highlight w:val="none"/>
              </w:rPr>
              <w:t xml:space="preserve"> </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1.5</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费用承担和设计成果补偿</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宋体" w:eastAsia="宋体" w:cs="Times New Roman"/>
                <w:color w:val="auto"/>
                <w:szCs w:val="24"/>
                <w:highlight w:val="none"/>
              </w:rPr>
              <w:fldChar w:fldCharType="begin"/>
            </w:r>
            <w:r>
              <w:rPr>
                <w:rFonts w:ascii="Times New Roman" w:hAnsi="宋体" w:eastAsia="宋体" w:cs="Times New Roman"/>
                <w:color w:val="auto"/>
                <w:szCs w:val="24"/>
                <w:highlight w:val="none"/>
              </w:rPr>
              <w:instrText xml:space="preserve"> eq \o\ac(</w:instrText>
            </w:r>
            <w:r>
              <w:rPr>
                <w:rFonts w:hint="eastAsia" w:ascii="Times New Roman" w:hAnsi="宋体" w:eastAsia="宋体" w:cs="Times New Roman"/>
                <w:color w:val="auto"/>
                <w:position w:val="-2"/>
                <w:sz w:val="31"/>
                <w:szCs w:val="24"/>
                <w:highlight w:val="none"/>
              </w:rPr>
              <w:instrText xml:space="preserve">□</w:instrText>
            </w:r>
            <w:r>
              <w:rPr>
                <w:rFonts w:ascii="Times New Roman" w:hAnsi="宋体" w:eastAsia="宋体" w:cs="Times New Roman"/>
                <w:color w:val="auto"/>
                <w:szCs w:val="24"/>
                <w:highlight w:val="none"/>
              </w:rPr>
              <w:instrText xml:space="preserve">,</w:instrText>
            </w:r>
            <w:r>
              <w:rPr>
                <w:rFonts w:hint="eastAsia"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fldChar w:fldCharType="end"/>
            </w:r>
            <w:r>
              <w:rPr>
                <w:rFonts w:hint="eastAsia" w:ascii="Times New Roman" w:hAnsi="Times New Roman" w:eastAsia="宋体" w:cs="Times New Roman"/>
                <w:color w:val="auto"/>
                <w:szCs w:val="21"/>
                <w:highlight w:val="none"/>
              </w:rPr>
              <w:t>不补偿</w:t>
            </w:r>
          </w:p>
          <w:p>
            <w:pPr>
              <w:spacing w:line="440" w:lineRule="exact"/>
              <w:rPr>
                <w:rFonts w:ascii="Times New Roman" w:hAnsi="Times New Roman" w:eastAsia="宋体" w:cs="Times New Roman"/>
                <w:color w:val="auto"/>
                <w:sz w:val="32"/>
                <w:szCs w:val="32"/>
                <w:highlight w:val="none"/>
              </w:rPr>
            </w:pPr>
            <w:r>
              <w:rPr>
                <w:rFonts w:ascii="Times New Roman" w:hAnsi="Times New Roman" w:eastAsia="宋体" w:cs="Times New Roman"/>
                <w:color w:val="auto"/>
                <w:sz w:val="32"/>
                <w:szCs w:val="32"/>
                <w:highlight w:val="none"/>
              </w:rPr>
              <w:t>□</w:t>
            </w:r>
            <w:r>
              <w:rPr>
                <w:rFonts w:hint="eastAsia" w:ascii="Times New Roman" w:hAnsi="Times New Roman" w:eastAsia="宋体" w:cs="Times New Roman"/>
                <w:color w:val="auto"/>
                <w:szCs w:val="21"/>
                <w:highlight w:val="none"/>
              </w:rPr>
              <w:t>补偿，补偿标准：</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r>
              <w:rPr>
                <w:rFonts w:hint="eastAsia" w:ascii="Times New Roman" w:hAnsi="Times New Roman" w:eastAsia="宋体" w:cs="Times New Roman"/>
                <w:color w:val="auto"/>
                <w:szCs w:val="21"/>
                <w:highlight w:val="none"/>
              </w:rPr>
              <w:t>9</w:t>
            </w:r>
            <w:r>
              <w:rPr>
                <w:rFonts w:ascii="Times New Roman" w:hAnsi="Times New Roman" w:eastAsia="宋体" w:cs="Times New Roman"/>
                <w:color w:val="auto"/>
                <w:szCs w:val="21"/>
                <w:highlight w:val="none"/>
              </w:rPr>
              <w:t>.1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踏勘</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宋体" w:eastAsia="宋体" w:cs="Times New Roman"/>
                <w:color w:val="auto"/>
                <w:szCs w:val="24"/>
                <w:highlight w:val="none"/>
              </w:rPr>
              <w:fldChar w:fldCharType="begin"/>
            </w:r>
            <w:r>
              <w:rPr>
                <w:rFonts w:ascii="Times New Roman" w:hAnsi="宋体" w:eastAsia="宋体" w:cs="Times New Roman"/>
                <w:color w:val="auto"/>
                <w:szCs w:val="24"/>
                <w:highlight w:val="none"/>
              </w:rPr>
              <w:instrText xml:space="preserve"> eq \o\ac(</w:instrText>
            </w:r>
            <w:r>
              <w:rPr>
                <w:rFonts w:hint="eastAsia" w:ascii="Times New Roman" w:hAnsi="宋体" w:eastAsia="宋体" w:cs="Times New Roman"/>
                <w:color w:val="auto"/>
                <w:position w:val="-2"/>
                <w:sz w:val="31"/>
                <w:szCs w:val="24"/>
                <w:highlight w:val="none"/>
              </w:rPr>
              <w:instrText xml:space="preserve">□</w:instrText>
            </w:r>
            <w:r>
              <w:rPr>
                <w:rFonts w:ascii="Times New Roman" w:hAnsi="宋体" w:eastAsia="宋体" w:cs="Times New Roman"/>
                <w:color w:val="auto"/>
                <w:szCs w:val="24"/>
                <w:highlight w:val="none"/>
              </w:rPr>
              <w:instrText xml:space="preserve">,</w:instrText>
            </w:r>
            <w:r>
              <w:rPr>
                <w:rFonts w:hint="eastAsia"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fldChar w:fldCharType="end"/>
            </w:r>
            <w:r>
              <w:rPr>
                <w:rFonts w:hint="eastAsia" w:ascii="Times New Roman" w:hAnsi="Times New Roman" w:eastAsia="宋体" w:cs="Times New Roman"/>
                <w:color w:val="auto"/>
                <w:szCs w:val="21"/>
                <w:highlight w:val="none"/>
              </w:rPr>
              <w:t>不组织：</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 w:val="32"/>
                <w:szCs w:val="32"/>
                <w:highlight w:val="none"/>
              </w:rPr>
              <w:t>□</w:t>
            </w:r>
            <w:r>
              <w:rPr>
                <w:rFonts w:hint="eastAsia" w:ascii="Times New Roman" w:hAnsi="Times New Roman" w:eastAsia="宋体" w:cs="Times New Roman"/>
                <w:color w:val="auto"/>
                <w:szCs w:val="21"/>
                <w:highlight w:val="none"/>
              </w:rPr>
              <w:t>组织，</w:t>
            </w:r>
            <w:r>
              <w:rPr>
                <w:rFonts w:ascii="Times New Roman" w:hAnsi="Times New Roman" w:eastAsia="宋体" w:cs="Times New Roman"/>
                <w:color w:val="auto"/>
                <w:szCs w:val="21"/>
                <w:highlight w:val="none"/>
              </w:rPr>
              <w:t>踏勘时间</w:t>
            </w:r>
            <w:r>
              <w:rPr>
                <w:rFonts w:hint="eastAsia" w:ascii="Times New Roman" w:hAnsi="Times New Roman" w:eastAsia="宋体" w:cs="Times New Roman"/>
                <w:color w:val="auto"/>
                <w:szCs w:val="21"/>
                <w:highlight w:val="none"/>
              </w:rPr>
              <w:t>：</w:t>
            </w:r>
          </w:p>
          <w:p>
            <w:pPr>
              <w:spacing w:line="440" w:lineRule="exact"/>
              <w:ind w:firstLine="84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踏勘集中地点：</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1.10.1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投标预备会</w:t>
            </w:r>
          </w:p>
        </w:tc>
        <w:tc>
          <w:tcPr>
            <w:tcW w:w="5833" w:type="dxa"/>
            <w:tcBorders>
              <w:top w:val="single" w:color="auto" w:sz="4" w:space="0"/>
              <w:left w:val="single" w:color="auto" w:sz="4" w:space="0"/>
              <w:bottom w:val="single" w:color="auto" w:sz="4" w:space="0"/>
              <w:right w:val="single" w:color="auto" w:sz="4" w:space="0"/>
            </w:tcBorders>
            <w:vAlign w:val="center"/>
          </w:tcPr>
          <w:p>
            <w:pPr>
              <w:topLinePunct/>
              <w:spacing w:line="400" w:lineRule="exact"/>
              <w:rPr>
                <w:rFonts w:ascii="Times New Roman" w:hAnsi="Times New Roman" w:eastAsia="宋体" w:cs="Times New Roman"/>
                <w:color w:val="auto"/>
                <w:szCs w:val="21"/>
                <w:highlight w:val="none"/>
              </w:rPr>
            </w:pPr>
            <w:r>
              <w:rPr>
                <w:rFonts w:ascii="宋体" w:hAnsi="宋体" w:eastAsia="宋体" w:cs="Times New Roman"/>
                <w:color w:val="auto"/>
                <w:sz w:val="24"/>
                <w:szCs w:val="20"/>
                <w:highlight w:val="none"/>
              </w:rPr>
              <w:fldChar w:fldCharType="begin"/>
            </w:r>
            <w:r>
              <w:rPr>
                <w:rFonts w:ascii="宋体" w:hAnsi="宋体" w:eastAsia="宋体" w:cs="Times New Roman"/>
                <w:color w:val="auto"/>
                <w:sz w:val="24"/>
                <w:szCs w:val="20"/>
                <w:highlight w:val="none"/>
              </w:rPr>
              <w:instrText xml:space="preserve"> eq \o\ac(</w:instrText>
            </w:r>
            <w:r>
              <w:rPr>
                <w:rFonts w:hint="eastAsia" w:ascii="宋体" w:hAnsi="宋体" w:eastAsia="宋体" w:cs="Times New Roman"/>
                <w:color w:val="auto"/>
                <w:position w:val="-2"/>
                <w:sz w:val="31"/>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hint="eastAsia"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fldChar w:fldCharType="end"/>
            </w:r>
            <w:r>
              <w:rPr>
                <w:rFonts w:hint="eastAsia" w:ascii="Times New Roman" w:hAnsi="Times New Roman" w:eastAsia="宋体" w:cs="Times New Roman"/>
                <w:color w:val="auto"/>
                <w:szCs w:val="21"/>
                <w:highlight w:val="none"/>
              </w:rPr>
              <w:t>不</w:t>
            </w:r>
            <w:r>
              <w:rPr>
                <w:rFonts w:ascii="Times New Roman" w:hAnsi="Times New Roman" w:eastAsia="宋体" w:cs="Times New Roman"/>
                <w:color w:val="auto"/>
                <w:szCs w:val="21"/>
                <w:highlight w:val="none"/>
              </w:rPr>
              <w:t>召开</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 w:val="32"/>
                <w:szCs w:val="32"/>
                <w:highlight w:val="none"/>
              </w:rPr>
              <w:t>□</w:t>
            </w:r>
            <w:r>
              <w:rPr>
                <w:rFonts w:ascii="Times New Roman" w:hAnsi="Times New Roman" w:eastAsia="宋体" w:cs="Times New Roman"/>
                <w:color w:val="auto"/>
                <w:szCs w:val="21"/>
                <w:highlight w:val="none"/>
              </w:rPr>
              <w:t>召开</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召开时间：</w:t>
            </w:r>
          </w:p>
          <w:p>
            <w:pPr>
              <w:spacing w:line="440" w:lineRule="exact"/>
              <w:ind w:firstLine="84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召开地点：</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1.10.2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投标人提出问题的截止时间</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在投标截止时间10日前，</w:t>
            </w:r>
            <w:r>
              <w:rPr>
                <w:rFonts w:ascii="Times New Roman" w:hAnsi="Times New Roman" w:eastAsia="宋体" w:cs="Times New Roman"/>
                <w:color w:val="auto"/>
                <w:szCs w:val="21"/>
                <w:highlight w:val="none"/>
              </w:rPr>
              <w:t xml:space="preserve"> </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1.10.3</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招标人书面澄清的时间</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如澄清或者修改的内容可能影响投标文件编制的，在投标截止时间15日前。</w:t>
            </w:r>
          </w:p>
        </w:tc>
      </w:tr>
      <w:tr>
        <w:tblPrEx>
          <w:tblCellMar>
            <w:top w:w="0" w:type="dxa"/>
            <w:left w:w="108" w:type="dxa"/>
            <w:bottom w:w="0" w:type="dxa"/>
            <w:right w:w="108" w:type="dxa"/>
          </w:tblCellMar>
        </w:tblPrEx>
        <w:trPr>
          <w:trHeight w:val="816"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1.11.1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招标人规定由分包人承担的工作</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w:t>
            </w:r>
            <w:r>
              <w:rPr>
                <w:rFonts w:hint="eastAsia" w:ascii="Times New Roman" w:hAnsi="Times New Roman" w:eastAsia="宋体" w:cs="Times New Roman"/>
                <w:color w:val="auto"/>
                <w:szCs w:val="21"/>
                <w:highlight w:val="none"/>
              </w:rPr>
              <w:t>1.2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投标人拟</w:t>
            </w:r>
            <w:r>
              <w:rPr>
                <w:rFonts w:ascii="Times New Roman" w:hAnsi="Times New Roman" w:eastAsia="宋体" w:cs="Times New Roman"/>
                <w:color w:val="auto"/>
                <w:szCs w:val="21"/>
                <w:highlight w:val="none"/>
              </w:rPr>
              <w:t>分包</w:t>
            </w:r>
            <w:r>
              <w:rPr>
                <w:rFonts w:hint="eastAsia" w:ascii="Times New Roman" w:hAnsi="Times New Roman" w:eastAsia="宋体" w:cs="Times New Roman"/>
                <w:color w:val="auto"/>
                <w:szCs w:val="21"/>
                <w:highlight w:val="none"/>
              </w:rPr>
              <w:t>的工作</w:t>
            </w:r>
          </w:p>
        </w:tc>
        <w:tc>
          <w:tcPr>
            <w:tcW w:w="5833" w:type="dxa"/>
            <w:tcBorders>
              <w:top w:val="single" w:color="auto" w:sz="4" w:space="0"/>
              <w:left w:val="single" w:color="auto" w:sz="4" w:space="0"/>
              <w:bottom w:val="single" w:color="auto" w:sz="4" w:space="0"/>
              <w:right w:val="single" w:color="auto" w:sz="4" w:space="0"/>
            </w:tcBorders>
            <w:vAlign w:val="center"/>
          </w:tcPr>
          <w:p>
            <w:pPr>
              <w:topLinePunct/>
              <w:spacing w:line="400" w:lineRule="exact"/>
              <w:rPr>
                <w:rFonts w:ascii="Times New Roman" w:hAnsi="Times New Roman" w:eastAsia="宋体" w:cs="Times New Roman"/>
                <w:color w:val="auto"/>
                <w:szCs w:val="21"/>
                <w:highlight w:val="none"/>
              </w:rPr>
            </w:pPr>
            <w:r>
              <w:rPr>
                <w:rFonts w:hint="eastAsia" w:ascii="宋体" w:hAnsi="宋体" w:eastAsia="宋体" w:cs="Times New Roman"/>
                <w:color w:val="auto"/>
                <w:sz w:val="24"/>
                <w:szCs w:val="20"/>
                <w:highlight w:val="none"/>
              </w:rPr>
              <w:t>□</w:t>
            </w:r>
            <w:r>
              <w:rPr>
                <w:rFonts w:hint="eastAsia" w:ascii="Times New Roman" w:hAnsi="Times New Roman" w:eastAsia="宋体" w:cs="Times New Roman"/>
                <w:color w:val="auto"/>
                <w:szCs w:val="21"/>
                <w:highlight w:val="none"/>
              </w:rPr>
              <w:t>不允许</w:t>
            </w:r>
          </w:p>
          <w:p>
            <w:pPr>
              <w:spacing w:line="440" w:lineRule="exact"/>
              <w:rPr>
                <w:rFonts w:ascii="Times New Roman" w:hAnsi="Times New Roman" w:eastAsia="宋体" w:cs="Times New Roman"/>
                <w:color w:val="auto"/>
                <w:szCs w:val="21"/>
                <w:highlight w:val="none"/>
              </w:rPr>
            </w:pPr>
            <w:r>
              <w:rPr>
                <w:rFonts w:ascii="宋体" w:hAnsi="宋体" w:eastAsia="宋体" w:cs="Times New Roman"/>
                <w:color w:val="auto"/>
                <w:sz w:val="24"/>
                <w:szCs w:val="20"/>
                <w:highlight w:val="none"/>
              </w:rPr>
              <w:fldChar w:fldCharType="begin"/>
            </w:r>
            <w:r>
              <w:rPr>
                <w:rFonts w:ascii="宋体" w:hAnsi="宋体" w:eastAsia="宋体" w:cs="Times New Roman"/>
                <w:color w:val="auto"/>
                <w:sz w:val="24"/>
                <w:szCs w:val="20"/>
                <w:highlight w:val="none"/>
              </w:rPr>
              <w:instrText xml:space="preserve"> eq \o\ac(</w:instrText>
            </w:r>
            <w:r>
              <w:rPr>
                <w:rFonts w:hint="eastAsia" w:ascii="宋体" w:hAnsi="宋体" w:eastAsia="宋体" w:cs="Times New Roman"/>
                <w:color w:val="auto"/>
                <w:position w:val="-2"/>
                <w:sz w:val="31"/>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hint="eastAsia"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fldChar w:fldCharType="end"/>
            </w:r>
            <w:r>
              <w:rPr>
                <w:rFonts w:hint="eastAsia" w:ascii="Times New Roman" w:hAnsi="Times New Roman" w:eastAsia="宋体" w:cs="Times New Roman"/>
                <w:color w:val="auto"/>
                <w:szCs w:val="21"/>
                <w:highlight w:val="none"/>
              </w:rPr>
              <w:t>允许，</w:t>
            </w:r>
            <w:r>
              <w:rPr>
                <w:rFonts w:ascii="Times New Roman" w:hAnsi="Times New Roman" w:eastAsia="宋体" w:cs="Times New Roman"/>
                <w:color w:val="auto"/>
                <w:szCs w:val="21"/>
                <w:highlight w:val="none"/>
              </w:rPr>
              <w:t>分包内容</w:t>
            </w:r>
            <w:r>
              <w:rPr>
                <w:rFonts w:hint="eastAsia" w:ascii="Times New Roman" w:hAnsi="Times New Roman" w:eastAsia="宋体" w:cs="Times New Roman"/>
                <w:color w:val="auto"/>
                <w:szCs w:val="21"/>
                <w:highlight w:val="none"/>
              </w:rPr>
              <w:t>要求</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依法分包；</w:t>
            </w:r>
          </w:p>
          <w:p>
            <w:pPr>
              <w:spacing w:line="440" w:lineRule="exact"/>
              <w:ind w:firstLine="84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对分包人的资质要求：节制闸工程分包，需具备水利水电工程施工总承包三级及以上资质</w:t>
            </w:r>
            <w:r>
              <w:rPr>
                <w:rFonts w:hint="eastAsia" w:ascii="Times New Roman" w:hAnsi="Times New Roman" w:eastAsia="宋体" w:cs="Times New Roman"/>
                <w:color w:val="auto"/>
                <w:szCs w:val="21"/>
                <w:highlight w:val="none"/>
              </w:rPr>
              <w:t>。</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1.12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偏离</w:t>
            </w:r>
          </w:p>
        </w:tc>
        <w:tc>
          <w:tcPr>
            <w:tcW w:w="5833" w:type="dxa"/>
            <w:tcBorders>
              <w:top w:val="single" w:color="auto" w:sz="4" w:space="0"/>
              <w:left w:val="single" w:color="auto" w:sz="4" w:space="0"/>
              <w:bottom w:val="single" w:color="auto" w:sz="4" w:space="0"/>
              <w:right w:val="single" w:color="auto" w:sz="4" w:space="0"/>
            </w:tcBorders>
            <w:vAlign w:val="center"/>
          </w:tcPr>
          <w:p>
            <w:pPr>
              <w:topLinePunct/>
              <w:spacing w:line="400" w:lineRule="exact"/>
              <w:rPr>
                <w:rFonts w:ascii="Times New Roman" w:hAnsi="Times New Roman" w:eastAsia="宋体" w:cs="Times New Roman"/>
                <w:color w:val="auto"/>
                <w:szCs w:val="21"/>
                <w:highlight w:val="none"/>
              </w:rPr>
            </w:pPr>
            <w:r>
              <w:rPr>
                <w:rFonts w:ascii="宋体" w:hAnsi="宋体" w:eastAsia="宋体" w:cs="Times New Roman"/>
                <w:color w:val="auto"/>
                <w:sz w:val="24"/>
                <w:szCs w:val="20"/>
                <w:highlight w:val="none"/>
              </w:rPr>
              <w:fldChar w:fldCharType="begin"/>
            </w:r>
            <w:r>
              <w:rPr>
                <w:rFonts w:ascii="宋体" w:hAnsi="宋体" w:eastAsia="宋体" w:cs="Times New Roman"/>
                <w:color w:val="auto"/>
                <w:sz w:val="24"/>
                <w:szCs w:val="20"/>
                <w:highlight w:val="none"/>
              </w:rPr>
              <w:instrText xml:space="preserve"> eq \o\ac(</w:instrText>
            </w:r>
            <w:r>
              <w:rPr>
                <w:rFonts w:hint="eastAsia" w:ascii="宋体" w:hAnsi="宋体" w:eastAsia="宋体" w:cs="Times New Roman"/>
                <w:color w:val="auto"/>
                <w:position w:val="-2"/>
                <w:sz w:val="31"/>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hint="eastAsia"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fldChar w:fldCharType="end"/>
            </w:r>
            <w:r>
              <w:rPr>
                <w:rFonts w:hint="eastAsia" w:ascii="Times New Roman" w:hAnsi="Times New Roman" w:eastAsia="宋体" w:cs="Times New Roman"/>
                <w:color w:val="auto"/>
                <w:szCs w:val="21"/>
                <w:highlight w:val="none"/>
              </w:rPr>
              <w:t>不允许</w:t>
            </w:r>
          </w:p>
          <w:p>
            <w:pPr>
              <w:topLinePunct/>
              <w:spacing w:line="4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 w:val="32"/>
                <w:szCs w:val="32"/>
                <w:highlight w:val="none"/>
              </w:rPr>
              <w:t>□</w:t>
            </w:r>
            <w:r>
              <w:rPr>
                <w:rFonts w:hint="eastAsia" w:ascii="宋体" w:hAnsi="Times New Roman" w:eastAsia="宋体" w:cs="Times New Roman"/>
                <w:color w:val="auto"/>
                <w:szCs w:val="21"/>
                <w:highlight w:val="none"/>
              </w:rPr>
              <w:t>允许，允许偏离的内容、偏离范围和幅度</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构成招标文件的其他</w:t>
            </w:r>
            <w:r>
              <w:rPr>
                <w:rFonts w:hint="eastAsia" w:ascii="Times New Roman" w:hAnsi="Times New Roman" w:eastAsia="宋体" w:cs="Times New Roman"/>
                <w:color w:val="auto"/>
                <w:szCs w:val="21"/>
                <w:highlight w:val="none"/>
              </w:rPr>
              <w:t>资</w:t>
            </w:r>
            <w:r>
              <w:rPr>
                <w:rFonts w:ascii="Times New Roman" w:hAnsi="Times New Roman" w:eastAsia="宋体" w:cs="Times New Roman"/>
                <w:color w:val="auto"/>
                <w:szCs w:val="21"/>
                <w:highlight w:val="none"/>
              </w:rPr>
              <w:t>料</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eastAsia="宋体" w:cs="Times New Roman"/>
                <w:color w:val="auto"/>
                <w:kern w:val="0"/>
                <w:szCs w:val="21"/>
                <w:highlight w:val="none"/>
              </w:rPr>
            </w:pPr>
            <w:r>
              <w:rPr>
                <w:rFonts w:hint="eastAsia" w:ascii="Times New Roman" w:hAnsi="Times New Roman" w:eastAsia="宋体" w:cs="Times New Roman"/>
                <w:color w:val="auto"/>
                <w:szCs w:val="21"/>
                <w:highlight w:val="none"/>
              </w:rPr>
              <w:t>普洱市主城区火车站片区排水防涝地下管网及设施建设项目初步设计文件</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工程量清单</w:t>
            </w:r>
            <w:r>
              <w:rPr>
                <w:rFonts w:hint="eastAsia" w:ascii="Times New Roman" w:hAnsi="Times New Roman" w:eastAsia="宋体" w:cs="Times New Roman"/>
                <w:color w:val="auto"/>
                <w:szCs w:val="21"/>
                <w:highlight w:val="none"/>
              </w:rPr>
              <w:t>。</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投标人要求澄清招标文件的截止时间</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同1．10．2的时间要求</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投标截止时间</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rPr>
                <w:rFonts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rPr>
              <w:t>2026</w:t>
            </w:r>
            <w:r>
              <w:rPr>
                <w:rFonts w:ascii="Times New Roman" w:hAnsi="Times New Roman" w:eastAsia="宋体" w:cs="Times New Roman"/>
                <w:color w:val="auto"/>
                <w:szCs w:val="21"/>
                <w:highlight w:val="none"/>
              </w:rPr>
              <w:t>年</w:t>
            </w:r>
            <w:r>
              <w:rPr>
                <w:rFonts w:hint="eastAsia" w:ascii="Times New Roman" w:hAnsi="Times New Roman" w:eastAsia="宋体" w:cs="Times New Roman"/>
                <w:color w:val="auto"/>
                <w:szCs w:val="21"/>
                <w:highlight w:val="none"/>
                <w:u w:val="single"/>
              </w:rPr>
              <w:t>XX</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hint="eastAsia" w:ascii="Times New Roman" w:hAnsi="Times New Roman" w:eastAsia="宋体" w:cs="Times New Roman"/>
                <w:color w:val="auto"/>
                <w:szCs w:val="21"/>
                <w:highlight w:val="none"/>
                <w:u w:val="single"/>
              </w:rPr>
              <w:t>XX</w:t>
            </w:r>
            <w:r>
              <w:rPr>
                <w:rFonts w:ascii="Times New Roman" w:hAnsi="Times New Roman" w:eastAsia="宋体" w:cs="Times New Roman"/>
                <w:color w:val="auto"/>
                <w:szCs w:val="21"/>
                <w:highlight w:val="none"/>
              </w:rPr>
              <w:t>日</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8</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时</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30</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分</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2.2.3</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投标人确认收到招标文件澄清的时间</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投标人自行登录</w:t>
            </w:r>
            <w:r>
              <w:rPr>
                <w:rFonts w:hint="eastAsia" w:ascii="Times New Roman" w:hAnsi="Times New Roman" w:eastAsia="宋体" w:cs="Times New Roman"/>
                <w:color w:val="auto"/>
                <w:szCs w:val="21"/>
                <w:highlight w:val="none"/>
                <w:u w:val="single"/>
              </w:rPr>
              <w:t>云南省公共资源交易信息网（网址：</w:t>
            </w:r>
            <w:r>
              <w:rPr>
                <w:rFonts w:ascii="Times New Roman" w:hAnsi="Times New Roman" w:eastAsia="宋体" w:cs="Times New Roman"/>
                <w:color w:val="auto"/>
                <w:szCs w:val="21"/>
                <w:highlight w:val="none"/>
                <w:u w:val="single"/>
              </w:rPr>
              <w:t>https://ggzy.yn.gov.cn/homePage</w:t>
            </w:r>
            <w:r>
              <w:rPr>
                <w:rFonts w:hint="eastAsia" w:ascii="Times New Roman" w:hAnsi="Times New Roman" w:eastAsia="宋体" w:cs="Times New Roman"/>
                <w:color w:val="auto"/>
                <w:szCs w:val="21"/>
                <w:highlight w:val="none"/>
                <w:u w:val="single"/>
              </w:rPr>
              <w:t>，进入后切换至普洱市）</w:t>
            </w:r>
            <w:r>
              <w:rPr>
                <w:rFonts w:hint="eastAsia" w:ascii="Times New Roman" w:hAnsi="Times New Roman" w:eastAsia="宋体" w:cs="Times New Roman"/>
                <w:color w:val="auto"/>
                <w:szCs w:val="21"/>
                <w:highlight w:val="none"/>
              </w:rPr>
              <w:t>获取澄清，无须回复确认已收到该澄清。</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2.3.2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投标人确认收到招标文件修改的时间</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投标人自行登录</w:t>
            </w:r>
            <w:r>
              <w:rPr>
                <w:rFonts w:hint="eastAsia" w:ascii="Times New Roman" w:hAnsi="Times New Roman" w:eastAsia="宋体" w:cs="Times New Roman"/>
                <w:color w:val="auto"/>
                <w:szCs w:val="21"/>
                <w:highlight w:val="none"/>
                <w:u w:val="single"/>
              </w:rPr>
              <w:t>云南省公共资源交易信息网（网址：</w:t>
            </w:r>
            <w:r>
              <w:rPr>
                <w:rFonts w:ascii="Times New Roman" w:hAnsi="Times New Roman" w:eastAsia="宋体" w:cs="Times New Roman"/>
                <w:color w:val="auto"/>
                <w:szCs w:val="21"/>
                <w:highlight w:val="none"/>
                <w:u w:val="single"/>
              </w:rPr>
              <w:t>https://ggzy.yn.gov.cn/homePage</w:t>
            </w:r>
            <w:r>
              <w:rPr>
                <w:rFonts w:hint="eastAsia" w:ascii="Times New Roman" w:hAnsi="Times New Roman" w:eastAsia="宋体" w:cs="Times New Roman"/>
                <w:color w:val="auto"/>
                <w:szCs w:val="21"/>
                <w:highlight w:val="none"/>
                <w:u w:val="single"/>
              </w:rPr>
              <w:t>，进入后切换至普洱市）</w:t>
            </w:r>
            <w:r>
              <w:rPr>
                <w:rFonts w:hint="eastAsia" w:ascii="Times New Roman" w:hAnsi="Times New Roman" w:eastAsia="宋体" w:cs="Times New Roman"/>
                <w:color w:val="auto"/>
                <w:szCs w:val="21"/>
                <w:highlight w:val="none"/>
              </w:rPr>
              <w:t>收取修改内容，无须回复确认已收到该修改。</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3.1</w:t>
            </w:r>
            <w:r>
              <w:rPr>
                <w:rFonts w:hint="eastAsia" w:ascii="Times New Roman" w:hAnsi="Times New Roman" w:eastAsia="宋体" w:cs="Times New Roman"/>
                <w:color w:val="auto"/>
                <w:szCs w:val="21"/>
                <w:highlight w:val="none"/>
              </w:rPr>
              <w:t>.1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构成投标文件的其他</w:t>
            </w:r>
            <w:r>
              <w:rPr>
                <w:rFonts w:hint="eastAsia" w:ascii="Times New Roman" w:hAnsi="Times New Roman" w:eastAsia="宋体" w:cs="Times New Roman"/>
                <w:color w:val="auto"/>
                <w:szCs w:val="21"/>
                <w:highlight w:val="none"/>
              </w:rPr>
              <w:t>资</w:t>
            </w:r>
            <w:r>
              <w:rPr>
                <w:rFonts w:ascii="Times New Roman" w:hAnsi="Times New Roman" w:eastAsia="宋体" w:cs="Times New Roman"/>
                <w:color w:val="auto"/>
                <w:szCs w:val="21"/>
                <w:highlight w:val="none"/>
              </w:rPr>
              <w:t>料</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w:t>
            </w:r>
          </w:p>
        </w:tc>
      </w:tr>
      <w:tr>
        <w:tblPrEx>
          <w:tblCellMar>
            <w:top w:w="0" w:type="dxa"/>
            <w:left w:w="108" w:type="dxa"/>
            <w:bottom w:w="0" w:type="dxa"/>
            <w:right w:w="108" w:type="dxa"/>
          </w:tblCellMar>
        </w:tblPrEx>
        <w:trPr>
          <w:trHeight w:val="5342"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rPr>
              <w:t>3.2.4</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最高投标限价或其计算方法</w:t>
            </w:r>
          </w:p>
        </w:tc>
        <w:tc>
          <w:tcPr>
            <w:tcW w:w="58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1、</w:t>
            </w:r>
            <w:r>
              <w:rPr>
                <w:rFonts w:hint="eastAsia" w:ascii="宋体" w:hAnsi="宋体" w:eastAsia="宋体" w:cs="Times New Roman"/>
                <w:b/>
                <w:color w:val="auto"/>
                <w:kern w:val="0"/>
                <w:szCs w:val="28"/>
                <w:highlight w:val="none"/>
              </w:rPr>
              <w:t>设计费最高投标限价：</w:t>
            </w:r>
            <w:r>
              <w:rPr>
                <w:rFonts w:hint="eastAsia" w:ascii="宋体" w:hAnsi="宋体" w:eastAsia="宋体" w:cs="Times New Roman"/>
                <w:color w:val="auto"/>
                <w:kern w:val="0"/>
                <w:szCs w:val="28"/>
                <w:highlight w:val="none"/>
              </w:rPr>
              <w:t>设计费按照费率方式报价，最高投标限价为</w:t>
            </w:r>
            <w:r>
              <w:rPr>
                <w:rFonts w:hint="eastAsia" w:ascii="宋体" w:hAnsi="宋体" w:eastAsia="宋体" w:cs="Times New Roman"/>
                <w:color w:val="auto"/>
                <w:kern w:val="0"/>
                <w:szCs w:val="28"/>
                <w:highlight w:val="none"/>
              </w:rPr>
              <w:t>建筑安装工程费的</w:t>
            </w:r>
            <w:r>
              <w:rPr>
                <w:rFonts w:hint="eastAsia" w:ascii="宋体" w:hAnsi="宋体" w:eastAsia="宋体" w:cs="Times New Roman"/>
                <w:b/>
                <w:color w:val="auto"/>
                <w:kern w:val="0"/>
                <w:szCs w:val="28"/>
                <w:highlight w:val="none"/>
              </w:rPr>
              <w:t>1.29%</w:t>
            </w:r>
            <w:r>
              <w:rPr>
                <w:rFonts w:hint="eastAsia" w:ascii="宋体" w:hAnsi="宋体" w:eastAsia="宋体" w:cs="Times New Roman"/>
                <w:color w:val="auto"/>
                <w:kern w:val="0"/>
                <w:szCs w:val="28"/>
                <w:highlight w:val="none"/>
              </w:rPr>
              <w:t>。</w:t>
            </w:r>
          </w:p>
          <w:p>
            <w:pPr>
              <w:adjustRightInd w:val="0"/>
              <w:snapToGrid w:val="0"/>
              <w:spacing w:line="360" w:lineRule="auto"/>
              <w:jc w:val="left"/>
              <w:rPr>
                <w:rFonts w:ascii="宋体" w:hAnsi="宋体" w:eastAsia="宋体" w:cs="Times New Roman"/>
                <w:b/>
                <w:color w:val="auto"/>
                <w:kern w:val="0"/>
                <w:szCs w:val="28"/>
                <w:highlight w:val="none"/>
              </w:rPr>
            </w:pPr>
            <w:r>
              <w:rPr>
                <w:rFonts w:hint="eastAsia" w:ascii="宋体" w:hAnsi="宋体" w:eastAsia="宋体" w:cs="Times New Roman"/>
                <w:color w:val="auto"/>
                <w:kern w:val="0"/>
                <w:szCs w:val="28"/>
                <w:highlight w:val="none"/>
              </w:rPr>
              <w:t>2、</w:t>
            </w:r>
            <w:r>
              <w:rPr>
                <w:rFonts w:hint="eastAsia" w:ascii="宋体" w:hAnsi="宋体" w:eastAsia="宋体" w:cs="Times New Roman"/>
                <w:b/>
                <w:color w:val="auto"/>
                <w:kern w:val="0"/>
                <w:szCs w:val="28"/>
                <w:highlight w:val="none"/>
              </w:rPr>
              <w:t>建筑安装工程费（施工费）最高投标限价</w:t>
            </w:r>
          </w:p>
          <w:p>
            <w:pPr>
              <w:adjustRightInd w:val="0"/>
              <w:snapToGrid w:val="0"/>
              <w:spacing w:line="360" w:lineRule="auto"/>
              <w:ind w:firstLine="315" w:firstLineChars="15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(1)已公布工程量清单部分建筑安装工程费最高投标限价为XXXXX万元，并且已公布工程量清单中的每一项综合单价都是相应综合单价投标报价的最高限价；</w:t>
            </w:r>
          </w:p>
          <w:p>
            <w:pPr>
              <w:adjustRightInd w:val="0"/>
              <w:snapToGrid w:val="0"/>
              <w:spacing w:line="360" w:lineRule="auto"/>
              <w:ind w:firstLine="210" w:firstLineChars="100"/>
              <w:jc w:val="left"/>
              <w:rPr>
                <w:rFonts w:ascii="宋体" w:hAnsi="宋体" w:eastAsia="宋体" w:cs="Times New Roman"/>
                <w:color w:val="auto"/>
                <w:kern w:val="0"/>
                <w:szCs w:val="28"/>
                <w:highlight w:val="none"/>
              </w:rPr>
            </w:pPr>
            <w:r>
              <w:rPr>
                <w:rFonts w:hint="eastAsia" w:ascii="宋体" w:hAnsi="宋体" w:eastAsia="宋体" w:cs="Times New Roman"/>
                <w:color w:val="auto"/>
                <w:kern w:val="0"/>
                <w:szCs w:val="28"/>
                <w:highlight w:val="none"/>
              </w:rPr>
              <w:t>（2）</w:t>
            </w:r>
            <w:r>
              <w:rPr>
                <w:rFonts w:hint="eastAsia" w:ascii="宋体" w:hAnsi="宋体" w:eastAsia="宋体" w:cs="Times New Roman"/>
                <w:color w:val="auto"/>
                <w:kern w:val="0"/>
                <w:szCs w:val="28"/>
                <w:highlight w:val="none"/>
              </w:rPr>
              <w:t>已公布工程量清单部分以外建筑安装工程费</w:t>
            </w:r>
            <w:r>
              <w:rPr>
                <w:rFonts w:hint="eastAsia" w:ascii="宋体" w:hAnsi="宋体" w:eastAsia="宋体" w:cs="Times New Roman"/>
                <w:color w:val="auto"/>
                <w:kern w:val="0"/>
                <w:szCs w:val="28"/>
                <w:highlight w:val="none"/>
              </w:rPr>
              <w:t>，依据《建设工程工程量清单计价标准》（GB/T50500-2024）及配套的工程量计算标准、《建设工程工程量清单计价标准（2024）云南省过渡期实施规定》、《建设工程相关专业工程量计算标准云南省过渡期使用指南》、《云南省建设工程造价计价标准（2020版）》及相关规定，及云南省最新发布的关于上述文件的调整文件及有关规定等，进行编制的结算价为建筑安装工程费最高投标限价，且结算价须经第三方造价咨询单位审核。已公布工程量清单部分以外建筑安装工程费按照优惠率方式报价，优惠率最小为零。</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3.2.5</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投标报价的其他要求</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1、设计费按费率方式报价，采用百分比的形式报价，须小于等于设计费最高投标限价。</w:t>
            </w:r>
          </w:p>
          <w:p>
            <w:pPr>
              <w:spacing w:line="440" w:lineRule="exact"/>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2、已公布工程量清单部分建筑安装工程费按照工程量清单方式报价，</w:t>
            </w:r>
            <w:r>
              <w:rPr>
                <w:rFonts w:hint="eastAsia" w:ascii="Times New Roman" w:hAnsi="Times New Roman" w:eastAsia="宋体" w:cs="Times New Roman"/>
                <w:color w:val="auto"/>
                <w:szCs w:val="21"/>
                <w:highlight w:val="none"/>
              </w:rPr>
              <w:t>已标价</w:t>
            </w:r>
            <w:r>
              <w:rPr>
                <w:rFonts w:hint="eastAsia" w:ascii="Times New Roman" w:hAnsi="Times New Roman" w:eastAsia="宋体" w:cs="Times New Roman"/>
                <w:color w:val="auto"/>
                <w:szCs w:val="21"/>
                <w:highlight w:val="none"/>
              </w:rPr>
              <w:t>工程量清单的每一项</w:t>
            </w:r>
            <w:r>
              <w:rPr>
                <w:rFonts w:hint="eastAsia" w:ascii="Times New Roman" w:hAnsi="Times New Roman" w:eastAsia="宋体" w:cs="Times New Roman"/>
                <w:color w:val="auto"/>
                <w:szCs w:val="21"/>
                <w:highlight w:val="none"/>
              </w:rPr>
              <w:t>综合单价</w:t>
            </w:r>
            <w:r>
              <w:rPr>
                <w:rFonts w:hint="eastAsia" w:ascii="Times New Roman" w:hAnsi="Times New Roman" w:eastAsia="宋体" w:cs="Times New Roman"/>
                <w:color w:val="auto"/>
                <w:szCs w:val="21"/>
                <w:highlight w:val="none"/>
              </w:rPr>
              <w:t>报价均不能高于</w:t>
            </w:r>
            <w:r>
              <w:rPr>
                <w:rFonts w:hint="eastAsia" w:ascii="Times New Roman" w:hAnsi="Times New Roman" w:eastAsia="宋体" w:cs="Times New Roman"/>
                <w:color w:val="auto"/>
                <w:szCs w:val="21"/>
                <w:highlight w:val="none"/>
              </w:rPr>
              <w:t>已公布工程量清单的相应</w:t>
            </w:r>
            <w:r>
              <w:rPr>
                <w:rFonts w:hint="eastAsia" w:ascii="Times New Roman" w:hAnsi="Times New Roman" w:eastAsia="宋体" w:cs="Times New Roman"/>
                <w:color w:val="auto"/>
                <w:szCs w:val="21"/>
                <w:highlight w:val="none"/>
              </w:rPr>
              <w:t>综合单价，报价总价须小于等于最高投标限价总价XXXXX万元。</w:t>
            </w:r>
          </w:p>
          <w:p>
            <w:pPr>
              <w:spacing w:line="440" w:lineRule="exact"/>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3、已公布工程量清单部分以外建筑安装工程费按照优惠率方式报价，采用百分比的形式报价，</w:t>
            </w:r>
            <w:r>
              <w:rPr>
                <w:rFonts w:hint="eastAsia" w:ascii="Times New Roman" w:hAnsi="Times New Roman" w:eastAsia="宋体" w:cs="Times New Roman"/>
                <w:color w:val="auto"/>
                <w:szCs w:val="21"/>
                <w:highlight w:val="none"/>
              </w:rPr>
              <w:t>报价须大于等于零。</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3.3</w:t>
            </w:r>
            <w:r>
              <w:rPr>
                <w:rFonts w:hint="eastAsia" w:ascii="Times New Roman" w:hAnsi="Times New Roman" w:eastAsia="宋体" w:cs="Times New Roman"/>
                <w:color w:val="auto"/>
                <w:szCs w:val="21"/>
                <w:highlight w:val="none"/>
              </w:rPr>
              <w:t>.1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投标有效期</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投标截止之日起90日历天。</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3.4.1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投标保证金</w:t>
            </w:r>
          </w:p>
        </w:tc>
        <w:tc>
          <w:tcPr>
            <w:tcW w:w="5833" w:type="dxa"/>
            <w:tcBorders>
              <w:top w:val="single" w:color="auto" w:sz="4" w:space="0"/>
              <w:left w:val="single" w:color="auto" w:sz="4" w:space="0"/>
              <w:bottom w:val="single" w:color="auto" w:sz="4" w:space="0"/>
              <w:right w:val="single" w:color="auto" w:sz="4" w:space="0"/>
            </w:tcBorders>
            <w:vAlign w:val="center"/>
          </w:tcPr>
          <w:p>
            <w:pPr>
              <w:topLinePunct/>
              <w:adjustRightInd w:val="0"/>
              <w:snapToGrid w:val="0"/>
              <w:spacing w:line="360" w:lineRule="auto"/>
              <w:rPr>
                <w:rFonts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sym w:font="Wingdings 2" w:char="00A3"/>
            </w:r>
            <w:r>
              <w:rPr>
                <w:rFonts w:hint="eastAsia" w:ascii="宋体" w:hAnsi="宋体" w:eastAsia="宋体" w:cs="宋体"/>
                <w:color w:val="auto"/>
                <w:kern w:val="0"/>
                <w:szCs w:val="21"/>
                <w:highlight w:val="none"/>
              </w:rPr>
              <w:t>不要求递交投标保证金</w:t>
            </w:r>
          </w:p>
          <w:p>
            <w:pPr>
              <w:adjustRightInd w:val="0"/>
              <w:snapToGrid w:val="0"/>
              <w:spacing w:line="360" w:lineRule="auto"/>
              <w:rPr>
                <w:rFonts w:ascii="宋体" w:hAnsi="宋体" w:eastAsia="宋体" w:cs="宋体"/>
                <w:color w:val="auto"/>
                <w:kern w:val="0"/>
                <w:sz w:val="20"/>
                <w:szCs w:val="20"/>
                <w:highlight w:val="none"/>
              </w:rPr>
            </w:pP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要求递交投标保证金</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一、投标保证金缴纳形式、金额及账户信息</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(一)投标保证金缴纳形式:银行转账、银行保函、保证保险。</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(二)保证金金额(人民币):</w:t>
            </w:r>
            <w:r>
              <w:rPr>
                <w:rFonts w:hint="eastAsia" w:ascii="Times New Roman" w:hAnsi="Times New Roman" w:eastAsia="宋体" w:cs="Times New Roman"/>
                <w:color w:val="auto"/>
                <w:szCs w:val="21"/>
                <w:highlight w:val="none"/>
              </w:rPr>
              <w:t>20万元</w:t>
            </w:r>
            <w:r>
              <w:rPr>
                <w:rFonts w:hint="eastAsia" w:ascii="Times New Roman" w:hAnsi="Times New Roman" w:eastAsia="宋体" w:cs="Times New Roman"/>
                <w:color w:val="auto"/>
                <w:szCs w:val="21"/>
                <w:highlight w:val="none"/>
              </w:rPr>
              <w:t>（注：按照《云南省招标投标条例》第十七条投标保证金一般不得超过投标估算值的2％，最高不能超过80万元，其中，勘察、设计投标保证金最高不得超过10万元的要求，为贯彻落实《云南省发展和改革委员会等部门关于鼓励减免政府投资项目投标保证金的通知》（云发改交易管理〔2023〕397号）文件规定，降幅不得低于现收取数额50%的工作要求，确定该项目收取投标</w:t>
            </w:r>
            <w:r>
              <w:rPr>
                <w:rFonts w:hint="eastAsia" w:ascii="Times New Roman" w:hAnsi="Times New Roman" w:eastAsia="宋体" w:cs="Times New Roman"/>
                <w:color w:val="auto"/>
                <w:szCs w:val="21"/>
                <w:highlight w:val="none"/>
              </w:rPr>
              <w:t>保证金20万元</w:t>
            </w:r>
            <w:r>
              <w:rPr>
                <w:rFonts w:hint="eastAsia" w:ascii="Times New Roman" w:hAnsi="Times New Roman" w:eastAsia="宋体" w:cs="Times New Roman"/>
                <w:color w:val="auto"/>
                <w:szCs w:val="21"/>
                <w:highlight w:val="none"/>
              </w:rPr>
              <w:t>）</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(三)投标保证金账户信息：</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开户名:普洱市思茅区公共资源交易中心</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开户行:中国建设银行股份有限公司普洱阳光悦城支行          账  户:53001686137051005116-XXXX  （注意:“-XXXX”为系统随机分配生成的四位数字审核码，详见云南省公共资源交易信息网，登录系统后自行查看，必须以此账号(包括“-XXXX”四位数字审核码)为准缴纳保证金。缴纳时请各投标人注意标段信息和投标保证金关联账号信息是否对应，如有不慎后果自负。）</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二、投标保证金的办理程序</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(一)采用银行转账方式</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办理程序:潜在投标人转账到保证金专项银行账户后，潜在投标人需要使用数字证书(CA)登录“云南省公共资源交易信息网</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（https://ggzy.yn.gov.cn/）”在投标保证金模块找到对应项目进行确认并打印确认回执;若保证金出现未绑定导致无法确认的请及时联系。</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(二)采用银行保函方式</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办理程序: 潜在投标人需要使用数字证书(CA)登录云南省公共资源交易信息网（https://ggzy.yn.gov.cn/），在投标保函模块找到对应项目进行保函信息的录入，录入完成后请电话联系交易中心工作人员。注意：保函申请人必须是投标人，受益人必须是招标人，银行保函必须正确填写受益人和申请人的全称，并与招标文件规定的名称相一致，以免造成投标无效。</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 (三)采用投标保证保险方式</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办理程序:潜在投标人需要使用数字证书(CA)登录云南省公共资源交易信息网（https://ggzy.yn.gov.cn/），根据“云南省公共资源交易信息网”的相关规定及操作办理。</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三、投标保证金缴纳其他要求:</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(一)保证金必须从投标人的法人基本账户划出，拒绝私人账户汇款及银行存现;</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(二)保证金转账方式为银行汇缴、电汇、网银，其他转账方式视为无效；</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(三)保证金到账时间以保证金专用账户实际到账时间为准，未在投标截止时间前到账的保证金无效;</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(四)投标保证金缴纳时应注明项目名称和标段名称。</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(五)投标人投同一项目下两个及以上标段（或包号）的，应按标段（或包号）分别提交保证金、银行保函、保证保险。</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请潜在投标人在跨行转账时考虑以下因素：</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1、按照人民银行相关规定，跨行转账在工作日下午4点半前办理手续，可以保证实时跨行到账；</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2、跨行转账尽量采用电汇方式。</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四、投标保证金受理地点和时间</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地点:普洱市政务服务中心8楼普洱市思茅区公共资源交易中心（811室）;</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时间:以专项账户实际到账时间为准，到账截止时间以网上公告时间为准，未按时到账的保证金视为未提交;</w:t>
            </w:r>
          </w:p>
          <w:p>
            <w:pPr>
              <w:adjustRightInd w:val="0"/>
              <w:snapToGrid w:val="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联系电话:0879-3051824(普洱市思茅区公共资源交易中心)  </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         010-86483801（北京筑龙信息技术有限责任公司）</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3.5.</w:t>
            </w:r>
            <w:r>
              <w:rPr>
                <w:rFonts w:hint="eastAsia" w:ascii="Times New Roman" w:hAnsi="Times New Roman" w:eastAsia="宋体" w:cs="Times New Roman"/>
                <w:color w:val="auto"/>
                <w:szCs w:val="21"/>
                <w:highlight w:val="none"/>
              </w:rPr>
              <w:t>2</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近年财务状况</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2024</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w:t>
            </w:r>
            <w:r>
              <w:rPr>
                <w:rFonts w:hint="eastAsia"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w:t>
            </w:r>
            <w:r>
              <w:rPr>
                <w:rFonts w:hint="eastAsia" w:ascii="Times New Roman" w:hAnsi="Times New Roman" w:eastAsia="宋体" w:cs="Times New Roman"/>
                <w:color w:val="auto"/>
                <w:szCs w:val="21"/>
                <w:highlight w:val="none"/>
              </w:rPr>
              <w:t>日至</w:t>
            </w:r>
            <w:r>
              <w:rPr>
                <w:rFonts w:hint="eastAsia" w:ascii="Times New Roman" w:hAnsi="Times New Roman" w:eastAsia="宋体" w:cs="Times New Roman"/>
                <w:color w:val="auto"/>
                <w:szCs w:val="21"/>
                <w:highlight w:val="none"/>
                <w:u w:val="single"/>
              </w:rPr>
              <w:t>2024</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12</w:t>
            </w:r>
            <w:r>
              <w:rPr>
                <w:rFonts w:hint="eastAsia" w:ascii="Times New Roman" w:hAnsi="Times New Roman" w:eastAsia="宋体" w:cs="Times New Roman"/>
                <w:color w:val="auto"/>
                <w:szCs w:val="21"/>
                <w:highlight w:val="none"/>
              </w:rPr>
              <w:t>月</w:t>
            </w:r>
            <w:r>
              <w:rPr>
                <w:rFonts w:hint="eastAsia" w:ascii="Times New Roman" w:hAnsi="Times New Roman" w:eastAsia="宋体" w:cs="Times New Roman"/>
                <w:color w:val="auto"/>
                <w:szCs w:val="21"/>
                <w:highlight w:val="none"/>
                <w:u w:val="single"/>
              </w:rPr>
              <w:t>31</w:t>
            </w:r>
            <w:r>
              <w:rPr>
                <w:rFonts w:hint="eastAsia" w:ascii="Times New Roman" w:hAnsi="Times New Roman" w:eastAsia="宋体" w:cs="Times New Roman"/>
                <w:color w:val="auto"/>
                <w:szCs w:val="21"/>
                <w:highlight w:val="none"/>
              </w:rPr>
              <w:t>日</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3.5.</w:t>
            </w:r>
            <w:r>
              <w:rPr>
                <w:rFonts w:hint="eastAsia" w:ascii="Times New Roman" w:hAnsi="Times New Roman" w:eastAsia="宋体" w:cs="Times New Roman"/>
                <w:color w:val="auto"/>
                <w:szCs w:val="21"/>
                <w:highlight w:val="none"/>
              </w:rPr>
              <w:t>3</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近年完成的类似项目</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2022年1月1日起至今</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3.5.</w:t>
            </w:r>
            <w:r>
              <w:rPr>
                <w:rFonts w:hint="eastAsia" w:ascii="Times New Roman" w:hAnsi="Times New Roman" w:eastAsia="宋体" w:cs="Times New Roman"/>
                <w:color w:val="auto"/>
                <w:szCs w:val="21"/>
                <w:highlight w:val="none"/>
              </w:rPr>
              <w:t>5</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近年发生的诉讼及仲裁情况</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u w:val="single"/>
              </w:rPr>
              <w:t>2022</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w:t>
            </w:r>
            <w:r>
              <w:rPr>
                <w:rFonts w:hint="eastAsia"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日至</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2024</w:t>
            </w:r>
            <w:r>
              <w:rPr>
                <w:rFonts w:ascii="Times New Roman" w:hAnsi="Times New Roman" w:eastAsia="宋体" w:cs="Times New Roman"/>
                <w:color w:val="auto"/>
                <w:szCs w:val="21"/>
                <w:highlight w:val="none"/>
              </w:rPr>
              <w:t>年</w:t>
            </w:r>
            <w:r>
              <w:rPr>
                <w:rFonts w:hint="eastAsia" w:ascii="Times New Roman" w:hAnsi="Times New Roman" w:eastAsia="宋体" w:cs="Times New Roman"/>
                <w:color w:val="auto"/>
                <w:szCs w:val="21"/>
                <w:highlight w:val="none"/>
                <w:u w:val="single"/>
              </w:rPr>
              <w:t>12</w:t>
            </w:r>
            <w:r>
              <w:rPr>
                <w:rFonts w:hint="eastAsia"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31</w:t>
            </w:r>
            <w:r>
              <w:rPr>
                <w:rFonts w:hint="eastAsia" w:ascii="Times New Roman" w:hAnsi="Times New Roman" w:eastAsia="宋体" w:cs="Times New Roman"/>
                <w:color w:val="auto"/>
                <w:szCs w:val="21"/>
                <w:highlight w:val="none"/>
              </w:rPr>
              <w:t>日</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3.6</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是否允许</w:t>
            </w:r>
            <w:r>
              <w:rPr>
                <w:rFonts w:hint="eastAsia" w:ascii="Times New Roman" w:hAnsi="Times New Roman" w:eastAsia="宋体" w:cs="Times New Roman"/>
                <w:color w:val="auto"/>
                <w:szCs w:val="21"/>
                <w:highlight w:val="none"/>
              </w:rPr>
              <w:t>递交备</w:t>
            </w:r>
            <w:r>
              <w:rPr>
                <w:rFonts w:ascii="Times New Roman" w:hAnsi="Times New Roman" w:eastAsia="宋体" w:cs="Times New Roman"/>
                <w:color w:val="auto"/>
                <w:szCs w:val="21"/>
                <w:highlight w:val="none"/>
              </w:rPr>
              <w:t>选投标方案</w:t>
            </w:r>
          </w:p>
        </w:tc>
        <w:tc>
          <w:tcPr>
            <w:tcW w:w="5833" w:type="dxa"/>
            <w:tcBorders>
              <w:top w:val="single" w:color="auto" w:sz="4" w:space="0"/>
              <w:left w:val="single" w:color="auto" w:sz="4" w:space="0"/>
              <w:bottom w:val="single" w:color="auto" w:sz="4" w:space="0"/>
              <w:right w:val="single" w:color="auto" w:sz="4" w:space="0"/>
            </w:tcBorders>
            <w:vAlign w:val="center"/>
          </w:tcPr>
          <w:p>
            <w:pPr>
              <w:topLinePunct/>
              <w:spacing w:line="400" w:lineRule="exact"/>
              <w:rPr>
                <w:rFonts w:ascii="Times New Roman" w:hAnsi="Times New Roman" w:eastAsia="宋体" w:cs="Times New Roman"/>
                <w:color w:val="auto"/>
                <w:szCs w:val="21"/>
                <w:highlight w:val="none"/>
              </w:rPr>
            </w:pPr>
            <w:r>
              <w:rPr>
                <w:rFonts w:ascii="宋体" w:hAnsi="宋体" w:eastAsia="宋体" w:cs="Times New Roman"/>
                <w:color w:val="auto"/>
                <w:sz w:val="24"/>
                <w:szCs w:val="20"/>
                <w:highlight w:val="none"/>
              </w:rPr>
              <w:fldChar w:fldCharType="begin"/>
            </w:r>
            <w:r>
              <w:rPr>
                <w:rFonts w:ascii="宋体" w:hAnsi="宋体" w:eastAsia="宋体" w:cs="Times New Roman"/>
                <w:color w:val="auto"/>
                <w:sz w:val="24"/>
                <w:szCs w:val="20"/>
                <w:highlight w:val="none"/>
              </w:rPr>
              <w:instrText xml:space="preserve"> eq \o\ac(</w:instrText>
            </w:r>
            <w:r>
              <w:rPr>
                <w:rFonts w:hint="eastAsia" w:ascii="宋体" w:hAnsi="宋体" w:eastAsia="宋体" w:cs="Times New Roman"/>
                <w:color w:val="auto"/>
                <w:position w:val="-2"/>
                <w:sz w:val="31"/>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hint="eastAsia"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instrText xml:space="preserve">)</w:instrText>
            </w:r>
            <w:r>
              <w:rPr>
                <w:rFonts w:ascii="宋体" w:hAnsi="宋体" w:eastAsia="宋体" w:cs="Times New Roman"/>
                <w:color w:val="auto"/>
                <w:sz w:val="24"/>
                <w:szCs w:val="20"/>
                <w:highlight w:val="none"/>
              </w:rPr>
              <w:fldChar w:fldCharType="end"/>
            </w:r>
            <w:r>
              <w:rPr>
                <w:rFonts w:hint="eastAsia" w:ascii="Times New Roman" w:hAnsi="Times New Roman" w:eastAsia="宋体" w:cs="Times New Roman"/>
                <w:color w:val="auto"/>
                <w:szCs w:val="21"/>
                <w:highlight w:val="none"/>
              </w:rPr>
              <w:t>不允许</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 w:val="32"/>
                <w:szCs w:val="32"/>
                <w:highlight w:val="none"/>
              </w:rPr>
              <w:t>□</w:t>
            </w:r>
            <w:r>
              <w:rPr>
                <w:rFonts w:hint="eastAsia" w:ascii="Times New Roman" w:hAnsi="Times New Roman" w:eastAsia="宋体" w:cs="Times New Roman"/>
                <w:color w:val="auto"/>
                <w:szCs w:val="21"/>
                <w:highlight w:val="none"/>
              </w:rPr>
              <w:t>允许</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3.7.3</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签字或盖章要求</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按照投标文件格式，采用单位和个人数字证书电子签章及电子签名。</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注：1.在需要电子签章的地方进行电子签章，无需逐页电子签章。</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2.如为联合体投标的，投标人签章均指联合体牵头人。</w:t>
            </w:r>
          </w:p>
        </w:tc>
      </w:tr>
      <w:tr>
        <w:tblPrEx>
          <w:tblCellMar>
            <w:top w:w="0" w:type="dxa"/>
            <w:left w:w="108" w:type="dxa"/>
            <w:bottom w:w="0" w:type="dxa"/>
            <w:right w:w="108" w:type="dxa"/>
          </w:tblCellMar>
        </w:tblPrEx>
        <w:tc>
          <w:tcPr>
            <w:tcW w:w="1165" w:type="dxa"/>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5.1</w:t>
            </w:r>
          </w:p>
        </w:tc>
        <w:tc>
          <w:tcPr>
            <w:tcW w:w="2856" w:type="dxa"/>
            <w:gridSpan w:val="2"/>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开标时间和地点</w:t>
            </w:r>
          </w:p>
        </w:tc>
        <w:tc>
          <w:tcPr>
            <w:tcW w:w="5833" w:type="dxa"/>
            <w:tcBorders>
              <w:top w:val="single" w:color="auto" w:sz="4" w:space="0"/>
              <w:left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开标时间</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同投标截止时间</w:t>
            </w:r>
          </w:p>
          <w:p>
            <w:pPr>
              <w:spacing w:line="440" w:lineRule="exact"/>
              <w:rPr>
                <w:rFonts w:ascii="Times New Roman" w:hAnsi="宋体" w:eastAsia="宋体" w:cs="Times New Roman"/>
                <w:bCs/>
                <w:color w:val="auto"/>
                <w:szCs w:val="21"/>
                <w:highlight w:val="none"/>
                <w:u w:val="single"/>
              </w:rPr>
            </w:pPr>
            <w:r>
              <w:rPr>
                <w:rFonts w:ascii="Times New Roman" w:hAnsi="Times New Roman" w:eastAsia="宋体" w:cs="Times New Roman"/>
                <w:color w:val="auto"/>
                <w:szCs w:val="21"/>
                <w:highlight w:val="none"/>
              </w:rPr>
              <w:t>开标地点</w:t>
            </w:r>
            <w:r>
              <w:rPr>
                <w:rFonts w:hint="eastAsia" w:ascii="Times New Roman" w:hAnsi="Times New Roman" w:eastAsia="宋体" w:cs="Times New Roman"/>
                <w:color w:val="auto"/>
                <w:szCs w:val="21"/>
                <w:highlight w:val="none"/>
              </w:rPr>
              <w:t>：</w:t>
            </w:r>
            <w:r>
              <w:rPr>
                <w:rFonts w:hint="eastAsia" w:ascii="Times New Roman" w:hAnsi="宋体" w:eastAsia="宋体" w:cs="Times New Roman"/>
                <w:bCs/>
                <w:color w:val="auto"/>
                <w:szCs w:val="21"/>
                <w:highlight w:val="none"/>
                <w:u w:val="single"/>
              </w:rPr>
              <w:t>思茅区北部区石龙路与普洱大道交叉口（鼎城国际旁）普洱市政服务中心4楼普洱市思茅区公共资源交易中心招标厅404室</w:t>
            </w:r>
          </w:p>
          <w:p>
            <w:pPr>
              <w:spacing w:line="440" w:lineRule="exact"/>
              <w:rPr>
                <w:rFonts w:ascii="Times New Roman" w:hAnsi="Times New Roman" w:eastAsia="宋体" w:cs="Times New Roman"/>
                <w:color w:val="auto"/>
                <w:szCs w:val="21"/>
                <w:highlight w:val="none"/>
              </w:rPr>
            </w:pPr>
            <w:r>
              <w:rPr>
                <w:rFonts w:hint="eastAsia" w:ascii="Times New Roman" w:hAnsi="宋体" w:eastAsia="宋体" w:cs="Times New Roman"/>
                <w:bCs/>
                <w:color w:val="auto"/>
                <w:szCs w:val="21"/>
                <w:highlight w:val="none"/>
              </w:rPr>
              <w:t>（注：本项目开标采用网上智能开标方式，投标人只能采用网上远程解密方式参与开标,不需到现场。）</w:t>
            </w:r>
          </w:p>
        </w:tc>
      </w:tr>
      <w:tr>
        <w:tblPrEx>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6.1.1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评标委员会的组建</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评标委员会</w:t>
            </w:r>
            <w:r>
              <w:rPr>
                <w:rFonts w:hint="eastAsia" w:ascii="Times New Roman" w:hAnsi="Times New Roman" w:eastAsia="宋体" w:cs="Times New Roman"/>
                <w:color w:val="auto"/>
                <w:szCs w:val="21"/>
                <w:highlight w:val="none"/>
              </w:rPr>
              <w:t>构成：</w:t>
            </w:r>
            <w:r>
              <w:rPr>
                <w:rFonts w:hint="eastAsia" w:ascii="Times New Roman" w:hAnsi="Times New Roman" w:eastAsia="宋体" w:cs="Times New Roman"/>
                <w:color w:val="auto"/>
                <w:szCs w:val="21"/>
                <w:highlight w:val="none"/>
                <w:u w:val="single"/>
              </w:rPr>
              <w:t>7人及其以上单数</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其中招标人代表</w:t>
            </w:r>
            <w:r>
              <w:rPr>
                <w:rFonts w:hint="eastAsia" w:ascii="Times New Roman" w:hAnsi="Times New Roman" w:eastAsia="宋体" w:cs="Times New Roman"/>
                <w:color w:val="auto"/>
                <w:szCs w:val="21"/>
                <w:highlight w:val="none"/>
                <w:u w:val="single"/>
              </w:rPr>
              <w:t xml:space="preserve">   /  </w:t>
            </w:r>
            <w:r>
              <w:rPr>
                <w:rFonts w:hint="eastAsia" w:ascii="Times New Roman" w:hAnsi="Times New Roman" w:eastAsia="宋体" w:cs="Times New Roman"/>
                <w:color w:val="auto"/>
                <w:szCs w:val="21"/>
                <w:highlight w:val="none"/>
              </w:rPr>
              <w:t>人，专家</w:t>
            </w:r>
            <w:r>
              <w:rPr>
                <w:rFonts w:hint="eastAsia" w:ascii="Times New Roman" w:hAnsi="Times New Roman" w:eastAsia="宋体" w:cs="Times New Roman"/>
                <w:color w:val="auto"/>
                <w:szCs w:val="21"/>
                <w:highlight w:val="none"/>
                <w:u w:val="single"/>
              </w:rPr>
              <w:t xml:space="preserve">   /   </w:t>
            </w:r>
            <w:r>
              <w:rPr>
                <w:rFonts w:hint="eastAsia" w:ascii="Times New Roman" w:hAnsi="Times New Roman" w:eastAsia="宋体" w:cs="Times New Roman"/>
                <w:color w:val="auto"/>
                <w:szCs w:val="21"/>
                <w:highlight w:val="none"/>
              </w:rPr>
              <w:t>人；</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评标专家确定方式</w:t>
            </w:r>
            <w:r>
              <w:rPr>
                <w:rFonts w:hint="eastAsia" w:ascii="Times New Roman" w:hAnsi="Times New Roman" w:eastAsia="宋体" w:cs="Times New Roman"/>
                <w:color w:val="auto"/>
                <w:szCs w:val="21"/>
                <w:highlight w:val="none"/>
              </w:rPr>
              <w:t>：随机抽取</w:t>
            </w:r>
          </w:p>
        </w:tc>
      </w:tr>
      <w:tr>
        <w:tblPrEx>
          <w:tblCellMar>
            <w:top w:w="0" w:type="dxa"/>
            <w:left w:w="108" w:type="dxa"/>
            <w:bottom w:w="0" w:type="dxa"/>
            <w:right w:w="108" w:type="dxa"/>
          </w:tblCellMar>
        </w:tblPrEx>
        <w:trPr>
          <w:trHeight w:val="114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是否授权评标委员会确定中标人</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 w:val="32"/>
                <w:szCs w:val="32"/>
                <w:highlight w:val="none"/>
              </w:rPr>
              <w:t>□</w:t>
            </w:r>
            <w:r>
              <w:rPr>
                <w:rFonts w:hint="eastAsia" w:ascii="Times New Roman" w:hAnsi="Times New Roman" w:eastAsia="宋体" w:cs="Times New Roman"/>
                <w:color w:val="auto"/>
                <w:szCs w:val="21"/>
                <w:highlight w:val="none"/>
              </w:rPr>
              <w:t>是</w:t>
            </w:r>
          </w:p>
          <w:p>
            <w:pPr>
              <w:spacing w:line="440" w:lineRule="exact"/>
              <w:rPr>
                <w:rFonts w:ascii="Times New Roman" w:hAnsi="Times New Roman" w:eastAsia="宋体" w:cs="Times New Roman"/>
                <w:color w:val="auto"/>
                <w:szCs w:val="21"/>
                <w:highlight w:val="none"/>
              </w:rPr>
            </w:pPr>
            <w:r>
              <w:rPr>
                <w:rFonts w:ascii="Times New Roman" w:hAnsi="宋体" w:eastAsia="宋体" w:cs="Times New Roman"/>
                <w:color w:val="auto"/>
                <w:szCs w:val="24"/>
                <w:highlight w:val="none"/>
              </w:rPr>
              <w:fldChar w:fldCharType="begin"/>
            </w:r>
            <w:r>
              <w:rPr>
                <w:rFonts w:ascii="Times New Roman" w:hAnsi="宋体" w:eastAsia="宋体" w:cs="Times New Roman"/>
                <w:color w:val="auto"/>
                <w:szCs w:val="24"/>
                <w:highlight w:val="none"/>
              </w:rPr>
              <w:instrText xml:space="preserve"> eq \o\ac(</w:instrText>
            </w:r>
            <w:r>
              <w:rPr>
                <w:rFonts w:hint="eastAsia" w:ascii="Times New Roman" w:hAnsi="宋体" w:eastAsia="宋体" w:cs="Times New Roman"/>
                <w:color w:val="auto"/>
                <w:position w:val="-2"/>
                <w:sz w:val="31"/>
                <w:szCs w:val="24"/>
                <w:highlight w:val="none"/>
              </w:rPr>
              <w:instrText xml:space="preserve">□</w:instrText>
            </w:r>
            <w:r>
              <w:rPr>
                <w:rFonts w:ascii="Times New Roman" w:hAnsi="宋体" w:eastAsia="宋体" w:cs="Times New Roman"/>
                <w:color w:val="auto"/>
                <w:szCs w:val="24"/>
                <w:highlight w:val="none"/>
              </w:rPr>
              <w:instrText xml:space="preserve">,</w:instrText>
            </w:r>
            <w:r>
              <w:rPr>
                <w:rFonts w:hint="eastAsia"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instrText xml:space="preserve">)</w:instrText>
            </w:r>
            <w:r>
              <w:rPr>
                <w:rFonts w:ascii="Times New Roman" w:hAnsi="宋体" w:eastAsia="宋体" w:cs="Times New Roman"/>
                <w:color w:val="auto"/>
                <w:szCs w:val="24"/>
                <w:highlight w:val="none"/>
              </w:rPr>
              <w:fldChar w:fldCharType="end"/>
            </w:r>
            <w:r>
              <w:rPr>
                <w:rFonts w:hint="eastAsia" w:ascii="Times New Roman" w:hAnsi="Times New Roman" w:eastAsia="宋体" w:cs="Times New Roman"/>
                <w:color w:val="auto"/>
                <w:szCs w:val="21"/>
                <w:highlight w:val="none"/>
              </w:rPr>
              <w:t>否，</w:t>
            </w:r>
            <w:r>
              <w:rPr>
                <w:rFonts w:ascii="Times New Roman" w:hAnsi="Times New Roman" w:eastAsia="宋体" w:cs="Times New Roman"/>
                <w:color w:val="auto"/>
                <w:szCs w:val="21"/>
                <w:highlight w:val="none"/>
              </w:rPr>
              <w:t>推荐的中标候选人数</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u w:val="single"/>
              </w:rPr>
              <w:t xml:space="preserve"> 3 </w:t>
            </w:r>
          </w:p>
        </w:tc>
      </w:tr>
      <w:tr>
        <w:tblPrEx>
          <w:tblCellMar>
            <w:top w:w="0" w:type="dxa"/>
            <w:left w:w="108" w:type="dxa"/>
            <w:bottom w:w="0" w:type="dxa"/>
            <w:right w:w="108" w:type="dxa"/>
          </w:tblCellMar>
        </w:tblPrEx>
        <w:trPr>
          <w:trHeight w:val="381" w:hRule="atLeast"/>
        </w:trPr>
        <w:tc>
          <w:tcPr>
            <w:tcW w:w="1165" w:type="dxa"/>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7.2</w:t>
            </w:r>
          </w:p>
        </w:tc>
        <w:tc>
          <w:tcPr>
            <w:tcW w:w="2856" w:type="dxa"/>
            <w:gridSpan w:val="2"/>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中标候选人公示媒介</w:t>
            </w:r>
          </w:p>
        </w:tc>
        <w:tc>
          <w:tcPr>
            <w:tcW w:w="5833" w:type="dxa"/>
            <w:tcBorders>
              <w:top w:val="single" w:color="auto" w:sz="4" w:space="0"/>
              <w:left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0"/>
                <w:highlight w:val="none"/>
                <w:u w:val="single"/>
              </w:rPr>
              <w:t>云南省公共资源交易信息网（http://ggzy.yn.gov.cn/）及云南省建设监管公共服务平台（http://www.ynjzjgcx.com/）</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w:t>
            </w:r>
            <w:r>
              <w:rPr>
                <w:rFonts w:hint="eastAsia" w:ascii="Times New Roman" w:hAnsi="Times New Roman" w:eastAsia="宋体" w:cs="Times New Roman"/>
                <w:color w:val="auto"/>
                <w:szCs w:val="21"/>
                <w:highlight w:val="none"/>
              </w:rPr>
              <w:t>4</w:t>
            </w:r>
            <w:r>
              <w:rPr>
                <w:rFonts w:ascii="Times New Roman" w:hAnsi="Times New Roman" w:eastAsia="宋体" w:cs="Times New Roman"/>
                <w:color w:val="auto"/>
                <w:szCs w:val="21"/>
                <w:highlight w:val="none"/>
              </w:rPr>
              <w:t>.1</w:t>
            </w:r>
          </w:p>
        </w:tc>
        <w:tc>
          <w:tcPr>
            <w:tcW w:w="285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履约担保</w:t>
            </w:r>
          </w:p>
        </w:tc>
        <w:tc>
          <w:tcPr>
            <w:tcW w:w="5833"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b/>
                <w:color w:val="auto"/>
                <w:szCs w:val="21"/>
                <w:highlight w:val="none"/>
              </w:rPr>
            </w:pPr>
            <w:r>
              <w:rPr>
                <w:rFonts w:ascii="Times New Roman" w:hAnsi="Times New Roman" w:eastAsia="宋体" w:cs="Times New Roman"/>
                <w:color w:val="auto"/>
                <w:szCs w:val="21"/>
                <w:highlight w:val="none"/>
              </w:rPr>
              <w:t>履约担保的形式：</w:t>
            </w:r>
            <w:r>
              <w:rPr>
                <w:rFonts w:hint="eastAsia" w:ascii="Times New Roman" w:hAnsi="Times New Roman" w:eastAsia="宋体" w:cs="Times New Roman"/>
                <w:color w:val="auto"/>
                <w:szCs w:val="21"/>
                <w:highlight w:val="none"/>
              </w:rPr>
              <w:t>法律法规允许的形式（现金、银行保函、保证保险），以合同约定为准。</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履约担保的金额：</w:t>
            </w:r>
            <w:r>
              <w:rPr>
                <w:rFonts w:hint="eastAsia" w:ascii="Times New Roman" w:hAnsi="Times New Roman" w:eastAsia="宋体" w:cs="Times New Roman"/>
                <w:color w:val="auto"/>
                <w:szCs w:val="21"/>
                <w:highlight w:val="none"/>
              </w:rPr>
              <w:t>投标人提供的履约担保金额为中标价的5%</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b/>
                <w:color w:val="auto"/>
                <w:szCs w:val="21"/>
                <w:highlight w:val="none"/>
              </w:rPr>
              <w:t>9</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b/>
                <w:color w:val="auto"/>
                <w:szCs w:val="21"/>
                <w:highlight w:val="none"/>
              </w:rPr>
              <w:t>需要</w:t>
            </w:r>
            <w:r>
              <w:rPr>
                <w:rFonts w:ascii="Times New Roman" w:hAnsi="Times New Roman" w:eastAsia="宋体" w:cs="Times New Roman"/>
                <w:b/>
                <w:color w:val="auto"/>
                <w:szCs w:val="21"/>
                <w:highlight w:val="none"/>
              </w:rPr>
              <w:t>补充</w:t>
            </w:r>
            <w:r>
              <w:rPr>
                <w:rFonts w:hint="eastAsia" w:ascii="Times New Roman" w:hAnsi="Times New Roman" w:eastAsia="宋体" w:cs="Times New Roman"/>
                <w:b/>
                <w:color w:val="auto"/>
                <w:szCs w:val="21"/>
                <w:highlight w:val="none"/>
              </w:rPr>
              <w:t>的其他</w:t>
            </w:r>
            <w:r>
              <w:rPr>
                <w:rFonts w:ascii="Times New Roman" w:hAnsi="Times New Roman" w:eastAsia="宋体" w:cs="Times New Roman"/>
                <w:b/>
                <w:color w:val="auto"/>
                <w:szCs w:val="21"/>
                <w:highlight w:val="none"/>
              </w:rPr>
              <w:t>内容</w:t>
            </w:r>
          </w:p>
        </w:tc>
      </w:tr>
      <w:tr>
        <w:tblPrEx>
          <w:tblCellMar>
            <w:top w:w="0" w:type="dxa"/>
            <w:left w:w="108" w:type="dxa"/>
            <w:bottom w:w="0" w:type="dxa"/>
            <w:right w:w="108" w:type="dxa"/>
          </w:tblCellMar>
        </w:tblPrEx>
        <w:trPr>
          <w:trHeight w:val="4074"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hint="eastAsia" w:ascii="Times New Roman" w:hAnsi="Times New Roman" w:eastAsia="宋体" w:cs="Times New Roman"/>
                <w:color w:val="auto"/>
                <w:szCs w:val="21"/>
                <w:highlight w:val="none"/>
              </w:rPr>
              <w:t>9.1</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1、本项目招标采用网上开标方式，投标人只能采用网上远程解密方式参与开标，不接受现场解密方式。远程解密注意事项如下：</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（1）投标人登录云南省公共资源交易中心(</w:t>
            </w:r>
            <w:r>
              <w:rPr>
                <w:rFonts w:ascii="Times New Roman" w:hAnsi="Times New Roman" w:eastAsia="宋体" w:cs="Times New Roman"/>
                <w:color w:val="auto"/>
                <w:szCs w:val="21"/>
                <w:highlight w:val="none"/>
              </w:rPr>
              <w:t>https://ggzy.yn.gov.cn/homePage</w:t>
            </w:r>
            <w:r>
              <w:rPr>
                <w:rFonts w:hint="eastAsia" w:ascii="Times New Roman" w:hAnsi="Times New Roman" w:eastAsia="宋体" w:cs="Times New Roman"/>
                <w:color w:val="auto"/>
                <w:szCs w:val="21"/>
                <w:highlight w:val="none"/>
              </w:rPr>
              <w:t>，进入后切换至普洱市)熟悉网上智能开标远程解密操作，确保投标文件解密过程顺利；</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（2）网上开标过程中，注意招标人发布的即时通知；</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（3）投标文件解密时间为30分钟（注：因特殊原因，有投标人无法在规定时间内解密的，可以再次下达网上解密命令来延长解密时间；如果确定全部解密导入成功，可以直接到下一步）；</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（4）解密结束后，投标人在3分钟内未提出异议的，视为无异议，到达截止时间后自动进入下一环节。</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（5）由于投标人操作失误或自身造成没有按时进行远程解密的，视为撤回投标文件。</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2、招标代理机构主持开标的地点：思茅区北部区石龙路与普洱大道交叉口（鼎城国际旁）普洱市政服务中心4楼思茅区公共资源交易中心招标厅404室。</w:t>
            </w:r>
          </w:p>
        </w:tc>
      </w:tr>
      <w:tr>
        <w:tblPrEx>
          <w:tblCellMar>
            <w:top w:w="0" w:type="dxa"/>
            <w:left w:w="108" w:type="dxa"/>
            <w:bottom w:w="0" w:type="dxa"/>
            <w:right w:w="108" w:type="dxa"/>
          </w:tblCellMar>
        </w:tblPrEx>
        <w:trPr>
          <w:trHeight w:val="1171"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9.2</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1、投标人应作出承诺，承诺拟派工程总承包项目经理现阶段没有担任任何在施建设工程项目的项目经理，并将承诺书附在投标文件中。</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2、投标人应作出承诺，承诺业绩真实，并将承诺书附在投标文件中。</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9.3</w:t>
            </w:r>
          </w:p>
        </w:tc>
        <w:tc>
          <w:tcPr>
            <w:tcW w:w="180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hint="eastAsia" w:ascii="宋体" w:hAnsi="宋体" w:eastAsia="宋体" w:cs="Times New Roman"/>
                <w:color w:val="auto"/>
                <w:kern w:val="0"/>
                <w:szCs w:val="21"/>
                <w:highlight w:val="none"/>
              </w:rPr>
              <w:t>词语定义</w:t>
            </w:r>
          </w:p>
        </w:tc>
        <w:tc>
          <w:tcPr>
            <w:tcW w:w="688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宋体" w:eastAsia="宋体" w:cs="Times New Roman"/>
                <w:bCs/>
                <w:color w:val="auto"/>
                <w:szCs w:val="21"/>
                <w:highlight w:val="none"/>
              </w:rPr>
            </w:pPr>
            <w:r>
              <w:rPr>
                <w:rFonts w:hint="eastAsia" w:ascii="Times New Roman" w:hAnsi="Times New Roman" w:eastAsia="宋体" w:cs="Times New Roman"/>
                <w:color w:val="auto"/>
                <w:szCs w:val="21"/>
                <w:highlight w:val="none"/>
              </w:rPr>
              <w:t>1.类似施工项目是指：</w:t>
            </w:r>
            <w:r>
              <w:rPr>
                <w:rFonts w:hint="eastAsia" w:ascii="宋体" w:hAnsi="宋体" w:eastAsia="宋体" w:cs="宋体"/>
                <w:bCs/>
                <w:color w:val="auto"/>
                <w:kern w:val="0"/>
                <w:szCs w:val="21"/>
                <w:highlight w:val="none"/>
              </w:rPr>
              <w:t>2022年1月1日起至今承接单项合同</w:t>
            </w:r>
            <w:r>
              <w:rPr>
                <w:rFonts w:hint="eastAsia" w:ascii="宋体" w:hAnsi="宋体" w:eastAsia="宋体" w:cs="宋体"/>
                <w:bCs/>
                <w:color w:val="auto"/>
                <w:kern w:val="0"/>
                <w:szCs w:val="21"/>
                <w:highlight w:val="none"/>
              </w:rPr>
              <w:t>金额在</w:t>
            </w:r>
            <w:r>
              <w:rPr>
                <w:rFonts w:hint="eastAsia" w:ascii="宋体" w:hAnsi="宋体" w:eastAsia="宋体" w:cs="宋体"/>
                <w:bCs/>
                <w:color w:val="auto"/>
                <w:kern w:val="0"/>
                <w:szCs w:val="21"/>
                <w:highlight w:val="none"/>
              </w:rPr>
              <w:t>7000万元</w:t>
            </w:r>
            <w:r>
              <w:rPr>
                <w:rFonts w:hint="eastAsia" w:ascii="宋体" w:hAnsi="宋体" w:eastAsia="宋体" w:cs="宋体"/>
                <w:bCs/>
                <w:color w:val="auto"/>
                <w:kern w:val="0"/>
                <w:szCs w:val="21"/>
                <w:highlight w:val="none"/>
              </w:rPr>
              <w:t>以上的市政公用工程施工项目</w:t>
            </w:r>
            <w:r>
              <w:rPr>
                <w:rFonts w:hint="eastAsia" w:ascii="宋体" w:hAnsi="宋体" w:eastAsia="宋体" w:cs="宋体"/>
                <w:bCs/>
                <w:color w:val="auto"/>
                <w:kern w:val="0"/>
                <w:szCs w:val="21"/>
                <w:highlight w:val="none"/>
              </w:rPr>
              <w:t>（或</w:t>
            </w:r>
            <w:r>
              <w:rPr>
                <w:rFonts w:hint="eastAsia" w:ascii="宋体" w:hAnsi="宋体" w:eastAsia="宋体" w:cs="宋体"/>
                <w:bCs/>
                <w:color w:val="auto"/>
                <w:kern w:val="0"/>
                <w:szCs w:val="21"/>
                <w:highlight w:val="none"/>
              </w:rPr>
              <w:t>市政公用工程工程总承包项目的施工</w:t>
            </w:r>
            <w:r>
              <w:rPr>
                <w:rFonts w:hint="eastAsia" w:ascii="宋体" w:hAnsi="宋体" w:eastAsia="宋体" w:cs="宋体"/>
                <w:bCs/>
                <w:color w:val="auto"/>
                <w:kern w:val="0"/>
                <w:szCs w:val="21"/>
                <w:highlight w:val="none"/>
              </w:rPr>
              <w:t>），</w:t>
            </w:r>
            <w:r>
              <w:rPr>
                <w:rFonts w:hint="eastAsia" w:ascii="Times New Roman" w:hAnsi="宋体" w:eastAsia="宋体" w:cs="Times New Roman"/>
                <w:bCs/>
                <w:color w:val="auto"/>
                <w:szCs w:val="21"/>
                <w:highlight w:val="none"/>
              </w:rPr>
              <w:t>应是己列入建筑市场主管部门“全国建筑市场监管公共服务平台”</w:t>
            </w:r>
            <w:r>
              <w:rPr>
                <w:rFonts w:hint="eastAsia" w:ascii="Times New Roman" w:hAnsi="宋体" w:eastAsia="宋体" w:cs="Times New Roman"/>
                <w:bCs/>
                <w:color w:val="auto"/>
                <w:szCs w:val="21"/>
                <w:highlight w:val="none"/>
              </w:rPr>
              <w:t>的业绩</w:t>
            </w:r>
            <w:r>
              <w:rPr>
                <w:rFonts w:hint="eastAsia" w:ascii="Times New Roman" w:hAnsi="宋体" w:eastAsia="宋体" w:cs="Times New Roman"/>
                <w:bCs/>
                <w:color w:val="auto"/>
                <w:szCs w:val="21"/>
                <w:highlight w:val="none"/>
              </w:rPr>
              <w:t xml:space="preserve">。须提供合同协议书扫描件（包括合同首页、合同金额所在页、合同签字盖章页、合同签订时间页、工期页），同时须提供“全国建筑市场监管公共服务平台” </w:t>
            </w:r>
            <w:r>
              <w:rPr>
                <w:rFonts w:hint="eastAsia" w:ascii="Times New Roman" w:hAnsi="宋体" w:eastAsia="宋体" w:cs="Times New Roman"/>
                <w:bCs/>
                <w:color w:val="auto"/>
                <w:szCs w:val="21"/>
                <w:highlight w:val="none"/>
              </w:rPr>
              <w:t>网站上查询截图</w:t>
            </w:r>
            <w:r>
              <w:rPr>
                <w:rFonts w:hint="eastAsia" w:ascii="Times New Roman" w:hAnsi="宋体" w:eastAsia="宋体" w:cs="Times New Roman"/>
                <w:bCs/>
                <w:color w:val="auto"/>
                <w:szCs w:val="21"/>
                <w:highlight w:val="none"/>
              </w:rPr>
              <w:t>。</w:t>
            </w:r>
            <w:r>
              <w:rPr>
                <w:rFonts w:hint="eastAsia" w:ascii="Times New Roman" w:hAnsi="宋体" w:eastAsia="宋体" w:cs="Times New Roman"/>
                <w:bCs/>
                <w:color w:val="auto"/>
                <w:szCs w:val="21"/>
                <w:highlight w:val="none"/>
              </w:rPr>
              <w:t>若合同协议书不能体现合同金额的，则需提供建设单位盖章的结算金额证明扫描件。</w:t>
            </w:r>
          </w:p>
          <w:p>
            <w:pPr>
              <w:spacing w:line="440" w:lineRule="exact"/>
              <w:rPr>
                <w:rFonts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w:t>
            </w:r>
            <w:r>
              <w:rPr>
                <w:rFonts w:hint="eastAsia" w:ascii="Times New Roman" w:hAnsi="Times New Roman" w:eastAsia="宋体" w:cs="Times New Roman"/>
                <w:color w:val="auto"/>
                <w:szCs w:val="24"/>
                <w:highlight w:val="none"/>
              </w:rPr>
              <w:t xml:space="preserve"> 类似</w:t>
            </w:r>
            <w:r>
              <w:rPr>
                <w:rFonts w:hint="eastAsia" w:ascii="宋体" w:hAnsi="宋体" w:eastAsia="宋体" w:cs="宋体"/>
                <w:bCs/>
                <w:color w:val="auto"/>
                <w:kern w:val="0"/>
                <w:szCs w:val="21"/>
                <w:highlight w:val="none"/>
              </w:rPr>
              <w:t>设计项目是指：2022年1月1日起至今</w:t>
            </w:r>
            <w:r>
              <w:rPr>
                <w:rFonts w:hint="eastAsia" w:ascii="宋体" w:hAnsi="宋体" w:eastAsia="宋体" w:cs="宋体"/>
                <w:bCs/>
                <w:color w:val="auto"/>
                <w:kern w:val="0"/>
                <w:szCs w:val="21"/>
                <w:highlight w:val="none"/>
              </w:rPr>
              <w:t>工程造价</w:t>
            </w:r>
            <w:r>
              <w:rPr>
                <w:rFonts w:hint="eastAsia" w:ascii="宋体" w:hAnsi="宋体" w:eastAsia="宋体" w:cs="宋体"/>
                <w:bCs/>
                <w:color w:val="auto"/>
                <w:kern w:val="0"/>
                <w:szCs w:val="21"/>
                <w:highlight w:val="none"/>
              </w:rPr>
              <w:t>在7000万元</w:t>
            </w:r>
            <w:r>
              <w:rPr>
                <w:rFonts w:hint="eastAsia" w:ascii="宋体" w:hAnsi="宋体" w:eastAsia="宋体" w:cs="宋体"/>
                <w:bCs/>
                <w:color w:val="auto"/>
                <w:kern w:val="0"/>
                <w:szCs w:val="21"/>
                <w:highlight w:val="none"/>
              </w:rPr>
              <w:t>以上或项目总投资在</w:t>
            </w:r>
            <w:r>
              <w:rPr>
                <w:rFonts w:hint="eastAsia" w:ascii="宋体" w:hAnsi="宋体" w:eastAsia="宋体" w:cs="宋体"/>
                <w:bCs/>
                <w:color w:val="auto"/>
                <w:kern w:val="0"/>
                <w:szCs w:val="21"/>
                <w:highlight w:val="none"/>
              </w:rPr>
              <w:t>8000万元</w:t>
            </w:r>
            <w:r>
              <w:rPr>
                <w:rFonts w:hint="eastAsia" w:ascii="宋体" w:hAnsi="宋体" w:eastAsia="宋体" w:cs="宋体"/>
                <w:bCs/>
                <w:color w:val="auto"/>
                <w:kern w:val="0"/>
                <w:szCs w:val="21"/>
                <w:highlight w:val="none"/>
              </w:rPr>
              <w:t>以上规模的市政公用工程设计项目（或市政公用工程工程总承包项目的设计）</w:t>
            </w:r>
            <w:r>
              <w:rPr>
                <w:rFonts w:hint="eastAsia" w:ascii="宋体" w:hAnsi="宋体" w:eastAsia="宋体" w:cs="宋体"/>
                <w:bCs/>
                <w:color w:val="auto"/>
                <w:kern w:val="0"/>
                <w:szCs w:val="21"/>
                <w:highlight w:val="none"/>
              </w:rPr>
              <w:t>，应是己列入建筑市场主管部门“全国建筑市场监管公共服务平台”</w:t>
            </w:r>
            <w:r>
              <w:rPr>
                <w:rFonts w:hint="eastAsia" w:ascii="宋体" w:hAnsi="宋体" w:eastAsia="宋体" w:cs="宋体"/>
                <w:bCs/>
                <w:color w:val="auto"/>
                <w:kern w:val="0"/>
                <w:szCs w:val="21"/>
                <w:highlight w:val="none"/>
              </w:rPr>
              <w:t>的业绩</w:t>
            </w:r>
            <w:r>
              <w:rPr>
                <w:rFonts w:hint="eastAsia" w:ascii="宋体" w:hAnsi="宋体" w:eastAsia="宋体" w:cs="宋体"/>
                <w:bCs/>
                <w:color w:val="auto"/>
                <w:kern w:val="0"/>
                <w:szCs w:val="21"/>
                <w:highlight w:val="none"/>
              </w:rPr>
              <w:t xml:space="preserve">。须提供合同协议书扫描件（包括合同首页、合同金额所在页、合同签字盖章页、合同签订时间页、工期页），同时须提供“全国建筑市场监管公共服务平台” </w:t>
            </w:r>
            <w:r>
              <w:rPr>
                <w:rFonts w:hint="eastAsia" w:ascii="宋体" w:hAnsi="宋体" w:eastAsia="宋体" w:cs="宋体"/>
                <w:bCs/>
                <w:color w:val="auto"/>
                <w:kern w:val="0"/>
                <w:szCs w:val="21"/>
                <w:highlight w:val="none"/>
              </w:rPr>
              <w:t>网站上查询截图</w:t>
            </w:r>
            <w:r>
              <w:rPr>
                <w:rFonts w:hint="eastAsia" w:ascii="宋体" w:hAnsi="宋体" w:eastAsia="宋体" w:cs="宋体"/>
                <w:bCs/>
                <w:color w:val="auto"/>
                <w:kern w:val="0"/>
                <w:szCs w:val="21"/>
                <w:highlight w:val="none"/>
              </w:rPr>
              <w:t>。若合同协议书不能体现合同金额的，则需提供建设单位盖章的结算金额证明扫描件。</w:t>
            </w:r>
            <w:r>
              <w:rPr>
                <w:rFonts w:ascii="宋体" w:hAnsi="宋体" w:eastAsia="宋体" w:cs="宋体"/>
                <w:bCs/>
                <w:color w:val="auto"/>
                <w:kern w:val="0"/>
                <w:szCs w:val="21"/>
                <w:highlight w:val="none"/>
              </w:rPr>
              <w:t xml:space="preserve"> </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9.4</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项目实施过程管理中，中标人应协助发包人办理工程总承包各阶段的报建、审查、审批、核准、办证、备案、外协谈判等的相关手续办理、协调配合及必要的安全评估和检查、综合调试、竣工图的审核、试运行考核、竣工验收、质量保修、图纸资料的归档、固定资产转固、竣工结算、配合财务决算等直至满足发包人要求并交付发包人接收使用。</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9.5</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委招标代理服务费为</w:t>
            </w:r>
            <w:r>
              <w:rPr>
                <w:rFonts w:hint="eastAsia" w:ascii="Times New Roman" w:hAnsi="Times New Roman" w:eastAsia="宋体" w:cs="Times New Roman"/>
                <w:b/>
                <w:color w:val="auto"/>
                <w:szCs w:val="21"/>
                <w:highlight w:val="none"/>
                <w:u w:val="single"/>
              </w:rPr>
              <w:t>9万元包干计取</w:t>
            </w:r>
            <w:r>
              <w:rPr>
                <w:rFonts w:hint="eastAsia" w:ascii="Times New Roman" w:hAnsi="Times New Roman" w:eastAsia="宋体" w:cs="Times New Roman"/>
                <w:b/>
                <w:color w:val="auto"/>
                <w:szCs w:val="21"/>
                <w:highlight w:val="none"/>
              </w:rPr>
              <w:t>，招标代理服务费由中标人支付。</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9.6</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评标委员会发现投标人的报价明显低于其他投标报价，使得其投标报价可能低于其成本的，应当要求该投标人作出书面说明并提供相应的证明材料。投标人不能合理说明或者不能提供相应证明材料的，评标委员会应当认定该投标人以低于成本报价竞标，应当否决其投标。</w:t>
            </w:r>
          </w:p>
        </w:tc>
      </w:tr>
      <w:tr>
        <w:tblPrEx>
          <w:tblCellMar>
            <w:top w:w="0" w:type="dxa"/>
            <w:left w:w="108" w:type="dxa"/>
            <w:bottom w:w="0" w:type="dxa"/>
            <w:right w:w="108" w:type="dxa"/>
          </w:tblCellMar>
        </w:tblPrEx>
        <w:trPr>
          <w:trHeight w:val="880"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9.7</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本招标项目采用限额设计，建筑安装工程费不得超过</w:t>
            </w:r>
            <w:r>
              <w:rPr>
                <w:rFonts w:hint="eastAsia" w:ascii="Times New Roman" w:hAnsi="Times New Roman" w:eastAsia="宋体" w:cs="Times New Roman"/>
                <w:b/>
                <w:color w:val="auto"/>
                <w:szCs w:val="21"/>
                <w:highlight w:val="none"/>
              </w:rPr>
              <w:t>10061.3万元，</w:t>
            </w:r>
            <w:r>
              <w:rPr>
                <w:rFonts w:hint="eastAsia" w:ascii="Times New Roman" w:hAnsi="Times New Roman" w:eastAsia="宋体" w:cs="Times New Roman"/>
                <w:b/>
                <w:color w:val="auto"/>
                <w:szCs w:val="21"/>
                <w:highlight w:val="none"/>
              </w:rPr>
              <w:t>投标文件中的建筑安装工程费概算不得超过</w:t>
            </w:r>
            <w:r>
              <w:rPr>
                <w:rFonts w:hint="eastAsia" w:ascii="Times New Roman" w:hAnsi="Times New Roman" w:eastAsia="宋体" w:cs="Times New Roman"/>
                <w:b/>
                <w:color w:val="auto"/>
                <w:szCs w:val="21"/>
                <w:highlight w:val="none"/>
              </w:rPr>
              <w:t>10061.3万元</w:t>
            </w:r>
            <w:r>
              <w:rPr>
                <w:rFonts w:hint="eastAsia" w:ascii="Times New Roman" w:hAnsi="Times New Roman" w:eastAsia="宋体" w:cs="Times New Roman"/>
                <w:b/>
                <w:color w:val="auto"/>
                <w:szCs w:val="21"/>
                <w:highlight w:val="none"/>
              </w:rPr>
              <w:t>。</w:t>
            </w:r>
          </w:p>
        </w:tc>
      </w:tr>
      <w:tr>
        <w:tblPrEx>
          <w:tblCellMar>
            <w:top w:w="0" w:type="dxa"/>
            <w:left w:w="108" w:type="dxa"/>
            <w:bottom w:w="0" w:type="dxa"/>
            <w:right w:w="108" w:type="dxa"/>
          </w:tblCellMar>
        </w:tblPrEx>
        <w:trPr>
          <w:trHeight w:val="575" w:hRule="atLeast"/>
        </w:trPr>
        <w:tc>
          <w:tcPr>
            <w:tcW w:w="11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9.8</w:t>
            </w:r>
          </w:p>
        </w:tc>
        <w:tc>
          <w:tcPr>
            <w:tcW w:w="868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在项目实施过程中，中标人不得以项目投资减少的理由进行索赔。</w:t>
            </w:r>
          </w:p>
        </w:tc>
      </w:tr>
    </w:tbl>
    <w:p>
      <w:pPr>
        <w:spacing w:line="400" w:lineRule="exact"/>
        <w:rPr>
          <w:rFonts w:ascii="Times New Roman" w:hAnsi="Times New Roman" w:eastAsia="宋体" w:cs="Times New Roman"/>
          <w:color w:val="auto"/>
          <w:szCs w:val="24"/>
          <w:highlight w:val="none"/>
        </w:rPr>
      </w:pPr>
    </w:p>
    <w:p>
      <w:pPr>
        <w:keepNext/>
        <w:keepLines/>
        <w:spacing w:before="260" w:after="260" w:line="415" w:lineRule="auto"/>
        <w:outlineLvl w:val="1"/>
        <w:rPr>
          <w:rFonts w:ascii="Arial" w:hAnsi="Arial" w:eastAsia="黑体" w:cs="Times New Roman"/>
          <w:b/>
          <w:bCs/>
          <w:color w:val="auto"/>
          <w:sz w:val="32"/>
          <w:szCs w:val="32"/>
          <w:highlight w:val="none"/>
        </w:rPr>
      </w:pPr>
      <w:r>
        <w:rPr>
          <w:rFonts w:ascii="Times New Roman" w:hAnsi="Times New Roman" w:eastAsia="宋体" w:cs="Times New Roman"/>
          <w:color w:val="auto"/>
          <w:szCs w:val="24"/>
          <w:highlight w:val="none"/>
        </w:rPr>
        <w:br w:type="page"/>
      </w:r>
      <w:bookmarkStart w:id="57" w:name="_Toc216681831"/>
      <w:bookmarkStart w:id="58" w:name="_Toc247527553"/>
      <w:bookmarkStart w:id="59" w:name="_Toc247513952"/>
      <w:bookmarkStart w:id="60" w:name="_Toc152042305"/>
      <w:bookmarkStart w:id="61" w:name="_Toc152045529"/>
      <w:bookmarkStart w:id="62" w:name="_Toc144974497"/>
      <w:r>
        <w:rPr>
          <w:rFonts w:hint="eastAsia" w:ascii="Arial" w:hAnsi="Arial" w:eastAsia="黑体" w:cs="Times New Roman"/>
          <w:b/>
          <w:bCs/>
          <w:color w:val="auto"/>
          <w:sz w:val="32"/>
          <w:szCs w:val="32"/>
          <w:highlight w:val="none"/>
        </w:rPr>
        <w:t>1. 总则</w:t>
      </w:r>
      <w:bookmarkEnd w:id="57"/>
      <w:bookmarkEnd w:id="58"/>
      <w:bookmarkEnd w:id="59"/>
      <w:bookmarkEnd w:id="60"/>
      <w:bookmarkEnd w:id="61"/>
      <w:bookmarkEnd w:id="62"/>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63" w:name="_Toc144974498"/>
      <w:bookmarkStart w:id="64" w:name="_Toc216681832"/>
      <w:bookmarkStart w:id="65" w:name="_Toc247513953"/>
      <w:bookmarkStart w:id="66" w:name="_Toc152042306"/>
      <w:bookmarkStart w:id="67" w:name="_Toc152045530"/>
      <w:bookmarkStart w:id="68" w:name="_Toc247527554"/>
      <w:r>
        <w:rPr>
          <w:rFonts w:hint="eastAsia" w:ascii="Times New Roman" w:hAnsi="Times New Roman" w:eastAsia="黑体" w:cs="Times New Roman"/>
          <w:bCs/>
          <w:color w:val="auto"/>
          <w:sz w:val="28"/>
          <w:szCs w:val="28"/>
          <w:highlight w:val="none"/>
        </w:rPr>
        <w:t>1.1</w:t>
      </w:r>
      <w:r>
        <w:rPr>
          <w:rFonts w:hint="eastAsia" w:ascii="黑体" w:hAnsi="宋体" w:eastAsia="黑体" w:cs="Times New Roman"/>
          <w:bCs/>
          <w:color w:val="auto"/>
          <w:sz w:val="28"/>
          <w:szCs w:val="28"/>
          <w:highlight w:val="none"/>
        </w:rPr>
        <w:t xml:space="preserve"> 项目概况</w:t>
      </w:r>
      <w:bookmarkEnd w:id="63"/>
      <w:bookmarkEnd w:id="64"/>
      <w:bookmarkEnd w:id="65"/>
      <w:bookmarkEnd w:id="66"/>
      <w:bookmarkEnd w:id="67"/>
      <w:bookmarkEnd w:id="68"/>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1.1.1根据《中华人民共和国招标投标法》等有关法律、法规和规章的规定，本招标项目已具备招标条件，现对该项目设计施工进行总承包招标。</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1.1.2 招标人：见投标人须知前附表。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1.1.3 招标代理机构：见投标人须知前附表。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1.1.4项目名称：见投标人须知前附表。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1.1.5招标项目名称：见投标人须知前附表。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1.1.6标段划分：见投标人须知前附表。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1.1.7工程地点：见投标人须知前附表。</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69" w:name="_Toc247513954"/>
      <w:bookmarkStart w:id="70" w:name="_Toc152042307"/>
      <w:bookmarkStart w:id="71" w:name="_Toc144974499"/>
      <w:bookmarkStart w:id="72" w:name="_Toc247527555"/>
      <w:bookmarkStart w:id="73" w:name="_Toc216681833"/>
      <w:bookmarkStart w:id="74" w:name="_Toc152045531"/>
      <w:r>
        <w:rPr>
          <w:rFonts w:hint="eastAsia" w:ascii="Times New Roman" w:hAnsi="Times New Roman" w:eastAsia="黑体" w:cs="Times New Roman"/>
          <w:bCs/>
          <w:color w:val="auto"/>
          <w:sz w:val="28"/>
          <w:szCs w:val="28"/>
          <w:highlight w:val="none"/>
        </w:rPr>
        <w:t xml:space="preserve">1.2 </w:t>
      </w:r>
      <w:r>
        <w:rPr>
          <w:rFonts w:hint="eastAsia" w:ascii="黑体" w:hAnsi="宋体" w:eastAsia="黑体" w:cs="Times New Roman"/>
          <w:bCs/>
          <w:color w:val="auto"/>
          <w:sz w:val="28"/>
          <w:szCs w:val="28"/>
          <w:highlight w:val="none"/>
        </w:rPr>
        <w:t>项目的资金来源和落实情况</w:t>
      </w:r>
      <w:bookmarkEnd w:id="69"/>
      <w:bookmarkEnd w:id="70"/>
      <w:bookmarkEnd w:id="71"/>
      <w:bookmarkEnd w:id="72"/>
      <w:bookmarkEnd w:id="73"/>
      <w:bookmarkEnd w:id="74"/>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1.2.1 资金来源：见投标人须知前附表。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1.2.2 资金落实情况：见投标人须知前附表。</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75" w:name="_Toc247513955"/>
      <w:bookmarkStart w:id="76" w:name="_Toc152045532"/>
      <w:bookmarkStart w:id="77" w:name="_Toc247527556"/>
      <w:bookmarkStart w:id="78" w:name="_Toc152042308"/>
      <w:bookmarkStart w:id="79" w:name="_Toc144974500"/>
      <w:bookmarkStart w:id="80" w:name="_Toc216681834"/>
      <w:r>
        <w:rPr>
          <w:rFonts w:hint="eastAsia" w:ascii="Times New Roman" w:hAnsi="Times New Roman" w:eastAsia="黑体" w:cs="Times New Roman"/>
          <w:bCs/>
          <w:color w:val="auto"/>
          <w:sz w:val="28"/>
          <w:szCs w:val="28"/>
          <w:highlight w:val="none"/>
        </w:rPr>
        <w:t>1.3</w:t>
      </w:r>
      <w:r>
        <w:rPr>
          <w:rFonts w:hint="eastAsia" w:ascii="黑体" w:hAnsi="宋体" w:eastAsia="黑体" w:cs="Times New Roman"/>
          <w:bCs/>
          <w:color w:val="auto"/>
          <w:sz w:val="28"/>
          <w:szCs w:val="28"/>
          <w:highlight w:val="none"/>
        </w:rPr>
        <w:t xml:space="preserve"> 招标范围、计划工期和</w:t>
      </w:r>
      <w:bookmarkEnd w:id="75"/>
      <w:bookmarkEnd w:id="76"/>
      <w:bookmarkEnd w:id="77"/>
      <w:bookmarkEnd w:id="78"/>
      <w:bookmarkEnd w:id="79"/>
      <w:r>
        <w:rPr>
          <w:rFonts w:hint="eastAsia" w:ascii="黑体" w:hAnsi="宋体" w:eastAsia="黑体" w:cs="Times New Roman"/>
          <w:bCs/>
          <w:color w:val="auto"/>
          <w:sz w:val="28"/>
          <w:szCs w:val="28"/>
          <w:highlight w:val="none"/>
        </w:rPr>
        <w:t>质量要求</w:t>
      </w:r>
      <w:bookmarkEnd w:id="80"/>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1.3.1 招标范围：见投标人须知前附表。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1.3.2 计划工期：见投标人须知前附表。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1.3.3 质量要求：见投标人须知前附表。</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81" w:name="_Toc247513957"/>
      <w:bookmarkStart w:id="82" w:name="_Toc152045534"/>
      <w:bookmarkStart w:id="83" w:name="_Toc216681835"/>
      <w:bookmarkStart w:id="84" w:name="_Toc247527558"/>
      <w:bookmarkStart w:id="85" w:name="_Toc144974502"/>
      <w:bookmarkStart w:id="86" w:name="_Toc152042310"/>
      <w:r>
        <w:rPr>
          <w:rFonts w:hint="eastAsia" w:ascii="Times New Roman" w:hAnsi="Times New Roman" w:eastAsia="黑体" w:cs="Times New Roman"/>
          <w:bCs/>
          <w:color w:val="auto"/>
          <w:sz w:val="28"/>
          <w:szCs w:val="28"/>
          <w:highlight w:val="none"/>
        </w:rPr>
        <w:t>1.4</w:t>
      </w:r>
      <w:r>
        <w:rPr>
          <w:rFonts w:hint="eastAsia" w:ascii="黑体" w:hAnsi="宋体" w:eastAsia="黑体" w:cs="Times New Roman"/>
          <w:bCs/>
          <w:color w:val="auto"/>
          <w:sz w:val="28"/>
          <w:szCs w:val="28"/>
          <w:highlight w:val="none"/>
        </w:rPr>
        <w:t xml:space="preserve"> 投标人资格要求</w:t>
      </w:r>
      <w:bookmarkEnd w:id="81"/>
      <w:bookmarkEnd w:id="82"/>
      <w:bookmarkEnd w:id="83"/>
      <w:bookmarkEnd w:id="84"/>
      <w:bookmarkEnd w:id="85"/>
      <w:bookmarkEnd w:id="86"/>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1.4.1 投标人应具备承担本招标项目资质条件、能力和信誉。</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（1）资质要求：见投标人须知前附表；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（2）财务要求：见投标人须知前附表；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（3）业绩要求：见投标人须知前附表；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（4）信誉要求：见投标人须知前附表；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（5）工程总承包项目经理的资格要求：应当具备工程设计类或者工程施工类注册执业资格，具体要求见投标人须知前附表；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（6）设计负责人的资格要求：应当具备工程设计类注册执业资格，具体要求见投标人须知前附表；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（7）施工负责人的资格要求：应当具备工程施工类注册执业资格，具体要求见投标人须知前附表；</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（8）其他要求：见投标人须知前附表。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1.4.2 投标人须知前附表规定接受联合体投标的，除应符合本章第1.4.1项和投标人须知前附表的要求外，还应遵守以下规定：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（1）联合体各方应按招标文件提供的格式签订联合体协议书，明确联合体牵头人和各方权利义务；</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（2）由同一专业的单位组成的联合体，按照资质等级较低的单位确定资质等级；</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（3）联合体各方不得再以自己名义单独或参加其他联合体在本招标项目中投标。</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1.4.3 投标人不得存在下列情形之一：</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（1）为招标人不具有独立法人资格的附属机构（单位）；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（2）为本招标项目的监理人；</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（3）为本招标项目的代建人；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（4）为本招标项目提供招标代理服务的；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（5）与本招标项目的监理人或代建人或招标代理机构同为一个法定代表人的；</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（6）与本招标项目的监理人或代建人或招标代理机构相互控股或参股的；</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（7）与本招标项目的监理人或代建人或招标代理机构相互任职或工作的。</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（8）被责令停业的；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（9）被暂停或取消投标资格的；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（10）财产被接管或冻结的；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（11）在最近三年内有骗取中标或严重违约或重大工程质量问题的。</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1.4.4 单位负责人为同一人或者存在控股、管理关系的不同单位，不得同时参加本招标项目投标。</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87" w:name="_Toc152042311"/>
      <w:bookmarkStart w:id="88" w:name="_Toc247527559"/>
      <w:bookmarkStart w:id="89" w:name="_Toc144974503"/>
      <w:bookmarkStart w:id="90" w:name="_Toc152045535"/>
      <w:bookmarkStart w:id="91" w:name="_Toc247513958"/>
      <w:bookmarkStart w:id="92" w:name="_Toc216681836"/>
      <w:r>
        <w:rPr>
          <w:rFonts w:hint="eastAsia" w:ascii="Times New Roman" w:hAnsi="Times New Roman" w:eastAsia="黑体" w:cs="Times New Roman"/>
          <w:bCs/>
          <w:color w:val="auto"/>
          <w:sz w:val="28"/>
          <w:szCs w:val="28"/>
          <w:highlight w:val="none"/>
        </w:rPr>
        <w:t>1.5</w:t>
      </w:r>
      <w:r>
        <w:rPr>
          <w:rFonts w:hint="eastAsia" w:ascii="黑体" w:hAnsi="宋体" w:eastAsia="黑体" w:cs="Times New Roman"/>
          <w:bCs/>
          <w:color w:val="auto"/>
          <w:sz w:val="28"/>
          <w:szCs w:val="28"/>
          <w:highlight w:val="none"/>
        </w:rPr>
        <w:t xml:space="preserve"> 费用承担</w:t>
      </w:r>
      <w:bookmarkEnd w:id="87"/>
      <w:bookmarkEnd w:id="88"/>
      <w:bookmarkEnd w:id="89"/>
      <w:bookmarkEnd w:id="90"/>
      <w:bookmarkEnd w:id="91"/>
      <w:r>
        <w:rPr>
          <w:rFonts w:hint="eastAsia" w:ascii="黑体" w:hAnsi="宋体" w:eastAsia="黑体" w:cs="Times New Roman"/>
          <w:bCs/>
          <w:color w:val="auto"/>
          <w:sz w:val="28"/>
          <w:szCs w:val="28"/>
          <w:highlight w:val="none"/>
        </w:rPr>
        <w:t>和设计成果补偿</w:t>
      </w:r>
      <w:bookmarkEnd w:id="9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1.5.1 投标人准备和参加投标活动发生的费用自理。</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1.5.2 招标人对符合招标文件规定的未中标人的设计成果进行补偿的，按投标人须知前附表规定给予补偿，并有权免费使用未中标人设计成果。</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93" w:name="_Toc216681837"/>
      <w:bookmarkStart w:id="94" w:name="_Toc247527560"/>
      <w:bookmarkStart w:id="95" w:name="_Toc247513959"/>
      <w:bookmarkStart w:id="96" w:name="_Toc144974504"/>
      <w:bookmarkStart w:id="97" w:name="_Toc152045536"/>
      <w:bookmarkStart w:id="98" w:name="_Toc152042312"/>
      <w:r>
        <w:rPr>
          <w:rFonts w:hint="eastAsia" w:ascii="Times New Roman" w:hAnsi="Times New Roman" w:eastAsia="黑体" w:cs="Times New Roman"/>
          <w:bCs/>
          <w:color w:val="auto"/>
          <w:sz w:val="28"/>
          <w:szCs w:val="28"/>
          <w:highlight w:val="none"/>
        </w:rPr>
        <w:t xml:space="preserve">1.6 </w:t>
      </w:r>
      <w:r>
        <w:rPr>
          <w:rFonts w:hint="eastAsia" w:ascii="黑体" w:hAnsi="宋体" w:eastAsia="黑体" w:cs="Times New Roman"/>
          <w:bCs/>
          <w:color w:val="auto"/>
          <w:sz w:val="28"/>
          <w:szCs w:val="28"/>
          <w:highlight w:val="none"/>
        </w:rPr>
        <w:t>保密</w:t>
      </w:r>
      <w:bookmarkEnd w:id="93"/>
      <w:bookmarkEnd w:id="94"/>
      <w:bookmarkEnd w:id="95"/>
      <w:bookmarkEnd w:id="96"/>
      <w:bookmarkEnd w:id="97"/>
      <w:bookmarkEnd w:id="98"/>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参与招标投标活动的各方应对招标文件和投标文件中的商业和技术等秘密保密，否则应承担相应的法律责任。 </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99" w:name="_Toc144974505"/>
      <w:bookmarkStart w:id="100" w:name="_Toc247527561"/>
      <w:bookmarkStart w:id="101" w:name="_Toc152045537"/>
      <w:bookmarkStart w:id="102" w:name="_Toc216681838"/>
      <w:bookmarkStart w:id="103" w:name="_Toc152042313"/>
      <w:bookmarkStart w:id="104" w:name="_Toc247513960"/>
      <w:r>
        <w:rPr>
          <w:rFonts w:hint="eastAsia" w:ascii="Times New Roman" w:hAnsi="Times New Roman" w:eastAsia="黑体" w:cs="Times New Roman"/>
          <w:bCs/>
          <w:color w:val="auto"/>
          <w:sz w:val="28"/>
          <w:szCs w:val="28"/>
          <w:highlight w:val="none"/>
        </w:rPr>
        <w:t>1.7</w:t>
      </w:r>
      <w:r>
        <w:rPr>
          <w:rFonts w:hint="eastAsia" w:ascii="黑体" w:hAnsi="宋体" w:eastAsia="黑体" w:cs="Times New Roman"/>
          <w:bCs/>
          <w:color w:val="auto"/>
          <w:sz w:val="28"/>
          <w:szCs w:val="28"/>
          <w:highlight w:val="none"/>
        </w:rPr>
        <w:t xml:space="preserve"> 语言</w:t>
      </w:r>
      <w:bookmarkEnd w:id="99"/>
      <w:r>
        <w:rPr>
          <w:rFonts w:hint="eastAsia" w:ascii="黑体" w:hAnsi="宋体" w:eastAsia="黑体" w:cs="Times New Roman"/>
          <w:bCs/>
          <w:color w:val="auto"/>
          <w:sz w:val="28"/>
          <w:szCs w:val="28"/>
          <w:highlight w:val="none"/>
        </w:rPr>
        <w:t>文字</w:t>
      </w:r>
      <w:bookmarkEnd w:id="100"/>
      <w:bookmarkEnd w:id="101"/>
      <w:bookmarkEnd w:id="102"/>
      <w:bookmarkEnd w:id="103"/>
      <w:bookmarkEnd w:id="104"/>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招标投标文件使用的语言文字为中文。专用术语使用外文的，应附有中文注释。</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05" w:name="_Toc152042314"/>
      <w:bookmarkStart w:id="106" w:name="_Toc216681839"/>
      <w:bookmarkStart w:id="107" w:name="_Toc144974506"/>
      <w:bookmarkStart w:id="108" w:name="_Toc152045538"/>
      <w:bookmarkStart w:id="109" w:name="_Toc247513961"/>
      <w:bookmarkStart w:id="110" w:name="_Toc247527562"/>
      <w:r>
        <w:rPr>
          <w:rFonts w:hint="eastAsia" w:ascii="Times New Roman" w:hAnsi="Times New Roman" w:eastAsia="黑体" w:cs="Times New Roman"/>
          <w:bCs/>
          <w:color w:val="auto"/>
          <w:sz w:val="28"/>
          <w:szCs w:val="28"/>
          <w:highlight w:val="none"/>
        </w:rPr>
        <w:t xml:space="preserve">1.8 </w:t>
      </w:r>
      <w:r>
        <w:rPr>
          <w:rFonts w:hint="eastAsia" w:ascii="黑体" w:hAnsi="宋体" w:eastAsia="黑体" w:cs="Times New Roman"/>
          <w:bCs/>
          <w:color w:val="auto"/>
          <w:sz w:val="28"/>
          <w:szCs w:val="28"/>
          <w:highlight w:val="none"/>
        </w:rPr>
        <w:t>计量单位</w:t>
      </w:r>
      <w:bookmarkEnd w:id="105"/>
      <w:bookmarkEnd w:id="106"/>
      <w:bookmarkEnd w:id="107"/>
      <w:bookmarkEnd w:id="108"/>
      <w:bookmarkEnd w:id="109"/>
      <w:bookmarkEnd w:id="110"/>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所有计量均采用中华人民共和国法定计量单位。</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11" w:name="_Toc152042315"/>
      <w:bookmarkStart w:id="112" w:name="_Toc216681840"/>
      <w:bookmarkStart w:id="113" w:name="_Toc247513962"/>
      <w:bookmarkStart w:id="114" w:name="_Toc152045539"/>
      <w:bookmarkStart w:id="115" w:name="_Toc247527563"/>
      <w:bookmarkStart w:id="116" w:name="_Toc144974507"/>
      <w:r>
        <w:rPr>
          <w:rFonts w:hint="eastAsia" w:ascii="Times New Roman" w:hAnsi="Times New Roman" w:eastAsia="黑体" w:cs="Times New Roman"/>
          <w:bCs/>
          <w:color w:val="auto"/>
          <w:sz w:val="28"/>
          <w:szCs w:val="28"/>
          <w:highlight w:val="none"/>
        </w:rPr>
        <w:t>1.9</w:t>
      </w:r>
      <w:r>
        <w:rPr>
          <w:rFonts w:hint="eastAsia" w:ascii="黑体" w:hAnsi="宋体" w:eastAsia="黑体" w:cs="Times New Roman"/>
          <w:bCs/>
          <w:color w:val="auto"/>
          <w:sz w:val="28"/>
          <w:szCs w:val="28"/>
          <w:highlight w:val="none"/>
        </w:rPr>
        <w:t xml:space="preserve"> 踏勘现场</w:t>
      </w:r>
      <w:bookmarkEnd w:id="111"/>
      <w:bookmarkEnd w:id="112"/>
      <w:bookmarkEnd w:id="113"/>
      <w:bookmarkEnd w:id="114"/>
      <w:bookmarkEnd w:id="115"/>
      <w:bookmarkEnd w:id="116"/>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1.9.1 投标人须知前附表规定组织踏勘现场的，招标人按投标人须知前附表规定的时间、地点组织投标人踏勘项目现场。 </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1.9.2 投标人踏勘现场发生的费用自理。</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1.9.3 除招标人的原因外，投标人自行负责在踏勘现场中所发生的人员伤亡和财产损失。</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1.9.4 招标人在踏勘现场中介绍的工程场地和相关的周边环境情况，供投标人在编制投标文件时参考，招标人不对投标人据此作出的判断和决策负责。</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17" w:name="_Toc247527564"/>
      <w:bookmarkStart w:id="118" w:name="_Toc152045540"/>
      <w:bookmarkStart w:id="119" w:name="_Toc216681841"/>
      <w:bookmarkStart w:id="120" w:name="_Toc247513963"/>
      <w:bookmarkStart w:id="121" w:name="_Toc144974508"/>
      <w:bookmarkStart w:id="122" w:name="_Toc152042316"/>
      <w:r>
        <w:rPr>
          <w:rFonts w:hint="eastAsia" w:ascii="Times New Roman" w:hAnsi="Times New Roman" w:eastAsia="黑体" w:cs="Times New Roman"/>
          <w:bCs/>
          <w:color w:val="auto"/>
          <w:sz w:val="28"/>
          <w:szCs w:val="28"/>
          <w:highlight w:val="none"/>
        </w:rPr>
        <w:t>1.10</w:t>
      </w:r>
      <w:r>
        <w:rPr>
          <w:rFonts w:hint="eastAsia" w:ascii="黑体" w:hAnsi="宋体" w:eastAsia="黑体" w:cs="Times New Roman"/>
          <w:bCs/>
          <w:color w:val="auto"/>
          <w:sz w:val="28"/>
          <w:szCs w:val="28"/>
          <w:highlight w:val="none"/>
        </w:rPr>
        <w:t xml:space="preserve"> 投标预备会</w:t>
      </w:r>
      <w:bookmarkEnd w:id="117"/>
      <w:bookmarkEnd w:id="118"/>
      <w:bookmarkEnd w:id="119"/>
      <w:bookmarkEnd w:id="120"/>
      <w:bookmarkEnd w:id="121"/>
      <w:bookmarkEnd w:id="12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1.10.1 投标人须知前附表规定召开投标预备会的，招标人按投标人须知前附表规定的时间和地点召开投标预备会，澄清投标人提出的问题。</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1.10.2 投标人应在投标人须知前附表规定的时间前，以书面形式将提出的问题送达招标人，以便招标人在会议期间澄清。</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1.10.3 投标预备会后，招标人在投标人须知前附表规定的时间内，将对投标人所提问题的澄清，以书面形式通知所有购买招标文件的投标人。该澄清内容为招标文件的组成部分。</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23" w:name="_Toc247527565"/>
      <w:bookmarkStart w:id="124" w:name="_Toc247513964"/>
      <w:bookmarkStart w:id="125" w:name="_Toc144974509"/>
      <w:bookmarkStart w:id="126" w:name="_Toc152042317"/>
      <w:bookmarkStart w:id="127" w:name="_Toc152045541"/>
      <w:bookmarkStart w:id="128" w:name="_Toc216681842"/>
      <w:r>
        <w:rPr>
          <w:rFonts w:hint="eastAsia" w:ascii="Times New Roman" w:hAnsi="Times New Roman" w:eastAsia="黑体" w:cs="Times New Roman"/>
          <w:bCs/>
          <w:color w:val="auto"/>
          <w:sz w:val="28"/>
          <w:szCs w:val="28"/>
          <w:highlight w:val="none"/>
        </w:rPr>
        <w:t xml:space="preserve">1.11 </w:t>
      </w:r>
      <w:r>
        <w:rPr>
          <w:rFonts w:hint="eastAsia" w:ascii="黑体" w:hAnsi="宋体" w:eastAsia="黑体" w:cs="Times New Roman"/>
          <w:bCs/>
          <w:color w:val="auto"/>
          <w:sz w:val="28"/>
          <w:szCs w:val="28"/>
          <w:highlight w:val="none"/>
        </w:rPr>
        <w:t>分包</w:t>
      </w:r>
      <w:bookmarkEnd w:id="123"/>
      <w:bookmarkEnd w:id="124"/>
      <w:bookmarkEnd w:id="125"/>
      <w:bookmarkEnd w:id="126"/>
      <w:bookmarkEnd w:id="127"/>
      <w:bookmarkEnd w:id="128"/>
    </w:p>
    <w:p>
      <w:pPr>
        <w:spacing w:line="400" w:lineRule="exact"/>
        <w:ind w:firstLine="567"/>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1.11.1 投标人须知前附表规定应当由分包人实施的非主体、非关键性工作，投标人应当按照第四章“发包人要求”的规定提供分包人侯选名单及其相应资料。</w:t>
      </w:r>
    </w:p>
    <w:p>
      <w:pPr>
        <w:spacing w:line="400" w:lineRule="exact"/>
        <w:ind w:firstLine="567"/>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1.11.2 投标人拟在中标后将中标项目的部分非主体、非关键性工作进行分包的，应符合投标人须知前附表规定的分包内容、分包金额和资质要求等限制性条件。</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29" w:name="_Toc216681843"/>
      <w:bookmarkStart w:id="130" w:name="_Toc247527566"/>
      <w:bookmarkStart w:id="131" w:name="_Toc247513965"/>
      <w:r>
        <w:rPr>
          <w:rFonts w:hint="eastAsia" w:ascii="Times New Roman" w:hAnsi="Times New Roman" w:eastAsia="黑体" w:cs="Times New Roman"/>
          <w:bCs/>
          <w:color w:val="auto"/>
          <w:sz w:val="28"/>
          <w:szCs w:val="28"/>
          <w:highlight w:val="none"/>
        </w:rPr>
        <w:t>1.12</w:t>
      </w:r>
      <w:r>
        <w:rPr>
          <w:rFonts w:hint="eastAsia" w:ascii="黑体" w:hAnsi="宋体" w:eastAsia="黑体" w:cs="Times New Roman"/>
          <w:bCs/>
          <w:color w:val="auto"/>
          <w:sz w:val="28"/>
          <w:szCs w:val="28"/>
          <w:highlight w:val="none"/>
        </w:rPr>
        <w:t xml:space="preserve"> 偏离</w:t>
      </w:r>
      <w:bookmarkEnd w:id="129"/>
      <w:bookmarkEnd w:id="130"/>
      <w:bookmarkEnd w:id="131"/>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投标人须知前附表允许投标文件偏离招标文件某些要求的，偏离应当符合招标文件规定的偏离范围和幅度。</w:t>
      </w:r>
    </w:p>
    <w:p>
      <w:pPr>
        <w:keepNext/>
        <w:keepLines/>
        <w:spacing w:before="260" w:after="260" w:line="415" w:lineRule="auto"/>
        <w:outlineLvl w:val="1"/>
        <w:rPr>
          <w:rFonts w:ascii="Arial" w:hAnsi="Arial" w:eastAsia="黑体" w:cs="Times New Roman"/>
          <w:b/>
          <w:bCs/>
          <w:color w:val="auto"/>
          <w:sz w:val="32"/>
          <w:szCs w:val="32"/>
          <w:highlight w:val="none"/>
        </w:rPr>
      </w:pPr>
      <w:bookmarkStart w:id="132" w:name="_Toc247513966"/>
      <w:bookmarkStart w:id="133" w:name="_Toc152042318"/>
      <w:bookmarkStart w:id="134" w:name="_Toc247527567"/>
      <w:bookmarkStart w:id="135" w:name="_Toc152045542"/>
      <w:bookmarkStart w:id="136" w:name="_Toc144974510"/>
      <w:bookmarkStart w:id="137" w:name="_Toc216681844"/>
      <w:r>
        <w:rPr>
          <w:rFonts w:hint="eastAsia" w:ascii="Arial" w:hAnsi="Arial" w:eastAsia="黑体" w:cs="Times New Roman"/>
          <w:b/>
          <w:bCs/>
          <w:color w:val="auto"/>
          <w:sz w:val="32"/>
          <w:szCs w:val="32"/>
          <w:highlight w:val="none"/>
        </w:rPr>
        <w:t>2. 招标文件</w:t>
      </w:r>
      <w:bookmarkEnd w:id="132"/>
      <w:bookmarkEnd w:id="133"/>
      <w:bookmarkEnd w:id="134"/>
      <w:bookmarkEnd w:id="135"/>
      <w:bookmarkEnd w:id="136"/>
      <w:bookmarkEnd w:id="137"/>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38" w:name="_Toc247527568"/>
      <w:bookmarkStart w:id="139" w:name="_Toc152045543"/>
      <w:bookmarkStart w:id="140" w:name="_Toc247513967"/>
      <w:bookmarkStart w:id="141" w:name="_Toc216681845"/>
      <w:bookmarkStart w:id="142" w:name="_Toc144974511"/>
      <w:bookmarkStart w:id="143" w:name="_Toc152042319"/>
      <w:r>
        <w:rPr>
          <w:rFonts w:hint="eastAsia" w:ascii="Times New Roman" w:hAnsi="Times New Roman" w:eastAsia="黑体" w:cs="Times New Roman"/>
          <w:bCs/>
          <w:color w:val="auto"/>
          <w:sz w:val="28"/>
          <w:szCs w:val="28"/>
          <w:highlight w:val="none"/>
        </w:rPr>
        <w:t>2.1</w:t>
      </w:r>
      <w:r>
        <w:rPr>
          <w:rFonts w:hint="eastAsia" w:ascii="黑体" w:hAnsi="宋体" w:eastAsia="黑体" w:cs="Times New Roman"/>
          <w:bCs/>
          <w:color w:val="auto"/>
          <w:sz w:val="28"/>
          <w:szCs w:val="28"/>
          <w:highlight w:val="none"/>
        </w:rPr>
        <w:t xml:space="preserve"> 招标文件的组成</w:t>
      </w:r>
      <w:bookmarkEnd w:id="138"/>
      <w:bookmarkEnd w:id="139"/>
      <w:bookmarkEnd w:id="140"/>
      <w:bookmarkEnd w:id="141"/>
      <w:bookmarkEnd w:id="142"/>
      <w:bookmarkEnd w:id="143"/>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本招标文件包括：</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（1）招标公告（或投标邀请书）；</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（2）投标人须知；</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（3）评标办法；</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（4）合同条款及格式；</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（5）发包人要求；</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（6）发包人提供的资料和条件；</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（7）投标文件格式；</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（8）投标人须知前附表规定的其他资料。</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根据本章第1.10款、第2.2款和第2.3款对招标文件所作的澄清、修改，构成招标文件的组成部分。</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44" w:name="_Toc216681846"/>
      <w:bookmarkStart w:id="145" w:name="_Toc247527569"/>
      <w:bookmarkStart w:id="146" w:name="_Toc144974512"/>
      <w:bookmarkStart w:id="147" w:name="_Toc152045544"/>
      <w:bookmarkStart w:id="148" w:name="_Toc247513968"/>
      <w:bookmarkStart w:id="149" w:name="_Toc152042320"/>
      <w:r>
        <w:rPr>
          <w:rFonts w:hint="eastAsia" w:ascii="Times New Roman" w:hAnsi="Times New Roman" w:eastAsia="黑体" w:cs="Times New Roman"/>
          <w:bCs/>
          <w:color w:val="auto"/>
          <w:sz w:val="28"/>
          <w:szCs w:val="28"/>
          <w:highlight w:val="none"/>
        </w:rPr>
        <w:t>2.2</w:t>
      </w:r>
      <w:r>
        <w:rPr>
          <w:rFonts w:hint="eastAsia" w:ascii="黑体" w:hAnsi="宋体" w:eastAsia="黑体" w:cs="Times New Roman"/>
          <w:bCs/>
          <w:color w:val="auto"/>
          <w:sz w:val="28"/>
          <w:szCs w:val="28"/>
          <w:highlight w:val="none"/>
        </w:rPr>
        <w:t xml:space="preserve"> 招标文件的澄清</w:t>
      </w:r>
      <w:bookmarkEnd w:id="144"/>
      <w:bookmarkEnd w:id="145"/>
      <w:bookmarkEnd w:id="146"/>
      <w:bookmarkEnd w:id="147"/>
      <w:bookmarkEnd w:id="148"/>
      <w:bookmarkEnd w:id="149"/>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2.2.1 投标人应仔细阅读和检查招标文件的全部内容。</w:t>
      </w:r>
      <w:r>
        <w:rPr>
          <w:rFonts w:hint="eastAsia" w:ascii="宋体" w:hAnsi="宋体" w:eastAsia="宋体" w:cs="Times New Roman"/>
          <w:color w:val="auto"/>
          <w:szCs w:val="21"/>
          <w:highlight w:val="none"/>
        </w:rPr>
        <w:t>如发现缺页或附件不全，应及时向招标人提出，以便补齐。</w:t>
      </w:r>
      <w:r>
        <w:rPr>
          <w:rFonts w:hint="eastAsia" w:ascii="Times New Roman" w:hAnsi="Times New Roman" w:eastAsia="宋体" w:cs="Times New Roman"/>
          <w:color w:val="auto"/>
          <w:szCs w:val="24"/>
          <w:highlight w:val="none"/>
        </w:rPr>
        <w:t>如有疑问，应在投标人须知前附表规定的时间前以书面形式（包括信函、电子邮件、传真等可以有形地表现所载内容的形式，下同），要求招标人对招标文件予以澄清。</w:t>
      </w:r>
    </w:p>
    <w:p>
      <w:pPr>
        <w:spacing w:line="400" w:lineRule="exact"/>
        <w:ind w:firstLine="420"/>
        <w:rPr>
          <w:rFonts w:ascii="宋体" w:hAnsi="宋体" w:eastAsia="宋体" w:cs="Times New Roman"/>
          <w:color w:val="auto"/>
          <w:kern w:val="0"/>
          <w:szCs w:val="24"/>
          <w:highlight w:val="none"/>
        </w:rPr>
      </w:pPr>
      <w:r>
        <w:rPr>
          <w:rFonts w:hint="eastAsia" w:ascii="Times New Roman" w:hAnsi="Times New Roman" w:eastAsia="宋体" w:cs="Times New Roman"/>
          <w:color w:val="auto"/>
          <w:szCs w:val="24"/>
          <w:highlight w:val="none"/>
        </w:rPr>
        <w:t>2.2.2</w:t>
      </w:r>
      <w:r>
        <w:rPr>
          <w:rFonts w:hint="eastAsia" w:ascii="宋体" w:hAnsi="宋体" w:eastAsia="宋体" w:cs="Times New Roman"/>
          <w:color w:val="auto"/>
          <w:kern w:val="0"/>
          <w:szCs w:val="24"/>
          <w:highlight w:val="none"/>
        </w:rPr>
        <w:t>投标截止时间：见投标人须知前附表。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2.2.3 招标澄清和补遗全部通过网络送达，请投标人在开标截止日前，务必查询网站信息，投标人自行登录云南省公共资源交易中心获取澄清，如果澄清发出的时间距投标人须知前附表规定的投标截止时间不足15天，并且澄清内容影响投标文件编制的，应相应延长投标截止时间。</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50" w:name="_Toc247527570"/>
      <w:bookmarkStart w:id="151" w:name="_Toc216681847"/>
      <w:bookmarkStart w:id="152" w:name="_Toc152042321"/>
      <w:bookmarkStart w:id="153" w:name="_Toc247513969"/>
      <w:bookmarkStart w:id="154" w:name="_Toc144974513"/>
      <w:bookmarkStart w:id="155" w:name="_Toc152045545"/>
      <w:r>
        <w:rPr>
          <w:rFonts w:hint="eastAsia" w:ascii="Times New Roman" w:hAnsi="Times New Roman" w:eastAsia="黑体" w:cs="Times New Roman"/>
          <w:bCs/>
          <w:color w:val="auto"/>
          <w:sz w:val="28"/>
          <w:szCs w:val="28"/>
          <w:highlight w:val="none"/>
        </w:rPr>
        <w:t>2.3</w:t>
      </w:r>
      <w:r>
        <w:rPr>
          <w:rFonts w:hint="eastAsia" w:ascii="黑体" w:hAnsi="宋体" w:eastAsia="黑体" w:cs="Times New Roman"/>
          <w:bCs/>
          <w:color w:val="auto"/>
          <w:sz w:val="28"/>
          <w:szCs w:val="28"/>
          <w:highlight w:val="none"/>
        </w:rPr>
        <w:t xml:space="preserve"> 招标文件的修改</w:t>
      </w:r>
      <w:bookmarkEnd w:id="150"/>
      <w:bookmarkEnd w:id="151"/>
      <w:bookmarkEnd w:id="152"/>
      <w:bookmarkEnd w:id="153"/>
      <w:bookmarkEnd w:id="154"/>
      <w:bookmarkEnd w:id="155"/>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2.3.1 招标人可以书面形式修改招标文件，并通知所有已购买招标文件的投标人。修改招标文件的时间距投标人须知前附表规定的投标截止时间不足15天的，并且澄清内容影响投标文件编制的，将相应延长投标截止时间。 </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2.3.2投标人自行登录</w:t>
      </w:r>
      <w:r>
        <w:rPr>
          <w:rFonts w:hint="eastAsia" w:ascii="Times New Roman" w:hAnsi="Times New Roman" w:eastAsia="宋体" w:cs="Times New Roman"/>
          <w:color w:val="auto"/>
          <w:szCs w:val="24"/>
          <w:highlight w:val="none"/>
          <w:u w:val="single"/>
        </w:rPr>
        <w:t>“云南省公共资源交易信息网（网址：https://ggzy.yn.gov.cn/homePage，进入后切换至普洱市）”</w:t>
      </w:r>
      <w:r>
        <w:rPr>
          <w:rFonts w:hint="eastAsia" w:ascii="Times New Roman" w:hAnsi="Times New Roman" w:eastAsia="宋体" w:cs="Times New Roman"/>
          <w:color w:val="auto"/>
          <w:szCs w:val="24"/>
          <w:highlight w:val="none"/>
        </w:rPr>
        <w:t>收取修改内容。投标人应在投标截止时间前自行查看“</w:t>
      </w:r>
      <w:r>
        <w:rPr>
          <w:rFonts w:hint="eastAsia" w:ascii="Times New Roman" w:hAnsi="Times New Roman" w:eastAsia="宋体" w:cs="Times New Roman"/>
          <w:color w:val="auto"/>
          <w:szCs w:val="24"/>
          <w:highlight w:val="none"/>
          <w:u w:val="single"/>
        </w:rPr>
        <w:t>云南省公共资源交易信息网（网址：https://ggzy.yn.gov.cn/homePage，进入后切换至普洱市）</w:t>
      </w:r>
      <w:r>
        <w:rPr>
          <w:rFonts w:hint="eastAsia" w:ascii="Times New Roman" w:hAnsi="Times New Roman" w:eastAsia="宋体" w:cs="Times New Roman"/>
          <w:color w:val="auto"/>
          <w:szCs w:val="24"/>
          <w:highlight w:val="none"/>
        </w:rPr>
        <w:t>”中有关该工程招标文件的答疑、补遗内容。否则，由此引起的投标损失自负。</w:t>
      </w:r>
    </w:p>
    <w:p>
      <w:pPr>
        <w:keepNext/>
        <w:keepLines/>
        <w:spacing w:before="260" w:after="260" w:line="415" w:lineRule="auto"/>
        <w:outlineLvl w:val="1"/>
        <w:rPr>
          <w:rFonts w:ascii="Arial" w:hAnsi="Arial" w:eastAsia="黑体" w:cs="Times New Roman"/>
          <w:b/>
          <w:bCs/>
          <w:color w:val="auto"/>
          <w:sz w:val="32"/>
          <w:szCs w:val="32"/>
          <w:highlight w:val="none"/>
        </w:rPr>
      </w:pPr>
      <w:bookmarkStart w:id="156" w:name="_Toc144974514"/>
      <w:bookmarkStart w:id="157" w:name="_Toc152042322"/>
      <w:bookmarkStart w:id="158" w:name="_Toc152045546"/>
      <w:bookmarkStart w:id="159" w:name="_Toc216681848"/>
      <w:bookmarkStart w:id="160" w:name="_Toc247527571"/>
      <w:bookmarkStart w:id="161" w:name="_Toc247513970"/>
      <w:r>
        <w:rPr>
          <w:rFonts w:hint="eastAsia" w:ascii="Arial" w:hAnsi="Arial" w:eastAsia="黑体" w:cs="Times New Roman"/>
          <w:b/>
          <w:bCs/>
          <w:color w:val="auto"/>
          <w:sz w:val="32"/>
          <w:szCs w:val="32"/>
          <w:highlight w:val="none"/>
        </w:rPr>
        <w:t>3. 投标文件</w:t>
      </w:r>
      <w:bookmarkEnd w:id="156"/>
      <w:bookmarkEnd w:id="157"/>
      <w:bookmarkEnd w:id="158"/>
      <w:bookmarkEnd w:id="159"/>
      <w:bookmarkEnd w:id="160"/>
      <w:bookmarkEnd w:id="161"/>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62" w:name="_Toc144974515"/>
      <w:bookmarkStart w:id="163" w:name="_Toc247513971"/>
      <w:bookmarkStart w:id="164" w:name="_Toc247527572"/>
      <w:bookmarkStart w:id="165" w:name="_Toc152042323"/>
      <w:bookmarkStart w:id="166" w:name="_Toc216681849"/>
      <w:bookmarkStart w:id="167" w:name="_Toc152045547"/>
      <w:r>
        <w:rPr>
          <w:rFonts w:hint="eastAsia" w:ascii="Times New Roman" w:hAnsi="Times New Roman" w:eastAsia="黑体" w:cs="Times New Roman"/>
          <w:bCs/>
          <w:color w:val="auto"/>
          <w:sz w:val="28"/>
          <w:szCs w:val="28"/>
          <w:highlight w:val="none"/>
        </w:rPr>
        <w:t>3.1</w:t>
      </w:r>
      <w:r>
        <w:rPr>
          <w:rFonts w:hint="eastAsia" w:ascii="黑体" w:hAnsi="宋体" w:eastAsia="黑体" w:cs="Times New Roman"/>
          <w:bCs/>
          <w:color w:val="auto"/>
          <w:sz w:val="28"/>
          <w:szCs w:val="28"/>
          <w:highlight w:val="none"/>
        </w:rPr>
        <w:t xml:space="preserve"> 投标文件的组成</w:t>
      </w:r>
      <w:bookmarkEnd w:id="162"/>
      <w:bookmarkEnd w:id="163"/>
      <w:bookmarkEnd w:id="164"/>
      <w:bookmarkEnd w:id="165"/>
      <w:bookmarkEnd w:id="166"/>
      <w:bookmarkEnd w:id="167"/>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3.1.1 投标文件应包括下列内容：</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（1）投标函及投标函附录；</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（2）法定代表人身份证明或附有法定代表人身份证明的授权委托书；</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（3）联合体协议书；</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（4）投标保证金；</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（5）投标报价；</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（6）承包人实施计划；</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（7）资格审查资料；</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（8）投标人须知前附表规定的其他资料。</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3.1.2 投标人须知前附表规定不接受联合体投标的，或投标人没有组成联合体的，投标文件不包括本章第3.1.1（3）目所指的联合体协议书。 </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68" w:name="_Toc247513972"/>
      <w:bookmarkStart w:id="169" w:name="_Toc216681850"/>
      <w:bookmarkStart w:id="170" w:name="_Toc247527573"/>
      <w:bookmarkStart w:id="171" w:name="_Toc152045548"/>
      <w:bookmarkStart w:id="172" w:name="_Toc152042324"/>
      <w:bookmarkStart w:id="173" w:name="_Toc144974516"/>
      <w:r>
        <w:rPr>
          <w:rFonts w:hint="eastAsia" w:ascii="Times New Roman" w:hAnsi="Times New Roman" w:eastAsia="黑体" w:cs="Times New Roman"/>
          <w:bCs/>
          <w:color w:val="auto"/>
          <w:sz w:val="28"/>
          <w:szCs w:val="28"/>
          <w:highlight w:val="none"/>
        </w:rPr>
        <w:t>3.2</w:t>
      </w:r>
      <w:r>
        <w:rPr>
          <w:rFonts w:hint="eastAsia" w:ascii="黑体" w:hAnsi="宋体" w:eastAsia="黑体" w:cs="Times New Roman"/>
          <w:bCs/>
          <w:color w:val="auto"/>
          <w:sz w:val="28"/>
          <w:szCs w:val="28"/>
          <w:highlight w:val="none"/>
        </w:rPr>
        <w:t xml:space="preserve"> 投标报价</w:t>
      </w:r>
      <w:bookmarkEnd w:id="168"/>
      <w:bookmarkEnd w:id="169"/>
      <w:bookmarkEnd w:id="170"/>
      <w:bookmarkEnd w:id="171"/>
      <w:bookmarkEnd w:id="172"/>
      <w:bookmarkEnd w:id="173"/>
      <w:r>
        <w:rPr>
          <w:rFonts w:hint="eastAsia" w:ascii="黑体" w:hAnsi="宋体" w:eastAsia="黑体" w:cs="Times New Roman"/>
          <w:bCs/>
          <w:color w:val="auto"/>
          <w:sz w:val="28"/>
          <w:szCs w:val="28"/>
          <w:highlight w:val="none"/>
        </w:rPr>
        <w:t xml:space="preserve"> </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3.2.1 投标人应按第七章“投标文件格式”的要求填写价格清单。</w:t>
      </w: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rPr>
        <w:t xml:space="preserve">3.2.2 </w:t>
      </w:r>
      <w:r>
        <w:rPr>
          <w:rFonts w:hint="eastAsia" w:ascii="Times New Roman" w:hAnsi="Times New Roman" w:eastAsia="宋体" w:cs="Times New Roman"/>
          <w:color w:val="auto"/>
          <w:szCs w:val="21"/>
          <w:highlight w:val="none"/>
        </w:rPr>
        <w:t>投标人应充分了解施工场地的</w:t>
      </w:r>
      <w:r>
        <w:rPr>
          <w:rFonts w:ascii="Times New Roman" w:hAnsi="Times New Roman" w:eastAsia="宋体" w:cs="Times New Roman"/>
          <w:color w:val="auto"/>
          <w:szCs w:val="21"/>
          <w:highlight w:val="none"/>
        </w:rPr>
        <w:t>位置、周边</w:t>
      </w:r>
      <w:r>
        <w:rPr>
          <w:rFonts w:hint="eastAsia" w:ascii="Times New Roman" w:hAnsi="Times New Roman" w:eastAsia="宋体" w:cs="Times New Roman"/>
          <w:color w:val="auto"/>
          <w:szCs w:val="21"/>
          <w:highlight w:val="none"/>
        </w:rPr>
        <w:t>环境</w:t>
      </w:r>
      <w:r>
        <w:rPr>
          <w:rFonts w:ascii="Times New Roman" w:hAnsi="Times New Roman" w:eastAsia="宋体" w:cs="Times New Roman"/>
          <w:color w:val="auto"/>
          <w:szCs w:val="21"/>
          <w:highlight w:val="none"/>
        </w:rPr>
        <w:t>、道路、装卸、保管、安装限制</w:t>
      </w:r>
      <w:r>
        <w:rPr>
          <w:rFonts w:hint="eastAsia" w:ascii="Times New Roman" w:hAnsi="Times New Roman" w:eastAsia="宋体" w:cs="Times New Roman"/>
          <w:color w:val="auto"/>
          <w:szCs w:val="21"/>
          <w:highlight w:val="none"/>
        </w:rPr>
        <w:t>以</w:t>
      </w:r>
      <w:r>
        <w:rPr>
          <w:rFonts w:ascii="Times New Roman" w:hAnsi="Times New Roman" w:eastAsia="宋体" w:cs="Times New Roman"/>
          <w:color w:val="auto"/>
          <w:szCs w:val="21"/>
          <w:highlight w:val="none"/>
        </w:rPr>
        <w:t>及影响</w:t>
      </w:r>
      <w:r>
        <w:rPr>
          <w:rFonts w:hint="eastAsia" w:ascii="Times New Roman" w:hAnsi="Times New Roman" w:eastAsia="宋体" w:cs="Times New Roman"/>
          <w:color w:val="auto"/>
          <w:szCs w:val="21"/>
          <w:highlight w:val="none"/>
        </w:rPr>
        <w:t>投标报价的其他要素。投标人</w:t>
      </w:r>
      <w:r>
        <w:rPr>
          <w:rFonts w:ascii="Times New Roman" w:hAnsi="Times New Roman" w:eastAsia="宋体" w:cs="Times New Roman"/>
          <w:color w:val="auto"/>
          <w:szCs w:val="21"/>
          <w:highlight w:val="none"/>
        </w:rPr>
        <w:t>根据</w:t>
      </w:r>
      <w:r>
        <w:rPr>
          <w:rFonts w:hint="eastAsia" w:ascii="Times New Roman" w:hAnsi="Times New Roman" w:eastAsia="宋体" w:cs="Times New Roman"/>
          <w:color w:val="auto"/>
          <w:szCs w:val="21"/>
          <w:highlight w:val="none"/>
        </w:rPr>
        <w:t>投标</w:t>
      </w:r>
      <w:r>
        <w:rPr>
          <w:rFonts w:ascii="Times New Roman" w:hAnsi="Times New Roman" w:eastAsia="宋体" w:cs="Times New Roman"/>
          <w:color w:val="auto"/>
          <w:szCs w:val="21"/>
          <w:highlight w:val="none"/>
        </w:rPr>
        <w:t>设计</w:t>
      </w:r>
      <w:r>
        <w:rPr>
          <w:rFonts w:hint="eastAsia" w:ascii="Times New Roman" w:hAnsi="Times New Roman" w:eastAsia="宋体" w:cs="Times New Roman"/>
          <w:color w:val="auto"/>
          <w:szCs w:val="21"/>
          <w:highlight w:val="none"/>
        </w:rPr>
        <w:t>，结合</w:t>
      </w:r>
      <w:r>
        <w:rPr>
          <w:rFonts w:ascii="Times New Roman" w:hAnsi="Times New Roman" w:eastAsia="宋体" w:cs="Times New Roman"/>
          <w:color w:val="auto"/>
          <w:szCs w:val="21"/>
          <w:highlight w:val="none"/>
        </w:rPr>
        <w:t>市场情况进行投标报价。</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3.2.3 投标人在投标截止时间前修改投标函中的投标报价总额，应同时修改投标文件“价格清单”中的相应报价，投标报价总额为各分项金额之和。此修改须符合本章第4.3款的有关要求。</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3.2.4 招标人设有最高投标限价的，投标人的投标报价不得超过最高投标限价，最高投标限价或其计算方法在投标人须知前附表中载明。</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3.2.5 投标报价的其他要求见投标人须知前附表。</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4" w:name="_Toc216681851"/>
      <w:bookmarkStart w:id="175" w:name="_Toc247513973"/>
      <w:bookmarkStart w:id="176" w:name="_Toc247527574"/>
      <w:bookmarkStart w:id="177" w:name="_Toc152045549"/>
      <w:bookmarkStart w:id="178" w:name="_Toc144974517"/>
      <w:bookmarkStart w:id="179" w:name="_Toc152042325"/>
      <w:r>
        <w:rPr>
          <w:rFonts w:hint="eastAsia" w:ascii="Times New Roman" w:hAnsi="Times New Roman" w:eastAsia="黑体" w:cs="Times New Roman"/>
          <w:bCs/>
          <w:color w:val="auto"/>
          <w:sz w:val="28"/>
          <w:szCs w:val="28"/>
          <w:highlight w:val="none"/>
        </w:rPr>
        <w:t>3.3</w:t>
      </w:r>
      <w:r>
        <w:rPr>
          <w:rFonts w:hint="eastAsia" w:ascii="黑体" w:hAnsi="宋体" w:eastAsia="黑体" w:cs="Times New Roman"/>
          <w:bCs/>
          <w:color w:val="auto"/>
          <w:sz w:val="28"/>
          <w:szCs w:val="28"/>
          <w:highlight w:val="none"/>
        </w:rPr>
        <w:t xml:space="preserve"> 投标有效期</w:t>
      </w:r>
      <w:bookmarkEnd w:id="174"/>
      <w:bookmarkEnd w:id="175"/>
      <w:bookmarkEnd w:id="176"/>
      <w:bookmarkEnd w:id="177"/>
      <w:bookmarkEnd w:id="178"/>
      <w:bookmarkEnd w:id="179"/>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3.3.1 除投标人须知前附表另有规定外，投标有效期为120天。</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3.3.2 在投标有效期内，投标人撤销或修改其投标文件的，应承担招标文件和法律规定的责任。</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80" w:name="_Toc144974518"/>
      <w:bookmarkStart w:id="181" w:name="_Toc152045550"/>
      <w:bookmarkStart w:id="182" w:name="_Toc247513974"/>
      <w:bookmarkStart w:id="183" w:name="_Toc216681852"/>
      <w:bookmarkStart w:id="184" w:name="_Toc247527575"/>
      <w:bookmarkStart w:id="185" w:name="_Toc152042326"/>
      <w:r>
        <w:rPr>
          <w:rFonts w:hint="eastAsia" w:ascii="Times New Roman" w:hAnsi="Times New Roman" w:eastAsia="黑体" w:cs="Times New Roman"/>
          <w:bCs/>
          <w:color w:val="auto"/>
          <w:sz w:val="28"/>
          <w:szCs w:val="28"/>
          <w:highlight w:val="none"/>
        </w:rPr>
        <w:t>3.4</w:t>
      </w:r>
      <w:r>
        <w:rPr>
          <w:rFonts w:hint="eastAsia" w:ascii="黑体" w:hAnsi="宋体" w:eastAsia="黑体" w:cs="Times New Roman"/>
          <w:bCs/>
          <w:color w:val="auto"/>
          <w:sz w:val="28"/>
          <w:szCs w:val="28"/>
          <w:highlight w:val="none"/>
        </w:rPr>
        <w:t xml:space="preserve"> 投标保证金</w:t>
      </w:r>
      <w:bookmarkEnd w:id="180"/>
      <w:bookmarkEnd w:id="181"/>
      <w:bookmarkEnd w:id="182"/>
      <w:bookmarkEnd w:id="183"/>
      <w:bookmarkEnd w:id="184"/>
      <w:bookmarkEnd w:id="185"/>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3.4.1</w:t>
      </w:r>
      <w:r>
        <w:rPr>
          <w:rFonts w:hint="eastAsia" w:ascii="宋体" w:hAnsi="宋体" w:eastAsia="宋体" w:cs="Times New Roman"/>
          <w:color w:val="auto"/>
          <w:kern w:val="0"/>
          <w:szCs w:val="24"/>
          <w:highlight w:val="none"/>
        </w:rPr>
        <w:t>投标人须知前附表规定递交投标保证金的，应按须知前附表规定递交投标保证金，并作为其投标文件的组成部分。</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3.4.2 投标人不按本章第3.4.1项要求提交投标保证金的，评标委员会将否决其投标。</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3.4.3 招标人与中标人签订合同后5日内，向未中标的投标人和中标人退还投标保证金及同期银行存款利息。</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3.4.4 有下列情形之一的，投标保证金将不予退还： </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（1）投标人在规定的投标有效期内撤销或修改其投标文件；</w:t>
      </w:r>
    </w:p>
    <w:p>
      <w:pPr>
        <w:spacing w:line="400" w:lineRule="exact"/>
        <w:ind w:firstLine="31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（2）中标人在收到中标通知书后，无正当理由拒签合同或未按招标文件规定提交履约担保。</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86" w:name="_Toc247513976"/>
      <w:bookmarkStart w:id="187" w:name="_Toc247527577"/>
      <w:bookmarkStart w:id="188" w:name="_Toc152045552"/>
      <w:bookmarkStart w:id="189" w:name="_Toc216681853"/>
      <w:bookmarkStart w:id="190" w:name="_Toc152042328"/>
      <w:bookmarkStart w:id="191" w:name="_Toc144974520"/>
      <w:r>
        <w:rPr>
          <w:rFonts w:hint="eastAsia" w:ascii="Times New Roman" w:hAnsi="Times New Roman" w:eastAsia="黑体" w:cs="Times New Roman"/>
          <w:bCs/>
          <w:color w:val="auto"/>
          <w:sz w:val="28"/>
          <w:szCs w:val="28"/>
          <w:highlight w:val="none"/>
        </w:rPr>
        <w:t>3.5</w:t>
      </w:r>
      <w:r>
        <w:rPr>
          <w:rFonts w:hint="eastAsia" w:ascii="黑体" w:hAnsi="宋体" w:eastAsia="黑体" w:cs="Times New Roman"/>
          <w:bCs/>
          <w:color w:val="auto"/>
          <w:sz w:val="28"/>
          <w:szCs w:val="28"/>
          <w:highlight w:val="none"/>
        </w:rPr>
        <w:t xml:space="preserve"> 资格审查资料</w:t>
      </w:r>
      <w:bookmarkEnd w:id="186"/>
      <w:bookmarkEnd w:id="187"/>
      <w:bookmarkEnd w:id="188"/>
      <w:bookmarkEnd w:id="189"/>
      <w:bookmarkEnd w:id="190"/>
      <w:bookmarkEnd w:id="191"/>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3.5.1 “投标人基本情况表”应附附营业执照原件扫描件（含联合体各成员单位）、资质证书原件扫描件（含联合体各成员单位）、企业安全生产许可证原件扫描件（以联合体形式参加投标的，由联合体施工企业提供）等材料。</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3.5.2 “近年财务状况表”应附经会计师事务所或审计机构审计的财务会计报表，包括资产负债表、现金流量表、利润表和财务情况说明书，具体年份要求见投标人须知前附表。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3.5.3 </w:t>
      </w:r>
      <w:r>
        <w:rPr>
          <w:rFonts w:ascii="Times New Roman" w:hAnsi="宋体" w:eastAsia="宋体" w:cs="Times New Roman"/>
          <w:color w:val="auto"/>
          <w:szCs w:val="21"/>
          <w:highlight w:val="none"/>
        </w:rPr>
        <w:t>“</w:t>
      </w:r>
      <w:r>
        <w:rPr>
          <w:rFonts w:hint="eastAsia" w:ascii="Times New Roman" w:hAnsi="宋体" w:eastAsia="宋体" w:cs="Times New Roman"/>
          <w:color w:val="auto"/>
          <w:szCs w:val="21"/>
          <w:highlight w:val="none"/>
        </w:rPr>
        <w:t>近年完成的类似项目情况表</w:t>
      </w:r>
      <w:r>
        <w:rPr>
          <w:rFonts w:ascii="Times New Roman" w:hAnsi="宋体" w:eastAsia="宋体" w:cs="Times New Roman"/>
          <w:color w:val="auto"/>
          <w:szCs w:val="21"/>
          <w:highlight w:val="none"/>
        </w:rPr>
        <w:t>”</w:t>
      </w:r>
      <w:r>
        <w:rPr>
          <w:rFonts w:hint="eastAsia" w:ascii="Times New Roman" w:hAnsi="宋体" w:eastAsia="宋体" w:cs="Times New Roman"/>
          <w:color w:val="auto"/>
          <w:szCs w:val="21"/>
          <w:highlight w:val="none"/>
        </w:rPr>
        <w:t>应附网络截图、合同协议书、建设单位证明（如有）等相关证明材料原件扫描件，具体年份要求见投标人须知前附表。每张表格只填写一个项目，并标明序号。</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3.5.4 “正在施工和新承接的项目情况表”应附中标通知书和（或）合同协议书。每张表格只填写一个项目，并标明序号。</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3.5.5 “近年发生的诉讼及仲裁情况”应说明相关情况，并附法院或仲裁机构作出的判决、裁决等有关法律文书，具体年份要求见投标人须知前附表。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3.5.6 投标人须知前附表规定接受联合体投标的，本章第3.5.1项至第3.5.5项规定的表格和资料应包括联合体各方相关情况。</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92" w:name="_Toc247527578"/>
      <w:bookmarkStart w:id="193" w:name="_Toc247513977"/>
      <w:bookmarkStart w:id="194" w:name="_Toc216681854"/>
      <w:bookmarkStart w:id="195" w:name="_Toc152045553"/>
      <w:bookmarkStart w:id="196" w:name="_Toc152042329"/>
      <w:bookmarkStart w:id="197" w:name="_Toc144974521"/>
      <w:r>
        <w:rPr>
          <w:rFonts w:hint="eastAsia" w:ascii="Times New Roman" w:hAnsi="Times New Roman" w:eastAsia="黑体" w:cs="Times New Roman"/>
          <w:bCs/>
          <w:color w:val="auto"/>
          <w:sz w:val="28"/>
          <w:szCs w:val="28"/>
          <w:highlight w:val="none"/>
        </w:rPr>
        <w:t>3.6</w:t>
      </w:r>
      <w:r>
        <w:rPr>
          <w:rFonts w:hint="eastAsia" w:ascii="黑体" w:hAnsi="宋体" w:eastAsia="黑体" w:cs="Times New Roman"/>
          <w:bCs/>
          <w:color w:val="auto"/>
          <w:sz w:val="28"/>
          <w:szCs w:val="28"/>
          <w:highlight w:val="none"/>
        </w:rPr>
        <w:t xml:space="preserve"> 备选投标方案</w:t>
      </w:r>
      <w:bookmarkEnd w:id="192"/>
      <w:bookmarkEnd w:id="193"/>
      <w:bookmarkEnd w:id="194"/>
      <w:bookmarkEnd w:id="195"/>
      <w:bookmarkEnd w:id="196"/>
      <w:bookmarkEnd w:id="197"/>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98" w:name="_Toc152042330"/>
      <w:bookmarkStart w:id="199" w:name="_Toc144974522"/>
      <w:bookmarkStart w:id="200" w:name="_Toc216681855"/>
      <w:bookmarkStart w:id="201" w:name="_Toc152045554"/>
      <w:bookmarkStart w:id="202" w:name="_Toc247527579"/>
      <w:bookmarkStart w:id="203" w:name="_Toc247513978"/>
      <w:r>
        <w:rPr>
          <w:rFonts w:hint="eastAsia" w:ascii="Times New Roman" w:hAnsi="Times New Roman" w:eastAsia="黑体" w:cs="Times New Roman"/>
          <w:bCs/>
          <w:color w:val="auto"/>
          <w:sz w:val="28"/>
          <w:szCs w:val="28"/>
          <w:highlight w:val="none"/>
        </w:rPr>
        <w:t>3.7</w:t>
      </w:r>
      <w:r>
        <w:rPr>
          <w:rFonts w:hint="eastAsia" w:ascii="黑体" w:hAnsi="宋体" w:eastAsia="黑体" w:cs="Times New Roman"/>
          <w:bCs/>
          <w:color w:val="auto"/>
          <w:sz w:val="28"/>
          <w:szCs w:val="28"/>
          <w:highlight w:val="none"/>
        </w:rPr>
        <w:t xml:space="preserve"> 投标文件的编制</w:t>
      </w:r>
      <w:bookmarkEnd w:id="198"/>
      <w:bookmarkEnd w:id="199"/>
      <w:bookmarkEnd w:id="200"/>
      <w:bookmarkEnd w:id="201"/>
      <w:bookmarkEnd w:id="202"/>
      <w:bookmarkEnd w:id="203"/>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3.7.1投标文件全部采用电子文档。</w:t>
      </w:r>
    </w:p>
    <w:p>
      <w:pPr>
        <w:spacing w:line="400" w:lineRule="exact"/>
        <w:ind w:firstLine="315" w:firstLineChars="15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电子标书必使用《云南省工程建设模块化投标文件编制系统》制作。</w:t>
      </w:r>
      <w:r>
        <w:rPr>
          <w:rFonts w:hint="eastAsia" w:ascii="宋体" w:hAnsi="宋体" w:eastAsia="宋体" w:cs="Times New Roman"/>
          <w:color w:val="auto"/>
          <w:kern w:val="0"/>
          <w:szCs w:val="28"/>
          <w:highlight w:val="none"/>
        </w:rPr>
        <w:t>登录“云南省公共资源交易信息网（网址：https://ggzy.yn.gov.cn/homePage，进入后切换至普洱市）”下载</w:t>
      </w:r>
      <w:r>
        <w:rPr>
          <w:rFonts w:hint="eastAsia" w:ascii="Times New Roman" w:hAnsi="Times New Roman" w:eastAsia="宋体" w:cs="Times New Roman"/>
          <w:color w:val="auto"/>
          <w:szCs w:val="24"/>
          <w:highlight w:val="none"/>
        </w:rPr>
        <w:t>相关编制软件</w:t>
      </w:r>
      <w:r>
        <w:rPr>
          <w:rFonts w:hint="eastAsia" w:ascii="宋体" w:hAnsi="宋体" w:eastAsia="宋体" w:cs="Times New Roman"/>
          <w:color w:val="auto"/>
          <w:kern w:val="0"/>
          <w:szCs w:val="28"/>
          <w:highlight w:val="none"/>
        </w:rPr>
        <w:t>。</w:t>
      </w:r>
    </w:p>
    <w:p>
      <w:pPr>
        <w:spacing w:line="40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rPr>
        <w:t>3.7.2 投标文件应当对招标文件有关</w:t>
      </w:r>
      <w:r>
        <w:rPr>
          <w:rFonts w:hint="eastAsia" w:ascii="Times New Roman" w:hAnsi="Times New Roman" w:eastAsia="宋体" w:cs="Times New Roman"/>
          <w:color w:val="auto"/>
          <w:szCs w:val="21"/>
          <w:highlight w:val="none"/>
        </w:rPr>
        <w:t>招标范围、投标有效期、工期、质量要求、发包人要求等实质性内容作出响应。</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3.7.3</w:t>
      </w:r>
      <w:r>
        <w:rPr>
          <w:rFonts w:hint="eastAsia" w:ascii="宋体" w:hAnsi="宋体" w:eastAsia="宋体" w:cs="Times New Roman"/>
          <w:color w:val="auto"/>
          <w:kern w:val="0"/>
          <w:szCs w:val="28"/>
          <w:highlight w:val="none"/>
        </w:rPr>
        <w:t>投标文件电子签章及电子签名要求：见投标人须知前附表</w:t>
      </w:r>
      <w:r>
        <w:rPr>
          <w:rFonts w:hint="eastAsia" w:ascii="Times New Roman" w:hAnsi="Times New Roman" w:eastAsia="宋体" w:cs="Times New Roman"/>
          <w:color w:val="auto"/>
          <w:szCs w:val="24"/>
          <w:highlight w:val="none"/>
        </w:rPr>
        <w:t xml:space="preserve">。 </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3.7.4如投标人上传的电子标书不符合要求或开标时无法读取导入或解密，其投标文件将不予受理。</w:t>
      </w:r>
    </w:p>
    <w:p>
      <w:pPr>
        <w:keepNext/>
        <w:keepLines/>
        <w:spacing w:before="260" w:after="260" w:line="415" w:lineRule="auto"/>
        <w:outlineLvl w:val="1"/>
        <w:rPr>
          <w:rFonts w:ascii="Arial" w:hAnsi="Arial" w:eastAsia="黑体" w:cs="Times New Roman"/>
          <w:b/>
          <w:bCs/>
          <w:color w:val="auto"/>
          <w:sz w:val="32"/>
          <w:szCs w:val="32"/>
          <w:highlight w:val="none"/>
        </w:rPr>
      </w:pPr>
      <w:bookmarkStart w:id="204" w:name="_Toc152045555"/>
      <w:bookmarkStart w:id="205" w:name="_Toc247513979"/>
      <w:bookmarkStart w:id="206" w:name="_Toc216681856"/>
      <w:bookmarkStart w:id="207" w:name="_Toc144974523"/>
      <w:bookmarkStart w:id="208" w:name="_Toc247527580"/>
      <w:bookmarkStart w:id="209" w:name="_Toc152042331"/>
      <w:r>
        <w:rPr>
          <w:rFonts w:hint="eastAsia" w:ascii="Arial" w:hAnsi="Arial" w:eastAsia="黑体" w:cs="Times New Roman"/>
          <w:b/>
          <w:bCs/>
          <w:color w:val="auto"/>
          <w:sz w:val="32"/>
          <w:szCs w:val="32"/>
          <w:highlight w:val="none"/>
        </w:rPr>
        <w:t>4. 投标</w:t>
      </w:r>
      <w:bookmarkEnd w:id="204"/>
      <w:bookmarkEnd w:id="205"/>
      <w:bookmarkEnd w:id="206"/>
      <w:bookmarkEnd w:id="207"/>
      <w:bookmarkEnd w:id="208"/>
      <w:bookmarkEnd w:id="209"/>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10" w:name="_Toc247513980"/>
      <w:bookmarkStart w:id="211" w:name="_Toc144974524"/>
      <w:bookmarkStart w:id="212" w:name="_Toc247527581"/>
      <w:bookmarkStart w:id="213" w:name="_Toc152042332"/>
      <w:bookmarkStart w:id="214" w:name="_Toc152045556"/>
      <w:bookmarkStart w:id="215" w:name="_Toc216681857"/>
      <w:r>
        <w:rPr>
          <w:rFonts w:hint="eastAsia" w:ascii="Times New Roman" w:hAnsi="Times New Roman" w:eastAsia="黑体" w:cs="Times New Roman"/>
          <w:bCs/>
          <w:color w:val="auto"/>
          <w:sz w:val="28"/>
          <w:szCs w:val="28"/>
          <w:highlight w:val="none"/>
        </w:rPr>
        <w:t>4.1</w:t>
      </w:r>
      <w:bookmarkEnd w:id="210"/>
      <w:bookmarkEnd w:id="211"/>
      <w:bookmarkEnd w:id="212"/>
      <w:bookmarkEnd w:id="213"/>
      <w:bookmarkEnd w:id="214"/>
      <w:r>
        <w:rPr>
          <w:rFonts w:hint="eastAsia" w:ascii="黑体" w:hAnsi="宋体" w:eastAsia="黑体" w:cs="Times New Roman"/>
          <w:bCs/>
          <w:color w:val="auto"/>
          <w:sz w:val="28"/>
          <w:szCs w:val="28"/>
          <w:highlight w:val="none"/>
        </w:rPr>
        <w:t>投标文件的上传</w:t>
      </w:r>
      <w:bookmarkEnd w:id="215"/>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4.1.1投标人应在本章第2.2.2项规定的投标截止时间前将电子投标文件上传到</w:t>
      </w:r>
      <w:r>
        <w:rPr>
          <w:rFonts w:hint="eastAsia" w:ascii="Times New Roman" w:hAnsi="Times New Roman" w:eastAsia="宋体" w:cs="Times New Roman"/>
          <w:color w:val="auto"/>
          <w:szCs w:val="24"/>
          <w:highlight w:val="none"/>
          <w:u w:val="single"/>
        </w:rPr>
        <w:t>“云南省公共资源交易信息网（网址：https://ggzy.yn.gov.cn/homePage，进入后切换至普洱市）”</w:t>
      </w:r>
      <w:r>
        <w:rPr>
          <w:rFonts w:hint="eastAsia" w:ascii="Times New Roman" w:hAnsi="Times New Roman" w:eastAsia="宋体" w:cs="Times New Roman"/>
          <w:color w:val="auto"/>
          <w:szCs w:val="24"/>
          <w:highlight w:val="none"/>
        </w:rPr>
        <w:t>，未按规定在投标截止时间前上传投标文件的，视为撤回其投标文件。</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4.1.2除投标人须知前附表另有规定外，投标人所递交的投标文件不予退还。</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4.1.3网上上传投标文件：投标人登录“云南省公共资源交易信息网（网址：https://ggzy.yn.gov.cn/homePage，进入后切换至普洱市）”，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16" w:name="_Toc247513982"/>
      <w:bookmarkStart w:id="217" w:name="_Toc216681858"/>
      <w:bookmarkStart w:id="218" w:name="_Toc144974526"/>
      <w:bookmarkStart w:id="219" w:name="_Toc152042334"/>
      <w:bookmarkStart w:id="220" w:name="_Toc152045558"/>
      <w:bookmarkStart w:id="221" w:name="_Toc247527583"/>
      <w:r>
        <w:rPr>
          <w:rFonts w:hint="eastAsia" w:ascii="Times New Roman" w:hAnsi="Times New Roman" w:eastAsia="黑体" w:cs="Times New Roman"/>
          <w:bCs/>
          <w:color w:val="auto"/>
          <w:sz w:val="28"/>
          <w:szCs w:val="28"/>
          <w:highlight w:val="none"/>
        </w:rPr>
        <w:t>4.2</w:t>
      </w:r>
      <w:r>
        <w:rPr>
          <w:rFonts w:hint="eastAsia" w:ascii="黑体" w:hAnsi="宋体" w:eastAsia="黑体" w:cs="Times New Roman"/>
          <w:bCs/>
          <w:color w:val="auto"/>
          <w:sz w:val="28"/>
          <w:szCs w:val="28"/>
          <w:highlight w:val="none"/>
        </w:rPr>
        <w:t xml:space="preserve"> 投标文件的修改与撤回</w:t>
      </w:r>
      <w:bookmarkEnd w:id="216"/>
      <w:bookmarkEnd w:id="217"/>
      <w:bookmarkEnd w:id="218"/>
      <w:bookmarkEnd w:id="219"/>
      <w:bookmarkEnd w:id="220"/>
      <w:bookmarkEnd w:id="221"/>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4.2.1在本章第2.2.2项规定的投标截止时间前，投标人可以修改或撤回已在网上上传的投标文件，无须书面形式通知招标人。</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4.2.2投标人撤回投标文件的，可在规定时间内申请退还已缴纳的投标保证金。</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4.2.3修改的内容为投标文件的组成部分。修改的投标文件应按照本章第3条、第4条规定进行编制和上传。</w:t>
      </w:r>
    </w:p>
    <w:p>
      <w:pPr>
        <w:keepNext/>
        <w:keepLines/>
        <w:spacing w:before="260" w:after="260" w:line="415" w:lineRule="auto"/>
        <w:outlineLvl w:val="1"/>
        <w:rPr>
          <w:rFonts w:ascii="Arial" w:hAnsi="Arial" w:eastAsia="黑体" w:cs="Times New Roman"/>
          <w:b/>
          <w:bCs/>
          <w:color w:val="auto"/>
          <w:sz w:val="32"/>
          <w:szCs w:val="32"/>
          <w:highlight w:val="none"/>
        </w:rPr>
      </w:pPr>
      <w:bookmarkStart w:id="222" w:name="_Toc152042335"/>
      <w:bookmarkStart w:id="223" w:name="_Toc152045559"/>
      <w:bookmarkStart w:id="224" w:name="_Toc216681859"/>
      <w:bookmarkStart w:id="225" w:name="_Toc247527584"/>
      <w:bookmarkStart w:id="226" w:name="_Toc144974527"/>
      <w:bookmarkStart w:id="227" w:name="_Toc247513983"/>
      <w:r>
        <w:rPr>
          <w:rFonts w:hint="eastAsia" w:ascii="Arial" w:hAnsi="Arial" w:eastAsia="黑体" w:cs="Times New Roman"/>
          <w:b/>
          <w:bCs/>
          <w:color w:val="auto"/>
          <w:sz w:val="32"/>
          <w:szCs w:val="32"/>
          <w:highlight w:val="none"/>
        </w:rPr>
        <w:t>5. 开标</w:t>
      </w:r>
      <w:bookmarkEnd w:id="222"/>
      <w:bookmarkEnd w:id="223"/>
      <w:bookmarkEnd w:id="224"/>
      <w:bookmarkEnd w:id="225"/>
      <w:bookmarkEnd w:id="226"/>
      <w:bookmarkEnd w:id="227"/>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28" w:name="_Toc216681860"/>
      <w:bookmarkStart w:id="229" w:name="_Toc144974528"/>
      <w:bookmarkStart w:id="230" w:name="_Toc152045560"/>
      <w:bookmarkStart w:id="231" w:name="_Toc247513984"/>
      <w:bookmarkStart w:id="232" w:name="_Toc152042336"/>
      <w:bookmarkStart w:id="233" w:name="_Toc247527585"/>
      <w:r>
        <w:rPr>
          <w:rFonts w:hint="eastAsia" w:ascii="Times New Roman" w:hAnsi="Times New Roman" w:eastAsia="黑体" w:cs="Times New Roman"/>
          <w:bCs/>
          <w:color w:val="auto"/>
          <w:sz w:val="28"/>
          <w:szCs w:val="28"/>
          <w:highlight w:val="none"/>
        </w:rPr>
        <w:t>5.1</w:t>
      </w:r>
      <w:r>
        <w:rPr>
          <w:rFonts w:hint="eastAsia" w:ascii="黑体" w:hAnsi="宋体" w:eastAsia="黑体" w:cs="Times New Roman"/>
          <w:bCs/>
          <w:color w:val="auto"/>
          <w:sz w:val="28"/>
          <w:szCs w:val="28"/>
          <w:highlight w:val="none"/>
        </w:rPr>
        <w:t xml:space="preserve"> 开标时间和地点</w:t>
      </w:r>
      <w:bookmarkEnd w:id="228"/>
      <w:bookmarkEnd w:id="229"/>
      <w:bookmarkEnd w:id="230"/>
      <w:bookmarkEnd w:id="231"/>
      <w:bookmarkEnd w:id="232"/>
      <w:bookmarkEnd w:id="233"/>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招标人在本章第2.2.2项规定的投标截止时间（开标时间）和投标人须知前附表规定的地点公开开标，所有投标人的法定代表人或其委托代理人准时参加。</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34" w:name="_Toc152042337"/>
      <w:bookmarkStart w:id="235" w:name="_Toc247527586"/>
      <w:bookmarkStart w:id="236" w:name="_Toc216681861"/>
      <w:bookmarkStart w:id="237" w:name="_Toc144974529"/>
      <w:bookmarkStart w:id="238" w:name="_Toc247513985"/>
      <w:bookmarkStart w:id="239" w:name="_Toc152045561"/>
      <w:r>
        <w:rPr>
          <w:rFonts w:hint="eastAsia" w:ascii="Times New Roman" w:hAnsi="Times New Roman" w:eastAsia="黑体" w:cs="Times New Roman"/>
          <w:bCs/>
          <w:color w:val="auto"/>
          <w:sz w:val="28"/>
          <w:szCs w:val="28"/>
          <w:highlight w:val="none"/>
        </w:rPr>
        <w:t>5.2</w:t>
      </w:r>
      <w:r>
        <w:rPr>
          <w:rFonts w:hint="eastAsia" w:ascii="黑体" w:hAnsi="宋体" w:eastAsia="黑体" w:cs="Times New Roman"/>
          <w:bCs/>
          <w:color w:val="auto"/>
          <w:sz w:val="28"/>
          <w:szCs w:val="28"/>
          <w:highlight w:val="none"/>
        </w:rPr>
        <w:t xml:space="preserve"> 开标程序</w:t>
      </w:r>
      <w:bookmarkEnd w:id="234"/>
      <w:bookmarkEnd w:id="235"/>
      <w:bookmarkEnd w:id="236"/>
      <w:bookmarkEnd w:id="237"/>
      <w:bookmarkEnd w:id="238"/>
      <w:bookmarkEnd w:id="239"/>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主持人按下列程序进行开标：</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（1）宣布开标纪律；</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（2）宣布开标人、唱标人、记录人、行政监督等有关人员姓名；</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公共资源交易平台提取所有已成功上传的投标文件，由投标人对网上上传已加密的投标文件及时进行网上解密，解密完成后导入有效投标人的电子投标文件。所有有效投标文件导入完成后进行唱标公布投标人名称、项目名称、投标报价、质量目标、工期、投标保证金及其他内容，并记录在案。因投标人原因造成投标文件未解密的，视为撤销其投标文件；</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（9）投标人代表、招标人代表、行政监督、记录人等有关人员在开标记录上签字确认；</w:t>
      </w:r>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（10）开标结束。</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40" w:name="_Toc216681862"/>
      <w:r>
        <w:rPr>
          <w:rFonts w:hint="eastAsia" w:ascii="Times New Roman" w:hAnsi="Times New Roman" w:eastAsia="黑体" w:cs="Times New Roman"/>
          <w:bCs/>
          <w:color w:val="auto"/>
          <w:sz w:val="28"/>
          <w:szCs w:val="28"/>
          <w:highlight w:val="none"/>
        </w:rPr>
        <w:t>5.3</w:t>
      </w:r>
      <w:r>
        <w:rPr>
          <w:rFonts w:hint="eastAsia" w:ascii="黑体" w:hAnsi="宋体" w:eastAsia="黑体" w:cs="Times New Roman"/>
          <w:bCs/>
          <w:color w:val="auto"/>
          <w:sz w:val="28"/>
          <w:szCs w:val="28"/>
          <w:highlight w:val="none"/>
        </w:rPr>
        <w:t xml:space="preserve"> 开标异议</w:t>
      </w:r>
      <w:bookmarkEnd w:id="240"/>
    </w:p>
    <w:p>
      <w:pPr>
        <w:spacing w:line="400" w:lineRule="exact"/>
        <w:ind w:firstLine="359"/>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投标人对开标有异议的，应当在开标规定时间内在网上提出，招标人当时出答复，并制作记录。</w:t>
      </w:r>
    </w:p>
    <w:p>
      <w:pPr>
        <w:keepNext/>
        <w:keepLines/>
        <w:spacing w:before="260" w:after="260" w:line="415" w:lineRule="auto"/>
        <w:outlineLvl w:val="1"/>
        <w:rPr>
          <w:rFonts w:ascii="Arial" w:hAnsi="Arial" w:eastAsia="黑体" w:cs="Times New Roman"/>
          <w:b/>
          <w:bCs/>
          <w:color w:val="auto"/>
          <w:sz w:val="32"/>
          <w:szCs w:val="32"/>
          <w:highlight w:val="none"/>
        </w:rPr>
      </w:pPr>
      <w:bookmarkStart w:id="241" w:name="_Toc152045562"/>
      <w:bookmarkStart w:id="242" w:name="_Toc247513986"/>
      <w:bookmarkStart w:id="243" w:name="_Toc216681863"/>
      <w:bookmarkStart w:id="244" w:name="_Toc152042338"/>
      <w:bookmarkStart w:id="245" w:name="_Toc144974530"/>
      <w:bookmarkStart w:id="246" w:name="_Toc247527587"/>
      <w:r>
        <w:rPr>
          <w:rFonts w:hint="eastAsia" w:ascii="Arial" w:hAnsi="Arial" w:eastAsia="黑体" w:cs="Times New Roman"/>
          <w:b/>
          <w:bCs/>
          <w:color w:val="auto"/>
          <w:sz w:val="32"/>
          <w:szCs w:val="32"/>
          <w:highlight w:val="none"/>
        </w:rPr>
        <w:t>6. 评标</w:t>
      </w:r>
      <w:bookmarkEnd w:id="241"/>
      <w:bookmarkEnd w:id="242"/>
      <w:bookmarkEnd w:id="243"/>
      <w:bookmarkEnd w:id="244"/>
      <w:bookmarkEnd w:id="245"/>
      <w:bookmarkEnd w:id="246"/>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47" w:name="_Toc247513987"/>
      <w:bookmarkStart w:id="248" w:name="_Toc247527588"/>
      <w:bookmarkStart w:id="249" w:name="_Toc144974531"/>
      <w:bookmarkStart w:id="250" w:name="_Toc152045563"/>
      <w:bookmarkStart w:id="251" w:name="_Toc216681864"/>
      <w:bookmarkStart w:id="252" w:name="_Toc152042339"/>
      <w:r>
        <w:rPr>
          <w:rFonts w:hint="eastAsia" w:ascii="Times New Roman" w:hAnsi="Times New Roman" w:eastAsia="黑体" w:cs="Times New Roman"/>
          <w:bCs/>
          <w:color w:val="auto"/>
          <w:sz w:val="28"/>
          <w:szCs w:val="28"/>
          <w:highlight w:val="none"/>
        </w:rPr>
        <w:t>6.1</w:t>
      </w:r>
      <w:r>
        <w:rPr>
          <w:rFonts w:hint="eastAsia" w:ascii="黑体" w:hAnsi="宋体" w:eastAsia="黑体" w:cs="Times New Roman"/>
          <w:bCs/>
          <w:color w:val="auto"/>
          <w:sz w:val="28"/>
          <w:szCs w:val="28"/>
          <w:highlight w:val="none"/>
        </w:rPr>
        <w:t xml:space="preserve"> 评标委员会</w:t>
      </w:r>
      <w:bookmarkEnd w:id="247"/>
      <w:bookmarkEnd w:id="248"/>
      <w:bookmarkEnd w:id="249"/>
      <w:bookmarkEnd w:id="250"/>
      <w:bookmarkEnd w:id="251"/>
      <w:bookmarkEnd w:id="25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6.1.1 评标由招标人依法组建的评标委员会负责。评标委员会由招标人熟悉相关业务的代表，以及有关技术、经济等方面的专家组成。评标委员会成员人数以及技术、经济等方面专家的确定方式见投标人须知前附表。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6.1.2 评标委员会成员有下列情形之一的，应当回避：</w:t>
      </w:r>
    </w:p>
    <w:p>
      <w:pPr>
        <w:spacing w:line="400" w:lineRule="exact"/>
        <w:ind w:firstLine="718"/>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（1）投标人或投标人主要负责人的近亲属；</w:t>
      </w:r>
    </w:p>
    <w:p>
      <w:pPr>
        <w:spacing w:line="400" w:lineRule="exact"/>
        <w:ind w:firstLine="718"/>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（2）项目主管部门或者行政监督部门的人员；</w:t>
      </w:r>
    </w:p>
    <w:p>
      <w:pPr>
        <w:spacing w:line="400" w:lineRule="exact"/>
        <w:ind w:firstLine="718"/>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（3）与投标人有经济利益关系，可能影响对投标公正评审的；</w:t>
      </w:r>
    </w:p>
    <w:p>
      <w:pPr>
        <w:spacing w:line="400" w:lineRule="exact"/>
        <w:ind w:firstLine="718"/>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（4）曾因在招标、评标以及其他与招标投标有关活动中从事违法行为而受过行政处罚或刑事处罚的；</w:t>
      </w:r>
    </w:p>
    <w:p>
      <w:pPr>
        <w:spacing w:line="400" w:lineRule="exact"/>
        <w:ind w:firstLine="718"/>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（5）与投标人有其他利害关系。</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53" w:name="_Toc152045564"/>
      <w:bookmarkStart w:id="254" w:name="_Toc247513988"/>
      <w:bookmarkStart w:id="255" w:name="_Toc216681865"/>
      <w:bookmarkStart w:id="256" w:name="_Toc247527589"/>
      <w:bookmarkStart w:id="257" w:name="_Toc152042340"/>
      <w:bookmarkStart w:id="258" w:name="_Toc144974532"/>
      <w:r>
        <w:rPr>
          <w:rFonts w:hint="eastAsia" w:ascii="Times New Roman" w:hAnsi="Times New Roman" w:eastAsia="黑体" w:cs="Times New Roman"/>
          <w:bCs/>
          <w:color w:val="auto"/>
          <w:sz w:val="28"/>
          <w:szCs w:val="28"/>
          <w:highlight w:val="none"/>
        </w:rPr>
        <w:t>6.2</w:t>
      </w:r>
      <w:r>
        <w:rPr>
          <w:rFonts w:hint="eastAsia" w:ascii="黑体" w:hAnsi="宋体" w:eastAsia="黑体" w:cs="Times New Roman"/>
          <w:bCs/>
          <w:color w:val="auto"/>
          <w:sz w:val="28"/>
          <w:szCs w:val="28"/>
          <w:highlight w:val="none"/>
        </w:rPr>
        <w:t xml:space="preserve"> 评标原则</w:t>
      </w:r>
      <w:bookmarkEnd w:id="253"/>
      <w:bookmarkEnd w:id="254"/>
      <w:bookmarkEnd w:id="255"/>
      <w:bookmarkEnd w:id="256"/>
      <w:bookmarkEnd w:id="257"/>
      <w:bookmarkEnd w:id="258"/>
      <w:r>
        <w:rPr>
          <w:rFonts w:ascii="黑体" w:hAnsi="宋体" w:eastAsia="黑体" w:cs="Times New Roman"/>
          <w:bCs/>
          <w:color w:val="auto"/>
          <w:sz w:val="28"/>
          <w:szCs w:val="28"/>
          <w:highlight w:val="none"/>
        </w:rPr>
        <w:tab/>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评标活动遵循公平、公正、科学和择优的原则。</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59" w:name="_Toc152045565"/>
      <w:bookmarkStart w:id="260" w:name="_Toc152042341"/>
      <w:bookmarkStart w:id="261" w:name="_Toc144974533"/>
      <w:bookmarkStart w:id="262" w:name="_Toc216681866"/>
      <w:bookmarkStart w:id="263" w:name="_Toc247527590"/>
      <w:bookmarkStart w:id="264" w:name="_Toc247513989"/>
      <w:r>
        <w:rPr>
          <w:rFonts w:hint="eastAsia" w:ascii="Times New Roman" w:hAnsi="Times New Roman" w:eastAsia="黑体" w:cs="Times New Roman"/>
          <w:bCs/>
          <w:color w:val="auto"/>
          <w:sz w:val="28"/>
          <w:szCs w:val="28"/>
          <w:highlight w:val="none"/>
        </w:rPr>
        <w:t>6.3</w:t>
      </w:r>
      <w:r>
        <w:rPr>
          <w:rFonts w:hint="eastAsia" w:ascii="黑体" w:hAnsi="宋体" w:eastAsia="黑体" w:cs="Times New Roman"/>
          <w:bCs/>
          <w:color w:val="auto"/>
          <w:sz w:val="28"/>
          <w:szCs w:val="28"/>
          <w:highlight w:val="none"/>
        </w:rPr>
        <w:t xml:space="preserve"> 评标</w:t>
      </w:r>
      <w:bookmarkEnd w:id="259"/>
      <w:bookmarkEnd w:id="260"/>
      <w:bookmarkEnd w:id="261"/>
      <w:bookmarkEnd w:id="262"/>
      <w:bookmarkEnd w:id="263"/>
      <w:bookmarkEnd w:id="264"/>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评标委员会按照第三章“评标办法”规定的方法、评审因素、标准和程序对投标文件进行评审。第三章“评标办法”没有规定的方法、评审因素和标准，不作为评标依据。</w:t>
      </w:r>
    </w:p>
    <w:p>
      <w:pPr>
        <w:keepNext/>
        <w:keepLines/>
        <w:spacing w:before="260" w:after="260" w:line="415" w:lineRule="auto"/>
        <w:outlineLvl w:val="1"/>
        <w:rPr>
          <w:rFonts w:ascii="Arial" w:hAnsi="Arial" w:eastAsia="黑体" w:cs="Times New Roman"/>
          <w:b/>
          <w:bCs/>
          <w:color w:val="auto"/>
          <w:sz w:val="32"/>
          <w:szCs w:val="32"/>
          <w:highlight w:val="none"/>
        </w:rPr>
      </w:pPr>
      <w:bookmarkStart w:id="265" w:name="_Toc247513990"/>
      <w:bookmarkStart w:id="266" w:name="_Toc152045566"/>
      <w:bookmarkStart w:id="267" w:name="_Toc152042342"/>
      <w:bookmarkStart w:id="268" w:name="_Toc247527591"/>
      <w:bookmarkStart w:id="269" w:name="_Toc144974534"/>
      <w:bookmarkStart w:id="270" w:name="_Toc216681867"/>
      <w:r>
        <w:rPr>
          <w:rFonts w:hint="eastAsia" w:ascii="Arial" w:hAnsi="Arial" w:eastAsia="黑体" w:cs="Times New Roman"/>
          <w:b/>
          <w:bCs/>
          <w:color w:val="auto"/>
          <w:sz w:val="32"/>
          <w:szCs w:val="32"/>
          <w:highlight w:val="none"/>
        </w:rPr>
        <w:t>7. 合同授予</w:t>
      </w:r>
      <w:bookmarkEnd w:id="265"/>
      <w:bookmarkEnd w:id="266"/>
      <w:bookmarkEnd w:id="267"/>
      <w:bookmarkEnd w:id="268"/>
      <w:bookmarkEnd w:id="269"/>
      <w:bookmarkEnd w:id="270"/>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71" w:name="_Toc247527592"/>
      <w:bookmarkStart w:id="272" w:name="_Toc144974535"/>
      <w:bookmarkStart w:id="273" w:name="_Toc216681868"/>
      <w:bookmarkStart w:id="274" w:name="_Toc152045567"/>
      <w:bookmarkStart w:id="275" w:name="_Toc152042343"/>
      <w:bookmarkStart w:id="276" w:name="_Toc247513991"/>
      <w:r>
        <w:rPr>
          <w:rFonts w:hint="eastAsia" w:ascii="Times New Roman" w:hAnsi="Times New Roman" w:eastAsia="黑体" w:cs="Times New Roman"/>
          <w:bCs/>
          <w:color w:val="auto"/>
          <w:sz w:val="28"/>
          <w:szCs w:val="28"/>
          <w:highlight w:val="none"/>
        </w:rPr>
        <w:t>7.1</w:t>
      </w:r>
      <w:r>
        <w:rPr>
          <w:rFonts w:hint="eastAsia" w:ascii="黑体" w:hAnsi="宋体" w:eastAsia="黑体" w:cs="Times New Roman"/>
          <w:bCs/>
          <w:color w:val="auto"/>
          <w:sz w:val="28"/>
          <w:szCs w:val="28"/>
          <w:highlight w:val="none"/>
        </w:rPr>
        <w:t xml:space="preserve"> 定标方式</w:t>
      </w:r>
      <w:bookmarkEnd w:id="271"/>
      <w:bookmarkEnd w:id="272"/>
      <w:bookmarkEnd w:id="273"/>
      <w:bookmarkEnd w:id="274"/>
      <w:bookmarkEnd w:id="275"/>
      <w:bookmarkEnd w:id="276"/>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除投标人须知前附表规定评标委员会直接确定中标人外，招标人依据评标委员会推荐的中标候选人确定中标人，评标委员会推荐中标候选人的人数见投标人须知前附表。</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77" w:name="_Toc216681869"/>
      <w:r>
        <w:rPr>
          <w:rFonts w:hint="eastAsia" w:ascii="Times New Roman" w:hAnsi="Times New Roman" w:eastAsia="黑体" w:cs="Times New Roman"/>
          <w:bCs/>
          <w:color w:val="auto"/>
          <w:sz w:val="28"/>
          <w:szCs w:val="28"/>
          <w:highlight w:val="none"/>
        </w:rPr>
        <w:t>7.2</w:t>
      </w:r>
      <w:r>
        <w:rPr>
          <w:rFonts w:hint="eastAsia" w:ascii="黑体" w:hAnsi="宋体" w:eastAsia="黑体" w:cs="Times New Roman"/>
          <w:bCs/>
          <w:color w:val="auto"/>
          <w:sz w:val="28"/>
          <w:szCs w:val="28"/>
          <w:highlight w:val="none"/>
        </w:rPr>
        <w:t xml:space="preserve"> 中标候选人公示</w:t>
      </w:r>
      <w:bookmarkEnd w:id="277"/>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招标人在投标人须知前附表规定的媒介公示中标候选人。</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78" w:name="_Toc247513992"/>
      <w:bookmarkStart w:id="279" w:name="_Toc152042344"/>
      <w:bookmarkStart w:id="280" w:name="_Toc152045568"/>
      <w:bookmarkStart w:id="281" w:name="_Toc247527593"/>
      <w:bookmarkStart w:id="282" w:name="_Toc216681870"/>
      <w:bookmarkStart w:id="283" w:name="_Toc144974536"/>
      <w:r>
        <w:rPr>
          <w:rFonts w:hint="eastAsia" w:ascii="Times New Roman" w:hAnsi="Times New Roman" w:eastAsia="黑体" w:cs="Times New Roman"/>
          <w:bCs/>
          <w:color w:val="auto"/>
          <w:sz w:val="28"/>
          <w:szCs w:val="28"/>
          <w:highlight w:val="none"/>
        </w:rPr>
        <w:t>7.3</w:t>
      </w:r>
      <w:r>
        <w:rPr>
          <w:rFonts w:hint="eastAsia" w:ascii="黑体" w:hAnsi="宋体" w:eastAsia="黑体" w:cs="Times New Roman"/>
          <w:bCs/>
          <w:color w:val="auto"/>
          <w:sz w:val="28"/>
          <w:szCs w:val="28"/>
          <w:highlight w:val="none"/>
        </w:rPr>
        <w:t xml:space="preserve"> 中标通知</w:t>
      </w:r>
      <w:bookmarkEnd w:id="278"/>
      <w:bookmarkEnd w:id="279"/>
      <w:bookmarkEnd w:id="280"/>
      <w:bookmarkEnd w:id="281"/>
      <w:bookmarkEnd w:id="282"/>
      <w:bookmarkEnd w:id="283"/>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在本章第3.3款规定的投标有效期内，招标人向中标人发出中标通知书。</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84" w:name="_Toc152045569"/>
      <w:bookmarkStart w:id="285" w:name="_Toc247527594"/>
      <w:bookmarkStart w:id="286" w:name="_Toc144974537"/>
      <w:bookmarkStart w:id="287" w:name="_Toc247513993"/>
      <w:bookmarkStart w:id="288" w:name="_Toc152042345"/>
      <w:bookmarkStart w:id="289" w:name="_Toc216681871"/>
      <w:r>
        <w:rPr>
          <w:rFonts w:hint="eastAsia" w:ascii="Times New Roman" w:hAnsi="Times New Roman" w:eastAsia="黑体" w:cs="Times New Roman"/>
          <w:bCs/>
          <w:color w:val="auto"/>
          <w:sz w:val="28"/>
          <w:szCs w:val="28"/>
          <w:highlight w:val="none"/>
        </w:rPr>
        <w:t>7.4</w:t>
      </w:r>
      <w:r>
        <w:rPr>
          <w:rFonts w:hint="eastAsia" w:ascii="黑体" w:hAnsi="宋体" w:eastAsia="黑体" w:cs="Times New Roman"/>
          <w:bCs/>
          <w:color w:val="auto"/>
          <w:sz w:val="28"/>
          <w:szCs w:val="28"/>
          <w:highlight w:val="none"/>
        </w:rPr>
        <w:t xml:space="preserve"> 履约担保</w:t>
      </w:r>
      <w:bookmarkEnd w:id="284"/>
      <w:bookmarkEnd w:id="285"/>
      <w:bookmarkEnd w:id="286"/>
      <w:bookmarkEnd w:id="287"/>
      <w:bookmarkEnd w:id="288"/>
      <w:bookmarkEnd w:id="289"/>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7.4.1 中标人应按投标人须知前附表规定的担保形式和招标文件第四章“合同条款及格式”规定的或者事先经过招标人</w:t>
      </w:r>
      <w:r>
        <w:rPr>
          <w:rFonts w:hint="eastAsia" w:ascii="Times New Roman" w:hAnsi="Times New Roman" w:eastAsia="宋体" w:cs="Times New Roman"/>
          <w:color w:val="auto"/>
          <w:szCs w:val="24"/>
          <w:highlight w:val="none"/>
        </w:rPr>
        <w:t>书面认可的履约担保格式向招标人提交履约担保。除投标人须知前附表另有规定外，履约担保金额为中标合同金额的10%。联合体中标的，其履约担保由联合体各方或者联合体中牵头人的名义提交。</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7.4.2 中标人不能按本章第7.4.1项要求提交履约担保的，视为放弃中标，其投标保证金不予退还，给招标人造成的损失超过投标保证金数额的，中标人还应当对超过部分予以赔偿。</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290" w:name="_Toc216681872"/>
      <w:bookmarkStart w:id="291" w:name="_Toc247513994"/>
      <w:bookmarkStart w:id="292" w:name="_Toc152042346"/>
      <w:bookmarkStart w:id="293" w:name="_Toc247527595"/>
      <w:bookmarkStart w:id="294" w:name="_Toc144974538"/>
      <w:bookmarkStart w:id="295" w:name="_Toc152045570"/>
      <w:r>
        <w:rPr>
          <w:rFonts w:hint="eastAsia" w:ascii="Times New Roman" w:hAnsi="Times New Roman" w:eastAsia="黑体" w:cs="Times New Roman"/>
          <w:bCs/>
          <w:color w:val="auto"/>
          <w:sz w:val="28"/>
          <w:szCs w:val="28"/>
          <w:highlight w:val="none"/>
        </w:rPr>
        <w:t>7.5</w:t>
      </w:r>
      <w:r>
        <w:rPr>
          <w:rFonts w:hint="eastAsia" w:ascii="黑体" w:hAnsi="宋体" w:eastAsia="黑体" w:cs="Times New Roman"/>
          <w:bCs/>
          <w:color w:val="auto"/>
          <w:sz w:val="28"/>
          <w:szCs w:val="28"/>
          <w:highlight w:val="none"/>
        </w:rPr>
        <w:t xml:space="preserve"> 签订合同</w:t>
      </w:r>
      <w:bookmarkEnd w:id="290"/>
      <w:bookmarkEnd w:id="291"/>
      <w:bookmarkEnd w:id="292"/>
      <w:bookmarkEnd w:id="293"/>
      <w:bookmarkEnd w:id="294"/>
      <w:bookmarkEnd w:id="295"/>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7.5.2 发出中标通知书后，招标人无正当理由拒签合同的，招标人向中标人退还投标保证金；给中标人造成损失的，还应当赔偿损失。 </w:t>
      </w:r>
    </w:p>
    <w:p>
      <w:pPr>
        <w:keepNext/>
        <w:keepLines/>
        <w:spacing w:before="260" w:after="260" w:line="415" w:lineRule="auto"/>
        <w:outlineLvl w:val="1"/>
        <w:rPr>
          <w:rFonts w:ascii="Arial" w:hAnsi="Arial" w:eastAsia="黑体" w:cs="Times New Roman"/>
          <w:b/>
          <w:bCs/>
          <w:color w:val="auto"/>
          <w:sz w:val="32"/>
          <w:szCs w:val="32"/>
          <w:highlight w:val="none"/>
        </w:rPr>
      </w:pPr>
      <w:bookmarkStart w:id="296" w:name="_Toc247527596"/>
      <w:bookmarkStart w:id="297" w:name="_Toc152045571"/>
      <w:bookmarkStart w:id="298" w:name="_Toc247513995"/>
      <w:bookmarkStart w:id="299" w:name="_Toc144974539"/>
      <w:bookmarkStart w:id="300" w:name="_Toc152042347"/>
      <w:bookmarkStart w:id="301" w:name="_Toc216681873"/>
      <w:r>
        <w:rPr>
          <w:rFonts w:hint="eastAsia" w:ascii="Arial" w:hAnsi="Arial" w:eastAsia="黑体" w:cs="Times New Roman"/>
          <w:b/>
          <w:bCs/>
          <w:color w:val="auto"/>
          <w:sz w:val="32"/>
          <w:szCs w:val="32"/>
          <w:highlight w:val="none"/>
        </w:rPr>
        <w:t>8.</w:t>
      </w:r>
      <w:bookmarkEnd w:id="296"/>
      <w:bookmarkEnd w:id="297"/>
      <w:bookmarkEnd w:id="298"/>
      <w:bookmarkEnd w:id="299"/>
      <w:bookmarkEnd w:id="300"/>
      <w:bookmarkStart w:id="302" w:name="_Toc152045574"/>
      <w:bookmarkStart w:id="303" w:name="_Toc152042350"/>
      <w:bookmarkStart w:id="304" w:name="_Toc247527599"/>
      <w:bookmarkStart w:id="305" w:name="_Toc144974542"/>
      <w:bookmarkStart w:id="306" w:name="_Toc247513998"/>
      <w:r>
        <w:rPr>
          <w:rFonts w:hint="eastAsia" w:ascii="Arial" w:hAnsi="Arial" w:eastAsia="黑体" w:cs="Times New Roman"/>
          <w:b/>
          <w:bCs/>
          <w:color w:val="auto"/>
          <w:sz w:val="32"/>
          <w:szCs w:val="32"/>
          <w:highlight w:val="none"/>
        </w:rPr>
        <w:t xml:space="preserve"> 纪律和监督</w:t>
      </w:r>
      <w:bookmarkEnd w:id="301"/>
      <w:bookmarkEnd w:id="302"/>
      <w:bookmarkEnd w:id="303"/>
      <w:bookmarkEnd w:id="304"/>
      <w:bookmarkEnd w:id="305"/>
      <w:bookmarkEnd w:id="306"/>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07" w:name="_Toc247513999"/>
      <w:bookmarkStart w:id="308" w:name="_Toc144974543"/>
      <w:bookmarkStart w:id="309" w:name="_Toc152042351"/>
      <w:bookmarkStart w:id="310" w:name="_Toc216681874"/>
      <w:bookmarkStart w:id="311" w:name="_Toc152045575"/>
      <w:bookmarkStart w:id="312" w:name="_Toc247527600"/>
      <w:r>
        <w:rPr>
          <w:rFonts w:hint="eastAsia" w:ascii="Times New Roman" w:hAnsi="Times New Roman" w:eastAsia="黑体" w:cs="Times New Roman"/>
          <w:bCs/>
          <w:color w:val="auto"/>
          <w:sz w:val="28"/>
          <w:szCs w:val="28"/>
          <w:highlight w:val="none"/>
        </w:rPr>
        <w:t>8.1</w:t>
      </w:r>
      <w:r>
        <w:rPr>
          <w:rFonts w:hint="eastAsia" w:ascii="黑体" w:hAnsi="宋体" w:eastAsia="黑体" w:cs="Times New Roman"/>
          <w:bCs/>
          <w:color w:val="auto"/>
          <w:sz w:val="28"/>
          <w:szCs w:val="28"/>
          <w:highlight w:val="none"/>
        </w:rPr>
        <w:t xml:space="preserve"> 对招标人的纪律要求</w:t>
      </w:r>
      <w:bookmarkEnd w:id="307"/>
      <w:bookmarkEnd w:id="308"/>
      <w:bookmarkEnd w:id="309"/>
      <w:bookmarkEnd w:id="310"/>
      <w:bookmarkEnd w:id="311"/>
      <w:bookmarkEnd w:id="31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招标人不得泄漏招标投标活动中应当保密的情况和资料，不得与投标人串通损害国家利益、社会公共利益或者他人合法权益。</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13" w:name="_Toc247527601"/>
      <w:bookmarkStart w:id="314" w:name="_Toc144974544"/>
      <w:bookmarkStart w:id="315" w:name="_Toc216681875"/>
      <w:bookmarkStart w:id="316" w:name="_Toc152042352"/>
      <w:bookmarkStart w:id="317" w:name="_Toc152045576"/>
      <w:bookmarkStart w:id="318" w:name="_Toc247514000"/>
      <w:r>
        <w:rPr>
          <w:rFonts w:hint="eastAsia" w:ascii="Times New Roman" w:hAnsi="Times New Roman" w:eastAsia="黑体" w:cs="Times New Roman"/>
          <w:bCs/>
          <w:color w:val="auto"/>
          <w:sz w:val="28"/>
          <w:szCs w:val="28"/>
          <w:highlight w:val="none"/>
        </w:rPr>
        <w:t>8.2</w:t>
      </w:r>
      <w:r>
        <w:rPr>
          <w:rFonts w:hint="eastAsia" w:ascii="黑体" w:hAnsi="宋体" w:eastAsia="黑体" w:cs="Times New Roman"/>
          <w:bCs/>
          <w:color w:val="auto"/>
          <w:sz w:val="28"/>
          <w:szCs w:val="28"/>
          <w:highlight w:val="none"/>
        </w:rPr>
        <w:t xml:space="preserve"> 对投标人的纪律要求</w:t>
      </w:r>
      <w:bookmarkEnd w:id="313"/>
      <w:bookmarkEnd w:id="314"/>
      <w:bookmarkEnd w:id="315"/>
      <w:bookmarkEnd w:id="316"/>
      <w:bookmarkEnd w:id="317"/>
      <w:bookmarkEnd w:id="318"/>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19" w:name="_Toc152045577"/>
      <w:bookmarkStart w:id="320" w:name="_Toc247527602"/>
      <w:bookmarkStart w:id="321" w:name="_Toc152042353"/>
      <w:bookmarkStart w:id="322" w:name="_Toc216681876"/>
      <w:bookmarkStart w:id="323" w:name="_Toc144974545"/>
      <w:bookmarkStart w:id="324" w:name="_Toc247514001"/>
      <w:r>
        <w:rPr>
          <w:rFonts w:hint="eastAsia" w:ascii="Times New Roman" w:hAnsi="Times New Roman" w:eastAsia="黑体" w:cs="Times New Roman"/>
          <w:bCs/>
          <w:color w:val="auto"/>
          <w:sz w:val="28"/>
          <w:szCs w:val="28"/>
          <w:highlight w:val="none"/>
        </w:rPr>
        <w:t>8.3</w:t>
      </w:r>
      <w:r>
        <w:rPr>
          <w:rFonts w:hint="eastAsia" w:ascii="黑体" w:hAnsi="宋体" w:eastAsia="黑体" w:cs="Times New Roman"/>
          <w:bCs/>
          <w:color w:val="auto"/>
          <w:sz w:val="28"/>
          <w:szCs w:val="28"/>
          <w:highlight w:val="none"/>
        </w:rPr>
        <w:t xml:space="preserve"> 对评标委员会成员的纪律要求</w:t>
      </w:r>
      <w:bookmarkEnd w:id="319"/>
      <w:bookmarkEnd w:id="320"/>
      <w:bookmarkEnd w:id="321"/>
      <w:bookmarkEnd w:id="322"/>
      <w:bookmarkEnd w:id="323"/>
      <w:bookmarkEnd w:id="324"/>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25" w:name="_Toc152042354"/>
      <w:bookmarkStart w:id="326" w:name="_Toc247527603"/>
      <w:bookmarkStart w:id="327" w:name="_Toc216681877"/>
      <w:bookmarkStart w:id="328" w:name="_Toc247514002"/>
      <w:bookmarkStart w:id="329" w:name="_Toc152045578"/>
      <w:bookmarkStart w:id="330" w:name="_Toc144974546"/>
      <w:r>
        <w:rPr>
          <w:rFonts w:hint="eastAsia" w:ascii="Times New Roman" w:hAnsi="Times New Roman" w:eastAsia="黑体" w:cs="Times New Roman"/>
          <w:bCs/>
          <w:color w:val="auto"/>
          <w:sz w:val="28"/>
          <w:szCs w:val="28"/>
          <w:highlight w:val="none"/>
        </w:rPr>
        <w:t>8.4</w:t>
      </w:r>
      <w:r>
        <w:rPr>
          <w:rFonts w:hint="eastAsia" w:ascii="黑体" w:hAnsi="宋体" w:eastAsia="黑体" w:cs="Times New Roman"/>
          <w:bCs/>
          <w:color w:val="auto"/>
          <w:sz w:val="28"/>
          <w:szCs w:val="28"/>
          <w:highlight w:val="none"/>
        </w:rPr>
        <w:t xml:space="preserve"> 对与评标活动有关的工作人员的纪律要求</w:t>
      </w:r>
      <w:bookmarkEnd w:id="325"/>
      <w:bookmarkEnd w:id="326"/>
      <w:bookmarkEnd w:id="327"/>
      <w:bookmarkEnd w:id="328"/>
      <w:bookmarkEnd w:id="329"/>
    </w:p>
    <w:p>
      <w:pPr>
        <w:spacing w:line="400" w:lineRule="exact"/>
        <w:ind w:firstLine="420"/>
        <w:rPr>
          <w:rFonts w:ascii="Times New Roman" w:hAnsi="Times New Roman" w:eastAsia="宋体" w:cs="Times New Roman"/>
          <w:color w:val="auto"/>
          <w:szCs w:val="24"/>
          <w:highlight w:val="none"/>
        </w:rPr>
      </w:pPr>
      <w:bookmarkStart w:id="331" w:name="_Toc152042355"/>
      <w:r>
        <w:rPr>
          <w:rFonts w:hint="eastAsia" w:ascii="Times New Roman" w:hAnsi="Times New Roman" w:eastAsia="宋体" w:cs="Times New Roman"/>
          <w:color w:val="auto"/>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31"/>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32" w:name="_Toc152042356"/>
      <w:bookmarkStart w:id="333" w:name="_Toc247527604"/>
      <w:bookmarkStart w:id="334" w:name="_Toc216681878"/>
      <w:bookmarkStart w:id="335" w:name="_Toc247514003"/>
      <w:bookmarkStart w:id="336" w:name="_Toc152045579"/>
      <w:r>
        <w:rPr>
          <w:rFonts w:hint="eastAsia" w:ascii="Times New Roman" w:hAnsi="Times New Roman" w:eastAsia="黑体" w:cs="Times New Roman"/>
          <w:bCs/>
          <w:color w:val="auto"/>
          <w:sz w:val="28"/>
          <w:szCs w:val="28"/>
          <w:highlight w:val="none"/>
        </w:rPr>
        <w:t>8.5</w:t>
      </w:r>
      <w:r>
        <w:rPr>
          <w:rFonts w:hint="eastAsia" w:ascii="黑体" w:hAnsi="宋体" w:eastAsia="黑体" w:cs="Times New Roman"/>
          <w:bCs/>
          <w:color w:val="auto"/>
          <w:sz w:val="28"/>
          <w:szCs w:val="28"/>
          <w:highlight w:val="none"/>
        </w:rPr>
        <w:t xml:space="preserve"> 投诉</w:t>
      </w:r>
      <w:bookmarkEnd w:id="330"/>
      <w:bookmarkEnd w:id="332"/>
      <w:bookmarkEnd w:id="333"/>
      <w:bookmarkEnd w:id="334"/>
      <w:bookmarkEnd w:id="335"/>
      <w:bookmarkEnd w:id="336"/>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投标人和其他利害关系人认为本次招标活动违反法律、法规和规章规定的，有权向有关行政监督部门投诉。</w:t>
      </w:r>
    </w:p>
    <w:p>
      <w:pPr>
        <w:keepNext/>
        <w:keepLines/>
        <w:spacing w:before="260" w:after="260" w:line="415" w:lineRule="auto"/>
        <w:outlineLvl w:val="1"/>
        <w:rPr>
          <w:rFonts w:ascii="Arial" w:hAnsi="Arial" w:eastAsia="黑体" w:cs="Times New Roman"/>
          <w:b/>
          <w:bCs/>
          <w:color w:val="auto"/>
          <w:sz w:val="32"/>
          <w:szCs w:val="32"/>
          <w:highlight w:val="none"/>
        </w:rPr>
      </w:pPr>
      <w:bookmarkStart w:id="337" w:name="_Toc152045580"/>
      <w:bookmarkStart w:id="338" w:name="_Toc152042357"/>
      <w:bookmarkStart w:id="339" w:name="_Toc247514004"/>
      <w:bookmarkStart w:id="340" w:name="_Toc216681879"/>
      <w:bookmarkStart w:id="341" w:name="_Toc144974547"/>
      <w:bookmarkStart w:id="342" w:name="_Toc247527605"/>
      <w:r>
        <w:rPr>
          <w:rFonts w:hint="eastAsia" w:ascii="Arial" w:hAnsi="Arial" w:eastAsia="黑体" w:cs="Times New Roman"/>
          <w:b/>
          <w:bCs/>
          <w:color w:val="auto"/>
          <w:sz w:val="32"/>
          <w:szCs w:val="32"/>
          <w:highlight w:val="none"/>
        </w:rPr>
        <w:t>9. 需要补充的其他内容</w:t>
      </w:r>
      <w:bookmarkEnd w:id="337"/>
      <w:bookmarkEnd w:id="338"/>
      <w:bookmarkEnd w:id="339"/>
      <w:bookmarkEnd w:id="340"/>
      <w:bookmarkEnd w:id="341"/>
      <w:bookmarkEnd w:id="34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需要补充的其他内容：见投标人须知前附表。</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4"/>
          <w:highlight w:val="none"/>
        </w:rPr>
        <w:br w:type="page"/>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43" w:name="_Toc152042359"/>
      <w:bookmarkStart w:id="344" w:name="_Toc247514006"/>
      <w:bookmarkStart w:id="345" w:name="_Toc144974549"/>
      <w:bookmarkStart w:id="346" w:name="_Toc152045582"/>
      <w:bookmarkStart w:id="347" w:name="_Toc247527607"/>
      <w:bookmarkStart w:id="348" w:name="_Toc216681880"/>
      <w:r>
        <w:rPr>
          <w:rFonts w:ascii="黑体" w:hAnsi="宋体" w:eastAsia="黑体" w:cs="Times New Roman"/>
          <w:bCs/>
          <w:color w:val="auto"/>
          <w:sz w:val="28"/>
          <w:szCs w:val="28"/>
          <w:highlight w:val="none"/>
        </w:rPr>
        <w:t>附</w:t>
      </w:r>
      <w:r>
        <w:rPr>
          <w:rFonts w:hint="eastAsia" w:ascii="黑体" w:hAnsi="宋体" w:eastAsia="黑体" w:cs="Times New Roman"/>
          <w:bCs/>
          <w:color w:val="auto"/>
          <w:sz w:val="28"/>
          <w:szCs w:val="28"/>
          <w:highlight w:val="none"/>
        </w:rPr>
        <w:t>件一</w:t>
      </w:r>
      <w:r>
        <w:rPr>
          <w:rFonts w:ascii="黑体" w:hAnsi="宋体" w:eastAsia="黑体" w:cs="Times New Roman"/>
          <w:bCs/>
          <w:color w:val="auto"/>
          <w:sz w:val="28"/>
          <w:szCs w:val="28"/>
          <w:highlight w:val="none"/>
        </w:rPr>
        <w:t>：问题澄清通知</w:t>
      </w:r>
      <w:bookmarkEnd w:id="343"/>
      <w:bookmarkEnd w:id="344"/>
      <w:bookmarkEnd w:id="345"/>
      <w:bookmarkEnd w:id="346"/>
      <w:bookmarkEnd w:id="347"/>
      <w:bookmarkEnd w:id="348"/>
    </w:p>
    <w:p>
      <w:pPr>
        <w:spacing w:line="440" w:lineRule="exact"/>
        <w:jc w:val="center"/>
        <w:rPr>
          <w:rFonts w:ascii="Times New Roman" w:hAnsi="Times New Roman" w:eastAsia="宋体" w:cs="Times New Roman"/>
          <w:color w:val="auto"/>
          <w:szCs w:val="21"/>
          <w:highlight w:val="none"/>
        </w:rPr>
      </w:pPr>
    </w:p>
    <w:p>
      <w:pPr>
        <w:spacing w:line="440" w:lineRule="exact"/>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问题澄清通知</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编号：</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（投标人名称）：</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招标</w:t>
      </w:r>
      <w:r>
        <w:rPr>
          <w:rFonts w:ascii="Times New Roman" w:hAnsi="Times New Roman" w:eastAsia="宋体" w:cs="Times New Roman"/>
          <w:color w:val="auto"/>
          <w:szCs w:val="21"/>
          <w:highlight w:val="none"/>
        </w:rPr>
        <w:t>项目名称）招标的评标委员会，对你方的投标文件进行了仔细的审查，现需你方对下列问题以书面形式予以澄清：</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w:t>
      </w:r>
    </w:p>
    <w:p>
      <w:pPr>
        <w:spacing w:line="440" w:lineRule="exact"/>
        <w:ind w:firstLine="43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p>
      <w:pPr>
        <w:spacing w:line="440" w:lineRule="exact"/>
        <w:ind w:firstLine="43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w:t>
      </w:r>
    </w:p>
    <w:p>
      <w:pPr>
        <w:spacing w:line="440" w:lineRule="exact"/>
        <w:ind w:firstLine="51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请将上述问题的澄清于</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时前递交至</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（详细地址）</w:t>
      </w:r>
      <w:r>
        <w:rPr>
          <w:rFonts w:hint="eastAsia" w:ascii="Times New Roman" w:hAnsi="Times New Roman" w:eastAsia="宋体" w:cs="Times New Roman"/>
          <w:color w:val="auto"/>
          <w:szCs w:val="21"/>
          <w:highlight w:val="none"/>
        </w:rPr>
        <w:t>或</w:t>
      </w:r>
      <w:r>
        <w:rPr>
          <w:rFonts w:hint="eastAsia" w:ascii="宋体" w:hAnsi="宋体" w:eastAsia="宋体" w:cs="Times New Roman"/>
          <w:color w:val="auto"/>
          <w:szCs w:val="21"/>
          <w:highlight w:val="none"/>
        </w:rPr>
        <w:t>传真至</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（传真号码）。采用传真方式的，应在</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年</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月</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日</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时前将原件递交至</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（详细地址）。</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评标</w:t>
      </w:r>
      <w:r>
        <w:rPr>
          <w:rFonts w:hint="eastAsia" w:ascii="Times New Roman" w:hAnsi="Times New Roman" w:eastAsia="宋体" w:cs="Times New Roman"/>
          <w:color w:val="auto"/>
          <w:szCs w:val="21"/>
          <w:highlight w:val="none"/>
        </w:rPr>
        <w:t>委员会授权的招标人或招标代理机构</w:t>
      </w:r>
      <w:r>
        <w:rPr>
          <w:rFonts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rPr>
        <w:t>或盖章</w:t>
      </w:r>
      <w:r>
        <w:rPr>
          <w:rFonts w:ascii="Times New Roman" w:hAnsi="Times New Roman" w:eastAsia="宋体" w:cs="Times New Roman"/>
          <w:color w:val="auto"/>
          <w:szCs w:val="21"/>
          <w:highlight w:val="none"/>
        </w:rPr>
        <w:t>）</w:t>
      </w: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 xml:space="preserve">                 </w:t>
      </w:r>
      <w:r>
        <w:rPr>
          <w:rFonts w:ascii="宋体"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宋体"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宋体"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49" w:name="_Toc152042360"/>
      <w:bookmarkStart w:id="350" w:name="_Toc216681881"/>
      <w:bookmarkStart w:id="351" w:name="_Toc144974550"/>
      <w:bookmarkStart w:id="352" w:name="_Toc247527608"/>
      <w:bookmarkStart w:id="353" w:name="_Toc247514007"/>
      <w:bookmarkStart w:id="354" w:name="_Toc152045583"/>
      <w:r>
        <w:rPr>
          <w:rFonts w:hint="eastAsia" w:ascii="黑体" w:hAnsi="宋体" w:eastAsia="黑体" w:cs="Times New Roman"/>
          <w:bCs/>
          <w:color w:val="auto"/>
          <w:sz w:val="28"/>
          <w:szCs w:val="28"/>
          <w:highlight w:val="none"/>
        </w:rPr>
        <w:t>附件二：问题的澄清</w:t>
      </w:r>
      <w:bookmarkEnd w:id="349"/>
      <w:bookmarkEnd w:id="350"/>
      <w:bookmarkEnd w:id="351"/>
      <w:bookmarkEnd w:id="352"/>
      <w:bookmarkEnd w:id="353"/>
      <w:bookmarkEnd w:id="354"/>
    </w:p>
    <w:p>
      <w:pPr>
        <w:spacing w:line="400" w:lineRule="exact"/>
        <w:jc w:val="center"/>
        <w:rPr>
          <w:rFonts w:ascii="黑体" w:hAnsi="Times New Roman" w:eastAsia="黑体" w:cs="Times New Roman"/>
          <w:color w:val="auto"/>
          <w:sz w:val="28"/>
          <w:szCs w:val="28"/>
          <w:highlight w:val="none"/>
        </w:rPr>
      </w:pPr>
    </w:p>
    <w:p>
      <w:pPr>
        <w:spacing w:line="400" w:lineRule="exact"/>
        <w:jc w:val="center"/>
        <w:rPr>
          <w:rFonts w:ascii="黑体" w:hAnsi="Times New Roman" w:eastAsia="黑体" w:cs="Times New Roman"/>
          <w:color w:val="auto"/>
          <w:sz w:val="28"/>
          <w:szCs w:val="28"/>
          <w:highlight w:val="none"/>
        </w:rPr>
      </w:pPr>
      <w:r>
        <w:rPr>
          <w:rFonts w:hint="eastAsia" w:ascii="黑体" w:hAnsi="Times New Roman" w:eastAsia="黑体" w:cs="Times New Roman"/>
          <w:color w:val="auto"/>
          <w:sz w:val="28"/>
          <w:szCs w:val="28"/>
          <w:highlight w:val="none"/>
        </w:rPr>
        <w:t>问题的澄清</w:t>
      </w:r>
    </w:p>
    <w:p>
      <w:pPr>
        <w:spacing w:line="400" w:lineRule="exact"/>
        <w:ind w:firstLine="3465"/>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编号： </w:t>
      </w:r>
    </w:p>
    <w:p>
      <w:pPr>
        <w:spacing w:line="40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招标</w:t>
      </w:r>
      <w:r>
        <w:rPr>
          <w:rFonts w:ascii="Times New Roman" w:hAnsi="Times New Roman" w:eastAsia="宋体" w:cs="Times New Roman"/>
          <w:color w:val="auto"/>
          <w:szCs w:val="21"/>
          <w:highlight w:val="none"/>
        </w:rPr>
        <w:t>项目名称）招标评标委员会：</w:t>
      </w:r>
    </w:p>
    <w:p>
      <w:pPr>
        <w:spacing w:line="440" w:lineRule="exact"/>
        <w:rPr>
          <w:rFonts w:ascii="Times New Roman" w:hAnsi="Times New Roman" w:eastAsia="宋体" w:cs="Times New Roman"/>
          <w:color w:val="auto"/>
          <w:szCs w:val="21"/>
          <w:highlight w:val="none"/>
        </w:rPr>
      </w:pP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问题澄清通知（编号：</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）已收悉，现澄清如下：</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1.</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2.</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投标人：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（盖单位章）</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法定代表人或其委托代理人：</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（签字）</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r>
        <w:rPr>
          <w:rFonts w:ascii="宋体"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宋体"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宋体" w:hAnsi="宋体"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bookmarkStart w:id="355" w:name="_Toc247527623"/>
      <w:bookmarkStart w:id="356" w:name="_Toc216681882"/>
      <w:bookmarkStart w:id="357" w:name="_Toc144974565"/>
      <w:bookmarkStart w:id="358" w:name="_Toc152045598"/>
      <w:bookmarkStart w:id="359" w:name="_Toc247514022"/>
      <w:bookmarkStart w:id="360" w:name="_Toc152042375"/>
      <w:r>
        <w:rPr>
          <w:rFonts w:hint="eastAsia" w:ascii="Times New Roman" w:hAnsi="Times New Roman" w:eastAsia="宋体" w:cs="Times New Roman"/>
          <w:b/>
          <w:bCs/>
          <w:color w:val="auto"/>
          <w:kern w:val="44"/>
          <w:sz w:val="44"/>
          <w:szCs w:val="44"/>
          <w:highlight w:val="none"/>
        </w:rPr>
        <w:t>第三章 评标办法（综合评估法）</w:t>
      </w:r>
      <w:bookmarkEnd w:id="355"/>
      <w:bookmarkEnd w:id="356"/>
      <w:bookmarkEnd w:id="357"/>
      <w:bookmarkEnd w:id="358"/>
      <w:bookmarkEnd w:id="359"/>
      <w:bookmarkEnd w:id="360"/>
      <w:bookmarkStart w:id="361" w:name="_Toc152045599"/>
      <w:bookmarkStart w:id="362" w:name="_Toc247514023"/>
      <w:bookmarkStart w:id="363" w:name="_Toc247527624"/>
      <w:bookmarkStart w:id="364" w:name="_Toc144974566"/>
      <w:bookmarkStart w:id="365" w:name="_Toc152042376"/>
    </w:p>
    <w:p>
      <w:pPr>
        <w:keepNext/>
        <w:keepLines/>
        <w:spacing w:before="260" w:after="260" w:line="415" w:lineRule="auto"/>
        <w:outlineLvl w:val="1"/>
        <w:rPr>
          <w:rFonts w:ascii="Arial" w:hAnsi="Arial" w:eastAsia="黑体" w:cs="Times New Roman"/>
          <w:b/>
          <w:bCs/>
          <w:color w:val="auto"/>
          <w:sz w:val="32"/>
          <w:szCs w:val="32"/>
          <w:highlight w:val="none"/>
        </w:rPr>
      </w:pPr>
      <w:bookmarkStart w:id="366" w:name="_Toc216681883"/>
      <w:r>
        <w:rPr>
          <w:rFonts w:hint="eastAsia" w:ascii="Arial" w:hAnsi="Arial" w:eastAsia="黑体" w:cs="Times New Roman"/>
          <w:b/>
          <w:bCs/>
          <w:color w:val="auto"/>
          <w:sz w:val="32"/>
          <w:szCs w:val="32"/>
          <w:highlight w:val="none"/>
        </w:rPr>
        <w:t>评标办法前附表</w:t>
      </w:r>
      <w:bookmarkEnd w:id="361"/>
      <w:bookmarkEnd w:id="362"/>
      <w:bookmarkEnd w:id="363"/>
      <w:bookmarkEnd w:id="364"/>
      <w:bookmarkEnd w:id="365"/>
      <w:bookmarkEnd w:id="366"/>
    </w:p>
    <w:tbl>
      <w:tblPr>
        <w:tblStyle w:val="41"/>
        <w:tblW w:w="935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42"/>
        <w:gridCol w:w="992"/>
        <w:gridCol w:w="2268"/>
        <w:gridCol w:w="524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43" w:type="dxa"/>
            <w:gridSpan w:val="3"/>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条款号</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评审因素</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709" w:type="dxa"/>
            <w:vMerge w:val="restart"/>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2.1.1</w:t>
            </w:r>
          </w:p>
        </w:tc>
        <w:tc>
          <w:tcPr>
            <w:tcW w:w="1134" w:type="dxa"/>
            <w:gridSpan w:val="2"/>
            <w:vMerge w:val="restart"/>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形式评审标准</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投标人名称</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与营业执照、资质证书</w:t>
            </w:r>
            <w:r>
              <w:rPr>
                <w:rFonts w:hint="eastAsia" w:ascii="宋体" w:hAnsi="宋体" w:eastAsia="宋体" w:cs="Times New Roman"/>
                <w:color w:val="auto"/>
                <w:szCs w:val="24"/>
                <w:highlight w:val="none"/>
              </w:rPr>
              <w:t>、安全生产许可证（如有）</w:t>
            </w:r>
            <w:r>
              <w:rPr>
                <w:rFonts w:ascii="Times New Roman" w:hAnsi="Times New Roman" w:eastAsia="宋体" w:cs="Times New Roman"/>
                <w:color w:val="auto"/>
                <w:szCs w:val="21"/>
                <w:highlight w:val="none"/>
              </w:rPr>
              <w:t>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投标文件的电子签章</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符合第二章“投标人须知”第3.7.3项要求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投标文件格式</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w:t>
            </w:r>
            <w:r>
              <w:rPr>
                <w:rFonts w:hint="eastAsia" w:ascii="Times New Roman" w:hAnsi="Times New Roman" w:eastAsia="宋体" w:cs="Times New Roman"/>
                <w:color w:val="auto"/>
                <w:szCs w:val="21"/>
                <w:highlight w:val="none"/>
              </w:rPr>
              <w:t>七</w:t>
            </w:r>
            <w:r>
              <w:rPr>
                <w:rFonts w:ascii="Times New Roman" w:hAnsi="Times New Roman" w:eastAsia="宋体" w:cs="Times New Roman"/>
                <w:color w:val="auto"/>
                <w:szCs w:val="21"/>
                <w:highlight w:val="none"/>
              </w:rPr>
              <w:t>章“投标文件格式”的要求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2" w:hRule="atLeast"/>
        </w:trPr>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联合体投标人</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提交联合体协议书，并明确联合体牵头人</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符合第二章“投标人须知”第1.4.2项规定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报价唯一</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09" w:type="dxa"/>
            <w:vMerge w:val="restart"/>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2.1.2</w:t>
            </w:r>
          </w:p>
        </w:tc>
        <w:tc>
          <w:tcPr>
            <w:tcW w:w="1134" w:type="dxa"/>
            <w:gridSpan w:val="2"/>
            <w:vMerge w:val="restart"/>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资格评审标准</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营业执照</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具备有效的营业执照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安全生产许可证</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宋体" w:hAnsi="宋体" w:eastAsia="宋体" w:cs="Times New Roman"/>
                <w:color w:val="auto"/>
                <w:szCs w:val="24"/>
                <w:highlight w:val="none"/>
              </w:rPr>
              <w:t>具备有效的安全生产许可证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资质等级</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财务状况</w:t>
            </w:r>
          </w:p>
        </w:tc>
        <w:tc>
          <w:tcPr>
            <w:tcW w:w="5245" w:type="dxa"/>
            <w:tcBorders>
              <w:top w:val="single" w:color="auto" w:sz="4" w:space="0"/>
              <w:left w:val="single" w:color="auto" w:sz="4" w:space="0"/>
              <w:bottom w:val="single" w:color="auto" w:sz="4" w:space="0"/>
              <w:right w:val="single" w:color="auto" w:sz="4" w:space="0"/>
            </w:tcBorders>
          </w:tcPr>
          <w:p>
            <w:pPr>
              <w:spacing w:line="440" w:lineRule="exact"/>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业绩</w:t>
            </w:r>
          </w:p>
        </w:tc>
        <w:tc>
          <w:tcPr>
            <w:tcW w:w="5245" w:type="dxa"/>
            <w:tcBorders>
              <w:top w:val="single" w:color="auto" w:sz="4" w:space="0"/>
              <w:left w:val="single" w:color="auto" w:sz="4" w:space="0"/>
              <w:bottom w:val="single" w:color="auto" w:sz="4" w:space="0"/>
              <w:right w:val="single" w:color="auto" w:sz="4" w:space="0"/>
            </w:tcBorders>
          </w:tcPr>
          <w:p>
            <w:pPr>
              <w:spacing w:line="440" w:lineRule="exact"/>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信誉</w:t>
            </w:r>
          </w:p>
        </w:tc>
        <w:tc>
          <w:tcPr>
            <w:tcW w:w="5245" w:type="dxa"/>
            <w:tcBorders>
              <w:top w:val="single" w:color="auto" w:sz="4" w:space="0"/>
              <w:left w:val="single" w:color="auto" w:sz="4" w:space="0"/>
              <w:bottom w:val="single" w:color="auto" w:sz="4" w:space="0"/>
              <w:right w:val="single" w:color="auto" w:sz="4" w:space="0"/>
            </w:tcBorders>
          </w:tcPr>
          <w:p>
            <w:pPr>
              <w:spacing w:line="440" w:lineRule="exact"/>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工程总承包</w:t>
            </w:r>
            <w:r>
              <w:rPr>
                <w:rFonts w:ascii="Times New Roman" w:hAnsi="Times New Roman" w:eastAsia="宋体" w:cs="Times New Roman"/>
                <w:color w:val="auto"/>
                <w:szCs w:val="21"/>
                <w:highlight w:val="none"/>
              </w:rPr>
              <w:t>项目经理</w:t>
            </w:r>
            <w:r>
              <w:rPr>
                <w:rFonts w:hint="eastAsia" w:ascii="Times New Roman" w:hAnsi="Times New Roman" w:eastAsia="宋体" w:cs="Times New Roman"/>
                <w:color w:val="auto"/>
                <w:szCs w:val="21"/>
                <w:highlight w:val="none"/>
              </w:rPr>
              <w:t xml:space="preserve"> </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符合第二章“投标人须知”第1.4.1</w:t>
            </w:r>
            <w:r>
              <w:rPr>
                <w:rFonts w:hint="eastAsia" w:ascii="Times New Roman" w:hAnsi="Times New Roman" w:eastAsia="宋体" w:cs="Times New Roman"/>
                <w:color w:val="auto"/>
                <w:szCs w:val="21"/>
                <w:highlight w:val="none"/>
              </w:rPr>
              <w:t>项</w:t>
            </w:r>
            <w:r>
              <w:rPr>
                <w:rFonts w:ascii="Times New Roman" w:hAnsi="Times New Roman" w:eastAsia="宋体" w:cs="Times New Roman"/>
                <w:color w:val="auto"/>
                <w:szCs w:val="21"/>
                <w:highlight w:val="none"/>
              </w:rPr>
              <w:t>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设计负责人</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施工负责人</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技术负责人</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09" w:type="dxa"/>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联合体投标</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符合第二章“投标人须知”第1.4.2项规定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09" w:type="dxa"/>
            <w:vMerge w:val="restart"/>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2.1.3</w:t>
            </w:r>
          </w:p>
        </w:tc>
        <w:tc>
          <w:tcPr>
            <w:tcW w:w="1134" w:type="dxa"/>
            <w:gridSpan w:val="2"/>
            <w:vMerge w:val="restart"/>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响应性评审标准</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投标报价</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w:t>
            </w:r>
            <w:r>
              <w:rPr>
                <w:rFonts w:hint="eastAsia" w:ascii="Times New Roman" w:hAnsi="Times New Roman" w:eastAsia="宋体" w:cs="Times New Roman"/>
                <w:color w:val="auto"/>
                <w:szCs w:val="21"/>
                <w:highlight w:val="none"/>
              </w:rPr>
              <w:t>3</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2</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4</w:t>
            </w:r>
            <w:r>
              <w:rPr>
                <w:rFonts w:ascii="Times New Roman" w:hAnsi="Times New Roman" w:eastAsia="宋体" w:cs="Times New Roman"/>
                <w:color w:val="auto"/>
                <w:szCs w:val="21"/>
                <w:highlight w:val="none"/>
              </w:rPr>
              <w:t>项</w:t>
            </w:r>
            <w:r>
              <w:rPr>
                <w:rFonts w:hint="eastAsia" w:ascii="Times New Roman" w:hAnsi="Times New Roman" w:eastAsia="宋体" w:cs="Times New Roman"/>
                <w:color w:val="auto"/>
                <w:szCs w:val="21"/>
                <w:highlight w:val="none"/>
              </w:rPr>
              <w:t>、第3.2.5项</w:t>
            </w:r>
            <w:r>
              <w:rPr>
                <w:rFonts w:ascii="Times New Roman" w:hAnsi="Times New Roman" w:eastAsia="宋体" w:cs="Times New Roman"/>
                <w:color w:val="auto"/>
                <w:szCs w:val="21"/>
                <w:highlight w:val="none"/>
              </w:rPr>
              <w:t>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709" w:type="dxa"/>
            <w:vMerge w:val="continue"/>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投标内容</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 w:hRule="atLeast"/>
        </w:trPr>
        <w:tc>
          <w:tcPr>
            <w:tcW w:w="709"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工期</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符合第二章“投标人须知”第1.3.2项规定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709"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质量</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符合第二章“投标人须知”第1.3.</w:t>
            </w:r>
            <w:r>
              <w:rPr>
                <w:rFonts w:hint="eastAsia" w:ascii="Times New Roman" w:hAnsi="Times New Roman" w:eastAsia="宋体" w:cs="Times New Roman"/>
                <w:color w:val="auto"/>
                <w:szCs w:val="21"/>
                <w:highlight w:val="none"/>
              </w:rPr>
              <w:t>3</w:t>
            </w:r>
            <w:r>
              <w:rPr>
                <w:rFonts w:ascii="Times New Roman" w:hAnsi="Times New Roman" w:eastAsia="宋体" w:cs="Times New Roman"/>
                <w:color w:val="auto"/>
                <w:szCs w:val="21"/>
                <w:highlight w:val="none"/>
              </w:rPr>
              <w:t>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1" w:hRule="atLeast"/>
        </w:trPr>
        <w:tc>
          <w:tcPr>
            <w:tcW w:w="709"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投标有效期</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w:t>
            </w:r>
            <w:r>
              <w:rPr>
                <w:rFonts w:hint="eastAsia" w:ascii="Times New Roman" w:hAnsi="Times New Roman" w:eastAsia="宋体" w:cs="Times New Roman"/>
                <w:color w:val="auto"/>
                <w:szCs w:val="21"/>
                <w:highlight w:val="none"/>
              </w:rPr>
              <w:t>3</w:t>
            </w:r>
            <w:r>
              <w:rPr>
                <w:rFonts w:ascii="Times New Roman" w:hAnsi="Times New Roman" w:eastAsia="宋体" w:cs="Times New Roman"/>
                <w:color w:val="auto"/>
                <w:szCs w:val="21"/>
                <w:highlight w:val="none"/>
              </w:rPr>
              <w:t>.3.</w:t>
            </w: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项规</w:t>
            </w:r>
            <w:r>
              <w:rPr>
                <w:rFonts w:hint="eastAsia" w:ascii="Times New Roman" w:hAnsi="Times New Roman" w:eastAsia="宋体" w:cs="Times New Roman"/>
                <w:color w:val="auto"/>
                <w:szCs w:val="21"/>
                <w:highlight w:val="none"/>
              </w:rPr>
              <w:t>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709"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投标保证金</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符合第二章“投标人须知”第3.4</w:t>
            </w: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709"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1134"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权利义务</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符合第四章“合同条款及格式”规定的权利义务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1843" w:type="dxa"/>
            <w:gridSpan w:val="3"/>
            <w:tcBorders>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条款号</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条款内容</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8" w:hRule="atLeast"/>
        </w:trPr>
        <w:tc>
          <w:tcPr>
            <w:tcW w:w="1843" w:type="dxa"/>
            <w:gridSpan w:val="3"/>
            <w:tcBorders>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2.2.1</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分值构成</w:t>
            </w: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(总分100分)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承包人建议书：</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10</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分</w:t>
            </w:r>
          </w:p>
          <w:p>
            <w:pPr>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承包人实施方案</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55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分</w:t>
            </w:r>
          </w:p>
          <w:p>
            <w:pPr>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资信业绩部分：</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4</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分</w:t>
            </w:r>
          </w:p>
          <w:p>
            <w:pPr>
              <w:spacing w:line="440" w:lineRule="exact"/>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投标报价：</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17</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分</w:t>
            </w:r>
          </w:p>
          <w:p>
            <w:pPr>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其他评分因素：</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14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3" w:hRule="atLeast"/>
        </w:trPr>
        <w:tc>
          <w:tcPr>
            <w:tcW w:w="1843" w:type="dxa"/>
            <w:gridSpan w:val="3"/>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2.2.2</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评标基准价计算</w:t>
            </w:r>
            <w:r>
              <w:rPr>
                <w:rFonts w:hint="eastAsia" w:ascii="Times New Roman" w:hAnsi="Times New Roman" w:eastAsia="宋体" w:cs="Times New Roman"/>
                <w:color w:val="auto"/>
                <w:szCs w:val="21"/>
                <w:highlight w:val="none"/>
              </w:rPr>
              <w:t>方法</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hAnsi="宋体" w:eastAsia="宋体" w:cs="宋体"/>
                <w:color w:val="auto"/>
                <w:szCs w:val="24"/>
                <w:highlight w:val="none"/>
              </w:rPr>
            </w:pPr>
            <w:r>
              <w:rPr>
                <w:rFonts w:hint="eastAsia" w:ascii="宋体" w:hAnsi="宋体" w:eastAsia="宋体" w:cs="宋体"/>
                <w:b/>
                <w:bCs/>
                <w:color w:val="auto"/>
                <w:szCs w:val="24"/>
                <w:highlight w:val="none"/>
              </w:rPr>
              <w:t>（1）设计费基准价计算方法（设计费投标报价为费率报价）：</w:t>
            </w:r>
            <w:r>
              <w:rPr>
                <w:rFonts w:hint="eastAsia" w:ascii="宋体" w:hAnsi="宋体" w:eastAsia="宋体" w:cs="宋体"/>
                <w:color w:val="auto"/>
                <w:szCs w:val="24"/>
                <w:highlight w:val="none"/>
              </w:rPr>
              <w:t>当通过初步评审的投标人多于12家（不含12家）时，即有效投标人数＞12家，所有通过初步评审的投标人的投标报价去掉两个最高价和两个最低价后的算数平均值为评标基准价；当通过初步评审的投标人多于5家（不含5家）并且不多于12家时，即5家＜有效投标人数≤12家，所有通过初步评审的投标人的投标报价去掉一个最高价和一个最低价后的算数平均值为评标基准价；当通过初步评审的投标人不多于5家时，即有效投标人数≤5家，所有通过初步评审的投标人的投标报价的算数平均值为评标基准价。</w:t>
            </w:r>
          </w:p>
          <w:p>
            <w:pPr>
              <w:spacing w:line="440" w:lineRule="exact"/>
              <w:rPr>
                <w:rFonts w:ascii="宋体" w:hAnsi="宋体" w:eastAsia="宋体" w:cs="宋体"/>
                <w:color w:val="auto"/>
                <w:szCs w:val="24"/>
                <w:highlight w:val="none"/>
              </w:rPr>
            </w:pPr>
            <w:r>
              <w:rPr>
                <w:rFonts w:hint="eastAsia" w:ascii="宋体" w:hAnsi="宋体" w:eastAsia="宋体" w:cs="宋体"/>
                <w:b/>
                <w:bCs/>
                <w:color w:val="auto"/>
                <w:szCs w:val="24"/>
                <w:highlight w:val="none"/>
              </w:rPr>
              <w:t>（2）已公布工程量清单部分以外建筑安装工程费投标报价基准价计算方法（投标报价为优惠率报价）：</w:t>
            </w:r>
            <w:r>
              <w:rPr>
                <w:rFonts w:hint="eastAsia" w:ascii="宋体" w:hAnsi="宋体" w:eastAsia="宋体" w:cs="宋体"/>
                <w:color w:val="auto"/>
                <w:szCs w:val="24"/>
                <w:highlight w:val="none"/>
              </w:rPr>
              <w:t>当通过初步评审的投标人多于12家（不含12家）时，即有效投标人数＞12家，所有通过初步评审的投标人的</w:t>
            </w:r>
            <w:r>
              <w:rPr>
                <w:rFonts w:hint="eastAsia" w:ascii="宋体" w:hAnsi="宋体" w:eastAsia="宋体" w:cs="宋体"/>
                <w:b/>
                <w:bCs/>
                <w:color w:val="auto"/>
                <w:szCs w:val="24"/>
                <w:highlight w:val="none"/>
              </w:rPr>
              <w:t>（1-|优惠率|）</w:t>
            </w:r>
            <w:r>
              <w:rPr>
                <w:rFonts w:hint="eastAsia" w:ascii="宋体" w:hAnsi="宋体" w:eastAsia="宋体" w:cs="宋体"/>
                <w:color w:val="auto"/>
                <w:szCs w:val="24"/>
                <w:highlight w:val="none"/>
              </w:rPr>
              <w:t>去掉两个最高价和两个最低价后的算数平均值为评标基准价；当通过初步评审的投标人多于5家（不含5家）并且不多于12家时，即5家＜有效投标人数≤12家，所有通过初步评审的投标人的</w:t>
            </w:r>
            <w:r>
              <w:rPr>
                <w:rFonts w:hint="eastAsia" w:ascii="宋体" w:hAnsi="宋体" w:eastAsia="宋体" w:cs="宋体"/>
                <w:b/>
                <w:bCs/>
                <w:color w:val="auto"/>
                <w:szCs w:val="24"/>
                <w:highlight w:val="none"/>
              </w:rPr>
              <w:t>（1-|优惠率|）</w:t>
            </w:r>
            <w:r>
              <w:rPr>
                <w:rFonts w:hint="eastAsia" w:ascii="宋体" w:hAnsi="宋体" w:eastAsia="宋体" w:cs="宋体"/>
                <w:color w:val="auto"/>
                <w:szCs w:val="24"/>
                <w:highlight w:val="none"/>
              </w:rPr>
              <w:t>去掉一个最高价和一个最低价后的算数平均值为评标基准价；当通过初步评审的投标人不多于5家时，即有效投标人数≤5家，所有通过初步评审的投标人的</w:t>
            </w:r>
            <w:r>
              <w:rPr>
                <w:rFonts w:hint="eastAsia" w:ascii="宋体" w:hAnsi="宋体" w:eastAsia="宋体" w:cs="宋体"/>
                <w:b/>
                <w:bCs/>
                <w:color w:val="auto"/>
                <w:szCs w:val="24"/>
                <w:highlight w:val="none"/>
              </w:rPr>
              <w:t>（1-|优惠率|）</w:t>
            </w:r>
            <w:r>
              <w:rPr>
                <w:rFonts w:hint="eastAsia" w:ascii="宋体" w:hAnsi="宋体" w:eastAsia="宋体" w:cs="宋体"/>
                <w:color w:val="auto"/>
                <w:szCs w:val="24"/>
                <w:highlight w:val="none"/>
              </w:rPr>
              <w:t>的算数平均值为评标基准价。</w:t>
            </w:r>
          </w:p>
          <w:p>
            <w:pPr>
              <w:spacing w:line="440" w:lineRule="exact"/>
              <w:rPr>
                <w:rFonts w:ascii="宋体" w:hAnsi="宋体" w:eastAsia="宋体" w:cs="宋体"/>
                <w:color w:val="auto"/>
                <w:szCs w:val="24"/>
                <w:highlight w:val="none"/>
              </w:rPr>
            </w:pPr>
            <w:r>
              <w:rPr>
                <w:rFonts w:hint="eastAsia" w:ascii="宋体" w:hAnsi="宋体" w:eastAsia="宋体" w:cs="宋体"/>
                <w:b/>
                <w:bCs/>
                <w:color w:val="auto"/>
                <w:szCs w:val="24"/>
                <w:highlight w:val="none"/>
              </w:rPr>
              <w:t>（3）已公布工程量清单部分建筑安装工程费投标报价基准价计算方法（投标报价为工程量清单报价）：</w:t>
            </w:r>
            <w:r>
              <w:rPr>
                <w:rFonts w:hint="eastAsia" w:ascii="宋体" w:hAnsi="宋体" w:eastAsia="宋体" w:cs="宋体"/>
                <w:color w:val="auto"/>
                <w:szCs w:val="24"/>
                <w:highlight w:val="none"/>
              </w:rPr>
              <w:t>当通过初步评审的投标人多于12家（不含12家）时，即有效投标人数＞12家，所有通过初步评审的投标人的</w:t>
            </w:r>
            <w:r>
              <w:rPr>
                <w:rFonts w:hint="eastAsia" w:ascii="宋体" w:hAnsi="宋体" w:eastAsia="宋体" w:cs="宋体"/>
                <w:color w:val="auto"/>
                <w:szCs w:val="24"/>
                <w:highlight w:val="none"/>
              </w:rPr>
              <w:t>已标价工程量清单投标总价</w:t>
            </w:r>
            <w:r>
              <w:rPr>
                <w:rFonts w:hint="eastAsia" w:ascii="宋体" w:hAnsi="宋体" w:eastAsia="宋体" w:cs="宋体"/>
                <w:color w:val="auto"/>
                <w:szCs w:val="24"/>
                <w:highlight w:val="none"/>
              </w:rPr>
              <w:t>去掉两个最高价和两个最低价后的算数平均值为评标基准价；当通过初步评审的投标人多于5家（不含5家）并且不多于12家时，即5家＜有效投标人数≤12家，所有通过初步评审的投标人的</w:t>
            </w:r>
            <w:r>
              <w:rPr>
                <w:rFonts w:hint="eastAsia" w:ascii="宋体" w:hAnsi="宋体" w:eastAsia="宋体" w:cs="宋体"/>
                <w:color w:val="auto"/>
                <w:szCs w:val="24"/>
                <w:highlight w:val="none"/>
              </w:rPr>
              <w:t>已标价工程量清单投标总价</w:t>
            </w:r>
            <w:r>
              <w:rPr>
                <w:rFonts w:hint="eastAsia" w:ascii="宋体" w:hAnsi="宋体" w:eastAsia="宋体" w:cs="宋体"/>
                <w:color w:val="auto"/>
                <w:szCs w:val="24"/>
                <w:highlight w:val="none"/>
              </w:rPr>
              <w:t>去掉一个最高价和一个最低价后的算数平均值为评标基准价；当通过初步评审的投标人不多于5家时，即有效投标人数≤5家，所有通过初步评审的投标人的</w:t>
            </w:r>
            <w:r>
              <w:rPr>
                <w:rFonts w:hint="eastAsia" w:ascii="宋体" w:hAnsi="宋体" w:eastAsia="宋体" w:cs="宋体"/>
                <w:color w:val="auto"/>
                <w:szCs w:val="24"/>
                <w:highlight w:val="none"/>
              </w:rPr>
              <w:t>已标价工程量清单投标总价</w:t>
            </w:r>
            <w:r>
              <w:rPr>
                <w:rFonts w:hint="eastAsia" w:ascii="宋体" w:hAnsi="宋体" w:eastAsia="宋体" w:cs="宋体"/>
                <w:color w:val="auto"/>
                <w:szCs w:val="24"/>
                <w:highlight w:val="none"/>
              </w:rPr>
              <w:t>的算数平均值为评标基准价。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4" w:hRule="atLeast"/>
        </w:trPr>
        <w:tc>
          <w:tcPr>
            <w:tcW w:w="1843" w:type="dxa"/>
            <w:gridSpan w:val="3"/>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2.2.3</w:t>
            </w:r>
          </w:p>
        </w:tc>
        <w:tc>
          <w:tcPr>
            <w:tcW w:w="2268" w:type="dxa"/>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投标报价的偏差率</w:t>
            </w:r>
          </w:p>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计算公式</w:t>
            </w:r>
          </w:p>
        </w:tc>
        <w:tc>
          <w:tcPr>
            <w:tcW w:w="5245" w:type="dxa"/>
            <w:tcBorders>
              <w:top w:val="single" w:color="auto" w:sz="4" w:space="0"/>
              <w:left w:val="single" w:color="auto" w:sz="4" w:space="0"/>
              <w:right w:val="single" w:color="auto" w:sz="4" w:space="0"/>
            </w:tcBorders>
            <w:vAlign w:val="center"/>
          </w:tcPr>
          <w:p>
            <w:pPr>
              <w:tabs>
                <w:tab w:val="left" w:pos="1680"/>
              </w:tabs>
              <w:spacing w:line="440" w:lineRule="exact"/>
              <w:jc w:val="left"/>
              <w:rPr>
                <w:rFonts w:ascii="宋体" w:hAnsi="宋体" w:eastAsia="宋体" w:cs="宋体"/>
                <w:color w:val="auto"/>
                <w:szCs w:val="24"/>
                <w:highlight w:val="none"/>
              </w:rPr>
            </w:pPr>
            <w:r>
              <w:rPr>
                <w:rFonts w:hint="eastAsia" w:ascii="宋体" w:hAnsi="宋体" w:eastAsia="宋体" w:cs="宋体"/>
                <w:color w:val="auto"/>
                <w:szCs w:val="24"/>
                <w:highlight w:val="none"/>
              </w:rPr>
              <w:t>（1）设计费投标报价的偏差率=100% ×（投标人报价－评标基准价）/评标基准价</w:t>
            </w:r>
          </w:p>
          <w:p>
            <w:pPr>
              <w:spacing w:line="440" w:lineRule="exact"/>
              <w:jc w:val="left"/>
              <w:rPr>
                <w:rFonts w:ascii="宋体" w:hAnsi="宋体" w:eastAsia="宋体" w:cs="宋体"/>
                <w:color w:val="auto"/>
                <w:szCs w:val="24"/>
                <w:highlight w:val="none"/>
              </w:rPr>
            </w:pPr>
            <w:r>
              <w:rPr>
                <w:rFonts w:hint="eastAsia" w:ascii="宋体" w:hAnsi="宋体" w:eastAsia="宋体" w:cs="宋体"/>
                <w:color w:val="auto"/>
                <w:szCs w:val="24"/>
                <w:highlight w:val="none"/>
              </w:rPr>
              <w:t>（2）已公布工程量清单部分以外建筑安装工程费投标报价的偏差率=100%×〔（1-|优惠率|）－评标基准价〕/评标基准价</w:t>
            </w:r>
          </w:p>
          <w:p>
            <w:pPr>
              <w:spacing w:line="440" w:lineRule="exact"/>
              <w:jc w:val="left"/>
              <w:rPr>
                <w:rFonts w:ascii="Times New Roman" w:hAnsi="Times New Roman" w:eastAsia="宋体" w:cs="Times New Roman"/>
                <w:color w:val="auto"/>
                <w:szCs w:val="21"/>
                <w:highlight w:val="none"/>
              </w:rPr>
            </w:pPr>
            <w:r>
              <w:rPr>
                <w:rFonts w:hint="eastAsia" w:ascii="宋体" w:hAnsi="宋体" w:eastAsia="宋体" w:cs="宋体"/>
                <w:color w:val="auto"/>
                <w:szCs w:val="24"/>
                <w:highlight w:val="none"/>
              </w:rPr>
              <w:t>（3）已公布工程量清单部分建筑安装工程费投标报价的偏差率=100%×〔已标价工程量清单投标总价－评标基准价〕/评标基准价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1843" w:type="dxa"/>
            <w:gridSpan w:val="3"/>
            <w:tcBorders>
              <w:top w:val="nil"/>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条款号</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评分因素（偏差率）</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851" w:type="dxa"/>
            <w:gridSpan w:val="2"/>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2.2.4</w:t>
            </w:r>
            <w:r>
              <w:rPr>
                <w:rFonts w:hint="eastAsia" w:ascii="Times New Roman" w:hAnsi="Times New Roman" w:eastAsia="宋体" w:cs="Times New Roman"/>
                <w:color w:val="auto"/>
                <w:szCs w:val="21"/>
                <w:highlight w:val="none"/>
              </w:rPr>
              <w:t>（1）</w:t>
            </w:r>
          </w:p>
        </w:tc>
        <w:tc>
          <w:tcPr>
            <w:tcW w:w="992" w:type="dxa"/>
            <w:tcBorders>
              <w:top w:val="single" w:color="auto" w:sz="4" w:space="0"/>
              <w:right w:val="single" w:color="auto" w:sz="4" w:space="0"/>
            </w:tcBorders>
            <w:vAlign w:val="center"/>
          </w:tcPr>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承包人建议书评分标准</w:t>
            </w:r>
            <w:r>
              <w:rPr>
                <w:rFonts w:hint="eastAsia" w:ascii="Times New Roman" w:hAnsi="Times New Roman" w:eastAsia="宋体" w:cs="Times New Roman"/>
                <w:bCs/>
                <w:color w:val="auto"/>
                <w:szCs w:val="24"/>
                <w:highlight w:val="none"/>
              </w:rPr>
              <w:t>（</w:t>
            </w:r>
            <w:r>
              <w:rPr>
                <w:rFonts w:hint="eastAsia" w:ascii="宋体" w:hAnsi="宋体" w:eastAsia="宋体" w:cs="Times New Roman"/>
                <w:color w:val="auto"/>
                <w:szCs w:val="24"/>
                <w:highlight w:val="none"/>
              </w:rPr>
              <w:t>满分</w:t>
            </w:r>
            <w:r>
              <w:rPr>
                <w:rFonts w:hint="eastAsia" w:ascii="Times New Roman" w:hAnsi="Times New Roman" w:eastAsia="宋体" w:cs="Times New Roman"/>
                <w:bCs/>
                <w:color w:val="auto"/>
                <w:szCs w:val="24"/>
                <w:highlight w:val="none"/>
              </w:rPr>
              <w:t>10分）</w:t>
            </w:r>
          </w:p>
        </w:tc>
        <w:tc>
          <w:tcPr>
            <w:tcW w:w="2268" w:type="dxa"/>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承包人建议书</w:t>
            </w:r>
          </w:p>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（10分）</w:t>
            </w:r>
          </w:p>
        </w:tc>
        <w:tc>
          <w:tcPr>
            <w:tcW w:w="5245" w:type="dxa"/>
            <w:tcBorders>
              <w:top w:val="single" w:color="auto" w:sz="4" w:space="0"/>
              <w:left w:val="single" w:color="auto" w:sz="4" w:space="0"/>
              <w:right w:val="single" w:color="auto" w:sz="4" w:space="0"/>
            </w:tcBorders>
            <w:vAlign w:val="center"/>
          </w:tcPr>
          <w:p>
            <w:pPr>
              <w:spacing w:line="360" w:lineRule="auto"/>
              <w:jc w:val="left"/>
              <w:rPr>
                <w:rFonts w:ascii="宋体" w:hAnsi="宋体" w:eastAsia="宋体" w:cs="宋体"/>
                <w:color w:val="auto"/>
                <w:szCs w:val="24"/>
                <w:highlight w:val="none"/>
              </w:rPr>
            </w:pPr>
            <w:r>
              <w:rPr>
                <w:rFonts w:hint="eastAsia" w:ascii="宋体" w:hAnsi="宋体" w:eastAsia="宋体" w:cs="宋体"/>
                <w:color w:val="auto"/>
                <w:szCs w:val="24"/>
                <w:highlight w:val="none"/>
              </w:rPr>
              <w:t>（1）承包人建议书合理，可操作性强，得8-10分。</w:t>
            </w:r>
          </w:p>
          <w:p>
            <w:pPr>
              <w:spacing w:line="360" w:lineRule="auto"/>
              <w:jc w:val="left"/>
              <w:rPr>
                <w:rFonts w:ascii="宋体" w:hAnsi="宋体" w:eastAsia="宋体" w:cs="宋体"/>
                <w:color w:val="auto"/>
                <w:szCs w:val="24"/>
                <w:highlight w:val="none"/>
              </w:rPr>
            </w:pPr>
            <w:r>
              <w:rPr>
                <w:rFonts w:hint="eastAsia" w:ascii="宋体" w:hAnsi="宋体" w:eastAsia="宋体" w:cs="宋体"/>
                <w:color w:val="auto"/>
                <w:szCs w:val="24"/>
                <w:highlight w:val="none"/>
              </w:rPr>
              <w:t>（2）承包人建议书基本合理，可操作性一般，得5-7分。</w:t>
            </w:r>
          </w:p>
          <w:p>
            <w:pPr>
              <w:spacing w:line="360" w:lineRule="auto"/>
              <w:jc w:val="left"/>
              <w:rPr>
                <w:rFonts w:ascii="宋体" w:hAnsi="宋体" w:eastAsia="宋体" w:cs="宋体"/>
                <w:color w:val="auto"/>
                <w:szCs w:val="24"/>
                <w:highlight w:val="none"/>
              </w:rPr>
            </w:pPr>
            <w:r>
              <w:rPr>
                <w:rFonts w:hint="eastAsia" w:ascii="宋体" w:hAnsi="宋体" w:eastAsia="宋体" w:cs="宋体"/>
                <w:color w:val="auto"/>
                <w:szCs w:val="24"/>
                <w:highlight w:val="none"/>
              </w:rPr>
              <w:t>（3）承包人建议书不合理，可操作性差，得2-4分。</w:t>
            </w:r>
          </w:p>
          <w:p>
            <w:pPr>
              <w:spacing w:line="440" w:lineRule="exact"/>
              <w:jc w:val="left"/>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（4）未编制承包人建议书的，得0分。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5" w:hRule="atLeast"/>
        </w:trPr>
        <w:tc>
          <w:tcPr>
            <w:tcW w:w="851" w:type="dxa"/>
            <w:gridSpan w:val="2"/>
            <w:vMerge w:val="restart"/>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2.2.4</w:t>
            </w:r>
            <w:r>
              <w:rPr>
                <w:rFonts w:hint="eastAsia" w:ascii="Times New Roman" w:hAnsi="Times New Roman" w:eastAsia="宋体" w:cs="Times New Roman"/>
                <w:color w:val="auto"/>
                <w:szCs w:val="21"/>
                <w:highlight w:val="none"/>
              </w:rPr>
              <w:t>（2）</w:t>
            </w:r>
          </w:p>
        </w:tc>
        <w:tc>
          <w:tcPr>
            <w:tcW w:w="992" w:type="dxa"/>
            <w:vMerge w:val="restart"/>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承包人实施方案评分</w:t>
            </w:r>
            <w:r>
              <w:rPr>
                <w:rFonts w:hint="eastAsia" w:ascii="Times New Roman" w:hAnsi="Times New Roman" w:eastAsia="宋体" w:cs="Times New Roman"/>
                <w:color w:val="auto"/>
                <w:szCs w:val="21"/>
                <w:highlight w:val="none"/>
              </w:rPr>
              <w:t>标准</w:t>
            </w:r>
            <w:r>
              <w:rPr>
                <w:rFonts w:hint="eastAsia" w:ascii="Times New Roman" w:hAnsi="Times New Roman" w:eastAsia="宋体" w:cs="Times New Roman"/>
                <w:bCs/>
                <w:color w:val="auto"/>
                <w:szCs w:val="24"/>
                <w:highlight w:val="none"/>
              </w:rPr>
              <w:t>（</w:t>
            </w:r>
            <w:r>
              <w:rPr>
                <w:rFonts w:hint="eastAsia" w:ascii="宋体" w:hAnsi="宋体" w:eastAsia="宋体" w:cs="Times New Roman"/>
                <w:color w:val="auto"/>
                <w:szCs w:val="24"/>
                <w:highlight w:val="none"/>
              </w:rPr>
              <w:t>满分</w:t>
            </w:r>
            <w:r>
              <w:rPr>
                <w:rFonts w:hint="eastAsia" w:ascii="Times New Roman" w:hAnsi="Times New Roman" w:eastAsia="宋体" w:cs="Times New Roman"/>
                <w:bCs/>
                <w:color w:val="auto"/>
                <w:szCs w:val="24"/>
                <w:highlight w:val="none"/>
              </w:rPr>
              <w:t>55分）</w:t>
            </w: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总体实施方案</w:t>
            </w:r>
          </w:p>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（10分）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s="宋体"/>
                <w:color w:val="auto"/>
                <w:highlight w:val="none"/>
              </w:rPr>
            </w:pPr>
            <w:r>
              <w:rPr>
                <w:rFonts w:hint="eastAsia" w:ascii="宋体" w:hAnsi="宋体" w:cs="宋体"/>
                <w:color w:val="auto"/>
                <w:highlight w:val="none"/>
              </w:rPr>
              <w:t>（1）总体实施方案全面合理且能指导项目实施，且有针对性，组织部署全面的：得8-10分；</w:t>
            </w:r>
          </w:p>
          <w:p>
            <w:pPr>
              <w:spacing w:line="440" w:lineRule="exact"/>
              <w:jc w:val="left"/>
              <w:rPr>
                <w:rFonts w:ascii="宋体" w:hAnsi="宋体" w:cs="宋体"/>
                <w:color w:val="auto"/>
                <w:highlight w:val="none"/>
              </w:rPr>
            </w:pPr>
            <w:r>
              <w:rPr>
                <w:rFonts w:hint="eastAsia" w:ascii="宋体" w:hAnsi="宋体" w:cs="宋体"/>
                <w:color w:val="auto"/>
                <w:highlight w:val="none"/>
              </w:rPr>
              <w:t>（2）总体实施方案合理但对项目实施指导性一般，措施针对性一般，组织部署较全面的：得5-7分；</w:t>
            </w:r>
          </w:p>
          <w:p>
            <w:pPr>
              <w:spacing w:line="440" w:lineRule="exact"/>
              <w:jc w:val="left"/>
              <w:rPr>
                <w:rFonts w:ascii="宋体" w:hAnsi="宋体" w:cs="宋体"/>
                <w:color w:val="auto"/>
                <w:highlight w:val="none"/>
              </w:rPr>
            </w:pPr>
            <w:r>
              <w:rPr>
                <w:rFonts w:hint="eastAsia" w:ascii="宋体" w:hAnsi="宋体" w:cs="宋体"/>
                <w:color w:val="auto"/>
                <w:highlight w:val="none"/>
              </w:rPr>
              <w:t>（3）总体实施方案存在有明显错误或有明显缺项的：得2-4分；</w:t>
            </w:r>
          </w:p>
          <w:p>
            <w:pPr>
              <w:spacing w:line="440" w:lineRule="exact"/>
              <w:jc w:val="left"/>
              <w:rPr>
                <w:rFonts w:ascii="宋体" w:hAnsi="宋体" w:cs="宋体"/>
                <w:color w:val="auto"/>
                <w:highlight w:val="none"/>
              </w:rPr>
            </w:pPr>
            <w:r>
              <w:rPr>
                <w:rFonts w:hint="eastAsia" w:ascii="宋体" w:hAnsi="宋体" w:cs="宋体"/>
                <w:color w:val="auto"/>
                <w:highlight w:val="none"/>
              </w:rPr>
              <w:t>（4）无总体实施方案的：得0分。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6" w:hRule="atLeast"/>
        </w:trPr>
        <w:tc>
          <w:tcPr>
            <w:tcW w:w="851" w:type="dxa"/>
            <w:gridSpan w:val="2"/>
            <w:vMerge w:val="continue"/>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right w:val="single" w:color="auto" w:sz="4" w:space="0"/>
            </w:tcBorders>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项目实施要点</w:t>
            </w:r>
          </w:p>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（6分）</w:t>
            </w:r>
          </w:p>
        </w:tc>
        <w:tc>
          <w:tcPr>
            <w:tcW w:w="5245" w:type="dxa"/>
            <w:tcBorders>
              <w:top w:val="single" w:color="auto" w:sz="4" w:space="0"/>
              <w:left w:val="single" w:color="auto" w:sz="4" w:space="0"/>
              <w:right w:val="single" w:color="auto" w:sz="4" w:space="0"/>
            </w:tcBorders>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（1）项目实施要点阐述清晰、全面、合理的：得</w:t>
            </w:r>
            <w:r>
              <w:rPr>
                <w:rFonts w:hint="eastAsia" w:ascii="宋体" w:hAnsi="宋体" w:cs="宋体"/>
                <w:color w:val="auto"/>
                <w:szCs w:val="21"/>
                <w:highlight w:val="none"/>
              </w:rPr>
              <w:t>5-6</w:t>
            </w:r>
            <w:r>
              <w:rPr>
                <w:rFonts w:hint="eastAsia" w:ascii="宋体" w:hAnsi="宋体" w:cs="宋体"/>
                <w:color w:val="auto"/>
                <w:szCs w:val="21"/>
                <w:highlight w:val="none"/>
              </w:rPr>
              <w:t>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（2）项目实施要点较全面、较合理的：得</w:t>
            </w:r>
            <w:r>
              <w:rPr>
                <w:rFonts w:hint="eastAsia" w:ascii="宋体" w:hAnsi="宋体" w:cs="宋体"/>
                <w:color w:val="auto"/>
                <w:szCs w:val="21"/>
                <w:highlight w:val="none"/>
              </w:rPr>
              <w:t>3-4分</w:t>
            </w:r>
            <w:r>
              <w:rPr>
                <w:rFonts w:hint="eastAsia" w:ascii="宋体" w:hAnsi="宋体" w:cs="宋体"/>
                <w:color w:val="auto"/>
                <w:szCs w:val="21"/>
                <w:highlight w:val="none"/>
              </w:rPr>
              <w:t>；</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（3）项目实施要点存在有明显错误或有明显缺项的：得</w:t>
            </w:r>
            <w:r>
              <w:rPr>
                <w:rFonts w:hint="eastAsia" w:ascii="宋体" w:hAnsi="宋体" w:cs="宋体"/>
                <w:color w:val="auto"/>
                <w:szCs w:val="21"/>
                <w:highlight w:val="none"/>
              </w:rPr>
              <w:t>1-2分</w:t>
            </w:r>
            <w:r>
              <w:rPr>
                <w:rFonts w:hint="eastAsia" w:ascii="宋体" w:hAnsi="宋体" w:cs="宋体"/>
                <w:color w:val="auto"/>
                <w:szCs w:val="21"/>
                <w:highlight w:val="none"/>
              </w:rPr>
              <w:t>；</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（4）无项目实施要点的：得0分。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18" w:hRule="atLeast"/>
        </w:trPr>
        <w:tc>
          <w:tcPr>
            <w:tcW w:w="851" w:type="dxa"/>
            <w:gridSpan w:val="2"/>
            <w:vMerge w:val="continue"/>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项目管理要点</w:t>
            </w:r>
          </w:p>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（1）项目管理要点清晰、全面、合理、经济、安全，且具有可操作性的：得</w:t>
            </w:r>
            <w:r>
              <w:rPr>
                <w:rFonts w:hint="eastAsia" w:ascii="宋体" w:hAnsi="宋体" w:cs="宋体"/>
                <w:color w:val="auto"/>
                <w:szCs w:val="21"/>
                <w:highlight w:val="none"/>
              </w:rPr>
              <w:t>5-6分；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（2）项目管理要点较全面、较合理，经济性、安全性和可操作性一般的：得</w:t>
            </w:r>
            <w:r>
              <w:rPr>
                <w:rFonts w:hint="eastAsia" w:ascii="宋体" w:hAnsi="宋体" w:cs="宋体"/>
                <w:color w:val="auto"/>
                <w:szCs w:val="21"/>
                <w:highlight w:val="none"/>
              </w:rPr>
              <w:t>3-4分；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（3）项目管理要点存在有明显错误或有明显缺项的：得</w:t>
            </w:r>
            <w:r>
              <w:rPr>
                <w:rFonts w:hint="eastAsia" w:ascii="宋体" w:hAnsi="宋体" w:cs="宋体"/>
                <w:color w:val="auto"/>
                <w:szCs w:val="21"/>
                <w:highlight w:val="none"/>
              </w:rPr>
              <w:t>1-2分</w:t>
            </w:r>
            <w:r>
              <w:rPr>
                <w:rFonts w:hint="eastAsia" w:ascii="宋体" w:hAnsi="宋体" w:cs="宋体"/>
                <w:color w:val="auto"/>
                <w:szCs w:val="21"/>
                <w:highlight w:val="none"/>
              </w:rPr>
              <w:t>；</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（4）无项目管理要点的：得0分。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3" w:hRule="atLeast"/>
        </w:trPr>
        <w:tc>
          <w:tcPr>
            <w:tcW w:w="851"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设计实施方案</w:t>
            </w:r>
          </w:p>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（17分）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highlight w:val="none"/>
              </w:rPr>
            </w:pPr>
            <w:r>
              <w:rPr>
                <w:rFonts w:hint="eastAsia" w:ascii="宋体" w:hAnsi="宋体" w:cs="宋体"/>
                <w:color w:val="auto"/>
                <w:szCs w:val="21"/>
                <w:highlight w:val="none"/>
              </w:rPr>
              <w:t>（1）设计实施</w:t>
            </w:r>
            <w:r>
              <w:rPr>
                <w:rFonts w:hint="eastAsia" w:ascii="宋体" w:hAnsi="宋体" w:cs="宋体"/>
                <w:color w:val="auto"/>
                <w:highlight w:val="none"/>
              </w:rPr>
              <w:t>方案对项目的理解正确全面，设计思路清晰突出重点，全面科学，对招标项目设计重点、难点及关键性技术问题的对策措施切实可行，工程造价控制措施合理可行，设计周期、进度计划及承诺等满足文件要求，所提供图纸清晰合理准确，整体设计方案较好，针对性强</w:t>
            </w:r>
            <w:r>
              <w:rPr>
                <w:rFonts w:hint="eastAsia" w:ascii="宋体" w:hAnsi="宋体" w:cs="宋体"/>
                <w:color w:val="auto"/>
                <w:highlight w:val="none"/>
              </w:rPr>
              <w:t>，得13-17分；</w:t>
            </w:r>
          </w:p>
          <w:p>
            <w:pPr>
              <w:spacing w:line="360" w:lineRule="auto"/>
              <w:jc w:val="left"/>
              <w:rPr>
                <w:rFonts w:ascii="宋体" w:hAnsi="宋体" w:cs="宋体"/>
                <w:color w:val="auto"/>
                <w:highlight w:val="none"/>
              </w:rPr>
            </w:pPr>
            <w:r>
              <w:rPr>
                <w:rFonts w:hint="eastAsia" w:ascii="宋体" w:hAnsi="宋体" w:cs="宋体"/>
                <w:color w:val="auto"/>
                <w:szCs w:val="21"/>
                <w:highlight w:val="none"/>
              </w:rPr>
              <w:t>（2）设计实施</w:t>
            </w:r>
            <w:r>
              <w:rPr>
                <w:rFonts w:hint="eastAsia" w:ascii="宋体" w:hAnsi="宋体" w:cs="宋体"/>
                <w:color w:val="auto"/>
                <w:highlight w:val="none"/>
              </w:rPr>
              <w:t>方案对项目的理解正确，设计思路清晰，工程造价控制措施可行性一般、设计周期、进度计划及承诺等基本满足文件要求，所提供图纸合理，整体方案一般的，针对性一般，</w:t>
            </w:r>
            <w:r>
              <w:rPr>
                <w:rFonts w:hint="eastAsia" w:ascii="宋体" w:hAnsi="宋体" w:cs="宋体"/>
                <w:color w:val="auto"/>
                <w:highlight w:val="none"/>
              </w:rPr>
              <w:t>得9-12分；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（3）设计实施</w:t>
            </w:r>
            <w:r>
              <w:rPr>
                <w:rFonts w:hint="eastAsia" w:ascii="宋体" w:hAnsi="宋体" w:cs="宋体"/>
                <w:color w:val="auto"/>
                <w:highlight w:val="none"/>
              </w:rPr>
              <w:t>方案对项目的理解有偏差，设计思路不够清晰，工程造价控制措施可行性较差、设计周期、进度计划及承诺等基本满足文件要求，所提供图纸基本合理，整体方案较差的，针对性较差，</w:t>
            </w:r>
            <w:r>
              <w:rPr>
                <w:rFonts w:hint="eastAsia" w:ascii="宋体" w:hAnsi="宋体" w:cs="宋体"/>
                <w:color w:val="auto"/>
                <w:highlight w:val="none"/>
              </w:rPr>
              <w:t>得</w:t>
            </w:r>
            <w:r>
              <w:rPr>
                <w:rFonts w:hint="eastAsia" w:ascii="宋体" w:hAnsi="宋体" w:cs="宋体"/>
                <w:color w:val="auto"/>
                <w:highlight w:val="none"/>
              </w:rPr>
              <w:t>4-8分</w:t>
            </w:r>
            <w:r>
              <w:rPr>
                <w:rFonts w:hint="eastAsia" w:ascii="宋体" w:hAnsi="宋体" w:cs="宋体"/>
                <w:color w:val="auto"/>
                <w:highlight w:val="none"/>
              </w:rPr>
              <w:t>；</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（4）设计实施</w:t>
            </w:r>
            <w:r>
              <w:rPr>
                <w:rFonts w:hint="eastAsia" w:ascii="宋体" w:hAnsi="宋体" w:cs="宋体"/>
                <w:color w:val="auto"/>
                <w:highlight w:val="none"/>
              </w:rPr>
              <w:t>方案对项目的理解不正确，设计思路不清晰，整体方案没可操作性的，针对性差</w:t>
            </w:r>
            <w:r>
              <w:rPr>
                <w:rFonts w:hint="eastAsia" w:ascii="宋体" w:hAnsi="宋体" w:cs="宋体"/>
                <w:color w:val="auto"/>
                <w:highlight w:val="none"/>
              </w:rPr>
              <w:t>，</w:t>
            </w:r>
            <w:r>
              <w:rPr>
                <w:rFonts w:hint="eastAsia" w:ascii="宋体" w:hAnsi="宋体" w:cs="宋体"/>
                <w:color w:val="auto"/>
                <w:highlight w:val="none"/>
              </w:rPr>
              <w:t>得1-3分</w:t>
            </w:r>
            <w:r>
              <w:rPr>
                <w:rFonts w:hint="eastAsia" w:ascii="宋体" w:hAnsi="宋体" w:cs="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4" w:hRule="atLeast"/>
        </w:trPr>
        <w:tc>
          <w:tcPr>
            <w:tcW w:w="851"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施工实施方案</w:t>
            </w:r>
          </w:p>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（16分）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（1）项目施工方案编制清晰明确，内容全面，且主要工序明确，重点难点清晰，质量、工期进度等有保障切实可行，</w:t>
            </w:r>
            <w:r>
              <w:rPr>
                <w:rFonts w:hint="eastAsia" w:ascii="宋体" w:hAnsi="宋体" w:cs="宋体"/>
                <w:color w:val="auto"/>
                <w:highlight w:val="none"/>
              </w:rPr>
              <w:t>针对性强，</w:t>
            </w:r>
            <w:r>
              <w:rPr>
                <w:rFonts w:hint="eastAsia" w:ascii="宋体" w:hAnsi="宋体" w:cs="宋体"/>
                <w:color w:val="auto"/>
                <w:szCs w:val="21"/>
                <w:highlight w:val="none"/>
              </w:rPr>
              <w:t>得13-16分；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（2）方案编制清晰明确，内容全面能够满足项目需求的，</w:t>
            </w:r>
            <w:r>
              <w:rPr>
                <w:rFonts w:hint="eastAsia" w:ascii="宋体" w:hAnsi="宋体" w:cs="宋体"/>
                <w:color w:val="auto"/>
                <w:highlight w:val="none"/>
              </w:rPr>
              <w:t>针对性一般，</w:t>
            </w:r>
            <w:r>
              <w:rPr>
                <w:rFonts w:hint="eastAsia" w:ascii="宋体" w:hAnsi="宋体" w:cs="宋体"/>
                <w:color w:val="auto"/>
                <w:szCs w:val="21"/>
                <w:highlight w:val="none"/>
              </w:rPr>
              <w:t>得9-12分；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（3）方案编制内容全面，基本满足项目需求的，</w:t>
            </w:r>
            <w:r>
              <w:rPr>
                <w:rFonts w:hint="eastAsia" w:ascii="宋体" w:hAnsi="宋体" w:cs="宋体"/>
                <w:color w:val="auto"/>
                <w:highlight w:val="none"/>
              </w:rPr>
              <w:t>针对性较弱，</w:t>
            </w:r>
            <w:r>
              <w:rPr>
                <w:rFonts w:hint="eastAsia" w:ascii="宋体" w:hAnsi="宋体" w:cs="宋体"/>
                <w:color w:val="auto"/>
                <w:szCs w:val="21"/>
                <w:highlight w:val="none"/>
              </w:rPr>
              <w:t>得5-8分；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（4）方案编制基本满足项目需求，但存在瑕疵的，没有针对性，得1-4分；</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（5）方案编制存在严重瑕疵，不能满足项目需求的，得0分。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9" w:hRule="atLeast"/>
        </w:trPr>
        <w:tc>
          <w:tcPr>
            <w:tcW w:w="851" w:type="dxa"/>
            <w:gridSpan w:val="2"/>
            <w:vMerge w:val="restart"/>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2.2.4</w:t>
            </w:r>
            <w:r>
              <w:rPr>
                <w:rFonts w:hint="eastAsia" w:ascii="Times New Roman" w:hAnsi="Times New Roman" w:eastAsia="宋体" w:cs="Times New Roman"/>
                <w:color w:val="auto"/>
                <w:szCs w:val="21"/>
                <w:highlight w:val="none"/>
              </w:rPr>
              <w:t>（3）</w:t>
            </w:r>
          </w:p>
        </w:tc>
        <w:tc>
          <w:tcPr>
            <w:tcW w:w="992" w:type="dxa"/>
            <w:vMerge w:val="restart"/>
            <w:tcBorders>
              <w:top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资信业绩评分标准（满分4分）</w:t>
            </w:r>
          </w:p>
        </w:tc>
        <w:tc>
          <w:tcPr>
            <w:tcW w:w="22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设计业绩</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4"/>
                <w:highlight w:val="none"/>
              </w:rPr>
            </w:pPr>
            <w:r>
              <w:rPr>
                <w:rFonts w:hint="eastAsia" w:ascii="宋体" w:hAnsi="宋体" w:cs="宋体"/>
                <w:color w:val="auto"/>
                <w:highlight w:val="none"/>
              </w:rPr>
              <w:t>有类似设计业绩得2分。</w:t>
            </w:r>
          </w:p>
          <w:p>
            <w:pPr>
              <w:spacing w:line="360" w:lineRule="auto"/>
              <w:jc w:val="left"/>
              <w:rPr>
                <w:rFonts w:ascii="宋体" w:hAnsi="宋体" w:cs="宋体"/>
                <w:color w:val="auto"/>
                <w:szCs w:val="24"/>
                <w:highlight w:val="none"/>
              </w:rPr>
            </w:pPr>
            <w:r>
              <w:rPr>
                <w:rFonts w:hint="eastAsia" w:ascii="宋体" w:hAnsi="宋体" w:cs="宋体"/>
                <w:color w:val="auto"/>
                <w:highlight w:val="none"/>
              </w:rPr>
              <w:t>设计业绩：2022年1月1日起至今工程造价在</w:t>
            </w:r>
            <w:r>
              <w:rPr>
                <w:rFonts w:hint="eastAsia" w:ascii="宋体" w:hAnsi="宋体" w:cs="宋体"/>
                <w:color w:val="auto"/>
                <w:highlight w:val="none"/>
              </w:rPr>
              <w:t>7000万元以上或项目总投资在8000万元以</w:t>
            </w:r>
            <w:r>
              <w:rPr>
                <w:rFonts w:hint="eastAsia" w:ascii="宋体" w:hAnsi="宋体" w:cs="宋体"/>
                <w:color w:val="auto"/>
                <w:highlight w:val="none"/>
              </w:rPr>
              <w:t>上规模的</w:t>
            </w:r>
            <w:r>
              <w:rPr>
                <w:rFonts w:hint="eastAsia" w:ascii="宋体" w:hAnsi="宋体" w:cs="宋体"/>
                <w:color w:val="auto"/>
                <w:highlight w:val="none"/>
              </w:rPr>
              <w:t>市政公用工程设计项目</w:t>
            </w:r>
            <w:r>
              <w:rPr>
                <w:rFonts w:hint="eastAsia" w:ascii="宋体" w:hAnsi="宋体" w:cs="宋体"/>
                <w:color w:val="auto"/>
                <w:highlight w:val="none"/>
              </w:rPr>
              <w:t>（或市政公用工程工程总承包项目的设计），</w:t>
            </w:r>
            <w:r>
              <w:rPr>
                <w:rFonts w:hint="eastAsia" w:ascii="宋体" w:hAnsi="宋体" w:cs="宋体"/>
                <w:color w:val="auto"/>
                <w:highlight w:val="none"/>
              </w:rPr>
              <w:t>应是己列入建筑市场主管部门“全国建筑市场监管公共服务平台”的业绩。</w:t>
            </w:r>
            <w:r>
              <w:rPr>
                <w:rFonts w:hint="eastAsia" w:ascii="宋体" w:hAnsi="宋体" w:cs="宋体"/>
                <w:color w:val="auto"/>
                <w:highlight w:val="none"/>
              </w:rPr>
              <w:t>设计业绩须提供合同协议书扫描件（包括合同首页、合同金额所在页、合同签字盖章页、合同签订时间页、工期页），</w:t>
            </w:r>
            <w:r>
              <w:rPr>
                <w:rFonts w:hint="eastAsia" w:ascii="宋体" w:hAnsi="宋体" w:cs="宋体"/>
                <w:color w:val="auto"/>
                <w:highlight w:val="none"/>
              </w:rPr>
              <w:t>同时须提供“全国建筑市场监管公共服务平台” 网站上查询截图</w:t>
            </w:r>
            <w:r>
              <w:rPr>
                <w:rFonts w:hint="eastAsia" w:ascii="宋体" w:hAnsi="宋体" w:cs="宋体"/>
                <w:color w:val="auto"/>
                <w:highlight w:val="none"/>
              </w:rPr>
              <w:t>。若合同协议书不能体现合同金额的，则需提供建设单位盖章的结算金额证明扫描件。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45" w:hRule="atLeast"/>
        </w:trPr>
        <w:tc>
          <w:tcPr>
            <w:tcW w:w="851" w:type="dxa"/>
            <w:gridSpan w:val="2"/>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施工业绩</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（2分）</w:t>
            </w:r>
          </w:p>
        </w:tc>
        <w:tc>
          <w:tcPr>
            <w:tcW w:w="5245" w:type="dxa"/>
            <w:vMerge w:val="restart"/>
            <w:tcBorders>
              <w:top w:val="single" w:color="auto" w:sz="4" w:space="0"/>
              <w:left w:val="single" w:color="auto" w:sz="4" w:space="0"/>
              <w:right w:val="single" w:color="auto" w:sz="4" w:space="0"/>
            </w:tcBorders>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有类似施工业绩得2分。</w:t>
            </w:r>
          </w:p>
          <w:p>
            <w:pPr>
              <w:spacing w:line="360" w:lineRule="auto"/>
              <w:jc w:val="left"/>
              <w:rPr>
                <w:rFonts w:ascii="宋体" w:hAnsi="宋体" w:cs="宋体"/>
                <w:color w:val="auto"/>
                <w:szCs w:val="24"/>
                <w:highlight w:val="none"/>
              </w:rPr>
            </w:pPr>
            <w:r>
              <w:rPr>
                <w:rFonts w:hint="eastAsia" w:ascii="宋体" w:hAnsi="宋体" w:cs="宋体"/>
                <w:color w:val="auto"/>
                <w:szCs w:val="21"/>
                <w:highlight w:val="none"/>
              </w:rPr>
              <w:t>施工业绩：2022年1月1日起至</w:t>
            </w:r>
            <w:r>
              <w:rPr>
                <w:rFonts w:hint="eastAsia" w:ascii="宋体" w:hAnsi="宋体" w:cs="宋体"/>
                <w:color w:val="auto"/>
                <w:szCs w:val="21"/>
                <w:highlight w:val="none"/>
              </w:rPr>
              <w:t>今承接的</w:t>
            </w:r>
            <w:r>
              <w:rPr>
                <w:rFonts w:hint="eastAsia" w:ascii="宋体" w:hAnsi="宋体" w:cs="宋体"/>
                <w:color w:val="auto"/>
                <w:szCs w:val="21"/>
                <w:highlight w:val="none"/>
              </w:rPr>
              <w:t>单项合同金额在7000万元以上的市政公用工程施工项目</w:t>
            </w:r>
            <w:r>
              <w:rPr>
                <w:rFonts w:hint="eastAsia" w:ascii="宋体" w:hAnsi="宋体" w:cs="宋体"/>
                <w:color w:val="auto"/>
                <w:szCs w:val="21"/>
                <w:highlight w:val="none"/>
              </w:rPr>
              <w:t>（或</w:t>
            </w:r>
            <w:r>
              <w:rPr>
                <w:rFonts w:hint="eastAsia" w:ascii="宋体" w:hAnsi="宋体" w:cs="宋体"/>
                <w:color w:val="auto"/>
                <w:szCs w:val="21"/>
                <w:highlight w:val="none"/>
              </w:rPr>
              <w:t>市政公用工程</w:t>
            </w:r>
            <w:r>
              <w:rPr>
                <w:rFonts w:hint="eastAsia" w:ascii="宋体" w:hAnsi="宋体" w:cs="宋体"/>
                <w:color w:val="auto"/>
                <w:szCs w:val="21"/>
                <w:highlight w:val="none"/>
              </w:rPr>
              <w:t>工程总承包项目的施工），</w:t>
            </w:r>
            <w:r>
              <w:rPr>
                <w:rFonts w:hint="eastAsia" w:ascii="宋体" w:hAnsi="宋体" w:cs="宋体"/>
                <w:color w:val="auto"/>
                <w:szCs w:val="21"/>
                <w:highlight w:val="none"/>
              </w:rPr>
              <w:t>应是己列入建筑市场主管部门“全国建筑市场监管公共服务平台”的业绩</w:t>
            </w:r>
            <w:r>
              <w:rPr>
                <w:rFonts w:hint="eastAsia" w:ascii="宋体" w:hAnsi="宋体" w:cs="宋体"/>
                <w:color w:val="auto"/>
                <w:szCs w:val="21"/>
                <w:highlight w:val="none"/>
              </w:rPr>
              <w:t xml:space="preserve">。施工业绩须提供合同协议书扫描件（包括合同首页、合同金额所在页、合同签字盖章页、合同签订时间页、工期页），同时须提供“全国建筑市场监管公共服务平台” </w:t>
            </w:r>
            <w:r>
              <w:rPr>
                <w:rFonts w:hint="eastAsia" w:ascii="宋体" w:hAnsi="宋体" w:cs="宋体"/>
                <w:color w:val="auto"/>
                <w:szCs w:val="21"/>
                <w:highlight w:val="none"/>
              </w:rPr>
              <w:t>网站上查询截图</w:t>
            </w:r>
            <w:r>
              <w:rPr>
                <w:rFonts w:hint="eastAsia" w:ascii="宋体" w:hAnsi="宋体" w:cs="宋体"/>
                <w:color w:val="auto"/>
                <w:szCs w:val="21"/>
                <w:highlight w:val="none"/>
              </w:rPr>
              <w:t>。若合同协议书不能体现合同金额的，则需提供建设单位盖章的结算金额证明扫描件。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4" w:hRule="atLeast"/>
        </w:trPr>
        <w:tc>
          <w:tcPr>
            <w:tcW w:w="851" w:type="dxa"/>
            <w:gridSpan w:val="2"/>
            <w:tcBorders>
              <w:right w:val="single" w:color="auto" w:sz="4" w:space="0"/>
            </w:tcBorders>
            <w:vAlign w:val="center"/>
          </w:tcPr>
          <w:p>
            <w:pPr>
              <w:spacing w:line="440" w:lineRule="exact"/>
              <w:rPr>
                <w:rFonts w:ascii="Times New Roman" w:hAnsi="Times New Roman" w:eastAsia="宋体" w:cs="Times New Roman"/>
                <w:color w:val="auto"/>
                <w:szCs w:val="21"/>
                <w:highlight w:val="none"/>
              </w:rPr>
            </w:pPr>
          </w:p>
        </w:tc>
        <w:tc>
          <w:tcPr>
            <w:tcW w:w="992" w:type="dxa"/>
            <w:tcBorders>
              <w:right w:val="single" w:color="auto" w:sz="4" w:space="0"/>
            </w:tcBorders>
            <w:vAlign w:val="center"/>
          </w:tcPr>
          <w:p>
            <w:pPr>
              <w:spacing w:line="440" w:lineRule="exact"/>
              <w:rPr>
                <w:rFonts w:ascii="Times New Roman" w:hAnsi="Times New Roman" w:eastAsia="宋体" w:cs="Times New Roman"/>
                <w:color w:val="auto"/>
                <w:szCs w:val="21"/>
                <w:highlight w:val="none"/>
              </w:rPr>
            </w:pPr>
          </w:p>
        </w:tc>
        <w:tc>
          <w:tcPr>
            <w:tcW w:w="2268"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Cs w:val="21"/>
                <w:highlight w:val="none"/>
              </w:rPr>
            </w:pPr>
          </w:p>
        </w:tc>
        <w:tc>
          <w:tcPr>
            <w:tcW w:w="5245"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eastAsia="宋体" w:cs="宋体"/>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1"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2.2.4</w:t>
            </w:r>
            <w:r>
              <w:rPr>
                <w:rFonts w:hint="eastAsia" w:ascii="Times New Roman" w:hAnsi="Times New Roman" w:eastAsia="宋体" w:cs="Times New Roman"/>
                <w:color w:val="auto"/>
                <w:szCs w:val="21"/>
                <w:highlight w:val="none"/>
              </w:rPr>
              <w:t>（4）</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投标报价</w:t>
            </w:r>
            <w:r>
              <w:rPr>
                <w:rFonts w:hint="eastAsia" w:ascii="Times New Roman" w:hAnsi="Times New Roman" w:eastAsia="宋体" w:cs="Times New Roman"/>
                <w:color w:val="auto"/>
                <w:szCs w:val="21"/>
                <w:highlight w:val="none"/>
              </w:rPr>
              <w:t>评分</w:t>
            </w:r>
            <w:r>
              <w:rPr>
                <w:rFonts w:hint="eastAsia" w:ascii="Times New Roman" w:hAnsi="Times New Roman" w:eastAsia="宋体" w:cs="Times New Roman"/>
                <w:color w:val="auto"/>
                <w:szCs w:val="21"/>
                <w:highlight w:val="none"/>
              </w:rPr>
              <w:t>标准</w:t>
            </w:r>
            <w:r>
              <w:rPr>
                <w:rFonts w:hint="eastAsia" w:ascii="Times New Roman" w:hAnsi="Times New Roman" w:eastAsia="宋体" w:cs="Times New Roman"/>
                <w:bCs/>
                <w:color w:val="auto"/>
                <w:szCs w:val="24"/>
                <w:highlight w:val="none"/>
              </w:rPr>
              <w:t>（</w:t>
            </w:r>
            <w:r>
              <w:rPr>
                <w:rFonts w:hint="eastAsia" w:ascii="宋体" w:hAnsi="宋体" w:eastAsia="宋体" w:cs="Times New Roman"/>
                <w:color w:val="auto"/>
                <w:szCs w:val="24"/>
                <w:highlight w:val="none"/>
              </w:rPr>
              <w:t>满分</w:t>
            </w:r>
            <w:r>
              <w:rPr>
                <w:rFonts w:hint="eastAsia" w:ascii="Times New Roman" w:hAnsi="Times New Roman" w:eastAsia="宋体" w:cs="Times New Roman"/>
                <w:bCs/>
                <w:color w:val="auto"/>
                <w:szCs w:val="24"/>
                <w:highlight w:val="none"/>
              </w:rPr>
              <w:t>17分）</w:t>
            </w:r>
          </w:p>
        </w:tc>
        <w:tc>
          <w:tcPr>
            <w:tcW w:w="226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auto"/>
                <w:kern w:val="10"/>
                <w:highlight w:val="none"/>
              </w:rPr>
            </w:pPr>
            <w:r>
              <w:rPr>
                <w:rFonts w:hint="eastAsia" w:ascii="宋体" w:hAnsi="宋体" w:cs="宋体"/>
                <w:color w:val="auto"/>
                <w:kern w:val="10"/>
                <w:highlight w:val="none"/>
              </w:rPr>
              <w:t>设计投标报价评分</w:t>
            </w:r>
          </w:p>
          <w:p>
            <w:pPr>
              <w:snapToGrid w:val="0"/>
              <w:spacing w:line="360" w:lineRule="auto"/>
              <w:jc w:val="center"/>
              <w:rPr>
                <w:rFonts w:ascii="宋体" w:hAnsi="宋体" w:cs="宋体"/>
                <w:color w:val="auto"/>
                <w:kern w:val="10"/>
                <w:highlight w:val="none"/>
              </w:rPr>
            </w:pPr>
            <w:r>
              <w:rPr>
                <w:rFonts w:hint="eastAsia" w:ascii="宋体" w:hAnsi="宋体" w:cs="宋体"/>
                <w:color w:val="auto"/>
                <w:kern w:val="10"/>
                <w:highlight w:val="none"/>
              </w:rPr>
              <w:t>（5分）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b/>
                <w:color w:val="auto"/>
                <w:szCs w:val="21"/>
                <w:highlight w:val="none"/>
              </w:rPr>
            </w:pPr>
            <w:r>
              <w:rPr>
                <w:rFonts w:hint="eastAsia" w:ascii="宋体" w:hAnsi="宋体" w:cs="宋体"/>
                <w:color w:val="auto"/>
                <w:szCs w:val="21"/>
                <w:highlight w:val="none"/>
              </w:rPr>
              <w:t>以评标基准价为基准，投标人报价每向上偏差(即偏差</w:t>
            </w:r>
            <w:r>
              <w:rPr>
                <w:rFonts w:hint="eastAsia" w:ascii="宋体" w:hAnsi="宋体" w:cs="宋体"/>
                <w:color w:val="auto"/>
                <w:szCs w:val="21"/>
                <w:highlight w:val="none"/>
              </w:rPr>
              <w:t>率为正值）1%扣0.04分，每向下偏差(即偏差率为负值）1%扣0.02分，扣完为止。</w:t>
            </w:r>
            <w:r>
              <w:rPr>
                <w:rFonts w:hint="eastAsia" w:ascii="宋体" w:hAnsi="宋体" w:cs="宋体"/>
                <w:color w:val="auto"/>
                <w:szCs w:val="21"/>
                <w:highlight w:val="none"/>
              </w:rPr>
              <w:t>中间值按比例内插，投标人的投标报价得分取小数点后二位，小数点后第三位四舍五入。(注：设计费投标按费率报价，采用百分比的形式报价)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auto"/>
                <w:kern w:val="10"/>
                <w:highlight w:val="none"/>
              </w:rPr>
            </w:pPr>
            <w:r>
              <w:rPr>
                <w:rFonts w:hint="eastAsia" w:ascii="宋体" w:hAnsi="宋体" w:cs="宋体"/>
                <w:color w:val="auto"/>
                <w:kern w:val="10"/>
                <w:highlight w:val="none"/>
              </w:rPr>
              <w:t>已公布工程量清单部分以外建筑安装工程费投标报价评分</w:t>
            </w:r>
            <w:r>
              <w:rPr>
                <w:rFonts w:hint="eastAsia" w:ascii="宋体" w:hAnsi="宋体" w:cs="宋体"/>
                <w:color w:val="auto"/>
                <w:kern w:val="10"/>
                <w:highlight w:val="none"/>
              </w:rPr>
              <w:t>(2分)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以评标基准价为基准，</w:t>
            </w:r>
            <w:r>
              <w:rPr>
                <w:rFonts w:hint="eastAsia" w:ascii="宋体" w:hAnsi="宋体" w:cs="宋体"/>
                <w:color w:val="auto"/>
                <w:highlight w:val="none"/>
              </w:rPr>
              <w:t>（1-|优惠率|）</w:t>
            </w:r>
            <w:r>
              <w:rPr>
                <w:rFonts w:hint="eastAsia" w:ascii="宋体" w:hAnsi="宋体" w:cs="宋体"/>
                <w:color w:val="auto"/>
                <w:szCs w:val="21"/>
                <w:highlight w:val="none"/>
              </w:rPr>
              <w:t>每向上偏差(即偏</w:t>
            </w:r>
            <w:r>
              <w:rPr>
                <w:rFonts w:hint="eastAsia" w:ascii="宋体" w:hAnsi="宋体" w:cs="宋体"/>
                <w:color w:val="auto"/>
                <w:szCs w:val="21"/>
                <w:highlight w:val="none"/>
              </w:rPr>
              <w:t>差率为正值）1%扣0.04分，每向下偏差(即偏差率为负值）1%扣0.02分，扣完为止</w:t>
            </w:r>
            <w:r>
              <w:rPr>
                <w:rFonts w:hint="eastAsia" w:ascii="宋体" w:hAnsi="宋体" w:cs="宋体"/>
                <w:color w:val="auto"/>
                <w:szCs w:val="21"/>
                <w:highlight w:val="none"/>
              </w:rPr>
              <w:t>。中间值按比例内插，投标人的投标报价得分取小数点后二位，小数点后第三位四舍五入。(注：已公布工程量清单部分以外建筑安装工程费投标报价为优惠率，采用百分比的形式报价)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6" w:hRule="atLeast"/>
        </w:trPr>
        <w:tc>
          <w:tcPr>
            <w:tcW w:w="85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auto"/>
                <w:kern w:val="10"/>
                <w:highlight w:val="none"/>
              </w:rPr>
            </w:pPr>
            <w:r>
              <w:rPr>
                <w:rFonts w:hint="eastAsia" w:ascii="宋体" w:hAnsi="宋体" w:cs="宋体"/>
                <w:color w:val="auto"/>
                <w:kern w:val="10"/>
                <w:highlight w:val="none"/>
              </w:rPr>
              <w:t>已公布工程量清单部分建筑安装工程费投标报价评分(10分)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以评标基准价为基准，投标人报价每向上偏差(即偏差</w:t>
            </w:r>
            <w:r>
              <w:rPr>
                <w:rFonts w:hint="eastAsia" w:ascii="宋体" w:hAnsi="宋体" w:cs="宋体"/>
                <w:color w:val="auto"/>
                <w:szCs w:val="21"/>
                <w:highlight w:val="none"/>
              </w:rPr>
              <w:t>率为正值）1%扣0.2分，每向下偏差(即偏差率为负值）1%扣0.1分，扣完为止。</w:t>
            </w:r>
            <w:r>
              <w:rPr>
                <w:rFonts w:hint="eastAsia" w:ascii="宋体" w:hAnsi="宋体" w:cs="宋体"/>
                <w:color w:val="auto"/>
                <w:szCs w:val="21"/>
                <w:highlight w:val="none"/>
              </w:rPr>
              <w:t>中间值按比例内插，投标人的投标报价得分取小数点后二位，小数点后第三位四舍五入。(注：设计费投标按费率报价，采用百分比的形式报价)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1" w:hRule="atLeast"/>
        </w:trPr>
        <w:tc>
          <w:tcPr>
            <w:tcW w:w="851" w:type="dxa"/>
            <w:gridSpan w:val="2"/>
            <w:vMerge w:val="restart"/>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2.2.4</w:t>
            </w:r>
            <w:r>
              <w:rPr>
                <w:rFonts w:hint="eastAsia" w:ascii="Times New Roman" w:hAnsi="Times New Roman" w:eastAsia="宋体" w:cs="Times New Roman"/>
                <w:color w:val="auto"/>
                <w:szCs w:val="21"/>
                <w:highlight w:val="none"/>
              </w:rPr>
              <w:t>（5）</w:t>
            </w:r>
          </w:p>
        </w:tc>
        <w:tc>
          <w:tcPr>
            <w:tcW w:w="992" w:type="dxa"/>
            <w:vMerge w:val="restart"/>
            <w:tcBorders>
              <w:top w:val="single" w:color="auto" w:sz="4" w:space="0"/>
              <w:left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r>
              <w:rPr>
                <w:rFonts w:hint="eastAsia" w:ascii="宋体" w:hAnsi="宋体" w:eastAsia="等线" w:cs="宋体"/>
                <w:color w:val="auto"/>
                <w:highlight w:val="none"/>
              </w:rPr>
              <w:t>其他评分标准</w:t>
            </w:r>
            <w:r>
              <w:rPr>
                <w:rFonts w:hint="eastAsia" w:ascii="宋体" w:hAnsi="宋体" w:eastAsia="等线" w:cs="宋体"/>
                <w:color w:val="auto"/>
                <w:highlight w:val="none"/>
              </w:rPr>
              <w:t>（14分）</w:t>
            </w:r>
          </w:p>
        </w:tc>
        <w:tc>
          <w:tcPr>
            <w:tcW w:w="22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项目管理机构</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（8分）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4"/>
                <w:highlight w:val="none"/>
              </w:rPr>
            </w:pPr>
            <w:r>
              <w:rPr>
                <w:rFonts w:hint="eastAsia" w:ascii="宋体" w:hAnsi="宋体" w:cs="宋体"/>
                <w:color w:val="auto"/>
                <w:highlight w:val="none"/>
              </w:rPr>
              <w:t>（1）拟派项目人员针对工程实际配备且合理，能满足工程管理需要且有针对性，专业齐全，项目管理人员持证上岗，得</w:t>
            </w:r>
            <w:r>
              <w:rPr>
                <w:rFonts w:hint="eastAsia" w:ascii="宋体" w:hAnsi="宋体" w:cs="宋体"/>
                <w:color w:val="auto"/>
                <w:highlight w:val="none"/>
              </w:rPr>
              <w:t>6-8分；</w:t>
            </w:r>
          </w:p>
          <w:p>
            <w:pPr>
              <w:spacing w:line="360" w:lineRule="auto"/>
              <w:jc w:val="left"/>
              <w:rPr>
                <w:rFonts w:ascii="宋体" w:hAnsi="宋体" w:cs="宋体"/>
                <w:color w:val="auto"/>
                <w:highlight w:val="none"/>
              </w:rPr>
            </w:pPr>
            <w:r>
              <w:rPr>
                <w:rFonts w:hint="eastAsia" w:ascii="宋体" w:hAnsi="宋体" w:cs="宋体"/>
                <w:color w:val="auto"/>
                <w:highlight w:val="none"/>
              </w:rPr>
              <w:t>（2）拟派项目人员配备合理，基本满足工程管理需要，但专业配置针对性一般，项目主要管理人员持证上岗，</w:t>
            </w:r>
            <w:r>
              <w:rPr>
                <w:rFonts w:hint="eastAsia" w:ascii="宋体" w:hAnsi="宋体" w:cs="宋体"/>
                <w:color w:val="auto"/>
                <w:highlight w:val="none"/>
              </w:rPr>
              <w:t>得4-5分</w:t>
            </w:r>
            <w:r>
              <w:rPr>
                <w:rFonts w:hint="eastAsia" w:ascii="宋体" w:hAnsi="宋体" w:cs="宋体"/>
                <w:color w:val="auto"/>
                <w:highlight w:val="none"/>
              </w:rPr>
              <w:t>；</w:t>
            </w:r>
          </w:p>
          <w:p>
            <w:pPr>
              <w:spacing w:line="360" w:lineRule="auto"/>
              <w:jc w:val="left"/>
              <w:rPr>
                <w:rFonts w:ascii="宋体" w:hAnsi="宋体" w:cs="宋体"/>
                <w:color w:val="auto"/>
                <w:highlight w:val="none"/>
              </w:rPr>
            </w:pPr>
            <w:r>
              <w:rPr>
                <w:rFonts w:hint="eastAsia" w:ascii="宋体" w:hAnsi="宋体" w:cs="宋体"/>
                <w:color w:val="auto"/>
                <w:highlight w:val="none"/>
              </w:rPr>
              <w:t>（3）拟派项目人员配备基本满足工程管理需要，专业配置缺乏针对性，项目主要管理人员持证上岗，</w:t>
            </w:r>
            <w:r>
              <w:rPr>
                <w:rFonts w:hint="eastAsia" w:ascii="宋体" w:hAnsi="宋体" w:cs="宋体"/>
                <w:color w:val="auto"/>
                <w:highlight w:val="none"/>
              </w:rPr>
              <w:t>得1-3分。</w:t>
            </w:r>
          </w:p>
          <w:p>
            <w:pPr>
              <w:spacing w:line="360" w:lineRule="auto"/>
              <w:jc w:val="left"/>
              <w:rPr>
                <w:rFonts w:ascii="宋体" w:hAnsi="宋体" w:cs="宋体"/>
                <w:color w:val="auto"/>
                <w:szCs w:val="24"/>
                <w:highlight w:val="none"/>
              </w:rPr>
            </w:pPr>
            <w:r>
              <w:rPr>
                <w:rFonts w:hint="eastAsia" w:ascii="宋体" w:hAnsi="宋体" w:cs="宋体"/>
                <w:color w:val="auto"/>
                <w:highlight w:val="none"/>
              </w:rPr>
              <w:t>（4）拟派项目人员配备无法满足工程管理需求或无项目人员配备的，得0分。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5" w:hRule="atLeast"/>
        </w:trPr>
        <w:tc>
          <w:tcPr>
            <w:tcW w:w="851" w:type="dxa"/>
            <w:gridSpan w:val="2"/>
            <w:vMerge w:val="continue"/>
            <w:tcBorders>
              <w:left w:val="single" w:color="auto" w:sz="4" w:space="0"/>
              <w:bottom w:val="single" w:color="auto" w:sz="4" w:space="0"/>
              <w:right w:val="single" w:color="auto" w:sz="4" w:space="0"/>
            </w:tcBorders>
            <w:vAlign w:val="center"/>
          </w:tcPr>
          <w:p>
            <w:pPr>
              <w:spacing w:line="440" w:lineRule="exact"/>
              <w:jc w:val="center"/>
              <w:rPr>
                <w:rFonts w:ascii="Times New Roman" w:hAnsi="Times New Roman" w:eastAsia="宋体" w:cs="Times New Roman"/>
                <w:color w:val="auto"/>
                <w:szCs w:val="21"/>
                <w:highlight w:val="none"/>
              </w:rPr>
            </w:pPr>
          </w:p>
        </w:tc>
        <w:tc>
          <w:tcPr>
            <w:tcW w:w="99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eastAsia="等线" w:cs="宋体"/>
                <w:color w:val="auto"/>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施工机械投入</w:t>
            </w:r>
          </w:p>
          <w:p>
            <w:pPr>
              <w:spacing w:line="360" w:lineRule="auto"/>
              <w:jc w:val="center"/>
              <w:rPr>
                <w:rFonts w:ascii="宋体" w:hAnsi="宋体" w:cs="宋体"/>
                <w:color w:val="auto"/>
                <w:szCs w:val="21"/>
                <w:highlight w:val="none"/>
              </w:rPr>
            </w:pPr>
            <w:r>
              <w:rPr>
                <w:rFonts w:hint="eastAsia" w:ascii="宋体" w:hAnsi="宋体" w:cs="宋体"/>
                <w:color w:val="auto"/>
                <w:highlight w:val="none"/>
              </w:rPr>
              <w:t>（6分）</w:t>
            </w:r>
          </w:p>
        </w:tc>
        <w:tc>
          <w:tcPr>
            <w:tcW w:w="524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Cs w:val="24"/>
                <w:highlight w:val="none"/>
              </w:rPr>
            </w:pPr>
            <w:r>
              <w:rPr>
                <w:rFonts w:hint="eastAsia" w:ascii="宋体" w:hAnsi="宋体" w:cs="宋体"/>
                <w:color w:val="auto"/>
                <w:highlight w:val="none"/>
              </w:rPr>
              <w:t>（1）施工机具计划很好的满足施工需要，调配投入计划合理、准确全面，得</w:t>
            </w:r>
            <w:r>
              <w:rPr>
                <w:rFonts w:hint="eastAsia" w:ascii="宋体" w:hAnsi="宋体" w:cs="宋体"/>
                <w:color w:val="auto"/>
                <w:highlight w:val="none"/>
              </w:rPr>
              <w:t>5-6分；</w:t>
            </w:r>
          </w:p>
          <w:p>
            <w:pPr>
              <w:spacing w:line="360" w:lineRule="auto"/>
              <w:jc w:val="left"/>
              <w:rPr>
                <w:rFonts w:ascii="宋体" w:hAnsi="宋体" w:cs="宋体"/>
                <w:color w:val="auto"/>
                <w:highlight w:val="none"/>
              </w:rPr>
            </w:pPr>
            <w:r>
              <w:rPr>
                <w:rFonts w:hint="eastAsia" w:ascii="宋体" w:hAnsi="宋体" w:cs="宋体"/>
                <w:color w:val="auto"/>
                <w:highlight w:val="none"/>
              </w:rPr>
              <w:t>（2）施工机具计划较好的满足施工需要，调配投入计划合理，得</w:t>
            </w:r>
            <w:r>
              <w:rPr>
                <w:rFonts w:hint="eastAsia" w:ascii="宋体" w:hAnsi="宋体" w:cs="宋体"/>
                <w:color w:val="auto"/>
                <w:highlight w:val="none"/>
              </w:rPr>
              <w:t>3-4分；</w:t>
            </w:r>
          </w:p>
          <w:p>
            <w:pPr>
              <w:spacing w:line="360" w:lineRule="auto"/>
              <w:jc w:val="left"/>
              <w:rPr>
                <w:rFonts w:ascii="宋体" w:hAnsi="宋体" w:cs="宋体"/>
                <w:color w:val="auto"/>
                <w:highlight w:val="none"/>
              </w:rPr>
            </w:pPr>
            <w:r>
              <w:rPr>
                <w:rFonts w:hint="eastAsia" w:ascii="宋体" w:hAnsi="宋体" w:cs="宋体"/>
                <w:color w:val="auto"/>
                <w:highlight w:val="none"/>
              </w:rPr>
              <w:t>（3）施工机具计划、调配投入计划基本合理，</w:t>
            </w:r>
            <w:r>
              <w:rPr>
                <w:rFonts w:hint="eastAsia" w:ascii="宋体" w:hAnsi="宋体" w:cs="宋体"/>
                <w:color w:val="auto"/>
                <w:highlight w:val="none"/>
              </w:rPr>
              <w:t>得1-2分；</w:t>
            </w:r>
          </w:p>
          <w:p>
            <w:pPr>
              <w:spacing w:line="360" w:lineRule="auto"/>
              <w:jc w:val="left"/>
              <w:rPr>
                <w:rFonts w:ascii="宋体" w:hAnsi="宋体" w:cs="宋体"/>
                <w:color w:val="auto"/>
                <w:szCs w:val="24"/>
                <w:highlight w:val="none"/>
              </w:rPr>
            </w:pPr>
            <w:r>
              <w:rPr>
                <w:rFonts w:hint="eastAsia" w:ascii="宋体" w:hAnsi="宋体" w:cs="宋体"/>
                <w:color w:val="auto"/>
                <w:highlight w:val="none"/>
              </w:rPr>
              <w:t>（4）施工机具计划、调配投入计划不合理或无施工机械投入，得0分。</w:t>
            </w:r>
          </w:p>
        </w:tc>
      </w:tr>
    </w:tbl>
    <w:p>
      <w:pPr>
        <w:keepNext/>
        <w:keepLines/>
        <w:spacing w:before="260" w:after="260" w:line="415" w:lineRule="auto"/>
        <w:outlineLvl w:val="1"/>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bookmarkStart w:id="367" w:name="_Toc152045600"/>
      <w:bookmarkStart w:id="368" w:name="_Toc152042377"/>
      <w:bookmarkStart w:id="369" w:name="_Toc144974567"/>
      <w:bookmarkStart w:id="370" w:name="_Toc247527625"/>
      <w:bookmarkStart w:id="371" w:name="_Toc247514024"/>
    </w:p>
    <w:p>
      <w:pPr>
        <w:keepNext/>
        <w:keepLines/>
        <w:spacing w:before="260" w:after="260" w:line="415" w:lineRule="auto"/>
        <w:outlineLvl w:val="1"/>
        <w:rPr>
          <w:rFonts w:ascii="Times New Roman" w:hAnsi="Times New Roman" w:eastAsia="宋体" w:cs="Times New Roman"/>
          <w:color w:val="auto"/>
          <w:szCs w:val="24"/>
          <w:highlight w:val="none"/>
        </w:rPr>
      </w:pPr>
      <w:bookmarkStart w:id="372" w:name="_Toc216681884"/>
      <w:r>
        <w:rPr>
          <w:rFonts w:hint="eastAsia" w:ascii="Arial" w:hAnsi="Arial" w:eastAsia="黑体" w:cs="Times New Roman"/>
          <w:b/>
          <w:bCs/>
          <w:color w:val="auto"/>
          <w:sz w:val="32"/>
          <w:szCs w:val="32"/>
          <w:highlight w:val="none"/>
        </w:rPr>
        <w:t>1. 评标方法</w:t>
      </w:r>
      <w:bookmarkEnd w:id="367"/>
      <w:bookmarkEnd w:id="368"/>
      <w:bookmarkEnd w:id="369"/>
      <w:bookmarkEnd w:id="370"/>
      <w:bookmarkEnd w:id="371"/>
      <w:bookmarkEnd w:id="37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pPr>
        <w:keepNext/>
        <w:keepLines/>
        <w:spacing w:before="260" w:after="260" w:line="415" w:lineRule="auto"/>
        <w:outlineLvl w:val="1"/>
        <w:rPr>
          <w:rFonts w:ascii="Arial" w:hAnsi="Arial" w:eastAsia="黑体" w:cs="Times New Roman"/>
          <w:b/>
          <w:bCs/>
          <w:color w:val="auto"/>
          <w:sz w:val="32"/>
          <w:szCs w:val="32"/>
          <w:highlight w:val="none"/>
        </w:rPr>
      </w:pPr>
      <w:bookmarkStart w:id="373" w:name="_Toc247514025"/>
      <w:bookmarkStart w:id="374" w:name="_Toc152042378"/>
      <w:bookmarkStart w:id="375" w:name="_Toc152045601"/>
      <w:bookmarkStart w:id="376" w:name="_Toc216681885"/>
      <w:bookmarkStart w:id="377" w:name="_Toc144974568"/>
      <w:bookmarkStart w:id="378" w:name="_Toc247527626"/>
      <w:r>
        <w:rPr>
          <w:rFonts w:hint="eastAsia" w:ascii="Arial" w:hAnsi="Arial" w:eastAsia="黑体" w:cs="Times New Roman"/>
          <w:b/>
          <w:bCs/>
          <w:color w:val="auto"/>
          <w:sz w:val="32"/>
          <w:szCs w:val="32"/>
          <w:highlight w:val="none"/>
        </w:rPr>
        <w:t>2. 评审标准</w:t>
      </w:r>
      <w:bookmarkEnd w:id="373"/>
      <w:bookmarkEnd w:id="374"/>
      <w:bookmarkEnd w:id="375"/>
      <w:bookmarkEnd w:id="376"/>
      <w:bookmarkEnd w:id="377"/>
      <w:bookmarkEnd w:id="378"/>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79" w:name="_Toc144974569"/>
      <w:bookmarkStart w:id="380" w:name="_Toc152045602"/>
      <w:bookmarkStart w:id="381" w:name="_Toc216681886"/>
      <w:bookmarkStart w:id="382" w:name="_Toc247527627"/>
      <w:bookmarkStart w:id="383" w:name="_Toc247514026"/>
      <w:bookmarkStart w:id="384" w:name="_Toc152042379"/>
      <w:r>
        <w:rPr>
          <w:rFonts w:hint="eastAsia" w:ascii="Times New Roman" w:hAnsi="Times New Roman" w:eastAsia="黑体" w:cs="Times New Roman"/>
          <w:bCs/>
          <w:color w:val="auto"/>
          <w:sz w:val="28"/>
          <w:szCs w:val="28"/>
          <w:highlight w:val="none"/>
        </w:rPr>
        <w:t>2.1</w:t>
      </w:r>
      <w:r>
        <w:rPr>
          <w:rFonts w:hint="eastAsia" w:ascii="黑体" w:hAnsi="宋体" w:eastAsia="黑体" w:cs="Times New Roman"/>
          <w:bCs/>
          <w:color w:val="auto"/>
          <w:sz w:val="28"/>
          <w:szCs w:val="28"/>
          <w:highlight w:val="none"/>
        </w:rPr>
        <w:t xml:space="preserve"> 初步评审标准</w:t>
      </w:r>
      <w:bookmarkEnd w:id="379"/>
      <w:bookmarkEnd w:id="380"/>
      <w:bookmarkEnd w:id="381"/>
      <w:bookmarkEnd w:id="382"/>
      <w:bookmarkEnd w:id="383"/>
      <w:bookmarkEnd w:id="384"/>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2.1.1 形式评审标准：见评标办法前附表。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2.1.2 资格评审标准：见评标办法前附表。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2.1.3 响应性评审标准：见评标办法前附表。</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85" w:name="_Toc247514027"/>
      <w:bookmarkStart w:id="386" w:name="_Toc152045603"/>
      <w:bookmarkStart w:id="387" w:name="_Toc247527628"/>
      <w:bookmarkStart w:id="388" w:name="_Toc152042380"/>
      <w:bookmarkStart w:id="389" w:name="_Toc144974570"/>
      <w:bookmarkStart w:id="390" w:name="_Toc216681887"/>
      <w:r>
        <w:rPr>
          <w:rFonts w:hint="eastAsia" w:ascii="Times New Roman" w:hAnsi="Times New Roman" w:eastAsia="黑体" w:cs="Times New Roman"/>
          <w:bCs/>
          <w:color w:val="auto"/>
          <w:sz w:val="28"/>
          <w:szCs w:val="28"/>
          <w:highlight w:val="none"/>
        </w:rPr>
        <w:t>2.2</w:t>
      </w:r>
      <w:r>
        <w:rPr>
          <w:rFonts w:hint="eastAsia" w:ascii="黑体" w:hAnsi="宋体" w:eastAsia="黑体" w:cs="Times New Roman"/>
          <w:bCs/>
          <w:color w:val="auto"/>
          <w:sz w:val="28"/>
          <w:szCs w:val="28"/>
          <w:highlight w:val="none"/>
        </w:rPr>
        <w:t xml:space="preserve"> 分值构成与评分标准</w:t>
      </w:r>
      <w:bookmarkEnd w:id="385"/>
      <w:bookmarkEnd w:id="386"/>
      <w:bookmarkEnd w:id="387"/>
      <w:bookmarkEnd w:id="388"/>
      <w:bookmarkEnd w:id="389"/>
      <w:bookmarkEnd w:id="390"/>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2.2.1 分值构成</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（1）承包人建议书：见评标办法前附表；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（2）承包人实施方案：见评标办法前附表；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（3）资信业绩部分：见评标办法前附表；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（4）投标报价：见评标办法前附表；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（5）其他评分因素：见评标办法前附表；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2.2.2 评标基准价计算</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评标基准价计算方法：见评标办法前附表。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2.2.3 投标报价的偏差率计算</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投标报价的偏差率计算公式：见评标办法前附表。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2.2.4 评分标准</w:t>
      </w:r>
    </w:p>
    <w:p>
      <w:pPr>
        <w:spacing w:line="400" w:lineRule="exact"/>
        <w:ind w:firstLine="420"/>
        <w:rPr>
          <w:rFonts w:ascii="Times New Roman" w:hAnsi="Times New Roman" w:eastAsia="宋体" w:cs="Times New Roman"/>
          <w:color w:val="auto"/>
          <w:szCs w:val="24"/>
          <w:highlight w:val="none"/>
        </w:rPr>
      </w:pPr>
      <w:bookmarkStart w:id="391" w:name="_Toc247514028"/>
      <w:bookmarkStart w:id="392" w:name="_Toc152042381"/>
      <w:bookmarkStart w:id="393" w:name="_Toc144974571"/>
      <w:bookmarkStart w:id="394" w:name="_Toc152045604"/>
      <w:bookmarkStart w:id="395" w:name="_Toc247527629"/>
      <w:r>
        <w:rPr>
          <w:rFonts w:hint="eastAsia" w:ascii="Times New Roman" w:hAnsi="Times New Roman" w:eastAsia="宋体" w:cs="Times New Roman"/>
          <w:color w:val="auto"/>
          <w:szCs w:val="24"/>
          <w:highlight w:val="none"/>
        </w:rPr>
        <w:t>（1）承包人建议书评分标准：见评标办法前附表；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（2）承包人实施方案评分标准：见评标办法前附表；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（3）资信业绩部分评分标准：见评标办法前附表；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（4）投标报价评分标准：见评标办法前附表；</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（5）其他评分因素评分标准：见评标办法前附表；</w:t>
      </w:r>
    </w:p>
    <w:p>
      <w:pPr>
        <w:keepNext/>
        <w:keepLines/>
        <w:spacing w:before="260" w:after="260" w:line="415" w:lineRule="auto"/>
        <w:outlineLvl w:val="1"/>
        <w:rPr>
          <w:rFonts w:ascii="Arial" w:hAnsi="Arial" w:eastAsia="黑体" w:cs="Times New Roman"/>
          <w:b/>
          <w:bCs/>
          <w:color w:val="auto"/>
          <w:sz w:val="32"/>
          <w:szCs w:val="32"/>
          <w:highlight w:val="none"/>
        </w:rPr>
      </w:pPr>
      <w:bookmarkStart w:id="396" w:name="_Toc216681888"/>
      <w:r>
        <w:rPr>
          <w:rFonts w:hint="eastAsia" w:ascii="Arial" w:hAnsi="Arial" w:eastAsia="黑体" w:cs="Times New Roman"/>
          <w:b/>
          <w:bCs/>
          <w:color w:val="auto"/>
          <w:sz w:val="32"/>
          <w:szCs w:val="32"/>
          <w:highlight w:val="none"/>
        </w:rPr>
        <w:t>3. 评标程序</w:t>
      </w:r>
      <w:bookmarkEnd w:id="391"/>
      <w:bookmarkEnd w:id="392"/>
      <w:bookmarkEnd w:id="393"/>
      <w:bookmarkEnd w:id="394"/>
      <w:bookmarkEnd w:id="395"/>
      <w:bookmarkEnd w:id="396"/>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397" w:name="_Toc247514029"/>
      <w:bookmarkStart w:id="398" w:name="_Toc247527630"/>
      <w:bookmarkStart w:id="399" w:name="_Toc152042382"/>
      <w:bookmarkStart w:id="400" w:name="_Toc144974572"/>
      <w:bookmarkStart w:id="401" w:name="_Toc216681889"/>
      <w:bookmarkStart w:id="402" w:name="_Toc152045605"/>
      <w:r>
        <w:rPr>
          <w:rFonts w:hint="eastAsia" w:ascii="Times New Roman" w:hAnsi="Times New Roman" w:eastAsia="黑体" w:cs="Times New Roman"/>
          <w:bCs/>
          <w:color w:val="auto"/>
          <w:sz w:val="28"/>
          <w:szCs w:val="28"/>
          <w:highlight w:val="none"/>
        </w:rPr>
        <w:t>3.1</w:t>
      </w:r>
      <w:r>
        <w:rPr>
          <w:rFonts w:hint="eastAsia" w:ascii="黑体" w:hAnsi="宋体" w:eastAsia="黑体" w:cs="Times New Roman"/>
          <w:bCs/>
          <w:color w:val="auto"/>
          <w:sz w:val="28"/>
          <w:szCs w:val="28"/>
          <w:highlight w:val="none"/>
        </w:rPr>
        <w:t xml:space="preserve"> 初步评审</w:t>
      </w:r>
      <w:bookmarkEnd w:id="397"/>
      <w:bookmarkEnd w:id="398"/>
      <w:bookmarkEnd w:id="399"/>
      <w:bookmarkEnd w:id="400"/>
      <w:bookmarkEnd w:id="401"/>
      <w:bookmarkEnd w:id="402"/>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3.1.1 评标委员会依据本章第2.1.1项、第2.1.3项规定的评审标准对投标文件进行初步评审。有一项不符合评审标准的，评标委员会应当否决其投标。当投标人资格预审申请文件的内容发生重大变化时，评标委员会依据本章第2.1.2项规定的标准对其更新资料进行评审。</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3.1.2 投标人有以下情形之一的，评标委员会应当否决其投标：</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（1）第二章“投标人须知”第1.4.3项、第1.4.4项规定的任何一种情形的；</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（2）串通投标或弄虚作假或有其他违法行为的；</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（3）不按评标委员会要求澄清、说明或补正的。</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3.1.3 投标报价有算术错误的，评标委员会按以下原则对投标报价进行修正，修正的价格经投标人书面确认后具有约束力。投标人不接受修正价格的，评标委员会应当否决其投标。</w:t>
      </w:r>
    </w:p>
    <w:p>
      <w:pPr>
        <w:spacing w:line="400" w:lineRule="exact"/>
        <w:ind w:firstLine="420"/>
        <w:rPr>
          <w:rFonts w:ascii="Times New Roman" w:hAnsi="Times New Roman" w:eastAsia="宋体" w:cs="Times New Roman"/>
          <w:color w:val="auto"/>
          <w:szCs w:val="24"/>
          <w:highlight w:val="none"/>
        </w:rPr>
      </w:pPr>
      <w:bookmarkStart w:id="403" w:name="_Toc152042383"/>
      <w:r>
        <w:rPr>
          <w:rFonts w:hint="eastAsia" w:ascii="Times New Roman" w:hAnsi="Times New Roman" w:eastAsia="宋体" w:cs="Times New Roman"/>
          <w:color w:val="auto"/>
          <w:szCs w:val="24"/>
          <w:highlight w:val="none"/>
        </w:rPr>
        <w:t>（1）投标文件中的大写金额与小写金额不一致的，以大写金额为准；</w:t>
      </w:r>
      <w:bookmarkEnd w:id="403"/>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（2）总价金额与依据单价计算出的结果不一致的，以单价金额为准修正总价，但单价金额小数点有明显错误的除外。</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404" w:name="_Toc152042384"/>
      <w:bookmarkStart w:id="405" w:name="_Toc152045606"/>
      <w:bookmarkStart w:id="406" w:name="_Toc216681890"/>
      <w:bookmarkStart w:id="407" w:name="_Toc144974573"/>
      <w:bookmarkStart w:id="408" w:name="_Toc247527631"/>
      <w:bookmarkStart w:id="409" w:name="_Toc247514030"/>
      <w:r>
        <w:rPr>
          <w:rFonts w:hint="eastAsia" w:ascii="Times New Roman" w:hAnsi="Times New Roman" w:eastAsia="黑体" w:cs="Times New Roman"/>
          <w:bCs/>
          <w:color w:val="auto"/>
          <w:sz w:val="28"/>
          <w:szCs w:val="28"/>
          <w:highlight w:val="none"/>
        </w:rPr>
        <w:t>3.2</w:t>
      </w:r>
      <w:r>
        <w:rPr>
          <w:rFonts w:hint="eastAsia" w:ascii="黑体" w:hAnsi="宋体" w:eastAsia="黑体" w:cs="Times New Roman"/>
          <w:bCs/>
          <w:color w:val="auto"/>
          <w:sz w:val="28"/>
          <w:szCs w:val="28"/>
          <w:highlight w:val="none"/>
        </w:rPr>
        <w:t xml:space="preserve"> 详细评审</w:t>
      </w:r>
      <w:bookmarkEnd w:id="404"/>
      <w:bookmarkEnd w:id="405"/>
      <w:bookmarkEnd w:id="406"/>
      <w:bookmarkEnd w:id="407"/>
      <w:bookmarkEnd w:id="408"/>
      <w:bookmarkEnd w:id="409"/>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3.2.1 评标委员会按本章第2.2款规定的量化因素和分值进行打分，并计算出综合评估得分。评标办法前附表对承包人建议书中的设计文件评审有特殊规定的，从其规定。</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3.2.2 评分分值计算保留小数点后两位，小数点后第三位“四舍五入”。</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3.2.3评标委员会全体成员的评分中去掉一个最高分和一个最低分后的算数平均值为投标人最后得分。</w:t>
      </w:r>
    </w:p>
    <w:p>
      <w:pPr>
        <w:spacing w:line="400" w:lineRule="exact"/>
        <w:ind w:firstLine="420"/>
        <w:rPr>
          <w:rFonts w:ascii="Times New Roman" w:hAnsi="Times New Roman" w:eastAsia="宋体" w:cs="Times New Roman"/>
          <w:b/>
          <w:color w:val="auto"/>
          <w:szCs w:val="24"/>
          <w:highlight w:val="none"/>
        </w:rPr>
      </w:pPr>
      <w:r>
        <w:rPr>
          <w:rFonts w:hint="eastAsia" w:ascii="Times New Roman" w:hAnsi="Times New Roman" w:eastAsia="宋体" w:cs="Times New Roman"/>
          <w:color w:val="auto"/>
          <w:szCs w:val="24"/>
          <w:highlight w:val="none"/>
        </w:rPr>
        <w:t xml:space="preserve">3.2.4 </w:t>
      </w:r>
      <w:r>
        <w:rPr>
          <w:rFonts w:hint="eastAsia" w:ascii="Times New Roman" w:hAnsi="Times New Roman" w:eastAsia="宋体" w:cs="Times New Roman"/>
          <w:b/>
          <w:color w:val="auto"/>
          <w:szCs w:val="24"/>
          <w:highlight w:val="none"/>
        </w:rPr>
        <w:t>评标委员会发现投标人的报价明显低于其他投标报价，或者在设有标底时明显低于标底，使得其投标报价可能低于其成本的，应当要求该投标人作出书面说明并提供相应的证明材料。投标人不能合理说明或者不能提供相应证明材料的，评标委员会应当认定该投标人以低于成本报价竞标，应当否决其投标。</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410" w:name="_Toc144974575"/>
      <w:bookmarkStart w:id="411" w:name="_Toc152042385"/>
      <w:bookmarkStart w:id="412" w:name="_Toc152045607"/>
      <w:bookmarkStart w:id="413" w:name="_Toc247514031"/>
      <w:bookmarkStart w:id="414" w:name="_Toc216681891"/>
      <w:bookmarkStart w:id="415" w:name="_Toc247527632"/>
      <w:r>
        <w:rPr>
          <w:rFonts w:hint="eastAsia" w:ascii="Times New Roman" w:hAnsi="Times New Roman" w:eastAsia="黑体" w:cs="Times New Roman"/>
          <w:bCs/>
          <w:color w:val="auto"/>
          <w:sz w:val="28"/>
          <w:szCs w:val="28"/>
          <w:highlight w:val="none"/>
        </w:rPr>
        <w:t>3.3</w:t>
      </w:r>
      <w:r>
        <w:rPr>
          <w:rFonts w:hint="eastAsia" w:ascii="黑体" w:hAnsi="宋体" w:eastAsia="黑体" w:cs="Times New Roman"/>
          <w:bCs/>
          <w:color w:val="auto"/>
          <w:sz w:val="28"/>
          <w:szCs w:val="28"/>
          <w:highlight w:val="none"/>
        </w:rPr>
        <w:t xml:space="preserve"> 投标文件的澄清</w:t>
      </w:r>
      <w:bookmarkEnd w:id="410"/>
      <w:r>
        <w:rPr>
          <w:rFonts w:hint="eastAsia" w:ascii="黑体" w:hAnsi="宋体" w:eastAsia="黑体" w:cs="Times New Roman"/>
          <w:bCs/>
          <w:color w:val="auto"/>
          <w:sz w:val="28"/>
          <w:szCs w:val="28"/>
          <w:highlight w:val="none"/>
        </w:rPr>
        <w:t>和补正</w:t>
      </w:r>
      <w:bookmarkEnd w:id="411"/>
      <w:bookmarkEnd w:id="412"/>
      <w:bookmarkEnd w:id="413"/>
      <w:bookmarkEnd w:id="414"/>
      <w:bookmarkEnd w:id="415"/>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3.3.2 澄清、说明和补正不得改变投标文件的实质性内容。投标人的书面澄清、说明和补正属于投标文件的组成部分。</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3.3.3 评标委员会对投标人提交的澄清、说明或补正有疑问的，可以要求投标人进一步澄清、说明或补正，直至满足评标委员会的要求。</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416" w:name="_Toc247527633"/>
      <w:bookmarkStart w:id="417" w:name="_Toc152042386"/>
      <w:bookmarkStart w:id="418" w:name="_Toc247514032"/>
      <w:bookmarkStart w:id="419" w:name="_Toc144974576"/>
      <w:bookmarkStart w:id="420" w:name="_Toc216681892"/>
      <w:bookmarkStart w:id="421" w:name="_Toc152045608"/>
      <w:r>
        <w:rPr>
          <w:rFonts w:hint="eastAsia" w:ascii="Times New Roman" w:hAnsi="Times New Roman" w:eastAsia="黑体" w:cs="Times New Roman"/>
          <w:bCs/>
          <w:color w:val="auto"/>
          <w:sz w:val="28"/>
          <w:szCs w:val="28"/>
          <w:highlight w:val="none"/>
        </w:rPr>
        <w:t>3.4</w:t>
      </w:r>
      <w:r>
        <w:rPr>
          <w:rFonts w:hint="eastAsia" w:ascii="黑体" w:hAnsi="宋体" w:eastAsia="黑体" w:cs="Times New Roman"/>
          <w:bCs/>
          <w:color w:val="auto"/>
          <w:sz w:val="28"/>
          <w:szCs w:val="28"/>
          <w:highlight w:val="none"/>
        </w:rPr>
        <w:t xml:space="preserve"> 评标结果</w:t>
      </w:r>
      <w:bookmarkEnd w:id="416"/>
      <w:bookmarkEnd w:id="417"/>
      <w:bookmarkEnd w:id="418"/>
      <w:bookmarkEnd w:id="419"/>
      <w:bookmarkEnd w:id="420"/>
      <w:bookmarkEnd w:id="421"/>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3.4.1 除第二章“投标人须知”前附表授权直接确定中标人外，评标委员会按照得分由高到低的顺序推荐中标候选人。</w:t>
      </w:r>
    </w:p>
    <w:p>
      <w:pPr>
        <w:spacing w:line="400" w:lineRule="exact"/>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3.4.2 评标委员会完成评标后，应当向招标人提交书面评标报告。</w:t>
      </w: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r>
        <w:rPr>
          <w:rFonts w:ascii="Times New Roman" w:hAnsi="Times New Roman" w:eastAsia="宋体" w:cs="Times New Roman"/>
          <w:b/>
          <w:bCs/>
          <w:color w:val="auto"/>
          <w:kern w:val="44"/>
          <w:sz w:val="44"/>
          <w:szCs w:val="44"/>
          <w:highlight w:val="none"/>
        </w:rPr>
        <w:br w:type="page"/>
      </w:r>
    </w:p>
    <w:p>
      <w:pPr>
        <w:rPr>
          <w:rFonts w:ascii="Times New Roman" w:hAnsi="Times New Roman" w:eastAsia="宋体" w:cs="Times New Roman"/>
          <w:color w:val="auto"/>
          <w:szCs w:val="24"/>
          <w:highlight w:val="none"/>
        </w:rPr>
      </w:pP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bookmarkStart w:id="422" w:name="_Toc152045609"/>
      <w:bookmarkStart w:id="423" w:name="_Toc247527634"/>
      <w:bookmarkStart w:id="424" w:name="_Toc152042387"/>
      <w:bookmarkStart w:id="425" w:name="_Toc247514033"/>
      <w:bookmarkStart w:id="426" w:name="_Toc216681893"/>
      <w:bookmarkStart w:id="427" w:name="_Toc144974577"/>
      <w:r>
        <w:rPr>
          <w:rFonts w:hint="eastAsia" w:ascii="Times New Roman" w:hAnsi="Times New Roman" w:eastAsia="宋体" w:cs="Times New Roman"/>
          <w:b/>
          <w:bCs/>
          <w:color w:val="auto"/>
          <w:kern w:val="44"/>
          <w:sz w:val="44"/>
          <w:szCs w:val="44"/>
          <w:highlight w:val="none"/>
        </w:rPr>
        <w:t>第四章 合同条款及格式</w:t>
      </w:r>
      <w:bookmarkEnd w:id="422"/>
      <w:bookmarkEnd w:id="423"/>
      <w:bookmarkEnd w:id="424"/>
      <w:bookmarkEnd w:id="425"/>
      <w:bookmarkEnd w:id="426"/>
      <w:bookmarkEnd w:id="427"/>
      <w:bookmarkStart w:id="428" w:name="_Toc152045610"/>
      <w:bookmarkStart w:id="429" w:name="_Toc184635097"/>
      <w:bookmarkStart w:id="430" w:name="_Toc247527635"/>
      <w:bookmarkStart w:id="431" w:name="_Toc144974578"/>
      <w:bookmarkStart w:id="432" w:name="_Toc247514034"/>
      <w:bookmarkStart w:id="433" w:name="_Toc152042388"/>
    </w:p>
    <w:bookmarkEnd w:id="428"/>
    <w:bookmarkEnd w:id="429"/>
    <w:bookmarkEnd w:id="430"/>
    <w:bookmarkEnd w:id="431"/>
    <w:bookmarkEnd w:id="432"/>
    <w:bookmarkEnd w:id="433"/>
    <w:p>
      <w:pPr>
        <w:adjustRightInd w:val="0"/>
        <w:snapToGrid w:val="0"/>
        <w:jc w:val="center"/>
        <w:rPr>
          <w:rFonts w:ascii="方正小标宋简体" w:hAnsi="宋体" w:eastAsia="方正小标宋简体" w:cs="宋体"/>
          <w:color w:val="auto"/>
          <w:sz w:val="24"/>
          <w:szCs w:val="44"/>
          <w:highlight w:val="none"/>
        </w:rPr>
      </w:pPr>
      <w:bookmarkStart w:id="434" w:name="_Toc491277245"/>
      <w:bookmarkStart w:id="435" w:name="_Toc419363662"/>
      <w:bookmarkStart w:id="436" w:name="_Toc419320206"/>
      <w:bookmarkStart w:id="437" w:name="_Toc419364333"/>
      <w:bookmarkStart w:id="438" w:name="_Toc419321242"/>
      <w:bookmarkStart w:id="439" w:name="_Toc433988695"/>
      <w:bookmarkStart w:id="440" w:name="_Toc152042575"/>
      <w:bookmarkStart w:id="441" w:name="_Toc152045786"/>
      <w:bookmarkStart w:id="442" w:name="_Toc144974855"/>
      <w:r>
        <w:rPr>
          <w:rFonts w:hint="eastAsia" w:ascii="方正小标宋简体" w:hAnsi="宋体" w:eastAsia="方正小标宋简体" w:cs="宋体"/>
          <w:color w:val="auto"/>
          <w:sz w:val="24"/>
          <w:szCs w:val="44"/>
          <w:highlight w:val="none"/>
        </w:rPr>
        <w:t>（参照《建设项目工程总承包合同（示范文本）》（GF-2020-0216））</w:t>
      </w:r>
    </w:p>
    <w:p>
      <w:pPr>
        <w:adjustRightInd w:val="0"/>
        <w:snapToGrid w:val="0"/>
        <w:jc w:val="center"/>
        <w:rPr>
          <w:rFonts w:ascii="Times New Roman" w:hAnsi="Times New Roman" w:eastAsia="宋体" w:cs="Times New Roman"/>
          <w:color w:val="auto"/>
          <w:sz w:val="44"/>
          <w:szCs w:val="44"/>
          <w:highlight w:val="none"/>
          <w:u w:val="single"/>
        </w:rPr>
      </w:pPr>
      <w:r>
        <w:rPr>
          <w:rFonts w:ascii="Times New Roman" w:hAnsi="Times New Roman" w:eastAsia="宋体" w:cs="Times New Roman"/>
          <w:color w:val="auto"/>
          <w:sz w:val="44"/>
          <w:szCs w:val="44"/>
          <w:highlight w:val="none"/>
          <w:u w:val="single"/>
        </w:rPr>
        <w:br w:type="page"/>
      </w:r>
    </w:p>
    <w:p>
      <w:pPr>
        <w:adjustRightInd w:val="0"/>
        <w:snapToGrid w:val="0"/>
        <w:jc w:val="center"/>
        <w:rPr>
          <w:rFonts w:ascii="Times New Roman" w:hAnsi="Times New Roman" w:eastAsia="宋体" w:cs="Times New Roman"/>
          <w:color w:val="auto"/>
          <w:sz w:val="44"/>
          <w:szCs w:val="44"/>
          <w:highlight w:val="none"/>
          <w:u w:val="single"/>
        </w:rPr>
      </w:pPr>
    </w:p>
    <w:bookmarkEnd w:id="434"/>
    <w:bookmarkEnd w:id="435"/>
    <w:bookmarkEnd w:id="436"/>
    <w:bookmarkEnd w:id="437"/>
    <w:bookmarkEnd w:id="438"/>
    <w:bookmarkEnd w:id="439"/>
    <w:p>
      <w:pPr>
        <w:keepNext/>
        <w:keepLines/>
        <w:spacing w:line="400" w:lineRule="exact"/>
        <w:jc w:val="center"/>
        <w:outlineLvl w:val="1"/>
        <w:rPr>
          <w:rFonts w:ascii="宋体" w:hAnsi="宋体" w:eastAsia="宋体" w:cs="仿宋"/>
          <w:b/>
          <w:bCs/>
          <w:color w:val="auto"/>
          <w:sz w:val="36"/>
          <w:szCs w:val="36"/>
          <w:highlight w:val="none"/>
        </w:rPr>
      </w:pPr>
      <w:bookmarkStart w:id="443" w:name="_Toc17321"/>
      <w:bookmarkStart w:id="444" w:name="_Toc216681894"/>
      <w:bookmarkStart w:id="445" w:name="_Toc7831"/>
      <w:bookmarkStart w:id="446" w:name="_Toc21863"/>
      <w:bookmarkStart w:id="447" w:name="_Toc4914"/>
      <w:bookmarkStart w:id="448" w:name="_Toc15152"/>
      <w:bookmarkStart w:id="449" w:name="_Toc247514245"/>
      <w:bookmarkStart w:id="450" w:name="_Toc247527826"/>
      <w:r>
        <w:rPr>
          <w:rFonts w:hint="eastAsia" w:ascii="宋体" w:hAnsi="宋体" w:eastAsia="宋体" w:cs="仿宋"/>
          <w:b/>
          <w:bCs/>
          <w:color w:val="auto"/>
          <w:sz w:val="36"/>
          <w:szCs w:val="36"/>
          <w:highlight w:val="none"/>
        </w:rPr>
        <w:t>第一部分 合同协议书</w:t>
      </w:r>
      <w:bookmarkEnd w:id="443"/>
      <w:bookmarkEnd w:id="444"/>
      <w:bookmarkEnd w:id="445"/>
      <w:bookmarkEnd w:id="446"/>
      <w:bookmarkEnd w:id="447"/>
      <w:bookmarkEnd w:id="448"/>
    </w:p>
    <w:p>
      <w:pPr>
        <w:spacing w:line="400" w:lineRule="exact"/>
        <w:rPr>
          <w:rFonts w:ascii="宋体" w:hAnsi="宋体" w:eastAsia="宋体" w:cs="仿宋"/>
          <w:color w:val="auto"/>
          <w:sz w:val="24"/>
          <w:szCs w:val="24"/>
          <w:highlight w:val="none"/>
        </w:rPr>
      </w:pPr>
    </w:p>
    <w:p>
      <w:pPr>
        <w:spacing w:line="400" w:lineRule="exact"/>
        <w:rPr>
          <w:rFonts w:ascii="宋体" w:hAnsi="宋体" w:eastAsia="宋体" w:cs="仿宋"/>
          <w:color w:val="auto"/>
          <w:szCs w:val="21"/>
          <w:highlight w:val="none"/>
        </w:rPr>
      </w:pPr>
      <w:r>
        <w:rPr>
          <w:rFonts w:hint="eastAsia" w:ascii="宋体" w:hAnsi="宋体" w:eastAsia="宋体" w:cs="仿宋"/>
          <w:color w:val="auto"/>
          <w:szCs w:val="21"/>
          <w:highlight w:val="none"/>
        </w:rPr>
        <w:t>发包人（全称）：</w:t>
      </w:r>
      <w:r>
        <w:rPr>
          <w:rFonts w:hint="eastAsia" w:ascii="宋体" w:hAnsi="宋体" w:eastAsia="宋体" w:cs="仿宋"/>
          <w:color w:val="auto"/>
          <w:szCs w:val="21"/>
          <w:highlight w:val="none"/>
          <w:u w:val="single"/>
        </w:rPr>
        <w:t xml:space="preserve">                                     </w:t>
      </w:r>
    </w:p>
    <w:p>
      <w:pPr>
        <w:spacing w:line="400" w:lineRule="exact"/>
        <w:rPr>
          <w:rFonts w:ascii="宋体" w:hAnsi="宋体" w:eastAsia="宋体" w:cs="仿宋"/>
          <w:color w:val="auto"/>
          <w:szCs w:val="21"/>
          <w:highlight w:val="none"/>
          <w:u w:val="single"/>
        </w:rPr>
      </w:pPr>
      <w:r>
        <w:rPr>
          <w:rFonts w:hint="eastAsia" w:ascii="宋体" w:hAnsi="宋体" w:eastAsia="宋体" w:cs="仿宋"/>
          <w:color w:val="auto"/>
          <w:szCs w:val="21"/>
          <w:highlight w:val="none"/>
        </w:rPr>
        <w:t>承包人（全称） ：</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 xml:space="preserve">    </w:t>
      </w:r>
    </w:p>
    <w:p>
      <w:pPr>
        <w:spacing w:line="400" w:lineRule="exact"/>
        <w:ind w:firstLine="420" w:firstLineChars="200"/>
        <w:rPr>
          <w:rFonts w:ascii="宋体" w:hAnsi="宋体" w:eastAsia="宋体" w:cs="仿宋"/>
          <w:color w:val="auto"/>
          <w:szCs w:val="21"/>
          <w:highlight w:val="none"/>
        </w:rPr>
      </w:pP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根据《中华人民共和国民法典》《中华人民共和国建筑法》及有关法律规定，遵循平等、自愿、公平和诚实信用的原则，双方就</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项目的工程总承包及有关事项协商一致，共同达成如下协议：</w:t>
      </w:r>
    </w:p>
    <w:p>
      <w:pPr>
        <w:spacing w:line="400" w:lineRule="exact"/>
        <w:rPr>
          <w:rFonts w:ascii="宋体" w:hAnsi="宋体" w:eastAsia="宋体" w:cs="仿宋"/>
          <w:color w:val="auto"/>
          <w:szCs w:val="21"/>
          <w:highlight w:val="none"/>
        </w:rPr>
      </w:pPr>
      <w:bookmarkStart w:id="451" w:name="_Toc54862165"/>
      <w:r>
        <w:rPr>
          <w:rFonts w:hint="eastAsia" w:ascii="宋体" w:hAnsi="宋体" w:eastAsia="宋体" w:cs="仿宋"/>
          <w:color w:val="auto"/>
          <w:szCs w:val="21"/>
          <w:highlight w:val="none"/>
        </w:rPr>
        <w:t>一、工程概况</w:t>
      </w:r>
      <w:bookmarkEnd w:id="451"/>
    </w:p>
    <w:p>
      <w:pPr>
        <w:spacing w:line="400" w:lineRule="exact"/>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1.工程名称：</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2.工程地点：</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3.工程审批、核准或备案文号：</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4.资金来源：</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5.工程内容及规模：</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rPr>
          <w:rFonts w:ascii="宋体" w:hAnsi="宋体" w:eastAsia="宋体" w:cs="仿宋"/>
          <w:color w:val="auto"/>
          <w:szCs w:val="21"/>
          <w:highlight w:val="none"/>
        </w:rPr>
      </w:pPr>
      <w:bookmarkStart w:id="452" w:name="_Toc54862166"/>
      <w:r>
        <w:rPr>
          <w:rFonts w:hint="eastAsia" w:ascii="宋体" w:hAnsi="宋体" w:eastAsia="宋体" w:cs="仿宋"/>
          <w:color w:val="auto"/>
          <w:szCs w:val="21"/>
          <w:highlight w:val="none"/>
        </w:rPr>
        <w:t>二、合同工期</w:t>
      </w:r>
      <w:bookmarkEnd w:id="452"/>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计划开始工作日期：</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年</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月</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日。</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计划开始现场施工日期：</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年</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月</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日。</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计划竣工日期：</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年</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月</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日。</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工期总日历天数：</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工期总日历天数与根据前述计划日期计算的工期天数不一致的，以工期总日历天数为准。设计开始日期以进场开展工作时间为准，施工具体开工时间以监理方下发的单体项目开工令时间为准。</w:t>
      </w:r>
    </w:p>
    <w:p>
      <w:pPr>
        <w:spacing w:line="400" w:lineRule="exact"/>
        <w:rPr>
          <w:rFonts w:ascii="宋体" w:hAnsi="宋体" w:eastAsia="宋体" w:cs="仿宋"/>
          <w:color w:val="auto"/>
          <w:szCs w:val="21"/>
          <w:highlight w:val="none"/>
        </w:rPr>
      </w:pPr>
      <w:bookmarkStart w:id="453" w:name="_Toc54862167"/>
      <w:r>
        <w:rPr>
          <w:rFonts w:hint="eastAsia" w:ascii="宋体" w:hAnsi="宋体" w:eastAsia="宋体" w:cs="仿宋"/>
          <w:color w:val="auto"/>
          <w:szCs w:val="21"/>
          <w:highlight w:val="none"/>
        </w:rPr>
        <w:t>三、质量标准</w:t>
      </w:r>
      <w:bookmarkEnd w:id="453"/>
    </w:p>
    <w:p>
      <w:pPr>
        <w:spacing w:line="400" w:lineRule="exact"/>
        <w:ind w:firstLine="420" w:firstLineChars="200"/>
        <w:rPr>
          <w:rFonts w:ascii="宋体" w:hAnsi="宋体" w:eastAsia="宋体" w:cs="仿宋"/>
          <w:color w:val="auto"/>
          <w:szCs w:val="21"/>
          <w:highlight w:val="none"/>
        </w:rPr>
      </w:pPr>
      <w:bookmarkStart w:id="454" w:name="_Toc54862168"/>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rPr>
          <w:rFonts w:ascii="宋体" w:hAnsi="宋体" w:eastAsia="宋体" w:cs="仿宋"/>
          <w:color w:val="auto"/>
          <w:szCs w:val="21"/>
          <w:highlight w:val="none"/>
        </w:rPr>
      </w:pPr>
      <w:r>
        <w:rPr>
          <w:rFonts w:hint="eastAsia" w:ascii="宋体" w:hAnsi="宋体" w:eastAsia="宋体" w:cs="仿宋"/>
          <w:color w:val="auto"/>
          <w:szCs w:val="21"/>
          <w:highlight w:val="none"/>
        </w:rPr>
        <w:t>四、签约合同价与合同价格形式</w:t>
      </w:r>
      <w:bookmarkEnd w:id="454"/>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1.签约合同价（含税）为：</w:t>
      </w:r>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人民币（大写)</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元）。</w:t>
      </w:r>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其中：</w:t>
      </w:r>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（1）设计费（含税）：</w:t>
      </w:r>
    </w:p>
    <w:p>
      <w:pPr>
        <w:widowControl/>
        <w:adjustRightInd w:val="0"/>
        <w:spacing w:line="400" w:lineRule="exact"/>
        <w:ind w:left="420" w:left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人民币（大写)</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元）；（2）建筑安装工程费（含税）：</w:t>
      </w:r>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人民币（（大写)</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元）；2. 合同价格形式：</w:t>
      </w:r>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合同价格形式：</w:t>
      </w:r>
    </w:p>
    <w:p>
      <w:pPr>
        <w:widowControl/>
        <w:spacing w:line="400" w:lineRule="exact"/>
        <w:ind w:firstLine="420" w:firstLineChars="20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 xml:space="preserve">（1）设计费合同价格形式为费率合同，设计费=最终建安工程费×设计中标费率     </w:t>
      </w:r>
      <w:r>
        <w:rPr>
          <w:rFonts w:hint="eastAsia" w:ascii="宋体" w:hAnsi="宋体" w:eastAsia="宋体" w:cs="仿宋"/>
          <w:color w:val="auto"/>
          <w:szCs w:val="21"/>
          <w:highlight w:val="none"/>
        </w:rPr>
        <w:t>。</w:t>
      </w:r>
    </w:p>
    <w:p>
      <w:pPr>
        <w:widowControl/>
        <w:spacing w:line="400" w:lineRule="exact"/>
        <w:ind w:firstLine="420" w:firstLineChars="20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（2）施工部分合同价格形式为综合单价合同。</w:t>
      </w:r>
    </w:p>
    <w:p>
      <w:pPr>
        <w:widowControl/>
        <w:spacing w:line="400" w:lineRule="exact"/>
        <w:ind w:firstLine="420" w:firstLineChars="20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①已公布的工程量清单部分不参与结算优惠，以中标人的投标报价为准结算，工程量按实结算</w:t>
      </w:r>
      <w:r>
        <w:rPr>
          <w:rFonts w:hint="eastAsia" w:ascii="宋体" w:hAnsi="宋体" w:eastAsia="宋体" w:cs="仿宋"/>
          <w:color w:val="auto"/>
          <w:szCs w:val="21"/>
          <w:highlight w:val="none"/>
        </w:rPr>
        <w:t>。</w:t>
      </w:r>
    </w:p>
    <w:p>
      <w:pPr>
        <w:widowControl/>
        <w:spacing w:line="400" w:lineRule="exact"/>
        <w:ind w:firstLine="420" w:firstLineChars="20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②已公布的工程量清单以外新增和调整部分的综合单价，按投标人施工中标下浮率百分比结算，工程量以实际发生经参建各方认定为准。结算依据为现行的《建设工程工程量清单计价标准》（GB/T50500-2024）、《建设工程工程量清单计价标准（2024）》云南省过渡期实施规定、《云南省建设工程造价计价标准（2020版）》及相应文件，云南省最新发布的关于上述文件的调整文件及有关规定。清单外新增最终结算价=经审核的建安工程费×（1-施工中标优惠下浮率     ）</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u w:val="single"/>
        </w:rPr>
        <w:t>③最终结算建安工程费=清单报价部分的建安工程费+清单外下浮率部分的建安工程费；清单部分建安工程费=清单报价×经审核的工程量+经审定的调差部分的费用；下浮率部分的建安费=经审核的建安工程费×（1-施工中标优惠下浮率    ）</w:t>
      </w:r>
      <w:r>
        <w:rPr>
          <w:rFonts w:hint="eastAsia" w:ascii="宋体" w:hAnsi="宋体" w:eastAsia="宋体" w:cs="仿宋"/>
          <w:color w:val="auto"/>
          <w:szCs w:val="21"/>
          <w:highlight w:val="none"/>
        </w:rPr>
        <w:t>。</w:t>
      </w:r>
    </w:p>
    <w:p>
      <w:pPr>
        <w:widowControl/>
        <w:spacing w:line="400" w:lineRule="exact"/>
        <w:ind w:firstLine="420" w:firstLineChars="200"/>
        <w:jc w:val="left"/>
        <w:rPr>
          <w:rFonts w:ascii="宋体" w:hAnsi="宋体" w:eastAsia="宋体" w:cs="仿宋"/>
          <w:color w:val="auto"/>
          <w:szCs w:val="21"/>
          <w:highlight w:val="none"/>
        </w:rPr>
      </w:pPr>
      <w:r>
        <w:rPr>
          <w:rFonts w:hint="eastAsia" w:ascii="宋体" w:hAnsi="宋体" w:eastAsia="宋体" w:cs="仿宋"/>
          <w:color w:val="auto"/>
          <w:szCs w:val="21"/>
          <w:highlight w:val="none"/>
        </w:rPr>
        <w:t>合同当事人对合同价格形式的其他约定：</w:t>
      </w:r>
      <w:r>
        <w:rPr>
          <w:rFonts w:hint="eastAsia" w:ascii="宋体" w:hAnsi="宋体" w:eastAsia="宋体" w:cs="仿宋"/>
          <w:color w:val="auto"/>
          <w:szCs w:val="21"/>
          <w:highlight w:val="none"/>
          <w:u w:val="single"/>
        </w:rPr>
        <w:t xml:space="preserve">  具体详见专用条款  </w:t>
      </w:r>
      <w:r>
        <w:rPr>
          <w:rFonts w:hint="eastAsia" w:ascii="宋体" w:hAnsi="宋体" w:eastAsia="宋体" w:cs="仿宋"/>
          <w:color w:val="auto"/>
          <w:szCs w:val="21"/>
          <w:highlight w:val="none"/>
        </w:rPr>
        <w:t>。</w:t>
      </w:r>
    </w:p>
    <w:p>
      <w:pPr>
        <w:spacing w:line="400" w:lineRule="exact"/>
        <w:rPr>
          <w:rFonts w:ascii="宋体" w:hAnsi="宋体" w:eastAsia="宋体" w:cs="仿宋"/>
          <w:color w:val="auto"/>
          <w:szCs w:val="21"/>
          <w:highlight w:val="none"/>
        </w:rPr>
      </w:pPr>
      <w:r>
        <w:rPr>
          <w:rFonts w:hint="eastAsia" w:ascii="宋体" w:hAnsi="宋体" w:eastAsia="宋体" w:cs="仿宋"/>
          <w:color w:val="auto"/>
          <w:szCs w:val="21"/>
          <w:highlight w:val="none"/>
        </w:rPr>
        <w:t>五、工程总承包项目经理及其他主要人员</w:t>
      </w:r>
    </w:p>
    <w:p>
      <w:pPr>
        <w:spacing w:line="400" w:lineRule="exact"/>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工程总承包项目经理：</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设计负责人：</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施工项目负责人：</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技术负责人：</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400" w:lineRule="exact"/>
        <w:rPr>
          <w:rFonts w:ascii="宋体" w:hAnsi="宋体" w:eastAsia="宋体" w:cs="仿宋"/>
          <w:color w:val="auto"/>
          <w:szCs w:val="21"/>
          <w:highlight w:val="none"/>
        </w:rPr>
      </w:pPr>
      <w:bookmarkStart w:id="455" w:name="_Toc54862170"/>
      <w:r>
        <w:rPr>
          <w:rFonts w:hint="eastAsia" w:ascii="宋体" w:hAnsi="宋体" w:eastAsia="宋体" w:cs="仿宋"/>
          <w:color w:val="auto"/>
          <w:szCs w:val="21"/>
          <w:highlight w:val="none"/>
        </w:rPr>
        <w:t>六、合同文件构成</w:t>
      </w:r>
      <w:bookmarkEnd w:id="455"/>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本协议书与下列文件一起构成合同文件：</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中标通知书（如果有）；</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投标函及投标函附录（如果有）；</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专用合同条件及《发包人要求》等附件；</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本合同通用合同条件；</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（5） 承包人建议书； </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（6） 价格清单；</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（7） 双方约定的其他合同文件。</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上述各项合同文件包括双方就该项合同文件所作出的补充和修改，属于同一类内容的合同文件应以最新签署的为准。专用合同条件及其附件须经合同当事人签字或盖章。</w:t>
      </w:r>
    </w:p>
    <w:p>
      <w:pPr>
        <w:spacing w:line="400" w:lineRule="exact"/>
        <w:rPr>
          <w:rFonts w:ascii="宋体" w:hAnsi="宋体" w:eastAsia="宋体" w:cs="仿宋"/>
          <w:color w:val="auto"/>
          <w:szCs w:val="21"/>
          <w:highlight w:val="none"/>
        </w:rPr>
      </w:pPr>
      <w:bookmarkStart w:id="456" w:name="_Toc54862171"/>
      <w:r>
        <w:rPr>
          <w:rFonts w:hint="eastAsia" w:ascii="宋体" w:hAnsi="宋体" w:eastAsia="宋体" w:cs="仿宋"/>
          <w:color w:val="auto"/>
          <w:szCs w:val="21"/>
          <w:highlight w:val="none"/>
        </w:rPr>
        <w:t>七、承诺</w:t>
      </w:r>
      <w:bookmarkEnd w:id="456"/>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1.发包人承诺按照法律规定履行项目审批手续、筹集工程建设资金并按照合同约定的期限和方式支付合同价款。</w:t>
      </w:r>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2.承包人承诺按照法律规定及合同约定组织完成工程的设计、采购和施工等工作，确保工程质量和安全，不进行转包及违法分包，并在缺陷责任期及保修期内承担相应的工程维修责任。</w:t>
      </w:r>
    </w:p>
    <w:p>
      <w:pPr>
        <w:spacing w:line="400" w:lineRule="exact"/>
        <w:rPr>
          <w:rFonts w:ascii="宋体" w:hAnsi="宋体" w:eastAsia="宋体" w:cs="仿宋"/>
          <w:color w:val="auto"/>
          <w:szCs w:val="21"/>
          <w:highlight w:val="none"/>
        </w:rPr>
      </w:pPr>
      <w:bookmarkStart w:id="457" w:name="_Toc54862172"/>
      <w:r>
        <w:rPr>
          <w:rFonts w:hint="eastAsia" w:ascii="宋体" w:hAnsi="宋体" w:eastAsia="宋体" w:cs="仿宋"/>
          <w:color w:val="auto"/>
          <w:szCs w:val="21"/>
          <w:highlight w:val="none"/>
        </w:rPr>
        <w:t>八、订立时间</w:t>
      </w:r>
      <w:bookmarkEnd w:id="457"/>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本合同于</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年</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月</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日订立。</w:t>
      </w:r>
    </w:p>
    <w:p>
      <w:pPr>
        <w:spacing w:line="400" w:lineRule="exact"/>
        <w:rPr>
          <w:rFonts w:ascii="宋体" w:hAnsi="宋体" w:eastAsia="宋体" w:cs="仿宋"/>
          <w:color w:val="auto"/>
          <w:szCs w:val="21"/>
          <w:highlight w:val="none"/>
        </w:rPr>
      </w:pPr>
      <w:bookmarkStart w:id="458" w:name="_Toc54862173"/>
      <w:r>
        <w:rPr>
          <w:rFonts w:hint="eastAsia" w:ascii="宋体" w:hAnsi="宋体" w:eastAsia="宋体" w:cs="仿宋"/>
          <w:color w:val="auto"/>
          <w:szCs w:val="21"/>
          <w:highlight w:val="none"/>
        </w:rPr>
        <w:t>九、订立地点</w:t>
      </w:r>
      <w:bookmarkEnd w:id="458"/>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本合同在</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订立。</w:t>
      </w:r>
    </w:p>
    <w:p>
      <w:pPr>
        <w:spacing w:line="400" w:lineRule="exact"/>
        <w:rPr>
          <w:rFonts w:ascii="宋体" w:hAnsi="宋体" w:eastAsia="宋体" w:cs="仿宋"/>
          <w:color w:val="auto"/>
          <w:szCs w:val="21"/>
          <w:highlight w:val="none"/>
        </w:rPr>
      </w:pPr>
      <w:bookmarkStart w:id="459" w:name="_Toc54862174"/>
      <w:r>
        <w:rPr>
          <w:rFonts w:hint="eastAsia" w:ascii="宋体" w:hAnsi="宋体" w:eastAsia="宋体" w:cs="仿宋"/>
          <w:color w:val="auto"/>
          <w:szCs w:val="21"/>
          <w:highlight w:val="none"/>
        </w:rPr>
        <w:t>十、合同生效</w:t>
      </w:r>
      <w:bookmarkEnd w:id="459"/>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本合同经双方签字或盖章后成立，并自</w:t>
      </w:r>
      <w:r>
        <w:rPr>
          <w:rFonts w:hint="eastAsia" w:ascii="宋体" w:hAnsi="宋体" w:eastAsia="宋体" w:cs="仿宋"/>
          <w:color w:val="auto"/>
          <w:szCs w:val="21"/>
          <w:highlight w:val="none"/>
          <w:u w:val="single"/>
        </w:rPr>
        <w:t xml:space="preserve">  合同签订之日起   </w:t>
      </w:r>
      <w:r>
        <w:rPr>
          <w:rFonts w:hint="eastAsia" w:ascii="宋体" w:hAnsi="宋体" w:eastAsia="宋体" w:cs="仿宋"/>
          <w:color w:val="auto"/>
          <w:szCs w:val="21"/>
          <w:highlight w:val="none"/>
        </w:rPr>
        <w:t>生效。</w:t>
      </w:r>
    </w:p>
    <w:p>
      <w:pPr>
        <w:spacing w:line="400" w:lineRule="exact"/>
        <w:rPr>
          <w:rFonts w:ascii="宋体" w:hAnsi="宋体" w:eastAsia="宋体" w:cs="仿宋"/>
          <w:color w:val="auto"/>
          <w:szCs w:val="21"/>
          <w:highlight w:val="none"/>
        </w:rPr>
      </w:pPr>
      <w:bookmarkStart w:id="460" w:name="_Toc54862175"/>
      <w:r>
        <w:rPr>
          <w:rFonts w:hint="eastAsia" w:ascii="宋体" w:hAnsi="宋体" w:eastAsia="宋体" w:cs="仿宋"/>
          <w:color w:val="auto"/>
          <w:szCs w:val="21"/>
          <w:highlight w:val="none"/>
        </w:rPr>
        <w:t>十一、合同份数</w:t>
      </w:r>
      <w:bookmarkEnd w:id="460"/>
    </w:p>
    <w:p>
      <w:pPr>
        <w:spacing w:line="400" w:lineRule="exact"/>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本合同一式</w:t>
      </w:r>
      <w:r>
        <w:rPr>
          <w:rFonts w:hint="eastAsia" w:ascii="宋体" w:hAnsi="宋体" w:eastAsia="宋体" w:cs="仿宋"/>
          <w:color w:val="auto"/>
          <w:szCs w:val="21"/>
          <w:highlight w:val="none"/>
          <w:u w:val="single"/>
        </w:rPr>
        <w:t xml:space="preserve"> 玖 </w:t>
      </w:r>
      <w:r>
        <w:rPr>
          <w:rFonts w:hint="eastAsia" w:ascii="宋体" w:hAnsi="宋体" w:eastAsia="宋体" w:cs="仿宋"/>
          <w:color w:val="auto"/>
          <w:szCs w:val="21"/>
          <w:highlight w:val="none"/>
        </w:rPr>
        <w:t>份，均具有同等法律效力，发包人执</w:t>
      </w:r>
      <w:r>
        <w:rPr>
          <w:rFonts w:hint="eastAsia" w:ascii="宋体" w:hAnsi="宋体" w:eastAsia="宋体" w:cs="仿宋"/>
          <w:color w:val="auto"/>
          <w:szCs w:val="21"/>
          <w:highlight w:val="none"/>
          <w:u w:val="single"/>
        </w:rPr>
        <w:t xml:space="preserve"> 叁 </w:t>
      </w:r>
      <w:r>
        <w:rPr>
          <w:rFonts w:hint="eastAsia" w:ascii="宋体" w:hAnsi="宋体" w:eastAsia="宋体" w:cs="仿宋"/>
          <w:color w:val="auto"/>
          <w:szCs w:val="21"/>
          <w:highlight w:val="none"/>
        </w:rPr>
        <w:t>份，承包人执</w:t>
      </w:r>
      <w:r>
        <w:rPr>
          <w:rFonts w:hint="eastAsia" w:ascii="宋体" w:hAnsi="宋体" w:eastAsia="宋体" w:cs="仿宋"/>
          <w:color w:val="auto"/>
          <w:szCs w:val="21"/>
          <w:highlight w:val="none"/>
          <w:u w:val="single"/>
        </w:rPr>
        <w:t xml:space="preserve"> 陆 </w:t>
      </w:r>
      <w:r>
        <w:rPr>
          <w:rFonts w:hint="eastAsia" w:ascii="宋体" w:hAnsi="宋体" w:eastAsia="宋体" w:cs="仿宋"/>
          <w:color w:val="auto"/>
          <w:szCs w:val="21"/>
          <w:highlight w:val="none"/>
        </w:rPr>
        <w:t>份。</w:t>
      </w:r>
    </w:p>
    <w:p>
      <w:pPr>
        <w:rPr>
          <w:rFonts w:ascii="宋体" w:hAnsi="宋体" w:eastAsia="宋体" w:cs="仿宋"/>
          <w:color w:val="auto"/>
          <w:szCs w:val="21"/>
          <w:highlight w:val="none"/>
        </w:rPr>
      </w:pPr>
      <w:r>
        <w:rPr>
          <w:rFonts w:hint="eastAsia" w:ascii="宋体" w:hAnsi="宋体" w:eastAsia="宋体" w:cs="仿宋"/>
          <w:color w:val="auto"/>
          <w:szCs w:val="21"/>
          <w:highlight w:val="none"/>
        </w:rPr>
        <w:br w:type="page"/>
      </w:r>
    </w:p>
    <w:tbl>
      <w:tblPr>
        <w:tblStyle w:val="41"/>
        <w:tblW w:w="0" w:type="auto"/>
        <w:jc w:val="center"/>
        <w:tblLayout w:type="fixed"/>
        <w:tblCellMar>
          <w:top w:w="0" w:type="dxa"/>
          <w:left w:w="108" w:type="dxa"/>
          <w:bottom w:w="0" w:type="dxa"/>
          <w:right w:w="108" w:type="dxa"/>
        </w:tblCellMar>
      </w:tblPr>
      <w:tblGrid>
        <w:gridCol w:w="4788"/>
        <w:gridCol w:w="4850"/>
      </w:tblGrid>
      <w:tr>
        <w:tblPrEx>
          <w:tblCellMar>
            <w:top w:w="0" w:type="dxa"/>
            <w:left w:w="108" w:type="dxa"/>
            <w:bottom w:w="0" w:type="dxa"/>
            <w:right w:w="108" w:type="dxa"/>
          </w:tblCellMar>
        </w:tblPrEx>
        <w:trPr>
          <w:trHeight w:val="1127" w:hRule="atLeast"/>
          <w:jc w:val="center"/>
        </w:trPr>
        <w:tc>
          <w:tcPr>
            <w:tcW w:w="4788" w:type="dxa"/>
          </w:tcPr>
          <w:p>
            <w:pPr>
              <w:widowControl/>
              <w:adjustRightInd w:val="0"/>
              <w:snapToGrid w:val="0"/>
              <w:spacing w:after="50" w:line="360" w:lineRule="auto"/>
              <w:jc w:val="left"/>
              <w:rPr>
                <w:rFonts w:ascii="宋体" w:hAnsi="宋体" w:eastAsia="宋体" w:cs="仿宋"/>
                <w:color w:val="auto"/>
                <w:szCs w:val="21"/>
                <w:highlight w:val="none"/>
              </w:rPr>
            </w:pPr>
            <w:bookmarkStart w:id="461" w:name="_Toc8961"/>
            <w:bookmarkStart w:id="462" w:name="_Toc12127"/>
            <w:bookmarkStart w:id="463" w:name="_Toc25732"/>
            <w:bookmarkStart w:id="464" w:name="_Toc30706"/>
            <w:bookmarkStart w:id="465" w:name="_Toc2880"/>
            <w:bookmarkStart w:id="466" w:name="_Toc15052"/>
            <w:bookmarkStart w:id="467" w:name="_Toc19474"/>
            <w:bookmarkStart w:id="468" w:name="_Toc2603"/>
            <w:r>
              <w:rPr>
                <w:rFonts w:hint="eastAsia" w:ascii="宋体" w:hAnsi="宋体" w:eastAsia="宋体" w:cs="仿宋"/>
                <w:color w:val="auto"/>
                <w:szCs w:val="21"/>
                <w:highlight w:val="none"/>
              </w:rPr>
              <w:t>发包人：（公章）</w:t>
            </w:r>
          </w:p>
          <w:p>
            <w:pPr>
              <w:widowControl/>
              <w:adjustRightInd w:val="0"/>
              <w:snapToGrid w:val="0"/>
              <w:spacing w:after="50" w:line="360" w:lineRule="auto"/>
              <w:jc w:val="left"/>
              <w:rPr>
                <w:rFonts w:ascii="宋体" w:hAnsi="宋体" w:eastAsia="宋体" w:cs="仿宋"/>
                <w:color w:val="auto"/>
                <w:szCs w:val="21"/>
                <w:highlight w:val="none"/>
              </w:rPr>
            </w:pPr>
          </w:p>
        </w:tc>
        <w:tc>
          <w:tcPr>
            <w:tcW w:w="4850" w:type="dxa"/>
          </w:tcPr>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承包人：（公章）</w:t>
            </w:r>
          </w:p>
          <w:p>
            <w:pPr>
              <w:widowControl/>
              <w:adjustRightInd w:val="0"/>
              <w:snapToGrid w:val="0"/>
              <w:spacing w:after="50" w:line="360" w:lineRule="auto"/>
              <w:jc w:val="left"/>
              <w:rPr>
                <w:rFonts w:ascii="宋体" w:hAnsi="宋体" w:eastAsia="宋体" w:cs="仿宋"/>
                <w:color w:val="auto"/>
                <w:szCs w:val="21"/>
                <w:highlight w:val="none"/>
              </w:rPr>
            </w:pPr>
          </w:p>
        </w:tc>
      </w:tr>
      <w:tr>
        <w:tblPrEx>
          <w:tblCellMar>
            <w:top w:w="0" w:type="dxa"/>
            <w:left w:w="108" w:type="dxa"/>
            <w:bottom w:w="0" w:type="dxa"/>
            <w:right w:w="108" w:type="dxa"/>
          </w:tblCellMar>
        </w:tblPrEx>
        <w:trPr>
          <w:trHeight w:val="567" w:hRule="atLeast"/>
          <w:jc w:val="center"/>
        </w:trPr>
        <w:tc>
          <w:tcPr>
            <w:tcW w:w="4788" w:type="dxa"/>
          </w:tcPr>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法定代表人或其委托代理人：（签字）</w:t>
            </w:r>
          </w:p>
          <w:p>
            <w:pPr>
              <w:widowControl/>
              <w:adjustRightInd w:val="0"/>
              <w:snapToGrid w:val="0"/>
              <w:spacing w:after="50" w:line="360" w:lineRule="auto"/>
              <w:jc w:val="left"/>
              <w:rPr>
                <w:rFonts w:ascii="宋体" w:hAnsi="宋体" w:eastAsia="宋体" w:cs="仿宋"/>
                <w:color w:val="auto"/>
                <w:szCs w:val="21"/>
                <w:highlight w:val="none"/>
              </w:rPr>
            </w:pP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经办人：（签字）</w:t>
            </w:r>
          </w:p>
        </w:tc>
        <w:tc>
          <w:tcPr>
            <w:tcW w:w="4850" w:type="dxa"/>
          </w:tcPr>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法定代表人或其委托代理人：（签字）</w:t>
            </w:r>
          </w:p>
          <w:p>
            <w:pPr>
              <w:widowControl/>
              <w:adjustRightInd w:val="0"/>
              <w:snapToGrid w:val="0"/>
              <w:spacing w:after="50" w:line="360" w:lineRule="auto"/>
              <w:jc w:val="left"/>
              <w:rPr>
                <w:rFonts w:ascii="宋体" w:hAnsi="宋体" w:eastAsia="宋体" w:cs="仿宋"/>
                <w:color w:val="auto"/>
                <w:szCs w:val="21"/>
                <w:highlight w:val="none"/>
              </w:rPr>
            </w:pP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经办人：（签字）</w:t>
            </w:r>
          </w:p>
        </w:tc>
      </w:tr>
      <w:tr>
        <w:tblPrEx>
          <w:tblCellMar>
            <w:top w:w="0" w:type="dxa"/>
            <w:left w:w="108" w:type="dxa"/>
            <w:bottom w:w="0" w:type="dxa"/>
            <w:right w:w="108" w:type="dxa"/>
          </w:tblCellMar>
        </w:tblPrEx>
        <w:trPr>
          <w:trHeight w:val="567" w:hRule="atLeast"/>
          <w:jc w:val="center"/>
        </w:trPr>
        <w:tc>
          <w:tcPr>
            <w:tcW w:w="4788" w:type="dxa"/>
          </w:tcPr>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统一社会信用代码：</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地址：</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邮政编码：</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法定代表人：</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委托代理人：</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电话：</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传真： </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电子信箱：</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开户银行：</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账号：</w:t>
            </w:r>
            <w:r>
              <w:rPr>
                <w:rFonts w:hint="eastAsia" w:ascii="宋体" w:hAnsi="宋体" w:eastAsia="宋体" w:cs="仿宋"/>
                <w:color w:val="auto"/>
                <w:kern w:val="0"/>
                <w:szCs w:val="21"/>
                <w:highlight w:val="none"/>
                <w:u w:val="single"/>
              </w:rPr>
              <w:t xml:space="preserve">                       </w:t>
            </w:r>
          </w:p>
        </w:tc>
        <w:tc>
          <w:tcPr>
            <w:tcW w:w="4850" w:type="dxa"/>
          </w:tcPr>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统一社会信用代码：</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地址：</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邮政编码：</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法定代表人：</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委托代理人：</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电话：</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传真：</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电子信箱：</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开户银行：</w:t>
            </w:r>
            <w:r>
              <w:rPr>
                <w:rFonts w:hint="eastAsia" w:ascii="宋体" w:hAnsi="宋体" w:eastAsia="宋体" w:cs="仿宋"/>
                <w:color w:val="auto"/>
                <w:kern w:val="0"/>
                <w:szCs w:val="21"/>
                <w:highlight w:val="none"/>
                <w:u w:val="single"/>
              </w:rPr>
              <w:t xml:space="preserve">                   </w:t>
            </w:r>
          </w:p>
          <w:p>
            <w:pPr>
              <w:widowControl/>
              <w:adjustRightInd w:val="0"/>
              <w:snapToGrid w:val="0"/>
              <w:spacing w:after="50" w:line="360" w:lineRule="auto"/>
              <w:jc w:val="left"/>
              <w:rPr>
                <w:rFonts w:ascii="宋体" w:hAnsi="宋体" w:eastAsia="宋体" w:cs="仿宋"/>
                <w:color w:val="auto"/>
                <w:szCs w:val="21"/>
                <w:highlight w:val="none"/>
              </w:rPr>
            </w:pPr>
            <w:r>
              <w:rPr>
                <w:rFonts w:hint="eastAsia" w:ascii="宋体" w:hAnsi="宋体" w:eastAsia="宋体" w:cs="仿宋"/>
                <w:color w:val="auto"/>
                <w:szCs w:val="21"/>
                <w:highlight w:val="none"/>
              </w:rPr>
              <w:t>账号：</w:t>
            </w:r>
            <w:r>
              <w:rPr>
                <w:rFonts w:hint="eastAsia" w:ascii="宋体" w:hAnsi="宋体" w:eastAsia="宋体" w:cs="仿宋"/>
                <w:color w:val="auto"/>
                <w:szCs w:val="21"/>
                <w:highlight w:val="none"/>
                <w:u w:val="single"/>
              </w:rPr>
              <w:t xml:space="preserve">                       </w:t>
            </w:r>
          </w:p>
        </w:tc>
      </w:tr>
    </w:tbl>
    <w:p>
      <w:pP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br w:type="page"/>
      </w:r>
    </w:p>
    <w:p>
      <w:pPr>
        <w:keepNext/>
        <w:keepLines/>
        <w:numPr>
          <w:ilvl w:val="0"/>
          <w:numId w:val="12"/>
        </w:numPr>
        <w:spacing w:line="400" w:lineRule="exact"/>
        <w:jc w:val="center"/>
        <w:outlineLvl w:val="1"/>
        <w:rPr>
          <w:rFonts w:ascii="宋体" w:hAnsi="宋体" w:eastAsia="宋体" w:cs="仿宋"/>
          <w:b/>
          <w:bCs/>
          <w:color w:val="auto"/>
          <w:sz w:val="36"/>
          <w:szCs w:val="36"/>
          <w:highlight w:val="none"/>
        </w:rPr>
      </w:pPr>
      <w:bookmarkStart w:id="469" w:name="_Toc216681895"/>
      <w:r>
        <w:rPr>
          <w:rFonts w:hint="eastAsia" w:ascii="宋体" w:hAnsi="宋体" w:eastAsia="宋体" w:cs="仿宋"/>
          <w:b/>
          <w:bCs/>
          <w:color w:val="auto"/>
          <w:sz w:val="36"/>
          <w:szCs w:val="36"/>
          <w:highlight w:val="none"/>
        </w:rPr>
        <w:t>通用</w:t>
      </w:r>
      <w:bookmarkEnd w:id="461"/>
      <w:bookmarkEnd w:id="462"/>
      <w:bookmarkEnd w:id="463"/>
      <w:bookmarkEnd w:id="464"/>
      <w:r>
        <w:rPr>
          <w:rFonts w:hint="eastAsia" w:ascii="宋体" w:hAnsi="宋体" w:eastAsia="宋体" w:cs="仿宋"/>
          <w:b/>
          <w:bCs/>
          <w:color w:val="auto"/>
          <w:sz w:val="36"/>
          <w:szCs w:val="36"/>
          <w:highlight w:val="none"/>
        </w:rPr>
        <w:t>合同条件</w:t>
      </w:r>
      <w:bookmarkEnd w:id="469"/>
    </w:p>
    <w:p>
      <w:pPr>
        <w:tabs>
          <w:tab w:val="left" w:pos="993"/>
        </w:tabs>
        <w:autoSpaceDE w:val="0"/>
        <w:autoSpaceDN w:val="0"/>
        <w:adjustRightInd w:val="0"/>
        <w:snapToGrid w:val="0"/>
        <w:spacing w:line="360" w:lineRule="auto"/>
        <w:outlineLvl w:val="2"/>
        <w:rPr>
          <w:rFonts w:ascii="宋体" w:hAnsi="宋体" w:eastAsia="宋体" w:cs="仿宋"/>
          <w:bCs/>
          <w:color w:val="auto"/>
          <w:kern w:val="0"/>
          <w:sz w:val="24"/>
          <w:szCs w:val="24"/>
          <w:highlight w:val="none"/>
        </w:rPr>
      </w:pPr>
      <w:bookmarkStart w:id="470" w:name="_Toc114990559"/>
      <w:bookmarkStart w:id="471" w:name="_Toc29604"/>
      <w:bookmarkStart w:id="472" w:name="_Toc10524"/>
      <w:bookmarkStart w:id="473" w:name="_Toc54862177"/>
      <w:bookmarkStart w:id="474" w:name="_Ref508893699"/>
      <w:bookmarkStart w:id="475" w:name="_Toc9234"/>
      <w:bookmarkStart w:id="476" w:name="_Ref509040826"/>
      <w:bookmarkStart w:id="477" w:name="_Ref509040831"/>
    </w:p>
    <w:p>
      <w:pPr>
        <w:tabs>
          <w:tab w:val="left" w:pos="993"/>
        </w:tabs>
        <w:autoSpaceDE w:val="0"/>
        <w:autoSpaceDN w:val="0"/>
        <w:adjustRightInd w:val="0"/>
        <w:snapToGrid w:val="0"/>
        <w:spacing w:line="360" w:lineRule="auto"/>
        <w:outlineLvl w:val="2"/>
        <w:rPr>
          <w:rFonts w:ascii="宋体" w:hAnsi="宋体" w:eastAsia="宋体" w:cs="仿宋"/>
          <w:bCs/>
          <w:color w:val="auto"/>
          <w:kern w:val="0"/>
          <w:szCs w:val="21"/>
          <w:highlight w:val="none"/>
        </w:rPr>
      </w:pPr>
      <w:bookmarkStart w:id="478" w:name="_Toc216681896"/>
      <w:r>
        <w:rPr>
          <w:rFonts w:hint="eastAsia" w:ascii="宋体" w:hAnsi="宋体" w:eastAsia="宋体" w:cs="仿宋"/>
          <w:bCs/>
          <w:color w:val="auto"/>
          <w:kern w:val="0"/>
          <w:szCs w:val="21"/>
          <w:highlight w:val="none"/>
        </w:rPr>
        <w:t>第1条 一般约定</w:t>
      </w:r>
      <w:bookmarkEnd w:id="470"/>
      <w:bookmarkEnd w:id="471"/>
      <w:bookmarkEnd w:id="472"/>
      <w:bookmarkEnd w:id="473"/>
      <w:bookmarkEnd w:id="474"/>
      <w:bookmarkEnd w:id="475"/>
      <w:bookmarkEnd w:id="478"/>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479" w:name="_Toc54862178"/>
      <w:bookmarkStart w:id="480" w:name="_Toc24135"/>
      <w:bookmarkStart w:id="481" w:name="_Ref523741474"/>
      <w:bookmarkStart w:id="482" w:name="_Ref523741471"/>
      <w:bookmarkStart w:id="483" w:name="_Toc114990560"/>
      <w:r>
        <w:rPr>
          <w:rFonts w:hint="eastAsia" w:ascii="宋体" w:hAnsi="宋体" w:eastAsia="宋体" w:cs="仿宋"/>
          <w:bCs/>
          <w:color w:val="auto"/>
          <w:szCs w:val="21"/>
          <w:highlight w:val="none"/>
        </w:rPr>
        <w:t>1.1 词语定义和解释</w:t>
      </w:r>
      <w:bookmarkEnd w:id="476"/>
      <w:bookmarkEnd w:id="477"/>
      <w:bookmarkEnd w:id="479"/>
      <w:bookmarkEnd w:id="480"/>
      <w:bookmarkEnd w:id="481"/>
      <w:bookmarkEnd w:id="482"/>
      <w:bookmarkEnd w:id="48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合同协议书、通用合同条件、专用合同条件中的下列词语应具有本款所赋予的含义：</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484" w:name="_Ref4757289"/>
      <w:bookmarkStart w:id="485" w:name="_Ref521288340"/>
      <w:r>
        <w:rPr>
          <w:rFonts w:hint="eastAsia" w:ascii="宋体" w:hAnsi="宋体" w:eastAsia="宋体" w:cs="仿宋"/>
          <w:color w:val="auto"/>
          <w:szCs w:val="21"/>
          <w:highlight w:val="none"/>
        </w:rPr>
        <w:t>1.1.1 合同</w:t>
      </w:r>
      <w:bookmarkEnd w:id="484"/>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1.1.1.2 合同协议书：是指构成合同的由发包人和承包人共同签署的称为“合同协议书”的书面文件。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1.1.1.3 中标通知书：是指构成合同的由发包人通知承包人中标的书面文件。中标通知书随附的澄清、说明、补正事项纪要等，是中标通知书的组成部分。</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1.1.1.4 投标函：是指构成合同的由承包人填写并签署的用于投标的称为“投标函”的文件。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1.1.1.5 投标函附录：是指构成合同的附在投标函后的称为“投标函附录”的文件。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1.1.1.6 《发包人要求》：指构成合同文件组成部分的名为《发包人要求》的文件，其中列明工程的目的、范围、设计与其他技术标准和要求，以及合同双方当事人约定对其所作的修改或补充。</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1.1.1.7 项目清单：是指发包人提供的载明工程总承包项目勘察费（如果有）、设计费、建筑安装工程费、设备购置费、暂估价、暂列金额和双方约定的其他费用的名称和相应数量等内容的项目明细。</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1.1.1.8 价格清单：指构成合同文件组成部分的由承包人按发包人提供的项目清单规定的格式和要求填写并标明价格的清单。</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1.1.1.9 承包人建议书：指构成合同文件组成部分的名为承包人建议书的文件。承包人建议书由承包人随投标函一起提交。</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86" w:name="_Ref4415300"/>
      <w:r>
        <w:rPr>
          <w:rFonts w:hint="eastAsia" w:ascii="宋体" w:hAnsi="宋体" w:eastAsia="宋体" w:cs="仿宋"/>
          <w:color w:val="auto"/>
          <w:szCs w:val="21"/>
          <w:highlight w:val="none"/>
        </w:rPr>
        <w:t>1.1.1.10 其他合同文件：是指经合同当事人约定的与工程实施有关的具有合同约束力的文件或书面协议。合同当事人可以在专用合同条件中进行约定。</w:t>
      </w:r>
      <w:bookmarkEnd w:id="48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487" w:name="_Ref4757418"/>
      <w:r>
        <w:rPr>
          <w:rFonts w:hint="eastAsia" w:ascii="宋体" w:hAnsi="宋体" w:eastAsia="宋体" w:cs="仿宋"/>
          <w:color w:val="auto"/>
          <w:szCs w:val="21"/>
          <w:highlight w:val="none"/>
        </w:rPr>
        <w:t>1.1.2 合同当事人及其他相关方</w:t>
      </w:r>
      <w:bookmarkEnd w:id="487"/>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1.1.2.1 合同当事人：是指发包人和（或）承包人。</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1.1.2.2 发包人：是指与承包人订立合同协议书的当事人及取得该当事人资格的合法继受人。本合同中“因发包人原因”里的“发包人”包括发包人及所有发包人人员。</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1.1.2.3 承包人：是指与发包人订立合同协议书的当事人及取得该当事人资格的合法继受人。</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1.1.2.4 联合体：是指经发包人同意由两个或两个以上法人或者其他组织组成的，作为承包人的临时机构。</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88" w:name="_Ref4420046"/>
      <w:r>
        <w:rPr>
          <w:rFonts w:hint="eastAsia" w:ascii="宋体" w:hAnsi="宋体" w:eastAsia="宋体" w:cs="仿宋"/>
          <w:color w:val="auto"/>
          <w:szCs w:val="21"/>
          <w:highlight w:val="none"/>
        </w:rPr>
        <w:t>1.1.2.5 发包人代表：是指由发包人任命并派驻工作现场，在发包人授权范围内行使发包人权利和履行发包人义务的人。</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89" w:name="_Ref4756982"/>
      <w:r>
        <w:rPr>
          <w:rFonts w:hint="eastAsia" w:ascii="宋体" w:hAnsi="宋体" w:eastAsia="宋体" w:cs="仿宋"/>
          <w:color w:val="auto"/>
          <w:szCs w:val="21"/>
          <w:highlight w:val="none"/>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488"/>
      <w:bookmarkEnd w:id="489"/>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1.1.2.7 工程总承包项目经理：是指由承包人任命的，在承包人授权范围内负责合同履行的管理，且按照法律规定具有相应资格的项目负责人。</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1.1.2.8 设计负责人：是指承包人指定负责组织、指导、协调设计工作并具有相应资格的人员。</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1.1.2.9 采购负责人：是指承包人指定负责组织、指导、协调采购工作的人员。</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1.1.2.10 施工负责人：是指承包人指定负责组织、指导、协调施工工作并具有相应资格的人员。</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1.1.2.11 分包人：是指按照法律规定和合同约定，分包部分工程或工作，并与承包人订立分包合同的具有相应资质或资格的法人或其他组织。</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490" w:name="_Ref4758319"/>
      <w:r>
        <w:rPr>
          <w:rFonts w:hint="eastAsia" w:ascii="宋体" w:hAnsi="宋体" w:eastAsia="宋体" w:cs="仿宋"/>
          <w:color w:val="auto"/>
          <w:szCs w:val="21"/>
          <w:highlight w:val="none"/>
        </w:rPr>
        <w:t>1.1.3 工程和设备</w:t>
      </w:r>
      <w:bookmarkEnd w:id="490"/>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1.1.3.1 工程：是指与合同协议书中工程承包范围对应的永久工程和（或）临时工程。</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1.1.3.2 工程实施：是指进行工程的设计、采购、施工和竣工以及对工程任何缺陷的修复。</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1.1.3.3 永久工程：是指按合同约定建造并移交给发包人的工程，包括工程设备。</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1.1.3.4 临时工程：是指为完成合同约定的永久工程所修建的各类临时性工程，不包括施工设备。</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91" w:name="_Ref4419825"/>
      <w:r>
        <w:rPr>
          <w:rFonts w:hint="eastAsia" w:ascii="宋体" w:hAnsi="宋体" w:eastAsia="宋体" w:cs="仿宋"/>
          <w:color w:val="auto"/>
          <w:szCs w:val="21"/>
          <w:highlight w:val="none"/>
        </w:rPr>
        <w:t>1.1.3.5 单位/区段工程：是指在专用合同条件中指明特定范围的，能单独接收并使用的永久工程。</w:t>
      </w:r>
      <w:bookmarkEnd w:id="491"/>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1.1.3.6 工程设备：指构成永久工程的机电设备、仪器装置、运载工具及其他类似的设备和装置，包括其配件及备品、备件、易损易耗件等。</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1.1.3.7 施工设备：指为完成合同约定的各项工作所需的设备、器具和其他物品，不包括工程设备、临时工程和材料。</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1.1.3.8 临时设施：指为完成合同约定的各项工作所服务的临时性生产和生活设施。</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92" w:name="_Ref4420577"/>
      <w:r>
        <w:rPr>
          <w:rFonts w:hint="eastAsia" w:ascii="宋体" w:hAnsi="宋体" w:eastAsia="宋体" w:cs="仿宋"/>
          <w:color w:val="auto"/>
          <w:szCs w:val="21"/>
          <w:highlight w:val="none"/>
        </w:rPr>
        <w:t>1.1.3.9 施工现场：是指用于工程施工的场所，以及在专用合同条件中指明作为施工场所组成部分的其他场所，包括永久占地和临时占地。</w:t>
      </w:r>
      <w:bookmarkEnd w:id="492"/>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93" w:name="_Ref4420746"/>
      <w:r>
        <w:rPr>
          <w:rFonts w:hint="eastAsia" w:ascii="宋体" w:hAnsi="宋体" w:eastAsia="宋体" w:cs="仿宋"/>
          <w:color w:val="auto"/>
          <w:szCs w:val="21"/>
          <w:highlight w:val="none"/>
        </w:rPr>
        <w:t>1.1.3.10 永久占地：是指专用合同条件中指明为实施工程需永久占用的土地。</w:t>
      </w:r>
      <w:bookmarkEnd w:id="493"/>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494" w:name="_Ref4420821"/>
      <w:r>
        <w:rPr>
          <w:rFonts w:hint="eastAsia" w:ascii="宋体" w:hAnsi="宋体" w:eastAsia="宋体" w:cs="仿宋"/>
          <w:color w:val="auto"/>
          <w:szCs w:val="21"/>
          <w:highlight w:val="none"/>
        </w:rPr>
        <w:t>1.1.3.11 临时占地：是指专用合同条件中指明为实施工程需临时占用的土地。</w:t>
      </w:r>
      <w:bookmarkEnd w:id="49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1.1.4 日期和期限</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1.1.4.1 开始工作通知：指工程师按第8.1.2项[开始工作通知]的约定通知承包人开始工作的函件。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1.1.4.4 竣工日期：包括计划竣工日期和实际竣工日期。计划竣工日期是指合同协议书约定的竣工日期；实际竣工日期按照第8.2款[竣工日期]的约定确定。</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1.1.4.5 工期：是指在合同协议书约定的承包人完成合同工作所需的期限，包括按照合同约定所作的期限变更及按合同约定承包人有权取得的工期延长。</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1.1.4.6 缺陷责任期：是指发包人预留工程质量保证金以保证承包人履行第11.3款[缺陷调查]下质量缺陷责任的期限。</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1.1.4.7 保修期：是指承包人按照合同约定和法律规定对工程质量承担保修责任的期限，该期限自缺陷责任期起算之日起计算。</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1.1.4.8 基准日期：招标发包的工程以投标截止日前28天的日期为基准日期，直接发包的工程以合同订立日前28天的日期为基准日期。</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1.1.4.9 天：除特别指明外，均指日历天。合同中按天计算时间的，开始当天不计入，从次日开始计算。期限最后一天的截止时间为当天24:00。</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1.1.4.10 竣工试验：是指在工程竣工验收前，根据第9条[竣工试验]要求进行的试验。</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1.1.4.11 竣工验收：是指承包人完成了合同约定的各项内容后，发包人按合同要求进行的验收。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1.1.4.12 竣工后试验：是指在工程竣工验收后，根据第12条[竣工后试验]约定进行的试验。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1.1.5 合同价格和费用</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1.1.5.1 签约合同价：是指发包人和承包人在合同协议书中确定的总金额，包括暂估价及暂列金额等。</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1.1.5.2 合同价格：是指发包人用于支付承包人按照合同约定完成承包范围内全部工作的金额，包括合同履行过程中按合同约定发生的价格变化。</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1.1.5.3 费用：是指为履行合同所发生的或将要发生的所有合理开支，包括管理费和应分摊的其他费用，但不包括利润。</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1.1.5.4 人工费：是指支付给直接从事建筑安装工程施工作业的建筑工人的各项费用。</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1.1.5.5 暂估价：</w:t>
      </w:r>
      <w:bookmarkStart w:id="495" w:name="_Hlk18973781"/>
      <w:r>
        <w:rPr>
          <w:rFonts w:hint="eastAsia" w:ascii="宋体" w:hAnsi="宋体" w:eastAsia="宋体" w:cs="仿宋"/>
          <w:color w:val="auto"/>
          <w:szCs w:val="21"/>
          <w:highlight w:val="none"/>
        </w:rPr>
        <w:t>是指发包人在项目清单中给定的，用于支付必然发生但暂时不能确定价格的专业服务、材料、设备、专业工程的金额。</w:t>
      </w:r>
      <w:bookmarkEnd w:id="495"/>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1.1.5.6 暂列金额：是指发包人在项目清单中给定的，用于在订立协议书时尚未确定或不可预见变更的设计、施工及其所需材料、工程设备、服务等的金额，包括以计日工方式支付的金额。</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1.1.5.7 计日工：是指合同履行过程中，承包人完成发包人提出的零星工作或需要采用计日工计价的变更工作时，按合同中约定的单价计价的一种方式。</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1.1.5.8 质量保证金：是指按第14.6款[质量保证金]约定承包人用于保证其在缺陷责任期内履行缺陷修复义务的担保。</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1.1.6 其他</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1.1.6.1 书面形式：指合同文件、信函、电报、传真、数据电文、电子邮件、会议纪要等可以有形地表现所载内容的形式。</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1.1.6.2 承包人文件：指由承包人根据合同约定应提交的所有图纸、手册、模型、计算书、软件、函件、洽商性文件和其他技术性文件。</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1.1.6.3 变更：指根据第13条[变更与调整]的约定，经指示或批准对《发包人要求》或工程所做的改变。</w:t>
      </w:r>
    </w:p>
    <w:bookmarkEnd w:id="485"/>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496" w:name="_Ref509042101"/>
      <w:bookmarkStart w:id="497" w:name="_Toc54862179"/>
      <w:bookmarkStart w:id="498" w:name="_Ref509042104"/>
      <w:bookmarkStart w:id="499" w:name="_Toc11636"/>
      <w:bookmarkStart w:id="500" w:name="_Toc114990561"/>
      <w:bookmarkStart w:id="501" w:name="_Ref522730353"/>
      <w:bookmarkStart w:id="502" w:name="_Ref522730349"/>
      <w:r>
        <w:rPr>
          <w:rFonts w:hint="eastAsia" w:ascii="宋体" w:hAnsi="宋体" w:eastAsia="宋体" w:cs="仿宋"/>
          <w:bCs/>
          <w:color w:val="auto"/>
          <w:szCs w:val="21"/>
          <w:highlight w:val="none"/>
        </w:rPr>
        <w:t>1.2 语言文字</w:t>
      </w:r>
      <w:bookmarkEnd w:id="496"/>
      <w:bookmarkEnd w:id="497"/>
      <w:bookmarkEnd w:id="498"/>
      <w:bookmarkEnd w:id="499"/>
      <w:bookmarkEnd w:id="50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合同文件以中国的汉语简体语言文字编写、解释和说明。专用术语使用外文的，应附有中文注释。合同当事人在专用合同条件约定使用两种及以上语言时，汉语为优先解释和说明合同的语言。</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与合同有关的联络应使用专用合同条件约定的语言。如没有约定，则应使用中国的汉语简体语言文字。</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03" w:name="_Toc114990562"/>
      <w:bookmarkStart w:id="504" w:name="_Ref531949543"/>
      <w:bookmarkStart w:id="505" w:name="_Ref531949539"/>
      <w:bookmarkStart w:id="506" w:name="_Toc10588"/>
      <w:bookmarkStart w:id="507" w:name="_Toc54862180"/>
      <w:r>
        <w:rPr>
          <w:rFonts w:hint="eastAsia" w:ascii="宋体" w:hAnsi="宋体" w:eastAsia="宋体" w:cs="仿宋"/>
          <w:bCs/>
          <w:color w:val="auto"/>
          <w:szCs w:val="21"/>
          <w:highlight w:val="none"/>
        </w:rPr>
        <w:t>1.3 法律</w:t>
      </w:r>
      <w:bookmarkEnd w:id="503"/>
      <w:bookmarkEnd w:id="504"/>
      <w:bookmarkEnd w:id="505"/>
      <w:bookmarkEnd w:id="506"/>
      <w:bookmarkEnd w:id="50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合同所称法律是指中华人民共和国法律、行政法规、部门规章，以及工程所在地的地方法规、自治条例、单行条例和地方政府规章等。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合同当事人可以在专用合同条件中约定合同适用的其他规范性文件。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08" w:name="_Toc114990563"/>
      <w:bookmarkStart w:id="509" w:name="_Ref531949594"/>
      <w:bookmarkStart w:id="510" w:name="_Toc54862181"/>
      <w:bookmarkStart w:id="511" w:name="_Toc30025"/>
      <w:bookmarkStart w:id="512" w:name="_Ref531949589"/>
      <w:r>
        <w:rPr>
          <w:rFonts w:hint="eastAsia" w:ascii="宋体" w:hAnsi="宋体" w:eastAsia="宋体" w:cs="仿宋"/>
          <w:bCs/>
          <w:color w:val="auto"/>
          <w:szCs w:val="21"/>
          <w:highlight w:val="none"/>
        </w:rPr>
        <w:t>1.4 标准和规范</w:t>
      </w:r>
      <w:bookmarkEnd w:id="508"/>
      <w:bookmarkEnd w:id="509"/>
      <w:bookmarkEnd w:id="510"/>
      <w:bookmarkEnd w:id="511"/>
      <w:bookmarkEnd w:id="51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13" w:name="_Ref4420991"/>
      <w:r>
        <w:rPr>
          <w:rFonts w:hint="eastAsia" w:ascii="宋体" w:hAnsi="宋体" w:eastAsia="宋体" w:cs="仿宋"/>
          <w:color w:val="auto"/>
          <w:szCs w:val="21"/>
          <w:highlight w:val="none"/>
        </w:rPr>
        <w:t>1.4.1 适用于工程的国家标准、行业标准、工程所在地的地方性标准，以及相应的规范、规程等，合同当事人有特别要求的，应在专用合同条件中约定。</w:t>
      </w:r>
      <w:bookmarkEnd w:id="51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14" w:name="_Ref531949642"/>
      <w:r>
        <w:rPr>
          <w:rFonts w:hint="eastAsia" w:ascii="宋体" w:hAnsi="宋体" w:eastAsia="宋体" w:cs="仿宋"/>
          <w:color w:val="auto"/>
          <w:szCs w:val="21"/>
          <w:highlight w:val="none"/>
        </w:rPr>
        <w:t>1.4.2 发包人要求使用国外标准、规范的，发包人负责提供原文版本和中文译本，并在专用合同条件中约定提供标准规范的名称、份数和时间。</w:t>
      </w:r>
      <w:bookmarkEnd w:id="51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15" w:name="_Ref531949657"/>
      <w:r>
        <w:rPr>
          <w:rFonts w:hint="eastAsia" w:ascii="宋体" w:hAnsi="宋体" w:eastAsia="宋体" w:cs="仿宋"/>
          <w:color w:val="auto"/>
          <w:szCs w:val="21"/>
          <w:highlight w:val="none"/>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515"/>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16" w:name="_Ref4421272"/>
      <w:r>
        <w:rPr>
          <w:rFonts w:hint="eastAsia" w:ascii="宋体" w:hAnsi="宋体" w:eastAsia="宋体" w:cs="仿宋"/>
          <w:color w:val="auto"/>
          <w:szCs w:val="21"/>
          <w:highlight w:val="none"/>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516"/>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17" w:name="_Toc114990564"/>
      <w:bookmarkStart w:id="518" w:name="_Toc54862182"/>
      <w:bookmarkStart w:id="519" w:name="_Toc7875"/>
      <w:bookmarkStart w:id="520" w:name="_Ref4421717"/>
      <w:r>
        <w:rPr>
          <w:rFonts w:hint="eastAsia" w:ascii="宋体" w:hAnsi="宋体" w:eastAsia="宋体" w:cs="仿宋"/>
          <w:bCs/>
          <w:color w:val="auto"/>
          <w:szCs w:val="21"/>
          <w:highlight w:val="none"/>
        </w:rPr>
        <w:t>1.5 合同文件的优先顺序</w:t>
      </w:r>
      <w:bookmarkEnd w:id="501"/>
      <w:bookmarkEnd w:id="502"/>
      <w:bookmarkEnd w:id="517"/>
      <w:bookmarkEnd w:id="518"/>
      <w:bookmarkEnd w:id="519"/>
      <w:bookmarkEnd w:id="520"/>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521" w:name="_Ref531948776"/>
      <w:r>
        <w:rPr>
          <w:rFonts w:hint="eastAsia" w:ascii="宋体" w:hAnsi="宋体" w:eastAsia="宋体" w:cs="仿宋"/>
          <w:color w:val="auto"/>
          <w:szCs w:val="21"/>
          <w:highlight w:val="none"/>
        </w:rPr>
        <w:t>组成合同的各项文件应互相解释，互为说明。除专用合同条件另有约定外，</w:t>
      </w:r>
      <w:bookmarkEnd w:id="521"/>
      <w:r>
        <w:rPr>
          <w:rFonts w:hint="eastAsia" w:ascii="宋体" w:hAnsi="宋体" w:eastAsia="宋体" w:cs="仿宋"/>
          <w:color w:val="auto"/>
          <w:szCs w:val="21"/>
          <w:highlight w:val="none"/>
        </w:rPr>
        <w:t>解释合同文件的优先顺序如下：</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合同协议书；</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中标通知书（如果有）；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投标函及投标函附录（如果有）；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专用合同条件及《发包人要求》等附件；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通用合同条件；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（6） 承包人建议书；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价格清单（如果有）；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 双方约定的其他合同文件。</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522" w:name="_Hlk18951547"/>
      <w:r>
        <w:rPr>
          <w:rFonts w:hint="eastAsia" w:ascii="宋体" w:hAnsi="宋体" w:eastAsia="宋体" w:cs="仿宋"/>
          <w:color w:val="auto"/>
          <w:szCs w:val="21"/>
          <w:highlight w:val="none"/>
        </w:rPr>
        <w:t>上述各项合同文件包括合同当事人就该项合同文件所作出的补充和修改，属于同一类内容的文件，应以最新签署的为准</w:t>
      </w:r>
      <w:bookmarkEnd w:id="522"/>
      <w:r>
        <w:rPr>
          <w:rFonts w:hint="eastAsia" w:ascii="宋体" w:hAnsi="宋体" w:eastAsia="宋体" w:cs="仿宋"/>
          <w:color w:val="auto"/>
          <w:szCs w:val="21"/>
          <w:highlight w:val="none"/>
        </w:rPr>
        <w:t>。</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在合同订立及履行过程中形成的与合同有关的文件均构成合同文件组成部分，并根据其性质确定优先解释顺序。</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23" w:name="_Ref4422060"/>
      <w:bookmarkStart w:id="524" w:name="_Toc114990565"/>
      <w:bookmarkStart w:id="525" w:name="_Toc22021"/>
      <w:bookmarkStart w:id="526" w:name="_Toc54862183"/>
      <w:bookmarkStart w:id="527" w:name="_Ref11917818"/>
      <w:bookmarkStart w:id="528" w:name="_Ref531949803"/>
      <w:bookmarkStart w:id="529" w:name="_Ref531949822"/>
      <w:bookmarkStart w:id="530" w:name="_Ref531949807"/>
      <w:r>
        <w:rPr>
          <w:rFonts w:hint="eastAsia" w:ascii="宋体" w:hAnsi="宋体" w:eastAsia="宋体" w:cs="仿宋"/>
          <w:bCs/>
          <w:color w:val="auto"/>
          <w:szCs w:val="21"/>
          <w:highlight w:val="none"/>
        </w:rPr>
        <w:t>1.6 文件的提供和</w:t>
      </w:r>
      <w:bookmarkEnd w:id="523"/>
      <w:r>
        <w:rPr>
          <w:rFonts w:hint="eastAsia" w:ascii="宋体" w:hAnsi="宋体" w:eastAsia="宋体" w:cs="仿宋"/>
          <w:bCs/>
          <w:color w:val="auto"/>
          <w:szCs w:val="21"/>
          <w:highlight w:val="none"/>
        </w:rPr>
        <w:t>照管</w:t>
      </w:r>
      <w:bookmarkEnd w:id="524"/>
      <w:bookmarkEnd w:id="525"/>
      <w:bookmarkEnd w:id="526"/>
      <w:bookmarkEnd w:id="527"/>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31" w:name="_Ref4421991"/>
      <w:r>
        <w:rPr>
          <w:rFonts w:hint="eastAsia" w:ascii="宋体" w:hAnsi="宋体" w:eastAsia="宋体" w:cs="仿宋"/>
          <w:color w:val="auto"/>
          <w:szCs w:val="21"/>
          <w:highlight w:val="none"/>
        </w:rPr>
        <w:t>1.6.1 发包人文件的提供</w:t>
      </w:r>
      <w:bookmarkEnd w:id="531"/>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32" w:name="_Ref4422317"/>
      <w:r>
        <w:rPr>
          <w:rFonts w:hint="eastAsia" w:ascii="宋体" w:hAnsi="宋体" w:eastAsia="宋体" w:cs="仿宋"/>
          <w:color w:val="auto"/>
          <w:szCs w:val="21"/>
          <w:highlight w:val="none"/>
        </w:rPr>
        <w:t>1.6.2 承包人文件的提供</w:t>
      </w:r>
      <w:bookmarkEnd w:id="53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除专用合同条件另有约定外，承包人文件应包含下列内容，并用第1.2款[语言文字]约定的语言制作：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《发包人要求》中规定的相关文件；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满足工程相关行政审批手续所必须的应由承包人负责的相关文件；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第5.4款[竣工文件]与第5.5款[操作和维修手册]中要求的相关文件。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1.6.3 文件错误的通知</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任何一方发现文件中存在明显的错误或疏忽，应及时通知另一方。</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33" w:name="_Ref4678410"/>
      <w:bookmarkStart w:id="534" w:name="_Ref11957673"/>
      <w:r>
        <w:rPr>
          <w:rFonts w:hint="eastAsia" w:ascii="宋体" w:hAnsi="宋体" w:eastAsia="宋体" w:cs="仿宋"/>
          <w:color w:val="auto"/>
          <w:szCs w:val="21"/>
          <w:highlight w:val="none"/>
        </w:rPr>
        <w:t>1.6.4 文件的</w:t>
      </w:r>
      <w:bookmarkEnd w:id="533"/>
      <w:r>
        <w:rPr>
          <w:rFonts w:hint="eastAsia" w:ascii="宋体" w:hAnsi="宋体" w:eastAsia="宋体" w:cs="仿宋"/>
          <w:color w:val="auto"/>
          <w:szCs w:val="21"/>
          <w:highlight w:val="none"/>
        </w:rPr>
        <w:t>照管</w:t>
      </w:r>
      <w:bookmarkEnd w:id="534"/>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35" w:name="_Toc54862184"/>
      <w:bookmarkStart w:id="536" w:name="_Toc114990566"/>
      <w:bookmarkStart w:id="537" w:name="_Ref4415170"/>
      <w:bookmarkStart w:id="538" w:name="_Toc17120"/>
      <w:r>
        <w:rPr>
          <w:rFonts w:hint="eastAsia" w:ascii="宋体" w:hAnsi="宋体" w:eastAsia="宋体" w:cs="仿宋"/>
          <w:bCs/>
          <w:color w:val="auto"/>
          <w:szCs w:val="21"/>
          <w:highlight w:val="none"/>
        </w:rPr>
        <w:t>1.7 联络</w:t>
      </w:r>
      <w:bookmarkEnd w:id="535"/>
      <w:bookmarkEnd w:id="536"/>
      <w:bookmarkEnd w:id="537"/>
      <w:bookmarkEnd w:id="53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39" w:name="_Ref531949897"/>
      <w:r>
        <w:rPr>
          <w:rFonts w:hint="eastAsia" w:ascii="宋体" w:hAnsi="宋体" w:eastAsia="宋体" w:cs="仿宋"/>
          <w:color w:val="auto"/>
          <w:szCs w:val="21"/>
          <w:highlight w:val="none"/>
        </w:rPr>
        <w:t>1.7.2 发包人和承包人应在专用合同条件中约定各自的送达方式和收件地址。任何一方合同当事人指定的送达方式或收件地址发生变动的，应提前3天以书面形式通知对方。</w:t>
      </w:r>
      <w:bookmarkEnd w:id="539"/>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1.7.3 发包人和承包人应当及时签收另一方通过约定的送达方式送达至收件地址的来往文件。拒不签收的，由此增加的费用和（或）延误的工期由拒绝接收一方承担。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40" w:name="_Toc54862185"/>
      <w:bookmarkStart w:id="541" w:name="_Toc31579"/>
      <w:bookmarkStart w:id="542" w:name="_Toc114990567"/>
      <w:r>
        <w:rPr>
          <w:rFonts w:hint="eastAsia" w:ascii="宋体" w:hAnsi="宋体" w:eastAsia="宋体" w:cs="仿宋"/>
          <w:bCs/>
          <w:color w:val="auto"/>
          <w:szCs w:val="21"/>
          <w:highlight w:val="none"/>
        </w:rPr>
        <w:t>1.8 严禁贿赂</w:t>
      </w:r>
      <w:bookmarkEnd w:id="528"/>
      <w:bookmarkEnd w:id="529"/>
      <w:bookmarkEnd w:id="530"/>
      <w:bookmarkEnd w:id="540"/>
      <w:bookmarkEnd w:id="541"/>
      <w:bookmarkEnd w:id="54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合同当事人不得以贿赂或变相贿赂的方式，谋取非法利益或损害对方权益。因一方合同当事人的贿赂造成对方损失的，应赔偿损失，并承担相应的法律责任。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承包人不得与工程师或发包人聘请的第三方串通损害发包人利益。未经发包人书面同意，承包人不得为工程师提供合同约定以外的通讯设备、交通工具及其他任何形式的利益，不得向工程师支付报酬。</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43" w:name="_Toc28659"/>
      <w:bookmarkStart w:id="544" w:name="_Toc54862186"/>
      <w:bookmarkStart w:id="545" w:name="_Toc114990568"/>
      <w:r>
        <w:rPr>
          <w:rFonts w:hint="eastAsia" w:ascii="宋体" w:hAnsi="宋体" w:eastAsia="宋体" w:cs="仿宋"/>
          <w:bCs/>
          <w:color w:val="auto"/>
          <w:szCs w:val="21"/>
          <w:highlight w:val="none"/>
        </w:rPr>
        <w:t>1.9 化石、文物</w:t>
      </w:r>
      <w:bookmarkEnd w:id="543"/>
      <w:bookmarkEnd w:id="544"/>
      <w:bookmarkEnd w:id="54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发包人、工程师和承包人应按有关政府行政管理部门要求采取妥善的保护措施，由此增加的费用和（或）延误的工期由发包人承担。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承包人发现文物后不及时报告或隐瞒不报，致使文物丢失或损坏的，应赔偿损失，并承担相应的法律责任。</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46" w:name="_Ref531949766"/>
      <w:bookmarkStart w:id="547" w:name="_Toc9856"/>
      <w:bookmarkStart w:id="548" w:name="_Toc54862187"/>
      <w:bookmarkStart w:id="549" w:name="_Ref4423426"/>
      <w:bookmarkStart w:id="550" w:name="_Toc114990569"/>
      <w:bookmarkStart w:id="551" w:name="_Ref531949770"/>
      <w:bookmarkStart w:id="552" w:name="_Ref531949841"/>
      <w:bookmarkStart w:id="553" w:name="_Ref531949826"/>
      <w:bookmarkStart w:id="554" w:name="_Ref531949855"/>
      <w:r>
        <w:rPr>
          <w:rFonts w:hint="eastAsia" w:ascii="宋体" w:hAnsi="宋体" w:eastAsia="宋体" w:cs="仿宋"/>
          <w:bCs/>
          <w:color w:val="auto"/>
          <w:szCs w:val="21"/>
          <w:highlight w:val="none"/>
        </w:rPr>
        <w:t>1.10 知识产权</w:t>
      </w:r>
      <w:bookmarkEnd w:id="546"/>
      <w:bookmarkEnd w:id="547"/>
      <w:bookmarkEnd w:id="548"/>
      <w:bookmarkEnd w:id="549"/>
      <w:bookmarkEnd w:id="550"/>
      <w:bookmarkEnd w:id="551"/>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55" w:name="_Ref4423563"/>
      <w:r>
        <w:rPr>
          <w:rFonts w:hint="eastAsia" w:ascii="宋体" w:hAnsi="宋体" w:eastAsia="宋体" w:cs="仿宋"/>
          <w:color w:val="auto"/>
          <w:szCs w:val="21"/>
          <w:highlight w:val="none"/>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555"/>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56" w:name="_Ref4423604"/>
      <w:r>
        <w:rPr>
          <w:rFonts w:hint="eastAsia" w:ascii="宋体" w:hAnsi="宋体" w:eastAsia="宋体" w:cs="仿宋"/>
          <w:color w:val="auto"/>
          <w:szCs w:val="21"/>
          <w:highlight w:val="none"/>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55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557" w:name="_Ref4423695"/>
      <w:r>
        <w:rPr>
          <w:rFonts w:hint="eastAsia" w:ascii="宋体" w:hAnsi="宋体" w:eastAsia="宋体" w:cs="仿宋"/>
          <w:color w:val="auto"/>
          <w:szCs w:val="21"/>
          <w:highlight w:val="none"/>
        </w:rPr>
        <w:t>1.10.4 除专用合同条件另有约定外，承包人在投标文件中采用的专利、专有技术、商业软件、技术秘密的使用费已包含在签约合同价中。</w:t>
      </w:r>
      <w:bookmarkEnd w:id="557"/>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58" w:name="_Ref4423873"/>
      <w:bookmarkStart w:id="559" w:name="_Ref4423898"/>
      <w:bookmarkStart w:id="560" w:name="_Toc14986"/>
      <w:bookmarkStart w:id="561" w:name="_Toc114990570"/>
      <w:bookmarkStart w:id="562" w:name="_Toc54862188"/>
      <w:r>
        <w:rPr>
          <w:rFonts w:hint="eastAsia" w:ascii="宋体" w:hAnsi="宋体" w:eastAsia="宋体" w:cs="仿宋"/>
          <w:bCs/>
          <w:color w:val="auto"/>
          <w:szCs w:val="21"/>
          <w:highlight w:val="none"/>
        </w:rPr>
        <w:t>1.11 保密</w:t>
      </w:r>
      <w:bookmarkEnd w:id="552"/>
      <w:bookmarkEnd w:id="553"/>
      <w:bookmarkEnd w:id="554"/>
      <w:bookmarkEnd w:id="558"/>
      <w:bookmarkEnd w:id="559"/>
      <w:bookmarkEnd w:id="560"/>
      <w:bookmarkEnd w:id="561"/>
      <w:bookmarkEnd w:id="56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合同当事人一方对在订立和履行合同过程中知悉的另一方的商业秘密、技术秘密，以及任何一方明确要求保密的其它信息，负有保密责任。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除法律规定或合同另有约定外，未经对方同意，任何一方当事人不得将对方提供的文件、技术秘密以及声明需要保密的资料信息等商业秘密泄露给第三方或者用于本合同以外的目的。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63" w:name="_Ref532336812"/>
      <w:bookmarkStart w:id="564" w:name="_Toc114990571"/>
      <w:bookmarkStart w:id="565" w:name="_Toc54862189"/>
      <w:bookmarkStart w:id="566" w:name="_Toc14667"/>
      <w:r>
        <w:rPr>
          <w:rFonts w:hint="eastAsia" w:ascii="宋体" w:hAnsi="宋体" w:eastAsia="宋体" w:cs="仿宋"/>
          <w:bCs/>
          <w:color w:val="auto"/>
          <w:szCs w:val="21"/>
          <w:highlight w:val="none"/>
        </w:rPr>
        <w:t xml:space="preserve">1.12 </w:t>
      </w:r>
      <w:bookmarkStart w:id="567" w:name="_Hlk55215423"/>
      <w:r>
        <w:rPr>
          <w:rFonts w:hint="eastAsia" w:ascii="宋体" w:hAnsi="宋体" w:eastAsia="宋体" w:cs="仿宋"/>
          <w:bCs/>
          <w:color w:val="auto"/>
          <w:szCs w:val="21"/>
          <w:highlight w:val="none"/>
        </w:rPr>
        <w:t>《发包人要求》和基础资料中的错误</w:t>
      </w:r>
      <w:bookmarkEnd w:id="563"/>
      <w:bookmarkEnd w:id="564"/>
      <w:bookmarkEnd w:id="565"/>
      <w:bookmarkEnd w:id="566"/>
      <w:bookmarkEnd w:id="56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承包人应尽早认真阅读、复核《发包人要求》以及其提供的基础资料，发现错误的，应及时书面通知发包人补正。发包人作相应修改的，按照第13条[变更与调整</w:t>
      </w:r>
      <w:bookmarkStart w:id="568" w:name="_Ref523403409"/>
      <w:bookmarkStart w:id="569" w:name="_Ref523403776"/>
      <w:r>
        <w:rPr>
          <w:rFonts w:hint="eastAsia" w:ascii="宋体" w:hAnsi="宋体" w:eastAsia="宋体" w:cs="仿宋"/>
          <w:color w:val="auto"/>
          <w:szCs w:val="21"/>
          <w:highlight w:val="none"/>
        </w:rPr>
        <w:t>]的约定处理。</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《发包人要求》或其提供的基础资料中的错误导致承包人增加费用和（或）工期延误的，发包人应承担由此增加的费用和（或）工期延误，并向承包人支付合理利润。</w:t>
      </w:r>
    </w:p>
    <w:bookmarkEnd w:id="568"/>
    <w:bookmarkEnd w:id="569"/>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70" w:name="_Toc114990572"/>
      <w:bookmarkStart w:id="571" w:name="_Ref531949933"/>
      <w:bookmarkStart w:id="572" w:name="_Toc9879"/>
      <w:bookmarkStart w:id="573" w:name="_Ref531949937"/>
      <w:bookmarkStart w:id="574" w:name="_Toc54862190"/>
      <w:r>
        <w:rPr>
          <w:rFonts w:hint="eastAsia" w:ascii="宋体" w:hAnsi="宋体" w:eastAsia="宋体" w:cs="仿宋"/>
          <w:bCs/>
          <w:color w:val="auto"/>
          <w:szCs w:val="21"/>
          <w:highlight w:val="none"/>
        </w:rPr>
        <w:t>1.13 责任限制</w:t>
      </w:r>
      <w:bookmarkEnd w:id="570"/>
      <w:bookmarkEnd w:id="571"/>
      <w:bookmarkEnd w:id="572"/>
      <w:bookmarkEnd w:id="573"/>
      <w:bookmarkEnd w:id="574"/>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75" w:name="_Toc4985"/>
      <w:bookmarkStart w:id="576" w:name="_Toc114990573"/>
      <w:bookmarkStart w:id="577" w:name="_Toc54862191"/>
      <w:bookmarkStart w:id="578" w:name="_Hlk51506160"/>
      <w:r>
        <w:rPr>
          <w:rFonts w:hint="eastAsia" w:ascii="宋体" w:hAnsi="宋体" w:eastAsia="宋体" w:cs="仿宋"/>
          <w:bCs/>
          <w:color w:val="auto"/>
          <w:szCs w:val="21"/>
          <w:highlight w:val="none"/>
        </w:rPr>
        <w:t>1.14 建筑信息模型技术的应用</w:t>
      </w:r>
      <w:bookmarkEnd w:id="575"/>
      <w:bookmarkEnd w:id="576"/>
      <w:bookmarkEnd w:id="577"/>
    </w:p>
    <w:bookmarkEnd w:id="578"/>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pPr>
        <w:tabs>
          <w:tab w:val="left" w:pos="993"/>
        </w:tabs>
        <w:autoSpaceDE w:val="0"/>
        <w:autoSpaceDN w:val="0"/>
        <w:adjustRightInd w:val="0"/>
        <w:snapToGrid w:val="0"/>
        <w:spacing w:line="360" w:lineRule="auto"/>
        <w:outlineLvl w:val="2"/>
        <w:rPr>
          <w:rFonts w:ascii="宋体" w:hAnsi="宋体" w:eastAsia="宋体" w:cs="仿宋"/>
          <w:bCs/>
          <w:color w:val="auto"/>
          <w:kern w:val="0"/>
          <w:szCs w:val="21"/>
          <w:highlight w:val="none"/>
        </w:rPr>
      </w:pPr>
      <w:bookmarkStart w:id="579" w:name="_Toc24498"/>
      <w:bookmarkStart w:id="580" w:name="_Toc114990574"/>
      <w:bookmarkStart w:id="581" w:name="_Toc216681897"/>
      <w:bookmarkStart w:id="582" w:name="_Ref4796511"/>
      <w:bookmarkStart w:id="583" w:name="_Toc31368"/>
      <w:bookmarkStart w:id="584" w:name="_Toc6701"/>
      <w:bookmarkStart w:id="585" w:name="_Toc54862192"/>
      <w:r>
        <w:rPr>
          <w:rFonts w:hint="eastAsia" w:ascii="宋体" w:hAnsi="宋体" w:eastAsia="宋体" w:cs="仿宋"/>
          <w:bCs/>
          <w:color w:val="auto"/>
          <w:kern w:val="0"/>
          <w:szCs w:val="21"/>
          <w:highlight w:val="none"/>
        </w:rPr>
        <w:t>第2条 发包人</w:t>
      </w:r>
      <w:bookmarkEnd w:id="579"/>
      <w:bookmarkEnd w:id="580"/>
      <w:bookmarkEnd w:id="581"/>
      <w:bookmarkEnd w:id="582"/>
      <w:bookmarkEnd w:id="583"/>
      <w:bookmarkEnd w:id="584"/>
      <w:bookmarkEnd w:id="585"/>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86" w:name="_Toc54862193"/>
      <w:bookmarkStart w:id="587" w:name="_Toc114990575"/>
      <w:bookmarkStart w:id="588" w:name="_Toc6898"/>
      <w:r>
        <w:rPr>
          <w:rFonts w:hint="eastAsia" w:ascii="宋体" w:hAnsi="宋体" w:eastAsia="宋体" w:cs="仿宋"/>
          <w:bCs/>
          <w:color w:val="auto"/>
          <w:szCs w:val="21"/>
          <w:highlight w:val="none"/>
        </w:rPr>
        <w:t>2.1 遵守法律</w:t>
      </w:r>
      <w:bookmarkEnd w:id="586"/>
      <w:bookmarkEnd w:id="587"/>
      <w:bookmarkEnd w:id="588"/>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589" w:name="_Toc114990576"/>
      <w:bookmarkStart w:id="590" w:name="_Toc54862194"/>
      <w:bookmarkStart w:id="591" w:name="_Ref11917995"/>
      <w:bookmarkStart w:id="592" w:name="_Ref11917977"/>
      <w:bookmarkStart w:id="593" w:name="_Toc9009"/>
      <w:r>
        <w:rPr>
          <w:rFonts w:hint="eastAsia" w:ascii="宋体" w:hAnsi="宋体" w:eastAsia="宋体" w:cs="仿宋"/>
          <w:bCs/>
          <w:color w:val="auto"/>
          <w:szCs w:val="21"/>
          <w:highlight w:val="none"/>
        </w:rPr>
        <w:t>2.2 提供施工现场和工作条件</w:t>
      </w:r>
      <w:bookmarkEnd w:id="589"/>
      <w:bookmarkEnd w:id="590"/>
      <w:bookmarkEnd w:id="591"/>
      <w:bookmarkEnd w:id="592"/>
      <w:bookmarkEnd w:id="593"/>
      <w:bookmarkStart w:id="594" w:name="_Toc54862196"/>
      <w:bookmarkEnd w:id="594"/>
      <w:bookmarkStart w:id="595" w:name="_Toc54862195"/>
      <w:bookmarkEnd w:id="595"/>
      <w:bookmarkStart w:id="596" w:name="_Toc51505123"/>
      <w:bookmarkEnd w:id="596"/>
      <w:bookmarkStart w:id="597" w:name="_Toc51505125"/>
      <w:bookmarkEnd w:id="597"/>
      <w:bookmarkStart w:id="598" w:name="_Toc54862197"/>
      <w:bookmarkEnd w:id="598"/>
      <w:bookmarkStart w:id="599" w:name="_Toc51505124"/>
      <w:bookmarkEnd w:id="599"/>
      <w:bookmarkStart w:id="600" w:name="_Ref531950085"/>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2.2.1 提供施工</w:t>
      </w:r>
      <w:bookmarkEnd w:id="600"/>
      <w:r>
        <w:rPr>
          <w:rFonts w:hint="eastAsia" w:ascii="宋体" w:hAnsi="宋体" w:eastAsia="宋体" w:cs="仿宋"/>
          <w:color w:val="auto"/>
          <w:szCs w:val="21"/>
          <w:highlight w:val="none"/>
        </w:rPr>
        <w:t>现场</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601" w:name="_Ref531950101"/>
      <w:r>
        <w:rPr>
          <w:rFonts w:hint="eastAsia" w:ascii="宋体" w:hAnsi="宋体" w:eastAsia="宋体" w:cs="仿宋"/>
          <w:color w:val="auto"/>
          <w:szCs w:val="21"/>
          <w:highlight w:val="none"/>
        </w:rPr>
        <w:t>2.2.2 提供工作条件</w:t>
      </w:r>
      <w:bookmarkEnd w:id="601"/>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发包人应按专用合同条件约定向承包人提供工作条件。专用合同条件对此没有约定的，发包人应负责提供开展本合同相关工作所需要的条件，包括：</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将施工用水、电力、通讯线路等施工所必需的条件接至施工现场内；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保证向承包人提供正常施工所需要的进入施工现场的交通条件；</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协调处理施工现场周围地下管线和邻近建筑物、构筑物、古树名木、文物、化石及坟墓等的保护工作，并承担相关费用；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（5） 按照专用合同条件约定应提供的其他设施和条件。</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2.2.3 逾期提供的责任</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因发包人原因未能按合同约定及时向承包人提供施工现场和施工条件的，由发包人承担由此增加延误的工期。</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02" w:name="_Toc20282"/>
      <w:bookmarkStart w:id="603" w:name="_Toc114990577"/>
      <w:bookmarkStart w:id="604" w:name="_Ref11956654"/>
      <w:bookmarkStart w:id="605" w:name="_Ref11918025"/>
      <w:bookmarkStart w:id="606" w:name="_Toc54862198"/>
      <w:bookmarkStart w:id="607" w:name="_Ref11956647"/>
      <w:bookmarkStart w:id="608" w:name="_Ref11918036"/>
      <w:r>
        <w:rPr>
          <w:rFonts w:hint="eastAsia" w:ascii="宋体" w:hAnsi="宋体" w:eastAsia="宋体" w:cs="仿宋"/>
          <w:bCs/>
          <w:color w:val="auto"/>
          <w:szCs w:val="21"/>
          <w:highlight w:val="none"/>
        </w:rPr>
        <w:t>2.3 提供基础资料</w:t>
      </w:r>
      <w:bookmarkEnd w:id="602"/>
      <w:bookmarkEnd w:id="603"/>
      <w:bookmarkEnd w:id="604"/>
      <w:bookmarkEnd w:id="605"/>
      <w:bookmarkEnd w:id="606"/>
      <w:bookmarkEnd w:id="607"/>
      <w:bookmarkEnd w:id="608"/>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609" w:name="_Hlk51506429"/>
      <w:r>
        <w:rPr>
          <w:rFonts w:hint="eastAsia" w:ascii="宋体" w:hAnsi="宋体" w:eastAsia="宋体" w:cs="仿宋"/>
          <w:color w:val="auto"/>
          <w:szCs w:val="21"/>
          <w:highlight w:val="none"/>
        </w:rPr>
        <w:t>发包人应按专用合同条件和《发包人要求》中的约定向承包人提供</w:t>
      </w:r>
      <w:bookmarkEnd w:id="609"/>
      <w:r>
        <w:rPr>
          <w:rFonts w:hint="eastAsia" w:ascii="宋体" w:hAnsi="宋体" w:eastAsia="宋体" w:cs="仿宋"/>
          <w:color w:val="auto"/>
          <w:szCs w:val="21"/>
          <w:highlight w:val="none"/>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延误的工期。</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10" w:name="_Toc3969"/>
      <w:bookmarkStart w:id="611" w:name="_Toc114990578"/>
      <w:bookmarkStart w:id="612" w:name="_Toc54862199"/>
      <w:bookmarkStart w:id="613" w:name="_Ref531950041"/>
      <w:bookmarkStart w:id="614" w:name="_Ref531950045"/>
      <w:r>
        <w:rPr>
          <w:rFonts w:hint="eastAsia" w:ascii="宋体" w:hAnsi="宋体" w:eastAsia="宋体" w:cs="仿宋"/>
          <w:bCs/>
          <w:color w:val="auto"/>
          <w:szCs w:val="21"/>
          <w:highlight w:val="none"/>
        </w:rPr>
        <w:t>2.4 办理许可和批准</w:t>
      </w:r>
      <w:bookmarkEnd w:id="610"/>
      <w:bookmarkEnd w:id="611"/>
      <w:bookmarkEnd w:id="612"/>
      <w:bookmarkEnd w:id="613"/>
      <w:bookmarkEnd w:id="61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615" w:name="_Toc51505128"/>
      <w:r>
        <w:rPr>
          <w:rFonts w:hint="eastAsia" w:ascii="宋体" w:hAnsi="宋体" w:eastAsia="宋体" w:cs="仿宋"/>
          <w:color w:val="auto"/>
          <w:szCs w:val="21"/>
          <w:highlight w:val="none"/>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615"/>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616" w:name="_Toc51505129"/>
      <w:r>
        <w:rPr>
          <w:rFonts w:hint="eastAsia" w:ascii="宋体" w:hAnsi="宋体" w:eastAsia="宋体" w:cs="仿宋"/>
          <w:color w:val="auto"/>
          <w:szCs w:val="21"/>
          <w:highlight w:val="none"/>
        </w:rPr>
        <w:t>2.4.2 因发包人原因未能及时办理完毕前述许可、批准或备案，由发包人承担由此增加延误的工期。</w:t>
      </w:r>
      <w:bookmarkEnd w:id="616"/>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17" w:name="_Toc114990579"/>
      <w:bookmarkStart w:id="618" w:name="_Ref11918070"/>
      <w:bookmarkStart w:id="619" w:name="_Toc2425"/>
      <w:bookmarkStart w:id="620" w:name="_Ref11956525"/>
      <w:bookmarkStart w:id="621" w:name="_Ref11956533"/>
      <w:bookmarkStart w:id="622" w:name="_Ref11918060"/>
      <w:bookmarkStart w:id="623" w:name="_Toc54862200"/>
      <w:r>
        <w:rPr>
          <w:rFonts w:hint="eastAsia" w:ascii="宋体" w:hAnsi="宋体" w:eastAsia="宋体" w:cs="仿宋"/>
          <w:bCs/>
          <w:color w:val="auto"/>
          <w:szCs w:val="21"/>
          <w:highlight w:val="none"/>
        </w:rPr>
        <w:t>2.5 支付合同价款</w:t>
      </w:r>
      <w:bookmarkEnd w:id="617"/>
      <w:bookmarkEnd w:id="618"/>
      <w:bookmarkEnd w:id="619"/>
      <w:bookmarkEnd w:id="620"/>
      <w:bookmarkEnd w:id="621"/>
      <w:bookmarkEnd w:id="622"/>
      <w:bookmarkEnd w:id="623"/>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624" w:name="_Toc51505131"/>
      <w:bookmarkStart w:id="625" w:name="_Toc23352"/>
      <w:bookmarkStart w:id="626" w:name="_Toc4351"/>
      <w:bookmarkStart w:id="627" w:name="_Ref531950147"/>
      <w:r>
        <w:rPr>
          <w:rFonts w:hint="eastAsia" w:ascii="宋体" w:hAnsi="宋体" w:eastAsia="宋体" w:cs="仿宋"/>
          <w:color w:val="auto"/>
          <w:szCs w:val="21"/>
          <w:highlight w:val="none"/>
        </w:rPr>
        <w:t>2.5.1 发包人应按合同约定向承包人及时支付合同价款。</w:t>
      </w:r>
      <w:bookmarkEnd w:id="624"/>
      <w:bookmarkEnd w:id="625"/>
      <w:bookmarkEnd w:id="626"/>
    </w:p>
    <w:bookmarkEnd w:id="627"/>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628" w:name="_Toc51505132"/>
      <w:r>
        <w:rPr>
          <w:rFonts w:hint="eastAsia" w:ascii="宋体" w:hAnsi="宋体" w:eastAsia="宋体" w:cs="仿宋"/>
          <w:color w:val="auto"/>
          <w:szCs w:val="21"/>
          <w:highlight w:val="none"/>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62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629" w:name="_Toc51505133"/>
      <w:bookmarkStart w:id="630" w:name="_Ref531950161"/>
      <w:r>
        <w:rPr>
          <w:rFonts w:hint="eastAsia" w:ascii="宋体" w:hAnsi="宋体" w:eastAsia="宋体" w:cs="仿宋"/>
          <w:color w:val="auto"/>
          <w:szCs w:val="21"/>
          <w:highlight w:val="none"/>
        </w:rPr>
        <w:t>2.5.3 发包人应当向承包人提供支付担保。支付担保可以采用银行保函或担保公司担保等形式，具体由合同当事人在专用合同条件中约定。</w:t>
      </w:r>
      <w:bookmarkEnd w:id="629"/>
      <w:bookmarkEnd w:id="630"/>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31" w:name="_Toc54862201"/>
      <w:bookmarkStart w:id="632" w:name="_Toc19364"/>
      <w:bookmarkStart w:id="633" w:name="_Toc4956"/>
      <w:bookmarkStart w:id="634" w:name="_Toc2839"/>
      <w:bookmarkStart w:id="635" w:name="_Toc114990580"/>
      <w:r>
        <w:rPr>
          <w:rFonts w:hint="eastAsia" w:ascii="宋体" w:hAnsi="宋体" w:eastAsia="宋体" w:cs="仿宋"/>
          <w:bCs/>
          <w:color w:val="auto"/>
          <w:szCs w:val="21"/>
          <w:highlight w:val="none"/>
        </w:rPr>
        <w:t>2.6 现场管理配合</w:t>
      </w:r>
      <w:bookmarkEnd w:id="631"/>
      <w:bookmarkEnd w:id="632"/>
      <w:bookmarkEnd w:id="633"/>
      <w:bookmarkEnd w:id="634"/>
      <w:bookmarkEnd w:id="63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发包人应负责保证在现场或现场附近的发包人人员和发包人的其他承包人（如有）：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根据第7.3款[现场合作]的约定，与承包人进行合作；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遵守第7.5款[现场劳动用工]、第7.6款[安全文明施工]、第7.7款[职业健康</w:t>
      </w:r>
      <w:bookmarkStart w:id="636" w:name="_Ref531952756"/>
      <w:bookmarkStart w:id="637" w:name="_Ref531952761"/>
      <w:r>
        <w:rPr>
          <w:rFonts w:hint="eastAsia" w:ascii="宋体" w:hAnsi="宋体" w:eastAsia="宋体" w:cs="仿宋"/>
          <w:color w:val="auto"/>
          <w:szCs w:val="21"/>
          <w:highlight w:val="none"/>
        </w:rPr>
        <w:t>]和第7.8款[环境保护]的相关约定。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发包人应与承包人、由发包人直接发包的其他承包人（如有）订立施工现场统一管理协议，明确各方的权利义务。</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38" w:name="_Toc54862202"/>
      <w:bookmarkStart w:id="639" w:name="_Toc2887"/>
      <w:bookmarkStart w:id="640" w:name="_Ref11959376"/>
      <w:bookmarkStart w:id="641" w:name="_Toc114990581"/>
      <w:bookmarkStart w:id="642" w:name="_Toc18132"/>
      <w:bookmarkStart w:id="643" w:name="_Ref11959372"/>
      <w:bookmarkStart w:id="644" w:name="_Toc21952"/>
      <w:r>
        <w:rPr>
          <w:rFonts w:hint="eastAsia" w:ascii="宋体" w:hAnsi="宋体" w:eastAsia="宋体" w:cs="仿宋"/>
          <w:bCs/>
          <w:color w:val="auto"/>
          <w:szCs w:val="21"/>
          <w:highlight w:val="none"/>
        </w:rPr>
        <w:t>2.7 其他义务</w:t>
      </w:r>
      <w:bookmarkEnd w:id="638"/>
      <w:bookmarkEnd w:id="639"/>
      <w:bookmarkEnd w:id="640"/>
      <w:bookmarkEnd w:id="641"/>
      <w:bookmarkEnd w:id="642"/>
      <w:bookmarkEnd w:id="643"/>
      <w:bookmarkEnd w:id="644"/>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发包人应履行合同约定的其他义务，双方可在专用合同条件内对发包人应履行的其他义务进行补充约定。</w:t>
      </w:r>
    </w:p>
    <w:bookmarkEnd w:id="636"/>
    <w:bookmarkEnd w:id="637"/>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645" w:name="_Toc2684"/>
      <w:bookmarkStart w:id="646" w:name="_Toc20378"/>
      <w:bookmarkStart w:id="647" w:name="_Toc22552"/>
      <w:bookmarkStart w:id="648" w:name="_Toc114990582"/>
      <w:bookmarkStart w:id="649" w:name="_Toc54862203"/>
      <w:bookmarkStart w:id="650" w:name="_Ref531952791"/>
      <w:bookmarkStart w:id="651" w:name="_Toc216681898"/>
      <w:r>
        <w:rPr>
          <w:rFonts w:hint="eastAsia" w:ascii="宋体" w:hAnsi="宋体" w:eastAsia="宋体" w:cs="仿宋"/>
          <w:bCs/>
          <w:color w:val="auto"/>
          <w:kern w:val="0"/>
          <w:szCs w:val="21"/>
          <w:highlight w:val="none"/>
        </w:rPr>
        <w:t>第3条 发包人的管理</w:t>
      </w:r>
      <w:bookmarkEnd w:id="645"/>
      <w:bookmarkEnd w:id="646"/>
      <w:bookmarkEnd w:id="647"/>
      <w:bookmarkEnd w:id="648"/>
      <w:bookmarkEnd w:id="649"/>
      <w:bookmarkEnd w:id="650"/>
      <w:bookmarkEnd w:id="651"/>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52" w:name="_Ref522810097"/>
      <w:bookmarkStart w:id="653" w:name="_Ref522810094"/>
      <w:bookmarkStart w:id="654" w:name="_Toc114990583"/>
      <w:bookmarkStart w:id="655" w:name="_Toc54862204"/>
      <w:bookmarkStart w:id="656" w:name="_Ref531951538"/>
      <w:bookmarkStart w:id="657" w:name="_Ref531951533"/>
      <w:bookmarkStart w:id="658" w:name="_Toc30582"/>
      <w:r>
        <w:rPr>
          <w:rFonts w:hint="eastAsia" w:ascii="宋体" w:hAnsi="宋体" w:eastAsia="宋体" w:cs="仿宋"/>
          <w:bCs/>
          <w:color w:val="auto"/>
          <w:szCs w:val="21"/>
          <w:highlight w:val="none"/>
        </w:rPr>
        <w:t>3.1 发包人</w:t>
      </w:r>
      <w:bookmarkEnd w:id="652"/>
      <w:bookmarkEnd w:id="653"/>
      <w:r>
        <w:rPr>
          <w:rFonts w:hint="eastAsia" w:ascii="宋体" w:hAnsi="宋体" w:eastAsia="宋体" w:cs="仿宋"/>
          <w:bCs/>
          <w:color w:val="auto"/>
          <w:szCs w:val="21"/>
          <w:highlight w:val="none"/>
        </w:rPr>
        <w:t>代表</w:t>
      </w:r>
      <w:bookmarkEnd w:id="654"/>
      <w:bookmarkEnd w:id="655"/>
      <w:bookmarkEnd w:id="656"/>
      <w:bookmarkEnd w:id="657"/>
      <w:bookmarkEnd w:id="658"/>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除非发包人另行通知承包人，发包人代表应被授予并且被认为具有发包人在授权范围内享有的相应权利，涉及第16.1款[由发包人解除合同]的权利除外。</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发包人代表（或者在其为法人的情况下，被任命代表其行事的自然人）应：</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履行指派给其的职责，行使发包人托付给的权利；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具备履行这些职责、行使这些权利的能力；</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作为熟练的专业人员行事。</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发包人代表不能按照合同约定履行其职责及义务，并导致合同无法继续正常履行的，承包人可以要求发包人撤换发包人代表。</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59" w:name="_Toc114990584"/>
      <w:bookmarkStart w:id="660" w:name="_Ref531951553"/>
      <w:bookmarkStart w:id="661" w:name="_Ref531951557"/>
      <w:bookmarkStart w:id="662" w:name="_Toc54862205"/>
      <w:bookmarkStart w:id="663" w:name="_Toc23903"/>
      <w:r>
        <w:rPr>
          <w:rFonts w:hint="eastAsia" w:ascii="宋体" w:hAnsi="宋体" w:eastAsia="宋体" w:cs="仿宋"/>
          <w:bCs/>
          <w:color w:val="auto"/>
          <w:szCs w:val="21"/>
          <w:highlight w:val="none"/>
        </w:rPr>
        <w:t>3.2 发包人人员</w:t>
      </w:r>
      <w:bookmarkEnd w:id="659"/>
      <w:bookmarkEnd w:id="660"/>
      <w:bookmarkEnd w:id="661"/>
      <w:bookmarkEnd w:id="662"/>
      <w:bookmarkEnd w:id="66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发包人应要求在施工现场的发包人人员遵守法律及有关安全、质量、环境保护、文明施工等规定，因发包人人员未遵守上述要求给承包人造成的损失和责任由发包人承担。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64" w:name="_Toc31239"/>
      <w:bookmarkStart w:id="665" w:name="_Toc54862206"/>
      <w:bookmarkStart w:id="666" w:name="_Toc114990585"/>
      <w:r>
        <w:rPr>
          <w:rFonts w:hint="eastAsia" w:ascii="宋体" w:hAnsi="宋体" w:eastAsia="宋体" w:cs="仿宋"/>
          <w:bCs/>
          <w:color w:val="auto"/>
          <w:szCs w:val="21"/>
          <w:highlight w:val="none"/>
        </w:rPr>
        <w:t>3.3 工程师</w:t>
      </w:r>
      <w:bookmarkEnd w:id="664"/>
      <w:bookmarkEnd w:id="665"/>
      <w:bookmarkEnd w:id="666"/>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67" w:name="_Toc10643"/>
      <w:bookmarkStart w:id="668" w:name="_Toc54862207"/>
      <w:bookmarkStart w:id="669" w:name="_Toc114990586"/>
      <w:bookmarkStart w:id="670" w:name="_Ref531951597"/>
      <w:bookmarkStart w:id="671" w:name="_Ref531951594"/>
      <w:r>
        <w:rPr>
          <w:rFonts w:hint="eastAsia" w:ascii="宋体" w:hAnsi="宋体" w:eastAsia="宋体" w:cs="仿宋"/>
          <w:bCs/>
          <w:color w:val="auto"/>
          <w:szCs w:val="21"/>
          <w:highlight w:val="none"/>
        </w:rPr>
        <w:t>3.4 任命和授权</w:t>
      </w:r>
      <w:bookmarkEnd w:id="667"/>
      <w:bookmarkEnd w:id="668"/>
      <w:bookmarkEnd w:id="669"/>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72" w:name="_Ref20165400"/>
      <w:bookmarkStart w:id="673" w:name="_Toc30807"/>
      <w:bookmarkStart w:id="674" w:name="_Toc54862208"/>
      <w:bookmarkStart w:id="675" w:name="_Toc114990587"/>
      <w:r>
        <w:rPr>
          <w:rFonts w:hint="eastAsia" w:ascii="宋体" w:hAnsi="宋体" w:eastAsia="宋体" w:cs="仿宋"/>
          <w:bCs/>
          <w:color w:val="auto"/>
          <w:szCs w:val="21"/>
          <w:highlight w:val="none"/>
        </w:rPr>
        <w:t>3.5 指示</w:t>
      </w:r>
      <w:bookmarkEnd w:id="670"/>
      <w:bookmarkEnd w:id="671"/>
      <w:bookmarkEnd w:id="672"/>
      <w:bookmarkEnd w:id="673"/>
      <w:bookmarkEnd w:id="674"/>
      <w:bookmarkEnd w:id="675"/>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3.5.2 承包人收到工程师作出的指示后应遵照执行。如果任何此类指示构成一项变更时，应按照第13条[变更与调整]的约定办理。</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3.5.3 由于工程师未能按合同约定发出指示、指示延误或指示错误而导致承包人工期延误的，发包人应承担由此增加的工期延误。</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76" w:name="_Toc114990588"/>
      <w:bookmarkStart w:id="677" w:name="_Ref531951611"/>
      <w:bookmarkStart w:id="678" w:name="_Ref531951609"/>
      <w:bookmarkStart w:id="679" w:name="_Toc54862209"/>
      <w:bookmarkStart w:id="680" w:name="_Toc27138"/>
      <w:r>
        <w:rPr>
          <w:rFonts w:hint="eastAsia" w:ascii="宋体" w:hAnsi="宋体" w:eastAsia="宋体" w:cs="仿宋"/>
          <w:bCs/>
          <w:color w:val="auto"/>
          <w:szCs w:val="21"/>
          <w:highlight w:val="none"/>
        </w:rPr>
        <w:t>3.6 商定或确定</w:t>
      </w:r>
      <w:bookmarkEnd w:id="676"/>
      <w:bookmarkEnd w:id="677"/>
      <w:bookmarkEnd w:id="678"/>
      <w:bookmarkEnd w:id="679"/>
      <w:bookmarkEnd w:id="680"/>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3.6.1 合同约定工程师应按照本款对任何事项进行商定或确定时，工程师应及时与合同当事人协商，尽量达成一致。工程师应将商定的结果以书面形式通知发包人和承包人，并由双方签署确认。</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681" w:name="_Ref532287856"/>
      <w:r>
        <w:rPr>
          <w:rFonts w:hint="eastAsia" w:ascii="宋体" w:hAnsi="宋体" w:eastAsia="宋体" w:cs="仿宋"/>
          <w:color w:val="auto"/>
          <w:szCs w:val="21"/>
          <w:highlight w:val="none"/>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681"/>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3.6.4 在该争议解决前，双方应暂按工程师的确定执行。按照第20条[争议解决]的约定对工程师的确定作出修改的，按修改后的结果执行，由此导致承包人增加延误的工期由责任方承担。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82" w:name="_Ref531951747"/>
      <w:bookmarkStart w:id="683" w:name="_Toc22664"/>
      <w:bookmarkStart w:id="684" w:name="_Toc114990589"/>
      <w:bookmarkStart w:id="685" w:name="_Toc54862210"/>
      <w:bookmarkStart w:id="686" w:name="_Ref531951749"/>
      <w:r>
        <w:rPr>
          <w:rFonts w:hint="eastAsia" w:ascii="宋体" w:hAnsi="宋体" w:eastAsia="宋体" w:cs="仿宋"/>
          <w:bCs/>
          <w:color w:val="auto"/>
          <w:szCs w:val="21"/>
          <w:highlight w:val="none"/>
        </w:rPr>
        <w:t>3.7 会议</w:t>
      </w:r>
      <w:bookmarkEnd w:id="682"/>
      <w:bookmarkEnd w:id="683"/>
      <w:bookmarkEnd w:id="684"/>
      <w:bookmarkEnd w:id="685"/>
      <w:bookmarkEnd w:id="68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3.7.2 除专用合同条件另有约定外，发包人应保存每次会议参加人签名的记录，并将会议纪要提供给出席会议的人员。任何根据此类会议以及会议纪要采取的行动应符合本合同的约定。</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687" w:name="_Toc27157"/>
      <w:bookmarkStart w:id="688" w:name="_Toc114990590"/>
      <w:bookmarkStart w:id="689" w:name="_Toc54862211"/>
      <w:bookmarkStart w:id="690" w:name="_Toc27647"/>
      <w:bookmarkStart w:id="691" w:name="_Toc216681899"/>
      <w:bookmarkStart w:id="692" w:name="_Toc26429"/>
      <w:bookmarkStart w:id="693" w:name="_Ref531952805"/>
      <w:r>
        <w:rPr>
          <w:rFonts w:hint="eastAsia" w:ascii="宋体" w:hAnsi="宋体" w:eastAsia="宋体" w:cs="仿宋"/>
          <w:bCs/>
          <w:color w:val="auto"/>
          <w:kern w:val="0"/>
          <w:szCs w:val="21"/>
          <w:highlight w:val="none"/>
        </w:rPr>
        <w:t>第4条 承包人</w:t>
      </w:r>
      <w:bookmarkEnd w:id="687"/>
      <w:bookmarkEnd w:id="688"/>
      <w:bookmarkEnd w:id="689"/>
      <w:bookmarkEnd w:id="690"/>
      <w:bookmarkEnd w:id="691"/>
      <w:bookmarkEnd w:id="692"/>
      <w:bookmarkEnd w:id="693"/>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694" w:name="_Ref531951941"/>
      <w:bookmarkStart w:id="695" w:name="_Toc114990591"/>
      <w:bookmarkStart w:id="696" w:name="_Ref531951961"/>
      <w:bookmarkStart w:id="697" w:name="_Ref531951945"/>
      <w:bookmarkStart w:id="698" w:name="_Ref531951958"/>
      <w:bookmarkStart w:id="699" w:name="_Toc54862212"/>
      <w:bookmarkStart w:id="700" w:name="_Toc26372"/>
      <w:bookmarkStart w:id="701" w:name="_Ref531951975"/>
      <w:r>
        <w:rPr>
          <w:rFonts w:hint="eastAsia" w:ascii="宋体" w:hAnsi="宋体" w:eastAsia="宋体" w:cs="仿宋"/>
          <w:bCs/>
          <w:color w:val="auto"/>
          <w:szCs w:val="21"/>
          <w:highlight w:val="none"/>
        </w:rPr>
        <w:t>4.1 承包人的一般义务</w:t>
      </w:r>
      <w:bookmarkEnd w:id="694"/>
      <w:bookmarkEnd w:id="695"/>
      <w:bookmarkEnd w:id="696"/>
      <w:bookmarkEnd w:id="697"/>
      <w:bookmarkEnd w:id="698"/>
      <w:bookmarkEnd w:id="699"/>
      <w:bookmarkEnd w:id="700"/>
      <w:bookmarkEnd w:id="701"/>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702" w:name="_Ref509046929"/>
      <w:r>
        <w:rPr>
          <w:rFonts w:hint="eastAsia" w:ascii="宋体" w:hAnsi="宋体" w:eastAsia="宋体" w:cs="仿宋"/>
          <w:color w:val="auto"/>
          <w:szCs w:val="21"/>
          <w:highlight w:val="none"/>
        </w:rPr>
        <w:t>除专用合同条件另有约定外，承包人在履行合同过程中应遵守法律和工程建设标准规范，并履行以下义务：</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办理法律规定和合同约定由承包人办理的许可和批准，将办理结果书面报送发包人留存，并承担因承包人违反法律或合同约定给发包人造成的任何费用和损失；</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按合同约定完成全部工作并在缺陷责任期和保修期内承担缺陷保证责任和保修义务，对工作中的任何缺陷进行整改、完善和修补，使其满足合同约定的目的；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提供合同约定的工程设备和承包人文件，以及为完成合同工作所需的劳务、材料、施工设备和其他物品，并按合同约定负责临时设施的设计、施工、运行、维护、管理和拆除；</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按合同约定的工作内容和进度要求，编制设计、施工的组织和实施计划，保证项目进度计划的实现，并对所有设计、施工作业和施工方法，以及全部工程的完备性和安全可靠性负责；</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按法律规定和合同约定采取安全文明施工、职业健康和环境保护措施，办理员工工伤保险等相关保险，确保工程及人员、材料、设备和设施的安全，防止因工程实施造成的人身伤害和财产损失；</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将发包人按合同约定支付的各项价款专用于合同工程，且应及时支付其雇用人员（包括建筑工人）工资，并及时向分包人支付合同价款；</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在进行合同约定的各项工作时，不得侵害发包人与他人使用公用道路、水源、市政管网等公共设施的权利，避免对邻近的公共设施产生干扰。</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03" w:name="_Ref4426803"/>
      <w:bookmarkStart w:id="704" w:name="_Toc16545"/>
      <w:bookmarkStart w:id="705" w:name="_Toc114990592"/>
      <w:bookmarkStart w:id="706" w:name="_Toc54862213"/>
      <w:bookmarkStart w:id="707" w:name="_Ref4428418"/>
      <w:r>
        <w:rPr>
          <w:rFonts w:hint="eastAsia" w:ascii="宋体" w:hAnsi="宋体" w:eastAsia="宋体" w:cs="仿宋"/>
          <w:bCs/>
          <w:color w:val="auto"/>
          <w:szCs w:val="21"/>
          <w:highlight w:val="none"/>
        </w:rPr>
        <w:t>4.2 履约担保</w:t>
      </w:r>
      <w:bookmarkEnd w:id="703"/>
      <w:bookmarkEnd w:id="704"/>
      <w:bookmarkEnd w:id="705"/>
      <w:bookmarkEnd w:id="70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承包人应保证其履约担保在发包人竣工验收前一直有效，发包人应在竣工验收合格后7天内将履约担保款项退还给承包人或者解除履约担保。</w:t>
      </w:r>
    </w:p>
    <w:bookmarkEnd w:id="702"/>
    <w:bookmarkEnd w:id="707"/>
    <w:p>
      <w:pPr>
        <w:tabs>
          <w:tab w:val="left" w:pos="851"/>
        </w:tabs>
        <w:autoSpaceDE w:val="0"/>
        <w:autoSpaceDN w:val="0"/>
        <w:adjustRightInd w:val="0"/>
        <w:snapToGrid w:val="0"/>
        <w:spacing w:line="360" w:lineRule="auto"/>
        <w:ind w:firstLine="420" w:firstLineChars="200"/>
        <w:outlineLvl w:val="3"/>
        <w:rPr>
          <w:rFonts w:ascii="宋体" w:hAnsi="宋体" w:eastAsia="宋体" w:cs="仿宋"/>
          <w:bCs/>
          <w:color w:val="auto"/>
          <w:szCs w:val="21"/>
          <w:highlight w:val="none"/>
        </w:rPr>
      </w:pPr>
      <w:bookmarkStart w:id="708" w:name="_Toc114990593"/>
      <w:bookmarkStart w:id="709" w:name="_Ref532689105"/>
      <w:bookmarkStart w:id="710" w:name="_Toc54862214"/>
      <w:bookmarkStart w:id="711" w:name="_Ref532689108"/>
      <w:bookmarkStart w:id="712" w:name="_Toc21247"/>
      <w:r>
        <w:rPr>
          <w:rFonts w:hint="eastAsia" w:ascii="宋体" w:hAnsi="宋体" w:eastAsia="宋体" w:cs="仿宋"/>
          <w:bCs/>
          <w:color w:val="auto"/>
          <w:szCs w:val="21"/>
          <w:highlight w:val="none"/>
        </w:rPr>
        <w:t>4.3 工程总承包项目经理</w:t>
      </w:r>
      <w:bookmarkEnd w:id="708"/>
      <w:bookmarkEnd w:id="709"/>
      <w:bookmarkEnd w:id="710"/>
      <w:bookmarkEnd w:id="711"/>
      <w:bookmarkEnd w:id="71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13" w:name="_Ref532351726"/>
      <w:r>
        <w:rPr>
          <w:rFonts w:hint="eastAsia" w:ascii="宋体" w:hAnsi="宋体" w:eastAsia="宋体" w:cs="仿宋"/>
          <w:color w:val="auto"/>
          <w:szCs w:val="21"/>
          <w:highlight w:val="none"/>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71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14" w:name="_Ref532689263"/>
      <w:r>
        <w:rPr>
          <w:rFonts w:hint="eastAsia" w:ascii="宋体" w:hAnsi="宋体" w:eastAsia="宋体" w:cs="仿宋"/>
          <w:color w:val="auto"/>
          <w:szCs w:val="21"/>
          <w:highlight w:val="none"/>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71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15" w:name="_Ref532689178"/>
      <w:bookmarkStart w:id="716" w:name="_Ref531952112"/>
      <w:r>
        <w:rPr>
          <w:rFonts w:hint="eastAsia" w:ascii="宋体" w:hAnsi="宋体" w:eastAsia="宋体" w:cs="仿宋"/>
          <w:color w:val="auto"/>
          <w:szCs w:val="21"/>
          <w:highlight w:val="none"/>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715"/>
    </w:p>
    <w:bookmarkEnd w:id="716"/>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17" w:name="_Ref4426412"/>
      <w:r>
        <w:rPr>
          <w:rFonts w:hint="eastAsia" w:ascii="宋体" w:hAnsi="宋体" w:eastAsia="宋体" w:cs="仿宋"/>
          <w:color w:val="auto"/>
          <w:szCs w:val="21"/>
          <w:highlight w:val="none"/>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718" w:name="_Hlk55056591"/>
      <w:r>
        <w:rPr>
          <w:rFonts w:hint="eastAsia" w:ascii="宋体" w:hAnsi="宋体" w:eastAsia="宋体" w:cs="仿宋"/>
          <w:color w:val="auto"/>
          <w:szCs w:val="21"/>
          <w:highlight w:val="none"/>
        </w:rPr>
        <w:t>应按照专用合同条件的约定承担违约责任。</w:t>
      </w:r>
      <w:bookmarkEnd w:id="717"/>
      <w:bookmarkEnd w:id="71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19" w:name="_Ref531952137"/>
      <w:r>
        <w:rPr>
          <w:rFonts w:hint="eastAsia" w:ascii="宋体" w:hAnsi="宋体" w:eastAsia="宋体" w:cs="仿宋"/>
          <w:color w:val="auto"/>
          <w:szCs w:val="21"/>
          <w:highlight w:val="none"/>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719"/>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20" w:name="_Ref122620"/>
      <w:r>
        <w:rPr>
          <w:rFonts w:hint="eastAsia" w:ascii="宋体" w:hAnsi="宋体" w:eastAsia="宋体" w:cs="仿宋"/>
          <w:color w:val="auto"/>
          <w:szCs w:val="21"/>
          <w:highlight w:val="none"/>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720"/>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21" w:name="_Toc19704"/>
      <w:bookmarkStart w:id="722" w:name="_Toc54862215"/>
      <w:bookmarkStart w:id="723" w:name="_Toc114990594"/>
      <w:bookmarkStart w:id="724" w:name="_Ref531952172"/>
      <w:bookmarkStart w:id="725" w:name="_Ref531952175"/>
      <w:r>
        <w:rPr>
          <w:rFonts w:hint="eastAsia" w:ascii="宋体" w:hAnsi="宋体" w:eastAsia="宋体" w:cs="仿宋"/>
          <w:bCs/>
          <w:color w:val="auto"/>
          <w:szCs w:val="21"/>
          <w:highlight w:val="none"/>
        </w:rPr>
        <w:t>4.4 承包人人员</w:t>
      </w:r>
      <w:bookmarkEnd w:id="721"/>
      <w:bookmarkEnd w:id="722"/>
      <w:bookmarkEnd w:id="723"/>
      <w:bookmarkEnd w:id="724"/>
      <w:bookmarkEnd w:id="725"/>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26" w:name="_Ref531952185"/>
      <w:r>
        <w:rPr>
          <w:rFonts w:hint="eastAsia" w:ascii="宋体" w:hAnsi="宋体" w:eastAsia="宋体" w:cs="仿宋"/>
          <w:color w:val="auto"/>
          <w:szCs w:val="21"/>
          <w:highlight w:val="none"/>
        </w:rPr>
        <w:t>4.4.1 人员安排</w:t>
      </w:r>
      <w:bookmarkEnd w:id="72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关键人员</w:t>
      </w:r>
      <w:bookmarkStart w:id="727" w:name="_Hlk16210335"/>
      <w:r>
        <w:rPr>
          <w:rFonts w:hint="eastAsia" w:ascii="宋体" w:hAnsi="宋体" w:eastAsia="宋体" w:cs="仿宋"/>
          <w:color w:val="auto"/>
          <w:szCs w:val="21"/>
          <w:highlight w:val="none"/>
        </w:rPr>
        <w:t>是发包人及承包人一致认为对工程建设起重要作用的承包人主要管理人员或技术人员。关键人员的具体范围由发包人及承包人在附件5[承包人主要管理人员表]中另行约定。</w:t>
      </w:r>
    </w:p>
    <w:bookmarkEnd w:id="727"/>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28" w:name="_Ref531952211"/>
      <w:bookmarkStart w:id="729" w:name="_Ref4426641"/>
      <w:r>
        <w:rPr>
          <w:rFonts w:hint="eastAsia" w:ascii="宋体" w:hAnsi="宋体" w:eastAsia="宋体" w:cs="仿宋"/>
          <w:color w:val="auto"/>
          <w:szCs w:val="21"/>
          <w:highlight w:val="none"/>
        </w:rPr>
        <w:t>4.4.2 关键人员更换</w:t>
      </w:r>
      <w:bookmarkEnd w:id="728"/>
      <w:bookmarkEnd w:id="729"/>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30" w:name="_Ref531952227"/>
      <w:r>
        <w:rPr>
          <w:rFonts w:hint="eastAsia" w:ascii="宋体" w:hAnsi="宋体" w:eastAsia="宋体" w:cs="仿宋"/>
          <w:color w:val="auto"/>
          <w:szCs w:val="21"/>
          <w:highlight w:val="none"/>
        </w:rPr>
        <w:t>4.4.3 现场管理关键人员在岗要求</w:t>
      </w:r>
      <w:bookmarkEnd w:id="73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31" w:name="_Toc54862216"/>
      <w:bookmarkStart w:id="732" w:name="_Toc114990595"/>
      <w:bookmarkStart w:id="733" w:name="_Ref531952259"/>
      <w:bookmarkStart w:id="734" w:name="_Ref531952262"/>
      <w:bookmarkStart w:id="735" w:name="_Toc24512"/>
      <w:r>
        <w:rPr>
          <w:rFonts w:hint="eastAsia" w:ascii="宋体" w:hAnsi="宋体" w:eastAsia="宋体" w:cs="仿宋"/>
          <w:bCs/>
          <w:color w:val="auto"/>
          <w:szCs w:val="21"/>
          <w:highlight w:val="none"/>
        </w:rPr>
        <w:t>4.5 分包</w:t>
      </w:r>
      <w:bookmarkEnd w:id="731"/>
      <w:bookmarkEnd w:id="732"/>
      <w:bookmarkEnd w:id="733"/>
      <w:bookmarkEnd w:id="734"/>
      <w:bookmarkEnd w:id="735"/>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36" w:name="_Ref531952273"/>
      <w:r>
        <w:rPr>
          <w:rFonts w:hint="eastAsia" w:ascii="宋体" w:hAnsi="宋体" w:eastAsia="宋体" w:cs="仿宋"/>
          <w:color w:val="auto"/>
          <w:szCs w:val="21"/>
          <w:highlight w:val="none"/>
        </w:rPr>
        <w:t>4.5.1 一般约定</w:t>
      </w:r>
      <w:bookmarkEnd w:id="73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37" w:name="_Ref531952286"/>
      <w:r>
        <w:rPr>
          <w:rFonts w:hint="eastAsia" w:ascii="宋体" w:hAnsi="宋体" w:eastAsia="宋体" w:cs="仿宋"/>
          <w:color w:val="auto"/>
          <w:szCs w:val="21"/>
          <w:highlight w:val="none"/>
        </w:rPr>
        <w:t>4.5.2 分包的确定</w:t>
      </w:r>
      <w:bookmarkEnd w:id="737"/>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承包人应按照专用合同条件约定对工作事项进行分包，确定分包人。</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4.5.3 分包人资质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分包人应符合国家法律规定的资质等级，否则不能作为分包人。承包人有义务对分包人的资质进行审查。</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4.5.4 分包管理</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38" w:name="_Ref531952298"/>
      <w:r>
        <w:rPr>
          <w:rFonts w:hint="eastAsia" w:ascii="宋体" w:hAnsi="宋体" w:eastAsia="宋体" w:cs="仿宋"/>
          <w:color w:val="auto"/>
          <w:szCs w:val="21"/>
          <w:highlight w:val="none"/>
        </w:rPr>
        <w:t>4.5.5 分包合同价款支付</w:t>
      </w:r>
      <w:bookmarkEnd w:id="738"/>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除本项第（2）目约定的情况或专用合同条件另有约定外，分包合同价款由承包人与分包人结算，未经承包人同意，发包人不得向分包人支付分包合同价款；</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739" w:name="_Ref4613798"/>
      <w:r>
        <w:rPr>
          <w:rFonts w:hint="eastAsia" w:ascii="宋体" w:hAnsi="宋体" w:eastAsia="宋体" w:cs="仿宋"/>
          <w:color w:val="auto"/>
          <w:szCs w:val="21"/>
          <w:highlight w:val="none"/>
        </w:rPr>
        <w:t>（2） 生效法律文书要求发包人向分包人支付分包合同价款的，发包人有权从应付承包人工程款中扣除该部分款项</w:t>
      </w:r>
      <w:bookmarkEnd w:id="739"/>
      <w:r>
        <w:rPr>
          <w:rFonts w:hint="eastAsia" w:ascii="宋体" w:hAnsi="宋体" w:eastAsia="宋体" w:cs="仿宋"/>
          <w:color w:val="auto"/>
          <w:szCs w:val="21"/>
          <w:highlight w:val="none"/>
        </w:rPr>
        <w:t>，将扣款直接支付给分包人，并书面通知承包人。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4.5.6 责任承担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承包人对分包人的行为向发包人负责，承包人和分包人就分包工作向发包人承担连带责任。</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40" w:name="_Toc114990596"/>
      <w:bookmarkStart w:id="741" w:name="_Toc54862217"/>
      <w:bookmarkStart w:id="742" w:name="_Ref4426916"/>
      <w:bookmarkStart w:id="743" w:name="_Toc10622"/>
      <w:bookmarkStart w:id="744" w:name="_Ref531952317"/>
      <w:bookmarkStart w:id="745" w:name="_Ref531952321"/>
      <w:bookmarkStart w:id="746" w:name="_Ref4768805"/>
      <w:r>
        <w:rPr>
          <w:rFonts w:hint="eastAsia" w:ascii="宋体" w:hAnsi="宋体" w:eastAsia="宋体" w:cs="仿宋"/>
          <w:bCs/>
          <w:color w:val="auto"/>
          <w:szCs w:val="21"/>
          <w:highlight w:val="none"/>
        </w:rPr>
        <w:t>4.6 联合体</w:t>
      </w:r>
      <w:bookmarkEnd w:id="740"/>
      <w:bookmarkEnd w:id="741"/>
      <w:bookmarkEnd w:id="742"/>
      <w:bookmarkEnd w:id="74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47" w:name="_Hlk16235129"/>
      <w:r>
        <w:rPr>
          <w:rFonts w:hint="eastAsia" w:ascii="宋体" w:hAnsi="宋体" w:eastAsia="宋体" w:cs="仿宋"/>
          <w:color w:val="auto"/>
          <w:szCs w:val="21"/>
          <w:highlight w:val="none"/>
        </w:rPr>
        <w:t>4.6.1 经发包人同意，</w:t>
      </w:r>
      <w:bookmarkEnd w:id="747"/>
      <w:r>
        <w:rPr>
          <w:rFonts w:hint="eastAsia" w:ascii="宋体" w:hAnsi="宋体" w:eastAsia="宋体" w:cs="仿宋"/>
          <w:color w:val="auto"/>
          <w:szCs w:val="21"/>
          <w:highlight w:val="none"/>
        </w:rPr>
        <w:t>以联合体方式承包工程的，联合体各方应共同与发包人订立合同协议书。联合体各方应为履行合同向发包人承担连带责任。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4.6.3 联合体协议经发包人确认后作为合同附件。在履行合同过程中，未经发包人同意，不得变更联合体成员和其负责的工作范围，或者修改联合体协议中与本合同履行相关的内容。</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48" w:name="_Toc114990597"/>
      <w:bookmarkStart w:id="749" w:name="_Ref11926631"/>
      <w:bookmarkStart w:id="750" w:name="_Toc54862218"/>
      <w:bookmarkStart w:id="751" w:name="_Ref11926629"/>
      <w:bookmarkStart w:id="752" w:name="_Toc31089"/>
      <w:r>
        <w:rPr>
          <w:rFonts w:hint="eastAsia" w:ascii="宋体" w:hAnsi="宋体" w:eastAsia="宋体" w:cs="仿宋"/>
          <w:bCs/>
          <w:color w:val="auto"/>
          <w:szCs w:val="21"/>
          <w:highlight w:val="none"/>
        </w:rPr>
        <w:t>4.7 承包人现场查勘</w:t>
      </w:r>
      <w:bookmarkEnd w:id="748"/>
      <w:bookmarkEnd w:id="749"/>
      <w:bookmarkEnd w:id="750"/>
      <w:bookmarkEnd w:id="751"/>
      <w:bookmarkEnd w:id="75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53" w:name="_Ref11918626"/>
      <w:bookmarkStart w:id="754" w:name="不可预见的困难"/>
      <w:bookmarkStart w:id="755" w:name="_Toc114990598"/>
      <w:bookmarkStart w:id="756" w:name="_Ref11918789"/>
      <w:bookmarkStart w:id="757" w:name="_Toc54862219"/>
      <w:bookmarkStart w:id="758" w:name="_Toc10175"/>
      <w:bookmarkStart w:id="759" w:name="_Ref11918693"/>
      <w:r>
        <w:rPr>
          <w:rFonts w:hint="eastAsia" w:ascii="宋体" w:hAnsi="宋体" w:eastAsia="宋体" w:cs="仿宋"/>
          <w:bCs/>
          <w:color w:val="auto"/>
          <w:szCs w:val="21"/>
          <w:highlight w:val="none"/>
        </w:rPr>
        <w:t>4.8 不可预见的困难</w:t>
      </w:r>
      <w:bookmarkEnd w:id="744"/>
      <w:bookmarkEnd w:id="745"/>
      <w:bookmarkEnd w:id="746"/>
      <w:bookmarkEnd w:id="753"/>
      <w:bookmarkEnd w:id="754"/>
      <w:bookmarkEnd w:id="755"/>
      <w:bookmarkEnd w:id="756"/>
      <w:bookmarkEnd w:id="757"/>
      <w:bookmarkEnd w:id="758"/>
      <w:bookmarkEnd w:id="759"/>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60" w:name="_Ref11926566"/>
      <w:bookmarkStart w:id="761" w:name="_Toc54862220"/>
      <w:bookmarkStart w:id="762" w:name="_Toc4432"/>
      <w:bookmarkStart w:id="763" w:name="_Ref11926570"/>
      <w:bookmarkStart w:id="764" w:name="_Toc114990599"/>
      <w:r>
        <w:rPr>
          <w:rFonts w:hint="eastAsia" w:ascii="宋体" w:hAnsi="宋体" w:eastAsia="宋体" w:cs="仿宋"/>
          <w:bCs/>
          <w:color w:val="auto"/>
          <w:szCs w:val="21"/>
          <w:highlight w:val="none"/>
        </w:rPr>
        <w:t>4.9 工程质量管理</w:t>
      </w:r>
      <w:bookmarkEnd w:id="760"/>
      <w:bookmarkEnd w:id="761"/>
      <w:bookmarkEnd w:id="762"/>
      <w:bookmarkEnd w:id="763"/>
      <w:bookmarkEnd w:id="76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4.9.3 承包人应对其人员进行质量教育和技术培训，定期考核人员的劳动技能，严格执行相关规范和操作规程。</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765" w:name="_Toc19035"/>
      <w:bookmarkStart w:id="766" w:name="_Toc26530"/>
      <w:bookmarkStart w:id="767" w:name="_Ref531952837"/>
      <w:bookmarkStart w:id="768" w:name="_Toc216681900"/>
      <w:bookmarkStart w:id="769" w:name="_Toc114990600"/>
      <w:bookmarkStart w:id="770" w:name="_Toc20161"/>
      <w:bookmarkStart w:id="771" w:name="_Toc54862221"/>
      <w:r>
        <w:rPr>
          <w:rFonts w:hint="eastAsia" w:ascii="宋体" w:hAnsi="宋体" w:eastAsia="宋体" w:cs="仿宋"/>
          <w:bCs/>
          <w:color w:val="auto"/>
          <w:kern w:val="0"/>
          <w:szCs w:val="21"/>
          <w:highlight w:val="none"/>
        </w:rPr>
        <w:t>第5条 设计</w:t>
      </w:r>
      <w:bookmarkEnd w:id="765"/>
      <w:bookmarkEnd w:id="766"/>
      <w:bookmarkEnd w:id="767"/>
      <w:bookmarkEnd w:id="768"/>
      <w:bookmarkEnd w:id="769"/>
      <w:bookmarkEnd w:id="770"/>
      <w:bookmarkEnd w:id="771"/>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72" w:name="_Toc54862222"/>
      <w:bookmarkStart w:id="773" w:name="_Toc114990601"/>
      <w:bookmarkStart w:id="774" w:name="_Ref531952860"/>
      <w:bookmarkStart w:id="775" w:name="_Toc1134"/>
      <w:bookmarkStart w:id="776" w:name="_Ref531952863"/>
      <w:r>
        <w:rPr>
          <w:rFonts w:hint="eastAsia" w:ascii="宋体" w:hAnsi="宋体" w:eastAsia="宋体" w:cs="仿宋"/>
          <w:bCs/>
          <w:color w:val="auto"/>
          <w:szCs w:val="21"/>
          <w:highlight w:val="none"/>
        </w:rPr>
        <w:t>5.1 承包人的设计义务</w:t>
      </w:r>
      <w:bookmarkEnd w:id="772"/>
      <w:bookmarkEnd w:id="773"/>
      <w:bookmarkEnd w:id="774"/>
      <w:bookmarkEnd w:id="775"/>
      <w:bookmarkEnd w:id="776"/>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77" w:name="_Ref531952881"/>
      <w:r>
        <w:rPr>
          <w:rFonts w:hint="eastAsia" w:ascii="宋体" w:hAnsi="宋体" w:eastAsia="宋体" w:cs="仿宋"/>
          <w:color w:val="auto"/>
          <w:szCs w:val="21"/>
          <w:highlight w:val="none"/>
        </w:rPr>
        <w:t>5.1.1 设计义务的一般要求</w:t>
      </w:r>
      <w:bookmarkEnd w:id="777"/>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78" w:name="_Ref531952952"/>
      <w:bookmarkStart w:id="779" w:name="_Ref531952899"/>
      <w:r>
        <w:rPr>
          <w:rFonts w:hint="eastAsia" w:ascii="宋体" w:hAnsi="宋体" w:eastAsia="宋体" w:cs="仿宋"/>
          <w:color w:val="auto"/>
          <w:szCs w:val="21"/>
          <w:highlight w:val="none"/>
        </w:rPr>
        <w:t>5.1.2 对设计人员的要求</w:t>
      </w:r>
      <w:bookmarkEnd w:id="778"/>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779"/>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5.1.3 法律和标准的变化</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在基准日期之后，因国家颁布新的强制性规范、标准导致承包人的费用变化的，发包人应合理调整合同价格；导致工期延误的，发包人应合理延长工期。</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80" w:name="_Ref531953054"/>
      <w:bookmarkStart w:id="781" w:name="_Toc114990602"/>
      <w:bookmarkStart w:id="782" w:name="_Toc54862223"/>
      <w:bookmarkStart w:id="783" w:name="_Ref531953051"/>
      <w:bookmarkStart w:id="784" w:name="_Toc4940"/>
      <w:r>
        <w:rPr>
          <w:rFonts w:hint="eastAsia" w:ascii="宋体" w:hAnsi="宋体" w:eastAsia="宋体" w:cs="仿宋"/>
          <w:bCs/>
          <w:color w:val="auto"/>
          <w:szCs w:val="21"/>
          <w:highlight w:val="none"/>
        </w:rPr>
        <w:t>5.2 承包人文件审查</w:t>
      </w:r>
      <w:bookmarkEnd w:id="780"/>
      <w:bookmarkEnd w:id="781"/>
      <w:bookmarkEnd w:id="782"/>
      <w:bookmarkEnd w:id="783"/>
      <w:bookmarkEnd w:id="784"/>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left="420" w:hanging="420" w:hangingChars="200"/>
        <w:outlineLvl w:val="4"/>
        <w:rPr>
          <w:rFonts w:ascii="宋体" w:hAnsi="宋体" w:eastAsia="宋体" w:cs="仿宋"/>
          <w:color w:val="auto"/>
          <w:szCs w:val="21"/>
          <w:highlight w:val="none"/>
        </w:rPr>
      </w:pPr>
      <w:bookmarkStart w:id="785" w:name="_Ref531953064"/>
      <w:r>
        <w:rPr>
          <w:rFonts w:hint="eastAsia" w:ascii="宋体" w:hAnsi="宋体" w:eastAsia="宋体" w:cs="仿宋"/>
          <w:color w:val="auto"/>
          <w:szCs w:val="21"/>
          <w:highlight w:val="none"/>
        </w:rPr>
        <w:t>5.2.1 根据《发包人要求》应当通过工程师报发包人审查同意的承包人文件，承包人应当按照《发包人要求》约定的范围和内容及时报送审查。</w:t>
      </w:r>
      <w:bookmarkEnd w:id="785"/>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发包人同意承包人文件的，应及时通知承包人，发包人不同意承包人文件的，应在审查期限内通过工程师以书面形式通知承包人，并说明不同意的具体内容和理由。</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承包人对发包人的意见按以下方式处理：</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（1） 发包人的意见构成变更的，承包人应在7天内通知发包人按照第13条[变更与调整]中关于发包人指示变更的约定执行，双方对是否构成变更无法达成一致的，按照第20条[争议解决]的约定执行；</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（2） 因承包人原因导致无法通过审查的，承包人应根据发包人的书面说明，对承包人文件进行修改后重新报送发包人审查，审查期重新起算。因此引起的工期延长和必要的工程费用增加，由承包人负责。</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合同约定的审查期满，发包人没有做出审查结论也没有提出异议的，视为承包人文件已获发包人同意。</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发包人对承包人文件的审查和同意不得被理解为对合同的修改或改变，也并不减轻或免除承包人任何的责任和义务。</w:t>
      </w:r>
    </w:p>
    <w:p>
      <w:pPr>
        <w:tabs>
          <w:tab w:val="left" w:pos="851"/>
        </w:tabs>
        <w:autoSpaceDE w:val="0"/>
        <w:autoSpaceDN w:val="0"/>
        <w:adjustRightInd w:val="0"/>
        <w:snapToGrid w:val="0"/>
        <w:spacing w:line="360" w:lineRule="auto"/>
        <w:ind w:left="420" w:hanging="420" w:hanging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5.2.2 承包人文件不需要政府有关部门或专用合同条件约定的第三方审查单位审查或批准的，承包人应当严格按照经发包人审查同意的承包人文件设计和实施工程。</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发包人有义务向承包人提供审查会议的批准文件和纪要。承包人有义务按照相关审查会议批准的文件和纪要，并依据合同约定及相关技术标准，对承包人文件进行修改、补充和完善。</w:t>
      </w:r>
    </w:p>
    <w:p>
      <w:pPr>
        <w:tabs>
          <w:tab w:val="left" w:pos="851"/>
        </w:tabs>
        <w:autoSpaceDE w:val="0"/>
        <w:autoSpaceDN w:val="0"/>
        <w:adjustRightInd w:val="0"/>
        <w:snapToGrid w:val="0"/>
        <w:spacing w:line="360" w:lineRule="auto"/>
        <w:ind w:left="420" w:hanging="420" w:hangingChars="200"/>
        <w:outlineLvl w:val="4"/>
        <w:rPr>
          <w:rFonts w:ascii="宋体" w:hAnsi="宋体" w:eastAsia="宋体" w:cs="仿宋"/>
          <w:color w:val="auto"/>
          <w:szCs w:val="21"/>
          <w:highlight w:val="none"/>
        </w:rPr>
      </w:pPr>
      <w:bookmarkStart w:id="786" w:name="_Ref531953074"/>
      <w:r>
        <w:rPr>
          <w:rFonts w:hint="eastAsia" w:ascii="宋体" w:hAnsi="宋体" w:eastAsia="宋体" w:cs="仿宋"/>
          <w:color w:val="auto"/>
          <w:szCs w:val="21"/>
          <w:highlight w:val="none"/>
        </w:rPr>
        <w:t>5.2.3 承包人文件需政府有关部门或专用合同条件约定的第三方审查单位审查或批准的，发包人应在发包人审查同意承包人文件后7天内，向政府有关部门或第三方报送承包人文件，承包人应予以协助。</w:t>
      </w:r>
      <w:bookmarkEnd w:id="786"/>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pPr>
        <w:autoSpaceDE w:val="0"/>
        <w:autoSpaceDN w:val="0"/>
        <w:adjustRightInd w:val="0"/>
        <w:snapToGrid w:val="0"/>
        <w:spacing w:line="360" w:lineRule="auto"/>
        <w:ind w:left="420" w:hanging="420" w:hangingChars="200"/>
        <w:rPr>
          <w:rFonts w:ascii="宋体" w:hAnsi="宋体" w:eastAsia="宋体" w:cs="仿宋"/>
          <w:color w:val="auto"/>
          <w:szCs w:val="21"/>
          <w:highlight w:val="none"/>
        </w:rPr>
      </w:pPr>
      <w:r>
        <w:rPr>
          <w:rFonts w:hint="eastAsia" w:ascii="宋体" w:hAnsi="宋体" w:eastAsia="宋体" w:cs="仿宋"/>
          <w:color w:val="auto"/>
          <w:szCs w:val="21"/>
          <w:highlight w:val="none"/>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87" w:name="_Toc114990603"/>
      <w:bookmarkStart w:id="788" w:name="_Ref531953095"/>
      <w:bookmarkStart w:id="789" w:name="_Toc54862224"/>
      <w:bookmarkStart w:id="790" w:name="_Toc10592"/>
      <w:bookmarkStart w:id="791" w:name="_Ref531953097"/>
      <w:r>
        <w:rPr>
          <w:rFonts w:hint="eastAsia" w:ascii="宋体" w:hAnsi="宋体" w:eastAsia="宋体" w:cs="仿宋"/>
          <w:bCs/>
          <w:color w:val="auto"/>
          <w:szCs w:val="21"/>
          <w:highlight w:val="none"/>
        </w:rPr>
        <w:t>5.3 培训</w:t>
      </w:r>
      <w:bookmarkEnd w:id="787"/>
      <w:bookmarkEnd w:id="788"/>
      <w:bookmarkEnd w:id="789"/>
      <w:bookmarkEnd w:id="790"/>
      <w:bookmarkEnd w:id="79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培训的时长应由双方在专用合同条件中约定，承包人应为培训提供有经验的人员、设施和其它必要条件。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92" w:name="_Ref531953108"/>
      <w:bookmarkStart w:id="793" w:name="_Ref531953105"/>
      <w:bookmarkStart w:id="794" w:name="_Toc29001"/>
      <w:bookmarkStart w:id="795" w:name="_Toc54862225"/>
      <w:bookmarkStart w:id="796" w:name="_Toc114990604"/>
      <w:r>
        <w:rPr>
          <w:rFonts w:hint="eastAsia" w:ascii="宋体" w:hAnsi="宋体" w:eastAsia="宋体" w:cs="仿宋"/>
          <w:bCs/>
          <w:color w:val="auto"/>
          <w:szCs w:val="21"/>
          <w:highlight w:val="none"/>
        </w:rPr>
        <w:t>5.4 竣工文件</w:t>
      </w:r>
      <w:bookmarkEnd w:id="792"/>
      <w:bookmarkEnd w:id="793"/>
      <w:bookmarkEnd w:id="794"/>
      <w:bookmarkEnd w:id="795"/>
      <w:bookmarkEnd w:id="79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797" w:name="_Ref531953134"/>
      <w:r>
        <w:rPr>
          <w:rFonts w:hint="eastAsia" w:ascii="宋体" w:hAnsi="宋体" w:eastAsia="宋体" w:cs="仿宋"/>
          <w:color w:val="auto"/>
          <w:szCs w:val="21"/>
          <w:highlight w:val="none"/>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797"/>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5.4.3 除专用合同条件另有约定外，在工程师收到本款下的文件前，不应认为工程已根据第10.1款[竣工验收]和第10.2款[单位/区段工程的验收]的约定完成验收。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798" w:name="_Ref531953117"/>
      <w:bookmarkStart w:id="799" w:name="_Toc17556"/>
      <w:bookmarkStart w:id="800" w:name="_Toc114990605"/>
      <w:bookmarkStart w:id="801" w:name="_Toc54862226"/>
      <w:bookmarkStart w:id="802" w:name="_Ref531953119"/>
      <w:r>
        <w:rPr>
          <w:rFonts w:hint="eastAsia" w:ascii="宋体" w:hAnsi="宋体" w:eastAsia="宋体" w:cs="仿宋"/>
          <w:bCs/>
          <w:color w:val="auto"/>
          <w:szCs w:val="21"/>
          <w:highlight w:val="none"/>
        </w:rPr>
        <w:t>5.5 操作和维修手册</w:t>
      </w:r>
      <w:bookmarkEnd w:id="798"/>
      <w:bookmarkEnd w:id="799"/>
      <w:bookmarkEnd w:id="800"/>
      <w:bookmarkEnd w:id="801"/>
      <w:bookmarkEnd w:id="80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03" w:name="_Ref531953145"/>
      <w:r>
        <w:rPr>
          <w:rFonts w:hint="eastAsia" w:ascii="宋体" w:hAnsi="宋体" w:eastAsia="宋体" w:cs="仿宋"/>
          <w:color w:val="auto"/>
          <w:szCs w:val="21"/>
          <w:highlight w:val="none"/>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80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5.5.2 工程师收到承包人提交的文件后，应依据第5.2款[承包人文件审查]的约定对操作和维修手册进行审查，竣工试验工程中，承包人应为任何因操作和维修手册错误或遗漏引起的风险或损失承担责任。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04" w:name="_Toc54862227"/>
      <w:bookmarkStart w:id="805" w:name="_Toc11604"/>
      <w:bookmarkStart w:id="806" w:name="_Toc114990606"/>
      <w:r>
        <w:rPr>
          <w:rFonts w:hint="eastAsia" w:ascii="宋体" w:hAnsi="宋体" w:eastAsia="宋体" w:cs="仿宋"/>
          <w:bCs/>
          <w:color w:val="auto"/>
          <w:szCs w:val="21"/>
          <w:highlight w:val="none"/>
        </w:rPr>
        <w:t>5.6 承包人文件错误</w:t>
      </w:r>
      <w:bookmarkEnd w:id="804"/>
      <w:bookmarkEnd w:id="805"/>
      <w:bookmarkEnd w:id="806"/>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807" w:name="_Ref531953765"/>
      <w:bookmarkStart w:id="808" w:name="_Toc24610"/>
      <w:bookmarkStart w:id="809" w:name="_Toc54862228"/>
      <w:bookmarkStart w:id="810" w:name="_Toc216681901"/>
      <w:bookmarkStart w:id="811" w:name="_Toc25226"/>
      <w:bookmarkStart w:id="812" w:name="_Toc114990607"/>
      <w:bookmarkStart w:id="813" w:name="_Toc14581"/>
      <w:bookmarkStart w:id="814" w:name="_Ref531953761"/>
      <w:r>
        <w:rPr>
          <w:rFonts w:hint="eastAsia" w:ascii="宋体" w:hAnsi="宋体" w:eastAsia="宋体" w:cs="仿宋"/>
          <w:bCs/>
          <w:color w:val="auto"/>
          <w:kern w:val="0"/>
          <w:szCs w:val="21"/>
          <w:highlight w:val="none"/>
        </w:rPr>
        <w:t>第6条 材料、工程设备</w:t>
      </w:r>
      <w:bookmarkEnd w:id="807"/>
      <w:bookmarkEnd w:id="808"/>
      <w:bookmarkEnd w:id="809"/>
      <w:bookmarkEnd w:id="810"/>
      <w:bookmarkEnd w:id="811"/>
      <w:bookmarkEnd w:id="812"/>
      <w:bookmarkEnd w:id="813"/>
      <w:bookmarkEnd w:id="814"/>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15" w:name="_Ref531953832"/>
      <w:bookmarkStart w:id="816" w:name="_Toc114990608"/>
      <w:bookmarkStart w:id="817" w:name="_Toc443"/>
      <w:bookmarkStart w:id="818" w:name="_Toc54862229"/>
      <w:bookmarkStart w:id="819" w:name="_Ref531953828"/>
      <w:r>
        <w:rPr>
          <w:rFonts w:hint="eastAsia" w:ascii="宋体" w:hAnsi="宋体" w:eastAsia="宋体" w:cs="仿宋"/>
          <w:bCs/>
          <w:color w:val="auto"/>
          <w:szCs w:val="21"/>
          <w:highlight w:val="none"/>
        </w:rPr>
        <w:t>6.1 实施方法</w:t>
      </w:r>
      <w:bookmarkEnd w:id="815"/>
      <w:bookmarkEnd w:id="816"/>
      <w:bookmarkEnd w:id="817"/>
      <w:bookmarkEnd w:id="818"/>
      <w:bookmarkEnd w:id="819"/>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承包人应按以下方法进行材料的加工、工程设备的采购、制造和安装、以及工程的所有其他实施作业：</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820" w:name="_Ref531953847"/>
      <w:r>
        <w:rPr>
          <w:rFonts w:hint="eastAsia" w:ascii="宋体" w:hAnsi="宋体" w:eastAsia="宋体" w:cs="仿宋"/>
          <w:color w:val="auto"/>
          <w:szCs w:val="21"/>
          <w:highlight w:val="none"/>
        </w:rPr>
        <w:t>（1） 按照法律规定和合同约定的方法；</w:t>
      </w:r>
      <w:bookmarkEnd w:id="82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按照公认的良好行业习惯，使用恰当、审慎、先进的方法；</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除专用合同条件另有规定外，应使用适当配备的实施方法、设备、设施和无危险的材料。</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21" w:name="_Toc11092"/>
      <w:bookmarkStart w:id="822" w:name="_Ref11926422"/>
      <w:bookmarkStart w:id="823" w:name="_Toc114990609"/>
      <w:bookmarkStart w:id="824" w:name="_Toc54862230"/>
      <w:bookmarkStart w:id="825" w:name="_Ref4427594"/>
      <w:r>
        <w:rPr>
          <w:rFonts w:hint="eastAsia" w:ascii="宋体" w:hAnsi="宋体" w:eastAsia="宋体" w:cs="仿宋"/>
          <w:bCs/>
          <w:color w:val="auto"/>
          <w:szCs w:val="21"/>
          <w:highlight w:val="none"/>
        </w:rPr>
        <w:t>6.2 材料和工程设备</w:t>
      </w:r>
      <w:bookmarkEnd w:id="821"/>
      <w:bookmarkEnd w:id="822"/>
      <w:bookmarkEnd w:id="823"/>
      <w:bookmarkEnd w:id="82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26" w:name="_Ref11960295"/>
      <w:r>
        <w:rPr>
          <w:rFonts w:hint="eastAsia" w:ascii="宋体" w:hAnsi="宋体" w:eastAsia="宋体" w:cs="仿宋"/>
          <w:color w:val="auto"/>
          <w:szCs w:val="21"/>
          <w:highlight w:val="none"/>
        </w:rPr>
        <w:t>6.2.1 发包人提供的材料和工程设备</w:t>
      </w:r>
      <w:bookmarkEnd w:id="825"/>
      <w:bookmarkEnd w:id="826"/>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发包人自行供应材料、工程设备的，应在订立合同时在专用合同条件的附件《发包人供应材料设备一览表》中明确材料、工程设备的品种、规格、型号、主要参数、数量、单价、质量等级和交接地点等。</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27" w:name="_Ref531953918"/>
      <w:r>
        <w:rPr>
          <w:rFonts w:hint="eastAsia" w:ascii="宋体" w:hAnsi="宋体" w:eastAsia="宋体" w:cs="仿宋"/>
          <w:color w:val="auto"/>
          <w:szCs w:val="21"/>
          <w:highlight w:val="none"/>
        </w:rPr>
        <w:t>6.2.2 承包人提供的材料和工程设备</w:t>
      </w:r>
      <w:bookmarkEnd w:id="827"/>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28" w:name="_Ref531953991"/>
      <w:bookmarkStart w:id="829" w:name="_Ref531953999"/>
      <w:r>
        <w:rPr>
          <w:rFonts w:hint="eastAsia" w:ascii="宋体" w:hAnsi="宋体" w:eastAsia="宋体" w:cs="仿宋"/>
          <w:color w:val="auto"/>
          <w:szCs w:val="21"/>
          <w:highlight w:val="none"/>
        </w:rPr>
        <w:t>6.2.3 材料和工程设备的保管</w:t>
      </w:r>
      <w:bookmarkEnd w:id="828"/>
      <w:bookmarkEnd w:id="829"/>
      <w:r>
        <w:rPr>
          <w:rFonts w:hint="eastAsia" w:ascii="宋体" w:hAnsi="宋体" w:eastAsia="宋体" w:cs="仿宋"/>
          <w:color w:val="auto"/>
          <w:szCs w:val="21"/>
          <w:highlight w:val="none"/>
        </w:rPr>
        <w:t xml:space="preserve"> </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发包人供应材料与工程设备的保管与使用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发包人供应的材料和工程设备，承包人清点并接收后由承包人妥善保管，保管费用由承包人承担，但专用合同条件另有约定除外。因承包人原因发生丢失毁损的，由承包人负责赔偿。</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发包人供应的材料和工程设备使用前，由承包人负责必要的检验，检验费用由发包人承担，不合格的不得使用。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承包人采购材料与工程设备的保管与使用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工程师发现承包人使用不符合设计或有关标准要求的材料和工程设备时，有权要求承包人进行修复、拆除或重新采购，由此增加的费用和（或）延误的工期，由承包人承担。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6.2.4 材料和工程设备的所有权</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承包人按第6.2.2项提供的材料和工程设备，承包人应确保发包人取得无权利负担的材料及工程设备所有权，因承包人与第三人的物权争议导致的增加的费用和（或）延误的工期，由承包人承担。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30" w:name="_Toc54862231"/>
      <w:bookmarkStart w:id="831" w:name="_Toc3599"/>
      <w:bookmarkStart w:id="832" w:name="_Ref4428239"/>
      <w:bookmarkStart w:id="833" w:name="_Toc114990610"/>
      <w:bookmarkStart w:id="834" w:name="_Toc351203565"/>
      <w:bookmarkStart w:id="835" w:name="_Toc337558785"/>
      <w:r>
        <w:rPr>
          <w:rFonts w:hint="eastAsia" w:ascii="宋体" w:hAnsi="宋体" w:eastAsia="宋体" w:cs="仿宋"/>
          <w:bCs/>
          <w:color w:val="auto"/>
          <w:szCs w:val="21"/>
          <w:highlight w:val="none"/>
        </w:rPr>
        <w:t>6.3 样品</w:t>
      </w:r>
      <w:bookmarkEnd w:id="830"/>
      <w:bookmarkEnd w:id="831"/>
      <w:bookmarkEnd w:id="832"/>
      <w:bookmarkEnd w:id="83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6.3.1 样品的报送与封存</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需要承包人报送样品的材料或工程设备，样品的种类、名称、规格、数量等要求均应在专用合同条件中约定。样品的报送程序如下：</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经工程师审批确认的样品应按约定的方法封样，封存的样品作为检验工程相关部分的标准之一。承包人在施工过程中不得使用与样品不符的材料或工程设备。</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6.3.2 样品的保管</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经批准的样品应由工程师负责封存于现场，承包人应在现场为保存样品提供适当和固定的场所并保持适当和良好的存储环境条件。</w:t>
      </w:r>
    </w:p>
    <w:p>
      <w:pPr>
        <w:tabs>
          <w:tab w:val="left" w:pos="851"/>
        </w:tabs>
        <w:autoSpaceDE w:val="0"/>
        <w:autoSpaceDN w:val="0"/>
        <w:adjustRightInd w:val="0"/>
        <w:snapToGrid w:val="0"/>
        <w:spacing w:line="360" w:lineRule="auto"/>
        <w:ind w:firstLine="420" w:firstLineChars="200"/>
        <w:outlineLvl w:val="3"/>
        <w:rPr>
          <w:rFonts w:ascii="宋体" w:hAnsi="宋体" w:eastAsia="宋体" w:cs="仿宋"/>
          <w:bCs/>
          <w:color w:val="auto"/>
          <w:szCs w:val="21"/>
          <w:highlight w:val="none"/>
        </w:rPr>
      </w:pPr>
      <w:bookmarkStart w:id="836" w:name="_Ref11959204"/>
      <w:bookmarkStart w:id="837" w:name="_Ref11959210"/>
      <w:bookmarkStart w:id="838" w:name="_Toc26424"/>
      <w:bookmarkStart w:id="839" w:name="_Toc114990611"/>
      <w:bookmarkStart w:id="840" w:name="_Toc54862232"/>
      <w:r>
        <w:rPr>
          <w:rFonts w:hint="eastAsia" w:ascii="宋体" w:hAnsi="宋体" w:eastAsia="宋体" w:cs="仿宋"/>
          <w:bCs/>
          <w:color w:val="auto"/>
          <w:szCs w:val="21"/>
          <w:highlight w:val="none"/>
        </w:rPr>
        <w:t>6.4 质量检查</w:t>
      </w:r>
      <w:bookmarkEnd w:id="836"/>
      <w:bookmarkEnd w:id="837"/>
      <w:bookmarkEnd w:id="838"/>
      <w:bookmarkEnd w:id="839"/>
      <w:bookmarkEnd w:id="840"/>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41" w:name="_Ref18990699"/>
      <w:r>
        <w:rPr>
          <w:rFonts w:hint="eastAsia" w:ascii="宋体" w:hAnsi="宋体" w:eastAsia="宋体" w:cs="仿宋"/>
          <w:color w:val="auto"/>
          <w:szCs w:val="21"/>
          <w:highlight w:val="none"/>
        </w:rPr>
        <w:t>6.4.1 工程质量要求</w:t>
      </w:r>
      <w:bookmarkEnd w:id="841"/>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工程质量标准必须符合现行国家有关工程施工质量验收规范和标准的要求。有关工程质量的特殊标准或要求由合同当事人在专用合同条件中约定。</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42" w:name="_Ref18990717"/>
      <w:r>
        <w:rPr>
          <w:rFonts w:hint="eastAsia" w:ascii="宋体" w:hAnsi="宋体" w:eastAsia="宋体" w:cs="仿宋"/>
          <w:color w:val="auto"/>
          <w:szCs w:val="21"/>
          <w:highlight w:val="none"/>
        </w:rPr>
        <w:t>6.4.2 质量检查</w:t>
      </w:r>
      <w:bookmarkEnd w:id="842"/>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43" w:name="_Ref11959222"/>
      <w:r>
        <w:rPr>
          <w:rFonts w:hint="eastAsia" w:ascii="宋体" w:hAnsi="宋体" w:eastAsia="宋体" w:cs="仿宋"/>
          <w:color w:val="auto"/>
          <w:szCs w:val="21"/>
          <w:highlight w:val="none"/>
        </w:rPr>
        <w:t>6.4.3 隐蔽工程检查</w:t>
      </w:r>
      <w:bookmarkEnd w:id="843"/>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工程师不能按时进行检查的，应提前向承包人提交书面延期要求，顺延时间不得超过48小时，由此导致工期延误的，工期应予以顺延，顺延超过48小时的，由此导致的工期延误由发包人承担。工程师未按时进行检查，也未提出延期要求的，报发包人以后认可后，视为隐蔽工程检查合格，承包人可自行完成覆盖工作，并作相应记录报送工程师，工程师应签字确认。工程师事后对检查记录有疑问的，可按下列约定重新检查。</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经过检验的工程，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经检查证明工程质量不符合合同要求的，由此增加的费用和（或）延误的工期由承包人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承包人未通知工程师到场检查，私自将工程隐蔽部位覆盖的，工程师有权指示承包人钻孔探测或揭开检查，无论工程隐蔽部位质量是否合格，由此增加的费用和（或）延误的工期均由承包人承担。</w:t>
      </w:r>
    </w:p>
    <w:bookmarkEnd w:id="834"/>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44" w:name="_Ref11927403"/>
      <w:bookmarkStart w:id="845" w:name="_Ref11927389"/>
      <w:bookmarkStart w:id="846" w:name="_Ref11927398"/>
      <w:bookmarkStart w:id="847" w:name="_Toc114990612"/>
      <w:bookmarkStart w:id="848" w:name="_Toc14302"/>
      <w:bookmarkStart w:id="849" w:name="_Ref11959158"/>
      <w:bookmarkStart w:id="850" w:name="_Toc54862233"/>
      <w:bookmarkStart w:id="851" w:name="_Ref11959175"/>
      <w:r>
        <w:rPr>
          <w:rFonts w:hint="eastAsia" w:ascii="宋体" w:hAnsi="宋体" w:eastAsia="宋体" w:cs="仿宋"/>
          <w:bCs/>
          <w:color w:val="auto"/>
          <w:szCs w:val="21"/>
          <w:highlight w:val="none"/>
        </w:rPr>
        <w:t>6.5 由承包人试验</w:t>
      </w:r>
      <w:bookmarkEnd w:id="844"/>
      <w:bookmarkEnd w:id="845"/>
      <w:bookmarkEnd w:id="846"/>
      <w:r>
        <w:rPr>
          <w:rFonts w:hint="eastAsia" w:ascii="宋体" w:hAnsi="宋体" w:eastAsia="宋体" w:cs="仿宋"/>
          <w:bCs/>
          <w:color w:val="auto"/>
          <w:szCs w:val="21"/>
          <w:highlight w:val="none"/>
        </w:rPr>
        <w:t>和检验</w:t>
      </w:r>
      <w:bookmarkEnd w:id="847"/>
      <w:bookmarkEnd w:id="848"/>
      <w:bookmarkEnd w:id="849"/>
      <w:bookmarkEnd w:id="850"/>
      <w:bookmarkEnd w:id="851"/>
    </w:p>
    <w:bookmarkEnd w:id="835"/>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6.5.1 试验设备与试验人员</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承包人应按专用合同条件约定的试验内容、时间和地点提供试验设备、取样装置、试验场所和试验条件，并向工程师提交相应进场计划表。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承包人配置的试验设备要符合相应试验规程的要求并经过具有资质的检测单位检测，且在正式使用该试验设备前，需要经过工程师与承包人共同校定。</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承包人应向工程师提交试验人员的名单及其岗位、资格等证明资料，试验人员必须能够熟练进行相应的检测试验，承包人对试验人员的试验程序和试验结果的正确性负责。</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6.5.2 取样</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试验属于自检性质的，承包人可以单独取样。试验属于工程师抽检性质的，可由工程师取样，也可由承包人的试验人员在工程师的监督下取样。</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6.5.3 材料、工程设备和工程的试验和检验</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52" w:name="_Toc351203566"/>
      <w:bookmarkStart w:id="853" w:name="_Toc337558786"/>
      <w:r>
        <w:rPr>
          <w:rFonts w:hint="eastAsia" w:ascii="宋体" w:hAnsi="宋体" w:eastAsia="宋体" w:cs="仿宋"/>
          <w:color w:val="auto"/>
          <w:szCs w:val="21"/>
          <w:highlight w:val="none"/>
        </w:rPr>
        <w:t>6.5.4 现场工艺试验</w:t>
      </w:r>
      <w:bookmarkEnd w:id="852"/>
    </w:p>
    <w:bookmarkEnd w:id="853"/>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承包人应按合同约定进行现场工艺试验。对大型的现场工艺试验，发包人认为必要时，承包人应根据发包人提出的工艺试验要求，编制工艺试验措施计划，报送发包人审查。</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54" w:name="_Ref532592787"/>
      <w:bookmarkStart w:id="855" w:name="_Ref532592784"/>
      <w:bookmarkStart w:id="856" w:name="_Toc20729"/>
      <w:bookmarkStart w:id="857" w:name="_Toc114990613"/>
      <w:bookmarkStart w:id="858" w:name="_Toc54862234"/>
      <w:r>
        <w:rPr>
          <w:rFonts w:hint="eastAsia" w:ascii="宋体" w:hAnsi="宋体" w:eastAsia="宋体" w:cs="仿宋"/>
          <w:bCs/>
          <w:color w:val="auto"/>
          <w:szCs w:val="21"/>
          <w:highlight w:val="none"/>
        </w:rPr>
        <w:t>6.6 缺陷和修补</w:t>
      </w:r>
      <w:bookmarkEnd w:id="854"/>
      <w:bookmarkEnd w:id="855"/>
      <w:bookmarkEnd w:id="856"/>
      <w:bookmarkEnd w:id="857"/>
      <w:bookmarkEnd w:id="85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59" w:name="_Toc5158"/>
      <w:bookmarkStart w:id="860" w:name="_Ref16875551"/>
      <w:bookmarkStart w:id="861" w:name="_Toc15671"/>
      <w:r>
        <w:rPr>
          <w:rFonts w:hint="eastAsia" w:ascii="宋体" w:hAnsi="宋体" w:eastAsia="宋体" w:cs="仿宋"/>
          <w:color w:val="auto"/>
          <w:szCs w:val="21"/>
          <w:highlight w:val="none"/>
        </w:rPr>
        <w:t>6.6.1 发包人可在颁发接收证书前随时指示承包人：</w:t>
      </w:r>
      <w:bookmarkEnd w:id="859"/>
      <w:bookmarkEnd w:id="860"/>
      <w:bookmarkEnd w:id="861"/>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对不符合合同要求的任何工程设备或材料进行修补，或者将其移出现场并进行更换；</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（2） 对不符合合同的其他工作进行修补，或者将其去除并重新实施； </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862" w:name="_Ref4708991"/>
      <w:r>
        <w:rPr>
          <w:rFonts w:hint="eastAsia" w:ascii="宋体" w:hAnsi="宋体" w:eastAsia="宋体" w:cs="仿宋"/>
          <w:color w:val="auto"/>
          <w:szCs w:val="21"/>
          <w:highlight w:val="none"/>
        </w:rPr>
        <w:t>（3） 实施因意外、不可预见的事件或其他原因引起的、为工程的安全迫切需要的任何修补工作。</w:t>
      </w:r>
      <w:bookmarkEnd w:id="86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63" w:name="_Ref11956964"/>
      <w:r>
        <w:rPr>
          <w:rFonts w:hint="eastAsia" w:ascii="宋体" w:hAnsi="宋体" w:eastAsia="宋体" w:cs="仿宋"/>
          <w:color w:val="auto"/>
          <w:szCs w:val="21"/>
          <w:highlight w:val="none"/>
        </w:rPr>
        <w:t>6.6.2 承包人应遵守第6.6.1项下指示，并在合理可行的情况下，根据上述指示中规定的时间完成修补工作。除因下列原因引起的第6.6.1项第（3）目下的情形外，承包人应承担所有修补工作的费用：</w:t>
      </w:r>
      <w:bookmarkEnd w:id="863"/>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因发包人或其人员的任何行为导致的情形，且在此情况下发包人应承担因此引起的工期延误和承包人费用损失。</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第17.4款[不可抗力后果的承担]中适用的不可抗力事件的情形。</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864" w:name="_Toc19586"/>
      <w:bookmarkStart w:id="865" w:name="_Toc259"/>
      <w:bookmarkStart w:id="866" w:name="_Toc54862235"/>
      <w:bookmarkStart w:id="867" w:name="_Toc216681902"/>
      <w:bookmarkStart w:id="868" w:name="_Toc17972"/>
      <w:bookmarkStart w:id="869" w:name="_Ref531954214"/>
      <w:bookmarkStart w:id="870" w:name="_Toc114990614"/>
      <w:r>
        <w:rPr>
          <w:rFonts w:hint="eastAsia" w:ascii="宋体" w:hAnsi="宋体" w:eastAsia="宋体" w:cs="仿宋"/>
          <w:bCs/>
          <w:color w:val="auto"/>
          <w:kern w:val="0"/>
          <w:szCs w:val="21"/>
          <w:highlight w:val="none"/>
        </w:rPr>
        <w:t>第7条 施工</w:t>
      </w:r>
      <w:bookmarkEnd w:id="864"/>
      <w:bookmarkEnd w:id="865"/>
      <w:bookmarkEnd w:id="866"/>
      <w:bookmarkEnd w:id="867"/>
      <w:bookmarkEnd w:id="868"/>
      <w:bookmarkEnd w:id="869"/>
      <w:bookmarkEnd w:id="870"/>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71" w:name="_Toc16340"/>
      <w:bookmarkStart w:id="872" w:name="_Toc54862236"/>
      <w:bookmarkStart w:id="873" w:name="_Toc114990615"/>
      <w:bookmarkStart w:id="874" w:name="_Ref531954272"/>
      <w:bookmarkStart w:id="875" w:name="_Ref531954276"/>
      <w:bookmarkStart w:id="876" w:name="_Ref531954246"/>
      <w:bookmarkStart w:id="877" w:name="_Ref531954260"/>
      <w:r>
        <w:rPr>
          <w:rFonts w:hint="eastAsia" w:ascii="宋体" w:hAnsi="宋体" w:eastAsia="宋体" w:cs="仿宋"/>
          <w:bCs/>
          <w:color w:val="auto"/>
          <w:szCs w:val="21"/>
          <w:highlight w:val="none"/>
        </w:rPr>
        <w:t>7.1 交通运输</w:t>
      </w:r>
      <w:bookmarkEnd w:id="871"/>
      <w:bookmarkEnd w:id="872"/>
      <w:bookmarkEnd w:id="873"/>
      <w:bookmarkEnd w:id="874"/>
      <w:bookmarkEnd w:id="875"/>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78" w:name="_Ref4422645"/>
      <w:r>
        <w:rPr>
          <w:rFonts w:hint="eastAsia" w:ascii="宋体" w:hAnsi="宋体" w:eastAsia="宋体" w:cs="仿宋"/>
          <w:color w:val="auto"/>
          <w:szCs w:val="21"/>
          <w:highlight w:val="none"/>
        </w:rPr>
        <w:t>7.1.1 出入现场的权利</w:t>
      </w:r>
      <w:bookmarkEnd w:id="878"/>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79" w:name="_Ref18957045"/>
      <w:r>
        <w:rPr>
          <w:rFonts w:hint="eastAsia" w:ascii="宋体" w:hAnsi="宋体" w:eastAsia="宋体" w:cs="仿宋"/>
          <w:color w:val="auto"/>
          <w:szCs w:val="21"/>
          <w:highlight w:val="none"/>
        </w:rPr>
        <w:t>7.1.2 场外交通</w:t>
      </w:r>
      <w:bookmarkEnd w:id="879"/>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80" w:name="_Ref4622358"/>
      <w:r>
        <w:rPr>
          <w:rFonts w:hint="eastAsia" w:ascii="宋体" w:hAnsi="宋体" w:eastAsia="宋体" w:cs="仿宋"/>
          <w:color w:val="auto"/>
          <w:szCs w:val="21"/>
          <w:highlight w:val="none"/>
        </w:rPr>
        <w:t>7.1.3 场内交通</w:t>
      </w:r>
      <w:bookmarkEnd w:id="880"/>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81" w:name="_Ref4622376"/>
      <w:r>
        <w:rPr>
          <w:rFonts w:hint="eastAsia" w:ascii="宋体" w:hAnsi="宋体" w:eastAsia="宋体" w:cs="仿宋"/>
          <w:color w:val="auto"/>
          <w:szCs w:val="21"/>
          <w:highlight w:val="none"/>
        </w:rPr>
        <w:t>7.1.4 超大件和超重件的运输</w:t>
      </w:r>
      <w:bookmarkEnd w:id="881"/>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7.1.5 道路和桥梁的损坏责任</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因承包人运输造成施工现场内外公共道路和桥梁损坏的，由承包人承担修复损坏的全部费用和可能引起的赔偿。</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7.1.6 水路和航空运输</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本条上述各款的内容适用于水路运输和航空运输，其中“道路”一词的涵义包括河道、航线、船闸、机场、码头、堤防以及水路或航空运输中其他相似结构物；“车辆”一词的涵义包括船舶和飞机等。</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82" w:name="_Ref11919294"/>
      <w:bookmarkStart w:id="883" w:name="_Toc13869"/>
      <w:bookmarkStart w:id="884" w:name="_Toc54862237"/>
      <w:bookmarkStart w:id="885" w:name="_Toc114990616"/>
      <w:bookmarkStart w:id="886" w:name="_Ref11919459"/>
      <w:r>
        <w:rPr>
          <w:rFonts w:hint="eastAsia" w:ascii="宋体" w:hAnsi="宋体" w:eastAsia="宋体" w:cs="仿宋"/>
          <w:bCs/>
          <w:color w:val="auto"/>
          <w:szCs w:val="21"/>
          <w:highlight w:val="none"/>
        </w:rPr>
        <w:t>7.2 施工设备和临时设施</w:t>
      </w:r>
      <w:bookmarkEnd w:id="876"/>
      <w:bookmarkEnd w:id="877"/>
      <w:bookmarkEnd w:id="882"/>
      <w:bookmarkEnd w:id="883"/>
      <w:bookmarkEnd w:id="884"/>
      <w:bookmarkEnd w:id="885"/>
      <w:bookmarkEnd w:id="886"/>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87" w:name="_Ref18990767"/>
      <w:bookmarkStart w:id="888" w:name="_Ref509043186"/>
      <w:r>
        <w:rPr>
          <w:rFonts w:hint="eastAsia" w:ascii="宋体" w:hAnsi="宋体" w:eastAsia="宋体" w:cs="仿宋"/>
          <w:color w:val="auto"/>
          <w:szCs w:val="21"/>
          <w:highlight w:val="none"/>
        </w:rPr>
        <w:t>7.2.1 承包人提供的施工设备和临时设施</w:t>
      </w:r>
      <w:bookmarkEnd w:id="887"/>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888"/>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889" w:name="_Ref18990784"/>
      <w:r>
        <w:rPr>
          <w:rFonts w:hint="eastAsia" w:ascii="宋体" w:hAnsi="宋体" w:eastAsia="宋体" w:cs="仿宋"/>
          <w:color w:val="auto"/>
          <w:szCs w:val="21"/>
          <w:highlight w:val="none"/>
        </w:rPr>
        <w:t>7.2.2 发包人提供的施工设备和临时设施</w:t>
      </w:r>
      <w:bookmarkEnd w:id="889"/>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发包人提供的施工设备或临时设施在专用合同条件中约定。</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7.2.3 要求承包人增加或更换施工设备</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承包人使用的施工设备不能满足项目进度计划和（或）质量要求时，工程师有权要求承包人增加或更换施工设备，承包人应及时增加或更换，由此增加的费用和（或）延误的工期由承包人承担。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7.2.4 施工设备和临时设施专用于合同工程</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90" w:name="_Ref11874352"/>
      <w:bookmarkStart w:id="891" w:name="_Toc54862238"/>
      <w:bookmarkStart w:id="892" w:name="_Toc7141"/>
      <w:bookmarkStart w:id="893" w:name="_Toc114990617"/>
      <w:r>
        <w:rPr>
          <w:rFonts w:hint="eastAsia" w:ascii="宋体" w:hAnsi="宋体" w:eastAsia="宋体" w:cs="仿宋"/>
          <w:bCs/>
          <w:color w:val="auto"/>
          <w:szCs w:val="21"/>
          <w:highlight w:val="none"/>
        </w:rPr>
        <w:t>7.3 现场合作</w:t>
      </w:r>
      <w:bookmarkEnd w:id="890"/>
      <w:bookmarkEnd w:id="891"/>
      <w:bookmarkEnd w:id="892"/>
      <w:bookmarkEnd w:id="89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承包人应按合同约定或发包人的指示，与发包人人员、发包人的其他承包人等人员就在现场或附近实施与工程有关的各项工作进行合作并提供适当条件，包括使用承包人设备、临时工程或进入现场等。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承包人应对其在现场的施工活动负责，并应尽合理努力按合同约定或发包人的指示，协调自身与发包人人员、发包人的其他承包人等人员的活动。</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94" w:name="_Ref531954287"/>
      <w:bookmarkStart w:id="895" w:name="_Toc31012"/>
      <w:bookmarkStart w:id="896" w:name="_Toc114990618"/>
      <w:bookmarkStart w:id="897" w:name="_Toc54862239"/>
      <w:bookmarkStart w:id="898" w:name="_Ref531954285"/>
      <w:r>
        <w:rPr>
          <w:rFonts w:hint="eastAsia" w:ascii="宋体" w:hAnsi="宋体" w:eastAsia="宋体" w:cs="仿宋"/>
          <w:bCs/>
          <w:color w:val="auto"/>
          <w:szCs w:val="21"/>
          <w:highlight w:val="none"/>
        </w:rPr>
        <w:t>7.4 测量放线</w:t>
      </w:r>
      <w:bookmarkEnd w:id="894"/>
      <w:bookmarkEnd w:id="895"/>
      <w:bookmarkEnd w:id="896"/>
      <w:bookmarkEnd w:id="897"/>
      <w:bookmarkEnd w:id="89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899" w:name="_Toc54862240"/>
      <w:bookmarkStart w:id="900" w:name="_Toc15390"/>
      <w:bookmarkStart w:id="901" w:name="_Toc114990619"/>
      <w:bookmarkStart w:id="902" w:name="_Ref4770992"/>
      <w:bookmarkStart w:id="903" w:name="_Ref531954323"/>
      <w:bookmarkStart w:id="904" w:name="_Ref531954329"/>
      <w:r>
        <w:rPr>
          <w:rFonts w:hint="eastAsia" w:ascii="宋体" w:hAnsi="宋体" w:eastAsia="宋体" w:cs="仿宋"/>
          <w:bCs/>
          <w:color w:val="auto"/>
          <w:szCs w:val="21"/>
          <w:highlight w:val="none"/>
        </w:rPr>
        <w:t>7.5 现场劳动用工</w:t>
      </w:r>
      <w:bookmarkEnd w:id="899"/>
      <w:bookmarkEnd w:id="900"/>
      <w:bookmarkEnd w:id="901"/>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7.5.3 承包人应当按照相关法律法规的要求，进行劳动用工管理和建筑工人工资支付。</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05" w:name="_Toc4416"/>
      <w:bookmarkStart w:id="906" w:name="_Toc114990620"/>
      <w:bookmarkStart w:id="907" w:name="_Toc54862241"/>
      <w:bookmarkStart w:id="908" w:name="_Ref41554059"/>
      <w:r>
        <w:rPr>
          <w:rFonts w:hint="eastAsia" w:ascii="宋体" w:hAnsi="宋体" w:eastAsia="宋体" w:cs="仿宋"/>
          <w:bCs/>
          <w:color w:val="auto"/>
          <w:szCs w:val="21"/>
          <w:highlight w:val="none"/>
        </w:rPr>
        <w:t>7.6 安全文明施工</w:t>
      </w:r>
      <w:bookmarkEnd w:id="902"/>
      <w:bookmarkEnd w:id="903"/>
      <w:bookmarkEnd w:id="904"/>
      <w:bookmarkEnd w:id="905"/>
      <w:bookmarkEnd w:id="906"/>
      <w:bookmarkEnd w:id="907"/>
      <w:bookmarkEnd w:id="90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09" w:name="_Ref18990822"/>
      <w:r>
        <w:rPr>
          <w:rFonts w:hint="eastAsia" w:ascii="宋体" w:hAnsi="宋体" w:eastAsia="宋体" w:cs="仿宋"/>
          <w:color w:val="auto"/>
          <w:szCs w:val="21"/>
          <w:highlight w:val="none"/>
        </w:rPr>
        <w:t>7.6.1 安全生产要求</w:t>
      </w:r>
      <w:bookmarkEnd w:id="909"/>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因安全生产需要暂停施工的，按照第8.9款[暂停工作]的约定执行。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7.6.2 安全生产保证措施</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10" w:name="_Ref18990840"/>
      <w:r>
        <w:rPr>
          <w:rFonts w:hint="eastAsia" w:ascii="宋体" w:hAnsi="宋体" w:eastAsia="宋体" w:cs="仿宋"/>
          <w:color w:val="auto"/>
          <w:szCs w:val="21"/>
          <w:highlight w:val="none"/>
        </w:rPr>
        <w:t>7.6.3 文明施工</w:t>
      </w:r>
      <w:bookmarkEnd w:id="910"/>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7.6.4 事故处理</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7.6.5 安全生产责任</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发包人应负责赔偿以下各种情况造成的损失：</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工程或工程的任何部分对土地的占用所造成的第三者财产损失；</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由于发包人原因在施工现场及其毗邻地带、履行合同工作中造成的第三者人身伤亡和财产损失；</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由于发包人原因对发包人自身、承包人、工程师造成的人身伤害和财产损失。</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承包人应负责赔偿由于承包人原因在施工现场及其毗邻地带、履行合同工作中造成的第三者人身伤亡和财产损失。</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如果上述损失是由于发包人和承包人共同原因导致的，则双方应根据过错情况按比例承担。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11" w:name="_Ref11874562"/>
      <w:bookmarkStart w:id="912" w:name="_Toc27934"/>
      <w:bookmarkStart w:id="913" w:name="_Toc54862242"/>
      <w:bookmarkStart w:id="914" w:name="_Toc114990621"/>
      <w:bookmarkStart w:id="915" w:name="_Ref41554069"/>
      <w:r>
        <w:rPr>
          <w:rFonts w:hint="eastAsia" w:ascii="宋体" w:hAnsi="宋体" w:eastAsia="宋体" w:cs="仿宋"/>
          <w:bCs/>
          <w:color w:val="auto"/>
          <w:szCs w:val="21"/>
          <w:highlight w:val="none"/>
        </w:rPr>
        <w:t>7.7 职业健康</w:t>
      </w:r>
      <w:bookmarkEnd w:id="911"/>
      <w:bookmarkEnd w:id="912"/>
      <w:bookmarkEnd w:id="913"/>
      <w:bookmarkEnd w:id="914"/>
      <w:bookmarkEnd w:id="91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承包人应遵守适用的职业健康的法律和合同约定（包括对雇用、职业健康、安全、福利等方面的规定），负责现场实施过程中其人员的职业健康和保护，包括：</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承包人应依法为承包人</w:t>
      </w:r>
      <w:bookmarkStart w:id="916" w:name="_Hlk46339538"/>
      <w:r>
        <w:rPr>
          <w:rFonts w:hint="eastAsia" w:ascii="宋体" w:hAnsi="宋体" w:eastAsia="宋体" w:cs="仿宋"/>
          <w:color w:val="auto"/>
          <w:szCs w:val="21"/>
          <w:highlight w:val="none"/>
        </w:rPr>
        <w:t>员工及承包人聘用的第三方人员</w:t>
      </w:r>
      <w:bookmarkEnd w:id="916"/>
      <w:r>
        <w:rPr>
          <w:rFonts w:hint="eastAsia" w:ascii="宋体" w:hAnsi="宋体" w:eastAsia="宋体" w:cs="仿宋"/>
          <w:color w:val="auto"/>
          <w:szCs w:val="21"/>
          <w:highlight w:val="none"/>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17" w:name="_Toc54862243"/>
      <w:bookmarkStart w:id="918" w:name="_Toc114990622"/>
      <w:bookmarkStart w:id="919" w:name="_Ref11874570"/>
      <w:bookmarkStart w:id="920" w:name="_Toc26469"/>
      <w:r>
        <w:rPr>
          <w:rFonts w:hint="eastAsia" w:ascii="宋体" w:hAnsi="宋体" w:eastAsia="宋体" w:cs="仿宋"/>
          <w:bCs/>
          <w:color w:val="auto"/>
          <w:szCs w:val="21"/>
          <w:highlight w:val="none"/>
        </w:rPr>
        <w:t>7.8 环境保护</w:t>
      </w:r>
      <w:bookmarkEnd w:id="917"/>
      <w:bookmarkEnd w:id="918"/>
      <w:bookmarkEnd w:id="919"/>
      <w:bookmarkEnd w:id="920"/>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7.8.2 承包人应采取措施，并负责控制和（或）处理现场的粉尘、废气、废水、固体废物和噪声对环境的污染和危害。因此发生的伤害、赔偿、罚款等费用增加，和（或）竣工日期延误，由承包人负责。</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21" w:name="_Toc54862244"/>
      <w:bookmarkStart w:id="922" w:name="_Toc114990623"/>
      <w:bookmarkStart w:id="923" w:name="_Ref531954344"/>
      <w:bookmarkStart w:id="924" w:name="_Toc12246"/>
      <w:bookmarkStart w:id="925" w:name="_Ref531954340"/>
      <w:bookmarkStart w:id="926" w:name="_Ref4771116"/>
      <w:r>
        <w:rPr>
          <w:rFonts w:hint="eastAsia" w:ascii="宋体" w:hAnsi="宋体" w:eastAsia="宋体" w:cs="仿宋"/>
          <w:bCs/>
          <w:color w:val="auto"/>
          <w:szCs w:val="21"/>
          <w:highlight w:val="none"/>
        </w:rPr>
        <w:t>7.9 临时性公用设施</w:t>
      </w:r>
      <w:bookmarkEnd w:id="921"/>
      <w:bookmarkEnd w:id="922"/>
      <w:bookmarkEnd w:id="923"/>
      <w:bookmarkEnd w:id="924"/>
      <w:bookmarkEnd w:id="925"/>
      <w:r>
        <w:rPr>
          <w:rFonts w:hint="eastAsia" w:ascii="宋体" w:hAnsi="宋体" w:eastAsia="宋体" w:cs="仿宋"/>
          <w:bCs/>
          <w:color w:val="auto"/>
          <w:szCs w:val="21"/>
          <w:highlight w:val="none"/>
        </w:rPr>
        <w:t xml:space="preserve"> </w:t>
      </w:r>
      <w:bookmarkEnd w:id="926"/>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7.9.1 提供临时用水、用电等和节点铺设</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7.9.2 临时用水、用电等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因承包人未能按合同约定提交上述资料，造成发包人费用增加和竣工日期延误时，由承包人负责。</w:t>
      </w:r>
      <w:bookmarkStart w:id="927" w:name="_Ref508893743"/>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28" w:name="_Toc54862245"/>
      <w:bookmarkStart w:id="929" w:name="_Toc19940"/>
      <w:bookmarkStart w:id="930" w:name="_Ref531952248"/>
      <w:bookmarkStart w:id="931" w:name="_Toc114990624"/>
      <w:bookmarkStart w:id="932" w:name="_Ref531952239"/>
      <w:r>
        <w:rPr>
          <w:rFonts w:hint="eastAsia" w:ascii="宋体" w:hAnsi="宋体" w:eastAsia="宋体" w:cs="仿宋"/>
          <w:bCs/>
          <w:color w:val="auto"/>
          <w:szCs w:val="21"/>
          <w:highlight w:val="none"/>
        </w:rPr>
        <w:t>7.10 现场安保</w:t>
      </w:r>
      <w:bookmarkEnd w:id="928"/>
      <w:bookmarkEnd w:id="929"/>
      <w:bookmarkEnd w:id="930"/>
      <w:bookmarkEnd w:id="931"/>
      <w:bookmarkEnd w:id="93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承包人应将其作业限制在现场区域、合同约定的区域或为履行合同所需的区域内。承包人应采取一切必要的预防措施，以保持承包人的设备和人员处于现场区域内，避免其进入邻近地区。</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承包人为履行合同义务而占用的其他场所（如预制加工场所、办公及生活营区） 的安保适用本款前述关于现场安保的规定。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33" w:name="_Toc54862246"/>
      <w:bookmarkStart w:id="934" w:name="_Toc30218"/>
      <w:bookmarkStart w:id="935" w:name="_Toc114990625"/>
      <w:r>
        <w:rPr>
          <w:rFonts w:hint="eastAsia" w:ascii="宋体" w:hAnsi="宋体" w:eastAsia="宋体" w:cs="仿宋"/>
          <w:bCs/>
          <w:color w:val="auto"/>
          <w:szCs w:val="21"/>
          <w:highlight w:val="none"/>
        </w:rPr>
        <w:t>7.11 工程照管</w:t>
      </w:r>
      <w:bookmarkEnd w:id="933"/>
      <w:bookmarkEnd w:id="934"/>
      <w:bookmarkEnd w:id="93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自开始现场施工日期起至发包人应当接收工程之日止，承包人应承担工程现场、材料、设备及承包人文件的照管和维护工作。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如部分工程于竣工验收前提前交付发包人的，则自交付之日起，该部分工程照管及维护职责由发包人承担。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如发包人及承包人进行竣工验收时尚有部分未竣工工程的，承包人应负责该未竣工工程的照管和维护工作，直至竣工后移交给发包人。</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如合同解除或终止的，承包人自合同解除或终止之日起不再对工程承担照管和维护义务。</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936" w:name="_Ref508998009"/>
      <w:bookmarkStart w:id="937" w:name="_Toc32083"/>
      <w:bookmarkStart w:id="938" w:name="_Toc54862247"/>
      <w:bookmarkStart w:id="939" w:name="_Toc114990626"/>
      <w:bookmarkStart w:id="940" w:name="_Toc15177"/>
      <w:bookmarkStart w:id="941" w:name="_Toc23641"/>
      <w:bookmarkStart w:id="942" w:name="_Toc216681903"/>
      <w:bookmarkStart w:id="943" w:name="_Ref531954505"/>
      <w:bookmarkStart w:id="944" w:name="_Ref531954518"/>
      <w:r>
        <w:rPr>
          <w:rFonts w:hint="eastAsia" w:ascii="宋体" w:hAnsi="宋体" w:eastAsia="宋体" w:cs="仿宋"/>
          <w:bCs/>
          <w:color w:val="auto"/>
          <w:kern w:val="0"/>
          <w:szCs w:val="21"/>
          <w:highlight w:val="none"/>
        </w:rPr>
        <w:t>第8条 工期和进度</w:t>
      </w:r>
      <w:bookmarkEnd w:id="936"/>
      <w:bookmarkEnd w:id="937"/>
      <w:bookmarkEnd w:id="938"/>
      <w:bookmarkEnd w:id="939"/>
      <w:bookmarkEnd w:id="940"/>
      <w:bookmarkEnd w:id="941"/>
      <w:bookmarkEnd w:id="942"/>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45" w:name="_Ref532362774"/>
      <w:bookmarkStart w:id="946" w:name="_Toc54862248"/>
      <w:bookmarkStart w:id="947" w:name="_Ref532362777"/>
      <w:bookmarkStart w:id="948" w:name="_Ref532362072"/>
      <w:bookmarkStart w:id="949" w:name="_Toc5178"/>
      <w:bookmarkStart w:id="950" w:name="_Ref532362075"/>
      <w:bookmarkStart w:id="951" w:name="_Toc114990627"/>
      <w:r>
        <w:rPr>
          <w:rFonts w:hint="eastAsia" w:ascii="宋体" w:hAnsi="宋体" w:eastAsia="宋体" w:cs="仿宋"/>
          <w:bCs/>
          <w:color w:val="auto"/>
          <w:szCs w:val="21"/>
          <w:highlight w:val="none"/>
        </w:rPr>
        <w:t>8.1 开始工作</w:t>
      </w:r>
      <w:bookmarkEnd w:id="945"/>
      <w:bookmarkEnd w:id="946"/>
      <w:bookmarkEnd w:id="947"/>
      <w:bookmarkEnd w:id="948"/>
      <w:bookmarkEnd w:id="949"/>
      <w:bookmarkEnd w:id="950"/>
      <w:bookmarkEnd w:id="951"/>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52" w:name="_Ref4428890"/>
      <w:r>
        <w:rPr>
          <w:rFonts w:hint="eastAsia" w:ascii="宋体" w:hAnsi="宋体" w:eastAsia="宋体" w:cs="仿宋"/>
          <w:color w:val="auto"/>
          <w:szCs w:val="21"/>
          <w:highlight w:val="none"/>
        </w:rPr>
        <w:t>8.1.1 开始工作准备</w:t>
      </w:r>
      <w:bookmarkEnd w:id="952"/>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合同当事人应按专用合同条件约定完成开始工作准备工作。</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53" w:name="_Ref536790534"/>
      <w:bookmarkStart w:id="954" w:name="_Hlk51506490"/>
      <w:r>
        <w:rPr>
          <w:rFonts w:hint="eastAsia" w:ascii="宋体" w:hAnsi="宋体" w:eastAsia="宋体" w:cs="仿宋"/>
          <w:color w:val="auto"/>
          <w:szCs w:val="21"/>
          <w:highlight w:val="none"/>
        </w:rPr>
        <w:t>8.1.2 开始工作通知</w:t>
      </w:r>
      <w:bookmarkEnd w:id="953"/>
    </w:p>
    <w:bookmarkEnd w:id="954"/>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经发包人同意后，工程师应提前7天向承包人发出经发包人签认的开始工作通知，工期自开始工作通知中载明的开始工作日期起算。</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除专用合同条件另有约定外，因发包人原因造成实际开始现场施工日期迟于</w:t>
      </w:r>
      <w:bookmarkStart w:id="955" w:name="_Hlk51506566"/>
      <w:r>
        <w:rPr>
          <w:rFonts w:hint="eastAsia" w:ascii="宋体" w:hAnsi="宋体" w:eastAsia="宋体" w:cs="仿宋"/>
          <w:color w:val="auto"/>
          <w:szCs w:val="21"/>
          <w:highlight w:val="none"/>
        </w:rPr>
        <w:t>计划开始现场施工日期</w:t>
      </w:r>
      <w:bookmarkEnd w:id="955"/>
      <w:r>
        <w:rPr>
          <w:rFonts w:hint="eastAsia" w:ascii="宋体" w:hAnsi="宋体" w:eastAsia="宋体" w:cs="仿宋"/>
          <w:color w:val="auto"/>
          <w:szCs w:val="21"/>
          <w:highlight w:val="none"/>
        </w:rPr>
        <w:t>后第84天的，承包人有权提出价格调整要求，或者解除合同。发包人应当承担由此增加延误的工期。</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56" w:name="_Toc54862249"/>
      <w:bookmarkStart w:id="957" w:name="_Ref532362124"/>
      <w:bookmarkStart w:id="958" w:name="_Toc114990628"/>
      <w:bookmarkStart w:id="959" w:name="_Toc1393"/>
      <w:r>
        <w:rPr>
          <w:rFonts w:hint="eastAsia" w:ascii="宋体" w:hAnsi="宋体" w:eastAsia="宋体" w:cs="仿宋"/>
          <w:bCs/>
          <w:color w:val="auto"/>
          <w:szCs w:val="21"/>
          <w:highlight w:val="none"/>
        </w:rPr>
        <w:t>8.2 竣工日期</w:t>
      </w:r>
      <w:bookmarkEnd w:id="956"/>
      <w:bookmarkEnd w:id="957"/>
      <w:bookmarkEnd w:id="958"/>
      <w:bookmarkEnd w:id="959"/>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承包人应在合同协议书约定的工期内完成合同工作。除专用合同条件另有约定外，工程的竣工日期以第10.1条[竣工验收]的约定为准，并在工程接收证书中写明。</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因发包人原因，在工程师收到承包人竣工验收申请报告42天后未进行验收的，视为验收合格，实际竣工日期以提交竣工验收申请报告的日期为准，但发包人由于不可抗力不能进行验收的除外。</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60" w:name="_Ref11863334"/>
      <w:bookmarkStart w:id="961" w:name="_Toc7031"/>
      <w:bookmarkStart w:id="962" w:name="_Toc54862250"/>
      <w:bookmarkStart w:id="963" w:name="_Toc114990629"/>
      <w:bookmarkStart w:id="964" w:name="_Ref532362207"/>
      <w:bookmarkStart w:id="965" w:name="_Ref532352853"/>
      <w:bookmarkStart w:id="966" w:name="_Ref532362204"/>
      <w:bookmarkStart w:id="967" w:name="_Ref532352856"/>
      <w:r>
        <w:rPr>
          <w:rFonts w:hint="eastAsia" w:ascii="宋体" w:hAnsi="宋体" w:eastAsia="宋体" w:cs="仿宋"/>
          <w:bCs/>
          <w:color w:val="auto"/>
          <w:szCs w:val="21"/>
          <w:highlight w:val="none"/>
        </w:rPr>
        <w:t>8.3 项目实施计划</w:t>
      </w:r>
      <w:bookmarkEnd w:id="960"/>
      <w:bookmarkEnd w:id="961"/>
      <w:bookmarkEnd w:id="962"/>
      <w:bookmarkEnd w:id="96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68" w:name="_Ref18990904"/>
      <w:r>
        <w:rPr>
          <w:rFonts w:hint="eastAsia" w:ascii="宋体" w:hAnsi="宋体" w:eastAsia="宋体" w:cs="仿宋"/>
          <w:color w:val="auto"/>
          <w:szCs w:val="21"/>
          <w:highlight w:val="none"/>
        </w:rPr>
        <w:t>8.3.1 项目实施计划的内容</w:t>
      </w:r>
      <w:bookmarkEnd w:id="968"/>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69" w:name="_Ref18990921"/>
      <w:r>
        <w:rPr>
          <w:rFonts w:hint="eastAsia" w:ascii="宋体" w:hAnsi="宋体" w:eastAsia="宋体" w:cs="仿宋"/>
          <w:color w:val="auto"/>
          <w:szCs w:val="21"/>
          <w:highlight w:val="none"/>
        </w:rPr>
        <w:t>8.3.2 项目实施计划的提交和修改</w:t>
      </w:r>
      <w:bookmarkEnd w:id="969"/>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项目进度计划的编制和修改按照第8.4款[项目进度计划]执行。</w:t>
      </w:r>
    </w:p>
    <w:p>
      <w:pPr>
        <w:tabs>
          <w:tab w:val="left" w:pos="851"/>
        </w:tabs>
        <w:autoSpaceDE w:val="0"/>
        <w:autoSpaceDN w:val="0"/>
        <w:adjustRightInd w:val="0"/>
        <w:snapToGrid w:val="0"/>
        <w:spacing w:line="360" w:lineRule="auto"/>
        <w:ind w:firstLine="420" w:firstLineChars="200"/>
        <w:outlineLvl w:val="3"/>
        <w:rPr>
          <w:rFonts w:ascii="宋体" w:hAnsi="宋体" w:eastAsia="宋体" w:cs="仿宋"/>
          <w:bCs/>
          <w:color w:val="auto"/>
          <w:szCs w:val="21"/>
          <w:highlight w:val="none"/>
        </w:rPr>
      </w:pPr>
      <w:bookmarkStart w:id="970" w:name="_Toc54862251"/>
      <w:bookmarkStart w:id="971" w:name="_Toc14866"/>
      <w:bookmarkStart w:id="972" w:name="_Ref11865507"/>
      <w:bookmarkStart w:id="973" w:name="_Toc114990630"/>
      <w:r>
        <w:rPr>
          <w:rFonts w:hint="eastAsia" w:ascii="宋体" w:hAnsi="宋体" w:eastAsia="宋体" w:cs="仿宋"/>
          <w:bCs/>
          <w:color w:val="auto"/>
          <w:szCs w:val="21"/>
          <w:highlight w:val="none"/>
        </w:rPr>
        <w:t>8.4 项目进度计划</w:t>
      </w:r>
      <w:bookmarkEnd w:id="964"/>
      <w:bookmarkEnd w:id="965"/>
      <w:bookmarkEnd w:id="966"/>
      <w:bookmarkEnd w:id="967"/>
      <w:bookmarkEnd w:id="970"/>
      <w:bookmarkEnd w:id="971"/>
      <w:bookmarkEnd w:id="972"/>
      <w:bookmarkEnd w:id="97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74" w:name="_Ref4681217"/>
      <w:r>
        <w:rPr>
          <w:rFonts w:hint="eastAsia" w:ascii="宋体" w:hAnsi="宋体" w:eastAsia="宋体" w:cs="仿宋"/>
          <w:color w:val="auto"/>
          <w:szCs w:val="21"/>
          <w:highlight w:val="none"/>
        </w:rPr>
        <w:t>8.4.1 项目进度计划的提交和修改</w:t>
      </w:r>
      <w:bookmarkEnd w:id="974"/>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75" w:name="_Ref4429079"/>
      <w:r>
        <w:rPr>
          <w:rFonts w:hint="eastAsia" w:ascii="宋体" w:hAnsi="宋体" w:eastAsia="宋体" w:cs="仿宋"/>
          <w:color w:val="auto"/>
          <w:szCs w:val="21"/>
          <w:highlight w:val="none"/>
        </w:rPr>
        <w:t>8.4.2 项目进度计划的内容</w:t>
      </w:r>
      <w:bookmarkEnd w:id="975"/>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976" w:name="_Ref3848203"/>
      <w:r>
        <w:rPr>
          <w:rFonts w:hint="eastAsia" w:ascii="宋体" w:hAnsi="宋体" w:eastAsia="宋体" w:cs="仿宋"/>
          <w:color w:val="auto"/>
          <w:szCs w:val="21"/>
          <w:highlight w:val="none"/>
        </w:rPr>
        <w:t>8.4.3 项目进度计划的修订</w:t>
      </w:r>
      <w:bookmarkEnd w:id="976"/>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除合同当事人另有约定外，项目进度计划的修订并不能减轻或者免除双方按第8.7款[工期延误]、第8.8款[工期提前]、第8.9款[暂停工作]应承担的合同责任。</w:t>
      </w:r>
    </w:p>
    <w:p>
      <w:pPr>
        <w:tabs>
          <w:tab w:val="left" w:pos="851"/>
        </w:tabs>
        <w:autoSpaceDE w:val="0"/>
        <w:autoSpaceDN w:val="0"/>
        <w:adjustRightInd w:val="0"/>
        <w:snapToGrid w:val="0"/>
        <w:spacing w:line="360" w:lineRule="auto"/>
        <w:ind w:firstLine="420" w:firstLineChars="200"/>
        <w:outlineLvl w:val="3"/>
        <w:rPr>
          <w:rFonts w:ascii="宋体" w:hAnsi="宋体" w:eastAsia="宋体" w:cs="仿宋"/>
          <w:bCs/>
          <w:color w:val="auto"/>
          <w:szCs w:val="21"/>
          <w:highlight w:val="none"/>
        </w:rPr>
      </w:pPr>
      <w:bookmarkStart w:id="977" w:name="_Toc9002"/>
      <w:bookmarkStart w:id="978" w:name="_Toc114990631"/>
      <w:bookmarkStart w:id="979" w:name="_Ref532362278"/>
      <w:bookmarkStart w:id="980" w:name="_Toc54862252"/>
      <w:bookmarkStart w:id="981" w:name="_Ref532362276"/>
      <w:r>
        <w:rPr>
          <w:rFonts w:hint="eastAsia" w:ascii="宋体" w:hAnsi="宋体" w:eastAsia="宋体" w:cs="仿宋"/>
          <w:bCs/>
          <w:color w:val="auto"/>
          <w:szCs w:val="21"/>
          <w:highlight w:val="none"/>
        </w:rPr>
        <w:t>8.5 进度报告</w:t>
      </w:r>
      <w:bookmarkEnd w:id="977"/>
      <w:bookmarkEnd w:id="978"/>
      <w:bookmarkEnd w:id="979"/>
      <w:bookmarkEnd w:id="980"/>
      <w:bookmarkEnd w:id="981"/>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项目实施过程中，承包人应进行实际进度记录，并根据工程师的要求编制月进度报告，并提交给工程师。进度报告应包含以下主要内容：</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工程设计、采购、施工等各个工作内容的进展报告；</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工程施工方法的一般说明；</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当月工程实施介入的项目人员、设备和材料的预估明细报告；</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（4） 当月实际进度与进度计划对比分析，以及提出未来可能引起工期延误的情形，同时提出应对措施；需要修订项目进度计划的，应对项目进度计划的修订部分进行说明； </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（5） 承包人对于解决工期延误所提出的建议；</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（6） 其他与工程有关的重大事项。</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进度报告的具体要求等，在专用合同条件约定。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82" w:name="_Toc9304"/>
      <w:bookmarkStart w:id="983" w:name="_Toc54862253"/>
      <w:bookmarkStart w:id="984" w:name="_Toc114990632"/>
      <w:r>
        <w:rPr>
          <w:rFonts w:hint="eastAsia" w:ascii="宋体" w:hAnsi="宋体" w:eastAsia="宋体" w:cs="仿宋"/>
          <w:bCs/>
          <w:color w:val="auto"/>
          <w:szCs w:val="21"/>
          <w:highlight w:val="none"/>
        </w:rPr>
        <w:t>8.6 提前预警</w:t>
      </w:r>
      <w:bookmarkEnd w:id="982"/>
      <w:bookmarkEnd w:id="983"/>
      <w:bookmarkEnd w:id="984"/>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任何一方应当在下列情形发生时尽快书面通知另一方：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该情形可能对合同的履行或实现合同目的产生不利影响；</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该情形可能对工程完成后的使用产生不利影响；</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该情形可能导致合同价款增加；</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该情形可能导致整个工程或单位/区段工程的工期延长。</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发包人有权要求承包人根据第13.2款[承包人的合理化建议]的约定提交变更建议，采取措施尽量避免或最小化上述情形的发生或影响。</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985" w:name="_Toc4784169"/>
      <w:bookmarkEnd w:id="985"/>
      <w:bookmarkStart w:id="986" w:name="_Toc4784166"/>
      <w:bookmarkEnd w:id="986"/>
      <w:bookmarkStart w:id="987" w:name="_Toc4784175"/>
      <w:bookmarkEnd w:id="987"/>
      <w:bookmarkStart w:id="988" w:name="_Toc4784171"/>
      <w:bookmarkEnd w:id="988"/>
      <w:bookmarkStart w:id="989" w:name="_Toc4784159"/>
      <w:bookmarkEnd w:id="989"/>
      <w:bookmarkStart w:id="990" w:name="_Toc4784156"/>
      <w:bookmarkEnd w:id="990"/>
      <w:bookmarkStart w:id="991" w:name="_Toc4784172"/>
      <w:bookmarkEnd w:id="991"/>
      <w:bookmarkStart w:id="992" w:name="_Toc4784164"/>
      <w:bookmarkEnd w:id="992"/>
      <w:bookmarkStart w:id="993" w:name="_Toc4784155"/>
      <w:bookmarkEnd w:id="993"/>
      <w:bookmarkStart w:id="994" w:name="_Toc4784160"/>
      <w:bookmarkEnd w:id="994"/>
      <w:bookmarkStart w:id="995" w:name="_Toc4784165"/>
      <w:bookmarkEnd w:id="995"/>
      <w:bookmarkStart w:id="996" w:name="_Toc4784173"/>
      <w:bookmarkEnd w:id="996"/>
      <w:bookmarkStart w:id="997" w:name="_Toc4784154"/>
      <w:bookmarkEnd w:id="997"/>
      <w:bookmarkStart w:id="998" w:name="_Toc4784157"/>
      <w:bookmarkEnd w:id="998"/>
      <w:bookmarkStart w:id="999" w:name="_Toc4784170"/>
      <w:bookmarkEnd w:id="999"/>
      <w:bookmarkStart w:id="1000" w:name="_Toc4784158"/>
      <w:bookmarkEnd w:id="1000"/>
      <w:bookmarkStart w:id="1001" w:name="_Toc4784174"/>
      <w:bookmarkEnd w:id="1001"/>
      <w:bookmarkStart w:id="1002" w:name="_Toc4784163"/>
      <w:bookmarkEnd w:id="1002"/>
      <w:bookmarkStart w:id="1003" w:name="_Toc4784168"/>
      <w:bookmarkEnd w:id="1003"/>
      <w:bookmarkStart w:id="1004" w:name="_Toc4784167"/>
      <w:bookmarkEnd w:id="1004"/>
      <w:bookmarkStart w:id="1005" w:name="_Toc4784162"/>
      <w:bookmarkEnd w:id="1005"/>
      <w:bookmarkStart w:id="1006" w:name="_Toc4784161"/>
      <w:bookmarkEnd w:id="1006"/>
      <w:bookmarkStart w:id="1007" w:name="_Toc2526"/>
      <w:bookmarkStart w:id="1008" w:name="_Ref4770106"/>
      <w:bookmarkStart w:id="1009" w:name="_Toc114990633"/>
      <w:bookmarkStart w:id="1010" w:name="_Toc54862254"/>
      <w:bookmarkStart w:id="1011" w:name="_Ref532362356"/>
      <w:bookmarkStart w:id="1012" w:name="_Ref532362359"/>
      <w:r>
        <w:rPr>
          <w:rFonts w:hint="eastAsia" w:ascii="宋体" w:hAnsi="宋体" w:eastAsia="宋体" w:cs="仿宋"/>
          <w:bCs/>
          <w:color w:val="auto"/>
          <w:szCs w:val="21"/>
          <w:highlight w:val="none"/>
        </w:rPr>
        <w:t>8.7 工期延误</w:t>
      </w:r>
      <w:bookmarkEnd w:id="1007"/>
      <w:bookmarkEnd w:id="1008"/>
      <w:bookmarkEnd w:id="1009"/>
      <w:bookmarkEnd w:id="1010"/>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13" w:name="_Ref4796050"/>
      <w:r>
        <w:rPr>
          <w:rFonts w:hint="eastAsia" w:ascii="宋体" w:hAnsi="宋体" w:eastAsia="宋体" w:cs="仿宋"/>
          <w:color w:val="auto"/>
          <w:szCs w:val="21"/>
          <w:highlight w:val="none"/>
        </w:rPr>
        <w:t>8.7.1 因发包人原因导致工期延误</w:t>
      </w:r>
      <w:bookmarkEnd w:id="1013"/>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在合同履行过程中，因下列情况导致工期延误，由发包人承担由此延误的工期：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根据第13条[变更与调整]的约定构成一项变更的；</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发包人违反本合同约定，导致工期延误和（或）费用增加的；</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发包人、发包人代表、工程师或发包人聘请的任意第三方造成或引起的任何延误、妨碍和阻碍；</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发包人未能依据第6.2.1项[发包人提供的材料和工程设备]的约定提供材料和工程设备导致工期延误和（或）费用增加的；</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（5） 因发包人原因导致的暂停施工；</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（6） 发包人未及时履行相关合同义务，造成工期延误的其他原因。</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14" w:name="_Ref4770209"/>
      <w:r>
        <w:rPr>
          <w:rFonts w:hint="eastAsia" w:ascii="宋体" w:hAnsi="宋体" w:eastAsia="宋体" w:cs="仿宋"/>
          <w:color w:val="auto"/>
          <w:szCs w:val="21"/>
          <w:highlight w:val="none"/>
        </w:rPr>
        <w:t>8.7.2 因承包人原因导致工期延误</w:t>
      </w:r>
      <w:bookmarkEnd w:id="1014"/>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由于承包人的原因，未能按项目进度计划完成工作，承包人应采取措施加快进度，并承担加快进度所增加的费用。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15" w:name="_Ref4770872"/>
      <w:r>
        <w:rPr>
          <w:rFonts w:hint="eastAsia" w:ascii="宋体" w:hAnsi="宋体" w:eastAsia="宋体" w:cs="仿宋"/>
          <w:color w:val="auto"/>
          <w:szCs w:val="21"/>
          <w:highlight w:val="none"/>
        </w:rPr>
        <w:t>8.7.3 行政审批迟延</w:t>
      </w:r>
      <w:bookmarkEnd w:id="1015"/>
      <w:r>
        <w:rPr>
          <w:rFonts w:hint="eastAsia" w:ascii="宋体" w:hAnsi="宋体" w:eastAsia="宋体" w:cs="仿宋"/>
          <w:color w:val="auto"/>
          <w:szCs w:val="21"/>
          <w:highlight w:val="none"/>
        </w:rPr>
        <w:t xml:space="preserve"> </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16" w:name="_Ref4770933"/>
      <w:r>
        <w:rPr>
          <w:rFonts w:hint="eastAsia" w:ascii="宋体" w:hAnsi="宋体" w:eastAsia="宋体" w:cs="仿宋"/>
          <w:color w:val="auto"/>
          <w:szCs w:val="21"/>
          <w:highlight w:val="none"/>
        </w:rPr>
        <w:t>8.7.4 异常恶劣的气候条件</w:t>
      </w:r>
      <w:bookmarkEnd w:id="1016"/>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17" w:name="_Toc114990634"/>
      <w:bookmarkStart w:id="1018" w:name="_Toc711"/>
      <w:bookmarkStart w:id="1019" w:name="_Toc54862255"/>
      <w:bookmarkStart w:id="1020" w:name="_Ref4781828"/>
      <w:r>
        <w:rPr>
          <w:rFonts w:hint="eastAsia" w:ascii="宋体" w:hAnsi="宋体" w:eastAsia="宋体" w:cs="仿宋"/>
          <w:bCs/>
          <w:color w:val="auto"/>
          <w:szCs w:val="21"/>
          <w:highlight w:val="none"/>
        </w:rPr>
        <w:t>8.8 工期提前</w:t>
      </w:r>
      <w:bookmarkEnd w:id="1011"/>
      <w:bookmarkEnd w:id="1012"/>
      <w:bookmarkEnd w:id="1017"/>
      <w:bookmarkEnd w:id="1018"/>
      <w:bookmarkEnd w:id="1019"/>
      <w:bookmarkEnd w:id="1020"/>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21" w:name="_Ref4429347"/>
      <w:r>
        <w:rPr>
          <w:rFonts w:hint="eastAsia" w:ascii="宋体" w:hAnsi="宋体" w:eastAsia="宋体" w:cs="仿宋"/>
          <w:color w:val="auto"/>
          <w:szCs w:val="21"/>
          <w:highlight w:val="none"/>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1021"/>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22" w:name="_Toc114990635"/>
      <w:bookmarkStart w:id="1023" w:name="_Ref4615040"/>
      <w:bookmarkStart w:id="1024" w:name="_Toc11658"/>
      <w:bookmarkStart w:id="1025" w:name="_Ref4615031"/>
      <w:bookmarkStart w:id="1026" w:name="_Toc54862256"/>
      <w:r>
        <w:rPr>
          <w:rFonts w:hint="eastAsia" w:ascii="宋体" w:hAnsi="宋体" w:eastAsia="宋体" w:cs="仿宋"/>
          <w:bCs/>
          <w:color w:val="auto"/>
          <w:szCs w:val="21"/>
          <w:highlight w:val="none"/>
        </w:rPr>
        <w:t>8.9 暂停工作</w:t>
      </w:r>
      <w:bookmarkEnd w:id="1022"/>
      <w:bookmarkEnd w:id="1023"/>
      <w:bookmarkEnd w:id="1024"/>
      <w:bookmarkEnd w:id="1025"/>
      <w:bookmarkEnd w:id="1026"/>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27" w:name="_Ref4709151"/>
      <w:r>
        <w:rPr>
          <w:rFonts w:hint="eastAsia" w:ascii="宋体" w:hAnsi="宋体" w:eastAsia="宋体" w:cs="仿宋"/>
          <w:color w:val="auto"/>
          <w:szCs w:val="21"/>
          <w:highlight w:val="none"/>
        </w:rPr>
        <w:t>8.9.1 由发包人暂停工作</w:t>
      </w:r>
      <w:bookmarkEnd w:id="1027"/>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发包人认为必要时，可通过工程师向承包人发出经发包人签认的暂停工作通知，应列明暂停原因、暂停的日期及预计暂停的期限。承包人应按该通知暂停工作。</w:t>
      </w:r>
      <w:bookmarkStart w:id="1028" w:name="_Ref4709233"/>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承包人因执行暂停工作通知而造成工期延误由发包人承担，但</w:t>
      </w:r>
      <w:bookmarkEnd w:id="1028"/>
      <w:r>
        <w:rPr>
          <w:rFonts w:hint="eastAsia" w:ascii="宋体" w:hAnsi="宋体" w:eastAsia="宋体" w:cs="仿宋"/>
          <w:color w:val="auto"/>
          <w:szCs w:val="21"/>
          <w:highlight w:val="none"/>
        </w:rPr>
        <w:t>由于承包人原因造成发包人暂停工作的除外。</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29" w:name="_Ref18972173"/>
      <w:r>
        <w:rPr>
          <w:rFonts w:hint="eastAsia" w:ascii="宋体" w:hAnsi="宋体" w:eastAsia="宋体" w:cs="仿宋"/>
          <w:color w:val="auto"/>
          <w:szCs w:val="21"/>
          <w:highlight w:val="none"/>
        </w:rPr>
        <w:t>8.9.2 由承包人暂停工作</w:t>
      </w:r>
      <w:bookmarkEnd w:id="1029"/>
      <w:r>
        <w:rPr>
          <w:rFonts w:hint="eastAsia" w:ascii="宋体" w:hAnsi="宋体" w:eastAsia="宋体" w:cs="仿宋"/>
          <w:color w:val="auto"/>
          <w:szCs w:val="21"/>
          <w:highlight w:val="none"/>
        </w:rPr>
        <w:t xml:space="preserve"> </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1030" w:name="_Ref4709224"/>
      <w:r>
        <w:rPr>
          <w:rFonts w:hint="eastAsia" w:ascii="宋体" w:hAnsi="宋体" w:eastAsia="宋体" w:cs="仿宋"/>
          <w:color w:val="auto"/>
          <w:szCs w:val="21"/>
          <w:highlight w:val="none"/>
        </w:rPr>
        <w:t>（1） 发包人拖延、拒绝批准付款申请和支付证书，或未能按合同约定支付价款，导致付款延误的；</w:t>
      </w:r>
      <w:bookmarkEnd w:id="1030"/>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发包人未按约定履行合同其他义务导致承包人无法继续履行合同的，或者发包人明确表示暂停或实质上已暂停履行合同的。</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8.9.3 除上述原因以外的暂停工作，双方应遵守第17条[不可抗力]的相关约定。</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31" w:name="_Ref4709158"/>
      <w:r>
        <w:rPr>
          <w:rFonts w:hint="eastAsia" w:ascii="宋体" w:hAnsi="宋体" w:eastAsia="宋体" w:cs="仿宋"/>
          <w:color w:val="auto"/>
          <w:szCs w:val="21"/>
          <w:highlight w:val="none"/>
        </w:rPr>
        <w:t>8.9.4 暂停工作期间的工程照管</w:t>
      </w:r>
      <w:bookmarkEnd w:id="1031"/>
      <w:r>
        <w:rPr>
          <w:rFonts w:hint="eastAsia" w:ascii="宋体" w:hAnsi="宋体" w:eastAsia="宋体" w:cs="仿宋"/>
          <w:color w:val="auto"/>
          <w:szCs w:val="21"/>
          <w:highlight w:val="none"/>
        </w:rPr>
        <w:t xml:space="preserve"> </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因承包人未能尽到照管、保护的责任造成损失的，使发包人的费用增加，（或）竣工日期延误的，由承包人按本合同约定承担责任。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8.9.5 拖长的暂停</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32" w:name="_Toc30460"/>
      <w:bookmarkStart w:id="1033" w:name="_Toc114990636"/>
      <w:bookmarkStart w:id="1034" w:name="_Toc54862257"/>
      <w:r>
        <w:rPr>
          <w:rFonts w:hint="eastAsia" w:ascii="宋体" w:hAnsi="宋体" w:eastAsia="宋体" w:cs="仿宋"/>
          <w:bCs/>
          <w:color w:val="auto"/>
          <w:szCs w:val="21"/>
          <w:highlight w:val="none"/>
        </w:rPr>
        <w:t>8.10 复工</w:t>
      </w:r>
      <w:bookmarkEnd w:id="1032"/>
      <w:bookmarkEnd w:id="1033"/>
      <w:bookmarkEnd w:id="1034"/>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8.10.1 收到发包人的复工通知后，承包人应按通知时间复工；发包人通知的复工时间应当给予承包人必要的准备复工时间。</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8.10.2 不论由于何种原因引起暂停工作，双方均可要求对方一同对受暂停影响的工程、工程设备和工程物资进行检查，承包人应将检查结果及需要恢复、修复的内容和估算通知发包人。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8.10.3 除第17条[不可抗力]另有约定外，发生的恢复、修复价款及工期延误的后果由责任方承担。</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035" w:name="_Ref4621041"/>
      <w:bookmarkStart w:id="1036" w:name="_Toc216681904"/>
      <w:bookmarkStart w:id="1037" w:name="_Toc21844"/>
      <w:bookmarkStart w:id="1038" w:name="_Toc24737"/>
      <w:bookmarkStart w:id="1039" w:name="_Ref4621029"/>
      <w:bookmarkStart w:id="1040" w:name="_Toc24297"/>
      <w:bookmarkStart w:id="1041" w:name="_Toc54862258"/>
      <w:bookmarkStart w:id="1042" w:name="_Toc114990637"/>
      <w:r>
        <w:rPr>
          <w:rFonts w:hint="eastAsia" w:ascii="宋体" w:hAnsi="宋体" w:eastAsia="宋体" w:cs="仿宋"/>
          <w:bCs/>
          <w:color w:val="auto"/>
          <w:kern w:val="0"/>
          <w:szCs w:val="21"/>
          <w:highlight w:val="none"/>
        </w:rPr>
        <w:t>第9条 竣工试验</w:t>
      </w:r>
      <w:bookmarkEnd w:id="943"/>
      <w:bookmarkEnd w:id="1035"/>
      <w:bookmarkEnd w:id="1036"/>
      <w:bookmarkEnd w:id="1037"/>
      <w:bookmarkEnd w:id="1038"/>
      <w:bookmarkEnd w:id="1039"/>
      <w:bookmarkEnd w:id="1040"/>
      <w:bookmarkEnd w:id="1041"/>
      <w:bookmarkEnd w:id="1042"/>
      <w:r>
        <w:rPr>
          <w:rFonts w:hint="eastAsia" w:ascii="宋体" w:hAnsi="宋体" w:eastAsia="宋体" w:cs="仿宋"/>
          <w:bCs/>
          <w:color w:val="auto"/>
          <w:kern w:val="0"/>
          <w:szCs w:val="21"/>
          <w:highlight w:val="none"/>
        </w:rPr>
        <w:t xml:space="preserve"> </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43" w:name="_Toc114990638"/>
      <w:bookmarkStart w:id="1044" w:name="_Toc54862259"/>
      <w:bookmarkStart w:id="1045" w:name="_Toc13832"/>
      <w:bookmarkStart w:id="1046" w:name="_Ref532586248"/>
      <w:bookmarkStart w:id="1047" w:name="_Ref532586251"/>
      <w:r>
        <w:rPr>
          <w:rFonts w:hint="eastAsia" w:ascii="宋体" w:hAnsi="宋体" w:eastAsia="宋体" w:cs="仿宋"/>
          <w:bCs/>
          <w:color w:val="auto"/>
          <w:szCs w:val="21"/>
          <w:highlight w:val="none"/>
        </w:rPr>
        <w:t>9.1 竣工试验的义务</w:t>
      </w:r>
      <w:bookmarkEnd w:id="1043"/>
      <w:bookmarkEnd w:id="1044"/>
      <w:bookmarkEnd w:id="1045"/>
      <w:bookmarkEnd w:id="1046"/>
      <w:bookmarkEnd w:id="1047"/>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9.1.1 承包人完成工程或区段工程进行竣工试验所需的作业，并根据第5.4款[竣工文件]和第5.5款[操作和维修手册]提交文件后，进行竣工试验。</w:t>
      </w:r>
      <w:bookmarkStart w:id="1048" w:name="_Ref53258660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49" w:name="_Ref11919920"/>
      <w:r>
        <w:rPr>
          <w:rFonts w:hint="eastAsia" w:ascii="宋体" w:hAnsi="宋体" w:eastAsia="宋体" w:cs="仿宋"/>
          <w:color w:val="auto"/>
          <w:szCs w:val="21"/>
          <w:highlight w:val="none"/>
        </w:rPr>
        <w:t>9.1.2 承包人应在进行竣工试验之前，至少提前42天向工程师提交详细的竣工试验计划，该计划应载明竣工试验的内容、地点、拟开展时间和需要发包人提供的资源条件。</w:t>
      </w:r>
      <w:bookmarkEnd w:id="1048"/>
      <w:r>
        <w:rPr>
          <w:rFonts w:hint="eastAsia" w:ascii="宋体" w:hAnsi="宋体" w:eastAsia="宋体" w:cs="仿宋"/>
          <w:color w:val="auto"/>
          <w:szCs w:val="21"/>
          <w:highlight w:val="none"/>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049"/>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50" w:name="_Ref532688147"/>
      <w:r>
        <w:rPr>
          <w:rFonts w:hint="eastAsia" w:ascii="宋体" w:hAnsi="宋体" w:eastAsia="宋体" w:cs="仿宋"/>
          <w:color w:val="auto"/>
          <w:szCs w:val="21"/>
          <w:highlight w:val="none"/>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1050"/>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承包人进行启动前试验，包括适当的检查和功能性试验，以证明工程或区段工程的每一部分均能够安全地承受下一阶段试验；</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承包人进行启动试验，以证明工程或区段工程能够在所有可利用的操作条件下安全运行，并按照专用合同条件和《发包人要求》中的规定操作；</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承包人进行试运行试验。当工程或区段工程能稳定安全运行时，承包人应通知工程师，可以进行其他竣工试验，包括各种性能测试，以证明工程或区段工程符合《发包人要求》中列明的性能保证指标。</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进行上述试验不应构成第10条[验收和工程接收]规定的接收，但试验所产生的任何产品或其他收益均应归属于发包人。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51" w:name="_Toc12520"/>
      <w:bookmarkStart w:id="1052" w:name="_Toc54862260"/>
      <w:bookmarkStart w:id="1053" w:name="_Toc114990639"/>
      <w:r>
        <w:rPr>
          <w:rFonts w:hint="eastAsia" w:ascii="宋体" w:hAnsi="宋体" w:eastAsia="宋体" w:cs="仿宋"/>
          <w:bCs/>
          <w:color w:val="auto"/>
          <w:szCs w:val="21"/>
          <w:highlight w:val="none"/>
        </w:rPr>
        <w:t>9.2 延误的试验</w:t>
      </w:r>
      <w:bookmarkEnd w:id="1051"/>
      <w:bookmarkEnd w:id="1052"/>
      <w:bookmarkEnd w:id="105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9.2.2 承包人无正当理由延误进行竣工试验的，工程师可向其发出通知，要求其在收到通知后的21天内进行该项竣工试验。承包人应在该21天的期限内确定进行试验的日期，并至少提前7天通知工程师。</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9.2.3 如果承包人未在该期限内进行竣工试验，则发包人有权自行组织该项竣工试验，由此产生的合理费用由承包人承担。发包人应在试验完成后28天内向承包人发送试验结果。</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54" w:name="_Toc54862261"/>
      <w:bookmarkStart w:id="1055" w:name="_Toc114990640"/>
      <w:bookmarkStart w:id="1056" w:name="_Toc30915"/>
      <w:bookmarkStart w:id="1057" w:name="_Ref532594592"/>
      <w:bookmarkStart w:id="1058" w:name="_Ref532594588"/>
      <w:r>
        <w:rPr>
          <w:rFonts w:hint="eastAsia" w:ascii="宋体" w:hAnsi="宋体" w:eastAsia="宋体" w:cs="仿宋"/>
          <w:bCs/>
          <w:color w:val="auto"/>
          <w:szCs w:val="21"/>
          <w:highlight w:val="none"/>
        </w:rPr>
        <w:t>9.3 重新试验</w:t>
      </w:r>
      <w:bookmarkEnd w:id="1054"/>
      <w:bookmarkEnd w:id="1055"/>
      <w:bookmarkEnd w:id="1056"/>
      <w:bookmarkEnd w:id="1057"/>
      <w:bookmarkEnd w:id="1058"/>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59" w:name="_Ref532688221"/>
      <w:bookmarkStart w:id="1060" w:name="_Toc54862262"/>
      <w:bookmarkStart w:id="1061" w:name="_Toc3122"/>
      <w:bookmarkStart w:id="1062" w:name="_Toc114990641"/>
      <w:bookmarkStart w:id="1063" w:name="_Ref532688226"/>
      <w:r>
        <w:rPr>
          <w:rFonts w:hint="eastAsia" w:ascii="宋体" w:hAnsi="宋体" w:eastAsia="宋体" w:cs="仿宋"/>
          <w:bCs/>
          <w:color w:val="auto"/>
          <w:szCs w:val="21"/>
          <w:highlight w:val="none"/>
        </w:rPr>
        <w:t>9.4 未能通过竣工试验</w:t>
      </w:r>
      <w:bookmarkEnd w:id="1059"/>
      <w:bookmarkEnd w:id="1060"/>
      <w:bookmarkEnd w:id="1061"/>
      <w:bookmarkEnd w:id="1062"/>
      <w:bookmarkEnd w:id="106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9.4.1 因发包人原因导致竣工试验未能通过的，承包人进行竣工试验的费用由发包人承担，竣工日期相应顺延。</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9.4.2 如果工程或区段工程未能通过根据第9.3款[重新试验]重新进行的竣工试验的，则：</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发包人有权要求承包人根据第6.6款[缺陷和修补]继续进行修补和改正，并根据第9.3款[重新试验]再次进行竣工试验；</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1064" w:name="_Ref4621461"/>
      <w:r>
        <w:rPr>
          <w:rFonts w:hint="eastAsia" w:ascii="宋体" w:hAnsi="宋体" w:eastAsia="宋体" w:cs="仿宋"/>
          <w:color w:val="auto"/>
          <w:szCs w:val="21"/>
          <w:highlight w:val="none"/>
        </w:rPr>
        <w:t>（3） 未能通过竣工试验，使工程或区段工程的任何主要部分丧失了生产、使用功能时，发包人有权指令承包人更换相关部分，承包人应承担因此增加的费用和误期损害赔偿责任，并赔偿发包人的相应损失</w:t>
      </w:r>
      <w:bookmarkEnd w:id="1064"/>
      <w:r>
        <w:rPr>
          <w:rFonts w:hint="eastAsia" w:ascii="宋体" w:hAnsi="宋体" w:eastAsia="宋体" w:cs="仿宋"/>
          <w:color w:val="auto"/>
          <w:szCs w:val="21"/>
          <w:highlight w:val="none"/>
        </w:rPr>
        <w:t>；</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065" w:name="_Ref4624043"/>
      <w:bookmarkStart w:id="1066" w:name="_Ref4618348"/>
      <w:bookmarkStart w:id="1067" w:name="_Toc54862263"/>
      <w:bookmarkStart w:id="1068" w:name="_Toc114990642"/>
      <w:bookmarkStart w:id="1069" w:name="_Ref4618338"/>
      <w:bookmarkStart w:id="1070" w:name="_Toc216681905"/>
      <w:bookmarkStart w:id="1071" w:name="_Toc12689"/>
      <w:bookmarkStart w:id="1072" w:name="_Toc5009"/>
      <w:bookmarkStart w:id="1073" w:name="_Toc2638"/>
      <w:r>
        <w:rPr>
          <w:rFonts w:hint="eastAsia" w:ascii="宋体" w:hAnsi="宋体" w:eastAsia="宋体" w:cs="仿宋"/>
          <w:bCs/>
          <w:color w:val="auto"/>
          <w:kern w:val="0"/>
          <w:szCs w:val="21"/>
          <w:highlight w:val="none"/>
        </w:rPr>
        <w:t>第10条 验收和工程接收</w:t>
      </w:r>
      <w:bookmarkEnd w:id="1065"/>
      <w:bookmarkEnd w:id="1066"/>
      <w:bookmarkEnd w:id="1067"/>
      <w:bookmarkEnd w:id="1068"/>
      <w:bookmarkEnd w:id="1069"/>
      <w:bookmarkEnd w:id="1070"/>
      <w:bookmarkEnd w:id="1071"/>
      <w:bookmarkEnd w:id="1072"/>
      <w:bookmarkEnd w:id="1073"/>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74" w:name="_Ref532301199"/>
      <w:bookmarkStart w:id="1075" w:name="_Ref532359143"/>
      <w:bookmarkStart w:id="1076" w:name="_Ref532301202"/>
      <w:bookmarkStart w:id="1077" w:name="_Ref532300801"/>
      <w:bookmarkStart w:id="1078" w:name="_Toc54862264"/>
      <w:bookmarkStart w:id="1079" w:name="_Ref532300804"/>
      <w:bookmarkStart w:id="1080" w:name="_Toc114990643"/>
      <w:bookmarkStart w:id="1081" w:name="_Toc28766"/>
      <w:bookmarkStart w:id="1082" w:name="_Ref532359152"/>
      <w:r>
        <w:rPr>
          <w:rFonts w:hint="eastAsia" w:ascii="宋体" w:hAnsi="宋体" w:eastAsia="宋体" w:cs="仿宋"/>
          <w:bCs/>
          <w:color w:val="auto"/>
          <w:szCs w:val="21"/>
          <w:highlight w:val="none"/>
        </w:rPr>
        <w:t>10.1 竣工验收</w:t>
      </w:r>
      <w:bookmarkEnd w:id="1074"/>
      <w:bookmarkEnd w:id="1075"/>
      <w:bookmarkEnd w:id="1076"/>
      <w:bookmarkEnd w:id="1077"/>
      <w:bookmarkEnd w:id="1078"/>
      <w:bookmarkEnd w:id="1079"/>
      <w:bookmarkEnd w:id="1080"/>
      <w:bookmarkEnd w:id="1081"/>
      <w:bookmarkEnd w:id="108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83" w:name="_Ref532628356"/>
      <w:r>
        <w:rPr>
          <w:rFonts w:hint="eastAsia" w:ascii="宋体" w:hAnsi="宋体" w:eastAsia="宋体" w:cs="仿宋"/>
          <w:color w:val="auto"/>
          <w:szCs w:val="21"/>
          <w:highlight w:val="none"/>
        </w:rPr>
        <w:t>10.1.1 竣工验收条件</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工程具备以下条件的，承包人可以申请竣工验收：</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已按合同约定编制了扫尾工作和缺陷修补工作清单以及相应实施计划；</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已按合同约定的内容和份数备齐竣工资料；</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合同约定要求在竣工验收前应完成的其他工作。</w:t>
      </w:r>
    </w:p>
    <w:bookmarkEnd w:id="1083"/>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084" w:name="_Ref4429424"/>
      <w:bookmarkStart w:id="1085" w:name="_Hlk51506601"/>
      <w:r>
        <w:rPr>
          <w:rFonts w:hint="eastAsia" w:ascii="宋体" w:hAnsi="宋体" w:eastAsia="宋体" w:cs="仿宋"/>
          <w:color w:val="auto"/>
          <w:szCs w:val="21"/>
          <w:highlight w:val="none"/>
        </w:rPr>
        <w:t>10.1.2 竣工验收程序</w:t>
      </w:r>
      <w:bookmarkEnd w:id="1084"/>
    </w:p>
    <w:bookmarkEnd w:id="1085"/>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除专用合同条件另有约定外，承包人申请竣工验收的，应当按照以下程序进行：</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bookmarkStart w:id="1086" w:name="_Hlk51506640"/>
      <w:r>
        <w:rPr>
          <w:rFonts w:hint="eastAsia" w:ascii="宋体" w:hAnsi="宋体" w:eastAsia="宋体" w:cs="仿宋"/>
          <w:color w:val="auto"/>
          <w:szCs w:val="21"/>
          <w:highlight w:val="none"/>
        </w:rPr>
        <w:t>（4） 因发包人原因，未在工程师收到承包人竣工验收申请报告之日起42天内完成竣工验收的，以承包人提交竣工验收申请报告之日作为工程实际竣工日期。</w:t>
      </w:r>
    </w:p>
    <w:bookmarkEnd w:id="1086"/>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（5） 工程未经竣工验收，发包人擅自使用的，以转移占有工程之日为实际竣工日期。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除专用合同条件另有约定外，发包人不按照本项和第10.4款[接收证书]约定组织竣工验收、颁发工程接收证书的，每逾期一天，应以签约合同价为基数，按照贷款市场报价利率（LPR）支付违约金。</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87" w:name="_Toc54862265"/>
      <w:bookmarkStart w:id="1088" w:name="_Ref532301210"/>
      <w:bookmarkStart w:id="1089" w:name="_Toc6508"/>
      <w:bookmarkStart w:id="1090" w:name="_Ref532301213"/>
      <w:bookmarkStart w:id="1091" w:name="_Toc114990644"/>
      <w:r>
        <w:rPr>
          <w:rFonts w:hint="eastAsia" w:ascii="宋体" w:hAnsi="宋体" w:eastAsia="宋体" w:cs="仿宋"/>
          <w:bCs/>
          <w:color w:val="auto"/>
          <w:szCs w:val="21"/>
          <w:highlight w:val="none"/>
        </w:rPr>
        <w:t>10.2 单位/区段工程的验收</w:t>
      </w:r>
      <w:bookmarkEnd w:id="1087"/>
      <w:bookmarkEnd w:id="1088"/>
      <w:bookmarkEnd w:id="1089"/>
      <w:bookmarkEnd w:id="1090"/>
      <w:bookmarkEnd w:id="1091"/>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10.2.2 发包人在全部工程竣工前，使用已接收的单位/区段工程导致承包人费用增加的，发包人应承担由此增加的费用和（或）工期延误，并支付承包人合理利润。</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92" w:name="_Toc54862266"/>
      <w:bookmarkStart w:id="1093" w:name="_Toc22350"/>
      <w:bookmarkStart w:id="1094" w:name="_Toc114990645"/>
      <w:bookmarkStart w:id="1095" w:name="_Ref4429473"/>
      <w:bookmarkStart w:id="1096" w:name="_Ref532688351"/>
      <w:bookmarkStart w:id="1097" w:name="_Ref532688354"/>
      <w:r>
        <w:rPr>
          <w:rFonts w:hint="eastAsia" w:ascii="宋体" w:hAnsi="宋体" w:eastAsia="宋体" w:cs="仿宋"/>
          <w:bCs/>
          <w:color w:val="auto"/>
          <w:szCs w:val="21"/>
          <w:highlight w:val="none"/>
        </w:rPr>
        <w:t>10.3 工程的接收</w:t>
      </w:r>
      <w:bookmarkEnd w:id="1092"/>
      <w:bookmarkEnd w:id="1093"/>
      <w:bookmarkEnd w:id="109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10.3.1 根据工程项目的具体情况和特点，可按工程或单位/区段工程进行接收，并在专用合同条件约定接收的先后顺序、时间安排和其他要求。</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10.3.2 除按本条约定已经提交的资料外，接收工程时承包人需提交竣工验收资料的类别、内容、份数和提交时间，在专用合同条件中约定。</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10.3.3 发包人无正当理由不接收工程的，发包人自应当接收工程之日起，承担工程照管、成品保护、保管等与工程有关的各项费用，合同当事人可以在专用合同条件中另行约定发包人逾期接收工程的违约责任。</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10.3.4 承包人无正当理由不移交工程的，承包人应承担工程照管、成品保护、保管等与工程有关的各项费用，合同当事人可以在专用合同条件中另行约定承包人无正当理由不移交工程的违约责任。</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098" w:name="_Toc19512"/>
      <w:bookmarkStart w:id="1099" w:name="_Toc114990646"/>
      <w:bookmarkStart w:id="1100" w:name="_Toc54862267"/>
      <w:r>
        <w:rPr>
          <w:rFonts w:hint="eastAsia" w:ascii="宋体" w:hAnsi="宋体" w:eastAsia="宋体" w:cs="仿宋"/>
          <w:bCs/>
          <w:color w:val="auto"/>
          <w:szCs w:val="21"/>
          <w:highlight w:val="none"/>
        </w:rPr>
        <w:t>10.4 接收证书</w:t>
      </w:r>
      <w:bookmarkEnd w:id="1095"/>
      <w:bookmarkEnd w:id="1098"/>
      <w:bookmarkEnd w:id="1099"/>
      <w:bookmarkEnd w:id="1100"/>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01" w:name="_Ref4429542"/>
      <w:r>
        <w:rPr>
          <w:rFonts w:hint="eastAsia" w:ascii="宋体" w:hAnsi="宋体" w:eastAsia="宋体" w:cs="仿宋"/>
          <w:color w:val="auto"/>
          <w:szCs w:val="21"/>
          <w:highlight w:val="none"/>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101"/>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10.4.3 竣工验收合格而发包人无正当理由逾期不颁发工程接收证书的，自验收合格后第15天起视为已颁发工程接收证书。</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10.4.4 工程未经验收或验收不合格，发包人擅自使用的，应在转移占有工程后7天内向承包人颁发工程接收证书；发包人无正当理由逾期不颁发工程接收证书的，自转移占有后第15天起视为已颁发工程接收证书。</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10.4.5 存在扫尾工作的，工程接收证书中应当将第14.5.3项[扫尾工作清单]中约定的扫尾工作清单作为工程接收证书附件。</w:t>
      </w:r>
    </w:p>
    <w:bookmarkEnd w:id="1096"/>
    <w:bookmarkEnd w:id="1097"/>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02" w:name="_Ref4429935"/>
      <w:bookmarkStart w:id="1103" w:name="_Toc114990647"/>
      <w:bookmarkStart w:id="1104" w:name="_Ref4429932"/>
      <w:bookmarkStart w:id="1105" w:name="_Toc5306"/>
      <w:bookmarkStart w:id="1106" w:name="_Toc54862268"/>
      <w:r>
        <w:rPr>
          <w:rFonts w:hint="eastAsia" w:ascii="宋体" w:hAnsi="宋体" w:eastAsia="宋体" w:cs="仿宋"/>
          <w:bCs/>
          <w:color w:val="auto"/>
          <w:szCs w:val="21"/>
          <w:highlight w:val="none"/>
        </w:rPr>
        <w:t>10.5 竣工退场</w:t>
      </w:r>
      <w:bookmarkEnd w:id="1102"/>
      <w:bookmarkEnd w:id="1103"/>
      <w:bookmarkEnd w:id="1104"/>
      <w:bookmarkEnd w:id="1105"/>
      <w:bookmarkEnd w:id="110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07" w:name="_Ref4429943"/>
      <w:r>
        <w:rPr>
          <w:rFonts w:hint="eastAsia" w:ascii="宋体" w:hAnsi="宋体" w:eastAsia="宋体" w:cs="仿宋"/>
          <w:color w:val="auto"/>
          <w:szCs w:val="21"/>
          <w:highlight w:val="none"/>
        </w:rPr>
        <w:t>10.5.1 竣工退场</w:t>
      </w:r>
      <w:bookmarkEnd w:id="1107"/>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颁发工程接收证书后，承包人应对施工现场进行清理，并撤离相关人员，使得施工现场处于以下状态，直至工程师检验合格为止：</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施工现场内残留的垃圾已全部清除出场；</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临时工程已拆除，场地已按合同约定进行清理、平整或复原；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按合同约定应撤离的人员、承包人提供的施工设备和剩余的材料，包括废弃的施工设备和材料，已按计划撤离施工现场；</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 施工现场周边及其附近道路、河道的施工堆积物，已全部清理；</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（5） 施工现场其他竣工退场工作已全部完成。</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10.5.2 地表还原</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承包人应按合同约定和工程师的要求恢复临时占地及清理场地，否则发包人有权委托其他人恢复或清理，所发生的费用由承包人承担。</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08" w:name="_Ref20159437"/>
      <w:r>
        <w:rPr>
          <w:rFonts w:hint="eastAsia" w:ascii="宋体" w:hAnsi="宋体" w:eastAsia="宋体" w:cs="仿宋"/>
          <w:color w:val="auto"/>
          <w:szCs w:val="21"/>
          <w:highlight w:val="none"/>
        </w:rPr>
        <w:t>10.5.3 人员撤离</w:t>
      </w:r>
      <w:bookmarkEnd w:id="1108"/>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944"/>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109" w:name="_Toc31187"/>
      <w:bookmarkStart w:id="1110" w:name="_Toc216681906"/>
      <w:bookmarkStart w:id="1111" w:name="_Toc27811"/>
      <w:bookmarkStart w:id="1112" w:name="_Toc2298"/>
      <w:bookmarkStart w:id="1113" w:name="_Toc54862269"/>
      <w:bookmarkStart w:id="1114" w:name="_Ref4796909"/>
      <w:bookmarkStart w:id="1115" w:name="_Ref531955009"/>
      <w:bookmarkStart w:id="1116" w:name="_Toc114990648"/>
      <w:bookmarkStart w:id="1117" w:name="_Ref4796906"/>
      <w:r>
        <w:rPr>
          <w:rFonts w:hint="eastAsia" w:ascii="宋体" w:hAnsi="宋体" w:eastAsia="宋体" w:cs="仿宋"/>
          <w:bCs/>
          <w:color w:val="auto"/>
          <w:kern w:val="0"/>
          <w:szCs w:val="21"/>
          <w:highlight w:val="none"/>
        </w:rPr>
        <w:t>第11条 缺陷责任与保修</w:t>
      </w:r>
      <w:bookmarkEnd w:id="1109"/>
      <w:bookmarkEnd w:id="1110"/>
      <w:bookmarkEnd w:id="1111"/>
      <w:bookmarkEnd w:id="1112"/>
      <w:bookmarkEnd w:id="1113"/>
      <w:bookmarkEnd w:id="1114"/>
      <w:bookmarkEnd w:id="1115"/>
      <w:bookmarkEnd w:id="1116"/>
      <w:bookmarkEnd w:id="1117"/>
      <w:r>
        <w:rPr>
          <w:rFonts w:hint="eastAsia" w:ascii="宋体" w:hAnsi="宋体" w:eastAsia="宋体" w:cs="仿宋"/>
          <w:bCs/>
          <w:color w:val="auto"/>
          <w:kern w:val="0"/>
          <w:szCs w:val="21"/>
          <w:highlight w:val="none"/>
        </w:rPr>
        <w:t xml:space="preserve"> </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18" w:name="_Toc54862270"/>
      <w:bookmarkStart w:id="1119" w:name="_Toc114990649"/>
      <w:bookmarkStart w:id="1120" w:name="_Toc6922"/>
      <w:bookmarkStart w:id="1121" w:name="_Ref531955248"/>
      <w:bookmarkStart w:id="1122" w:name="_Ref531955245"/>
      <w:bookmarkStart w:id="1123" w:name="_Ref532362928"/>
      <w:bookmarkStart w:id="1124" w:name="_Toc296346648"/>
      <w:bookmarkStart w:id="1125" w:name="_Toc296503147"/>
      <w:bookmarkStart w:id="1126" w:name="_Toc337558841"/>
      <w:r>
        <w:rPr>
          <w:rFonts w:hint="eastAsia" w:ascii="宋体" w:hAnsi="宋体" w:eastAsia="宋体" w:cs="仿宋"/>
          <w:bCs/>
          <w:color w:val="auto"/>
          <w:szCs w:val="21"/>
          <w:highlight w:val="none"/>
        </w:rPr>
        <w:t>11.1 工程保修的原则</w:t>
      </w:r>
      <w:bookmarkEnd w:id="1118"/>
      <w:bookmarkEnd w:id="1119"/>
      <w:bookmarkEnd w:id="112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在工程移交发包人后，因承包人原因产生的质量缺陷，承包人应承担质量缺陷责任和保修义务。缺陷责任期届满，承包人仍应按合同约定的工程各部位保修年限承担保修义务。</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27" w:name="_Toc20003"/>
      <w:bookmarkStart w:id="1128" w:name="_Toc114990650"/>
      <w:bookmarkStart w:id="1129" w:name="_Toc54862271"/>
      <w:bookmarkStart w:id="1130" w:name="_Ref4430062"/>
      <w:r>
        <w:rPr>
          <w:rFonts w:hint="eastAsia" w:ascii="宋体" w:hAnsi="宋体" w:eastAsia="宋体" w:cs="仿宋"/>
          <w:bCs/>
          <w:color w:val="auto"/>
          <w:szCs w:val="21"/>
          <w:highlight w:val="none"/>
        </w:rPr>
        <w:t>11.2 缺陷责任</w:t>
      </w:r>
      <w:bookmarkEnd w:id="1121"/>
      <w:bookmarkEnd w:id="1122"/>
      <w:r>
        <w:rPr>
          <w:rFonts w:hint="eastAsia" w:ascii="宋体" w:hAnsi="宋体" w:eastAsia="宋体" w:cs="仿宋"/>
          <w:bCs/>
          <w:color w:val="auto"/>
          <w:szCs w:val="21"/>
          <w:highlight w:val="none"/>
        </w:rPr>
        <w:t>期</w:t>
      </w:r>
      <w:bookmarkEnd w:id="1123"/>
      <w:bookmarkEnd w:id="1127"/>
      <w:bookmarkEnd w:id="1128"/>
      <w:bookmarkEnd w:id="1129"/>
      <w:bookmarkEnd w:id="1130"/>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缺陷责任期原则上从工程竣工验收合格之日起计算，合同当事人应在专用合同条件约定缺陷责任期的具体期限，但该期限最长不超过24个月。</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31" w:name="_Toc6109"/>
      <w:bookmarkStart w:id="1132" w:name="_Ref532662486"/>
      <w:bookmarkStart w:id="1133" w:name="_Ref532662491"/>
      <w:bookmarkStart w:id="1134" w:name="_Toc114990651"/>
      <w:bookmarkStart w:id="1135" w:name="_Toc54862272"/>
      <w:r>
        <w:rPr>
          <w:rFonts w:hint="eastAsia" w:ascii="宋体" w:hAnsi="宋体" w:eastAsia="宋体" w:cs="仿宋"/>
          <w:bCs/>
          <w:color w:val="auto"/>
          <w:szCs w:val="21"/>
          <w:highlight w:val="none"/>
        </w:rPr>
        <w:t>11.3 缺陷调查</w:t>
      </w:r>
      <w:bookmarkEnd w:id="1131"/>
      <w:bookmarkEnd w:id="1132"/>
      <w:bookmarkEnd w:id="1133"/>
      <w:bookmarkEnd w:id="1134"/>
      <w:bookmarkEnd w:id="1135"/>
    </w:p>
    <w:p>
      <w:pPr>
        <w:tabs>
          <w:tab w:val="left" w:pos="851"/>
        </w:tabs>
        <w:autoSpaceDE w:val="0"/>
        <w:autoSpaceDN w:val="0"/>
        <w:adjustRightInd w:val="0"/>
        <w:snapToGrid w:val="0"/>
        <w:spacing w:line="360" w:lineRule="auto"/>
        <w:ind w:firstLine="420" w:firstLineChars="200"/>
        <w:outlineLvl w:val="4"/>
        <w:rPr>
          <w:rFonts w:ascii="宋体" w:hAnsi="宋体" w:eastAsia="宋体" w:cs="仿宋"/>
          <w:b/>
          <w:color w:val="auto"/>
          <w:szCs w:val="21"/>
          <w:highlight w:val="none"/>
        </w:rPr>
      </w:pPr>
      <w:r>
        <w:rPr>
          <w:rFonts w:hint="eastAsia" w:ascii="宋体" w:hAnsi="宋体" w:eastAsia="宋体" w:cs="仿宋"/>
          <w:color w:val="auto"/>
          <w:szCs w:val="21"/>
          <w:highlight w:val="none"/>
        </w:rPr>
        <w:t>11.3.1 承包人缺陷调查</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11.3.2 缺陷责任</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11.3.3 修复费用</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发包人和承包人应共同查清缺陷或损坏的原因。经查明属承包人原因造成的，应由承包人承担修复的费用。经查验非承包人原因造成的，发包人应承担修复的费用。</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36" w:name="_Ref531955041"/>
      <w:r>
        <w:rPr>
          <w:rFonts w:hint="eastAsia" w:ascii="宋体" w:hAnsi="宋体" w:eastAsia="宋体" w:cs="仿宋"/>
          <w:color w:val="auto"/>
          <w:szCs w:val="21"/>
          <w:highlight w:val="none"/>
        </w:rPr>
        <w:t>11.3.4 修复通知</w:t>
      </w:r>
      <w:bookmarkEnd w:id="1136"/>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11.3.5 在现场外修复</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37" w:name="_Ref4534291"/>
      <w:bookmarkStart w:id="1138" w:name="_Hlk51506786"/>
      <w:r>
        <w:rPr>
          <w:rFonts w:hint="eastAsia" w:ascii="宋体" w:hAnsi="宋体" w:eastAsia="宋体" w:cs="仿宋"/>
          <w:color w:val="auto"/>
          <w:szCs w:val="21"/>
          <w:highlight w:val="none"/>
        </w:rPr>
        <w:t>11.3.6 未能修复</w:t>
      </w:r>
      <w:bookmarkEnd w:id="1137"/>
    </w:p>
    <w:bookmarkEnd w:id="1138"/>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如果工程或工程设备的缺陷或损害使发包人实质上失去了工程的整体功能，发包人有权向承包人追回已支付的工程款项，并要求其赔偿发包人相应损失。</w:t>
      </w:r>
    </w:p>
    <w:bookmarkEnd w:id="1124"/>
    <w:bookmarkEnd w:id="1125"/>
    <w:bookmarkEnd w:id="1126"/>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39" w:name="_Ref532662552"/>
      <w:bookmarkStart w:id="1140" w:name="_Ref532662554"/>
      <w:bookmarkStart w:id="1141" w:name="_Toc30674"/>
      <w:bookmarkStart w:id="1142" w:name="_Toc54862273"/>
      <w:bookmarkStart w:id="1143" w:name="_Toc114990652"/>
      <w:r>
        <w:rPr>
          <w:rFonts w:hint="eastAsia" w:ascii="宋体" w:hAnsi="宋体" w:eastAsia="宋体" w:cs="仿宋"/>
          <w:bCs/>
          <w:color w:val="auto"/>
          <w:szCs w:val="21"/>
          <w:highlight w:val="none"/>
        </w:rPr>
        <w:t>11.4 缺陷修复后的进一步试验</w:t>
      </w:r>
      <w:bookmarkEnd w:id="1139"/>
      <w:bookmarkEnd w:id="1140"/>
      <w:bookmarkEnd w:id="1141"/>
      <w:bookmarkEnd w:id="1142"/>
      <w:bookmarkEnd w:id="114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所有的重复试验应按照适用于先前试验的条款进行，但应由责任方承担修补工作的成本和重新试验的风险和费用。</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44" w:name="_Toc54862274"/>
      <w:bookmarkStart w:id="1145" w:name="_Toc114990653"/>
      <w:bookmarkStart w:id="1146" w:name="_Toc11764"/>
      <w:r>
        <w:rPr>
          <w:rFonts w:hint="eastAsia" w:ascii="宋体" w:hAnsi="宋体" w:eastAsia="宋体" w:cs="仿宋"/>
          <w:bCs/>
          <w:color w:val="auto"/>
          <w:szCs w:val="21"/>
          <w:highlight w:val="none"/>
        </w:rPr>
        <w:t>11.5 承包人出入权</w:t>
      </w:r>
      <w:bookmarkEnd w:id="1144"/>
      <w:bookmarkEnd w:id="1145"/>
      <w:bookmarkEnd w:id="114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47" w:name="_Toc54862275"/>
      <w:bookmarkStart w:id="1148" w:name="_Toc114990654"/>
      <w:bookmarkStart w:id="1149" w:name="_Ref4430223"/>
      <w:bookmarkStart w:id="1150" w:name="_Toc8504"/>
      <w:bookmarkStart w:id="1151" w:name="_Ref4430229"/>
      <w:r>
        <w:rPr>
          <w:rFonts w:hint="eastAsia" w:ascii="宋体" w:hAnsi="宋体" w:eastAsia="宋体" w:cs="仿宋"/>
          <w:bCs/>
          <w:color w:val="auto"/>
          <w:szCs w:val="21"/>
          <w:highlight w:val="none"/>
        </w:rPr>
        <w:t>11.6 缺陷责任期终止证书</w:t>
      </w:r>
      <w:bookmarkEnd w:id="1147"/>
      <w:bookmarkEnd w:id="1148"/>
      <w:bookmarkEnd w:id="1149"/>
      <w:bookmarkEnd w:id="1150"/>
      <w:bookmarkEnd w:id="115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w:t>
      </w:r>
      <w:bookmarkStart w:id="1152" w:name="_Hlk4686672"/>
      <w:r>
        <w:rPr>
          <w:rFonts w:hint="eastAsia" w:ascii="宋体" w:hAnsi="宋体" w:eastAsia="宋体" w:cs="仿宋"/>
          <w:color w:val="auto"/>
          <w:szCs w:val="21"/>
          <w:highlight w:val="none"/>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115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如根据第10.5.3项[人员撤离]承包人在施工现场还留有人员、施工设备和临时工程的，承包人应当在收到缺陷责任期终止证书后28天内，将上述人员、施工设备和临时工程撤离施工现场。</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53" w:name="_Toc54862276"/>
      <w:bookmarkStart w:id="1154" w:name="_Toc114990655"/>
      <w:bookmarkStart w:id="1155" w:name="_Toc32609"/>
      <w:bookmarkStart w:id="1156" w:name="_Ref4430272"/>
      <w:r>
        <w:rPr>
          <w:rFonts w:hint="eastAsia" w:ascii="宋体" w:hAnsi="宋体" w:eastAsia="宋体" w:cs="仿宋"/>
          <w:bCs/>
          <w:color w:val="auto"/>
          <w:szCs w:val="21"/>
          <w:highlight w:val="none"/>
        </w:rPr>
        <w:t>11.7 保修责任</w:t>
      </w:r>
      <w:bookmarkEnd w:id="1153"/>
      <w:bookmarkEnd w:id="1154"/>
      <w:bookmarkEnd w:id="1155"/>
      <w:bookmarkEnd w:id="115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因承包人原因导致的质量缺陷责任，由合同当事人根据有关法律规定，在专用合同条件和工程质量保修书中约定工程质量保修范围、期限和责任。</w:t>
      </w:r>
      <w:bookmarkEnd w:id="927"/>
      <w:bookmarkStart w:id="1157" w:name="_Ref531957860"/>
      <w:bookmarkStart w:id="1158" w:name="_Ref531958289"/>
    </w:p>
    <w:bookmarkEnd w:id="1157"/>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159" w:name="_Toc54862277"/>
      <w:bookmarkStart w:id="1160" w:name="_Toc114990656"/>
      <w:bookmarkStart w:id="1161" w:name="_Toc216681907"/>
      <w:bookmarkStart w:id="1162" w:name="_Ref4621057"/>
      <w:bookmarkStart w:id="1163" w:name="_Toc12940"/>
      <w:bookmarkStart w:id="1164" w:name="_Toc4667"/>
      <w:bookmarkStart w:id="1165" w:name="_Toc32602"/>
      <w:bookmarkStart w:id="1166" w:name="_Ref4621065"/>
      <w:bookmarkStart w:id="1167" w:name="_Ref4796958"/>
      <w:bookmarkStart w:id="1168" w:name="_Ref4796955"/>
      <w:r>
        <w:rPr>
          <w:rFonts w:hint="eastAsia" w:ascii="宋体" w:hAnsi="宋体" w:eastAsia="宋体" w:cs="仿宋"/>
          <w:bCs/>
          <w:color w:val="auto"/>
          <w:kern w:val="0"/>
          <w:szCs w:val="21"/>
          <w:highlight w:val="none"/>
        </w:rPr>
        <w:t>第12条 竣工后试验</w:t>
      </w:r>
      <w:bookmarkEnd w:id="1159"/>
      <w:bookmarkEnd w:id="1160"/>
      <w:bookmarkEnd w:id="1161"/>
      <w:bookmarkEnd w:id="1162"/>
      <w:bookmarkEnd w:id="1163"/>
      <w:bookmarkEnd w:id="1164"/>
      <w:bookmarkEnd w:id="1165"/>
      <w:bookmarkEnd w:id="116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本合同工程包含竣工后试验的，遵守本条约定。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69" w:name="_Ref531954601"/>
      <w:bookmarkStart w:id="1170" w:name="_Ref531954604"/>
      <w:bookmarkStart w:id="1171" w:name="_Toc54862278"/>
      <w:bookmarkStart w:id="1172" w:name="_Toc4638"/>
      <w:bookmarkStart w:id="1173" w:name="_Ref531954694"/>
      <w:bookmarkStart w:id="1174" w:name="_Toc114990657"/>
      <w:bookmarkStart w:id="1175" w:name="_Hlk522259976"/>
      <w:r>
        <w:rPr>
          <w:rFonts w:hint="eastAsia" w:ascii="宋体" w:hAnsi="宋体" w:eastAsia="宋体" w:cs="仿宋"/>
          <w:bCs/>
          <w:color w:val="auto"/>
          <w:szCs w:val="21"/>
          <w:highlight w:val="none"/>
        </w:rPr>
        <w:t>12.1 竣工后试验</w:t>
      </w:r>
      <w:bookmarkEnd w:id="1169"/>
      <w:bookmarkEnd w:id="1170"/>
      <w:r>
        <w:rPr>
          <w:rFonts w:hint="eastAsia" w:ascii="宋体" w:hAnsi="宋体" w:eastAsia="宋体" w:cs="仿宋"/>
          <w:bCs/>
          <w:color w:val="auto"/>
          <w:szCs w:val="21"/>
          <w:highlight w:val="none"/>
        </w:rPr>
        <w:t>的程序</w:t>
      </w:r>
      <w:bookmarkEnd w:id="1171"/>
      <w:bookmarkEnd w:id="1172"/>
      <w:bookmarkEnd w:id="1173"/>
      <w:bookmarkEnd w:id="1174"/>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76" w:name="_Ref11920184"/>
      <w:r>
        <w:rPr>
          <w:rFonts w:hint="eastAsia" w:ascii="宋体" w:hAnsi="宋体" w:eastAsia="宋体" w:cs="仿宋"/>
          <w:color w:val="auto"/>
          <w:szCs w:val="21"/>
          <w:highlight w:val="none"/>
        </w:rPr>
        <w:t>12.1.1 工程或区段工程被发包人接收后，在合理可行的情况下应根据合同约定尽早进行竣工后试验。</w:t>
      </w:r>
      <w:bookmarkEnd w:id="117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77" w:name="_Ref11920162"/>
      <w:r>
        <w:rPr>
          <w:rFonts w:hint="eastAsia" w:ascii="宋体" w:hAnsi="宋体" w:eastAsia="宋体" w:cs="仿宋"/>
          <w:color w:val="auto"/>
          <w:szCs w:val="21"/>
          <w:highlight w:val="none"/>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177"/>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78" w:name="_Ref11920146"/>
      <w:r>
        <w:rPr>
          <w:rFonts w:hint="eastAsia" w:ascii="宋体" w:hAnsi="宋体" w:eastAsia="宋体" w:cs="仿宋"/>
          <w:color w:val="auto"/>
          <w:szCs w:val="21"/>
          <w:highlight w:val="none"/>
        </w:rPr>
        <w:t>12.1.4 发包人应根据《发包人要求》、承包人按照第5.5款</w:t>
      </w:r>
      <w:bookmarkStart w:id="1179" w:name="_Hlk18943978"/>
      <w:r>
        <w:rPr>
          <w:rFonts w:hint="eastAsia" w:ascii="宋体" w:hAnsi="宋体" w:eastAsia="宋体" w:cs="仿宋"/>
          <w:color w:val="auto"/>
          <w:szCs w:val="21"/>
          <w:highlight w:val="none"/>
        </w:rPr>
        <w:t>[操作和维修手册]</w:t>
      </w:r>
      <w:bookmarkEnd w:id="1179"/>
      <w:r>
        <w:rPr>
          <w:rFonts w:hint="eastAsia" w:ascii="宋体" w:hAnsi="宋体" w:eastAsia="宋体" w:cs="仿宋"/>
          <w:color w:val="auto"/>
          <w:szCs w:val="21"/>
          <w:highlight w:val="none"/>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178"/>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12.1.5 竣工后试验的结果应由双方进行整理和评价，并应适当考虑发包人对工程或其任何部分的使用，对工程或区段工程的性能、特性和试验结果产生的影响。</w:t>
      </w:r>
    </w:p>
    <w:p>
      <w:pPr>
        <w:tabs>
          <w:tab w:val="left" w:pos="851"/>
        </w:tabs>
        <w:autoSpaceDE w:val="0"/>
        <w:autoSpaceDN w:val="0"/>
        <w:adjustRightInd w:val="0"/>
        <w:snapToGrid w:val="0"/>
        <w:spacing w:line="360" w:lineRule="auto"/>
        <w:ind w:firstLine="420" w:firstLineChars="200"/>
        <w:outlineLvl w:val="3"/>
        <w:rPr>
          <w:rFonts w:ascii="宋体" w:hAnsi="宋体" w:eastAsia="宋体" w:cs="仿宋"/>
          <w:bCs/>
          <w:color w:val="auto"/>
          <w:szCs w:val="21"/>
          <w:highlight w:val="none"/>
        </w:rPr>
      </w:pPr>
      <w:bookmarkStart w:id="1180" w:name="_Toc26581"/>
      <w:bookmarkStart w:id="1181" w:name="_Ref531954781"/>
      <w:bookmarkStart w:id="1182" w:name="_Ref531954785"/>
      <w:bookmarkStart w:id="1183" w:name="_Toc54862279"/>
      <w:bookmarkStart w:id="1184" w:name="_Toc114990658"/>
      <w:r>
        <w:rPr>
          <w:rFonts w:hint="eastAsia" w:ascii="宋体" w:hAnsi="宋体" w:eastAsia="宋体" w:cs="仿宋"/>
          <w:bCs/>
          <w:color w:val="auto"/>
          <w:szCs w:val="21"/>
          <w:highlight w:val="none"/>
        </w:rPr>
        <w:t>12.2 延误的试验</w:t>
      </w:r>
      <w:bookmarkEnd w:id="1180"/>
      <w:bookmarkEnd w:id="1181"/>
      <w:bookmarkEnd w:id="1182"/>
      <w:bookmarkEnd w:id="1183"/>
      <w:bookmarkEnd w:id="1184"/>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12.2.1 如果竣工后试验因发包人原因被延误的，发包人应承担承包人由此增加的费用并支付承包人合理利润。</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12.2.2 如果因承包人以外的原因，导致竣工后试验未能在缺陷责任期或双方另行同意的其他期限内完成，则相关工程或区段工程应视为已通过该竣工后试验。</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85" w:name="_Toc10879"/>
      <w:bookmarkStart w:id="1186" w:name="_Toc54862280"/>
      <w:bookmarkStart w:id="1187" w:name="_Toc114990659"/>
      <w:r>
        <w:rPr>
          <w:rFonts w:hint="eastAsia" w:ascii="宋体" w:hAnsi="宋体" w:eastAsia="宋体" w:cs="仿宋"/>
          <w:bCs/>
          <w:color w:val="auto"/>
          <w:szCs w:val="21"/>
          <w:highlight w:val="none"/>
        </w:rPr>
        <w:t>12.3 重新试验</w:t>
      </w:r>
      <w:bookmarkEnd w:id="1185"/>
      <w:bookmarkEnd w:id="1186"/>
      <w:bookmarkEnd w:id="118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1175"/>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188" w:name="_Toc114990660"/>
      <w:bookmarkStart w:id="1189" w:name="_Ref531954819"/>
      <w:bookmarkStart w:id="1190" w:name="_Ref531954811"/>
      <w:bookmarkStart w:id="1191" w:name="_Toc2884"/>
      <w:bookmarkStart w:id="1192" w:name="_Toc54862281"/>
      <w:r>
        <w:rPr>
          <w:rFonts w:hint="eastAsia" w:ascii="宋体" w:hAnsi="宋体" w:eastAsia="宋体" w:cs="仿宋"/>
          <w:bCs/>
          <w:color w:val="auto"/>
          <w:szCs w:val="21"/>
          <w:highlight w:val="none"/>
        </w:rPr>
        <w:t>12.4 未能通过竣工后试验</w:t>
      </w:r>
      <w:bookmarkEnd w:id="1188"/>
      <w:bookmarkEnd w:id="1189"/>
      <w:bookmarkEnd w:id="1190"/>
      <w:bookmarkEnd w:id="1191"/>
      <w:bookmarkEnd w:id="1192"/>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193" w:name="_Ref531954829"/>
      <w:r>
        <w:rPr>
          <w:rFonts w:hint="eastAsia" w:ascii="宋体" w:hAnsi="宋体" w:eastAsia="宋体" w:cs="仿宋"/>
          <w:color w:val="auto"/>
          <w:szCs w:val="21"/>
          <w:highlight w:val="none"/>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193"/>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12.4.3 发包人无故拖延给予承包人进行调查、调整或修补所需的进入工程或区段工程的许可，并造成承包人费用增加的，应承担由此增加的费用并支付承包人合理利润。</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194" w:name="_Toc54862282"/>
      <w:bookmarkStart w:id="1195" w:name="_Toc21022"/>
      <w:bookmarkStart w:id="1196" w:name="_Toc216681908"/>
      <w:bookmarkStart w:id="1197" w:name="_Toc114990661"/>
      <w:bookmarkStart w:id="1198" w:name="_Ref4415801"/>
      <w:bookmarkStart w:id="1199" w:name="_Toc9083"/>
      <w:bookmarkStart w:id="1200" w:name="_Toc19417"/>
      <w:r>
        <w:rPr>
          <w:rFonts w:hint="eastAsia" w:ascii="宋体" w:hAnsi="宋体" w:eastAsia="宋体" w:cs="仿宋"/>
          <w:bCs/>
          <w:color w:val="auto"/>
          <w:kern w:val="0"/>
          <w:szCs w:val="21"/>
          <w:highlight w:val="none"/>
        </w:rPr>
        <w:t>第13条 变更与调整</w:t>
      </w:r>
      <w:bookmarkEnd w:id="1194"/>
      <w:bookmarkEnd w:id="1195"/>
      <w:bookmarkEnd w:id="1196"/>
      <w:bookmarkEnd w:id="1197"/>
      <w:bookmarkEnd w:id="1198"/>
      <w:bookmarkEnd w:id="1199"/>
      <w:bookmarkEnd w:id="1200"/>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01" w:name="_Ref532677084"/>
      <w:bookmarkStart w:id="1202" w:name="_Toc22465"/>
      <w:bookmarkStart w:id="1203" w:name="_Ref532668569"/>
      <w:bookmarkStart w:id="1204" w:name="_Toc114990662"/>
      <w:bookmarkStart w:id="1205" w:name="_Toc54862283"/>
      <w:bookmarkStart w:id="1206" w:name="_Ref532670395"/>
      <w:bookmarkStart w:id="1207" w:name="_Ref532668573"/>
      <w:bookmarkStart w:id="1208" w:name="_Ref532670393"/>
      <w:bookmarkStart w:id="1209" w:name="_Ref532677087"/>
      <w:r>
        <w:rPr>
          <w:rFonts w:hint="eastAsia" w:ascii="宋体" w:hAnsi="宋体" w:eastAsia="宋体" w:cs="仿宋"/>
          <w:bCs/>
          <w:color w:val="auto"/>
          <w:szCs w:val="21"/>
          <w:highlight w:val="none"/>
        </w:rPr>
        <w:t>13.1 发包人变更权</w:t>
      </w:r>
      <w:bookmarkEnd w:id="1201"/>
      <w:bookmarkEnd w:id="1202"/>
      <w:bookmarkEnd w:id="1203"/>
      <w:bookmarkEnd w:id="1204"/>
      <w:bookmarkEnd w:id="1205"/>
      <w:bookmarkEnd w:id="1206"/>
      <w:bookmarkEnd w:id="1207"/>
      <w:bookmarkEnd w:id="1208"/>
      <w:bookmarkEnd w:id="1209"/>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210" w:name="_Ref4534979"/>
      <w:r>
        <w:rPr>
          <w:rFonts w:hint="eastAsia" w:ascii="宋体" w:hAnsi="宋体" w:eastAsia="宋体" w:cs="仿宋"/>
          <w:color w:val="auto"/>
          <w:szCs w:val="21"/>
          <w:highlight w:val="none"/>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1210"/>
      <w:r>
        <w:rPr>
          <w:rFonts w:hint="eastAsia" w:ascii="宋体" w:hAnsi="宋体" w:eastAsia="宋体" w:cs="仿宋"/>
          <w:color w:val="auto"/>
          <w:szCs w:val="21"/>
          <w:highlight w:val="none"/>
        </w:rPr>
        <w:t>发包人与承包人对某项指示或批准是否构成变更产生争议的，按第20条[争议解决]处理。</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pPr>
        <w:tabs>
          <w:tab w:val="left" w:pos="851"/>
        </w:tabs>
        <w:autoSpaceDE w:val="0"/>
        <w:autoSpaceDN w:val="0"/>
        <w:adjustRightInd w:val="0"/>
        <w:snapToGrid w:val="0"/>
        <w:spacing w:line="360" w:lineRule="auto"/>
        <w:ind w:firstLine="420" w:firstLineChars="200"/>
        <w:outlineLvl w:val="3"/>
        <w:rPr>
          <w:rFonts w:ascii="宋体" w:hAnsi="宋体" w:eastAsia="宋体" w:cs="仿宋"/>
          <w:bCs/>
          <w:color w:val="auto"/>
          <w:szCs w:val="21"/>
          <w:highlight w:val="none"/>
        </w:rPr>
      </w:pPr>
      <w:bookmarkStart w:id="1211" w:name="_Ref531955587"/>
      <w:bookmarkStart w:id="1212" w:name="_Ref531955590"/>
      <w:bookmarkStart w:id="1213" w:name="_Toc114990663"/>
      <w:bookmarkStart w:id="1214" w:name="_Toc54862284"/>
      <w:bookmarkStart w:id="1215" w:name="_Toc14127"/>
      <w:bookmarkStart w:id="1216" w:name="_Ref4623207"/>
      <w:r>
        <w:rPr>
          <w:rFonts w:hint="eastAsia" w:ascii="宋体" w:hAnsi="宋体" w:eastAsia="宋体" w:cs="仿宋"/>
          <w:bCs/>
          <w:color w:val="auto"/>
          <w:szCs w:val="21"/>
          <w:highlight w:val="none"/>
        </w:rPr>
        <w:t>13.2 承</w:t>
      </w:r>
      <w:bookmarkEnd w:id="1211"/>
      <w:bookmarkEnd w:id="1212"/>
      <w:r>
        <w:rPr>
          <w:rFonts w:hint="eastAsia" w:ascii="宋体" w:hAnsi="宋体" w:eastAsia="宋体" w:cs="仿宋"/>
          <w:bCs/>
          <w:color w:val="auto"/>
          <w:szCs w:val="21"/>
          <w:highlight w:val="none"/>
        </w:rPr>
        <w:t>包人的合理化建议</w:t>
      </w:r>
      <w:bookmarkEnd w:id="1213"/>
      <w:bookmarkEnd w:id="1214"/>
      <w:bookmarkEnd w:id="1215"/>
      <w:bookmarkEnd w:id="1216"/>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13.2.1 承包人提出合理化建议的，应向工程师提交合理化建议说明，说明建议的内容、理由以及实施该建议对合同价格和工期的影响。</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217" w:name="_Ref4681686"/>
      <w:r>
        <w:rPr>
          <w:rFonts w:hint="eastAsia" w:ascii="宋体" w:hAnsi="宋体" w:eastAsia="宋体" w:cs="仿宋"/>
          <w:color w:val="auto"/>
          <w:szCs w:val="21"/>
          <w:highlight w:val="none"/>
        </w:rPr>
        <w:t>13.2.2 除专用合同条件另有约定外，</w:t>
      </w:r>
      <w:bookmarkStart w:id="1218" w:name="_Hlk4682273"/>
      <w:r>
        <w:rPr>
          <w:rFonts w:hint="eastAsia" w:ascii="宋体" w:hAnsi="宋体" w:eastAsia="宋体" w:cs="仿宋"/>
          <w:color w:val="auto"/>
          <w:szCs w:val="21"/>
          <w:highlight w:val="none"/>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1217"/>
      <w:r>
        <w:rPr>
          <w:rFonts w:hint="eastAsia" w:ascii="宋体" w:hAnsi="宋体" w:eastAsia="宋体" w:cs="仿宋"/>
          <w:color w:val="auto"/>
          <w:szCs w:val="21"/>
          <w:highlight w:val="none"/>
        </w:rPr>
        <w:t>。</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13.2.3 合理化建议降低了合同价格、缩短了工期或者提高了工程经济效益的，双方可以按照专用合同条件的约定进行利益分享。</w:t>
      </w:r>
    </w:p>
    <w:bookmarkEnd w:id="1218"/>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19" w:name="_Ref532671480"/>
      <w:bookmarkStart w:id="1220" w:name="_Ref532673541"/>
      <w:bookmarkStart w:id="1221" w:name="_Toc2833"/>
      <w:bookmarkStart w:id="1222" w:name="_Toc54862285"/>
      <w:bookmarkStart w:id="1223" w:name="_Ref532669305"/>
      <w:bookmarkStart w:id="1224" w:name="_Ref532669302"/>
      <w:bookmarkStart w:id="1225" w:name="_Ref532671484"/>
      <w:bookmarkStart w:id="1226" w:name="_Toc114990664"/>
      <w:bookmarkStart w:id="1227" w:name="_Ref532673538"/>
      <w:r>
        <w:rPr>
          <w:rFonts w:hint="eastAsia" w:ascii="宋体" w:hAnsi="宋体" w:eastAsia="宋体" w:cs="仿宋"/>
          <w:bCs/>
          <w:color w:val="auto"/>
          <w:szCs w:val="21"/>
          <w:highlight w:val="none"/>
        </w:rPr>
        <w:t>13.3 变更程序</w:t>
      </w:r>
      <w:bookmarkEnd w:id="1219"/>
      <w:bookmarkEnd w:id="1220"/>
      <w:bookmarkEnd w:id="1221"/>
      <w:bookmarkEnd w:id="1222"/>
      <w:bookmarkEnd w:id="1223"/>
      <w:bookmarkEnd w:id="1224"/>
      <w:bookmarkEnd w:id="1225"/>
      <w:bookmarkEnd w:id="1226"/>
      <w:bookmarkEnd w:id="1227"/>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28" w:name="_Ref4534600"/>
      <w:r>
        <w:rPr>
          <w:rFonts w:hint="eastAsia" w:ascii="宋体" w:hAnsi="宋体" w:eastAsia="宋体" w:cs="仿宋"/>
          <w:color w:val="auto"/>
          <w:szCs w:val="21"/>
          <w:highlight w:val="none"/>
        </w:rPr>
        <w:t>13.3.1 发包人提出变更</w:t>
      </w:r>
      <w:bookmarkEnd w:id="1228"/>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发包人提出变更的，应通过工程师向承包人发出书面形式的变更指示，变更指示应说明计划变更的工程范围和变更的内容。</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229" w:name="_Ref4534617"/>
      <w:r>
        <w:rPr>
          <w:rFonts w:hint="eastAsia" w:ascii="宋体" w:hAnsi="宋体" w:eastAsia="宋体" w:cs="仿宋"/>
          <w:color w:val="auto"/>
          <w:szCs w:val="21"/>
          <w:highlight w:val="none"/>
        </w:rPr>
        <w:t>13.3.2 变更执行</w:t>
      </w:r>
      <w:bookmarkEnd w:id="1229"/>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pPr>
        <w:tabs>
          <w:tab w:val="left" w:pos="851"/>
        </w:tabs>
        <w:autoSpaceDE w:val="0"/>
        <w:autoSpaceDN w:val="0"/>
        <w:adjustRightInd w:val="0"/>
        <w:snapToGrid w:val="0"/>
        <w:spacing w:line="360" w:lineRule="auto"/>
        <w:ind w:firstLine="420" w:firstLineChars="200"/>
        <w:outlineLvl w:val="4"/>
        <w:rPr>
          <w:rFonts w:ascii="宋体" w:hAnsi="宋体" w:eastAsia="宋体" w:cs="仿宋"/>
          <w:color w:val="auto"/>
          <w:szCs w:val="21"/>
          <w:highlight w:val="none"/>
        </w:rPr>
      </w:pPr>
      <w:bookmarkStart w:id="1230" w:name="_Ref3835481"/>
      <w:r>
        <w:rPr>
          <w:rFonts w:hint="eastAsia" w:ascii="宋体" w:hAnsi="宋体" w:eastAsia="宋体" w:cs="仿宋"/>
          <w:color w:val="auto"/>
          <w:szCs w:val="21"/>
          <w:highlight w:val="none"/>
        </w:rPr>
        <w:t>13.3.3 变更估价</w:t>
      </w:r>
      <w:bookmarkEnd w:id="1230"/>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13.3.3.1 变更估价原则</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除专用合同条件另有约定外，变更估价按照本款约定处理：</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合同中未包含价格清单，合同价格应按照所执行的变更工程的成本加利润调整；</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合同中包含价格清单，合同价格按照如下规则调整：</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 价格清单中有适用于变更工程项目的，应采用该项目的费率和价格；</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 价格清单中没有适用但有类似于变更工程项目的，可在合理范围内参照类似项目的费率或价格；</w:t>
      </w:r>
    </w:p>
    <w:p>
      <w:pPr>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 价格清单中没有适用也没有类似于变更工程项目的，该工程项目应按成本加利润原则调整适用新的费率或价格。</w:t>
      </w:r>
    </w:p>
    <w:p>
      <w:pPr>
        <w:tabs>
          <w:tab w:val="left" w:pos="1134"/>
        </w:tabs>
        <w:autoSpaceDE w:val="0"/>
        <w:autoSpaceDN w:val="0"/>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13.3.3.2 变更估价程序</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231" w:name="_Ref531955607"/>
      <w:bookmarkStart w:id="1232" w:name="_Ref531955605"/>
      <w:bookmarkStart w:id="1233" w:name="_Toc296346651"/>
      <w:bookmarkStart w:id="1234" w:name="_Toc296503150"/>
      <w:bookmarkStart w:id="1235" w:name="_Toc337558844"/>
      <w:r>
        <w:rPr>
          <w:rFonts w:hint="eastAsia" w:ascii="宋体" w:hAnsi="宋体" w:eastAsia="宋体" w:cs="仿宋"/>
          <w:color w:val="auto"/>
          <w:szCs w:val="21"/>
          <w:highlight w:val="none"/>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因变更引起的价格调整应计入最近一期的进度款中支付。</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13.3.4 变更引起的工期调整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因变更引起工期变化的，合同当事人均可要求调整合同工期，由合同当事人按照第3.6款[商定或确定]并参考工程所在地的工期定额标准确定增减工期天数。</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36" w:name="_Ref4431237"/>
      <w:bookmarkStart w:id="1237" w:name="_Toc12121"/>
      <w:bookmarkStart w:id="1238" w:name="_Toc114990665"/>
      <w:bookmarkStart w:id="1239" w:name="_Toc54862286"/>
      <w:r>
        <w:rPr>
          <w:rFonts w:hint="eastAsia" w:ascii="宋体" w:hAnsi="宋体" w:eastAsia="宋体" w:cs="仿宋"/>
          <w:bCs/>
          <w:color w:val="auto"/>
          <w:szCs w:val="21"/>
          <w:highlight w:val="none"/>
        </w:rPr>
        <w:t>13.4 暂估价</w:t>
      </w:r>
      <w:bookmarkEnd w:id="1236"/>
      <w:bookmarkEnd w:id="1237"/>
      <w:bookmarkEnd w:id="1238"/>
      <w:bookmarkEnd w:id="1239"/>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40" w:name="_Ref4616729"/>
      <w:r>
        <w:rPr>
          <w:rFonts w:hint="eastAsia" w:ascii="宋体" w:hAnsi="宋体" w:eastAsia="宋体" w:cs="仿宋"/>
          <w:color w:val="auto"/>
          <w:szCs w:val="21"/>
          <w:highlight w:val="none"/>
        </w:rPr>
        <w:t>13.4.1 依法必须招标的暂估价项目</w:t>
      </w:r>
      <w:bookmarkEnd w:id="124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对于依法必须招标的暂估价项目，专用合同条件约定由承包人作为发包人的，招标文件、评标方案、评标结果应报送发包人批准。与组织招标工作有关的费用应当被认为已经包括在承包人的签约合同价中。</w:t>
      </w:r>
    </w:p>
    <w:p>
      <w:pPr>
        <w:numPr>
          <w:ilvl w:val="4"/>
          <w:numId w:val="0"/>
        </w:numPr>
        <w:tabs>
          <w:tab w:val="left" w:pos="993"/>
        </w:tabs>
        <w:autoSpaceDE w:val="0"/>
        <w:autoSpaceDN w:val="0"/>
        <w:adjustRightInd w:val="0"/>
        <w:snapToGrid w:val="0"/>
        <w:spacing w:line="360" w:lineRule="auto"/>
        <w:ind w:firstLine="420" w:firstLineChars="200"/>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专用合同条件约定由发包人和承包人共同作为发包人的，与组织招标工作有关的费用在专用合同条件中约定。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具体的招标程序以及发包人和承包人权利义务关系可在专用合同条件中约定。暂估价项目的中标金额与价格清单中所列暂估价的金额差以及相应的税金等其他费用应列入合同价格。</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41" w:name="_Ref4682312"/>
      <w:r>
        <w:rPr>
          <w:rFonts w:hint="eastAsia" w:ascii="宋体" w:hAnsi="宋体" w:eastAsia="宋体" w:cs="仿宋"/>
          <w:color w:val="auto"/>
          <w:szCs w:val="21"/>
          <w:highlight w:val="none"/>
        </w:rPr>
        <w:t>13.4.2 不属于依法必须招标的暂估价项目</w:t>
      </w:r>
      <w:bookmarkEnd w:id="124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42" w:name="_Ref4431250"/>
      <w:bookmarkStart w:id="1243" w:name="_Toc16227"/>
      <w:bookmarkStart w:id="1244" w:name="_Toc114990666"/>
      <w:bookmarkStart w:id="1245" w:name="_Toc54862287"/>
      <w:r>
        <w:rPr>
          <w:rFonts w:hint="eastAsia" w:ascii="宋体" w:hAnsi="宋体" w:eastAsia="宋体" w:cs="仿宋"/>
          <w:bCs/>
          <w:color w:val="auto"/>
          <w:szCs w:val="21"/>
          <w:highlight w:val="none"/>
        </w:rPr>
        <w:t>13.5 暂列金额</w:t>
      </w:r>
      <w:bookmarkEnd w:id="1242"/>
      <w:bookmarkEnd w:id="1243"/>
      <w:bookmarkEnd w:id="1244"/>
      <w:bookmarkEnd w:id="1245"/>
      <w:r>
        <w:rPr>
          <w:rFonts w:hint="eastAsia" w:ascii="宋体" w:hAnsi="宋体" w:eastAsia="宋体" w:cs="仿宋"/>
          <w:bCs/>
          <w:color w:val="auto"/>
          <w:szCs w:val="21"/>
          <w:highlight w:val="none"/>
        </w:rPr>
        <w:t xml:space="preserve"> </w:t>
      </w:r>
      <w:bookmarkEnd w:id="1231"/>
      <w:bookmarkEnd w:id="1232"/>
    </w:p>
    <w:bookmarkEnd w:id="1233"/>
    <w:bookmarkEnd w:id="1234"/>
    <w:bookmarkEnd w:id="1235"/>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对于每笔暂列金额，发包人可以指示用于下列支付：</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发包人根据第13.1款[发包人变更权]指示变更，决定对合同价格和付款计划表（如有）进行调整的、由承包人实施的工作（包括要提供的工程设备、材料和服务）；</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承包人购买的工程设备、材料、工作或服务，应支付包括承包人已付（或应付）的实际金额以及相应的管理费等费用和利润（管理费和利润应以实际金额为基数根据合同约定的费率（如有）或百分比计算）。</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每份包含暂列金额的文件还应包括用以证明暂列金额的所有有效的发票、凭证和账户或收据。</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46" w:name="_Toc296503152"/>
      <w:bookmarkStart w:id="1247" w:name="_Ref4431438"/>
      <w:bookmarkStart w:id="1248" w:name="_Toc337558845"/>
      <w:bookmarkStart w:id="1249" w:name="_Toc54862288"/>
      <w:bookmarkStart w:id="1250" w:name="_Toc296346653"/>
      <w:bookmarkStart w:id="1251" w:name="_Toc114990667"/>
      <w:bookmarkStart w:id="1252" w:name="_Toc17040"/>
      <w:r>
        <w:rPr>
          <w:rFonts w:hint="eastAsia" w:ascii="宋体" w:hAnsi="宋体" w:eastAsia="宋体" w:cs="仿宋"/>
          <w:bCs/>
          <w:color w:val="auto"/>
          <w:szCs w:val="21"/>
          <w:highlight w:val="none"/>
        </w:rPr>
        <w:t>13.6 计日工</w:t>
      </w:r>
      <w:bookmarkEnd w:id="1246"/>
      <w:bookmarkEnd w:id="1247"/>
      <w:bookmarkEnd w:id="1248"/>
      <w:bookmarkEnd w:id="1249"/>
      <w:bookmarkEnd w:id="1250"/>
      <w:bookmarkEnd w:id="1251"/>
      <w:bookmarkEnd w:id="1252"/>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13.6.2 采用计日工计价的任何一项工作，承包人应在该项工作实施过程中，每天提交以下报表和有关凭证报送工程师审查：</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工作名称、内容和数量；</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投入该工作的所有人员的姓名、专业、工种、级别和耗用工时；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投入该工作的材料类别和数量；</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投入该工作的施工设备型号、台数和耗用台时；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其他有关资料和凭证。</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计日工由承包人汇总后，列入最近一期进度付款申请单，由工程师审查并经发包人批准后列入进度付款。</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53" w:name="_Toc114990668"/>
      <w:bookmarkStart w:id="1254" w:name="_Ref4617318"/>
      <w:bookmarkStart w:id="1255" w:name="_Toc54862289"/>
      <w:bookmarkStart w:id="1256" w:name="_Ref4617331"/>
      <w:bookmarkStart w:id="1257" w:name="_Toc24920"/>
      <w:r>
        <w:rPr>
          <w:rFonts w:hint="eastAsia" w:ascii="宋体" w:hAnsi="宋体" w:eastAsia="宋体" w:cs="仿宋"/>
          <w:bCs/>
          <w:color w:val="auto"/>
          <w:szCs w:val="21"/>
          <w:highlight w:val="none"/>
        </w:rPr>
        <w:t>13.7 法律变化引起的调整</w:t>
      </w:r>
      <w:bookmarkEnd w:id="1253"/>
      <w:bookmarkEnd w:id="1254"/>
      <w:bookmarkEnd w:id="1255"/>
      <w:bookmarkEnd w:id="1256"/>
      <w:bookmarkEnd w:id="1257"/>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13.7.2 因法律变化引起的合同价格和工期调整，合同当事人无法达成一致的，由工程师按第3.6款[商定或确定]的约定处理。</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13.7.3 因承包人原因造成工期延误，在工期延误期间出现法律变化的，由此增加的费用和（或）延误的工期由承包人承担。</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13.7.4 因法律变化而需要对工程的实施进行任何调整的，承包人应迅速通知发包人，或者发包人应迅速通知承包人，并附上详细的辅助资料。发包人接到通知后，应根据第13.3款[变更程序]发出变更指示。</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58" w:name="_Ref531955630"/>
      <w:bookmarkStart w:id="1259" w:name="_Toc54862290"/>
      <w:bookmarkStart w:id="1260" w:name="_Ref531955627"/>
      <w:bookmarkStart w:id="1261" w:name="_Toc1410"/>
      <w:bookmarkStart w:id="1262" w:name="_Toc114990669"/>
      <w:bookmarkStart w:id="1263" w:name="_Ref18977613"/>
      <w:r>
        <w:rPr>
          <w:rFonts w:hint="eastAsia" w:ascii="宋体" w:hAnsi="宋体" w:eastAsia="宋体" w:cs="仿宋"/>
          <w:bCs/>
          <w:color w:val="auto"/>
          <w:szCs w:val="21"/>
          <w:highlight w:val="none"/>
        </w:rPr>
        <w:t>13.8 市场价格波动引起的调整</w:t>
      </w:r>
      <w:bookmarkEnd w:id="1258"/>
      <w:bookmarkEnd w:id="1259"/>
      <w:bookmarkEnd w:id="1260"/>
      <w:bookmarkEnd w:id="1261"/>
      <w:bookmarkEnd w:id="1262"/>
      <w:bookmarkEnd w:id="1263"/>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64" w:name="_Ref4709841"/>
      <w:r>
        <w:rPr>
          <w:rFonts w:hint="eastAsia" w:ascii="宋体" w:hAnsi="宋体" w:eastAsia="宋体" w:cs="仿宋"/>
          <w:color w:val="auto"/>
          <w:szCs w:val="21"/>
          <w:highlight w:val="none"/>
        </w:rPr>
        <w:t>13.8.1 主要工程材料、设备、人工价格与招标时基期价相比，波动幅度超过合同约定幅度的，双方按照合同约定的价格调整方式调整。</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13.8.2 发包人与承包人在专用合同条件中约定采用《价格指数权重表》的，适用本项约定。</w:t>
      </w:r>
    </w:p>
    <w:p>
      <w:pPr>
        <w:tabs>
          <w:tab w:val="left" w:pos="1134"/>
        </w:tabs>
        <w:autoSpaceDE w:val="0"/>
        <w:autoSpaceDN w:val="0"/>
        <w:adjustRightInd w:val="0"/>
        <w:snapToGrid w:val="0"/>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13.8.2.1 双方当事人可以将部分主要工程材料、工程设备、人工价格及其他双方认为应当根据市场价格调整的费用列入附件6[价格指数权重表]，并根据以下公式计算差额并调整合同价格：</w:t>
      </w:r>
    </w:p>
    <w:bookmarkEnd w:id="1264"/>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265" w:name="_Ref4616996"/>
      <w:r>
        <w:rPr>
          <w:rFonts w:hint="eastAsia" w:ascii="宋体" w:hAnsi="宋体" w:eastAsia="宋体" w:cs="仿宋"/>
          <w:color w:val="auto"/>
          <w:szCs w:val="21"/>
          <w:highlight w:val="none"/>
        </w:rPr>
        <w:t>（1） 价格调整公式</w:t>
      </w:r>
      <w:bookmarkEnd w:id="1265"/>
    </w:p>
    <w:p>
      <w:pPr>
        <w:autoSpaceDE w:val="0"/>
        <w:autoSpaceDN w:val="0"/>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drawing>
          <wp:anchor distT="0" distB="0" distL="114300" distR="114300" simplePos="0" relativeHeight="251659264" behindDoc="0" locked="0" layoutInCell="1" allowOverlap="1">
            <wp:simplePos x="0" y="0"/>
            <wp:positionH relativeFrom="column">
              <wp:posOffset>66675</wp:posOffset>
            </wp:positionH>
            <wp:positionV relativeFrom="paragraph">
              <wp:posOffset>111760</wp:posOffset>
            </wp:positionV>
            <wp:extent cx="4777740" cy="678815"/>
            <wp:effectExtent l="0" t="0" r="3810" b="698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4777740" cy="678815"/>
                    </a:xfrm>
                    <a:prstGeom prst="rect">
                      <a:avLst/>
                    </a:prstGeom>
                    <a:noFill/>
                    <a:ln>
                      <a:noFill/>
                    </a:ln>
                  </pic:spPr>
                </pic:pic>
              </a:graphicData>
            </a:graphic>
          </wp:anchor>
        </w:drawing>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公式中：△P---需调整的价格差额；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P</w:t>
      </w:r>
      <w:r>
        <w:rPr>
          <w:rFonts w:hint="eastAsia" w:ascii="宋体" w:hAnsi="宋体" w:eastAsia="宋体" w:cs="仿宋"/>
          <w:color w:val="auto"/>
          <w:szCs w:val="21"/>
          <w:highlight w:val="none"/>
          <w:vertAlign w:val="subscript"/>
        </w:rPr>
        <w:t>O</w:t>
      </w:r>
      <w:r>
        <w:rPr>
          <w:rFonts w:hint="eastAsia" w:ascii="宋体" w:hAnsi="宋体" w:eastAsia="宋体" w:cs="仿宋"/>
          <w:color w:val="auto"/>
          <w:szCs w:val="21"/>
          <w:highlight w:val="none"/>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A ---定值权重（即不调部分的权重）； </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266" w:name="_Hlk24103184"/>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1</w:t>
      </w:r>
      <w:bookmarkEnd w:id="1266"/>
      <w:r>
        <w:rPr>
          <w:rFonts w:hint="eastAsia" w:ascii="宋体" w:hAnsi="宋体" w:eastAsia="宋体" w:cs="仿宋"/>
          <w:color w:val="auto"/>
          <w:szCs w:val="21"/>
          <w:highlight w:val="none"/>
        </w:rPr>
        <w:t>；</w:t>
      </w:r>
      <w:bookmarkStart w:id="1267" w:name="_Hlk24103205"/>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2</w:t>
      </w:r>
      <w:bookmarkEnd w:id="1267"/>
      <w:r>
        <w:rPr>
          <w:rFonts w:hint="eastAsia" w:ascii="宋体" w:hAnsi="宋体" w:eastAsia="宋体" w:cs="仿宋"/>
          <w:color w:val="auto"/>
          <w:szCs w:val="21"/>
          <w:highlight w:val="none"/>
        </w:rPr>
        <w:t>；</w:t>
      </w:r>
      <w:bookmarkStart w:id="1268" w:name="_Hlk24103220"/>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3</w:t>
      </w:r>
      <w:bookmarkEnd w:id="1268"/>
      <w:r>
        <w:rPr>
          <w:rFonts w:hint="eastAsia" w:ascii="宋体" w:hAnsi="宋体" w:eastAsia="宋体" w:cs="仿宋"/>
          <w:color w:val="auto"/>
          <w:szCs w:val="21"/>
          <w:highlight w:val="none"/>
        </w:rPr>
        <w:t>；……</w:t>
      </w:r>
      <w:bookmarkStart w:id="1269" w:name="_Hlk24103245"/>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n</w:t>
      </w:r>
      <w:bookmarkEnd w:id="1269"/>
      <w:r>
        <w:rPr>
          <w:rFonts w:hint="eastAsia" w:ascii="宋体" w:hAnsi="宋体" w:eastAsia="宋体" w:cs="仿宋"/>
          <w:color w:val="auto"/>
          <w:szCs w:val="21"/>
          <w:highlight w:val="none"/>
        </w:rPr>
        <w:t>---各可调因子的变值权重（即可调部分的权重）为各可调因子在投标函投标总报价中所占的比例，且A+B</w:t>
      </w:r>
      <w:r>
        <w:rPr>
          <w:rFonts w:hint="eastAsia" w:ascii="宋体" w:hAnsi="宋体" w:eastAsia="宋体" w:cs="仿宋"/>
          <w:color w:val="auto"/>
          <w:szCs w:val="21"/>
          <w:highlight w:val="none"/>
          <w:vertAlign w:val="subscript"/>
        </w:rPr>
        <w:t>1</w:t>
      </w:r>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2</w:t>
      </w:r>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3</w:t>
      </w:r>
      <w:r>
        <w:rPr>
          <w:rFonts w:hint="eastAsia" w:ascii="宋体" w:hAnsi="宋体" w:eastAsia="宋体" w:cs="仿宋"/>
          <w:color w:val="auto"/>
          <w:szCs w:val="21"/>
          <w:highlight w:val="none"/>
        </w:rPr>
        <w:t>+……+B</w:t>
      </w:r>
      <w:r>
        <w:rPr>
          <w:rFonts w:hint="eastAsia" w:ascii="宋体" w:hAnsi="宋体" w:eastAsia="宋体" w:cs="仿宋"/>
          <w:color w:val="auto"/>
          <w:szCs w:val="21"/>
          <w:highlight w:val="none"/>
          <w:vertAlign w:val="subscript"/>
        </w:rPr>
        <w:t>n</w:t>
      </w:r>
      <w:r>
        <w:rPr>
          <w:rFonts w:hint="eastAsia" w:ascii="宋体" w:hAnsi="宋体" w:eastAsia="宋体" w:cs="仿宋"/>
          <w:color w:val="auto"/>
          <w:szCs w:val="21"/>
          <w:highlight w:val="none"/>
        </w:rPr>
        <w:t>=1；</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t1</w:t>
      </w: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t2</w:t>
      </w: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t3</w:t>
      </w: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tn</w:t>
      </w:r>
      <w:r>
        <w:rPr>
          <w:rFonts w:hint="eastAsia" w:ascii="宋体" w:hAnsi="宋体" w:eastAsia="宋体" w:cs="仿宋"/>
          <w:color w:val="auto"/>
          <w:szCs w:val="21"/>
          <w:highlight w:val="none"/>
        </w:rPr>
        <w:t>---各可调因子的当期价格指数，指付款证书相关周期最后一天的前42天的各可调因子的价格指数；</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01</w:t>
      </w: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02</w:t>
      </w: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03</w:t>
      </w:r>
      <w:r>
        <w:rPr>
          <w:rFonts w:hint="eastAsia" w:ascii="宋体" w:hAnsi="宋体" w:eastAsia="宋体" w:cs="仿宋"/>
          <w:color w:val="auto"/>
          <w:szCs w:val="21"/>
          <w:highlight w:val="none"/>
        </w:rPr>
        <w:t>；……F</w:t>
      </w:r>
      <w:r>
        <w:rPr>
          <w:rFonts w:hint="eastAsia" w:ascii="宋体" w:hAnsi="宋体" w:eastAsia="宋体" w:cs="仿宋"/>
          <w:color w:val="auto"/>
          <w:szCs w:val="21"/>
          <w:highlight w:val="none"/>
          <w:vertAlign w:val="subscript"/>
        </w:rPr>
        <w:t>0n</w:t>
      </w:r>
      <w:r>
        <w:rPr>
          <w:rFonts w:hint="eastAsia" w:ascii="宋体" w:hAnsi="宋体" w:eastAsia="宋体" w:cs="仿宋"/>
          <w:color w:val="auto"/>
          <w:szCs w:val="21"/>
          <w:highlight w:val="none"/>
        </w:rPr>
        <w:t>---各可调因子的基本价格指数，指基准日期的各可调因子的价格指数。</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暂时确定调整差额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在计算调整差额时得不到当期价格指数的，可暂用上一次价格指数计算，并在以后的付款中再按实际价格指数进行调整。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权重的调整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按第13.1款[发包人变更权]约定的变更导致原定合同中的权重不合理的，由工程师与承包人和发包人协商后进行调整。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承包人原因工期延误后的价格调整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发包人引起的工期延误后的价格调整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pPr>
        <w:tabs>
          <w:tab w:val="left" w:pos="1134"/>
        </w:tabs>
        <w:autoSpaceDE w:val="0"/>
        <w:autoSpaceDN w:val="0"/>
        <w:adjustRightInd w:val="0"/>
        <w:snapToGrid w:val="0"/>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13.8.2.2 未列入</w:t>
      </w:r>
      <w:bookmarkStart w:id="1270" w:name="_Hlk24494865"/>
      <w:r>
        <w:rPr>
          <w:rFonts w:hint="eastAsia" w:ascii="宋体" w:hAnsi="宋体" w:eastAsia="宋体" w:cs="仿宋"/>
          <w:color w:val="auto"/>
          <w:szCs w:val="21"/>
          <w:highlight w:val="none"/>
        </w:rPr>
        <w:t>《价格指数权重表》</w:t>
      </w:r>
      <w:bookmarkEnd w:id="1270"/>
      <w:r>
        <w:rPr>
          <w:rFonts w:hint="eastAsia" w:ascii="宋体" w:hAnsi="宋体" w:eastAsia="宋体" w:cs="仿宋"/>
          <w:color w:val="auto"/>
          <w:szCs w:val="21"/>
          <w:highlight w:val="none"/>
        </w:rPr>
        <w:t>的费用不因市场变化而调整。</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71" w:name="_Toc17924"/>
      <w:bookmarkStart w:id="1272" w:name="_Toc3512"/>
      <w:r>
        <w:rPr>
          <w:rFonts w:hint="eastAsia" w:ascii="宋体" w:hAnsi="宋体" w:eastAsia="宋体" w:cs="仿宋"/>
          <w:color w:val="auto"/>
          <w:szCs w:val="21"/>
          <w:highlight w:val="none"/>
        </w:rPr>
        <w:t>13.8.3 双方约定采用其他方式调整合同价款的，以专用合同条件约定为准。</w:t>
      </w:r>
      <w:bookmarkEnd w:id="1271"/>
      <w:bookmarkEnd w:id="1272"/>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273" w:name="_Ref531955880"/>
      <w:bookmarkStart w:id="1274" w:name="_Toc27442"/>
      <w:bookmarkStart w:id="1275" w:name="_Ref531955885"/>
      <w:bookmarkStart w:id="1276" w:name="_Toc54862291"/>
      <w:bookmarkStart w:id="1277" w:name="_Toc918"/>
      <w:bookmarkStart w:id="1278" w:name="_Toc216681909"/>
      <w:bookmarkStart w:id="1279" w:name="_Toc114990670"/>
      <w:bookmarkStart w:id="1280" w:name="_Toc22068"/>
      <w:r>
        <w:rPr>
          <w:rFonts w:hint="eastAsia" w:ascii="宋体" w:hAnsi="宋体" w:eastAsia="宋体" w:cs="仿宋"/>
          <w:bCs/>
          <w:color w:val="auto"/>
          <w:kern w:val="0"/>
          <w:szCs w:val="21"/>
          <w:highlight w:val="none"/>
        </w:rPr>
        <w:t>第14条 合同价格与支付</w:t>
      </w:r>
      <w:bookmarkEnd w:id="1273"/>
      <w:bookmarkEnd w:id="1274"/>
      <w:bookmarkEnd w:id="1275"/>
      <w:bookmarkEnd w:id="1276"/>
      <w:bookmarkEnd w:id="1277"/>
      <w:bookmarkEnd w:id="1278"/>
      <w:bookmarkEnd w:id="1279"/>
      <w:bookmarkEnd w:id="1280"/>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81" w:name="_Toc54862292"/>
      <w:bookmarkStart w:id="1282" w:name="_Toc2187"/>
      <w:bookmarkStart w:id="1283" w:name="_Ref4431521"/>
      <w:bookmarkStart w:id="1284" w:name="_Toc114990671"/>
      <w:bookmarkStart w:id="1285" w:name="_Ref4431531"/>
      <w:r>
        <w:rPr>
          <w:rFonts w:hint="eastAsia" w:ascii="宋体" w:hAnsi="宋体" w:eastAsia="宋体" w:cs="仿宋"/>
          <w:bCs/>
          <w:color w:val="auto"/>
          <w:szCs w:val="21"/>
          <w:highlight w:val="none"/>
        </w:rPr>
        <w:t>14.1 合同价格形式</w:t>
      </w:r>
      <w:bookmarkEnd w:id="1281"/>
      <w:bookmarkEnd w:id="1282"/>
      <w:bookmarkEnd w:id="1283"/>
      <w:bookmarkEnd w:id="1284"/>
      <w:bookmarkEnd w:id="1285"/>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14.1.1 除专用合同条件中另有约定外，本合同为总价合同，除根据第13条[变更与调整]，以及合同中其它相关增减金额的约定进行调整外，合同价格不做调整。</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86" w:name="_Toc9610"/>
      <w:bookmarkStart w:id="1287" w:name="_Toc27680"/>
      <w:r>
        <w:rPr>
          <w:rFonts w:hint="eastAsia" w:ascii="宋体" w:hAnsi="宋体" w:eastAsia="宋体" w:cs="仿宋"/>
          <w:color w:val="auto"/>
          <w:szCs w:val="21"/>
          <w:highlight w:val="none"/>
        </w:rPr>
        <w:t>14.1.2 除专用合同条件另有约定外：</w:t>
      </w:r>
      <w:bookmarkEnd w:id="1286"/>
      <w:bookmarkEnd w:id="128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工程款的支付应以合同协议书约定的签约合同价格为基础，按照合同约定进行调整；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承包人应支付根据法律规定或合同约定应由其支付的各项税费，除第13.7款[法律变化引起的调整]约定外，合同价格不应因任何这些税费进行调整；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14.1.3 合同约定工程的某部分按照实际完成的工程量进行支付的，应按照专用合同条件的约定进行计量和估价，并据此调整合同价格。</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88" w:name="_Ref531956884"/>
      <w:bookmarkStart w:id="1289" w:name="_Ref531956881"/>
      <w:bookmarkStart w:id="1290" w:name="_Toc114990672"/>
      <w:bookmarkStart w:id="1291" w:name="_Toc54862293"/>
      <w:bookmarkStart w:id="1292" w:name="_Toc20269"/>
      <w:bookmarkStart w:id="1293" w:name="_Toc4386"/>
      <w:bookmarkStart w:id="1294" w:name="_Toc13937"/>
      <w:r>
        <w:rPr>
          <w:rFonts w:hint="eastAsia" w:ascii="宋体" w:hAnsi="宋体" w:eastAsia="宋体" w:cs="仿宋"/>
          <w:bCs/>
          <w:color w:val="auto"/>
          <w:szCs w:val="21"/>
          <w:highlight w:val="none"/>
        </w:rPr>
        <w:t>14.2 预付款</w:t>
      </w:r>
      <w:bookmarkEnd w:id="1288"/>
      <w:bookmarkEnd w:id="1289"/>
      <w:bookmarkEnd w:id="1290"/>
      <w:bookmarkEnd w:id="1291"/>
      <w:bookmarkEnd w:id="1292"/>
      <w:bookmarkEnd w:id="1293"/>
      <w:bookmarkEnd w:id="1294"/>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14.2.1 预付款支付</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预付款的额度和支付按照专用合同条件约定执行。预付款应当专用于承包人为合同工程的设计和工程实施购置材料、工程设备、施工设备、修建临时设施以及组织施工队伍进场等合同工作。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除专用合同条件另有约定外，预付款在进度付款中同比例扣回。在颁发工程接收证书前，提前解除合同的，尚未扣完的预付款应与合同价款一并结算。</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发包人逾期支付预付款超过7天的，承包人有权向发包人发出要求预付的催告通知，发包人收到通知后7天内仍未支付的，承包人有权暂停施工，并按第15.1.1项[发包人违约的情形]执行。</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295" w:name="_Ref531956907"/>
      <w:bookmarkStart w:id="1296" w:name="_Ref4797624"/>
      <w:bookmarkStart w:id="1297" w:name="_Hlk54429963"/>
      <w:r>
        <w:rPr>
          <w:rFonts w:hint="eastAsia" w:ascii="宋体" w:hAnsi="宋体" w:eastAsia="宋体" w:cs="仿宋"/>
          <w:color w:val="auto"/>
          <w:szCs w:val="21"/>
          <w:highlight w:val="none"/>
        </w:rPr>
        <w:t>14.2.2 预付款</w:t>
      </w:r>
      <w:bookmarkEnd w:id="1295"/>
      <w:r>
        <w:rPr>
          <w:rFonts w:hint="eastAsia" w:ascii="宋体" w:hAnsi="宋体" w:eastAsia="宋体" w:cs="仿宋"/>
          <w:color w:val="auto"/>
          <w:szCs w:val="21"/>
          <w:highlight w:val="none"/>
        </w:rPr>
        <w:t>担保</w:t>
      </w:r>
      <w:bookmarkEnd w:id="1296"/>
    </w:p>
    <w:bookmarkEnd w:id="1297"/>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发包人在工程款中逐期扣回预付款后，预付款担保额度应相应减少，但剩余的预付款担保金额不得低于未被扣回的预付款金额。</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298" w:name="_Toc4784194"/>
      <w:bookmarkEnd w:id="1298"/>
      <w:bookmarkStart w:id="1299" w:name="_Toc4784193"/>
      <w:bookmarkEnd w:id="1299"/>
      <w:bookmarkStart w:id="1300" w:name="_Toc4784195"/>
      <w:bookmarkEnd w:id="1300"/>
      <w:bookmarkStart w:id="1301" w:name="_Toc1885"/>
      <w:bookmarkStart w:id="1302" w:name="_Toc7880"/>
      <w:bookmarkStart w:id="1303" w:name="_Toc114990673"/>
      <w:bookmarkStart w:id="1304" w:name="_Ref531956963"/>
      <w:bookmarkStart w:id="1305" w:name="_Ref4623398"/>
      <w:bookmarkStart w:id="1306" w:name="_Ref531956967"/>
      <w:bookmarkStart w:id="1307" w:name="_Toc30127"/>
      <w:bookmarkStart w:id="1308" w:name="_Toc54862294"/>
      <w:r>
        <w:rPr>
          <w:rFonts w:hint="eastAsia" w:ascii="宋体" w:hAnsi="宋体" w:eastAsia="宋体" w:cs="仿宋"/>
          <w:bCs/>
          <w:color w:val="auto"/>
          <w:szCs w:val="21"/>
          <w:highlight w:val="none"/>
        </w:rPr>
        <w:t>14.3 工程进度款</w:t>
      </w:r>
      <w:bookmarkEnd w:id="1301"/>
      <w:bookmarkEnd w:id="1302"/>
      <w:bookmarkEnd w:id="1303"/>
      <w:bookmarkEnd w:id="1304"/>
      <w:bookmarkEnd w:id="1305"/>
      <w:bookmarkEnd w:id="1306"/>
      <w:bookmarkEnd w:id="1307"/>
      <w:bookmarkEnd w:id="1308"/>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09" w:name="_Ref532679934"/>
      <w:bookmarkStart w:id="1310" w:name="_Ref531956987"/>
      <w:r>
        <w:rPr>
          <w:rFonts w:hint="eastAsia" w:ascii="宋体" w:hAnsi="宋体" w:eastAsia="宋体" w:cs="仿宋"/>
          <w:color w:val="auto"/>
          <w:szCs w:val="21"/>
          <w:highlight w:val="none"/>
        </w:rPr>
        <w:t>14.3.1 工程进度付款申请</w:t>
      </w:r>
      <w:bookmarkEnd w:id="1309"/>
      <w:bookmarkEnd w:id="131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（1）人工费的申请</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（2）除专用合同条件另有约定外，承包人应在每月月末向工程师提交进度付款申请单，该进度付款申请单应包括下列内容：</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11" w:name="_Ref24496054"/>
      <w:r>
        <w:rPr>
          <w:rFonts w:hint="eastAsia" w:ascii="宋体" w:hAnsi="宋体" w:eastAsia="宋体" w:cs="仿宋"/>
          <w:color w:val="auto"/>
          <w:szCs w:val="21"/>
          <w:highlight w:val="none"/>
        </w:rPr>
        <w:t>1） 截至本次付款周期内已完成工作对应的金额；</w:t>
      </w:r>
      <w:bookmarkEnd w:id="131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扣除依据本款第（1）目约定中已扣除的人工费金额；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根据第13条[变更与调整]应增加和扣减的变更金额；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根据第14.2款[预付款]约定应支付的预付款和扣减的返还预付款；</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根据第14.6.2项[质量保证金的预留]约定应预留的质量保证金金额；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根据第19条[索赔]应增加和扣减的索赔金额；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对已签发的进度款支付证书中出现错误的修正，应在本次进度付款中支付或扣除的金额；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 根据合同约定应增加和扣减的其他金额。</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12" w:name="_Ref531957608"/>
      <w:r>
        <w:rPr>
          <w:rFonts w:hint="eastAsia" w:ascii="宋体" w:hAnsi="宋体" w:eastAsia="宋体" w:cs="仿宋"/>
          <w:color w:val="auto"/>
          <w:szCs w:val="21"/>
          <w:highlight w:val="none"/>
        </w:rPr>
        <w:t>14.3.2 进度付款审核和支付</w:t>
      </w:r>
      <w:bookmarkEnd w:id="1312"/>
    </w:p>
    <w:p>
      <w:pPr>
        <w:numPr>
          <w:ilvl w:val="4"/>
          <w:numId w:val="0"/>
        </w:numPr>
        <w:tabs>
          <w:tab w:val="left" w:pos="993"/>
        </w:tabs>
        <w:autoSpaceDE w:val="0"/>
        <w:autoSpaceDN w:val="0"/>
        <w:adjustRightInd w:val="0"/>
        <w:snapToGrid w:val="0"/>
        <w:spacing w:line="360" w:lineRule="auto"/>
        <w:ind w:firstLine="420" w:firstLineChars="200"/>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pPr>
        <w:numPr>
          <w:ilvl w:val="4"/>
          <w:numId w:val="0"/>
        </w:numPr>
        <w:tabs>
          <w:tab w:val="left" w:pos="993"/>
        </w:tabs>
        <w:autoSpaceDE w:val="0"/>
        <w:autoSpaceDN w:val="0"/>
        <w:adjustRightInd w:val="0"/>
        <w:snapToGrid w:val="0"/>
        <w:spacing w:line="360" w:lineRule="auto"/>
        <w:ind w:firstLine="420" w:firstLineChars="200"/>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pPr>
        <w:numPr>
          <w:ilvl w:val="4"/>
          <w:numId w:val="0"/>
        </w:numPr>
        <w:tabs>
          <w:tab w:val="left" w:pos="993"/>
        </w:tabs>
        <w:autoSpaceDE w:val="0"/>
        <w:autoSpaceDN w:val="0"/>
        <w:adjustRightInd w:val="0"/>
        <w:snapToGrid w:val="0"/>
        <w:spacing w:line="360" w:lineRule="auto"/>
        <w:ind w:firstLine="420" w:firstLineChars="200"/>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发包人签发进度款支付证书，不表明发包人已同意、批准或接受了承包人完成的相应部分的工作。</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13" w:name="_Ref531957023"/>
      <w:r>
        <w:rPr>
          <w:rFonts w:hint="eastAsia" w:ascii="宋体" w:hAnsi="宋体" w:eastAsia="宋体" w:cs="仿宋"/>
          <w:color w:val="auto"/>
          <w:szCs w:val="21"/>
          <w:highlight w:val="none"/>
        </w:rPr>
        <w:t>14.3.3 进度付款的修正</w:t>
      </w:r>
      <w:bookmarkEnd w:id="131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14" w:name="_Toc114990674"/>
      <w:bookmarkStart w:id="1315" w:name="_Toc16117"/>
      <w:bookmarkStart w:id="1316" w:name="_Toc54862295"/>
      <w:bookmarkStart w:id="1317" w:name="_Toc20518"/>
      <w:bookmarkStart w:id="1318" w:name="_Toc32621"/>
      <w:bookmarkStart w:id="1319" w:name="_Ref4538578"/>
      <w:bookmarkStart w:id="1320" w:name="_Ref536647822"/>
      <w:bookmarkStart w:id="1321" w:name="_Ref536647814"/>
      <w:r>
        <w:rPr>
          <w:rFonts w:hint="eastAsia" w:ascii="宋体" w:hAnsi="宋体" w:eastAsia="宋体" w:cs="仿宋"/>
          <w:bCs/>
          <w:color w:val="auto"/>
          <w:szCs w:val="21"/>
          <w:highlight w:val="none"/>
        </w:rPr>
        <w:t>14.4 付款计划表</w:t>
      </w:r>
      <w:bookmarkEnd w:id="1314"/>
      <w:bookmarkEnd w:id="1315"/>
      <w:bookmarkEnd w:id="1316"/>
      <w:bookmarkEnd w:id="1317"/>
      <w:bookmarkEnd w:id="1318"/>
      <w:bookmarkEnd w:id="1319"/>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22" w:name="_Ref4570974"/>
      <w:r>
        <w:rPr>
          <w:rFonts w:hint="eastAsia" w:ascii="宋体" w:hAnsi="宋体" w:eastAsia="宋体" w:cs="仿宋"/>
          <w:color w:val="auto"/>
          <w:szCs w:val="21"/>
          <w:highlight w:val="none"/>
        </w:rPr>
        <w:t>14.4.1 付款计划表的编制要求</w:t>
      </w:r>
      <w:bookmarkEnd w:id="132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除专用合同条件另有约定外，付款计划表按如下要求编制：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付款计划表中所列的每期付款金额，应为第14.3.1项[工程进度付款申请]每期进度款的估算金额；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实际进度与项目进度计划不一致的，合同当事人可按照第3.6款[商定或确定]修改付款计划表；</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不采用付款计划表的，承包人应向工程师提交按季度编制的支付估算付款计划表，用于支付参考。</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23" w:name="_Ref4571011"/>
      <w:r>
        <w:rPr>
          <w:rFonts w:hint="eastAsia" w:ascii="宋体" w:hAnsi="宋体" w:eastAsia="宋体" w:cs="仿宋"/>
          <w:color w:val="auto"/>
          <w:szCs w:val="21"/>
          <w:highlight w:val="none"/>
        </w:rPr>
        <w:t>14.4.2 付款计划表的编制与审批</w:t>
      </w:r>
      <w:bookmarkEnd w:id="132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工程师应在收到付款计划表后7天内完成审核并报送发包人。发包人应在收到经工程师审核的付款计划表后7天内完成审批，经发包人批准的付款计划表为有约束力的付款计划表。</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发包人逾期未完成付款计划表审批的，也未及时要求承包人进行修正和提供补充资料的，则承包人提交的付款计划表视为已经获得发包人批准。</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24" w:name="_Toc114990675"/>
      <w:bookmarkStart w:id="1325" w:name="_Ref4538634"/>
      <w:bookmarkStart w:id="1326" w:name="_Toc30606"/>
      <w:bookmarkStart w:id="1327" w:name="_Toc54862296"/>
      <w:bookmarkStart w:id="1328" w:name="_Toc9907"/>
      <w:bookmarkStart w:id="1329" w:name="_Toc31788"/>
      <w:r>
        <w:rPr>
          <w:rFonts w:hint="eastAsia" w:ascii="宋体" w:hAnsi="宋体" w:eastAsia="宋体" w:cs="仿宋"/>
          <w:bCs/>
          <w:color w:val="auto"/>
          <w:szCs w:val="21"/>
          <w:highlight w:val="none"/>
        </w:rPr>
        <w:t>14.5 竣工结算</w:t>
      </w:r>
      <w:bookmarkEnd w:id="1324"/>
      <w:bookmarkEnd w:id="1325"/>
      <w:bookmarkEnd w:id="1326"/>
      <w:bookmarkEnd w:id="1327"/>
      <w:bookmarkEnd w:id="1328"/>
      <w:bookmarkEnd w:id="1329"/>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30" w:name="_Ref4571361"/>
      <w:r>
        <w:rPr>
          <w:rFonts w:hint="eastAsia" w:ascii="宋体" w:hAnsi="宋体" w:eastAsia="宋体" w:cs="仿宋"/>
          <w:color w:val="auto"/>
          <w:szCs w:val="21"/>
          <w:highlight w:val="none"/>
        </w:rPr>
        <w:t>14.5.1 竣工结算申请</w:t>
      </w:r>
      <w:bookmarkEnd w:id="133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除专用合同条件另有约定外，竣工结算申请单应包括以下内容：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竣工结算合同价格；</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发包人已支付承包人的款项；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发包人应支付承包人的合同价款。</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31" w:name="_Ref4571384"/>
      <w:r>
        <w:rPr>
          <w:rFonts w:hint="eastAsia" w:ascii="宋体" w:hAnsi="宋体" w:eastAsia="宋体" w:cs="仿宋"/>
          <w:color w:val="auto"/>
          <w:szCs w:val="21"/>
          <w:highlight w:val="none"/>
        </w:rPr>
        <w:t>14.5.2 竣工结算审核</w:t>
      </w:r>
      <w:bookmarkEnd w:id="133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32" w:name="_Ref4618006"/>
      <w:r>
        <w:rPr>
          <w:rFonts w:hint="eastAsia" w:ascii="宋体" w:hAnsi="宋体" w:eastAsia="宋体" w:cs="仿宋"/>
          <w:color w:val="auto"/>
          <w:szCs w:val="21"/>
          <w:highlight w:val="none"/>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33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33" w:name="_Ref15484305"/>
      <w:r>
        <w:rPr>
          <w:rFonts w:hint="eastAsia" w:ascii="宋体" w:hAnsi="宋体" w:eastAsia="宋体" w:cs="仿宋"/>
          <w:color w:val="auto"/>
          <w:szCs w:val="21"/>
          <w:highlight w:val="none"/>
        </w:rPr>
        <w:t>14.5.3 扫尾工作清单</w:t>
      </w:r>
      <w:bookmarkEnd w:id="133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经双方协商，部分工作在工程竣工验收后进行的，承包人应当编制扫尾工作清单，扫尾工作清单中应当列明承包人应当完成的扫尾工作的内容及完成时间。</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承包人完成扫尾工作清单中的内容应取得的费用包含在第14.5.1项[竣工结算申请]及第14.5.2项[竣工结算审核]中一并结算。</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扫尾工作的缺陷责任期按第11条[缺陷责任与保修]处理。承包人未能按照扫尾工作清单约定的完成时间完成扫尾工作的，视为承包人原因导致的工程质量缺陷按照第11.3款[缺陷调查]处理。</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34" w:name="_Toc25845"/>
      <w:bookmarkStart w:id="1335" w:name="_Ref15395020"/>
      <w:bookmarkStart w:id="1336" w:name="_Ref4582115"/>
      <w:bookmarkStart w:id="1337" w:name="_Toc5550"/>
      <w:bookmarkStart w:id="1338" w:name="_Toc21165"/>
      <w:bookmarkStart w:id="1339" w:name="_Ref4571100"/>
      <w:bookmarkStart w:id="1340" w:name="_Ref4617582"/>
      <w:bookmarkStart w:id="1341" w:name="_Ref4571127"/>
      <w:bookmarkStart w:id="1342" w:name="_Ref4617592"/>
      <w:bookmarkStart w:id="1343" w:name="_Toc54862297"/>
      <w:bookmarkStart w:id="1344" w:name="_Toc114990676"/>
      <w:bookmarkStart w:id="1345" w:name="_Hlk15394931"/>
      <w:r>
        <w:rPr>
          <w:rFonts w:hint="eastAsia" w:ascii="宋体" w:hAnsi="宋体" w:eastAsia="宋体" w:cs="仿宋"/>
          <w:bCs/>
          <w:color w:val="auto"/>
          <w:szCs w:val="21"/>
          <w:highlight w:val="none"/>
        </w:rPr>
        <w:t>14.6 质量保证金</w:t>
      </w:r>
      <w:bookmarkEnd w:id="1320"/>
      <w:bookmarkEnd w:id="1321"/>
      <w:bookmarkEnd w:id="1334"/>
      <w:bookmarkEnd w:id="1335"/>
      <w:bookmarkEnd w:id="1336"/>
      <w:bookmarkEnd w:id="1337"/>
      <w:bookmarkEnd w:id="1338"/>
      <w:bookmarkEnd w:id="1339"/>
      <w:bookmarkEnd w:id="1340"/>
      <w:bookmarkEnd w:id="1341"/>
      <w:bookmarkEnd w:id="1342"/>
      <w:bookmarkEnd w:id="1343"/>
      <w:bookmarkEnd w:id="1344"/>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经合同当事人协商一致提供质量保证金的，应在专用合同条件中予以明确。在工程项目竣工前，承包人已经提供履约担保的，发包人不得同时要求承包人提供质量保证金。</w:t>
      </w:r>
    </w:p>
    <w:bookmarkEnd w:id="1345"/>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46" w:name="_Ref531955069"/>
      <w:bookmarkStart w:id="1347" w:name="_Ref531957153"/>
      <w:r>
        <w:rPr>
          <w:rFonts w:hint="eastAsia" w:ascii="宋体" w:hAnsi="宋体" w:eastAsia="宋体" w:cs="仿宋"/>
          <w:color w:val="auto"/>
          <w:szCs w:val="21"/>
          <w:highlight w:val="none"/>
        </w:rPr>
        <w:t>14.6.1 承包人提供质量保证金的方式</w:t>
      </w:r>
      <w:bookmarkEnd w:id="134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承包人提供质量保证金有以下三种方式：</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48" w:name="_Ref531955096"/>
      <w:r>
        <w:rPr>
          <w:rFonts w:hint="eastAsia" w:ascii="宋体" w:hAnsi="宋体" w:eastAsia="宋体" w:cs="仿宋"/>
          <w:color w:val="auto"/>
          <w:szCs w:val="21"/>
          <w:highlight w:val="none"/>
        </w:rPr>
        <w:t>（1） 提交工程质量保证担保；</w:t>
      </w:r>
      <w:bookmarkEnd w:id="1348"/>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49" w:name="_Ref531955107"/>
      <w:r>
        <w:rPr>
          <w:rFonts w:hint="eastAsia" w:ascii="宋体" w:hAnsi="宋体" w:eastAsia="宋体" w:cs="仿宋"/>
          <w:color w:val="auto"/>
          <w:szCs w:val="21"/>
          <w:highlight w:val="none"/>
        </w:rPr>
        <w:t>（2） 预留相应比例的工程款；</w:t>
      </w:r>
      <w:bookmarkEnd w:id="1349"/>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50" w:name="_Ref531955117"/>
      <w:r>
        <w:rPr>
          <w:rFonts w:hint="eastAsia" w:ascii="宋体" w:hAnsi="宋体" w:eastAsia="宋体" w:cs="仿宋"/>
          <w:color w:val="auto"/>
          <w:szCs w:val="21"/>
          <w:highlight w:val="none"/>
        </w:rPr>
        <w:t>（3） 双方约定的其他方式。</w:t>
      </w:r>
      <w:bookmarkEnd w:id="135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51" w:name="_Ref18931667"/>
      <w:bookmarkStart w:id="1352" w:name="_Ref15419738"/>
      <w:r>
        <w:rPr>
          <w:rFonts w:hint="eastAsia" w:ascii="宋体" w:hAnsi="宋体" w:eastAsia="宋体" w:cs="仿宋"/>
          <w:color w:val="auto"/>
          <w:szCs w:val="21"/>
          <w:highlight w:val="none"/>
        </w:rPr>
        <w:t>14.6.2 质量保证金的预留</w:t>
      </w:r>
      <w:bookmarkEnd w:id="1351"/>
      <w:bookmarkEnd w:id="135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双方约定采用预留相应比例的工程款方式提供质量保证金的，质量保证金的预留有以下三种方式：</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53" w:name="_Hlk18840714"/>
      <w:bookmarkStart w:id="1354" w:name="_Ref531955143"/>
      <w:r>
        <w:rPr>
          <w:rFonts w:hint="eastAsia" w:ascii="宋体" w:hAnsi="宋体" w:eastAsia="宋体" w:cs="仿宋"/>
          <w:color w:val="auto"/>
          <w:szCs w:val="21"/>
          <w:highlight w:val="none"/>
        </w:rPr>
        <w:t>（1） 按专用合同条件的约定在支付工程进度款时逐次预留，直至预留的质量保证金总额达到专用合同条件约定的金额或比例为止</w:t>
      </w:r>
      <w:bookmarkEnd w:id="1353"/>
      <w:r>
        <w:rPr>
          <w:rFonts w:hint="eastAsia" w:ascii="宋体" w:hAnsi="宋体" w:eastAsia="宋体" w:cs="仿宋"/>
          <w:color w:val="auto"/>
          <w:szCs w:val="21"/>
          <w:highlight w:val="none"/>
        </w:rPr>
        <w:t>。在此情形下，质量保证金的计算基数不包括预付款的支付、扣回以及价格调整的金额；</w:t>
      </w:r>
      <w:bookmarkEnd w:id="1354"/>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55" w:name="_Ref531955151"/>
      <w:r>
        <w:rPr>
          <w:rFonts w:hint="eastAsia" w:ascii="宋体" w:hAnsi="宋体" w:eastAsia="宋体" w:cs="仿宋"/>
          <w:color w:val="auto"/>
          <w:szCs w:val="21"/>
          <w:highlight w:val="none"/>
        </w:rPr>
        <w:t>（2） 工程竣工结算时一次性预留质量保证金；</w:t>
      </w:r>
      <w:bookmarkEnd w:id="1355"/>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56" w:name="_Ref531955161"/>
      <w:r>
        <w:rPr>
          <w:rFonts w:hint="eastAsia" w:ascii="宋体" w:hAnsi="宋体" w:eastAsia="宋体" w:cs="仿宋"/>
          <w:color w:val="auto"/>
          <w:szCs w:val="21"/>
          <w:highlight w:val="none"/>
        </w:rPr>
        <w:t>（3） 双方约定的其他预留方式。</w:t>
      </w:r>
      <w:bookmarkEnd w:id="135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57" w:name="_Ref532690096"/>
      <w:bookmarkStart w:id="1358" w:name="_Ref4571243"/>
      <w:r>
        <w:rPr>
          <w:rFonts w:hint="eastAsia" w:ascii="宋体" w:hAnsi="宋体" w:eastAsia="宋体" w:cs="仿宋"/>
          <w:color w:val="auto"/>
          <w:szCs w:val="21"/>
          <w:highlight w:val="none"/>
        </w:rPr>
        <w:t>14.6.3 质量保证金的</w:t>
      </w:r>
      <w:bookmarkEnd w:id="1357"/>
      <w:r>
        <w:rPr>
          <w:rFonts w:hint="eastAsia" w:ascii="宋体" w:hAnsi="宋体" w:eastAsia="宋体" w:cs="仿宋"/>
          <w:color w:val="auto"/>
          <w:szCs w:val="21"/>
          <w:highlight w:val="none"/>
        </w:rPr>
        <w:t>返还</w:t>
      </w:r>
      <w:bookmarkEnd w:id="1358"/>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缺陷责任期内，承包人认真履行合同约定的责任，缺陷责任期满，发包人根据第11.6款[缺陷责任期终止证书]向承包人颁发缺陷责任期终止证书后，承包人可向发包人申请返还质量保证金。</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发包人和承包人对质量保证金预留、返还以及工程维修质量、费用有争议的，按本合同第20条[争议解决]约定的争议和纠纷解决程序处理。</w:t>
      </w:r>
    </w:p>
    <w:bookmarkEnd w:id="1347"/>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59" w:name="_Toc5788"/>
      <w:bookmarkStart w:id="1360" w:name="_Toc114990677"/>
      <w:bookmarkStart w:id="1361" w:name="_Ref531957339"/>
      <w:bookmarkStart w:id="1362" w:name="_Toc14537"/>
      <w:bookmarkStart w:id="1363" w:name="_Ref531957341"/>
      <w:bookmarkStart w:id="1364" w:name="_Toc54862298"/>
      <w:bookmarkStart w:id="1365" w:name="_Toc6619"/>
      <w:r>
        <w:rPr>
          <w:rFonts w:hint="eastAsia" w:ascii="宋体" w:hAnsi="宋体" w:eastAsia="宋体" w:cs="仿宋"/>
          <w:bCs/>
          <w:color w:val="auto"/>
          <w:szCs w:val="21"/>
          <w:highlight w:val="none"/>
        </w:rPr>
        <w:t>14.7 最终结清</w:t>
      </w:r>
      <w:bookmarkEnd w:id="1359"/>
      <w:bookmarkEnd w:id="1360"/>
      <w:bookmarkEnd w:id="1361"/>
      <w:bookmarkEnd w:id="1362"/>
      <w:bookmarkEnd w:id="1363"/>
      <w:bookmarkEnd w:id="1364"/>
      <w:bookmarkEnd w:id="1365"/>
      <w:r>
        <w:rPr>
          <w:rFonts w:hint="eastAsia" w:ascii="宋体" w:hAnsi="宋体" w:eastAsia="宋体" w:cs="仿宋"/>
          <w:bCs/>
          <w:color w:val="auto"/>
          <w:szCs w:val="21"/>
          <w:highlight w:val="none"/>
        </w:rPr>
        <w:t xml:space="preserve"> </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66" w:name="_Ref531957350"/>
      <w:r>
        <w:rPr>
          <w:rFonts w:hint="eastAsia" w:ascii="宋体" w:hAnsi="宋体" w:eastAsia="宋体" w:cs="仿宋"/>
          <w:color w:val="auto"/>
          <w:szCs w:val="21"/>
          <w:highlight w:val="none"/>
        </w:rPr>
        <w:t>14.7.1 最终结清申请</w:t>
      </w:r>
      <w:bookmarkEnd w:id="1366"/>
      <w:r>
        <w:rPr>
          <w:rFonts w:hint="eastAsia" w:ascii="宋体" w:hAnsi="宋体" w:eastAsia="宋体" w:cs="仿宋"/>
          <w:color w:val="auto"/>
          <w:szCs w:val="21"/>
          <w:highlight w:val="none"/>
        </w:rPr>
        <w:t>单</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除专用合同条件另有约定外，承包人应在缺陷责任期终止证书颁发后7天内，按专用合同条件约定的份数向发包人提交最终结清申请单，并提供相关证明材料。</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除专用合同条件另有约定外，最终结清申请单应列明质量保证金、应扣除的质量保证金、缺陷责任期内发生的增减费用。</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发包人对最终结清申请单内容有异议的，有权要求承包人进行修正和提供补充资料，承包人应向发包人提交修正后的最终结清申请单。</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67" w:name="_Ref531957369"/>
      <w:bookmarkStart w:id="1368" w:name="_Ref4624099"/>
      <w:r>
        <w:rPr>
          <w:rFonts w:hint="eastAsia" w:ascii="宋体" w:hAnsi="宋体" w:eastAsia="宋体" w:cs="仿宋"/>
          <w:color w:val="auto"/>
          <w:szCs w:val="21"/>
          <w:highlight w:val="none"/>
        </w:rPr>
        <w:t>14.7.2 最终结清证书</w:t>
      </w:r>
      <w:bookmarkEnd w:id="1367"/>
      <w:r>
        <w:rPr>
          <w:rFonts w:hint="eastAsia" w:ascii="宋体" w:hAnsi="宋体" w:eastAsia="宋体" w:cs="仿宋"/>
          <w:color w:val="auto"/>
          <w:szCs w:val="21"/>
          <w:highlight w:val="none"/>
        </w:rPr>
        <w:t>和支付</w:t>
      </w:r>
      <w:bookmarkEnd w:id="1368"/>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除专用合同条件另有约定外，发包人应在颁发最终结清证书后7天内完成支付。发包人逾期支付的，按照贷款市场报价利率（LPR）支付利息；逾期支付超过56天的，按照贷款市场报价利率（LPR）的两倍支付利息。</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承包人对发包人颁发的最终结清证书有异议的，按第20条[争议解决]的约定办理。</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369" w:name="_Toc114990678"/>
      <w:bookmarkStart w:id="1370" w:name="_Ref11874957"/>
      <w:bookmarkStart w:id="1371" w:name="_Ref11920407"/>
      <w:bookmarkStart w:id="1372" w:name="_Toc6668"/>
      <w:bookmarkStart w:id="1373" w:name="_Toc30948"/>
      <w:bookmarkStart w:id="1374" w:name="_Toc54862299"/>
      <w:bookmarkStart w:id="1375" w:name="_Toc31682"/>
      <w:bookmarkStart w:id="1376" w:name="_Toc216681910"/>
      <w:bookmarkStart w:id="1377" w:name="_Ref11920396"/>
      <w:r>
        <w:rPr>
          <w:rFonts w:hint="eastAsia" w:ascii="宋体" w:hAnsi="宋体" w:eastAsia="宋体" w:cs="仿宋"/>
          <w:bCs/>
          <w:color w:val="auto"/>
          <w:kern w:val="0"/>
          <w:szCs w:val="21"/>
          <w:highlight w:val="none"/>
        </w:rPr>
        <w:t>第15条 违约</w:t>
      </w:r>
      <w:bookmarkEnd w:id="1158"/>
      <w:bookmarkEnd w:id="1167"/>
      <w:bookmarkEnd w:id="1168"/>
      <w:bookmarkEnd w:id="1369"/>
      <w:bookmarkEnd w:id="1370"/>
      <w:bookmarkEnd w:id="1371"/>
      <w:bookmarkEnd w:id="1372"/>
      <w:bookmarkEnd w:id="1373"/>
      <w:bookmarkEnd w:id="1374"/>
      <w:bookmarkEnd w:id="1375"/>
      <w:bookmarkEnd w:id="1376"/>
      <w:bookmarkEnd w:id="1377"/>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78" w:name="_Ref4534399"/>
      <w:bookmarkStart w:id="1379" w:name="_Ref4534376"/>
      <w:bookmarkStart w:id="1380" w:name="_Ref4534384"/>
      <w:bookmarkStart w:id="1381" w:name="_Toc54862300"/>
      <w:bookmarkStart w:id="1382" w:name="_Toc1648"/>
      <w:bookmarkStart w:id="1383" w:name="_Toc114990679"/>
      <w:bookmarkStart w:id="1384" w:name="_Ref4534411"/>
      <w:r>
        <w:rPr>
          <w:rFonts w:hint="eastAsia" w:ascii="宋体" w:hAnsi="宋体" w:eastAsia="宋体" w:cs="仿宋"/>
          <w:bCs/>
          <w:color w:val="auto"/>
          <w:szCs w:val="21"/>
          <w:highlight w:val="none"/>
        </w:rPr>
        <w:t>15.1 发包人违约</w:t>
      </w:r>
      <w:bookmarkEnd w:id="1378"/>
      <w:bookmarkEnd w:id="1379"/>
      <w:bookmarkEnd w:id="1380"/>
      <w:bookmarkEnd w:id="1381"/>
      <w:bookmarkEnd w:id="1382"/>
      <w:bookmarkEnd w:id="1383"/>
      <w:bookmarkEnd w:id="1384"/>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85" w:name="_Ref3841087"/>
      <w:r>
        <w:rPr>
          <w:rFonts w:hint="eastAsia" w:ascii="宋体" w:hAnsi="宋体" w:eastAsia="宋体" w:cs="仿宋"/>
          <w:color w:val="auto"/>
          <w:szCs w:val="21"/>
          <w:highlight w:val="none"/>
        </w:rPr>
        <w:t>15.1.1 发包人违约的情形</w:t>
      </w:r>
      <w:bookmarkEnd w:id="138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除专用合同条件另有约定外，在合同履行过程中发生的下列情形，属于发包人违约：</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（1） 因发包人原因导致开始工作日期延误的；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因发包人原因未能按合同约定支付合同价款的；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发包人违反第13.1.1项约定，自行实施被取消的工作或转由他人实施的；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因发包人违反合同约定造成工程暂停施工的；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工程师无正当理由没有在约定期限内发出复工指示，导致承包人无法复工的；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发包人明确表示或者以其行为表明不履行合同主要义务的；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发包人未能按照合同约定履行其他义务的。</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86" w:name="_Ref4535692"/>
      <w:r>
        <w:rPr>
          <w:rFonts w:hint="eastAsia" w:ascii="宋体" w:hAnsi="宋体" w:eastAsia="宋体" w:cs="仿宋"/>
          <w:color w:val="auto"/>
          <w:szCs w:val="21"/>
          <w:highlight w:val="none"/>
        </w:rPr>
        <w:t>15.1.2 通知改正</w:t>
      </w:r>
      <w:bookmarkEnd w:id="1386"/>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87" w:name="_Hlk16248297"/>
      <w:r>
        <w:rPr>
          <w:rFonts w:hint="eastAsia" w:ascii="宋体" w:hAnsi="宋体" w:eastAsia="宋体" w:cs="仿宋"/>
          <w:color w:val="auto"/>
          <w:szCs w:val="21"/>
          <w:highlight w:val="none"/>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1387"/>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88" w:name="_Ref3841132"/>
      <w:r>
        <w:rPr>
          <w:rFonts w:hint="eastAsia" w:ascii="宋体" w:hAnsi="宋体" w:eastAsia="宋体" w:cs="仿宋"/>
          <w:color w:val="auto"/>
          <w:szCs w:val="21"/>
          <w:highlight w:val="none"/>
        </w:rPr>
        <w:t>15.1.3 发包人违约的责任</w:t>
      </w:r>
      <w:bookmarkEnd w:id="1388"/>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389" w:name="_Hlk16247984"/>
      <w:r>
        <w:rPr>
          <w:rFonts w:hint="eastAsia" w:ascii="宋体" w:hAnsi="宋体" w:eastAsia="宋体" w:cs="仿宋"/>
          <w:color w:val="auto"/>
          <w:szCs w:val="21"/>
          <w:highlight w:val="none"/>
        </w:rPr>
        <w:t>发包人应承担因其违约给承包人增加的费用和（或）延误的工期。此外，合同当事人可在专用合同条件中另行约定发包人违约责任的承担方式和计算方法。</w:t>
      </w:r>
      <w:bookmarkEnd w:id="1389"/>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90" w:name="_Toc54862301"/>
      <w:bookmarkStart w:id="1391" w:name="_Ref11958663"/>
      <w:bookmarkStart w:id="1392" w:name="_Ref11958660"/>
      <w:bookmarkStart w:id="1393" w:name="_Toc28649"/>
      <w:bookmarkStart w:id="1394" w:name="_Toc114990680"/>
      <w:r>
        <w:rPr>
          <w:rFonts w:hint="eastAsia" w:ascii="宋体" w:hAnsi="宋体" w:eastAsia="宋体" w:cs="仿宋"/>
          <w:bCs/>
          <w:color w:val="auto"/>
          <w:szCs w:val="21"/>
          <w:highlight w:val="none"/>
        </w:rPr>
        <w:t>15.2 承包人违约</w:t>
      </w:r>
      <w:bookmarkEnd w:id="1390"/>
      <w:bookmarkEnd w:id="1391"/>
      <w:bookmarkEnd w:id="1392"/>
      <w:bookmarkEnd w:id="1393"/>
      <w:bookmarkEnd w:id="1394"/>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95" w:name="_Ref3841153"/>
      <w:r>
        <w:rPr>
          <w:rFonts w:hint="eastAsia" w:ascii="宋体" w:hAnsi="宋体" w:eastAsia="宋体" w:cs="仿宋"/>
          <w:color w:val="auto"/>
          <w:szCs w:val="21"/>
          <w:highlight w:val="none"/>
        </w:rPr>
        <w:t>15.2.1 承包人违约的情形</w:t>
      </w:r>
      <w:bookmarkEnd w:id="139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除专用合同条件另有约定外，在履行合同过程中发生的下列情况之一的，属于承包人违约：</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承包人的原因导致的承包人文件、实施和竣工的工程不符合法律法规、工程质量验收标准以及合同约定；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承包人违反合同约定进行转包或违法分包的；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承包人违反约定采购和使用不合格材料或工程设备；</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因承包人原因导致工程质量不符合合同要求的；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承包人未经工程师批准，擅自将已按合同约定进入施工现场的施工设备、临时设施或材料撤离施工现场；</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承包人未能按项目进度计划及时完成合同约定的工作，造成工期延误；</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由于承包人原因未能通过竣工试验或竣工后试验的；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 承包人在缺陷责任期及保修期内，未能在合理期限对工程缺陷进行修复，或拒绝按发包人指示进行修复的；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（9） 承包人明确表示或者以其行为表明不履行合同主要义务的；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 承包人未能按照合同约定履行其他义务的。</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96" w:name="_Ref531958512"/>
      <w:r>
        <w:rPr>
          <w:rFonts w:hint="eastAsia" w:ascii="宋体" w:hAnsi="宋体" w:eastAsia="宋体" w:cs="仿宋"/>
          <w:color w:val="auto"/>
          <w:szCs w:val="21"/>
          <w:highlight w:val="none"/>
        </w:rPr>
        <w:t>15.2.2 通知改正</w:t>
      </w:r>
      <w:bookmarkEnd w:id="139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承包人发生除第15.2.1项第(7)目、第(9)目约定以外的其他违约情况时，工程师可在专用合同条件约定的合理期限内向承包人发出整改通知，要求其在指定的期限内改正。</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397" w:name="_Ref3841166"/>
      <w:r>
        <w:rPr>
          <w:rFonts w:hint="eastAsia" w:ascii="宋体" w:hAnsi="宋体" w:eastAsia="宋体" w:cs="仿宋"/>
          <w:color w:val="auto"/>
          <w:szCs w:val="21"/>
          <w:highlight w:val="none"/>
        </w:rPr>
        <w:t>15.2.3 承包人违约的责任</w:t>
      </w:r>
      <w:bookmarkEnd w:id="139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承包人应承担因其违约行为而增加的费用和（或）延误的工期。此外，合同当事人可在专用合同条件中另行约定承包人违约责任的承担方式和计算方法。</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398" w:name="_Toc54862302"/>
      <w:bookmarkStart w:id="1399" w:name="_Toc114990681"/>
      <w:bookmarkStart w:id="1400" w:name="_Toc18941"/>
      <w:r>
        <w:rPr>
          <w:rFonts w:hint="eastAsia" w:ascii="宋体" w:hAnsi="宋体" w:eastAsia="宋体" w:cs="仿宋"/>
          <w:bCs/>
          <w:color w:val="auto"/>
          <w:szCs w:val="21"/>
          <w:highlight w:val="none"/>
        </w:rPr>
        <w:t>15.3 第三人造成的违约</w:t>
      </w:r>
      <w:bookmarkEnd w:id="1398"/>
      <w:bookmarkEnd w:id="1399"/>
      <w:bookmarkEnd w:id="140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在履行合同过程中，一方当事人因第三人的原因造成违约的，应当向对方当事人承担违约责任。一方当事人和第三人之间的纠纷，依照法律规定或者按照约定解决。</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401" w:name="_Toc114990682"/>
      <w:bookmarkStart w:id="1402" w:name="_Ref4510572"/>
      <w:bookmarkStart w:id="1403" w:name="_Toc20726"/>
      <w:bookmarkStart w:id="1404" w:name="_Toc54862303"/>
      <w:bookmarkStart w:id="1405" w:name="_Toc216681911"/>
      <w:bookmarkStart w:id="1406" w:name="_Toc31364"/>
      <w:bookmarkStart w:id="1407" w:name="_Toc11381"/>
      <w:bookmarkStart w:id="1408" w:name="_Ref3840457"/>
      <w:bookmarkStart w:id="1409" w:name="_Ref532142069"/>
      <w:r>
        <w:rPr>
          <w:rFonts w:hint="eastAsia" w:ascii="宋体" w:hAnsi="宋体" w:eastAsia="宋体" w:cs="仿宋"/>
          <w:bCs/>
          <w:color w:val="auto"/>
          <w:kern w:val="0"/>
          <w:szCs w:val="21"/>
          <w:highlight w:val="none"/>
        </w:rPr>
        <w:t>第16条 合同解除</w:t>
      </w:r>
      <w:bookmarkEnd w:id="1401"/>
      <w:bookmarkEnd w:id="1402"/>
      <w:bookmarkEnd w:id="1403"/>
      <w:bookmarkEnd w:id="1404"/>
      <w:bookmarkEnd w:id="1405"/>
      <w:bookmarkEnd w:id="1406"/>
      <w:bookmarkEnd w:id="1407"/>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10" w:name="_Toc114990683"/>
      <w:bookmarkStart w:id="1411" w:name="_Ref531958499"/>
      <w:bookmarkStart w:id="1412" w:name="_Ref531958502"/>
      <w:bookmarkStart w:id="1413" w:name="_Toc12893"/>
      <w:bookmarkStart w:id="1414" w:name="_Toc54862304"/>
      <w:r>
        <w:rPr>
          <w:rFonts w:hint="eastAsia" w:ascii="宋体" w:hAnsi="宋体" w:eastAsia="宋体" w:cs="仿宋"/>
          <w:bCs/>
          <w:color w:val="auto"/>
          <w:szCs w:val="21"/>
          <w:highlight w:val="none"/>
        </w:rPr>
        <w:t>16.1 由发包人解除合同</w:t>
      </w:r>
      <w:bookmarkEnd w:id="1410"/>
      <w:bookmarkEnd w:id="1411"/>
      <w:bookmarkEnd w:id="1412"/>
      <w:bookmarkEnd w:id="1413"/>
      <w:bookmarkEnd w:id="1414"/>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415" w:name="_Ref4535422"/>
      <w:r>
        <w:rPr>
          <w:rFonts w:hint="eastAsia" w:ascii="宋体" w:hAnsi="宋体" w:eastAsia="宋体" w:cs="仿宋"/>
          <w:color w:val="auto"/>
          <w:szCs w:val="21"/>
          <w:highlight w:val="none"/>
        </w:rPr>
        <w:t>16.1.1 因承包人违约解除合同</w:t>
      </w:r>
      <w:bookmarkEnd w:id="141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416" w:name="_Ref531958536"/>
      <w:r>
        <w:rPr>
          <w:rFonts w:hint="eastAsia" w:ascii="宋体" w:hAnsi="宋体" w:eastAsia="宋体" w:cs="仿宋"/>
          <w:color w:val="auto"/>
          <w:szCs w:val="21"/>
          <w:highlight w:val="none"/>
        </w:rPr>
        <w:t>（1） 承包人未能遵守第4.2款</w:t>
      </w:r>
      <w:bookmarkStart w:id="1417" w:name="_Hlk18839947"/>
      <w:r>
        <w:rPr>
          <w:rFonts w:hint="eastAsia" w:ascii="宋体" w:hAnsi="宋体" w:eastAsia="宋体" w:cs="仿宋"/>
          <w:color w:val="auto"/>
          <w:szCs w:val="21"/>
          <w:highlight w:val="none"/>
        </w:rPr>
        <w:t>[履约担保]</w:t>
      </w:r>
      <w:bookmarkEnd w:id="1417"/>
      <w:r>
        <w:rPr>
          <w:rFonts w:hint="eastAsia" w:ascii="宋体" w:hAnsi="宋体" w:eastAsia="宋体" w:cs="仿宋"/>
          <w:color w:val="auto"/>
          <w:szCs w:val="21"/>
          <w:highlight w:val="none"/>
        </w:rPr>
        <w:t>的约定；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承包人未能遵守第4.5款[分包]有关分包和转包的约定；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承包人实际进度明显落后于进度计划，并且未按发包人的指令采取措施并修正进度计划；</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工程质量有严重缺陷，承包人无正当理由使修复开始日期拖延达28天以上；</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承包人明确表示或以自己的行为表明不履行合同、或经发包人以书面形式通知其履约后仍未能依约履行合同、或以不适当的方式履行合同；</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未能通过的竣工试验、未能通过的竣工后试验，使工程的任何部分和（或）整个工程丧失了主要使用功能、生产功能；</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 因承包人的原因暂停工作超过56天且暂停影响到整个工程，或因承包人的原因暂停工作超过182天；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（9） 承包人未能遵守第8.2款[竣工日期]规定，延误超过182天；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 工程师根据第15.2.2项[通知改正]发出整改通知后，承包人在指定的合理期限内仍不纠正违约行为并致使合同目的不能实现的。</w:t>
      </w:r>
    </w:p>
    <w:bookmarkEnd w:id="1416"/>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418" w:name="_Ref3841839"/>
      <w:bookmarkStart w:id="1419" w:name="_Ref4624315"/>
      <w:r>
        <w:rPr>
          <w:rFonts w:hint="eastAsia" w:ascii="宋体" w:hAnsi="宋体" w:eastAsia="宋体" w:cs="仿宋"/>
          <w:color w:val="auto"/>
          <w:szCs w:val="21"/>
          <w:highlight w:val="none"/>
        </w:rPr>
        <w:t>16.1.2 因承包人违约解除合同后</w:t>
      </w:r>
      <w:bookmarkEnd w:id="1418"/>
      <w:r>
        <w:rPr>
          <w:rFonts w:hint="eastAsia" w:ascii="宋体" w:hAnsi="宋体" w:eastAsia="宋体" w:cs="仿宋"/>
          <w:color w:val="auto"/>
          <w:szCs w:val="21"/>
          <w:highlight w:val="none"/>
        </w:rPr>
        <w:t>承包人的义务</w:t>
      </w:r>
      <w:bookmarkEnd w:id="1419"/>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合同解除后，承包人应按以下约定执行：</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除了为保护生命、财产或工程安全、清理和必须执行的工作外，停止执行所有被通知解除的工作，并将相关人员撤离现场；</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经发包人批准，承包人应将与被解除合同相关的和正在执行的分包合同及相关的责任和义务转让至发包人和（或）发包人指定方的名下，包括永久性工程及工程物资，以及相关工作；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移交已完成的永久性工程及负责已运抵现场的工程物资。在移交前，妥善做好己完工程和已运抵现场的工程物资的保管、维护和保养；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将发包人提供的所有信息及承包人为本工程编制的设计文件、技术资料及其它文件移交给发包人。在承包人留有的资料文件中，销毁与发包人提供的所有信息相关的数据及资料的备份；</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移交相应实施阶段已经付款的并已完成的和尚待完成的设计文件、图纸、资料、操作维修手册、施工组织设计、质检资料、竣工资料等；</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16.1.3 因承包人违约解除合同后的估价、付款和结算</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因承包人原因导致合同解除的，则合同当事人应在合同解除后28天内完成估价、付款和清算，并按以下约定执行：</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合同解除后，按第3.6款[商定或确定]商定或确定承包人实际完成工作对应的合同价款，以及承包人已提供的材料、工程设备、施工设备和临时工程等的价值；</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合同解除后，承包人应支付的违约金；</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合同解除后，因解除合同给发包人造成的损失；</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合同解除后，承包人应按照发包人的指示完成现场的清理和撤离；</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发包人和承包人应在合同解除后进行清算，出具最终结清付款证书，结清全部款项。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16.1.4 因承包人违约解除合同的合同权益转让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20" w:name="_Toc54862305"/>
      <w:bookmarkStart w:id="1421" w:name="_Ref531958554"/>
      <w:bookmarkStart w:id="1422" w:name="_Toc18787"/>
      <w:bookmarkStart w:id="1423" w:name="_Ref531958549"/>
      <w:bookmarkStart w:id="1424" w:name="_Toc114990684"/>
      <w:r>
        <w:rPr>
          <w:rFonts w:hint="eastAsia" w:ascii="宋体" w:hAnsi="宋体" w:eastAsia="宋体" w:cs="仿宋"/>
          <w:bCs/>
          <w:color w:val="auto"/>
          <w:szCs w:val="21"/>
          <w:highlight w:val="none"/>
        </w:rPr>
        <w:t>16.2 由承包人解除合同</w:t>
      </w:r>
      <w:bookmarkEnd w:id="1420"/>
      <w:bookmarkEnd w:id="1421"/>
      <w:bookmarkEnd w:id="1422"/>
      <w:bookmarkEnd w:id="1423"/>
      <w:bookmarkEnd w:id="1424"/>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425" w:name="_Ref3841758"/>
      <w:r>
        <w:rPr>
          <w:rFonts w:hint="eastAsia" w:ascii="宋体" w:hAnsi="宋体" w:eastAsia="宋体" w:cs="仿宋"/>
          <w:color w:val="auto"/>
          <w:szCs w:val="21"/>
          <w:highlight w:val="none"/>
        </w:rPr>
        <w:t>16.2.1 因发包人违约解除合同</w:t>
      </w:r>
      <w:bookmarkEnd w:id="142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承包人就发包人未能遵守第2.5.2项关于发包人的资金安排发出通知后42天内，仍未收到合理的证明；</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（2） 在第14条规定的付款时间到期后42天内，承包人仍未收到应付款项；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发包人实质上未能根据合同约定履行其义务，构成根本性违约；</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发承包双方订立本合同协议书后的84天内，承包人未收到根据第8.1款[开始工作]的开始工作通知；</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发包人未能遵守第2.5.3项的约定提交支付担保；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发包人未能执行第15.1.2项[通知改正]的约定，致使合同目的不能实现的；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 因发包人的原因暂停工作超过56天且暂停影响到整个工程，或因发包人的原因暂停工作超过182天的；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（9） 因发包人原因造成开始工作日期迟于承包人收到中标通知书（或在无中标通知书的情况下，订立本合同之日）后第84天的。</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426" w:name="_Ref3842018"/>
      <w:bookmarkStart w:id="1427" w:name="_Ref4624336"/>
      <w:r>
        <w:rPr>
          <w:rFonts w:hint="eastAsia" w:ascii="宋体" w:hAnsi="宋体" w:eastAsia="宋体" w:cs="仿宋"/>
          <w:color w:val="auto"/>
          <w:szCs w:val="21"/>
          <w:highlight w:val="none"/>
        </w:rPr>
        <w:t>16.2.2 因发包人违约解除合同后</w:t>
      </w:r>
      <w:bookmarkEnd w:id="1426"/>
      <w:r>
        <w:rPr>
          <w:rFonts w:hint="eastAsia" w:ascii="宋体" w:hAnsi="宋体" w:eastAsia="宋体" w:cs="仿宋"/>
          <w:color w:val="auto"/>
          <w:szCs w:val="21"/>
          <w:highlight w:val="none"/>
        </w:rPr>
        <w:t>承包人的义务</w:t>
      </w:r>
      <w:bookmarkEnd w:id="1427"/>
    </w:p>
    <w:p>
      <w:pPr>
        <w:numPr>
          <w:ilvl w:val="4"/>
          <w:numId w:val="0"/>
        </w:numPr>
        <w:tabs>
          <w:tab w:val="left" w:pos="993"/>
        </w:tabs>
        <w:autoSpaceDE w:val="0"/>
        <w:autoSpaceDN w:val="0"/>
        <w:adjustRightInd w:val="0"/>
        <w:snapToGrid w:val="0"/>
        <w:spacing w:line="360" w:lineRule="auto"/>
        <w:ind w:firstLine="425"/>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合同解除后，承包人应按以下约定执行：</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除为保护生命、财产、工程安全的工作外，停止所有进一步的工作；承包人因执行该保护工作而产生费用的，由发包人承担；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向发包人移交承包人已获得支付的承包人文件、生产设备、材料和其他工作；</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从现场运走除为了安全需要以外的所有属于承包人的其他货物，并撤离现场。</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16.2.3 因发包人违约解除合同后的付款</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承包人按照本款约定解除合同的，发包人应在解除合同后28天内支付下列款项，并退还履约担保：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合同解除前所完成工作的价款；</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承包人为工程施工订购并已付款的材料、工程设备和其他物品的价款；发包人付款后，该材料、工程设备和其他物品归发包人所有；</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承包人为完成工程所发生的，而发包人未支付的金额；</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承包人撤离施工现场以及遣散承包人人员的款项；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按照合同约定在合同解除前应支付的违约金；</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按照合同约定应当支付给承包人的其他款项；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按照合同约定应返还的质量保证金；</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 因解除合同给承包人造成的损失。</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承包人应妥善做好已完工程和与工程有关的已购材料、工程设备的保护和移交工作，并将施工设备和人员撤出施工现场，发包人应为承包人撤出提供必要条件。</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28" w:name="_Ref3841966"/>
      <w:bookmarkStart w:id="1429" w:name="_Toc114990685"/>
      <w:bookmarkStart w:id="1430" w:name="_Toc54862306"/>
      <w:bookmarkStart w:id="1431" w:name="_Toc14354"/>
      <w:r>
        <w:rPr>
          <w:rFonts w:hint="eastAsia" w:ascii="宋体" w:hAnsi="宋体" w:eastAsia="宋体" w:cs="仿宋"/>
          <w:bCs/>
          <w:color w:val="auto"/>
          <w:szCs w:val="21"/>
          <w:highlight w:val="none"/>
        </w:rPr>
        <w:t>16.3 合同解除后的事项</w:t>
      </w:r>
      <w:bookmarkEnd w:id="1428"/>
      <w:bookmarkEnd w:id="1429"/>
      <w:bookmarkEnd w:id="1430"/>
      <w:bookmarkEnd w:id="1431"/>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16.3.1 结算约定依然有效</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合同解除后，由发包人或由承包人解除合同的结算及结算后的付款约定仍然有效，直至解除合同的结算工作结清。</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16.3.2 解除合同的争议</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432" w:name="_Hlk18988355"/>
      <w:r>
        <w:rPr>
          <w:rFonts w:hint="eastAsia" w:ascii="宋体" w:hAnsi="宋体" w:eastAsia="宋体" w:cs="仿宋"/>
          <w:color w:val="auto"/>
          <w:szCs w:val="21"/>
          <w:highlight w:val="none"/>
        </w:rPr>
        <w:t>双方对解除合同或解除合同后的结算有争议的，按照第20条[争议解决]的约定处理。</w:t>
      </w:r>
      <w:bookmarkEnd w:id="1432"/>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433" w:name="_Toc54862307"/>
      <w:bookmarkStart w:id="1434" w:name="_Ref3840974"/>
      <w:bookmarkStart w:id="1435" w:name="_Toc114990686"/>
      <w:bookmarkStart w:id="1436" w:name="_Toc20120"/>
      <w:bookmarkStart w:id="1437" w:name="_Toc24692"/>
      <w:bookmarkStart w:id="1438" w:name="_Toc13608"/>
      <w:bookmarkStart w:id="1439" w:name="_Toc216681912"/>
      <w:bookmarkStart w:id="1440" w:name="_Ref3840605"/>
      <w:r>
        <w:rPr>
          <w:rFonts w:hint="eastAsia" w:ascii="宋体" w:hAnsi="宋体" w:eastAsia="宋体" w:cs="仿宋"/>
          <w:bCs/>
          <w:color w:val="auto"/>
          <w:kern w:val="0"/>
          <w:szCs w:val="21"/>
          <w:highlight w:val="none"/>
        </w:rPr>
        <w:t>第17条 不可抗力</w:t>
      </w:r>
      <w:bookmarkEnd w:id="1433"/>
      <w:bookmarkEnd w:id="1434"/>
      <w:bookmarkEnd w:id="1435"/>
      <w:bookmarkEnd w:id="1436"/>
      <w:bookmarkEnd w:id="1437"/>
      <w:bookmarkEnd w:id="1438"/>
      <w:bookmarkEnd w:id="1439"/>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41" w:name="_Ref531958161"/>
      <w:bookmarkStart w:id="1442" w:name="_Ref531958158"/>
      <w:bookmarkStart w:id="1443" w:name="_Toc114990687"/>
      <w:bookmarkStart w:id="1444" w:name="_Toc54862308"/>
      <w:bookmarkStart w:id="1445" w:name="_Toc6894"/>
      <w:r>
        <w:rPr>
          <w:rFonts w:hint="eastAsia" w:ascii="宋体" w:hAnsi="宋体" w:eastAsia="宋体" w:cs="仿宋"/>
          <w:bCs/>
          <w:color w:val="auto"/>
          <w:szCs w:val="21"/>
          <w:highlight w:val="none"/>
        </w:rPr>
        <w:t>17.1 不可抗力的</w:t>
      </w:r>
      <w:bookmarkEnd w:id="1441"/>
      <w:bookmarkEnd w:id="1442"/>
      <w:r>
        <w:rPr>
          <w:rFonts w:hint="eastAsia" w:ascii="宋体" w:hAnsi="宋体" w:eastAsia="宋体" w:cs="仿宋"/>
          <w:bCs/>
          <w:color w:val="auto"/>
          <w:szCs w:val="21"/>
          <w:highlight w:val="none"/>
        </w:rPr>
        <w:t>定义</w:t>
      </w:r>
      <w:bookmarkEnd w:id="1443"/>
      <w:bookmarkEnd w:id="1444"/>
      <w:bookmarkEnd w:id="144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46" w:name="_Toc54862309"/>
      <w:bookmarkStart w:id="1447" w:name="_Toc24012"/>
      <w:bookmarkStart w:id="1448" w:name="_Toc114990688"/>
      <w:r>
        <w:rPr>
          <w:rFonts w:hint="eastAsia" w:ascii="宋体" w:hAnsi="宋体" w:eastAsia="宋体" w:cs="仿宋"/>
          <w:bCs/>
          <w:color w:val="auto"/>
          <w:szCs w:val="21"/>
          <w:highlight w:val="none"/>
        </w:rPr>
        <w:t>17.2 不可抗力的通知</w:t>
      </w:r>
      <w:bookmarkEnd w:id="1446"/>
      <w:bookmarkEnd w:id="1447"/>
      <w:bookmarkEnd w:id="1448"/>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合同一方当事人觉察或发现不可抗力事件发生，使其履行合同义务受到阻碍时，有义务立即通知合同另一方当事人和工程师，书面说明不可抗力和受阻碍的详细情况，并提供必要的证明。</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不可抗力持续发生的，合同一方当事人应每隔28天向合同另一方当事人和工程师提交中间报告，说明不可抗力和履行合同受阻的情况，并于不可抗力事件结束后28天内提交最终报告及有关资料。</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49" w:name="_Toc114990689"/>
      <w:bookmarkStart w:id="1450" w:name="_Toc54862310"/>
      <w:bookmarkStart w:id="1451" w:name="_Toc22210"/>
      <w:r>
        <w:rPr>
          <w:rFonts w:hint="eastAsia" w:ascii="宋体" w:hAnsi="宋体" w:eastAsia="宋体" w:cs="仿宋"/>
          <w:bCs/>
          <w:color w:val="auto"/>
          <w:szCs w:val="21"/>
          <w:highlight w:val="none"/>
        </w:rPr>
        <w:t>17.3 将损失减至最小的义务</w:t>
      </w:r>
      <w:bookmarkEnd w:id="1449"/>
      <w:bookmarkEnd w:id="1450"/>
      <w:bookmarkEnd w:id="145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52" w:name="_Ref531958172"/>
      <w:bookmarkStart w:id="1453" w:name="_Ref531958170"/>
      <w:bookmarkStart w:id="1454" w:name="_Toc7654"/>
      <w:bookmarkStart w:id="1455" w:name="_Ref3840916"/>
      <w:bookmarkStart w:id="1456" w:name="_Toc54862311"/>
      <w:bookmarkStart w:id="1457" w:name="_Toc114990690"/>
      <w:r>
        <w:rPr>
          <w:rFonts w:hint="eastAsia" w:ascii="宋体" w:hAnsi="宋体" w:eastAsia="宋体" w:cs="仿宋"/>
          <w:bCs/>
          <w:color w:val="auto"/>
          <w:szCs w:val="21"/>
          <w:highlight w:val="none"/>
        </w:rPr>
        <w:t>17.4 不可抗力后果</w:t>
      </w:r>
      <w:bookmarkEnd w:id="1452"/>
      <w:bookmarkEnd w:id="1453"/>
      <w:r>
        <w:rPr>
          <w:rFonts w:hint="eastAsia" w:ascii="宋体" w:hAnsi="宋体" w:eastAsia="宋体" w:cs="仿宋"/>
          <w:bCs/>
          <w:color w:val="auto"/>
          <w:szCs w:val="21"/>
          <w:highlight w:val="none"/>
        </w:rPr>
        <w:t>的承担</w:t>
      </w:r>
      <w:bookmarkEnd w:id="1454"/>
      <w:bookmarkEnd w:id="1455"/>
      <w:bookmarkEnd w:id="1456"/>
      <w:bookmarkEnd w:id="1457"/>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不可抗力导致的人员伤亡、财产损失、费用增加和（或）工期延误等后果，由合同当事人按以下原则承担：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永久工程，包括已运至施工现场的材料和工程设备的损害，以及因工程损害造成的第三人人员伤亡和财产损失由发包人承担；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承包人提供的施工设备的损坏由承包人承担；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发包人和承包人各自承担其人员伤亡及其他财产损失；</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因不可抗力影响承包人履行合同约定的义务，已经引起或将引起工期延误的，应当顺延工期，由此导致承包人停工的费用损失由发包人和承包人合理分担，</w:t>
      </w:r>
      <w:bookmarkStart w:id="1458" w:name="_Hlk51507024"/>
      <w:r>
        <w:rPr>
          <w:rFonts w:hint="eastAsia" w:ascii="宋体" w:hAnsi="宋体" w:eastAsia="宋体" w:cs="仿宋"/>
          <w:color w:val="auto"/>
          <w:szCs w:val="21"/>
          <w:highlight w:val="none"/>
        </w:rPr>
        <w:t>停工期间必须支付的现场必要的工人工资</w:t>
      </w:r>
      <w:bookmarkEnd w:id="1458"/>
      <w:r>
        <w:rPr>
          <w:rFonts w:hint="eastAsia" w:ascii="宋体" w:hAnsi="宋体" w:eastAsia="宋体" w:cs="仿宋"/>
          <w:color w:val="auto"/>
          <w:szCs w:val="21"/>
          <w:highlight w:val="none"/>
        </w:rPr>
        <w:t>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因不可抗力引起或将引起工期延误，发包人指示赶工的，由此增加的赶工费用由发包人承担；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承包人在停工期间按照工程师或发包人要求照管、清理和修复工程的费用由发包人承担。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不可抗力引起的后果及造成的损失由合同当事人按照法律规定及合同约定各自承担。不可抗力发生前已完成的工程应当按照合同约定进行支付。</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59" w:name="_Toc114990691"/>
      <w:bookmarkStart w:id="1460" w:name="_Toc3670"/>
      <w:bookmarkStart w:id="1461" w:name="_Toc54862312"/>
      <w:r>
        <w:rPr>
          <w:rFonts w:hint="eastAsia" w:ascii="宋体" w:hAnsi="宋体" w:eastAsia="宋体" w:cs="仿宋"/>
          <w:bCs/>
          <w:color w:val="auto"/>
          <w:szCs w:val="21"/>
          <w:highlight w:val="none"/>
        </w:rPr>
        <w:t>17.5 不可抗力影响分包人</w:t>
      </w:r>
      <w:bookmarkEnd w:id="1459"/>
      <w:bookmarkEnd w:id="1460"/>
      <w:bookmarkEnd w:id="1461"/>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分包人根据分包合同的约定，有权获得更多或者更广的不可抗力而免除某些义务时，承包人不得以分包合同中不可抗力约定向发包人抗辩免除其义务。</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62" w:name="_Ref531958184"/>
      <w:bookmarkStart w:id="1463" w:name="_Ref531958181"/>
      <w:bookmarkStart w:id="1464" w:name="_Toc114990692"/>
      <w:bookmarkStart w:id="1465" w:name="_Ref4538024"/>
      <w:bookmarkStart w:id="1466" w:name="_Ref3840892"/>
      <w:bookmarkStart w:id="1467" w:name="_Toc54862313"/>
      <w:bookmarkStart w:id="1468" w:name="_Toc6046"/>
      <w:r>
        <w:rPr>
          <w:rFonts w:hint="eastAsia" w:ascii="宋体" w:hAnsi="宋体" w:eastAsia="宋体" w:cs="仿宋"/>
          <w:bCs/>
          <w:color w:val="auto"/>
          <w:szCs w:val="21"/>
          <w:highlight w:val="none"/>
        </w:rPr>
        <w:t>17.6 因不可抗力解除</w:t>
      </w:r>
      <w:bookmarkEnd w:id="1462"/>
      <w:bookmarkEnd w:id="1463"/>
      <w:r>
        <w:rPr>
          <w:rFonts w:hint="eastAsia" w:ascii="宋体" w:hAnsi="宋体" w:eastAsia="宋体" w:cs="仿宋"/>
          <w:bCs/>
          <w:color w:val="auto"/>
          <w:szCs w:val="21"/>
          <w:highlight w:val="none"/>
        </w:rPr>
        <w:t>合同</w:t>
      </w:r>
      <w:bookmarkEnd w:id="1464"/>
      <w:bookmarkEnd w:id="1465"/>
      <w:bookmarkEnd w:id="1466"/>
      <w:bookmarkEnd w:id="1467"/>
      <w:bookmarkEnd w:id="1468"/>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合同解除前承包人已完成工作的价款；</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发包人指示承包人退货或解除订货合同而产生的费用，或因不能退货或解除合同而产生的损失；</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 承包人撤离施工现场以及遣散承包人人员的费用；</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按照合同约定在合同解除前应支付给承包人的其他款项；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 扣减承包人按照合同约定应向发包人支付的款项；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 双方商定或确定的其他款项。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除专用合同条件另有约定外，合同解除后，发包人应当在商定或确定上述款项后28天内完成上述款项的支付。</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469" w:name="_Toc23523"/>
      <w:bookmarkStart w:id="1470" w:name="_Toc54862314"/>
      <w:bookmarkStart w:id="1471" w:name="_Toc114990693"/>
      <w:bookmarkStart w:id="1472" w:name="_Toc216681913"/>
      <w:bookmarkStart w:id="1473" w:name="_Ref11848274"/>
      <w:bookmarkStart w:id="1474" w:name="_Toc10095"/>
      <w:bookmarkStart w:id="1475" w:name="_Toc25903"/>
      <w:bookmarkStart w:id="1476" w:name="_Ref11848264"/>
      <w:r>
        <w:rPr>
          <w:rFonts w:hint="eastAsia" w:ascii="宋体" w:hAnsi="宋体" w:eastAsia="宋体" w:cs="仿宋"/>
          <w:bCs/>
          <w:color w:val="auto"/>
          <w:kern w:val="0"/>
          <w:szCs w:val="21"/>
          <w:highlight w:val="none"/>
        </w:rPr>
        <w:t>第18条 保险</w:t>
      </w:r>
      <w:bookmarkEnd w:id="1440"/>
      <w:bookmarkEnd w:id="1469"/>
      <w:bookmarkEnd w:id="1470"/>
      <w:bookmarkEnd w:id="1471"/>
      <w:bookmarkEnd w:id="1472"/>
      <w:bookmarkEnd w:id="1473"/>
      <w:bookmarkEnd w:id="1474"/>
      <w:bookmarkEnd w:id="1475"/>
      <w:bookmarkEnd w:id="1476"/>
      <w:r>
        <w:rPr>
          <w:rFonts w:hint="eastAsia" w:ascii="宋体" w:hAnsi="宋体" w:eastAsia="宋体" w:cs="仿宋"/>
          <w:bCs/>
          <w:color w:val="auto"/>
          <w:kern w:val="0"/>
          <w:szCs w:val="21"/>
          <w:highlight w:val="none"/>
        </w:rPr>
        <w:t xml:space="preserve"> </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77" w:name="_Toc693"/>
      <w:bookmarkStart w:id="1478" w:name="_Toc114990694"/>
      <w:bookmarkStart w:id="1479" w:name="_Ref3840730"/>
      <w:bookmarkStart w:id="1480" w:name="_Ref3840734"/>
      <w:bookmarkStart w:id="1481" w:name="_Toc54862315"/>
      <w:bookmarkStart w:id="1482" w:name="_Ref531957911"/>
      <w:bookmarkStart w:id="1483" w:name="_Ref531957914"/>
      <w:bookmarkStart w:id="1484" w:name="_Toc351203616"/>
      <w:r>
        <w:rPr>
          <w:rFonts w:hint="eastAsia" w:ascii="宋体" w:hAnsi="宋体" w:eastAsia="宋体" w:cs="仿宋"/>
          <w:bCs/>
          <w:color w:val="auto"/>
          <w:szCs w:val="21"/>
          <w:highlight w:val="none"/>
        </w:rPr>
        <w:t>18.1 设计和工程保险</w:t>
      </w:r>
      <w:bookmarkEnd w:id="1477"/>
      <w:bookmarkEnd w:id="1478"/>
      <w:bookmarkEnd w:id="1479"/>
      <w:bookmarkEnd w:id="1480"/>
      <w:bookmarkEnd w:id="1481"/>
    </w:p>
    <w:bookmarkEnd w:id="1482"/>
    <w:bookmarkEnd w:id="1483"/>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18.1.2 双方应按照专用合同条件的约定投保第三者责任险，并在缺陷责任期终止证书颁发前维持其持续有效。第三者责任险最低投保额应在专用合同条件内约定。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85" w:name="_Toc54862316"/>
      <w:bookmarkStart w:id="1486" w:name="_Ref3840683"/>
      <w:bookmarkStart w:id="1487" w:name="_Toc26536"/>
      <w:bookmarkStart w:id="1488" w:name="_Toc114990695"/>
      <w:r>
        <w:rPr>
          <w:rFonts w:hint="eastAsia" w:ascii="宋体" w:hAnsi="宋体" w:eastAsia="宋体" w:cs="仿宋"/>
          <w:bCs/>
          <w:color w:val="auto"/>
          <w:szCs w:val="21"/>
          <w:highlight w:val="none"/>
        </w:rPr>
        <w:t>18.2 工伤和意外伤害保险</w:t>
      </w:r>
      <w:bookmarkEnd w:id="1485"/>
      <w:bookmarkEnd w:id="1486"/>
      <w:bookmarkEnd w:id="1487"/>
      <w:bookmarkEnd w:id="1488"/>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18.2.1 发包人应依照法律规定为其在施工现场的雇用人员办理工伤保险，缴纳工伤保险费；并要求工程师及由发包人为履行合同聘请的第三方在施工现场的雇用人员依法办理工伤保险。</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18.2.2 承包人应依照法律规定为其履行合同雇用的全部人员办理工伤保险，缴纳工伤保险费，并要求分包人及由承包人为履行合同聘请的第三方雇用的全部人员依法办理工伤保险。</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18.2.3 发包人和承包人可以为其施工现场的全部人员办理意外伤害保险并支付保险费，包括其员工及为履行合同聘请的第三方的人员，具体事项由合同当事人在专用合同条件约定。</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89" w:name="_Toc20399"/>
      <w:bookmarkStart w:id="1490" w:name="_Ref3840782"/>
      <w:bookmarkStart w:id="1491" w:name="_Toc54862317"/>
      <w:bookmarkStart w:id="1492" w:name="_Toc114990696"/>
      <w:r>
        <w:rPr>
          <w:rFonts w:hint="eastAsia" w:ascii="宋体" w:hAnsi="宋体" w:eastAsia="宋体" w:cs="仿宋"/>
          <w:bCs/>
          <w:color w:val="auto"/>
          <w:szCs w:val="21"/>
          <w:highlight w:val="none"/>
        </w:rPr>
        <w:t>18.3 货物保险</w:t>
      </w:r>
      <w:bookmarkEnd w:id="1489"/>
      <w:bookmarkEnd w:id="1490"/>
      <w:bookmarkEnd w:id="1491"/>
      <w:bookmarkEnd w:id="149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w:t>
      </w:r>
      <w:r>
        <w:rPr>
          <w:rFonts w:hint="eastAsia" w:ascii="宋体" w:hAnsi="宋体" w:eastAsia="宋体" w:cs="仿宋"/>
          <w:iCs/>
          <w:color w:val="auto"/>
          <w:szCs w:val="21"/>
          <w:highlight w:val="none"/>
        </w:rPr>
        <w:t>按照</w:t>
      </w:r>
      <w:r>
        <w:rPr>
          <w:rFonts w:hint="eastAsia" w:ascii="宋体" w:hAnsi="宋体" w:eastAsia="宋体" w:cs="仿宋"/>
          <w:color w:val="auto"/>
          <w:szCs w:val="21"/>
          <w:highlight w:val="none"/>
        </w:rPr>
        <w:t>专用合同条件的约定为</w:t>
      </w:r>
      <w:r>
        <w:rPr>
          <w:rFonts w:hint="eastAsia" w:ascii="宋体" w:hAnsi="宋体" w:eastAsia="宋体" w:cs="仿宋"/>
          <w:iCs/>
          <w:color w:val="auto"/>
          <w:szCs w:val="21"/>
          <w:highlight w:val="none"/>
        </w:rPr>
        <w:t>运抵现场的</w:t>
      </w:r>
      <w:r>
        <w:rPr>
          <w:rFonts w:hint="eastAsia" w:ascii="宋体" w:hAnsi="宋体" w:eastAsia="宋体" w:cs="仿宋"/>
          <w:color w:val="auto"/>
          <w:szCs w:val="21"/>
          <w:highlight w:val="none"/>
        </w:rPr>
        <w:t>施工设备、材料、工程设备和临时工程等办理财产保险，保险期限自上述货物运抵现场至其不再为工程所需要为止。</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493" w:name="_Toc8550"/>
      <w:bookmarkStart w:id="1494" w:name="_Toc114990697"/>
      <w:bookmarkStart w:id="1495" w:name="_Ref4692231"/>
      <w:bookmarkStart w:id="1496" w:name="_Ref4692238"/>
      <w:bookmarkStart w:id="1497" w:name="_Toc54862318"/>
      <w:r>
        <w:rPr>
          <w:rFonts w:hint="eastAsia" w:ascii="宋体" w:hAnsi="宋体" w:eastAsia="宋体" w:cs="仿宋"/>
          <w:bCs/>
          <w:color w:val="auto"/>
          <w:szCs w:val="21"/>
          <w:highlight w:val="none"/>
        </w:rPr>
        <w:t>18.4 其他保险</w:t>
      </w:r>
      <w:bookmarkEnd w:id="1493"/>
      <w:bookmarkEnd w:id="1494"/>
      <w:bookmarkEnd w:id="1495"/>
      <w:bookmarkEnd w:id="1496"/>
      <w:bookmarkEnd w:id="149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484"/>
      <w:r>
        <w:rPr>
          <w:rFonts w:hint="eastAsia" w:ascii="宋体" w:hAnsi="宋体" w:eastAsia="宋体" w:cs="仿宋"/>
          <w:color w:val="auto"/>
          <w:szCs w:val="21"/>
          <w:highlight w:val="none"/>
        </w:rPr>
        <w:t>保费用包含在合同价格中，但在合同执行过程中，新颁布适用的法律法规规定由承包人投保的强制保险，应根据本合同</w:t>
      </w:r>
      <w:bookmarkStart w:id="1498" w:name="_Toc351203617"/>
      <w:bookmarkStart w:id="1499" w:name="_Toc296346627"/>
      <w:bookmarkStart w:id="1500" w:name="_Toc296503126"/>
      <w:bookmarkStart w:id="1501" w:name="_Toc337558832"/>
      <w:r>
        <w:rPr>
          <w:rFonts w:hint="eastAsia" w:ascii="宋体" w:hAnsi="宋体" w:eastAsia="宋体" w:cs="仿宋"/>
          <w:color w:val="auto"/>
          <w:szCs w:val="21"/>
          <w:highlight w:val="none"/>
        </w:rPr>
        <w:t>第13条[变更与调整]的约定增加合同价款。</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02" w:name="_Toc25480"/>
      <w:bookmarkStart w:id="1503" w:name="_Toc114990698"/>
      <w:bookmarkStart w:id="1504" w:name="_Ref3840659"/>
      <w:bookmarkStart w:id="1505" w:name="_Toc54862319"/>
      <w:r>
        <w:rPr>
          <w:rFonts w:hint="eastAsia" w:ascii="宋体" w:hAnsi="宋体" w:eastAsia="宋体" w:cs="仿宋"/>
          <w:bCs/>
          <w:color w:val="auto"/>
          <w:szCs w:val="21"/>
          <w:highlight w:val="none"/>
        </w:rPr>
        <w:t>18.5 对各项保险的一般要求</w:t>
      </w:r>
      <w:bookmarkEnd w:id="1502"/>
      <w:bookmarkEnd w:id="1503"/>
      <w:bookmarkEnd w:id="1504"/>
      <w:bookmarkEnd w:id="1505"/>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18.5.1 持续保险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合同当事人应与保险人保持联系，使保险人能够随时了</w:t>
      </w:r>
      <w:bookmarkEnd w:id="1498"/>
      <w:r>
        <w:rPr>
          <w:rFonts w:hint="eastAsia" w:ascii="宋体" w:hAnsi="宋体" w:eastAsia="宋体" w:cs="仿宋"/>
          <w:color w:val="auto"/>
          <w:szCs w:val="21"/>
          <w:highlight w:val="none"/>
        </w:rPr>
        <w:t>解</w:t>
      </w:r>
      <w:bookmarkEnd w:id="1499"/>
      <w:bookmarkEnd w:id="1500"/>
      <w:bookmarkEnd w:id="1501"/>
      <w:r>
        <w:rPr>
          <w:rFonts w:hint="eastAsia" w:ascii="宋体" w:hAnsi="宋体" w:eastAsia="宋体" w:cs="仿宋"/>
          <w:color w:val="auto"/>
          <w:szCs w:val="21"/>
          <w:highlight w:val="none"/>
        </w:rPr>
        <w:t>工程实施中的变动，并确保按保险合同条款要求持续保险。</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506" w:name="_Ref4777650"/>
      <w:r>
        <w:rPr>
          <w:rFonts w:hint="eastAsia" w:ascii="宋体" w:hAnsi="宋体" w:eastAsia="宋体" w:cs="仿宋"/>
          <w:color w:val="auto"/>
          <w:szCs w:val="21"/>
          <w:highlight w:val="none"/>
        </w:rPr>
        <w:t>18.5.2 保险凭证</w:t>
      </w:r>
      <w:bookmarkEnd w:id="150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合同当事人应及时向另一方当事人提交其已投保的各项保险的凭证和保险单复印件，保险单必须与专用合同条件约定的条件保持一致。</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18.5.3 未按约定投保的补救</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负有投保义务的一方当事人未按合同约定办理保险，或未能使保险持续有效的，则另一方当事人可代为办理，所需费用由负有投保义务的一方当事人承担。</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负有投保</w:t>
      </w:r>
      <w:bookmarkStart w:id="1507" w:name="_Toc351203619"/>
      <w:bookmarkStart w:id="1508" w:name="_Toc337558834"/>
      <w:r>
        <w:rPr>
          <w:rFonts w:hint="eastAsia" w:ascii="宋体" w:hAnsi="宋体" w:eastAsia="宋体" w:cs="仿宋"/>
          <w:color w:val="auto"/>
          <w:szCs w:val="21"/>
          <w:highlight w:val="none"/>
        </w:rPr>
        <w:t>义务的一方当事人未</w:t>
      </w:r>
      <w:bookmarkEnd w:id="1507"/>
      <w:r>
        <w:rPr>
          <w:rFonts w:hint="eastAsia" w:ascii="宋体" w:hAnsi="宋体" w:eastAsia="宋体" w:cs="仿宋"/>
          <w:color w:val="auto"/>
          <w:szCs w:val="21"/>
          <w:highlight w:val="none"/>
        </w:rPr>
        <w:t>按</w:t>
      </w:r>
      <w:bookmarkEnd w:id="1508"/>
      <w:r>
        <w:rPr>
          <w:rFonts w:hint="eastAsia" w:ascii="宋体" w:hAnsi="宋体" w:eastAsia="宋体" w:cs="仿宋"/>
          <w:color w:val="auto"/>
          <w:szCs w:val="21"/>
          <w:highlight w:val="none"/>
        </w:rPr>
        <w:t>合同约定办理某项保险，导致受益人未能得到足额赔偿的，由负有投保义务的一方当事人负责按照原应从该项保险得到的保险金数额进行补足。</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509" w:name="_Ref4692685"/>
      <w:r>
        <w:rPr>
          <w:rFonts w:hint="eastAsia" w:ascii="宋体" w:hAnsi="宋体" w:eastAsia="宋体" w:cs="仿宋"/>
          <w:color w:val="auto"/>
          <w:szCs w:val="21"/>
          <w:highlight w:val="none"/>
        </w:rPr>
        <w:t>18.5.4 通知义务</w:t>
      </w:r>
      <w:bookmarkEnd w:id="1509"/>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除专用合同条件另有约定外，任何一方当事人变更除工伤保险之外的保险合同时，应事先征得另一方当事人同意，并通知工程师。</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保险事故发生时，投保人应按照保险合同规定的条件和期限及时向保险人报告。发包人和承包人应当在知道保险事故发生后及时通知对方。</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双方按本条规定投保不减少双方在合同下的其他义务。</w:t>
      </w:r>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510" w:name="_Toc216681914"/>
      <w:bookmarkStart w:id="1511" w:name="_Toc7513"/>
      <w:bookmarkStart w:id="1512" w:name="_Ref11874997"/>
      <w:bookmarkStart w:id="1513" w:name="_Toc14652"/>
      <w:bookmarkStart w:id="1514" w:name="_Toc114990699"/>
      <w:bookmarkStart w:id="1515" w:name="_Toc54862320"/>
      <w:bookmarkStart w:id="1516" w:name="_Toc25649"/>
      <w:r>
        <w:rPr>
          <w:rFonts w:hint="eastAsia" w:ascii="宋体" w:hAnsi="宋体" w:eastAsia="宋体" w:cs="仿宋"/>
          <w:bCs/>
          <w:color w:val="auto"/>
          <w:kern w:val="0"/>
          <w:szCs w:val="21"/>
          <w:highlight w:val="none"/>
        </w:rPr>
        <w:t>第19条 索赔</w:t>
      </w:r>
      <w:bookmarkEnd w:id="1408"/>
      <w:bookmarkEnd w:id="1409"/>
      <w:bookmarkEnd w:id="1510"/>
      <w:bookmarkEnd w:id="1511"/>
      <w:bookmarkEnd w:id="1512"/>
      <w:bookmarkEnd w:id="1513"/>
      <w:bookmarkEnd w:id="1514"/>
      <w:bookmarkEnd w:id="1515"/>
      <w:bookmarkEnd w:id="1516"/>
      <w:r>
        <w:rPr>
          <w:rFonts w:hint="eastAsia" w:ascii="宋体" w:hAnsi="宋体" w:eastAsia="宋体" w:cs="仿宋"/>
          <w:bCs/>
          <w:color w:val="auto"/>
          <w:kern w:val="0"/>
          <w:szCs w:val="21"/>
          <w:highlight w:val="none"/>
        </w:rPr>
        <w:t xml:space="preserve"> </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17" w:name="_Ref4798164"/>
      <w:bookmarkStart w:id="1518" w:name="_Ref4798173"/>
      <w:bookmarkStart w:id="1519" w:name="_Toc54862321"/>
      <w:bookmarkStart w:id="1520" w:name="_Toc24071"/>
      <w:bookmarkStart w:id="1521" w:name="_Toc114990700"/>
      <w:r>
        <w:rPr>
          <w:rFonts w:hint="eastAsia" w:ascii="宋体" w:hAnsi="宋体" w:eastAsia="宋体" w:cs="仿宋"/>
          <w:bCs/>
          <w:color w:val="auto"/>
          <w:szCs w:val="21"/>
          <w:highlight w:val="none"/>
        </w:rPr>
        <w:t>19.1 索赔</w:t>
      </w:r>
      <w:bookmarkEnd w:id="1517"/>
      <w:bookmarkEnd w:id="1518"/>
      <w:r>
        <w:rPr>
          <w:rFonts w:hint="eastAsia" w:ascii="宋体" w:hAnsi="宋体" w:eastAsia="宋体" w:cs="仿宋"/>
          <w:bCs/>
          <w:color w:val="auto"/>
          <w:szCs w:val="21"/>
          <w:highlight w:val="none"/>
        </w:rPr>
        <w:t>的提出</w:t>
      </w:r>
      <w:bookmarkEnd w:id="1519"/>
      <w:bookmarkEnd w:id="1520"/>
      <w:bookmarkEnd w:id="1521"/>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根据合同约定，任意一方认为有权得到追加/减少付款、延长缺陷责任期和（或）延长工期的，应按以下程序向对方提出索赔：</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索赔方应在发出索赔意向通知书后28天内，向对方正式递交索赔报告；索赔报告应详细说明索赔理由以及要求追加的付款金额、延长缺陷责任期和（或）延长的工期，并附必要的记录和证明材料；</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索赔事件具有持续影响的，索赔方应每月递交延续索赔通知，说明持续影响的实际情况和记录，列出累计的追加付款金额、延长缺陷责任期和（或）工期延长天数；</w:t>
      </w:r>
    </w:p>
    <w:p>
      <w:pPr>
        <w:autoSpaceDE w:val="0"/>
        <w:autoSpaceDN w:val="0"/>
        <w:adjustRightInd w:val="0"/>
        <w:snapToGrid w:val="0"/>
        <w:spacing w:line="360" w:lineRule="auto"/>
        <w:ind w:firstLine="600"/>
        <w:rPr>
          <w:rFonts w:ascii="宋体" w:hAnsi="宋体" w:eastAsia="宋体" w:cs="仿宋"/>
          <w:color w:val="auto"/>
          <w:szCs w:val="21"/>
          <w:highlight w:val="none"/>
        </w:rPr>
      </w:pPr>
      <w:bookmarkStart w:id="1522" w:name="_Ref4796178"/>
      <w:r>
        <w:rPr>
          <w:rFonts w:hint="eastAsia" w:ascii="宋体" w:hAnsi="宋体" w:eastAsia="宋体" w:cs="仿宋"/>
          <w:color w:val="auto"/>
          <w:szCs w:val="21"/>
          <w:highlight w:val="none"/>
        </w:rPr>
        <w:t>（4） 在索赔事件影响结束后28天内，索赔方应向对方递交最终索赔报告，说明最终要求索赔的追加付款金额、延长缺陷责任期和（或）延长的工期，并附必要的记录和证明材料。</w:t>
      </w:r>
      <w:bookmarkEnd w:id="152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 承包人作为索赔方时，其索赔意向通知书、索赔报告及相关索赔文件应向工程师提出；发包人作为索赔方时，其索赔意向通知书、索赔报告及相关索赔文件可自行向承包人提出或由工程师向承包人提出。</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23" w:name="_Ref4796262"/>
      <w:bookmarkStart w:id="1524" w:name="_Toc114990701"/>
      <w:bookmarkStart w:id="1525" w:name="_Ref4796254"/>
      <w:bookmarkStart w:id="1526" w:name="_Toc20326"/>
      <w:bookmarkStart w:id="1527" w:name="_Toc54862322"/>
      <w:r>
        <w:rPr>
          <w:rFonts w:hint="eastAsia" w:ascii="宋体" w:hAnsi="宋体" w:eastAsia="宋体" w:cs="仿宋"/>
          <w:bCs/>
          <w:color w:val="auto"/>
          <w:szCs w:val="21"/>
          <w:highlight w:val="none"/>
        </w:rPr>
        <w:t>19.2 承包人索赔的处理程序</w:t>
      </w:r>
      <w:bookmarkEnd w:id="1523"/>
      <w:bookmarkEnd w:id="1524"/>
      <w:bookmarkEnd w:id="1525"/>
      <w:bookmarkEnd w:id="1526"/>
      <w:bookmarkEnd w:id="152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工程师收到承包人提交的索赔报告后，应及时审查索赔报告的内容、查验承包人的记录和证明材料，必要时工程师可要求承包人提交全部原始记录副本。</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承包人接受索赔处理结果的，发包人应在作出索赔处理结果答复后28天内完成支付。承包人不接受索赔处理结果的，按照第20条[争议解决]约定处理。</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28" w:name="_Toc114990702"/>
      <w:bookmarkStart w:id="1529" w:name="_Toc54862323"/>
      <w:bookmarkStart w:id="1530" w:name="_Toc10171"/>
      <w:r>
        <w:rPr>
          <w:rFonts w:hint="eastAsia" w:ascii="宋体" w:hAnsi="宋体" w:eastAsia="宋体" w:cs="仿宋"/>
          <w:bCs/>
          <w:color w:val="auto"/>
          <w:szCs w:val="21"/>
          <w:highlight w:val="none"/>
        </w:rPr>
        <w:t>19.3 发包人索赔的处理程序</w:t>
      </w:r>
      <w:bookmarkEnd w:id="1528"/>
      <w:bookmarkEnd w:id="1529"/>
      <w:bookmarkEnd w:id="1530"/>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承包人收到发包人提交的索赔报告后，应及时审查索赔报告的内容、查验发包人证明材料；</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承包人应在收到上述索赔报告或有关索赔的进一步证明材料后42天内，将索赔处理结果答复发包人。承包人在收到索赔通知书或有关索赔的进一步证明材料后的42天内不予答复的，视为认可索赔。</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发包人接受索赔处理结果的，发包人可从应支付给承包人的合同价款中扣除赔付的金额或延长缺陷责任期；发包人不接受索赔处理结果的，按第20条[争议解决]约定处理。</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31" w:name="_Toc54862324"/>
      <w:bookmarkStart w:id="1532" w:name="_Toc30292"/>
      <w:bookmarkStart w:id="1533" w:name="_Toc114990703"/>
      <w:r>
        <w:rPr>
          <w:rFonts w:hint="eastAsia" w:ascii="宋体" w:hAnsi="宋体" w:eastAsia="宋体" w:cs="仿宋"/>
          <w:bCs/>
          <w:color w:val="auto"/>
          <w:szCs w:val="21"/>
          <w:highlight w:val="none"/>
        </w:rPr>
        <w:t>19.4 提出索赔的期限</w:t>
      </w:r>
      <w:bookmarkEnd w:id="1531"/>
      <w:bookmarkEnd w:id="1532"/>
      <w:bookmarkEnd w:id="1533"/>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承包人按第14.5款[竣工结算</w:t>
      </w:r>
      <w:bookmarkStart w:id="1534" w:name="_Ref3826634"/>
      <w:bookmarkStart w:id="1535" w:name="_Ref3826629"/>
      <w:r>
        <w:rPr>
          <w:rFonts w:hint="eastAsia" w:ascii="宋体" w:hAnsi="宋体" w:eastAsia="宋体" w:cs="仿宋"/>
          <w:color w:val="auto"/>
          <w:szCs w:val="21"/>
          <w:highlight w:val="none"/>
        </w:rPr>
        <w:t>]约定接收竣工付款证书后，应被认为已无权再提出在合同工程接收证书颁发前所发生的任何索赔。</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承包人按第14.7款[最终结清]提交的最终结清申请单中，只限于提出工程接收证书颁发后发生的索赔。提出索赔的期限均自接受最终结清证书时终止。</w:t>
      </w:r>
      <w:bookmarkEnd w:id="1534"/>
      <w:bookmarkEnd w:id="1535"/>
    </w:p>
    <w:p>
      <w:pPr>
        <w:tabs>
          <w:tab w:val="left" w:pos="993"/>
        </w:tabs>
        <w:autoSpaceDE w:val="0"/>
        <w:autoSpaceDN w:val="0"/>
        <w:adjustRightInd w:val="0"/>
        <w:snapToGrid w:val="0"/>
        <w:spacing w:line="360" w:lineRule="auto"/>
        <w:outlineLvl w:val="1"/>
        <w:rPr>
          <w:rFonts w:ascii="宋体" w:hAnsi="宋体" w:eastAsia="宋体" w:cs="仿宋"/>
          <w:bCs/>
          <w:color w:val="auto"/>
          <w:kern w:val="0"/>
          <w:szCs w:val="21"/>
          <w:highlight w:val="none"/>
        </w:rPr>
      </w:pPr>
      <w:bookmarkStart w:id="1536" w:name="_Toc114990704"/>
      <w:bookmarkStart w:id="1537" w:name="_Ref532142075"/>
      <w:bookmarkStart w:id="1538" w:name="_Toc54862325"/>
      <w:bookmarkStart w:id="1539" w:name="_Toc216681915"/>
      <w:bookmarkStart w:id="1540" w:name="_Ref532197861"/>
      <w:bookmarkStart w:id="1541" w:name="_Toc26682"/>
      <w:bookmarkStart w:id="1542" w:name="_Toc5240"/>
      <w:bookmarkStart w:id="1543" w:name="_Toc11502"/>
      <w:r>
        <w:rPr>
          <w:rFonts w:hint="eastAsia" w:ascii="宋体" w:hAnsi="宋体" w:eastAsia="宋体" w:cs="仿宋"/>
          <w:bCs/>
          <w:color w:val="auto"/>
          <w:kern w:val="0"/>
          <w:szCs w:val="21"/>
          <w:highlight w:val="none"/>
        </w:rPr>
        <w:t>第20条 争议解决</w:t>
      </w:r>
      <w:bookmarkEnd w:id="1536"/>
      <w:bookmarkEnd w:id="1537"/>
      <w:bookmarkEnd w:id="1538"/>
      <w:bookmarkEnd w:id="1539"/>
      <w:bookmarkEnd w:id="1540"/>
      <w:bookmarkEnd w:id="1541"/>
      <w:bookmarkEnd w:id="1542"/>
      <w:bookmarkEnd w:id="1543"/>
      <w:r>
        <w:rPr>
          <w:rFonts w:hint="eastAsia" w:ascii="宋体" w:hAnsi="宋体" w:eastAsia="宋体" w:cs="仿宋"/>
          <w:bCs/>
          <w:color w:val="auto"/>
          <w:kern w:val="0"/>
          <w:szCs w:val="21"/>
          <w:highlight w:val="none"/>
        </w:rPr>
        <w:t xml:space="preserve"> </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44" w:name="_Toc114990705"/>
      <w:bookmarkStart w:id="1545" w:name="_Ref415507198"/>
      <w:bookmarkStart w:id="1546" w:name="_Toc26204"/>
      <w:bookmarkStart w:id="1547" w:name="_Toc54862326"/>
      <w:r>
        <w:rPr>
          <w:rFonts w:hint="eastAsia" w:ascii="宋体" w:hAnsi="宋体" w:eastAsia="宋体" w:cs="仿宋"/>
          <w:bCs/>
          <w:color w:val="auto"/>
          <w:szCs w:val="21"/>
          <w:highlight w:val="none"/>
        </w:rPr>
        <w:t>20.1 和解</w:t>
      </w:r>
      <w:bookmarkEnd w:id="1544"/>
      <w:bookmarkEnd w:id="1545"/>
      <w:bookmarkEnd w:id="1546"/>
      <w:bookmarkEnd w:id="154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合同当事人可以就争议自行和解，自行和解达成协议的经双方签字并盖章后作为合同补充文件，双方均应遵照执行。</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48" w:name="_Toc114990706"/>
      <w:bookmarkStart w:id="1549" w:name="_Toc54862327"/>
      <w:bookmarkStart w:id="1550" w:name="_Toc5389"/>
      <w:r>
        <w:rPr>
          <w:rFonts w:hint="eastAsia" w:ascii="宋体" w:hAnsi="宋体" w:eastAsia="宋体" w:cs="仿宋"/>
          <w:bCs/>
          <w:color w:val="auto"/>
          <w:szCs w:val="21"/>
          <w:highlight w:val="none"/>
        </w:rPr>
        <w:t>20.2 调解</w:t>
      </w:r>
      <w:bookmarkEnd w:id="1548"/>
      <w:bookmarkEnd w:id="1549"/>
      <w:bookmarkEnd w:id="1550"/>
      <w:r>
        <w:rPr>
          <w:rFonts w:hint="eastAsia" w:ascii="宋体" w:hAnsi="宋体" w:eastAsia="宋体" w:cs="仿宋"/>
          <w:bCs/>
          <w:color w:val="auto"/>
          <w:szCs w:val="21"/>
          <w:highlight w:val="none"/>
        </w:rPr>
        <w:t xml:space="preserve"> </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合同当事人可以就争议请求建设行政主管部门、行业协会或其他第三方进行调解，调解达成协议的，经双方签字盖章后作为合同补充文件，双方均应遵照执行。</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51" w:name="_Ref532221527"/>
      <w:bookmarkStart w:id="1552" w:name="_Toc54862328"/>
      <w:bookmarkStart w:id="1553" w:name="_Ref532221532"/>
      <w:bookmarkStart w:id="1554" w:name="_Toc114990707"/>
      <w:bookmarkStart w:id="1555" w:name="_Toc24575"/>
      <w:r>
        <w:rPr>
          <w:rFonts w:hint="eastAsia" w:ascii="宋体" w:hAnsi="宋体" w:eastAsia="宋体" w:cs="仿宋"/>
          <w:bCs/>
          <w:color w:val="auto"/>
          <w:szCs w:val="21"/>
          <w:highlight w:val="none"/>
        </w:rPr>
        <w:t>20.3 争议评审</w:t>
      </w:r>
      <w:bookmarkEnd w:id="1551"/>
      <w:bookmarkEnd w:id="1552"/>
      <w:bookmarkEnd w:id="1553"/>
      <w:bookmarkEnd w:id="1554"/>
      <w:bookmarkEnd w:id="155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合同当事人在专用合同条件中约定采取争议评审方式及评审规则解决争议的，按下列约定执行：</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20.3.1 争议评审小组的确定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除专用合同条件另有约定外，争议评审员报酬由发包人和承包人各承担一半。</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556" w:name="_Ref532287270"/>
      <w:r>
        <w:rPr>
          <w:rFonts w:hint="eastAsia" w:ascii="宋体" w:hAnsi="宋体" w:eastAsia="宋体" w:cs="仿宋"/>
          <w:color w:val="auto"/>
          <w:szCs w:val="21"/>
          <w:highlight w:val="none"/>
        </w:rPr>
        <w:t>20.3.2 争议的避免</w:t>
      </w:r>
      <w:bookmarkEnd w:id="1556"/>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合同当事人协商一致，可以共同书面请求争议评审小组，就合同履行过程中可能出现争议的情况提供协助或进行非正式讨论，争议评审小组应给出公正的意见或建议。</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此类协助或非正式讨论可在任何会议、施工现场视察或其他场合进行，并且除专用合同条件另有约定外，发包人和承包人均应出席。</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争议评审小组在此类非正式讨论上给出的任何意见或建议，无论是口头还是书面的，对发包人和承包人不具有约束力，争议评审小组在之后的争议评审程序或决定中也不受此类意见或建议的约束。</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bookmarkStart w:id="1557" w:name="_Ref4695594"/>
      <w:r>
        <w:rPr>
          <w:rFonts w:hint="eastAsia" w:ascii="宋体" w:hAnsi="宋体" w:eastAsia="宋体" w:cs="仿宋"/>
          <w:color w:val="auto"/>
          <w:szCs w:val="21"/>
          <w:highlight w:val="none"/>
        </w:rPr>
        <w:t>20.3.3 争议评审小组的决定</w:t>
      </w:r>
      <w:bookmarkEnd w:id="1557"/>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pPr>
        <w:tabs>
          <w:tab w:val="left" w:pos="851"/>
        </w:tabs>
        <w:autoSpaceDE w:val="0"/>
        <w:autoSpaceDN w:val="0"/>
        <w:adjustRightInd w:val="0"/>
        <w:snapToGrid w:val="0"/>
        <w:spacing w:line="360" w:lineRule="auto"/>
        <w:outlineLvl w:val="4"/>
        <w:rPr>
          <w:rFonts w:ascii="宋体" w:hAnsi="宋体" w:eastAsia="宋体" w:cs="仿宋"/>
          <w:color w:val="auto"/>
          <w:szCs w:val="21"/>
          <w:highlight w:val="none"/>
        </w:rPr>
      </w:pPr>
      <w:r>
        <w:rPr>
          <w:rFonts w:hint="eastAsia" w:ascii="宋体" w:hAnsi="宋体" w:eastAsia="宋体" w:cs="仿宋"/>
          <w:color w:val="auto"/>
          <w:szCs w:val="21"/>
          <w:highlight w:val="none"/>
        </w:rPr>
        <w:t>20.3.4 争议评审小组决定的效力</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争议评审小组作出的书面决定经合同当事人签字确认后，对双方具有约束力，双方应遵照执行。</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任何一方当事人不接受争议评审小组决定或不履行争议评审小组决定的，双方可选择采用其他争议解决方式。</w:t>
      </w:r>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任何一方当事人不接受争议评审小组的决定，并不影响暂时执行争议评审小组的决定，直到在后续的采用其他争议解决方式中对争议评审小组的决定进行了改变。</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58" w:name="_Ref532221752"/>
      <w:bookmarkStart w:id="1559" w:name="_Toc54862329"/>
      <w:bookmarkStart w:id="1560" w:name="_Toc114990708"/>
      <w:bookmarkStart w:id="1561" w:name="_Toc586"/>
      <w:bookmarkStart w:id="1562" w:name="_Ref532221748"/>
      <w:r>
        <w:rPr>
          <w:rFonts w:hint="eastAsia" w:ascii="宋体" w:hAnsi="宋体" w:eastAsia="宋体" w:cs="仿宋"/>
          <w:bCs/>
          <w:color w:val="auto"/>
          <w:szCs w:val="21"/>
          <w:highlight w:val="none"/>
        </w:rPr>
        <w:t>20.4 仲裁或诉讼</w:t>
      </w:r>
      <w:bookmarkEnd w:id="1558"/>
      <w:bookmarkEnd w:id="1559"/>
      <w:bookmarkEnd w:id="1560"/>
      <w:bookmarkEnd w:id="1561"/>
      <w:bookmarkEnd w:id="1562"/>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因合同及合同有关事项产生的争议，合同当事人可以在专用合同条件中约定以下一种方式解决争议：</w:t>
      </w:r>
    </w:p>
    <w:p>
      <w:pPr>
        <w:numPr>
          <w:ilvl w:val="4"/>
          <w:numId w:val="0"/>
        </w:numPr>
        <w:tabs>
          <w:tab w:val="left" w:pos="993"/>
        </w:tabs>
        <w:autoSpaceDE w:val="0"/>
        <w:autoSpaceDN w:val="0"/>
        <w:adjustRightInd w:val="0"/>
        <w:snapToGrid w:val="0"/>
        <w:spacing w:line="360" w:lineRule="auto"/>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（1） 向约定的仲裁委员会申请仲裁；</w:t>
      </w:r>
    </w:p>
    <w:p>
      <w:pPr>
        <w:numPr>
          <w:ilvl w:val="4"/>
          <w:numId w:val="0"/>
        </w:numPr>
        <w:tabs>
          <w:tab w:val="left" w:pos="993"/>
        </w:tabs>
        <w:autoSpaceDE w:val="0"/>
        <w:autoSpaceDN w:val="0"/>
        <w:adjustRightInd w:val="0"/>
        <w:snapToGrid w:val="0"/>
        <w:spacing w:line="360" w:lineRule="auto"/>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（2） 向有管辖权的人民法院起诉。</w:t>
      </w:r>
    </w:p>
    <w:p>
      <w:pPr>
        <w:tabs>
          <w:tab w:val="left" w:pos="851"/>
        </w:tabs>
        <w:autoSpaceDE w:val="0"/>
        <w:autoSpaceDN w:val="0"/>
        <w:adjustRightInd w:val="0"/>
        <w:snapToGrid w:val="0"/>
        <w:spacing w:line="360" w:lineRule="auto"/>
        <w:outlineLvl w:val="3"/>
        <w:rPr>
          <w:rFonts w:ascii="宋体" w:hAnsi="宋体" w:eastAsia="宋体" w:cs="仿宋"/>
          <w:bCs/>
          <w:color w:val="auto"/>
          <w:szCs w:val="21"/>
          <w:highlight w:val="none"/>
        </w:rPr>
      </w:pPr>
      <w:bookmarkStart w:id="1563" w:name="_Toc54862330"/>
      <w:bookmarkStart w:id="1564" w:name="_Toc14705"/>
      <w:bookmarkStart w:id="1565" w:name="_Toc114990709"/>
      <w:r>
        <w:rPr>
          <w:rFonts w:hint="eastAsia" w:ascii="宋体" w:hAnsi="宋体" w:eastAsia="宋体" w:cs="仿宋"/>
          <w:bCs/>
          <w:color w:val="auto"/>
          <w:szCs w:val="21"/>
          <w:highlight w:val="none"/>
        </w:rPr>
        <w:t>20.5 争议解决条款效力</w:t>
      </w:r>
      <w:bookmarkEnd w:id="1563"/>
      <w:bookmarkEnd w:id="1564"/>
      <w:bookmarkEnd w:id="1565"/>
    </w:p>
    <w:p>
      <w:pPr>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合同有关争议解决的条款独立存在，合同的不生效、无效、被撤销或者终止的，不影响合同中有关争议解决条款的效力。</w:t>
      </w:r>
    </w:p>
    <w:p>
      <w:pPr>
        <w:rPr>
          <w:rFonts w:ascii="宋体" w:hAnsi="宋体" w:eastAsia="宋体" w:cs="Times New Roman"/>
          <w:color w:val="auto"/>
          <w:szCs w:val="21"/>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宋体" w:hAnsi="宋体" w:eastAsia="宋体" w:cs="Times New Roman"/>
          <w:color w:val="auto"/>
          <w:sz w:val="24"/>
          <w:szCs w:val="24"/>
          <w:highlight w:val="none"/>
        </w:rPr>
      </w:pPr>
    </w:p>
    <w:p>
      <w:pPr>
        <w:rPr>
          <w:rFonts w:ascii="Calibri" w:hAnsi="Calibri" w:eastAsia="仿宋" w:cs="Times New Roman"/>
          <w:color w:val="auto"/>
          <w:sz w:val="24"/>
          <w:szCs w:val="24"/>
          <w:highlight w:val="none"/>
        </w:rPr>
      </w:pPr>
    </w:p>
    <w:p>
      <w:pPr>
        <w:spacing w:line="400" w:lineRule="exact"/>
        <w:rPr>
          <w:rFonts w:ascii="仿宋" w:hAnsi="仿宋" w:eastAsia="仿宋" w:cs="仿宋"/>
          <w:color w:val="auto"/>
          <w:kern w:val="0"/>
          <w:sz w:val="24"/>
          <w:szCs w:val="24"/>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bookmarkEnd w:id="465"/>
    <w:bookmarkEnd w:id="466"/>
    <w:bookmarkEnd w:id="467"/>
    <w:bookmarkEnd w:id="468"/>
    <w:p>
      <w:pPr>
        <w:keepNext/>
        <w:keepLines/>
        <w:numPr>
          <w:ilvl w:val="0"/>
          <w:numId w:val="13"/>
        </w:numPr>
        <w:spacing w:line="400" w:lineRule="exact"/>
        <w:jc w:val="center"/>
        <w:outlineLvl w:val="1"/>
        <w:rPr>
          <w:rFonts w:ascii="宋体" w:hAnsi="宋体" w:eastAsia="宋体" w:cs="仿宋"/>
          <w:b/>
          <w:bCs/>
          <w:color w:val="auto"/>
          <w:sz w:val="36"/>
          <w:szCs w:val="36"/>
          <w:highlight w:val="none"/>
        </w:rPr>
      </w:pPr>
      <w:bookmarkStart w:id="1566" w:name="_Toc18441"/>
      <w:bookmarkStart w:id="1567" w:name="_Toc216681916"/>
      <w:r>
        <w:rPr>
          <w:rFonts w:hint="eastAsia" w:ascii="宋体" w:hAnsi="宋体" w:eastAsia="宋体" w:cs="仿宋"/>
          <w:b/>
          <w:bCs/>
          <w:color w:val="auto"/>
          <w:sz w:val="36"/>
          <w:szCs w:val="36"/>
          <w:highlight w:val="none"/>
        </w:rPr>
        <w:t>专用</w:t>
      </w:r>
      <w:bookmarkEnd w:id="1566"/>
      <w:r>
        <w:rPr>
          <w:rFonts w:hint="eastAsia" w:ascii="宋体" w:hAnsi="宋体" w:eastAsia="宋体" w:cs="仿宋"/>
          <w:b/>
          <w:bCs/>
          <w:color w:val="auto"/>
          <w:sz w:val="36"/>
          <w:szCs w:val="36"/>
          <w:highlight w:val="none"/>
        </w:rPr>
        <w:t>合同条件</w:t>
      </w:r>
      <w:bookmarkEnd w:id="1567"/>
    </w:p>
    <w:p>
      <w:pPr>
        <w:tabs>
          <w:tab w:val="left" w:pos="993"/>
        </w:tabs>
        <w:spacing w:line="360" w:lineRule="auto"/>
        <w:outlineLvl w:val="1"/>
        <w:rPr>
          <w:rFonts w:ascii="宋体" w:hAnsi="宋体" w:eastAsia="宋体" w:cs="仿宋"/>
          <w:bCs/>
          <w:color w:val="auto"/>
          <w:szCs w:val="21"/>
          <w:highlight w:val="none"/>
        </w:rPr>
      </w:pPr>
      <w:bookmarkStart w:id="1568" w:name="_Toc15806"/>
      <w:bookmarkStart w:id="1569" w:name="_Toc216681917"/>
      <w:bookmarkStart w:id="1570" w:name="_Toc54862332"/>
      <w:bookmarkStart w:id="1571" w:name="_Toc32002"/>
      <w:bookmarkStart w:id="1572" w:name="_Toc14904"/>
      <w:bookmarkStart w:id="1573" w:name="_Toc54862351"/>
      <w:bookmarkStart w:id="1574" w:name="_Toc9756"/>
      <w:r>
        <w:rPr>
          <w:rFonts w:hint="eastAsia" w:ascii="宋体" w:hAnsi="宋体" w:eastAsia="宋体" w:cs="仿宋"/>
          <w:bCs/>
          <w:color w:val="auto"/>
          <w:szCs w:val="21"/>
          <w:highlight w:val="none"/>
        </w:rPr>
        <w:t>第1条 一般约定</w:t>
      </w:r>
      <w:bookmarkEnd w:id="1568"/>
      <w:bookmarkEnd w:id="1569"/>
      <w:bookmarkEnd w:id="1570"/>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 词语定义和解释</w:t>
      </w:r>
    </w:p>
    <w:p>
      <w:pPr>
        <w:spacing w:line="360" w:lineRule="auto"/>
        <w:ind w:firstLine="600"/>
        <w:rPr>
          <w:rFonts w:ascii="宋体" w:hAnsi="宋体" w:eastAsia="宋体" w:cs="仿宋"/>
          <w:color w:val="auto"/>
          <w:kern w:val="0"/>
          <w:szCs w:val="21"/>
          <w:highlight w:val="none"/>
        </w:rPr>
      </w:pPr>
      <w:r>
        <w:rPr>
          <w:rFonts w:hint="eastAsia" w:ascii="宋体" w:hAnsi="宋体" w:eastAsia="宋体" w:cs="仿宋"/>
          <w:color w:val="auto"/>
          <w:kern w:val="0"/>
          <w:szCs w:val="21"/>
          <w:highlight w:val="none"/>
        </w:rPr>
        <w:t>1.1.1 合同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1.1.1.10 其他合同文件：</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按合同协议书合同文件构成执行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 工程和设备</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1.1.3.5 单位/区段工程的范围：</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指在建设项目中，根据签订的合同，具有独立施工条件的工程</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1.1.3.9 作为施工场所组成部分的其他场所包括：</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指为实施本合同工程而需要的临时出入通道，以及生产（办公）、生活等临时设施等</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1.1.3.10 永久占地包括：</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指为实施本合同工程而需要的一切永久占用的土地</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1.1.3.11 临时占地包括：</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指为实施本合同工程而需要的一切临时占用的土地，包括施工所用的临时支线、便道、便桥和现场的临时出入通道，以及生产（办公）、生活等临时设施用地等</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1.2 语言文字</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本合同除使用汉语外，还使用</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语言。</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 法律</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适用于合同的其他规范性文件：</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中华人民共和国民法典》、《中华人民共和国建筑法》、《中华人民共和国安全生产法》、《建设工程勘察设计管理条例》、《建设工程质量管理条例》、《建设工程安全生产管理条例》、《房屋建筑工程质量保修办法》等相关法律法规及国家、省、市（县、区）相关文件规定</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 标准和规范</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1.4.1 适用于本合同的标准、规范（名称）包括：</w:t>
      </w:r>
      <w:r>
        <w:rPr>
          <w:rFonts w:hint="eastAsia" w:ascii="宋体" w:hAnsi="宋体" w:eastAsia="宋体" w:cs="仿宋"/>
          <w:color w:val="auto"/>
          <w:szCs w:val="21"/>
          <w:highlight w:val="none"/>
          <w:u w:val="single"/>
        </w:rPr>
        <w:t xml:space="preserve"> 《工程建设标准强制性条文》、《建筑工程施工质量验收统一标准》及相关《施工验收规范》、《房屋建筑工程质量保修办法》、《建设工程质量管理条例》、《中华人民共和国安全生产法》、《建设工程安全生产管理条例》、《建筑工程文件归档整理规范》等与房屋建设工程设计、施工验收相关的国家现行建筑标准规范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1.4.2 发包人提供的国外标准、规范的名称：</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；发包人提供的国外标准、规范的份数：</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；发包人提供的国外标准、规范的时间：</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1.4.3 没有成文规范、标准规定的约定：</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1.4.4 发包人对于工程的技术标准、功能要求：</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 合同文件的优先顺序</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合同文件组成及优先顺序为：</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 文件的提供和照管</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1.6.1 发包人文件的提供</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发包人文件的提供期限、名称、数量和形式：</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1.6.2 承包人文件的提供</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承包人文件的内容、提供期限、名称、数量和形式：</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1.6.4 文件的照管</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关于现场文件准备的约定：</w:t>
      </w:r>
      <w:r>
        <w:rPr>
          <w:rFonts w:hint="eastAsia" w:ascii="宋体" w:hAnsi="宋体" w:eastAsia="宋体" w:cs="仿宋"/>
          <w:color w:val="auto"/>
          <w:szCs w:val="21"/>
          <w:highlight w:val="none"/>
          <w:u w:val="single"/>
        </w:rPr>
        <w:t xml:space="preserve">  </w:t>
      </w:r>
      <w:r>
        <w:rPr>
          <w:rFonts w:hint="eastAsia" w:ascii="宋体" w:hAnsi="宋体" w:eastAsia="宋体" w:cs="Times New Roman"/>
          <w:color w:val="auto"/>
          <w:kern w:val="0"/>
          <w:szCs w:val="21"/>
          <w:highlight w:val="none"/>
          <w:u w:val="single"/>
        </w:rPr>
        <w:t>各参建方的工作要求、</w:t>
      </w:r>
      <w:r>
        <w:rPr>
          <w:rFonts w:hint="eastAsia" w:ascii="宋体" w:hAnsi="宋体" w:eastAsia="宋体" w:cs="仿宋"/>
          <w:color w:val="auto"/>
          <w:szCs w:val="21"/>
          <w:highlight w:val="none"/>
          <w:u w:val="single"/>
        </w:rPr>
        <w:t>施工设计图、</w:t>
      </w:r>
      <w:r>
        <w:rPr>
          <w:rFonts w:hint="eastAsia" w:ascii="宋体" w:hAnsi="宋体" w:eastAsia="宋体" w:cs="Times New Roman"/>
          <w:color w:val="auto"/>
          <w:kern w:val="0"/>
          <w:szCs w:val="21"/>
          <w:highlight w:val="none"/>
          <w:u w:val="single"/>
        </w:rPr>
        <w:t>审批文件、施工资料</w:t>
      </w:r>
      <w:r>
        <w:rPr>
          <w:rFonts w:hint="eastAsia" w:ascii="宋体" w:hAnsi="宋体" w:eastAsia="宋体" w:cs="仿宋"/>
          <w:color w:val="auto"/>
          <w:szCs w:val="21"/>
          <w:highlight w:val="none"/>
          <w:u w:val="single"/>
        </w:rPr>
        <w:t xml:space="preserve">等  </w:t>
      </w:r>
      <w:r>
        <w:rPr>
          <w:rFonts w:hint="eastAsia" w:ascii="宋体" w:hAnsi="宋体" w:eastAsia="宋体" w:cs="仿宋"/>
          <w:color w:val="auto"/>
          <w:szCs w:val="21"/>
          <w:highlight w:val="none"/>
        </w:rPr>
        <w:t>。</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1.7 联络</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1.7.2 发包人指定的送达方式（包括电子传输方式）：</w:t>
      </w:r>
      <w:r>
        <w:rPr>
          <w:rFonts w:hint="eastAsia" w:ascii="宋体" w:hAnsi="宋体" w:eastAsia="宋体" w:cs="仿宋"/>
          <w:color w:val="auto"/>
          <w:szCs w:val="21"/>
          <w:highlight w:val="none"/>
          <w:u w:val="single"/>
        </w:rPr>
        <w:t xml:space="preserve">  书面版和电子版 </w:t>
      </w:r>
      <w:r>
        <w:rPr>
          <w:rFonts w:hint="eastAsia" w:ascii="宋体" w:hAnsi="宋体" w:eastAsia="宋体" w:cs="仿宋"/>
          <w:color w:val="auto"/>
          <w:szCs w:val="21"/>
          <w:highlight w:val="none"/>
        </w:rPr>
        <w:t>。</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发包人的送达地址：</w:t>
      </w:r>
      <w:r>
        <w:rPr>
          <w:rFonts w:hint="eastAsia" w:ascii="宋体" w:hAnsi="宋体" w:eastAsia="宋体" w:cs="仿宋"/>
          <w:color w:val="auto"/>
          <w:szCs w:val="21"/>
          <w:highlight w:val="none"/>
          <w:u w:val="single"/>
        </w:rPr>
        <w:t xml:space="preserve">  普洱市思茅区普洱人家·映山和园107栋10楼 </w:t>
      </w:r>
      <w:r>
        <w:rPr>
          <w:rFonts w:hint="eastAsia" w:ascii="宋体" w:hAnsi="宋体" w:eastAsia="宋体" w:cs="仿宋"/>
          <w:color w:val="auto"/>
          <w:szCs w:val="21"/>
          <w:highlight w:val="none"/>
        </w:rPr>
        <w:t>。</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承包人指定的送达方式（包括电子传输方式）： </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承包人的送达地址：</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1.10 知识产权</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1.10.1 由发包人（或以发包人名义）编制的《发包人要求》和其他文件的著作权归属：</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1.10.2 由承包人（或以承包人名义）为实施工程所编制的文件、承包人完成的设计工作成果和建造完成的建筑物的知识产权归属：</w:t>
      </w:r>
      <w:r>
        <w:rPr>
          <w:rFonts w:hint="eastAsia" w:ascii="宋体" w:hAnsi="宋体" w:eastAsia="宋体" w:cs="仿宋"/>
          <w:color w:val="auto"/>
          <w:szCs w:val="21"/>
          <w:highlight w:val="none"/>
          <w:u w:val="single"/>
        </w:rPr>
        <w:t xml:space="preserve"> 发包人已支付费用的成果归发包人所有，其余的按通用条款执行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1.10.4 承包人在投标文件中采用的专利、专有技术、技术秘密的使用费的承担方式</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1.11 保密</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双方订立的商业保密协议（名称）：</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，作为本合同附件。</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双方订立的技术保密协议（名称）：</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，作为本合同附件。</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 责任限制</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承包人对发包人赔偿责任的最高限额为</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1.14 建筑信息模型技术的应用</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关于建筑信息模型技术的开发、使用、存储、传输、交付及费用约定如下：</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发生时双方协商</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75" w:name="_Toc54862333"/>
      <w:bookmarkStart w:id="1576" w:name="_Toc18375"/>
      <w:bookmarkStart w:id="1577" w:name="_Toc216681918"/>
      <w:r>
        <w:rPr>
          <w:rFonts w:hint="eastAsia" w:ascii="宋体" w:hAnsi="宋体" w:eastAsia="宋体" w:cs="仿宋"/>
          <w:bCs/>
          <w:color w:val="auto"/>
          <w:szCs w:val="21"/>
          <w:highlight w:val="none"/>
        </w:rPr>
        <w:t>第2条 发包人</w:t>
      </w:r>
      <w:bookmarkEnd w:id="1575"/>
      <w:bookmarkEnd w:id="1576"/>
      <w:bookmarkEnd w:id="1577"/>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2.2 提供施工现场和工作条件</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2.2.1 提供施工现场</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关于发包人提供施工现场的范围和期限：</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计划开始现场施工日期7天前向承包人移交施工现场</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2.2.2 提供工作条件</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关于发包人应负责提供的工作条件包括：</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协调提供施工场地</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2.3 提供基础资料</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关于发包人应提供的基础资料的范围和期限：</w:t>
      </w:r>
      <w:r>
        <w:rPr>
          <w:rFonts w:hint="eastAsia" w:ascii="宋体" w:hAnsi="宋体" w:eastAsia="宋体" w:cs="仿宋"/>
          <w:color w:val="auto"/>
          <w:szCs w:val="21"/>
          <w:highlight w:val="none"/>
          <w:u w:val="single"/>
        </w:rPr>
        <w:t xml:space="preserve">(1)发包人按本合同专用条款规定的内容，在合同签订后3个工作日内向承包人提交开展设计所需的相关文件，并对其完整性、正确性及时限负责，发包人不得要求设计人违反国家有关标准进行设计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2.5 支付合同价款</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2.5.2 发包人提供资金来源证明及资金安排的期限要求：</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wordWrap w:val="0"/>
        <w:spacing w:line="360" w:lineRule="auto"/>
        <w:ind w:firstLine="601"/>
        <w:rPr>
          <w:rFonts w:ascii="宋体" w:hAnsi="宋体" w:eastAsia="宋体" w:cs="仿宋"/>
          <w:color w:val="auto"/>
          <w:szCs w:val="21"/>
          <w:highlight w:val="none"/>
        </w:rPr>
      </w:pPr>
      <w:r>
        <w:rPr>
          <w:rFonts w:hint="eastAsia" w:ascii="宋体" w:hAnsi="宋体" w:eastAsia="宋体" w:cs="仿宋"/>
          <w:color w:val="auto"/>
          <w:szCs w:val="21"/>
          <w:highlight w:val="none"/>
        </w:rPr>
        <w:t>2.5.3 发包人提供支付担保的形式、期限、金额（或比例）：</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2.7 其他义务</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发包人应履行的其他义务：</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(1)发包人应遵守法律，并办理法律规定由其办理的许可、批准或备案，包括但不限于建设用地规划许可证（如果有）、建设工程规划许可证（如果有）、建设工程施工许可证、施工所需临时用水、临时用电等许可和批准；</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（2）协调施工场地通道，满足施工运输的需要，保证施工期间的畅通；</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（3）协调相关单位调查施工场地地下管线；</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（4）办理施工许可证及其他施工所需证件、批件，参与协调承包人所需临时用地、水、电等的申请批准手续（承包人自身需提供的资料除外）；并协助承包人办理中断道路交通、材料堆放等申请批准手续。</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u w:val="single"/>
        </w:rPr>
        <w:t>（5）确定水准点与坐标控制点，以书面形式移交给承包人，进行现场交验</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78" w:name="_Toc216681919"/>
      <w:bookmarkStart w:id="1579" w:name="_Toc54862334"/>
      <w:bookmarkStart w:id="1580" w:name="_Toc17503"/>
      <w:r>
        <w:rPr>
          <w:rFonts w:hint="eastAsia" w:ascii="宋体" w:hAnsi="宋体" w:eastAsia="宋体" w:cs="仿宋"/>
          <w:bCs/>
          <w:color w:val="auto"/>
          <w:szCs w:val="21"/>
          <w:highlight w:val="none"/>
        </w:rPr>
        <w:t>第3条 发包人的管理</w:t>
      </w:r>
      <w:bookmarkEnd w:id="1578"/>
      <w:bookmarkEnd w:id="1579"/>
      <w:bookmarkEnd w:id="1580"/>
    </w:p>
    <w:p>
      <w:pPr>
        <w:spacing w:line="360" w:lineRule="auto"/>
        <w:ind w:firstLine="640"/>
        <w:rPr>
          <w:rFonts w:ascii="宋体" w:hAnsi="宋体" w:eastAsia="宋体" w:cs="仿宋"/>
          <w:color w:val="auto"/>
          <w:szCs w:val="21"/>
          <w:highlight w:val="none"/>
        </w:rPr>
      </w:pPr>
      <w:r>
        <w:rPr>
          <w:rFonts w:hint="eastAsia" w:ascii="宋体" w:hAnsi="宋体" w:eastAsia="宋体" w:cs="仿宋"/>
          <w:color w:val="auto"/>
          <w:szCs w:val="21"/>
          <w:highlight w:val="none"/>
        </w:rPr>
        <w:t>3.1 发包人代表</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发包人代表的姓名：</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发包人代表的身份证号：</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发包人代表的职务：</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发包人代表的联系电话：</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发包人代表的电子邮箱：</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发包人代表的通信地址：</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发包人对发包人代表的授权范围如下：</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发包人代表的职责：</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40"/>
        <w:rPr>
          <w:rFonts w:ascii="宋体" w:hAnsi="宋体" w:eastAsia="宋体" w:cs="仿宋"/>
          <w:color w:val="auto"/>
          <w:szCs w:val="21"/>
          <w:highlight w:val="none"/>
        </w:rPr>
      </w:pPr>
      <w:r>
        <w:rPr>
          <w:rFonts w:hint="eastAsia" w:ascii="宋体" w:hAnsi="宋体" w:eastAsia="宋体" w:cs="仿宋"/>
          <w:color w:val="auto"/>
          <w:szCs w:val="21"/>
          <w:highlight w:val="none"/>
        </w:rPr>
        <w:t>3.2 发包人人员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发包人人员姓名：</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发包人人员职务：</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发包人人员职责：</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40"/>
        <w:rPr>
          <w:rFonts w:ascii="宋体" w:hAnsi="宋体" w:eastAsia="宋体" w:cs="仿宋"/>
          <w:color w:val="auto"/>
          <w:szCs w:val="21"/>
          <w:highlight w:val="none"/>
        </w:rPr>
      </w:pPr>
      <w:r>
        <w:rPr>
          <w:rFonts w:hint="eastAsia" w:ascii="宋体" w:hAnsi="宋体" w:eastAsia="宋体" w:cs="仿宋"/>
          <w:color w:val="auto"/>
          <w:szCs w:val="21"/>
          <w:highlight w:val="none"/>
        </w:rPr>
        <w:t>3.3 工程师</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3.3.1 工程师名称：</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工程师监督管理范围、内容：</w:t>
      </w:r>
      <w:r>
        <w:rPr>
          <w:rFonts w:hint="eastAsia" w:ascii="宋体" w:hAnsi="宋体" w:eastAsia="宋体" w:cs="仿宋"/>
          <w:bCs/>
          <w:color w:val="auto"/>
          <w:szCs w:val="21"/>
          <w:highlight w:val="none"/>
          <w:u w:val="single"/>
        </w:rPr>
        <w:t>对本工程项目的质量、进度、投资控制、合同、资料管理，内外部协调以及环境保护、安全文明施工管理等全过程进行监理。具体内容详见发包人与监理单位签订的《建设工程监理合同》</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工程师权限：</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根据发包人与监理单位签订的《建设工程监理合同》约定及法律规定，对工程质量、进度、安全文明、造价等全过程进行监理，并签发相关指令，但工程师无权修改合同，且无权减轻或免除合同约定的承包人的任何责任与义务。按监理规范及监理合同的规定行使职权。工程变更的决定、工期顺延的决定和工程计量、工程款支付的决定均应上报发包人同意才可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40"/>
        <w:rPr>
          <w:rFonts w:ascii="宋体" w:hAnsi="宋体" w:eastAsia="宋体" w:cs="仿宋"/>
          <w:color w:val="auto"/>
          <w:szCs w:val="21"/>
          <w:highlight w:val="none"/>
        </w:rPr>
      </w:pPr>
      <w:r>
        <w:rPr>
          <w:rFonts w:hint="eastAsia" w:ascii="宋体" w:hAnsi="宋体" w:eastAsia="宋体" w:cs="仿宋"/>
          <w:color w:val="auto"/>
          <w:szCs w:val="21"/>
          <w:highlight w:val="none"/>
        </w:rPr>
        <w:t>3.6 商定或确定</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3.6.2 关于商定时间限制的具体约定：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3.6.3 关于商定或确定效力的具体约定：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；关于对工程师的确定提出异议的具体约定：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40"/>
        <w:rPr>
          <w:rFonts w:ascii="宋体" w:hAnsi="宋体" w:eastAsia="宋体" w:cs="仿宋"/>
          <w:color w:val="auto"/>
          <w:szCs w:val="21"/>
          <w:highlight w:val="none"/>
        </w:rPr>
      </w:pPr>
      <w:r>
        <w:rPr>
          <w:rFonts w:hint="eastAsia" w:ascii="宋体" w:hAnsi="宋体" w:eastAsia="宋体" w:cs="仿宋"/>
          <w:color w:val="auto"/>
          <w:szCs w:val="21"/>
          <w:highlight w:val="none"/>
        </w:rPr>
        <w:t>3.7 会议</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3.7.1 关于召开会议的具体约定：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3.7.2 关于保存和提供会议纪要的具体约定：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81" w:name="_Toc10732"/>
      <w:bookmarkStart w:id="1582" w:name="_Toc54862335"/>
      <w:bookmarkStart w:id="1583" w:name="_Toc216681920"/>
      <w:r>
        <w:rPr>
          <w:rFonts w:hint="eastAsia" w:ascii="宋体" w:hAnsi="宋体" w:eastAsia="宋体" w:cs="仿宋"/>
          <w:bCs/>
          <w:color w:val="auto"/>
          <w:szCs w:val="21"/>
          <w:highlight w:val="none"/>
        </w:rPr>
        <w:t>第4条 承包人</w:t>
      </w:r>
      <w:bookmarkEnd w:id="1581"/>
      <w:bookmarkEnd w:id="1582"/>
      <w:bookmarkEnd w:id="1583"/>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4.1 承包人的一般义务</w:t>
      </w:r>
    </w:p>
    <w:p>
      <w:pPr>
        <w:spacing w:line="360" w:lineRule="auto"/>
        <w:ind w:firstLine="562"/>
        <w:rPr>
          <w:rFonts w:ascii="宋体" w:hAnsi="宋体" w:eastAsia="宋体" w:cs="仿宋"/>
          <w:color w:val="auto"/>
          <w:szCs w:val="21"/>
          <w:highlight w:val="none"/>
        </w:rPr>
      </w:pPr>
      <w:r>
        <w:rPr>
          <w:rFonts w:hint="eastAsia" w:ascii="宋体" w:hAnsi="宋体" w:eastAsia="宋体" w:cs="仿宋"/>
          <w:color w:val="auto"/>
          <w:szCs w:val="21"/>
          <w:highlight w:val="none"/>
        </w:rPr>
        <w:t>承包人应履行的其他义务：</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u w:val="single"/>
        </w:rPr>
        <w:t>（1）办理法律规定由施工单位办理的许可和批准，将办理结果书面报送发包人留存，并承担因违反法律给发包人造成的任何费用和损失；积极配合提供项目报批报建相关资料</w:t>
      </w:r>
      <w:r>
        <w:rPr>
          <w:rFonts w:hint="eastAsia" w:ascii="宋体" w:hAnsi="宋体" w:eastAsia="宋体" w:cs="仿宋"/>
          <w:color w:val="auto"/>
          <w:szCs w:val="21"/>
          <w:highlight w:val="none"/>
        </w:rPr>
        <w:t>；</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（2）按合同约定完成全部施工工作，并在缺陷责任期和保修期内承担缺陷保证责任和保修义务，对工作中的任何缺陷进行整改、完善和修补，满足合同约定的目的；</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（3）提供工程设备和相关文件，以及为完成合同工作所需的劳务、材料、施工设备和其他物品，并按合同约定负责施工、维护、管理；</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（4）按合同约定的工作内容和进度要求，编制施工的组织设计和实施计划，以保证项目进度计划的实现，并对所有施工作业和施工方法，以及全部工程的完备性和安全可靠性负责；</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（5）按法律规定和合同约定采取安全文明施工、职业健康和环境保护措施，办理员工的相关保险，确保工程及人员、材料、设备和设施的安全，防止因工程实施造成的人身伤害和财产损失；</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（6）将发包人按合同约定支付的各项价款专用于合同工程，且应及时支付其雇用人员（包括建筑工人）工资，并及时向分包人按分包合同约定支付合同价款；</w:t>
      </w:r>
    </w:p>
    <w:p>
      <w:pPr>
        <w:spacing w:line="360" w:lineRule="auto"/>
        <w:ind w:firstLine="562"/>
        <w:rPr>
          <w:rFonts w:ascii="宋体" w:hAnsi="宋体" w:eastAsia="宋体" w:cs="仿宋"/>
          <w:color w:val="auto"/>
          <w:szCs w:val="21"/>
          <w:highlight w:val="none"/>
        </w:rPr>
      </w:pPr>
      <w:r>
        <w:rPr>
          <w:rFonts w:hint="eastAsia" w:ascii="宋体" w:hAnsi="宋体" w:eastAsia="宋体" w:cs="仿宋"/>
          <w:color w:val="auto"/>
          <w:szCs w:val="21"/>
          <w:highlight w:val="none"/>
          <w:u w:val="single"/>
        </w:rPr>
        <w:t>（7）在进行合同约定的各项工作时，不得侵害发包人与他人使用公用道路、水源、市政管网等公共设施的权利，避免对邻近的公共设施产生干扰</w:t>
      </w:r>
      <w:r>
        <w:rPr>
          <w:rFonts w:hint="eastAsia" w:ascii="宋体" w:hAnsi="宋体" w:eastAsia="宋体" w:cs="仿宋"/>
          <w:color w:val="auto"/>
          <w:szCs w:val="21"/>
          <w:highlight w:val="none"/>
        </w:rPr>
        <w:t>；</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（8）应按国家技术规范、标准、规程及发包人提出的设计要求，进行工程施工图设计，按合同规定的进度要求提交质量合格的设计资料，并对其负责</w:t>
      </w:r>
      <w:r>
        <w:rPr>
          <w:rFonts w:hint="eastAsia" w:ascii="宋体" w:hAnsi="宋体" w:eastAsia="宋体" w:cs="仿宋"/>
          <w:color w:val="auto"/>
          <w:szCs w:val="21"/>
          <w:highlight w:val="none"/>
        </w:rPr>
        <w:t>；</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（9）设计采用的主要技术标准是：国家及地方现行的相关规程规范</w:t>
      </w:r>
      <w:r>
        <w:rPr>
          <w:rFonts w:hint="eastAsia" w:ascii="宋体" w:hAnsi="宋体" w:eastAsia="宋体" w:cs="仿宋"/>
          <w:color w:val="auto"/>
          <w:szCs w:val="21"/>
          <w:highlight w:val="none"/>
        </w:rPr>
        <w:t>；</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（10）按本合同规定的内容和要求、进度及份数向发包人交付施工过程资料及竣工文件</w:t>
      </w:r>
      <w:r>
        <w:rPr>
          <w:rFonts w:hint="eastAsia" w:ascii="宋体" w:hAnsi="宋体" w:eastAsia="宋体" w:cs="仿宋"/>
          <w:color w:val="auto"/>
          <w:szCs w:val="21"/>
          <w:highlight w:val="none"/>
        </w:rPr>
        <w:t>；</w:t>
      </w:r>
    </w:p>
    <w:p>
      <w:pPr>
        <w:spacing w:line="360" w:lineRule="auto"/>
        <w:ind w:firstLine="562"/>
        <w:rPr>
          <w:rFonts w:ascii="宋体" w:hAnsi="宋体" w:eastAsia="宋体" w:cs="仿宋"/>
          <w:color w:val="auto"/>
          <w:szCs w:val="21"/>
          <w:highlight w:val="none"/>
        </w:rPr>
      </w:pPr>
      <w:r>
        <w:rPr>
          <w:rFonts w:hint="eastAsia" w:ascii="宋体" w:hAnsi="宋体" w:eastAsia="宋体" w:cs="仿宋"/>
          <w:color w:val="auto"/>
          <w:szCs w:val="21"/>
          <w:highlight w:val="none"/>
          <w:u w:val="single"/>
        </w:rPr>
        <w:t>（11）交付设计资料及施工文件后，按规定参加有关的设计审查，并根据审查结论负责对不超出原定范围的内容做必要调整补充。按合同规定时限交付设计资料及文件，设计人负责向发包人及施工单位进行设计交底、处理有关设计问题和参加试车和竣工验收</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u w:val="single"/>
        </w:rPr>
        <w:t xml:space="preserve">（12）应保护发包人的知识产权，不得向第三人泄露、转让发包人提交的成果资料、图纸等技术经济资料。如发生以上情况并给发包人造成经济损失，发包人有权进行索赔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4.2 履约担保</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承包人是否提供履约担保：</w:t>
      </w:r>
      <w:r>
        <w:rPr>
          <w:rFonts w:hint="eastAsia" w:ascii="宋体" w:hAnsi="宋体" w:eastAsia="宋体" w:cs="仿宋"/>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履约担保的方式、金额及期限:</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4.3 工程总承包项目经理</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4.3.1 工程总承包项目经理姓名：</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执业资格或职称类型：</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执业资格证或职称证号码：</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联系电话：</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电子邮箱：</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通信地址：</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56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承包人未提交劳动合同，以及没有为工程总承包项目经理缴纳社会保险证明的违约责任：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工程总承包项目经理应是承包人正式聘用的员工，承包人应向发包人提交项目经理与其之间的劳动合同，以及为项目经理缴纳社会保险的有效证明。若承包人不提交上述文件的，项目经理无权履行职责，发包人有权要求更换项目经理，由此增加的费用和延误的工期由承包人承担。</w:t>
      </w:r>
    </w:p>
    <w:p>
      <w:pPr>
        <w:spacing w:line="360" w:lineRule="auto"/>
        <w:ind w:firstLine="560"/>
        <w:rPr>
          <w:rFonts w:ascii="宋体" w:hAnsi="宋体" w:eastAsia="宋体" w:cs="仿宋"/>
          <w:color w:val="auto"/>
          <w:szCs w:val="21"/>
          <w:highlight w:val="none"/>
        </w:rPr>
      </w:pPr>
      <w:r>
        <w:rPr>
          <w:rFonts w:hint="eastAsia" w:ascii="宋体" w:hAnsi="宋体" w:eastAsia="宋体" w:cs="仿宋"/>
          <w:bCs/>
          <w:color w:val="auto"/>
          <w:szCs w:val="21"/>
          <w:highlight w:val="none"/>
          <w:u w:val="single"/>
        </w:rPr>
        <w:t>项目经理每月在现场时间未达到合同约定天数的，每少一天应向发包人支付违约金5000元。施工方项目经理不经发包人书面同意不得更换</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4.3.2 工程总承包项目经理每月在现场的时间要求：</w:t>
      </w:r>
      <w:r>
        <w:rPr>
          <w:rFonts w:hint="eastAsia" w:ascii="宋体" w:hAnsi="宋体" w:eastAsia="宋体" w:cs="仿宋"/>
          <w:color w:val="auto"/>
          <w:szCs w:val="21"/>
          <w:highlight w:val="none"/>
          <w:u w:val="single"/>
        </w:rPr>
        <w:t xml:space="preserve">   不少于22天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工程总承包项目经理未经批准擅自离开施工现场的违约责任：</w:t>
      </w:r>
      <w:r>
        <w:rPr>
          <w:rFonts w:hint="eastAsia" w:ascii="宋体" w:hAnsi="宋体" w:eastAsia="宋体" w:cs="仿宋"/>
          <w:color w:val="auto"/>
          <w:szCs w:val="21"/>
          <w:highlight w:val="none"/>
          <w:u w:val="single"/>
        </w:rPr>
        <w:t xml:space="preserve"> 承担3000元/天的违约金，发包人有权书面通知承包人更换其认为不称职的项目经理。承包人应在接到更换通知后将新任命的项目经理的注册执业资格、管理经验等资料书面通知发包人，继任的项目经理继续履行前任项目经理的职责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4.3.3 承包人对工程总承包项目经理的授权范围:</w:t>
      </w:r>
      <w:r>
        <w:rPr>
          <w:rFonts w:hint="eastAsia" w:ascii="宋体" w:hAnsi="宋体" w:eastAsia="宋体" w:cs="仿宋"/>
          <w:color w:val="auto"/>
          <w:szCs w:val="21"/>
          <w:highlight w:val="none"/>
          <w:u w:val="single"/>
        </w:rPr>
        <w:t xml:space="preserve">  1）经授权组建总承包管理项目部，提出项目部的组织机构，选择、聘用项目部成员，确定项目部人员的职责；2）在授权范围内，按以上项目经理规定的职责，行使相应的管理权；3）在合同范围内，有权按规定程序使用工程总承包企业的相关资源，并取得有关部门的支持；4）主持项目部的工作，组织制定项目的各项管理规定；5）根据企业法定代表人授权，协调和处理与项目有关的内、外部事项；6)负责工地的文明施工，并对整个项目施工安全全面负责。7）项目施工负责人仅限于工程的现场施工管理，未经承包人盖章同意，不得以承包人名义向外采购材料设备、租用建筑周转材料、雇用劳动力、签订分包合同等从事一切为承包人设立义务或责任的行为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4.3.4 承包人擅自更换工程总承包项目经理的违约责任：</w:t>
      </w:r>
      <w:r>
        <w:rPr>
          <w:rFonts w:hint="eastAsia" w:ascii="宋体" w:hAnsi="宋体" w:eastAsia="宋体" w:cs="仿宋"/>
          <w:color w:val="auto"/>
          <w:szCs w:val="21"/>
          <w:highlight w:val="none"/>
          <w:u w:val="single"/>
        </w:rPr>
        <w:t xml:space="preserve">  承包人在合同履行中，不允许随意更换投标文件中承诺拟投入的项目经理，如需更换，应与原项目经理具有同等的资格能力，须提交相关能力资格证书及类似从业经验证明，经行业主管部门及发包人审核书面同意后才能更换，否则视为违约。若未经发包人同意随意更换项目经理，须向发包人支付违约金，支付20000元/次违约金，若因此行为造成的损失，由承包人承担赔偿责任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4.3.5 承包人无正当理由拒绝更换工程总承包项目经理的违约责任: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发包人有权要求更换不称职的项目经理，若无正当理由拒绝更换项目经理的，发包人有权进行3000元/天的违约金</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4.4 承包人人员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4.4.1 人员安排</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承包人提交项目管理机构及施工现场人员安排的报告的期限：</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承包人拟派设计人员和施工管理人员的资质、数量、配置和管理应能满足工程实施的需要。承包人应在接到开始工作通知之日起14天内，向工程师提交承包人的项目管理机构以及人员安排的报告，其内容应包括管理机构的设置、各主要岗位的关键人员名单及注册执业资格等证明，以及设计人员和各工种技术负责人的安排状况</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承包人提交关键人员信息及注册执业资格等证明其具备担任关键人员能力的相关文件的期限：</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接到开始工作通知之日起14天内</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4.4.2 关键人员更换</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承包人擅自更换关键人员的违约责任：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u w:val="single"/>
        </w:rPr>
        <w:t xml:space="preserve">承包人在合同履行中，不允许随意更换投标文件中承诺拟投入的项目组成员，如需更换，应与原项目组成员具有同等的资格能力，须提交相关能力资格证书及类似从业经验证明，经行业主管部门及发包人审核书面同意后才能更换，否则视为违约。若未经发包人同意随意更换项目组成员，须向发包人支付违约金，更换项目组成员须支付5000元/人的违约金，更换项目副经理或技术负责人须支付10000元违约金，更换设计负责人须支付20000元违约金，若因此行为造成的损失，由承包人承担赔偿责任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承包人无正当理由拒绝撤换关键人员的违约责任：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发包人或工程师认为确有因工作不称职而需要更换管理人员的，若承包人无正当理由拒绝撤换的，发包人有权进行1000元/天的违约金</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4.4.3 现场管理关键人员在岗要求</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承包人现场管理关键人员离开施工现场的批准要求：</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u w:val="single"/>
        </w:rPr>
        <w:t xml:space="preserve">施工现场管理关键人员离开施工现场每月累计不超过5天的，应报工程师同意；离开施工现场每月累计超过5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承包人现场管理关键人员擅自离开施工现场的违约责任：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发包人有权对承包人进行500元/人/天的违约金</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rPr>
        <w:t>设计代表驻场要求：</w:t>
      </w:r>
      <w:r>
        <w:rPr>
          <w:rFonts w:hint="eastAsia" w:ascii="宋体" w:hAnsi="宋体" w:eastAsia="宋体" w:cs="仿宋"/>
          <w:color w:val="auto"/>
          <w:szCs w:val="21"/>
          <w:highlight w:val="none"/>
          <w:u w:val="single"/>
        </w:rPr>
        <w:t xml:space="preserve">派往工地的设计代表应在项目正式开工7天内到场执业，并有相应的执业经验及技术职称，切实熟悉国家规范及施工图纸重要节点，能及时发现施工过程中的错误并指导施工。每月不少于50%的驻场时间，驻场时间内产生的交通、住宿费用由承包人（设计方）自行承担  </w:t>
      </w:r>
      <w:r>
        <w:rPr>
          <w:rFonts w:hint="eastAsia" w:ascii="宋体" w:hAnsi="宋体" w:eastAsia="宋体" w:cs="仿宋"/>
          <w:color w:val="auto"/>
          <w:szCs w:val="21"/>
          <w:highlight w:val="none"/>
        </w:rPr>
        <w:t>。</w:t>
      </w:r>
    </w:p>
    <w:p>
      <w:pPr>
        <w:spacing w:line="360" w:lineRule="auto"/>
        <w:ind w:firstLine="56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 xml:space="preserve">对施工图上错误、遗漏的，申报建设单位后，设计代表应尽快进行修改、完善，并及时提交修改设计图，以满足施工需要  </w:t>
      </w:r>
      <w:r>
        <w:rPr>
          <w:rFonts w:hint="eastAsia" w:ascii="宋体" w:hAnsi="宋体" w:eastAsia="宋体" w:cs="仿宋"/>
          <w:color w:val="auto"/>
          <w:szCs w:val="21"/>
          <w:highlight w:val="none"/>
        </w:rPr>
        <w:t>。</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u w:val="single"/>
        </w:rPr>
        <w:t xml:space="preserve">设计驻场代表要对本项目专职负责，发包人或工程师认为确有因工作不称职或无法胜任该工作的可要求进行更换，若承包人无正当理由拒绝更换的，发包人有权处以10000元的违约金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4.5 分包</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4.5.1 一般约定</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禁止分包的工程包括：</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u w:val="single"/>
        </w:rPr>
        <w:t xml:space="preserve">承包人不得将其承包的全部工程转包给第三人，或将其承包的全部工程支解后以分包的名义转包给第三人。承包人不得将法律明确禁止分包的工作事项分包给第三人，不得以劳务分包的名义转包或违法分包工程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4.5.2 分包的确定</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允许分包的工程包括：</w:t>
      </w:r>
      <w:r>
        <w:rPr>
          <w:rFonts w:hint="eastAsia" w:ascii="宋体" w:hAnsi="宋体" w:eastAsia="宋体" w:cs="仿宋"/>
          <w:bCs/>
          <w:color w:val="auto"/>
          <w:szCs w:val="21"/>
          <w:highlight w:val="none"/>
          <w:u w:val="single"/>
        </w:rPr>
        <w:t>法律允许范围内的</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其他关于分包的约定：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分包人应符合国家法律规定的资质等级，否则不能作为分包人。承包人有义务对分包人的资质进行审查</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4.5.5 分包合同价款支付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关于分包合同价款支付的约定：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按承包人与分包人签订的分包合同支付约定执行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4.6 联合体</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4.6.2 联合体各成员的分工、费用收取、发票开具等事项：</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联合体成员分工详见联合体协议书，费用由发包人向联合体各方分别支付，税率按开具发票时国家规定的标准执行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4.7 承包人现场查勘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4.7.1 双方当事人对现场查勘的责任承担的约定：</w:t>
      </w:r>
      <w:r>
        <w:rPr>
          <w:rFonts w:hint="eastAsia" w:ascii="宋体" w:hAnsi="宋体" w:eastAsia="宋体" w:cs="仿宋"/>
          <w:color w:val="auto"/>
          <w:szCs w:val="21"/>
          <w:highlight w:val="none"/>
          <w:u w:val="single"/>
        </w:rPr>
        <w:t xml:space="preserve"> 承包人应对现场和工程实施条件进行查勘，并充分了解工程所在地的气象条件、交通条件、风俗习惯以及其他与完成合同工作有关的其他资料。若承包人发现基础资料中存在明显错误或疏忽的，应及时通知发包人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4.8 不可预见的困难</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不可预见的困难包括：</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承包人在施工现场遇到的不可预见的自然物质条件、非自然的物质障碍和污染物，包括地表以下物质条件和水文条件以及合同条件约定的其他情形，但不包括气候条件。</w:t>
      </w:r>
      <w:r>
        <w:rPr>
          <w:rFonts w:hint="eastAsia" w:ascii="宋体" w:hAnsi="宋体" w:eastAsia="宋体" w:cs="仿宋"/>
          <w:color w:val="auto"/>
          <w:szCs w:val="21"/>
          <w:highlight w:val="none"/>
          <w:u w:val="single"/>
        </w:rPr>
        <w:t xml:space="preserve">若承包人发现基础资料中存在明显错误或疏忽的，应及时通知发包人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84" w:name="_Toc9466"/>
      <w:bookmarkStart w:id="1585" w:name="_Toc216681921"/>
      <w:bookmarkStart w:id="1586" w:name="_Toc54862336"/>
      <w:r>
        <w:rPr>
          <w:rFonts w:hint="eastAsia" w:ascii="宋体" w:hAnsi="宋体" w:eastAsia="宋体" w:cs="仿宋"/>
          <w:bCs/>
          <w:color w:val="auto"/>
          <w:szCs w:val="21"/>
          <w:highlight w:val="none"/>
        </w:rPr>
        <w:t>第5条 设计</w:t>
      </w:r>
      <w:bookmarkEnd w:id="1584"/>
      <w:bookmarkEnd w:id="1585"/>
      <w:bookmarkEnd w:id="1586"/>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5.1承包人的设计义务</w:t>
      </w:r>
    </w:p>
    <w:p>
      <w:pPr>
        <w:overflowPunct w:val="0"/>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5.1 工程设计文件交付</w:t>
      </w:r>
    </w:p>
    <w:p>
      <w:pPr>
        <w:overflowPunct w:val="0"/>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5.1.1 发包人要求承包人提交电子版设计文件的具体形式为：纸质版6套及电子版（</w:t>
      </w:r>
      <w:r>
        <w:rPr>
          <w:rFonts w:hint="eastAsia" w:ascii="宋体" w:hAnsi="宋体" w:eastAsia="宋体" w:cs="仿宋"/>
          <w:color w:val="auto"/>
          <w:szCs w:val="21"/>
          <w:highlight w:val="none"/>
          <w:u w:val="single"/>
        </w:rPr>
        <w:t>CAD及PDF文件等</w:t>
      </w:r>
      <w:r>
        <w:rPr>
          <w:rFonts w:hint="eastAsia" w:ascii="宋体" w:hAnsi="宋体" w:eastAsia="宋体" w:cs="仿宋"/>
          <w:color w:val="auto"/>
          <w:szCs w:val="21"/>
          <w:highlight w:val="none"/>
        </w:rPr>
        <w:t>）。</w:t>
      </w:r>
    </w:p>
    <w:p>
      <w:pPr>
        <w:overflowPunct w:val="0"/>
        <w:autoSpaceDE w:val="0"/>
        <w:autoSpaceDN w:val="0"/>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5.1.2 承包人向发包人交付的工程设计文件目录</w:t>
      </w:r>
    </w:p>
    <w:tbl>
      <w:tblPr>
        <w:tblStyle w:val="41"/>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220"/>
        <w:gridCol w:w="780"/>
        <w:gridCol w:w="3728"/>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38" w:type="dxa"/>
            <w:vAlign w:val="center"/>
          </w:tcPr>
          <w:p>
            <w:pPr>
              <w:spacing w:line="360" w:lineRule="auto"/>
              <w:rPr>
                <w:rFonts w:ascii="宋体" w:hAnsi="宋体" w:eastAsia="宋体" w:cs="仿宋"/>
                <w:b/>
                <w:bCs/>
                <w:color w:val="auto"/>
                <w:szCs w:val="21"/>
                <w:highlight w:val="none"/>
              </w:rPr>
            </w:pPr>
            <w:r>
              <w:rPr>
                <w:rFonts w:hint="eastAsia" w:ascii="宋体" w:hAnsi="宋体" w:eastAsia="宋体" w:cs="仿宋"/>
                <w:b/>
                <w:bCs/>
                <w:color w:val="auto"/>
                <w:szCs w:val="21"/>
                <w:highlight w:val="none"/>
              </w:rPr>
              <w:t>序号</w:t>
            </w:r>
          </w:p>
        </w:tc>
        <w:tc>
          <w:tcPr>
            <w:tcW w:w="2220" w:type="dxa"/>
            <w:vAlign w:val="center"/>
          </w:tcPr>
          <w:p>
            <w:pPr>
              <w:spacing w:line="360" w:lineRule="auto"/>
              <w:rPr>
                <w:rFonts w:ascii="宋体" w:hAnsi="宋体" w:eastAsia="宋体" w:cs="仿宋"/>
                <w:b/>
                <w:bCs/>
                <w:color w:val="auto"/>
                <w:szCs w:val="21"/>
                <w:highlight w:val="none"/>
              </w:rPr>
            </w:pPr>
            <w:r>
              <w:rPr>
                <w:rFonts w:hint="eastAsia" w:ascii="宋体" w:hAnsi="宋体" w:eastAsia="宋体" w:cs="仿宋"/>
                <w:b/>
                <w:bCs/>
                <w:color w:val="auto"/>
                <w:szCs w:val="21"/>
                <w:highlight w:val="none"/>
              </w:rPr>
              <w:t>资料及文件名称</w:t>
            </w:r>
          </w:p>
        </w:tc>
        <w:tc>
          <w:tcPr>
            <w:tcW w:w="780" w:type="dxa"/>
            <w:vAlign w:val="center"/>
          </w:tcPr>
          <w:p>
            <w:pPr>
              <w:spacing w:line="360" w:lineRule="auto"/>
              <w:rPr>
                <w:rFonts w:ascii="宋体" w:hAnsi="宋体" w:eastAsia="宋体" w:cs="仿宋"/>
                <w:b/>
                <w:bCs/>
                <w:color w:val="auto"/>
                <w:szCs w:val="21"/>
                <w:highlight w:val="none"/>
              </w:rPr>
            </w:pPr>
            <w:r>
              <w:rPr>
                <w:rFonts w:hint="eastAsia" w:ascii="宋体" w:hAnsi="宋体" w:eastAsia="宋体" w:cs="仿宋"/>
                <w:b/>
                <w:bCs/>
                <w:color w:val="auto"/>
                <w:szCs w:val="21"/>
                <w:highlight w:val="none"/>
              </w:rPr>
              <w:t>份数</w:t>
            </w:r>
          </w:p>
        </w:tc>
        <w:tc>
          <w:tcPr>
            <w:tcW w:w="3728" w:type="dxa"/>
            <w:vAlign w:val="center"/>
          </w:tcPr>
          <w:p>
            <w:pPr>
              <w:spacing w:line="360" w:lineRule="auto"/>
              <w:jc w:val="center"/>
              <w:rPr>
                <w:rFonts w:ascii="宋体" w:hAnsi="宋体" w:eastAsia="宋体" w:cs="仿宋"/>
                <w:b/>
                <w:bCs/>
                <w:color w:val="auto"/>
                <w:szCs w:val="21"/>
                <w:highlight w:val="none"/>
              </w:rPr>
            </w:pPr>
            <w:r>
              <w:rPr>
                <w:rFonts w:hint="eastAsia" w:ascii="宋体" w:hAnsi="宋体" w:eastAsia="宋体" w:cs="仿宋"/>
                <w:b/>
                <w:bCs/>
                <w:color w:val="auto"/>
                <w:szCs w:val="21"/>
                <w:highlight w:val="none"/>
              </w:rPr>
              <w:t>提交日期</w:t>
            </w:r>
          </w:p>
        </w:tc>
        <w:tc>
          <w:tcPr>
            <w:tcW w:w="1349" w:type="dxa"/>
            <w:vAlign w:val="center"/>
          </w:tcPr>
          <w:p>
            <w:pPr>
              <w:spacing w:line="360" w:lineRule="auto"/>
              <w:jc w:val="center"/>
              <w:rPr>
                <w:rFonts w:ascii="宋体" w:hAnsi="宋体" w:eastAsia="宋体" w:cs="仿宋"/>
                <w:b/>
                <w:bCs/>
                <w:color w:val="auto"/>
                <w:szCs w:val="21"/>
                <w:highlight w:val="none"/>
              </w:rPr>
            </w:pPr>
            <w:r>
              <w:rPr>
                <w:rFonts w:hint="eastAsia" w:ascii="宋体" w:hAnsi="宋体" w:eastAsia="宋体"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638" w:type="dxa"/>
            <w:vAlign w:val="center"/>
          </w:tcPr>
          <w:p>
            <w:pPr>
              <w:spacing w:line="360" w:lineRule="auto"/>
              <w:jc w:val="center"/>
              <w:rPr>
                <w:rFonts w:ascii="宋体" w:hAnsi="宋体" w:eastAsia="宋体" w:cs="仿宋"/>
                <w:color w:val="auto"/>
                <w:szCs w:val="21"/>
                <w:highlight w:val="none"/>
              </w:rPr>
            </w:pPr>
          </w:p>
        </w:tc>
        <w:tc>
          <w:tcPr>
            <w:tcW w:w="2220" w:type="dxa"/>
            <w:vAlign w:val="center"/>
          </w:tcPr>
          <w:p>
            <w:pPr>
              <w:spacing w:line="360" w:lineRule="auto"/>
              <w:jc w:val="center"/>
              <w:rPr>
                <w:rFonts w:ascii="宋体" w:hAnsi="宋体" w:eastAsia="宋体" w:cs="仿宋"/>
                <w:color w:val="auto"/>
                <w:szCs w:val="21"/>
                <w:highlight w:val="none"/>
              </w:rPr>
            </w:pPr>
          </w:p>
        </w:tc>
        <w:tc>
          <w:tcPr>
            <w:tcW w:w="780" w:type="dxa"/>
            <w:vAlign w:val="center"/>
          </w:tcPr>
          <w:p>
            <w:pPr>
              <w:spacing w:line="360" w:lineRule="auto"/>
              <w:jc w:val="center"/>
              <w:rPr>
                <w:rFonts w:ascii="宋体" w:hAnsi="宋体" w:eastAsia="宋体" w:cs="仿宋"/>
                <w:color w:val="auto"/>
                <w:szCs w:val="21"/>
                <w:highlight w:val="none"/>
              </w:rPr>
            </w:pPr>
          </w:p>
        </w:tc>
        <w:tc>
          <w:tcPr>
            <w:tcW w:w="3728" w:type="dxa"/>
            <w:vAlign w:val="center"/>
          </w:tcPr>
          <w:p>
            <w:pPr>
              <w:spacing w:line="360" w:lineRule="auto"/>
              <w:jc w:val="center"/>
              <w:rPr>
                <w:rFonts w:ascii="宋体" w:hAnsi="宋体" w:eastAsia="宋体" w:cs="仿宋"/>
                <w:color w:val="auto"/>
                <w:szCs w:val="21"/>
                <w:highlight w:val="none"/>
              </w:rPr>
            </w:pPr>
          </w:p>
        </w:tc>
        <w:tc>
          <w:tcPr>
            <w:tcW w:w="1349" w:type="dxa"/>
            <w:vMerge w:val="restar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38" w:type="dxa"/>
            <w:vAlign w:val="center"/>
          </w:tcPr>
          <w:p>
            <w:pPr>
              <w:spacing w:line="360" w:lineRule="auto"/>
              <w:jc w:val="center"/>
              <w:rPr>
                <w:rFonts w:ascii="宋体" w:hAnsi="宋体" w:eastAsia="宋体" w:cs="仿宋"/>
                <w:color w:val="auto"/>
                <w:szCs w:val="21"/>
                <w:highlight w:val="none"/>
              </w:rPr>
            </w:pPr>
          </w:p>
        </w:tc>
        <w:tc>
          <w:tcPr>
            <w:tcW w:w="2220" w:type="dxa"/>
            <w:vAlign w:val="center"/>
          </w:tcPr>
          <w:p>
            <w:pPr>
              <w:spacing w:line="360" w:lineRule="auto"/>
              <w:jc w:val="center"/>
              <w:rPr>
                <w:rFonts w:ascii="宋体" w:hAnsi="宋体" w:eastAsia="宋体" w:cs="仿宋"/>
                <w:color w:val="auto"/>
                <w:szCs w:val="21"/>
                <w:highlight w:val="none"/>
              </w:rPr>
            </w:pPr>
          </w:p>
        </w:tc>
        <w:tc>
          <w:tcPr>
            <w:tcW w:w="780" w:type="dxa"/>
            <w:vAlign w:val="center"/>
          </w:tcPr>
          <w:p>
            <w:pPr>
              <w:spacing w:line="360" w:lineRule="auto"/>
              <w:jc w:val="center"/>
              <w:rPr>
                <w:rFonts w:ascii="宋体" w:hAnsi="宋体" w:eastAsia="宋体" w:cs="仿宋"/>
                <w:color w:val="auto"/>
                <w:szCs w:val="21"/>
                <w:highlight w:val="none"/>
              </w:rPr>
            </w:pPr>
          </w:p>
        </w:tc>
        <w:tc>
          <w:tcPr>
            <w:tcW w:w="3728" w:type="dxa"/>
            <w:vAlign w:val="center"/>
          </w:tcPr>
          <w:p>
            <w:pPr>
              <w:spacing w:line="360" w:lineRule="auto"/>
              <w:jc w:val="center"/>
              <w:rPr>
                <w:rFonts w:ascii="宋体" w:hAnsi="宋体" w:eastAsia="宋体" w:cs="仿宋"/>
                <w:color w:val="auto"/>
                <w:szCs w:val="21"/>
                <w:highlight w:val="none"/>
              </w:rPr>
            </w:pPr>
          </w:p>
        </w:tc>
        <w:tc>
          <w:tcPr>
            <w:tcW w:w="1349" w:type="dxa"/>
            <w:vMerge w:val="continue"/>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38" w:type="dxa"/>
            <w:vAlign w:val="center"/>
          </w:tcPr>
          <w:p>
            <w:pPr>
              <w:spacing w:line="360" w:lineRule="auto"/>
              <w:jc w:val="center"/>
              <w:rPr>
                <w:rFonts w:ascii="宋体" w:hAnsi="宋体" w:eastAsia="宋体" w:cs="仿宋"/>
                <w:color w:val="auto"/>
                <w:szCs w:val="21"/>
                <w:highlight w:val="none"/>
              </w:rPr>
            </w:pPr>
          </w:p>
        </w:tc>
        <w:tc>
          <w:tcPr>
            <w:tcW w:w="2220" w:type="dxa"/>
            <w:vAlign w:val="center"/>
          </w:tcPr>
          <w:p>
            <w:pPr>
              <w:spacing w:line="360" w:lineRule="auto"/>
              <w:jc w:val="center"/>
              <w:rPr>
                <w:rFonts w:ascii="宋体" w:hAnsi="宋体" w:eastAsia="宋体" w:cs="仿宋"/>
                <w:color w:val="auto"/>
                <w:szCs w:val="21"/>
                <w:highlight w:val="none"/>
              </w:rPr>
            </w:pPr>
          </w:p>
        </w:tc>
        <w:tc>
          <w:tcPr>
            <w:tcW w:w="780" w:type="dxa"/>
            <w:vAlign w:val="center"/>
          </w:tcPr>
          <w:p>
            <w:pPr>
              <w:spacing w:line="360" w:lineRule="auto"/>
              <w:jc w:val="center"/>
              <w:rPr>
                <w:rFonts w:ascii="宋体" w:hAnsi="宋体" w:eastAsia="宋体" w:cs="仿宋"/>
                <w:color w:val="auto"/>
                <w:szCs w:val="21"/>
                <w:highlight w:val="none"/>
              </w:rPr>
            </w:pPr>
          </w:p>
        </w:tc>
        <w:tc>
          <w:tcPr>
            <w:tcW w:w="3728" w:type="dxa"/>
            <w:vAlign w:val="center"/>
          </w:tcPr>
          <w:p>
            <w:pPr>
              <w:spacing w:line="360" w:lineRule="auto"/>
              <w:jc w:val="center"/>
              <w:rPr>
                <w:rFonts w:ascii="宋体" w:hAnsi="宋体" w:eastAsia="宋体" w:cs="仿宋"/>
                <w:color w:val="auto"/>
                <w:szCs w:val="21"/>
                <w:highlight w:val="none"/>
              </w:rPr>
            </w:pPr>
          </w:p>
        </w:tc>
        <w:tc>
          <w:tcPr>
            <w:tcW w:w="1349" w:type="dxa"/>
            <w:vMerge w:val="continue"/>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38" w:type="dxa"/>
            <w:vAlign w:val="center"/>
          </w:tcPr>
          <w:p>
            <w:pPr>
              <w:spacing w:line="360" w:lineRule="auto"/>
              <w:jc w:val="center"/>
              <w:rPr>
                <w:rFonts w:ascii="宋体" w:hAnsi="宋体" w:eastAsia="宋体" w:cs="仿宋"/>
                <w:color w:val="auto"/>
                <w:szCs w:val="21"/>
                <w:highlight w:val="none"/>
              </w:rPr>
            </w:pPr>
          </w:p>
        </w:tc>
        <w:tc>
          <w:tcPr>
            <w:tcW w:w="2220" w:type="dxa"/>
            <w:vAlign w:val="center"/>
          </w:tcPr>
          <w:p>
            <w:pPr>
              <w:spacing w:line="360" w:lineRule="auto"/>
              <w:jc w:val="center"/>
              <w:rPr>
                <w:rFonts w:ascii="宋体" w:hAnsi="宋体" w:eastAsia="宋体" w:cs="仿宋"/>
                <w:color w:val="auto"/>
                <w:szCs w:val="21"/>
                <w:highlight w:val="none"/>
              </w:rPr>
            </w:pPr>
          </w:p>
        </w:tc>
        <w:tc>
          <w:tcPr>
            <w:tcW w:w="780" w:type="dxa"/>
            <w:vAlign w:val="center"/>
          </w:tcPr>
          <w:p>
            <w:pPr>
              <w:spacing w:line="360" w:lineRule="auto"/>
              <w:jc w:val="center"/>
              <w:rPr>
                <w:rFonts w:ascii="宋体" w:hAnsi="宋体" w:eastAsia="宋体" w:cs="仿宋"/>
                <w:color w:val="auto"/>
                <w:szCs w:val="21"/>
                <w:highlight w:val="none"/>
              </w:rPr>
            </w:pPr>
          </w:p>
        </w:tc>
        <w:tc>
          <w:tcPr>
            <w:tcW w:w="3728" w:type="dxa"/>
            <w:vAlign w:val="center"/>
          </w:tcPr>
          <w:p>
            <w:pPr>
              <w:spacing w:line="360" w:lineRule="auto"/>
              <w:jc w:val="center"/>
              <w:rPr>
                <w:rFonts w:ascii="宋体" w:hAnsi="宋体" w:eastAsia="宋体" w:cs="仿宋"/>
                <w:color w:val="auto"/>
                <w:szCs w:val="21"/>
                <w:highlight w:val="none"/>
              </w:rPr>
            </w:pPr>
          </w:p>
        </w:tc>
        <w:tc>
          <w:tcPr>
            <w:tcW w:w="1349" w:type="dxa"/>
            <w:vMerge w:val="continue"/>
            <w:vAlign w:val="center"/>
          </w:tcPr>
          <w:p>
            <w:pPr>
              <w:spacing w:line="360" w:lineRule="auto"/>
              <w:jc w:val="center"/>
              <w:rPr>
                <w:rFonts w:ascii="宋体" w:hAnsi="宋体" w:eastAsia="宋体" w:cs="仿宋"/>
                <w:color w:val="auto"/>
                <w:szCs w:val="21"/>
                <w:highlight w:val="none"/>
              </w:rPr>
            </w:pPr>
          </w:p>
        </w:tc>
      </w:tr>
    </w:tbl>
    <w:p>
      <w:pPr>
        <w:spacing w:line="500" w:lineRule="exact"/>
        <w:ind w:firstLine="560"/>
        <w:rPr>
          <w:rFonts w:ascii="宋体" w:hAnsi="宋体" w:eastAsia="宋体" w:cs="仿宋"/>
          <w:color w:val="auto"/>
          <w:szCs w:val="21"/>
          <w:highlight w:val="none"/>
        </w:rPr>
      </w:pPr>
    </w:p>
    <w:p>
      <w:pPr>
        <w:spacing w:line="500" w:lineRule="exact"/>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若设计单位在发包人要求时限内无法完成相关内容，发包人有权另行委托其他设计单位完成，承包人必须无条件配合，相关费用在设计费用中扣减支付。</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5.1.3 对设计人员的要求</w:t>
      </w:r>
    </w:p>
    <w:p>
      <w:pPr>
        <w:widowControl/>
        <w:spacing w:line="360" w:lineRule="auto"/>
        <w:ind w:firstLine="422" w:firstLineChars="200"/>
        <w:jc w:val="left"/>
        <w:rPr>
          <w:rFonts w:ascii="宋体" w:hAnsi="宋体" w:eastAsia="宋体" w:cs="仿宋"/>
          <w:b/>
          <w:bCs/>
          <w:color w:val="auto"/>
          <w:szCs w:val="21"/>
          <w:highlight w:val="none"/>
        </w:rPr>
      </w:pPr>
      <w:r>
        <w:rPr>
          <w:rFonts w:hint="eastAsia" w:ascii="宋体" w:hAnsi="宋体" w:eastAsia="宋体" w:cs="仿宋"/>
          <w:b/>
          <w:bCs/>
          <w:color w:val="auto"/>
          <w:szCs w:val="21"/>
          <w:highlight w:val="none"/>
        </w:rPr>
        <w:t>设计负责人姓名：</w:t>
      </w:r>
      <w:r>
        <w:rPr>
          <w:rFonts w:hint="eastAsia" w:ascii="宋体" w:hAnsi="宋体" w:eastAsia="宋体" w:cs="仿宋"/>
          <w:b/>
          <w:bCs/>
          <w:color w:val="auto"/>
          <w:szCs w:val="21"/>
          <w:highlight w:val="none"/>
          <w:u w:val="single"/>
        </w:rPr>
        <w:t xml:space="preserve">                                           </w:t>
      </w:r>
      <w:r>
        <w:rPr>
          <w:rFonts w:hint="eastAsia" w:ascii="宋体" w:hAnsi="宋体" w:eastAsia="宋体" w:cs="仿宋"/>
          <w:b/>
          <w:bCs/>
          <w:color w:val="auto"/>
          <w:szCs w:val="21"/>
          <w:highlight w:val="none"/>
        </w:rPr>
        <w:t>。</w:t>
      </w:r>
    </w:p>
    <w:p>
      <w:pPr>
        <w:spacing w:line="360" w:lineRule="auto"/>
        <w:ind w:firstLine="420" w:firstLineChars="2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违约约定：</w:t>
      </w:r>
      <w:r>
        <w:rPr>
          <w:rFonts w:hint="eastAsia" w:ascii="宋体" w:hAnsi="宋体" w:eastAsia="宋体" w:cs="仿宋"/>
          <w:bCs/>
          <w:color w:val="auto"/>
          <w:szCs w:val="21"/>
          <w:highlight w:val="none"/>
          <w:u w:val="single"/>
        </w:rPr>
        <w:t>本合同工程的设计负责人未经得发包人及监理工程师书面同意不得更换。</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bCs/>
          <w:color w:val="auto"/>
          <w:szCs w:val="21"/>
          <w:highlight w:val="none"/>
          <w:u w:val="single"/>
        </w:rPr>
        <w:t>发包人或监理方发现承包人委派设计人员不能满足项目实施要求，有权要求承包人更换或增派相关人员，承包人应立即执行，否则将视承包人违约。</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5.2 承包人文件审查</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5.2.1 承包人文件审查的期限：</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自工程师收到承包人文件以及承包人的通知之日起，发包人对承包人文件审查期不超过21天</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5.2.2 审查会议的审查形式和时间安排为：</w:t>
      </w:r>
      <w:r>
        <w:rPr>
          <w:rFonts w:hint="eastAsia" w:ascii="宋体" w:hAnsi="宋体" w:eastAsia="宋体" w:cs="仿宋"/>
          <w:color w:val="auto"/>
          <w:szCs w:val="21"/>
          <w:highlight w:val="none"/>
          <w:u w:val="single"/>
        </w:rPr>
        <w:t xml:space="preserve"> 按实际情况确定 </w:t>
      </w:r>
      <w:r>
        <w:rPr>
          <w:rFonts w:hint="eastAsia" w:ascii="宋体" w:hAnsi="宋体" w:eastAsia="宋体" w:cs="仿宋"/>
          <w:color w:val="auto"/>
          <w:szCs w:val="21"/>
          <w:highlight w:val="none"/>
        </w:rPr>
        <w:t>，审查会议的相关费用由</w:t>
      </w:r>
      <w:r>
        <w:rPr>
          <w:rFonts w:hint="eastAsia" w:ascii="宋体" w:hAnsi="宋体" w:eastAsia="宋体" w:cs="仿宋"/>
          <w:color w:val="auto"/>
          <w:szCs w:val="21"/>
          <w:highlight w:val="none"/>
          <w:u w:val="single"/>
        </w:rPr>
        <w:t xml:space="preserve">  发包人  </w:t>
      </w:r>
      <w:r>
        <w:rPr>
          <w:rFonts w:hint="eastAsia" w:ascii="宋体" w:hAnsi="宋体" w:eastAsia="宋体" w:cs="仿宋"/>
          <w:color w:val="auto"/>
          <w:szCs w:val="21"/>
          <w:highlight w:val="none"/>
        </w:rPr>
        <w:t>承担。</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5.2.3 关于第三方审查单位的约定：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5.3 培训</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培训的时长为</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按承包人要求执行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，承包人应为培训提供的人员、设施和其它必要条件为</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按承包人要求执行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5.4 竣工文件</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5.4.1 竣工文件的形式、提供的份数、技术标准以及其它相关要求：</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工程竣工验收合格后120天内，承包人须按竣工备案、城建档案馆（若有）的要求，编制整理完成本工程所有工程（所有分包工程相关资料由承包人负责收集、整理汇编）的竣工资料及竣工图（纸质版一式四份，电子版一份），待相关部门组织开展项目竣工和档案验收后，档案移交区档案馆及城建档案馆，并编制项目验收报告书，编制项目验收报告书，取得档案认可书后同时交发包人及监理单位各一份完整竣工档案资料（含各类竣工图纸）</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5.4.3 关于竣工文件的其他约定：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按发包人要求提供电子文件，包含全套竣工资料的扫描件，设计文件、竣工图提供可编辑版CAD文件，预结算提供造价软件版文件</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5.5 操作和维修手册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5.5.3 对最终操作和维修手册的约定：</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87" w:name="_Toc14241"/>
      <w:bookmarkStart w:id="1588" w:name="_Toc216681922"/>
      <w:bookmarkStart w:id="1589" w:name="_Toc54862337"/>
      <w:r>
        <w:rPr>
          <w:rFonts w:hint="eastAsia" w:ascii="宋体" w:hAnsi="宋体" w:eastAsia="宋体" w:cs="仿宋"/>
          <w:bCs/>
          <w:color w:val="auto"/>
          <w:szCs w:val="21"/>
          <w:highlight w:val="none"/>
        </w:rPr>
        <w:t>第6条 材料、工程设备</w:t>
      </w:r>
      <w:bookmarkEnd w:id="1587"/>
      <w:bookmarkEnd w:id="1588"/>
      <w:bookmarkEnd w:id="1589"/>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6.1 实施方法</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双方当事人约定的实施方法、设备、设施和材料：</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（1）按照法律规定；（2）按照公认的良好行业习惯，使用恰当、审慎、先进的方法</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6.2 材料和工程设备</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6.2.1 发包人提供的材料和工程设备</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发包人提供的材料和工程设备验收后，由</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负责接收、运输和保管。</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6.2.2 承包人提供的材料和工程设备</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材料和工程设备的类别、估算数量：</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1）对承包人提供的材料和工程设备，承包人应会同工程师进行检验和交货验收，查验材料合格证明和产品合格证书，并按合同约定和工程师指示，进行材料的抽样检验和工程设备的检验测试。（2）因承包人提供的材料和工程设备不符合国家强制性标准、规范的规定或合同约定的标准、规范，所造成的质量缺陷，由承包人自费修复，竣工日期不予延长</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竣工后试验的生产性材料的类别或（和）清单：</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6.2.3 材料和工程设备的保管</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发包人供应的材料和工程设备的保管费用由</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承担。</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承包人提交保管、维护方案的时间：</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发包人不提供，提供时双方协商</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发包人提供的库房、堆场、设施和设备：</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发包人不提供，提供时双方协商</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6.3 样品</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6.3.1 样品的报送与封存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需要承包人报送样品的材料或工程设备，样品种类、名称、规格、数量：</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6.4 质量检查</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6.4.1 工程质量要求</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工程质量的特殊标准或要求：</w:t>
      </w:r>
      <w:r>
        <w:rPr>
          <w:rFonts w:hint="eastAsia" w:ascii="宋体" w:hAnsi="宋体" w:eastAsia="宋体" w:cs="仿宋"/>
          <w:color w:val="auto"/>
          <w:szCs w:val="21"/>
          <w:highlight w:val="none"/>
          <w:u w:val="single"/>
        </w:rPr>
        <w:t xml:space="preserve">  按国家及行业规定执行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6.4.2 质量检查</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除通用合同条件已列明的质量检查的地点外，发包人有权进行质量检查的其他地点：</w:t>
      </w:r>
      <w:r>
        <w:rPr>
          <w:rFonts w:hint="eastAsia" w:ascii="宋体" w:hAnsi="宋体" w:eastAsia="宋体" w:cs="仿宋"/>
          <w:color w:val="auto"/>
          <w:szCs w:val="21"/>
          <w:highlight w:val="none"/>
          <w:u w:val="single"/>
        </w:rPr>
        <w:t xml:space="preserve">  成品或半成品生产地点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6.4.3 隐蔽工程检查</w:t>
      </w:r>
    </w:p>
    <w:p>
      <w:pPr>
        <w:spacing w:line="360" w:lineRule="auto"/>
        <w:ind w:firstLine="562"/>
        <w:rPr>
          <w:rFonts w:ascii="宋体" w:hAnsi="宋体" w:eastAsia="宋体" w:cs="仿宋"/>
          <w:color w:val="auto"/>
          <w:szCs w:val="21"/>
          <w:highlight w:val="none"/>
        </w:rPr>
      </w:pPr>
      <w:r>
        <w:rPr>
          <w:rFonts w:hint="eastAsia" w:ascii="宋体" w:hAnsi="宋体" w:eastAsia="宋体" w:cs="仿宋"/>
          <w:color w:val="auto"/>
          <w:szCs w:val="21"/>
          <w:highlight w:val="none"/>
        </w:rPr>
        <w:t>关于隐蔽工程和中间验收的特别约定：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工程隐蔽部位经承包人自检确认具备覆盖条件的，承包人应书面通知工程师（含建设方指定的质检部门）在约定的期限内检查，通知中应载明隐蔽检查的内容、时间和地点，并应附有自检记录和必要的检查资料</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 xml:space="preserve">若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 </w:t>
      </w:r>
      <w:r>
        <w:rPr>
          <w:rFonts w:hint="eastAsia" w:ascii="宋体" w:hAnsi="宋体" w:eastAsia="宋体" w:cs="仿宋"/>
          <w:bCs/>
          <w:color w:val="auto"/>
          <w:szCs w:val="21"/>
          <w:highlight w:val="none"/>
        </w:rPr>
        <w:t xml:space="preserve"> 。</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 xml:space="preserve">工程师事后对检查记录有疑问的，可按下列约定重新检查  </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rPr>
      </w:pPr>
      <w:r>
        <w:rPr>
          <w:rFonts w:hint="eastAsia" w:ascii="宋体" w:hAnsi="宋体" w:eastAsia="宋体" w:cs="仿宋"/>
          <w:bCs/>
          <w:color w:val="auto"/>
          <w:szCs w:val="21"/>
          <w:highlight w:val="none"/>
          <w:u w:val="single"/>
        </w:rPr>
        <w:t xml:space="preserve">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  </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bCs/>
          <w:color w:val="auto"/>
          <w:szCs w:val="21"/>
          <w:highlight w:val="none"/>
          <w:u w:val="single"/>
        </w:rPr>
        <w:t xml:space="preserve">承包人未通知工程师到场检查，私自将工程隐蔽部位覆盖的，工程师有权指示承包人钻孔探测或揭开检查，无论工程隐蔽部位质量是否合格，由此增加的费用和（或）延误的工期均由承包人承担 </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6.5 由承包人试验和检验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6.5.1 试验设备与试验人员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试验的内容、时间和地点：</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根据项目实际，按发包人要求或监理单位要求执行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试验所需要的试验设备、取样装置、试验场所和试验条件：</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rPr>
        <w:t>试验和检验费用的计价原则：</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原材料合格证明及规格参数由承包人提供，工程质量检测由发包人委托第三方专业机构，费用各自承担</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color w:val="auto"/>
          <w:szCs w:val="21"/>
          <w:highlight w:val="none"/>
        </w:rPr>
      </w:pPr>
      <w:bookmarkStart w:id="1590" w:name="_Toc216681923"/>
      <w:bookmarkStart w:id="1591" w:name="_Toc54862338"/>
      <w:bookmarkStart w:id="1592" w:name="_Toc8039"/>
      <w:r>
        <w:rPr>
          <w:rFonts w:hint="eastAsia" w:ascii="宋体" w:hAnsi="宋体" w:eastAsia="宋体" w:cs="仿宋"/>
          <w:color w:val="auto"/>
          <w:szCs w:val="21"/>
          <w:highlight w:val="none"/>
        </w:rPr>
        <w:t>第7条 施工</w:t>
      </w:r>
      <w:bookmarkEnd w:id="1590"/>
      <w:bookmarkEnd w:id="1591"/>
      <w:bookmarkEnd w:id="1592"/>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7.1 交通运输</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7.1.1 出入现场的权利</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关于出入现场的权利的约定：</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7.1.2 场外交通</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关于场外交通的特别约定：</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7.1.3 场内交通</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关于场内交通的特别约定：</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关于场内交通与场外交通边界的约定：</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7.1.4 超大件和超重件的运输</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运输超大件或超重件所需的道路和桥梁临时加固改造费用和其他有关费用由</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承担。</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7.2 施工设备和临时设施</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7.2.1 承包人提供的施工设备和临时设施</w:t>
      </w:r>
    </w:p>
    <w:p>
      <w:pPr>
        <w:widowControl/>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临时设施的费用和临时占地手续和费用承担的特别约定：</w:t>
      </w:r>
      <w:r>
        <w:rPr>
          <w:rFonts w:hint="eastAsia" w:ascii="宋体" w:hAnsi="宋体" w:eastAsia="宋体" w:cs="仿宋"/>
          <w:bCs/>
          <w:color w:val="auto"/>
          <w:szCs w:val="21"/>
          <w:highlight w:val="none"/>
          <w:u w:val="single"/>
        </w:rPr>
        <w:t>（1）承包人应按项目进度计划的要求，及时配置施工设备和修建临时设施。进入施工现场的承包人提供的施工设备需经工程师核查后才能投入使用</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bCs/>
          <w:color w:val="auto"/>
          <w:szCs w:val="21"/>
          <w:highlight w:val="none"/>
          <w:u w:val="single"/>
        </w:rPr>
        <w:t xml:space="preserve">（2）承包人应自行承担修建临时设施的费用，需要临时占地的，应由发包人参与协调 </w:t>
      </w:r>
      <w:r>
        <w:rPr>
          <w:rFonts w:hint="eastAsia" w:ascii="宋体" w:hAnsi="宋体" w:eastAsia="宋体" w:cs="仿宋"/>
          <w:bCs/>
          <w:color w:val="auto"/>
          <w:szCs w:val="21"/>
          <w:highlight w:val="none"/>
        </w:rPr>
        <w:t xml:space="preserve"> 。</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7.2.2 发包人提供的施工设备和临时设施</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发包人提供的施工设备或临时设施范围：</w:t>
      </w:r>
      <w:r>
        <w:rPr>
          <w:rFonts w:hint="eastAsia" w:ascii="宋体" w:hAnsi="宋体" w:eastAsia="宋体" w:cs="仿宋"/>
          <w:color w:val="auto"/>
          <w:szCs w:val="21"/>
          <w:highlight w:val="none"/>
          <w:u w:val="single"/>
        </w:rPr>
        <w:t xml:space="preserve">   不提供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7.3 现场合作</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关于现场合作费用的特别约定：</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7.4 测量放线</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7.4.1 关于测量放线的特别约定的技术规范：</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。施工控制网资料的告知期限：</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7.5 现场劳动用工</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rPr>
        <w:t>7.5.2 合同当事人对建筑工人工资清偿事宜和违约责任的约定：</w:t>
      </w:r>
      <w:r>
        <w:rPr>
          <w:rFonts w:hint="eastAsia" w:ascii="宋体" w:hAnsi="宋体" w:eastAsia="宋体" w:cs="仿宋"/>
          <w:color w:val="auto"/>
          <w:szCs w:val="21"/>
          <w:highlight w:val="none"/>
          <w:u w:val="single"/>
        </w:rPr>
        <w:t>（1）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r>
        <w:rPr>
          <w:rFonts w:hint="eastAsia" w:ascii="宋体" w:hAnsi="宋体" w:eastAsia="宋体" w:cs="仿宋"/>
          <w:color w:val="auto"/>
          <w:szCs w:val="21"/>
          <w:highlight w:val="none"/>
        </w:rPr>
        <w:t>。</w:t>
      </w:r>
    </w:p>
    <w:p>
      <w:pPr>
        <w:spacing w:line="360" w:lineRule="auto"/>
        <w:ind w:firstLine="562"/>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（2）承包人应当在工程项目部配备劳资专管员，对分包单位劳动用工及工资发放实施监督管理。承包人拖欠建筑工人工资的,应当依法予以清偿</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u w:val="single"/>
        </w:rPr>
        <w:t xml:space="preserve">（3）因发包人未按照合同约定及时拨付工程款导致建筑工人工资拖欠的，发包人应当以未结清的工程款为限先行垫付被拖欠的建筑工人工资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7.6 安全文明施工</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7.6.1 安全生产要求</w:t>
      </w:r>
    </w:p>
    <w:p>
      <w:pPr>
        <w:spacing w:line="360" w:lineRule="auto"/>
        <w:ind w:left="124" w:leftChars="59" w:firstLine="562"/>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合同当事人对安全施工的要求：</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（1）合同当事人均应当遵守国家和工程所在地有关安全生产的要求，承包人有权拒绝发包人及工程师强令承包人违章作业、冒险施工的任何指示</w:t>
      </w:r>
      <w:r>
        <w:rPr>
          <w:rFonts w:hint="eastAsia" w:ascii="宋体" w:hAnsi="宋体" w:eastAsia="宋体" w:cs="仿宋"/>
          <w:bCs/>
          <w:color w:val="auto"/>
          <w:szCs w:val="21"/>
          <w:highlight w:val="none"/>
        </w:rPr>
        <w:t>。</w:t>
      </w:r>
    </w:p>
    <w:p>
      <w:pPr>
        <w:spacing w:line="360" w:lineRule="auto"/>
        <w:ind w:left="124" w:leftChars="59"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2）承包人应建立健全安全生产责任制度和安全生产教育培训制度，制定安全生产规章制度和操作规程，保证安全生产所需要的资金投入，对所承担的工程项目进行定期、不定期和专项安全检查，并做好安全检查记录。对建设项目的安全施工负责，落实安全生产责任制度、安全生产规章制度和操作规程，确保安全生产费用的有效使用，不得挪作他用。并根据工程的特点组织制定安全生产施工措施，消除安全隐患，及时、如实报告安全生产事故</w:t>
      </w:r>
      <w:r>
        <w:rPr>
          <w:rFonts w:hint="eastAsia" w:ascii="宋体" w:hAnsi="宋体" w:eastAsia="宋体" w:cs="仿宋"/>
          <w:bCs/>
          <w:color w:val="auto"/>
          <w:szCs w:val="21"/>
          <w:highlight w:val="none"/>
        </w:rPr>
        <w:t>。</w:t>
      </w:r>
    </w:p>
    <w:p>
      <w:pPr>
        <w:spacing w:line="360" w:lineRule="auto"/>
        <w:ind w:firstLine="562"/>
        <w:contextualSpacing/>
        <w:rPr>
          <w:rFonts w:ascii="宋体" w:hAnsi="宋体" w:eastAsia="宋体" w:cs="仿宋"/>
          <w:bCs/>
          <w:color w:val="auto"/>
          <w:szCs w:val="21"/>
          <w:highlight w:val="none"/>
        </w:rPr>
      </w:pPr>
      <w:r>
        <w:rPr>
          <w:rFonts w:hint="eastAsia" w:ascii="宋体" w:hAnsi="宋体" w:eastAsia="宋体" w:cs="仿宋"/>
          <w:bCs/>
          <w:color w:val="auto"/>
          <w:szCs w:val="21"/>
          <w:highlight w:val="none"/>
          <w:u w:val="single"/>
        </w:rPr>
        <w:t>（3）承包人必须建立安全生产管理机构，配备专职安全生产管理人员，专职安全生产管理人员负责对安全生产进行现场监督检查，发现安全事故隐患应当及时向项目负责人和安全生产管理部门报告，对违章指挥、违章操作的应立即制止并书面报送发包人</w:t>
      </w:r>
      <w:r>
        <w:rPr>
          <w:rFonts w:hint="eastAsia" w:ascii="宋体" w:hAnsi="宋体" w:eastAsia="宋体" w:cs="仿宋"/>
          <w:bCs/>
          <w:color w:val="auto"/>
          <w:szCs w:val="21"/>
          <w:highlight w:val="none"/>
        </w:rPr>
        <w:t>。</w:t>
      </w:r>
    </w:p>
    <w:p>
      <w:pPr>
        <w:spacing w:line="360" w:lineRule="auto"/>
        <w:ind w:firstLine="562"/>
        <w:contextualSpacing/>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（4）在本项目的施工区域内因承包人原因导致发生的安全责任事故，概由承包人自行负责</w:t>
      </w:r>
      <w:r>
        <w:rPr>
          <w:rFonts w:hint="eastAsia" w:ascii="宋体" w:hAnsi="宋体" w:eastAsia="宋体" w:cs="仿宋"/>
          <w:bCs/>
          <w:color w:val="auto"/>
          <w:szCs w:val="21"/>
          <w:highlight w:val="none"/>
        </w:rPr>
        <w:t>。</w:t>
      </w:r>
    </w:p>
    <w:p>
      <w:pPr>
        <w:spacing w:line="360" w:lineRule="auto"/>
        <w:ind w:left="124" w:leftChars="59" w:firstLine="600"/>
        <w:rPr>
          <w:rFonts w:ascii="宋体" w:hAnsi="宋体" w:eastAsia="宋体" w:cs="仿宋"/>
          <w:color w:val="auto"/>
          <w:szCs w:val="21"/>
          <w:highlight w:val="none"/>
        </w:rPr>
      </w:pPr>
      <w:r>
        <w:rPr>
          <w:rFonts w:hint="eastAsia" w:ascii="宋体" w:hAnsi="宋体" w:eastAsia="宋体" w:cs="仿宋"/>
          <w:bCs/>
          <w:color w:val="auto"/>
          <w:szCs w:val="21"/>
          <w:highlight w:val="none"/>
          <w:u w:val="single"/>
        </w:rPr>
        <w:t>（5）承包人在施工图设计、施工和竣工以及修补任何缺陷期间，其所聘用的工作人员发生的人身安全事故可归责于承包人的人生安全事故，由承包人自行承担</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7.6.3 文明施工</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合同当事人对文明施工的要求：</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（1）按国家、云南省及项目所在地行政主管部门规定自行办理有关施工场地交通、环卫和施工噪音管理等手续</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2）工地现场必须达到“文明合格工地”的要求，夜间不得扰民，严格遵守国家环保的相关政策法规，做好降噪、防污染、防扬尘措施。必须服从发包人现场管理的统一协调指挥，服从大局。竣工验收后十天内，做到料净场清</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（3）施工现场生产、生活排放污水、废水，须经处理后达到“零”排放的标准。承包人按发包人的要求修建临时公厕及临时化粪池，经沉淀处理后排放，并安排人员定期清扫</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（4）易产生扬尘的水泥、砂石等物料应当存放入库或者遮盖；运送建材、渣土的车辆，必须实行密闭化运输，采取密封、包扎覆盖等措施，严禁超载，不得泄漏、泼洒</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5）工地区域内不得建盖作业工人的临时住房。有多家施工单位施工的，为了保证文明施工，施工场地的清洁卫生，必须采取如下措施：承包单位围墙以内的卫生保洁工作由承包人按当地安全文明卫生要求负责，并做好围墙以外施工道路保洁工作，承包人统一安排人员组织清扫保洁</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（6）在工程移交给发包人之前，由承包人负责成品保护，发生的费用由其自行承担</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（7）发包人可定期或不定期对施工现场组织安全生产、文明施工大检查，对检查不合格的工地，发包人有权以承包方违约处理，具体情形如下：</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1）总工程师或发包人按合同约定，对承包人文明施工措施进行对照检查</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2）在政府行政主管部门的检查中，承包人的施工场地被评为不合格工地的，或者被通报批评的，或者被新闻媒体曝光的，承担5000元/次违约金，并立即采取切实有效措施予以整改；拒不采取切实有效的措施整改的，或整改效果不明显的，发包人有权部分或全部解除合同，并要求赔偿由此造成的损失</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bCs/>
          <w:color w:val="auto"/>
          <w:szCs w:val="21"/>
          <w:highlight w:val="none"/>
          <w:u w:val="single"/>
        </w:rPr>
        <w:t>3）承包人在施工过程中因其自身原因造成周围环境卫生状况较差，被其他单位或周围居民投诉的，承包人必须在当天内整改。若故意拖延或同样问题累计被投诉2次，或累计被投诉3次，经查实，承包人承担5000元/次违约金</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7.9 临时性公用设施</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关于临时性公用设施的特别约定：</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7.10 现场安保</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承包人现场安保义务的特别约定：</w:t>
      </w:r>
      <w:r>
        <w:rPr>
          <w:rFonts w:hint="eastAsia" w:ascii="宋体" w:hAnsi="宋体" w:eastAsia="宋体" w:cs="仿宋"/>
          <w:color w:val="auto"/>
          <w:szCs w:val="21"/>
          <w:highlight w:val="none"/>
          <w:u w:val="single"/>
        </w:rPr>
        <w:t xml:space="preserve">  承包人承担自发包人向其移交施工现场、进入占有施工现场至发包人接收工程之前的现场安保责任，并负责编制相关的安保制度、责任制度和报告制度，提交给发包人。承包人有权要求发包人负责协调他人就共同合法占有现场的安保事宜接受承包人的管理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93" w:name="_Toc18255"/>
      <w:bookmarkStart w:id="1594" w:name="_Toc216681924"/>
      <w:bookmarkStart w:id="1595" w:name="_Toc54862339"/>
      <w:r>
        <w:rPr>
          <w:rFonts w:hint="eastAsia" w:ascii="宋体" w:hAnsi="宋体" w:eastAsia="宋体" w:cs="仿宋"/>
          <w:bCs/>
          <w:color w:val="auto"/>
          <w:szCs w:val="21"/>
          <w:highlight w:val="none"/>
        </w:rPr>
        <w:t>第8条 工期和进度</w:t>
      </w:r>
      <w:bookmarkEnd w:id="1593"/>
      <w:bookmarkEnd w:id="1594"/>
      <w:bookmarkEnd w:id="1595"/>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8.1 开始工作</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8.1.1 开始准备工作：</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工程师应提前7天向承包人发出经发包人签认的开始工作通知，工期自开始工作通知中载明的开始工作日期起算</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8.1.2 发包人可在计划开始工作之日起84日后发出开始工作通知的特殊情形：</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执行通用条款</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8.2 竣工日期</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竣工日期的约定：</w:t>
      </w:r>
      <w:r>
        <w:rPr>
          <w:rFonts w:hint="eastAsia" w:ascii="宋体" w:hAnsi="宋体" w:eastAsia="宋体" w:cs="仿宋"/>
          <w:color w:val="auto"/>
          <w:szCs w:val="21"/>
          <w:highlight w:val="none"/>
          <w:u w:val="single"/>
        </w:rPr>
        <w:t xml:space="preserve">  竣工验收条件成熟后，承包人提出竣工验收申请，工程师及发包人在规定时间内组织竣工验收的，验收通过当天为竣工验收日期；若验收当天未通过竣工验收需整改完善的，整改完善后验收通过的时间为竣工验收日期。因发包人原因，在工程师收到承包人竣工验收申请报告42天后未进行验收的，视为验收合格，实际竣工日期以提交竣工验收申请报告的日期为准，但发包人由于不可抗力不能进行验收的除外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8.3 项目实施计划</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8.3.1 项目实施计划的内容</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项目实施计划的内容：</w:t>
      </w:r>
      <w:r>
        <w:rPr>
          <w:rFonts w:hint="eastAsia" w:ascii="宋体" w:hAnsi="宋体" w:eastAsia="宋体" w:cs="仿宋"/>
          <w:color w:val="auto"/>
          <w:szCs w:val="21"/>
          <w:highlight w:val="none"/>
          <w:u w:val="single"/>
        </w:rPr>
        <w:t xml:space="preserve">  总体实施方案、项目实施要点、项目初步进度计划、项目实施性进度计划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8.3.2 项目实施计划的提交和修改</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项目实施计划的提交及修改期限：</w:t>
      </w:r>
      <w:r>
        <w:rPr>
          <w:rFonts w:hint="eastAsia" w:ascii="宋体" w:hAnsi="宋体" w:eastAsia="宋体" w:cs="仿宋"/>
          <w:color w:val="auto"/>
          <w:szCs w:val="21"/>
          <w:highlight w:val="none"/>
          <w:u w:val="single"/>
        </w:rPr>
        <w:t xml:space="preserve"> </w:t>
      </w:r>
      <w:bookmarkStart w:id="1596" w:name="_Hlk100815079"/>
      <w:r>
        <w:rPr>
          <w:rFonts w:hint="eastAsia" w:ascii="宋体" w:hAnsi="宋体" w:eastAsia="宋体" w:cs="仿宋"/>
          <w:color w:val="auto"/>
          <w:szCs w:val="21"/>
          <w:highlight w:val="none"/>
          <w:u w:val="single"/>
        </w:rPr>
        <w:t>承包人应在合同订立后14 天内，提交项目实施计划，工程师应在收到项目实施计划后14 天内确认或提出修改意见</w:t>
      </w:r>
      <w:bookmarkEnd w:id="1596"/>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8.4 项目进度计划</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8.4.1 工程师在收到进度计划后确认或提出修改意见的期限：</w:t>
      </w:r>
      <w:r>
        <w:rPr>
          <w:rFonts w:hint="eastAsia" w:ascii="宋体" w:hAnsi="宋体" w:eastAsia="宋体" w:cs="仿宋"/>
          <w:color w:val="auto"/>
          <w:szCs w:val="21"/>
          <w:highlight w:val="none"/>
          <w:u w:val="single"/>
        </w:rPr>
        <w:t xml:space="preserve">  工程师应在7天内批复或提出修改意见，报发包人在7工作日内审批同意后实施，否则该项目初步进度计划视为已得到批准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8.4.2 进度计划的具体要求：</w:t>
      </w:r>
      <w:r>
        <w:rPr>
          <w:rFonts w:hint="eastAsia" w:ascii="宋体" w:hAnsi="宋体" w:eastAsia="宋体" w:cs="仿宋"/>
          <w:color w:val="auto"/>
          <w:szCs w:val="21"/>
          <w:highlight w:val="none"/>
          <w:u w:val="single"/>
        </w:rPr>
        <w:t xml:space="preserve"> 合同签订后14 天内，承包人报送工程计划、设计节点计划、施工组织设计及建安施工项目总进度计划、各单体工程进度计划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关键路径及关键路径变化的确定原则：</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承包人提交项目进度计划的份数和时间：</w:t>
      </w:r>
      <w:r>
        <w:rPr>
          <w:rFonts w:hint="eastAsia" w:ascii="宋体" w:hAnsi="宋体" w:eastAsia="宋体" w:cs="仿宋"/>
          <w:color w:val="auto"/>
          <w:szCs w:val="21"/>
          <w:highlight w:val="none"/>
          <w:u w:val="single"/>
        </w:rPr>
        <w:t xml:space="preserve"> 2 份，项目开工前14 天内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8.4.3 进度计划的修订</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承包人提交修订项目进度计划申请报告的期限：</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发包人批复修订项目进度计划申请报告的期限：</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承包人答复发包人提出修订合同计划的期限：</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8.5 进度报告</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进度报告的具体要求：</w:t>
      </w:r>
      <w:r>
        <w:rPr>
          <w:rFonts w:hint="eastAsia" w:ascii="宋体" w:hAnsi="宋体" w:eastAsia="宋体" w:cs="仿宋"/>
          <w:color w:val="auto"/>
          <w:szCs w:val="21"/>
          <w:highlight w:val="none"/>
          <w:u w:val="single"/>
        </w:rPr>
        <w:t xml:space="preserve">  执行通用条款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8.7 工期延误</w:t>
      </w:r>
    </w:p>
    <w:p>
      <w:pPr>
        <w:widowControl/>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8.7.1 因发包人原因导致工期延误</w:t>
      </w:r>
    </w:p>
    <w:p>
      <w:pPr>
        <w:widowControl/>
        <w:adjustRightInd w:val="0"/>
        <w:snapToGrid w:val="0"/>
        <w:spacing w:line="360" w:lineRule="auto"/>
        <w:ind w:firstLine="562"/>
        <w:rPr>
          <w:rFonts w:ascii="宋体" w:hAnsi="宋体" w:eastAsia="宋体" w:cs="仿宋"/>
          <w:bCs/>
          <w:color w:val="auto"/>
          <w:szCs w:val="21"/>
          <w:highlight w:val="none"/>
        </w:rPr>
      </w:pPr>
      <w:r>
        <w:rPr>
          <w:rFonts w:hint="eastAsia" w:ascii="宋体" w:hAnsi="宋体" w:eastAsia="宋体" w:cs="仿宋"/>
          <w:bCs/>
          <w:color w:val="auto"/>
          <w:szCs w:val="21"/>
          <w:highlight w:val="none"/>
          <w:u w:val="single"/>
        </w:rPr>
        <w:t>在合同履行过程中，因发包人原因导致工期延误的，工期顺延</w:t>
      </w:r>
      <w:r>
        <w:rPr>
          <w:rFonts w:hint="eastAsia" w:ascii="宋体" w:hAnsi="宋体" w:eastAsia="宋体" w:cs="仿宋"/>
          <w:bCs/>
          <w:color w:val="auto"/>
          <w:szCs w:val="21"/>
          <w:highlight w:val="none"/>
        </w:rPr>
        <w:t>。</w:t>
      </w:r>
    </w:p>
    <w:p>
      <w:pPr>
        <w:widowControl/>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8.7.3 行政审批迟延</w:t>
      </w:r>
    </w:p>
    <w:p>
      <w:pPr>
        <w:widowControl/>
        <w:adjustRightInd w:val="0"/>
        <w:snapToGrid w:val="0"/>
        <w:spacing w:line="360" w:lineRule="auto"/>
        <w:ind w:firstLine="560"/>
        <w:rPr>
          <w:rFonts w:ascii="宋体" w:hAnsi="宋体" w:eastAsia="宋体" w:cs="仿宋"/>
          <w:color w:val="auto"/>
          <w:szCs w:val="21"/>
          <w:highlight w:val="none"/>
          <w:u w:val="single"/>
        </w:rPr>
      </w:pPr>
      <w:r>
        <w:rPr>
          <w:rFonts w:hint="eastAsia" w:ascii="宋体" w:hAnsi="宋体" w:eastAsia="宋体" w:cs="仿宋"/>
          <w:color w:val="auto"/>
          <w:szCs w:val="21"/>
          <w:highlight w:val="none"/>
        </w:rPr>
        <w:t>行政审批报送的职责分工：</w:t>
      </w:r>
      <w:r>
        <w:rPr>
          <w:rFonts w:hint="eastAsia" w:ascii="宋体" w:hAnsi="宋体" w:eastAsia="宋体" w:cs="仿宋"/>
          <w:color w:val="auto"/>
          <w:szCs w:val="21"/>
          <w:highlight w:val="none"/>
          <w:u w:val="single"/>
        </w:rPr>
        <w:t xml:space="preserve"> 按通用条款执行</w:t>
      </w:r>
      <w:r>
        <w:rPr>
          <w:rFonts w:hint="eastAsia" w:ascii="宋体" w:hAnsi="宋体" w:eastAsia="宋体" w:cs="仿宋"/>
          <w:color w:val="auto"/>
          <w:szCs w:val="21"/>
          <w:highlight w:val="none"/>
        </w:rPr>
        <w:t>。</w:t>
      </w:r>
    </w:p>
    <w:p>
      <w:pPr>
        <w:widowControl/>
        <w:adjustRightInd w:val="0"/>
        <w:snapToGrid w:val="0"/>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8.7.4 异常恶劣的气候条件</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双方约定视为异常恶劣的气候条件的情形：</w:t>
      </w:r>
      <w:r>
        <w:rPr>
          <w:rFonts w:hint="eastAsia" w:ascii="宋体" w:hAnsi="宋体" w:eastAsia="宋体" w:cs="仿宋"/>
          <w:color w:val="auto"/>
          <w:szCs w:val="21"/>
          <w:highlight w:val="none"/>
          <w:u w:val="single"/>
        </w:rPr>
        <w:t>按通用条款执行</w:t>
      </w:r>
      <w:r>
        <w:rPr>
          <w:rFonts w:hint="eastAsia" w:ascii="宋体" w:hAnsi="宋体" w:eastAsia="宋体" w:cs="仿宋"/>
          <w:color w:val="auto"/>
          <w:szCs w:val="21"/>
          <w:highlight w:val="none"/>
        </w:rPr>
        <w:t>。</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8.7.2 因承包人原因导致工期延误</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（1）因承包人原因，延误了按本合同规定的设计成果文件的交付时间，每延误1日的误期赔偿金额为人民币1000元/天，累计最高赔偿金额为中标设计费用的5%</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（2）</w:t>
      </w:r>
      <w:r>
        <w:rPr>
          <w:rFonts w:hint="eastAsia" w:ascii="宋体" w:hAnsi="宋体" w:eastAsia="宋体" w:cs="仿宋"/>
          <w:bCs/>
          <w:color w:val="auto"/>
          <w:szCs w:val="21"/>
          <w:highlight w:val="none"/>
          <w:u w:val="single"/>
        </w:rPr>
        <w:t>因承包人原因，延误了施工工期的，每延误1日的误期赔偿金额为人民币3000元/天，累计最高赔偿金额为中标施工费用的5%</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color w:val="auto"/>
          <w:szCs w:val="21"/>
          <w:highlight w:val="none"/>
          <w:u w:val="single"/>
        </w:rPr>
        <w:t>（3）因承包人的原因给发包人其他造成损失，由承包人照价赔偿</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8.8 工期提前</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8.8.2 承包人提前竣工的奖励：</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597" w:name="_Toc13979"/>
      <w:bookmarkStart w:id="1598" w:name="_Toc182245941"/>
      <w:bookmarkStart w:id="1599" w:name="_Toc54862340"/>
      <w:bookmarkStart w:id="1600" w:name="_Toc216681925"/>
      <w:r>
        <w:rPr>
          <w:rFonts w:hint="eastAsia" w:ascii="宋体" w:hAnsi="宋体" w:eastAsia="宋体" w:cs="仿宋"/>
          <w:bCs/>
          <w:color w:val="auto"/>
          <w:szCs w:val="21"/>
          <w:highlight w:val="none"/>
        </w:rPr>
        <w:t>第9条 竣工试验</w:t>
      </w:r>
      <w:bookmarkEnd w:id="1597"/>
      <w:bookmarkEnd w:id="1598"/>
      <w:bookmarkEnd w:id="1599"/>
      <w:bookmarkEnd w:id="1600"/>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9.1 竣工试验的义务</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9.1.3 竣工试验的阶段、内容和顺序：</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竣工试验的操作要求：</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01" w:name="_Toc4784272"/>
      <w:bookmarkEnd w:id="1601"/>
      <w:bookmarkStart w:id="1602" w:name="_Toc4784273"/>
      <w:bookmarkEnd w:id="1602"/>
      <w:bookmarkStart w:id="1603" w:name="_Toc26013"/>
      <w:bookmarkStart w:id="1604" w:name="_Toc54862341"/>
      <w:bookmarkStart w:id="1605" w:name="_Toc182245942"/>
      <w:bookmarkStart w:id="1606" w:name="_Toc216681926"/>
      <w:r>
        <w:rPr>
          <w:rFonts w:hint="eastAsia" w:ascii="宋体" w:hAnsi="宋体" w:eastAsia="宋体" w:cs="仿宋"/>
          <w:bCs/>
          <w:color w:val="auto"/>
          <w:szCs w:val="21"/>
          <w:highlight w:val="none"/>
        </w:rPr>
        <w:t>第10条 验收和工程接收</w:t>
      </w:r>
      <w:bookmarkEnd w:id="1603"/>
      <w:bookmarkEnd w:id="1604"/>
      <w:bookmarkEnd w:id="1605"/>
      <w:bookmarkEnd w:id="1606"/>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10.1 竣工验收</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10.1.2 关于竣工验收程序的约定：</w:t>
      </w:r>
      <w:r>
        <w:rPr>
          <w:rFonts w:hint="eastAsia" w:ascii="宋体" w:hAnsi="宋体" w:eastAsia="宋体" w:cs="仿宋"/>
          <w:color w:val="auto"/>
          <w:szCs w:val="21"/>
          <w:highlight w:val="none"/>
          <w:u w:val="single"/>
        </w:rPr>
        <w:t xml:space="preserve">  </w:t>
      </w:r>
      <w:bookmarkStart w:id="1607" w:name="_Hlk46406260"/>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发包人不按照合同约定组织竣工验收、颁发工程接受证书的违约金的计算方式：</w:t>
      </w:r>
      <w:r>
        <w:rPr>
          <w:rFonts w:hint="eastAsia" w:ascii="宋体" w:hAnsi="宋体" w:eastAsia="宋体" w:cs="仿宋"/>
          <w:color w:val="auto"/>
          <w:szCs w:val="21"/>
          <w:highlight w:val="none"/>
          <w:u w:val="single"/>
        </w:rPr>
        <w:t xml:space="preserve">  </w:t>
      </w:r>
      <w:bookmarkEnd w:id="1607"/>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10.3</w:t>
      </w:r>
      <w:r>
        <w:rPr>
          <w:rFonts w:hint="eastAsia" w:ascii="宋体" w:hAnsi="宋体" w:eastAsia="宋体" w:cs="仿宋"/>
          <w:color w:val="auto"/>
          <w:szCs w:val="21"/>
          <w:highlight w:val="none"/>
        </w:rPr>
        <w:tab/>
      </w:r>
      <w:r>
        <w:rPr>
          <w:rFonts w:hint="eastAsia" w:ascii="宋体" w:hAnsi="宋体" w:eastAsia="宋体" w:cs="仿宋"/>
          <w:color w:val="auto"/>
          <w:szCs w:val="21"/>
          <w:highlight w:val="none"/>
        </w:rPr>
        <w:t xml:space="preserve"> 工程的接收</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10.3.1工程接收的先后顺序、时间安排和其他要求：</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10.3.2 接受工程时承包人需提交竣工验收资料的类别、内容、份数和提交时间：</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10.3.3 发包人逾期接收工程的违约责任：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10.3.4 承包人无正当理由不移交工程的违约责任：</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10.4 接收证书</w:t>
      </w:r>
    </w:p>
    <w:p>
      <w:pPr>
        <w:spacing w:line="360" w:lineRule="auto"/>
        <w:ind w:firstLine="600"/>
        <w:rPr>
          <w:rFonts w:ascii="宋体" w:hAnsi="宋体" w:eastAsia="宋体" w:cs="仿宋"/>
          <w:bCs/>
          <w:color w:val="auto"/>
          <w:szCs w:val="21"/>
          <w:highlight w:val="none"/>
        </w:rPr>
      </w:pPr>
      <w:r>
        <w:rPr>
          <w:rFonts w:hint="eastAsia" w:ascii="宋体" w:hAnsi="宋体" w:eastAsia="宋体" w:cs="仿宋"/>
          <w:color w:val="auto"/>
          <w:szCs w:val="21"/>
          <w:highlight w:val="none"/>
        </w:rPr>
        <w:t>10.4.1 工程接收证书颁发时间：</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10.5 竣工退场</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10.5.1 竣工退场的相关约定：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10.5.3人员撤离</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工程师同意需在缺陷责任期内继续工作和使用的人员、施工设备和临时工程的内容：</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08" w:name="_Toc54862342"/>
      <w:bookmarkStart w:id="1609" w:name="_Toc216681927"/>
      <w:bookmarkStart w:id="1610" w:name="_Toc3096"/>
      <w:bookmarkStart w:id="1611" w:name="_Toc182245943"/>
      <w:r>
        <w:rPr>
          <w:rFonts w:hint="eastAsia" w:ascii="宋体" w:hAnsi="宋体" w:eastAsia="宋体" w:cs="仿宋"/>
          <w:bCs/>
          <w:color w:val="auto"/>
          <w:szCs w:val="21"/>
          <w:highlight w:val="none"/>
        </w:rPr>
        <w:t>第11条 缺陷责任与保修</w:t>
      </w:r>
      <w:bookmarkEnd w:id="1608"/>
      <w:bookmarkEnd w:id="1609"/>
      <w:bookmarkEnd w:id="1610"/>
      <w:bookmarkEnd w:id="1611"/>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11.2 缺陷责任期</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缺陷责任期的期限：</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工程缺陷责任期为</w:t>
      </w:r>
      <w:r>
        <w:rPr>
          <w:rFonts w:hint="eastAsia" w:ascii="宋体" w:hAnsi="宋体" w:eastAsia="宋体" w:cs="仿宋"/>
          <w:b/>
          <w:bCs/>
          <w:color w:val="auto"/>
          <w:szCs w:val="21"/>
          <w:highlight w:val="none"/>
          <w:u w:val="single"/>
        </w:rPr>
        <w:t>24</w:t>
      </w:r>
      <w:r>
        <w:rPr>
          <w:rFonts w:hint="eastAsia" w:ascii="宋体" w:hAnsi="宋体" w:eastAsia="宋体" w:cs="仿宋"/>
          <w:bCs/>
          <w:color w:val="auto"/>
          <w:szCs w:val="21"/>
          <w:highlight w:val="none"/>
          <w:u w:val="single"/>
        </w:rPr>
        <w:t>个月，缺陷责任期自工程通过竣工验收之日起计算</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 缺陷调查</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11.3.4 修复通知</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承包人收到保修通知并到达工程现场的合理时间：</w:t>
      </w:r>
      <w:r>
        <w:rPr>
          <w:rFonts w:hint="eastAsia" w:ascii="宋体" w:hAnsi="宋体" w:eastAsia="宋体" w:cs="仿宋"/>
          <w:bCs/>
          <w:color w:val="auto"/>
          <w:szCs w:val="21"/>
          <w:highlight w:val="none"/>
          <w:u w:val="single"/>
        </w:rPr>
        <w:t>48小时内</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11.6 缺陷责任期终止证书</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承包人应于缺陷责任期届满后</w:t>
      </w:r>
      <w:r>
        <w:rPr>
          <w:rFonts w:hint="eastAsia" w:ascii="宋体" w:hAnsi="宋体" w:eastAsia="宋体" w:cs="仿宋"/>
          <w:color w:val="auto"/>
          <w:szCs w:val="21"/>
          <w:highlight w:val="none"/>
          <w:u w:val="single"/>
        </w:rPr>
        <w:t xml:space="preserve"> 5 </w:t>
      </w:r>
      <w:r>
        <w:rPr>
          <w:rFonts w:hint="eastAsia" w:ascii="宋体" w:hAnsi="宋体" w:eastAsia="宋体" w:cs="仿宋"/>
          <w:color w:val="auto"/>
          <w:szCs w:val="21"/>
          <w:highlight w:val="none"/>
        </w:rPr>
        <w:t>天内向发包人发出缺陷责任期届满通知，发包人应在收到缺陷责任期满通知后</w:t>
      </w:r>
      <w:r>
        <w:rPr>
          <w:rFonts w:hint="eastAsia" w:ascii="宋体" w:hAnsi="宋体" w:eastAsia="宋体" w:cs="仿宋"/>
          <w:color w:val="auto"/>
          <w:szCs w:val="21"/>
          <w:highlight w:val="none"/>
          <w:u w:val="single"/>
        </w:rPr>
        <w:t xml:space="preserve"> 5 </w:t>
      </w:r>
      <w:r>
        <w:rPr>
          <w:rFonts w:hint="eastAsia" w:ascii="宋体" w:hAnsi="宋体" w:eastAsia="宋体" w:cs="仿宋"/>
          <w:color w:val="auto"/>
          <w:szCs w:val="21"/>
          <w:highlight w:val="none"/>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仿宋"/>
          <w:color w:val="auto"/>
          <w:szCs w:val="21"/>
          <w:highlight w:val="none"/>
          <w:u w:val="single"/>
        </w:rPr>
        <w:t xml:space="preserve"> 5 </w:t>
      </w:r>
      <w:r>
        <w:rPr>
          <w:rFonts w:hint="eastAsia" w:ascii="宋体" w:hAnsi="宋体" w:eastAsia="宋体" w:cs="仿宋"/>
          <w:color w:val="auto"/>
          <w:szCs w:val="21"/>
          <w:highlight w:val="none"/>
        </w:rPr>
        <w:t>天内，向承包人颁发缺陷责任期终止证书。</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11.7 保修责任</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工程质量保修范围、期限和责任为：</w:t>
      </w:r>
      <w:r>
        <w:rPr>
          <w:rFonts w:hint="eastAsia" w:ascii="宋体" w:hAnsi="宋体" w:eastAsia="宋体" w:cs="仿宋"/>
          <w:color w:val="auto"/>
          <w:szCs w:val="21"/>
          <w:highlight w:val="none"/>
          <w:u w:val="single"/>
        </w:rPr>
        <w:t xml:space="preserve"> 工程质量保修期自工程竣工验收合格之日起计算，具体范围、期限和责任详见本合同后附的工程质量保修书</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12" w:name="_Toc182245944"/>
      <w:bookmarkStart w:id="1613" w:name="_Toc16275"/>
      <w:bookmarkStart w:id="1614" w:name="_Toc54862343"/>
      <w:bookmarkStart w:id="1615" w:name="_Toc216681928"/>
      <w:r>
        <w:rPr>
          <w:rFonts w:hint="eastAsia" w:ascii="宋体" w:hAnsi="宋体" w:eastAsia="宋体" w:cs="仿宋"/>
          <w:bCs/>
          <w:color w:val="auto"/>
          <w:szCs w:val="21"/>
          <w:highlight w:val="none"/>
        </w:rPr>
        <w:t>第12条 竣工后试验</w:t>
      </w:r>
      <w:bookmarkEnd w:id="1612"/>
      <w:bookmarkEnd w:id="1613"/>
      <w:bookmarkEnd w:id="1614"/>
      <w:bookmarkEnd w:id="1615"/>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本合同工程是否包含竣工后试验：</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不包含</w:t>
      </w:r>
      <w:r>
        <w:rPr>
          <w:rFonts w:hint="eastAsia" w:ascii="宋体" w:hAnsi="宋体" w:eastAsia="宋体" w:cs="仿宋"/>
          <w:b/>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12.1 竣工后试验的程序</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16" w:name="_Toc182245945"/>
      <w:bookmarkStart w:id="1617" w:name="_Toc11279"/>
      <w:bookmarkStart w:id="1618" w:name="_Toc216681929"/>
      <w:bookmarkStart w:id="1619" w:name="_Toc54862344"/>
      <w:r>
        <w:rPr>
          <w:rFonts w:hint="eastAsia" w:ascii="宋体" w:hAnsi="宋体" w:eastAsia="宋体" w:cs="仿宋"/>
          <w:bCs/>
          <w:color w:val="auto"/>
          <w:szCs w:val="21"/>
          <w:highlight w:val="none"/>
        </w:rPr>
        <w:t>第13条 变更与调整</w:t>
      </w:r>
      <w:bookmarkEnd w:id="1616"/>
      <w:bookmarkEnd w:id="1617"/>
      <w:bookmarkEnd w:id="1618"/>
      <w:bookmarkEnd w:id="1619"/>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13.2 承包人的合理化建议</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13.2.2 工程师应在收到承包人提交的合理化建议后</w:t>
      </w:r>
      <w:r>
        <w:rPr>
          <w:rFonts w:hint="eastAsia" w:ascii="宋体" w:hAnsi="宋体" w:eastAsia="宋体" w:cs="仿宋"/>
          <w:color w:val="auto"/>
          <w:szCs w:val="21"/>
          <w:highlight w:val="none"/>
          <w:u w:val="single"/>
        </w:rPr>
        <w:t xml:space="preserve"> 5个工作 </w:t>
      </w:r>
      <w:r>
        <w:rPr>
          <w:rFonts w:hint="eastAsia" w:ascii="宋体" w:hAnsi="宋体" w:eastAsia="宋体" w:cs="仿宋"/>
          <w:color w:val="auto"/>
          <w:szCs w:val="21"/>
          <w:highlight w:val="none"/>
        </w:rPr>
        <w:t>内审查完毕并报送发包人，发现其中存在技术上的缺陷，应通知承包人修改。发包人应在收到工程师报送的合理化建议后</w:t>
      </w:r>
      <w:r>
        <w:rPr>
          <w:rFonts w:hint="eastAsia" w:ascii="宋体" w:hAnsi="宋体" w:eastAsia="宋体" w:cs="仿宋"/>
          <w:color w:val="auto"/>
          <w:szCs w:val="21"/>
          <w:highlight w:val="none"/>
          <w:u w:val="single"/>
        </w:rPr>
        <w:t xml:space="preserve"> 5个工作 </w:t>
      </w:r>
      <w:r>
        <w:rPr>
          <w:rFonts w:hint="eastAsia" w:ascii="宋体" w:hAnsi="宋体" w:eastAsia="宋体" w:cs="仿宋"/>
          <w:color w:val="auto"/>
          <w:szCs w:val="21"/>
          <w:highlight w:val="none"/>
        </w:rPr>
        <w:t>内审批完毕。合理化建议经发包人批准的，工程师应及时发出变更指示，由此引起的合同价格调整按照</w:t>
      </w:r>
      <w:r>
        <w:rPr>
          <w:rFonts w:hint="eastAsia" w:ascii="宋体" w:hAnsi="宋体" w:eastAsia="宋体" w:cs="仿宋"/>
          <w:color w:val="auto"/>
          <w:szCs w:val="21"/>
          <w:highlight w:val="none"/>
          <w:u w:val="single"/>
        </w:rPr>
        <w:t xml:space="preserve"> 13.3.3 </w:t>
      </w:r>
      <w:r>
        <w:rPr>
          <w:rFonts w:hint="eastAsia" w:ascii="宋体" w:hAnsi="宋体" w:eastAsia="宋体" w:cs="仿宋"/>
          <w:color w:val="auto"/>
          <w:szCs w:val="21"/>
          <w:highlight w:val="none"/>
        </w:rPr>
        <w:t>执行。发包人不同意变更的，工程师应书面通知承包人。</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13.2.3 承包人提出的合理化变更建议的利益分享约定：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13.3 变更程序</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13.3.3 变更估价</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13.3.3.1 变更估价原则</w:t>
      </w:r>
    </w:p>
    <w:p>
      <w:pPr>
        <w:spacing w:line="360" w:lineRule="auto"/>
        <w:ind w:firstLine="420" w:firstLineChars="2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关于变更估价原则的约定：</w:t>
      </w:r>
      <w:r>
        <w:rPr>
          <w:rFonts w:hint="eastAsia" w:ascii="宋体" w:hAnsi="宋体" w:eastAsia="宋体" w:cs="仿宋"/>
          <w:bCs/>
          <w:color w:val="auto"/>
          <w:szCs w:val="21"/>
          <w:highlight w:val="none"/>
          <w:u w:val="single"/>
        </w:rPr>
        <w:t>（1）合同中已有相同子目的，按合同该子目价格进行计算；（2）合同中只有类似子目的，参照该类似子目价格进行计算；（3）合同中没有适用或类似子目的价格计算方法：由承包人根据变更工程资料、计量规则及计价办法，提出变更工程的单价，报发包人、工程师及跟造价咨询单位确认后调整</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13.4 暂估价</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13.4.1 依法必须招标的暂估价项目</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承包人可以参与投标的暂估价项目范围：</w:t>
      </w:r>
      <w:r>
        <w:rPr>
          <w:rFonts w:hint="eastAsia" w:ascii="宋体" w:hAnsi="宋体" w:eastAsia="宋体" w:cs="仿宋"/>
          <w:bCs/>
          <w:color w:val="auto"/>
          <w:szCs w:val="21"/>
          <w:highlight w:val="none"/>
          <w:u w:val="single"/>
        </w:rPr>
        <w:t>按国家相关规定执行</w:t>
      </w:r>
      <w:r>
        <w:rPr>
          <w:rFonts w:hint="eastAsia" w:ascii="宋体" w:hAnsi="宋体" w:eastAsia="宋体" w:cs="仿宋"/>
          <w:bCs/>
          <w:color w:val="auto"/>
          <w:szCs w:val="21"/>
          <w:highlight w:val="none"/>
        </w:rPr>
        <w:t>。</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承包人不得参与投标的暂估价项目范围：</w:t>
      </w:r>
      <w:r>
        <w:rPr>
          <w:rFonts w:hint="eastAsia" w:ascii="宋体" w:hAnsi="宋体" w:eastAsia="宋体" w:cs="仿宋"/>
          <w:bCs/>
          <w:color w:val="auto"/>
          <w:szCs w:val="21"/>
          <w:highlight w:val="none"/>
          <w:u w:val="single"/>
        </w:rPr>
        <w:t>按国家相关规定执行</w:t>
      </w:r>
      <w:r>
        <w:rPr>
          <w:rFonts w:hint="eastAsia" w:ascii="宋体" w:hAnsi="宋体" w:eastAsia="宋体" w:cs="仿宋"/>
          <w:bCs/>
          <w:color w:val="auto"/>
          <w:szCs w:val="21"/>
          <w:highlight w:val="none"/>
        </w:rPr>
        <w:t>。</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招投标程序及其他约定：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按国家相关规定执行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13.4.2 不属于依法必须招标的暂估价项目</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不属于依法必须招标的暂估价项目的协商及估价的约定：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不属于依法必须招标的暂估价项目，承包人具备实施暂估价项目的资格和条件的，可由承包人自行实施暂估价项目</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13.5 暂列金额</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其他关于暂列金额使用的约定：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按国家相关规定执行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13.8 市场价格波动引起的调整</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13.8.2 关于是否采用《价格指数权重表》的约定：</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napToGrid w:val="0"/>
        <w:spacing w:line="360" w:lineRule="auto"/>
        <w:ind w:firstLine="420" w:firstLineChars="2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13.8.3 关于采用其他方式调整合同价款的约定：</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u w:val="single"/>
        </w:rPr>
        <w:t>如主要材料价格相对基准价格涨跌幅在±7.5%以内（含7.5%）的不作调整，超出7.5%以外的（不含7.5%），超过部分据实调整。主要材料涨跌和新增材料价由承包人按每月或每个季度据实提出，</w:t>
      </w:r>
      <w:r>
        <w:rPr>
          <w:rFonts w:hint="eastAsia" w:ascii="宋体" w:hAnsi="宋体" w:eastAsia="宋体" w:cs="仿宋"/>
          <w:bCs/>
          <w:color w:val="auto"/>
          <w:szCs w:val="21"/>
          <w:highlight w:val="none"/>
          <w:u w:val="single"/>
        </w:rPr>
        <w:t>发包人、</w:t>
      </w:r>
      <w:r>
        <w:rPr>
          <w:rFonts w:hint="eastAsia" w:ascii="宋体" w:hAnsi="宋体" w:eastAsia="宋体" w:cs="仿宋"/>
          <w:color w:val="auto"/>
          <w:szCs w:val="21"/>
          <w:highlight w:val="none"/>
          <w:u w:val="single"/>
        </w:rPr>
        <w:t>承包人、</w:t>
      </w:r>
      <w:r>
        <w:rPr>
          <w:rFonts w:hint="eastAsia" w:ascii="宋体" w:hAnsi="宋体" w:eastAsia="宋体" w:cs="仿宋"/>
          <w:bCs/>
          <w:color w:val="auto"/>
          <w:szCs w:val="21"/>
          <w:highlight w:val="none"/>
          <w:u w:val="single"/>
        </w:rPr>
        <w:t>工程师及全过程造价咨询单位共同确认</w:t>
      </w:r>
      <w:r>
        <w:rPr>
          <w:rFonts w:hint="eastAsia" w:ascii="宋体" w:hAnsi="宋体" w:eastAsia="宋体" w:cs="仿宋"/>
          <w:bCs/>
          <w:color w:val="auto"/>
          <w:szCs w:val="21"/>
          <w:highlight w:val="none"/>
        </w:rPr>
        <w:t>。</w:t>
      </w:r>
    </w:p>
    <w:p>
      <w:pPr>
        <w:snapToGrid w:val="0"/>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关于基准价格的约定：</w:t>
      </w:r>
      <w:r>
        <w:rPr>
          <w:rFonts w:hint="eastAsia" w:ascii="宋体" w:hAnsi="宋体" w:eastAsia="宋体" w:cs="仿宋"/>
          <w:color w:val="auto"/>
          <w:szCs w:val="21"/>
          <w:highlight w:val="none"/>
          <w:u w:val="single"/>
        </w:rPr>
        <w:t>以已提供工程量清单招标控制价中的主要材料价格为基准价</w:t>
      </w:r>
      <w:r>
        <w:rPr>
          <w:rFonts w:hint="eastAsia" w:ascii="宋体" w:hAnsi="宋体" w:eastAsia="宋体" w:cs="仿宋"/>
          <w:color w:val="auto"/>
          <w:szCs w:val="21"/>
          <w:highlight w:val="none"/>
        </w:rPr>
        <w:t>。</w:t>
      </w:r>
    </w:p>
    <w:p>
      <w:pPr>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合同履行期间材料价格的确认：</w:t>
      </w:r>
    </w:p>
    <w:p>
      <w:pPr>
        <w:snapToGrid w:val="0"/>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施工期间材料价格按《普洱市建设工程材料及设备价格信息》执行，《普洱市建设工程材料及设备价格信息》中没有的材料按《云南省建设工程材料及设备价格信息》执行，《云南省建设工程材料及设备价格信息》中仍没有的材料以市场调查询价为基础，发包人有权会同参建各方根据市场调查询价结果确定材料品种、规格、产地，承包人接受发包人确定的材料品种、规格、产地材料价格作为结算依据</w:t>
      </w:r>
      <w:r>
        <w:rPr>
          <w:rFonts w:hint="eastAsia" w:ascii="宋体" w:hAnsi="宋体" w:eastAsia="宋体" w:cs="仿宋"/>
          <w:color w:val="auto"/>
          <w:szCs w:val="21"/>
          <w:highlight w:val="none"/>
        </w:rPr>
        <w:t>。</w:t>
      </w:r>
    </w:p>
    <w:p>
      <w:pPr>
        <w:snapToGrid w:val="0"/>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发生计价依据价格变动14个工作日内，举证方向接受方发出材料价调整函（或报告），接受方须在14个工作日内牵头相关各方代表共同询价予以确认；举证方超过时限不提出书面材料，则视为放弃权益；因函件（或报告）接受方的责任超过时限未审定材料价，也未说明原因，则视为认同举证方意见</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20" w:name="_Toc54862345"/>
      <w:bookmarkStart w:id="1621" w:name="_Toc216681930"/>
      <w:bookmarkStart w:id="1622" w:name="_Toc182245946"/>
      <w:bookmarkStart w:id="1623" w:name="_Toc7872"/>
      <w:r>
        <w:rPr>
          <w:rFonts w:hint="eastAsia" w:ascii="宋体" w:hAnsi="宋体" w:eastAsia="宋体" w:cs="仿宋"/>
          <w:bCs/>
          <w:color w:val="auto"/>
          <w:szCs w:val="21"/>
          <w:highlight w:val="none"/>
        </w:rPr>
        <w:t>第14条 合同价格与支付</w:t>
      </w:r>
      <w:bookmarkEnd w:id="1620"/>
      <w:bookmarkEnd w:id="1621"/>
      <w:bookmarkEnd w:id="1622"/>
      <w:bookmarkEnd w:id="1623"/>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14.1 合同价格形式</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14.1.1 关于合同价格形式的约定：</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（1）设计部分合同价格形式：费率合同形式。</w:t>
      </w:r>
    </w:p>
    <w:p>
      <w:pPr>
        <w:adjustRightInd w:val="0"/>
        <w:spacing w:line="360" w:lineRule="auto"/>
        <w:ind w:firstLine="420" w:firstLineChars="200"/>
        <w:jc w:val="left"/>
        <w:textAlignment w:val="baseline"/>
        <w:rPr>
          <w:rFonts w:ascii="宋体" w:hAnsi="宋体" w:eastAsia="宋体" w:cs="仿宋"/>
          <w:color w:val="auto"/>
          <w:kern w:val="0"/>
          <w:szCs w:val="21"/>
          <w:highlight w:val="none"/>
          <w:u w:val="single"/>
        </w:rPr>
      </w:pPr>
      <w:r>
        <w:rPr>
          <w:rFonts w:hint="eastAsia" w:ascii="宋体" w:hAnsi="宋体" w:eastAsia="宋体" w:cs="仿宋"/>
          <w:color w:val="auto"/>
          <w:kern w:val="0"/>
          <w:szCs w:val="21"/>
          <w:highlight w:val="none"/>
          <w:u w:val="single"/>
        </w:rPr>
        <w:t xml:space="preserve">设计费最终结算价=经审计的建安工程费×设计中标费率       </w:t>
      </w:r>
      <w:r>
        <w:rPr>
          <w:rFonts w:hint="eastAsia" w:ascii="宋体" w:hAnsi="宋体" w:eastAsia="宋体" w:cs="仿宋"/>
          <w:color w:val="auto"/>
          <w:kern w:val="0"/>
          <w:szCs w:val="21"/>
          <w:highlight w:val="none"/>
        </w:rPr>
        <w:t>。</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（2）施工部分合同价格形式：综合单价合同形式</w:t>
      </w:r>
      <w:r>
        <w:rPr>
          <w:rFonts w:hint="eastAsia" w:ascii="宋体" w:hAnsi="宋体" w:eastAsia="宋体" w:cs="仿宋"/>
          <w:color w:val="auto"/>
          <w:szCs w:val="21"/>
          <w:highlight w:val="none"/>
        </w:rPr>
        <w:t>。</w:t>
      </w:r>
    </w:p>
    <w:p>
      <w:pPr>
        <w:widowControl/>
        <w:spacing w:line="400" w:lineRule="exact"/>
        <w:ind w:firstLine="420" w:firstLineChars="20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①已公布的工程量清单部分不参与结算优惠，以中标人的投标报价为准结算，工程量按实结算</w:t>
      </w:r>
      <w:r>
        <w:rPr>
          <w:rFonts w:hint="eastAsia" w:ascii="宋体" w:hAnsi="宋体" w:eastAsia="宋体" w:cs="仿宋"/>
          <w:color w:val="auto"/>
          <w:szCs w:val="21"/>
          <w:highlight w:val="none"/>
        </w:rPr>
        <w:t>。</w:t>
      </w:r>
    </w:p>
    <w:p>
      <w:pPr>
        <w:widowControl/>
        <w:spacing w:line="400" w:lineRule="exact"/>
        <w:ind w:firstLine="420" w:firstLineChars="20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②已公布的工程量清单以外新增和调整部分的综合单价，按投标人施工中标下浮率百分比</w:t>
      </w:r>
      <w:r>
        <w:rPr>
          <w:rFonts w:hint="eastAsia" w:ascii="宋体" w:hAnsi="宋体" w:eastAsia="宋体" w:cs="仿宋"/>
          <w:color w:val="auto"/>
          <w:szCs w:val="21"/>
          <w:highlight w:val="none"/>
          <w:u w:val="single"/>
        </w:rPr>
        <w:t>结算，工程量以实际发生经参建各方认定为准。结算依据为现行的《建设工程工程量清单计价标准》（GB/T50500-2024）、《建设工程工程量清单计价标准（2024）》云南省过渡期实施规定、《云南省建设工程造价计价标准（2020版）》及相应文件，云南省最新发布的关于上述文件的调整文件及有关规定。清单外新增最终结算价=经审核的建安工程费×（1-施工中标优惠下浮率     ）</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u w:val="single"/>
        </w:rPr>
        <w:t>③最终结算建安工程费=清单报价部分的建安工程费+清单外下浮率部分的建安工程费；清单部分建安工程费=清单报价×经审核的工程量+经审定的调差部分的费用；下浮率部分的建安费=经审核的建安工程费×（1-施工中标优惠下浮率    ）</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④由市场价格波动引起的调整按本合同专用条款13.8条约定执行，已发布工程量清单中没有的材料，按施工期间确认的材料价格据实计入结算</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⑤其他：人工费、税金等国家或地区政策性调整按相关文件执行</w:t>
      </w:r>
      <w:r>
        <w:rPr>
          <w:rFonts w:hint="eastAsia" w:ascii="宋体" w:hAnsi="宋体" w:eastAsia="宋体" w:cs="仿宋"/>
          <w:color w:val="auto"/>
          <w:szCs w:val="21"/>
          <w:highlight w:val="none"/>
        </w:rPr>
        <w:t>。</w:t>
      </w:r>
    </w:p>
    <w:p>
      <w:pPr>
        <w:spacing w:line="360" w:lineRule="auto"/>
        <w:ind w:firstLine="315" w:firstLineChars="150"/>
        <w:jc w:val="left"/>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工程验收后，由承包方编制工程结算书，执行《建筑工程施工发包与承包计价管理办法》（中华人民共和国住房和城乡建设部令第16号）</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（3）由市场价格波动引起的调整按本合同专用条款13.8条约定执行。</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（4）其他：</w:t>
      </w:r>
      <w:r>
        <w:rPr>
          <w:rFonts w:hint="eastAsia" w:ascii="宋体" w:hAnsi="宋体" w:eastAsia="宋体" w:cs="仿宋"/>
          <w:color w:val="auto"/>
          <w:szCs w:val="21"/>
          <w:highlight w:val="none"/>
          <w:u w:val="single"/>
        </w:rPr>
        <w:t>人工费、税金等国家或地区政策性调整按相关文件执行</w:t>
      </w:r>
      <w:r>
        <w:rPr>
          <w:rFonts w:hint="eastAsia" w:ascii="宋体" w:hAnsi="宋体" w:eastAsia="宋体" w:cs="仿宋"/>
          <w:color w:val="auto"/>
          <w:szCs w:val="21"/>
          <w:highlight w:val="none"/>
        </w:rPr>
        <w:t>。</w:t>
      </w:r>
    </w:p>
    <w:p>
      <w:pPr>
        <w:spacing w:line="360" w:lineRule="auto"/>
        <w:ind w:firstLine="560"/>
        <w:rPr>
          <w:rFonts w:ascii="宋体" w:hAnsi="宋体" w:eastAsia="宋体" w:cs="仿宋"/>
          <w:color w:val="auto"/>
          <w:szCs w:val="21"/>
          <w:highlight w:val="none"/>
          <w:u w:val="single"/>
        </w:rPr>
      </w:pPr>
      <w:r>
        <w:rPr>
          <w:rFonts w:hint="eastAsia" w:ascii="宋体" w:hAnsi="宋体" w:eastAsia="宋体" w:cs="仿宋"/>
          <w:color w:val="auto"/>
          <w:szCs w:val="21"/>
          <w:highlight w:val="none"/>
        </w:rPr>
        <w:t>14.1.3 按实际完成的工程量支付工程价款的计量方法、估价方法：</w:t>
      </w:r>
      <w:r>
        <w:rPr>
          <w:rFonts w:hint="eastAsia" w:ascii="宋体" w:hAnsi="宋体" w:eastAsia="宋体" w:cs="仿宋"/>
          <w:color w:val="auto"/>
          <w:szCs w:val="21"/>
          <w:highlight w:val="none"/>
          <w:u w:val="single"/>
        </w:rPr>
        <w:t>按月计量，以发包人、工程师、造价咨询单位审核认可的实际完成工程量和约定的计价方式</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14.2 预付款</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14.2.1 预付款支付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预付款的金额或比例为：</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预付款支付期限：</w:t>
      </w:r>
      <w:r>
        <w:rPr>
          <w:rFonts w:hint="eastAsia" w:ascii="宋体" w:hAnsi="宋体" w:eastAsia="宋体" w:cs="Times New Roman"/>
          <w:color w:val="auto"/>
          <w:kern w:val="0"/>
          <w:szCs w:val="21"/>
          <w:highlight w:val="none"/>
          <w:u w:val="single"/>
        </w:rPr>
        <w:t xml:space="preserve">                                </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预付款扣回的方式：</w:t>
      </w:r>
      <w:r>
        <w:rPr>
          <w:rFonts w:hint="eastAsia" w:ascii="宋体" w:hAnsi="宋体" w:eastAsia="宋体" w:cs="Times New Roman"/>
          <w:color w:val="auto"/>
          <w:kern w:val="0"/>
          <w:szCs w:val="21"/>
          <w:highlight w:val="none"/>
          <w:u w:val="single"/>
        </w:rPr>
        <w:t xml:space="preserve">               </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14.2.2预付款担保</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提供预付款担保期限：</w:t>
      </w:r>
      <w:r>
        <w:rPr>
          <w:rFonts w:hint="eastAsia" w:ascii="宋体" w:hAnsi="宋体" w:eastAsia="宋体" w:cs="仿宋"/>
          <w:color w:val="auto"/>
          <w:szCs w:val="21"/>
          <w:highlight w:val="none"/>
          <w:u w:val="single"/>
        </w:rPr>
        <w:t xml:space="preserve">  不提供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预付款担保形式：</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14.3 工程进度款</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14.3.1 工程进度付款申请</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工程进度付款申请方式：</w:t>
      </w:r>
      <w:r>
        <w:rPr>
          <w:rFonts w:hint="eastAsia" w:ascii="宋体" w:hAnsi="宋体" w:eastAsia="宋体" w:cs="仿宋"/>
          <w:color w:val="auto"/>
          <w:szCs w:val="21"/>
          <w:highlight w:val="none"/>
          <w:u w:val="single"/>
        </w:rPr>
        <w:t xml:space="preserve"> 按发包人要求执行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承包人提交进度付款申请单的格式、内容、份数和时间：</w:t>
      </w:r>
      <w:r>
        <w:rPr>
          <w:rFonts w:hint="eastAsia" w:ascii="宋体" w:hAnsi="宋体" w:eastAsia="宋体" w:cs="仿宋"/>
          <w:color w:val="auto"/>
          <w:szCs w:val="21"/>
          <w:highlight w:val="none"/>
          <w:u w:val="single"/>
        </w:rPr>
        <w:t xml:space="preserve"> 格式、内容由承包人自定，并经发包人确认，每月25日前提交4份，发包人不返还拨款申请报告给承包人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进度付款申请单应包括的内容：</w:t>
      </w:r>
      <w:r>
        <w:rPr>
          <w:rFonts w:hint="eastAsia" w:ascii="宋体" w:hAnsi="宋体" w:eastAsia="宋体" w:cs="仿宋"/>
          <w:color w:val="auto"/>
          <w:szCs w:val="21"/>
          <w:highlight w:val="none"/>
          <w:u w:val="single"/>
        </w:rPr>
        <w:t xml:space="preserve">  按发包人要求执行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14.3.2 进度付款审核和支付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进度付款的审核方式和支付的约定：</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1、设计费按以下约定进行支付：</w:t>
      </w:r>
    </w:p>
    <w:p>
      <w:pPr>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（1）</w:t>
      </w:r>
      <w:r>
        <w:rPr>
          <w:rFonts w:hint="eastAsia" w:ascii="宋体" w:hAnsi="宋体" w:eastAsia="宋体" w:cs="仿宋"/>
          <w:color w:val="auto"/>
          <w:szCs w:val="21"/>
          <w:highlight w:val="none"/>
          <w:u w:val="single"/>
        </w:rPr>
        <w:t>设计过程中视设计进度支付，支付比例不超完成设计费用的50%；完成施工图设计，施工图设计文件经审查机构审查合格，并取得施工图审查合格证或技术咨询意见书后30个工作日内，发包人向承包人（设计单位）可支付至完成设计费用的80%</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（2）</w:t>
      </w:r>
      <w:r>
        <w:rPr>
          <w:rFonts w:hint="eastAsia" w:ascii="宋体" w:hAnsi="宋体" w:eastAsia="宋体" w:cs="仿宋"/>
          <w:color w:val="auto"/>
          <w:szCs w:val="21"/>
          <w:highlight w:val="none"/>
          <w:u w:val="single"/>
        </w:rPr>
        <w:t>剩余设计费作为施工阶段服务费，根据工程进度支付，工程竣工验收合格后可支付至完成设计费用的85%；结算审定后拨付至审定设计费的97%；剩余费用质量保证金，待工程缺陷责任期满无设计质量缺陷后，一次性无息支付给承包人（设计单位）</w:t>
      </w:r>
      <w:r>
        <w:rPr>
          <w:rFonts w:hint="eastAsia" w:ascii="宋体" w:hAnsi="宋体" w:eastAsia="宋体" w:cs="仿宋"/>
          <w:color w:val="auto"/>
          <w:szCs w:val="21"/>
          <w:highlight w:val="none"/>
        </w:rPr>
        <w:t>；</w:t>
      </w:r>
    </w:p>
    <w:p>
      <w:pPr>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2、建安工程费按以下约定进行支付：</w:t>
      </w:r>
    </w:p>
    <w:p>
      <w:pPr>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按月支付进度款，可支付至经工程师、造价及发包人审定的当月完成经检验合格工程量的80%，工程竣工验收合格后可支付至已完工程的85%，结算审定后拨付至审定金额的97%，扣留质量保证金3%，质量保证金待缺陷责任期满且无质量缺陷后，一次性无息支付给承包人（施工单位）</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发包人应在进度款支付证书或临时进度款支付证书签发后的</w:t>
      </w:r>
      <w:r>
        <w:rPr>
          <w:rFonts w:hint="eastAsia" w:ascii="宋体" w:hAnsi="宋体" w:eastAsia="宋体" w:cs="仿宋"/>
          <w:color w:val="auto"/>
          <w:szCs w:val="21"/>
          <w:highlight w:val="none"/>
          <w:u w:val="single"/>
        </w:rPr>
        <w:t xml:space="preserve"> （按</w:t>
      </w:r>
      <w:r>
        <w:rPr>
          <w:rFonts w:hint="eastAsia" w:ascii="宋体" w:hAnsi="宋体" w:eastAsia="宋体" w:cs="仿宋"/>
          <w:bCs/>
          <w:color w:val="auto"/>
          <w:szCs w:val="21"/>
          <w:highlight w:val="none"/>
          <w:u w:val="single"/>
        </w:rPr>
        <w:t>通用条款执行</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天内完成支付。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3、支付进度款之前，承包人向发包人开具合法的增值税专用发票。</w:t>
      </w:r>
    </w:p>
    <w:p>
      <w:pPr>
        <w:spacing w:line="360" w:lineRule="auto"/>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u w:val="single"/>
        </w:rPr>
        <w:t>14.4 付款计划表</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14.4.1 付款计划表的编制要求：</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 xml:space="preserve">按发包人要求执行 </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14.4.2 付款计划表的编制与审批</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付款计划表的编制：</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 xml:space="preserve">按发包人要求执行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14.5 竣工结算</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14.5.1 竣工结算申请</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承包人提交竣工结算申请的时间：</w:t>
      </w:r>
      <w:r>
        <w:rPr>
          <w:rFonts w:hint="eastAsia" w:ascii="宋体" w:hAnsi="宋体" w:eastAsia="宋体" w:cs="仿宋"/>
          <w:bCs/>
          <w:color w:val="auto"/>
          <w:szCs w:val="21"/>
          <w:highlight w:val="none"/>
          <w:u w:val="single"/>
        </w:rPr>
        <w:t>工程验收合格后120天内承包人向发包人和工程师提供竣工结算申请单以及相关竣工资料</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竣工结算申请的资料清单和份数：</w:t>
      </w:r>
      <w:r>
        <w:rPr>
          <w:rFonts w:hint="eastAsia" w:ascii="宋体" w:hAnsi="宋体" w:eastAsia="宋体" w:cs="仿宋"/>
          <w:color w:val="auto"/>
          <w:szCs w:val="21"/>
          <w:highlight w:val="none"/>
          <w:u w:val="single"/>
        </w:rPr>
        <w:t xml:space="preserve"> 按打包人要求执行 </w:t>
      </w:r>
      <w:r>
        <w:rPr>
          <w:rFonts w:hint="eastAsia" w:ascii="宋体" w:hAnsi="宋体" w:eastAsia="宋体" w:cs="仿宋"/>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竣工结算申请单的内容应包括：</w:t>
      </w:r>
      <w:r>
        <w:rPr>
          <w:rFonts w:hint="eastAsia" w:ascii="宋体" w:hAnsi="宋体" w:eastAsia="宋体" w:cs="仿宋"/>
          <w:bCs/>
          <w:color w:val="auto"/>
          <w:szCs w:val="21"/>
          <w:highlight w:val="none"/>
          <w:u w:val="single"/>
        </w:rPr>
        <w:t>（1）除通用条款规定内容外，还包括但不限于工程施工过程中，承包人所提供的报告、签证、洽商纪要、材料价格签认单等</w:t>
      </w:r>
      <w:r>
        <w:rPr>
          <w:rFonts w:hint="eastAsia" w:ascii="宋体" w:hAnsi="宋体" w:eastAsia="宋体" w:cs="仿宋"/>
          <w:bCs/>
          <w:color w:val="auto"/>
          <w:szCs w:val="21"/>
          <w:highlight w:val="none"/>
        </w:rPr>
        <w:t>。</w:t>
      </w:r>
    </w:p>
    <w:p>
      <w:pPr>
        <w:spacing w:line="360" w:lineRule="auto"/>
        <w:ind w:firstLine="562"/>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（2）所有竣工结算资料均需使用发包人统一格式要求的专项表格，所报表格必须清晰、完整并于规定时间报送</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bCs/>
          <w:color w:val="auto"/>
          <w:szCs w:val="21"/>
          <w:highlight w:val="none"/>
          <w:u w:val="single"/>
        </w:rPr>
        <w:t>（3）竣工图、设计变更、工程签证、施工方案、施工过程记录及材料认价单等结算依据资料</w:t>
      </w:r>
      <w:r>
        <w:rPr>
          <w:rFonts w:hint="eastAsia" w:ascii="宋体" w:hAnsi="宋体" w:eastAsia="宋体" w:cs="仿宋"/>
          <w:bCs/>
          <w:color w:val="auto"/>
          <w:szCs w:val="21"/>
          <w:highlight w:val="none"/>
        </w:rPr>
        <w:t>。</w:t>
      </w:r>
    </w:p>
    <w:p>
      <w:pPr>
        <w:spacing w:after="120" w:line="360" w:lineRule="auto"/>
        <w:ind w:firstLine="420" w:firstLineChars="200"/>
        <w:rPr>
          <w:rFonts w:ascii="宋体" w:hAnsi="宋体" w:eastAsia="宋体" w:cs="仿宋"/>
          <w:bCs/>
          <w:color w:val="auto"/>
          <w:szCs w:val="21"/>
          <w:highlight w:val="none"/>
        </w:rPr>
      </w:pPr>
      <w:r>
        <w:rPr>
          <w:rFonts w:hint="eastAsia" w:ascii="宋体" w:hAnsi="宋体" w:eastAsia="宋体" w:cs="仿宋"/>
          <w:bCs/>
          <w:color w:val="auto"/>
          <w:szCs w:val="21"/>
          <w:highlight w:val="none"/>
          <w:u w:val="single"/>
        </w:rPr>
        <w:t>（4）根据项目实际情况增减</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14.5.2 竣工结算审核</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发包人审批竣工付款申请单的期限：</w:t>
      </w:r>
      <w:r>
        <w:rPr>
          <w:rFonts w:hint="eastAsia" w:ascii="宋体" w:hAnsi="宋体" w:eastAsia="宋体" w:cs="仿宋"/>
          <w:color w:val="auto"/>
          <w:szCs w:val="21"/>
          <w:highlight w:val="none"/>
          <w:u w:val="single"/>
        </w:rPr>
        <w:t xml:space="preserve"> 按通用条款执行</w:t>
      </w:r>
      <w:r>
        <w:rPr>
          <w:rFonts w:hint="eastAsia" w:ascii="宋体" w:hAnsi="宋体" w:eastAsia="宋体" w:cs="仿宋"/>
          <w:color w:val="auto"/>
          <w:szCs w:val="21"/>
          <w:highlight w:val="none"/>
        </w:rPr>
        <w:t xml:space="preserve"> </w:t>
      </w:r>
      <w:r>
        <w:rPr>
          <w:rFonts w:hint="eastAsia" w:ascii="宋体" w:hAnsi="宋体" w:eastAsia="宋体" w:cs="仿宋"/>
          <w:bCs/>
          <w:color w:val="auto"/>
          <w:szCs w:val="21"/>
          <w:highlight w:val="none"/>
        </w:rPr>
        <w:t>。</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bCs/>
          <w:color w:val="auto"/>
          <w:szCs w:val="21"/>
          <w:highlight w:val="none"/>
        </w:rPr>
        <w:t>发包人完成竣工付款的期限：</w:t>
      </w:r>
      <w:r>
        <w:rPr>
          <w:rFonts w:hint="eastAsia" w:ascii="宋体" w:hAnsi="宋体" w:eastAsia="宋体" w:cs="仿宋"/>
          <w:bCs/>
          <w:color w:val="auto"/>
          <w:szCs w:val="21"/>
          <w:highlight w:val="none"/>
          <w:u w:val="single"/>
        </w:rPr>
        <w:t xml:space="preserve"> </w:t>
      </w:r>
      <w:r>
        <w:rPr>
          <w:rFonts w:hint="eastAsia" w:ascii="宋体" w:hAnsi="宋体" w:eastAsia="宋体" w:cs="仿宋"/>
          <w:color w:val="auto"/>
          <w:szCs w:val="21"/>
          <w:highlight w:val="none"/>
          <w:u w:val="single"/>
        </w:rPr>
        <w:t>按通用条款执行</w:t>
      </w:r>
      <w:r>
        <w:rPr>
          <w:rFonts w:hint="eastAsia" w:ascii="宋体" w:hAnsi="宋体" w:eastAsia="宋体" w:cs="仿宋"/>
          <w:bCs/>
          <w:color w:val="auto"/>
          <w:szCs w:val="21"/>
          <w:highlight w:val="none"/>
        </w:rPr>
        <w:t xml:space="preserve"> 。</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关于竣工付款证书异议部分复核的方式和程序：</w:t>
      </w:r>
      <w:r>
        <w:rPr>
          <w:rFonts w:hint="eastAsia" w:ascii="宋体" w:hAnsi="宋体" w:eastAsia="宋体" w:cs="仿宋"/>
          <w:color w:val="auto"/>
          <w:szCs w:val="21"/>
          <w:highlight w:val="none"/>
          <w:u w:val="single"/>
        </w:rPr>
        <w:t xml:space="preserve"> 按通用条款执行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14.6 质量保证金</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14.6.1 承包人提供质量保证金的方式</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质量保证金采用以下第</w:t>
      </w:r>
      <w:r>
        <w:rPr>
          <w:rFonts w:hint="eastAsia" w:ascii="宋体" w:hAnsi="宋体" w:eastAsia="宋体" w:cs="仿宋"/>
          <w:color w:val="auto"/>
          <w:szCs w:val="21"/>
          <w:highlight w:val="none"/>
          <w:u w:val="single"/>
        </w:rPr>
        <w:t xml:space="preserve">   （2）   </w:t>
      </w:r>
      <w:r>
        <w:rPr>
          <w:rFonts w:hint="eastAsia" w:ascii="宋体" w:hAnsi="宋体" w:eastAsia="宋体" w:cs="仿宋"/>
          <w:color w:val="auto"/>
          <w:szCs w:val="21"/>
          <w:highlight w:val="none"/>
        </w:rPr>
        <w:t>种方式：</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工程质量保证担保，保证金额为：</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(2) </w:t>
      </w:r>
      <w:r>
        <w:rPr>
          <w:rFonts w:hint="eastAsia" w:ascii="宋体" w:hAnsi="宋体" w:eastAsia="宋体" w:cs="仿宋"/>
          <w:color w:val="auto"/>
          <w:szCs w:val="21"/>
          <w:highlight w:val="none"/>
          <w:u w:val="single"/>
        </w:rPr>
        <w:t xml:space="preserve">  3  </w:t>
      </w:r>
      <w:r>
        <w:rPr>
          <w:rFonts w:hint="eastAsia" w:ascii="宋体" w:hAnsi="宋体" w:eastAsia="宋体" w:cs="仿宋"/>
          <w:color w:val="auto"/>
          <w:szCs w:val="21"/>
          <w:highlight w:val="none"/>
        </w:rPr>
        <w:t>%的工程款；</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 其他方式：</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14.6.2 质量保证金的预留</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质量保证金的预留采取以下第</w:t>
      </w:r>
      <w:r>
        <w:rPr>
          <w:rFonts w:hint="eastAsia" w:ascii="宋体" w:hAnsi="宋体" w:eastAsia="宋体" w:cs="仿宋"/>
          <w:color w:val="auto"/>
          <w:szCs w:val="21"/>
          <w:highlight w:val="none"/>
          <w:u w:val="single"/>
        </w:rPr>
        <w:t xml:space="preserve">  （2）  </w:t>
      </w:r>
      <w:r>
        <w:rPr>
          <w:rFonts w:hint="eastAsia" w:ascii="宋体" w:hAnsi="宋体" w:eastAsia="宋体" w:cs="仿宋"/>
          <w:color w:val="auto"/>
          <w:szCs w:val="21"/>
          <w:highlight w:val="none"/>
        </w:rPr>
        <w:t>种方式：</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 在支付工程进度款时逐次预留的质量保证金的比例：</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，在此情形下，质量保证金的计算基数不包括预付款的支付、扣回以及价格调整的金额；</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 工程竣工结算时一次性预留专用合同条件第14.6.1项第(2)目约定的工程款预留比例的质量保证金；</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(3) 其他预留方式: </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关于质量保证金的补充约定：</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14.7 最终结清</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14.7.1 最终结清申请单</w:t>
      </w:r>
    </w:p>
    <w:p>
      <w:pPr>
        <w:spacing w:line="360" w:lineRule="auto"/>
        <w:ind w:firstLine="60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当事人双方关于最终结清申请的其他约定：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14.7.2 最终结清证书和支付</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当事人双方关于最终结清支付的其他约定：</w:t>
      </w:r>
      <w:r>
        <w:rPr>
          <w:rFonts w:hint="eastAsia" w:ascii="宋体" w:hAnsi="宋体" w:eastAsia="宋体" w:cs="仿宋"/>
          <w:color w:val="auto"/>
          <w:szCs w:val="21"/>
          <w:highlight w:val="none"/>
          <w:u w:val="single"/>
        </w:rPr>
        <w:t xml:space="preserve"> 按通用条款执行</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24" w:name="_Toc182245947"/>
      <w:bookmarkStart w:id="1625" w:name="_Toc30575"/>
      <w:bookmarkStart w:id="1626" w:name="_Toc216681931"/>
      <w:bookmarkStart w:id="1627" w:name="_Toc54862346"/>
      <w:r>
        <w:rPr>
          <w:rFonts w:hint="eastAsia" w:ascii="宋体" w:hAnsi="宋体" w:eastAsia="宋体" w:cs="仿宋"/>
          <w:bCs/>
          <w:color w:val="auto"/>
          <w:szCs w:val="21"/>
          <w:highlight w:val="none"/>
        </w:rPr>
        <w:t>第15条 违约</w:t>
      </w:r>
      <w:bookmarkEnd w:id="1624"/>
      <w:bookmarkEnd w:id="1625"/>
      <w:bookmarkEnd w:id="1626"/>
      <w:bookmarkEnd w:id="1627"/>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15.1 发包人违约</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15.1.1 发包人违约的情形</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发包人违约的其他情形</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15.1.3 发包人违约的责任</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发包人违约责任的承担方式和计算方法：</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15.2 承包人违约</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15.2.1 承包人违约的情形</w:t>
      </w:r>
    </w:p>
    <w:p>
      <w:pPr>
        <w:spacing w:line="360" w:lineRule="auto"/>
        <w:ind w:firstLine="420" w:firstLineChars="200"/>
        <w:rPr>
          <w:rFonts w:ascii="宋体" w:hAnsi="宋体" w:eastAsia="宋体" w:cs="仿宋"/>
          <w:color w:val="auto"/>
          <w:szCs w:val="21"/>
          <w:highlight w:val="none"/>
          <w:u w:val="single"/>
        </w:rPr>
      </w:pPr>
      <w:r>
        <w:rPr>
          <w:rFonts w:hint="eastAsia" w:ascii="宋体" w:hAnsi="宋体" w:eastAsia="宋体" w:cs="仿宋"/>
          <w:color w:val="auto"/>
          <w:szCs w:val="21"/>
          <w:highlight w:val="none"/>
        </w:rPr>
        <w:t>承包人违约的其他情形</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15.2.2 通知改正</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工程师通知承包人改正的合理期限是：</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15.2.3 承包人违约的责任</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承包人违约责任的承担方式和计算方法：</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28" w:name="_Toc182245948"/>
      <w:bookmarkStart w:id="1629" w:name="_Toc216681932"/>
      <w:bookmarkStart w:id="1630" w:name="_Toc54862347"/>
      <w:bookmarkStart w:id="1631" w:name="_Toc3980"/>
      <w:r>
        <w:rPr>
          <w:rFonts w:hint="eastAsia" w:ascii="宋体" w:hAnsi="宋体" w:eastAsia="宋体" w:cs="仿宋"/>
          <w:bCs/>
          <w:color w:val="auto"/>
          <w:szCs w:val="21"/>
          <w:highlight w:val="none"/>
        </w:rPr>
        <w:t>第16条 合同解除</w:t>
      </w:r>
      <w:bookmarkEnd w:id="1628"/>
      <w:bookmarkEnd w:id="1629"/>
      <w:bookmarkEnd w:id="1630"/>
      <w:bookmarkEnd w:id="1631"/>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16.1 由发包人解除合同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16.1.1 因承包人违约解除合同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双方约定可由发包人解除合同的其他事由：</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16.2 由承包人解除合同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16.2.1 因发包人违约解除合同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双方约定可由承包人解除合同的其他事由：</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按通用条款执行</w:t>
      </w:r>
      <w:r>
        <w:rPr>
          <w:rFonts w:hint="eastAsia" w:ascii="宋体" w:hAnsi="宋体" w:eastAsia="宋体" w:cs="仿宋"/>
          <w:bCs/>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32" w:name="_Toc875"/>
      <w:bookmarkStart w:id="1633" w:name="_Toc54862348"/>
      <w:bookmarkStart w:id="1634" w:name="_Toc182245949"/>
      <w:bookmarkStart w:id="1635" w:name="_Toc216681933"/>
      <w:r>
        <w:rPr>
          <w:rFonts w:hint="eastAsia" w:ascii="宋体" w:hAnsi="宋体" w:eastAsia="宋体" w:cs="仿宋"/>
          <w:bCs/>
          <w:color w:val="auto"/>
          <w:szCs w:val="21"/>
          <w:highlight w:val="none"/>
        </w:rPr>
        <w:t>第17条 不可抗力</w:t>
      </w:r>
      <w:bookmarkEnd w:id="1632"/>
      <w:bookmarkEnd w:id="1633"/>
      <w:bookmarkEnd w:id="1634"/>
      <w:bookmarkEnd w:id="1635"/>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17.1 不可抗力的定义</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除通用合同条件约定的不可抗力事件之外，视为不可抗力的其他情形：</w:t>
      </w:r>
      <w:r>
        <w:rPr>
          <w:rFonts w:hint="eastAsia" w:ascii="宋体" w:hAnsi="宋体" w:eastAsia="宋体" w:cs="仿宋"/>
          <w:bCs/>
          <w:color w:val="auto"/>
          <w:szCs w:val="21"/>
          <w:highlight w:val="none"/>
          <w:u w:val="single"/>
        </w:rPr>
        <w:t xml:space="preserve"> 当地的疫情、流行病、瘟疫、化学或放射性污染、核辐射污染；全国性、地区性、城市性或行业性罢工；非因本合作项目实施方案批准方原因导致的、且不在其控制下的征收、征用、停工、管制等政府行为；在本项目正在使用的任何土地上发现考古文物、化石、古墓及遗址、艺术历史遗物及具有考古学、地质学和历史意义的任何其他物品等</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17.6 因不可抗力解除合同</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合同解除后，发包人应当在商定或确定发包人应支付款项后的</w:t>
      </w:r>
      <w:r>
        <w:rPr>
          <w:rFonts w:hint="eastAsia" w:ascii="宋体" w:hAnsi="宋体" w:eastAsia="宋体" w:cs="仿宋"/>
          <w:color w:val="auto"/>
          <w:szCs w:val="21"/>
          <w:highlight w:val="none"/>
          <w:u w:val="single"/>
        </w:rPr>
        <w:t xml:space="preserve"> 7 </w:t>
      </w:r>
      <w:r>
        <w:rPr>
          <w:rFonts w:hint="eastAsia" w:ascii="宋体" w:hAnsi="宋体" w:eastAsia="宋体" w:cs="仿宋"/>
          <w:color w:val="auto"/>
          <w:szCs w:val="21"/>
          <w:highlight w:val="none"/>
        </w:rPr>
        <w:t>天内完成款项的支付。</w:t>
      </w:r>
    </w:p>
    <w:p>
      <w:pPr>
        <w:tabs>
          <w:tab w:val="left" w:pos="993"/>
        </w:tabs>
        <w:spacing w:line="360" w:lineRule="auto"/>
        <w:outlineLvl w:val="1"/>
        <w:rPr>
          <w:rFonts w:ascii="宋体" w:hAnsi="宋体" w:eastAsia="宋体" w:cs="仿宋"/>
          <w:bCs/>
          <w:color w:val="auto"/>
          <w:szCs w:val="21"/>
          <w:highlight w:val="none"/>
        </w:rPr>
      </w:pPr>
      <w:bookmarkStart w:id="1636" w:name="_Toc4784276"/>
      <w:bookmarkEnd w:id="1636"/>
      <w:bookmarkStart w:id="1637" w:name="_Toc4784277"/>
      <w:bookmarkEnd w:id="1637"/>
      <w:bookmarkStart w:id="1638" w:name="_Toc216681934"/>
      <w:bookmarkStart w:id="1639" w:name="_Toc182245950"/>
      <w:bookmarkStart w:id="1640" w:name="_Toc54862349"/>
      <w:bookmarkStart w:id="1641" w:name="_Toc19230"/>
      <w:r>
        <w:rPr>
          <w:rFonts w:hint="eastAsia" w:ascii="宋体" w:hAnsi="宋体" w:eastAsia="宋体" w:cs="仿宋"/>
          <w:bCs/>
          <w:color w:val="auto"/>
          <w:szCs w:val="21"/>
          <w:highlight w:val="none"/>
        </w:rPr>
        <w:t>第18条 保险</w:t>
      </w:r>
      <w:bookmarkEnd w:id="1638"/>
      <w:bookmarkEnd w:id="1639"/>
      <w:bookmarkEnd w:id="1640"/>
      <w:bookmarkEnd w:id="1641"/>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18.1 设计和工程保险</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18.1.1 双方当事人关于设计和工程保险的特别约定：</w:t>
      </w:r>
      <w:r>
        <w:rPr>
          <w:rFonts w:hint="eastAsia" w:ascii="宋体" w:hAnsi="宋体" w:eastAsia="宋体" w:cs="仿宋"/>
          <w:color w:val="auto"/>
          <w:szCs w:val="21"/>
          <w:highlight w:val="none"/>
          <w:u w:val="single"/>
        </w:rPr>
        <w:t xml:space="preserve"> 由承包人按相关规定自行办理</w:t>
      </w:r>
      <w:r>
        <w:rPr>
          <w:rFonts w:hint="eastAsia" w:ascii="宋体" w:hAnsi="宋体" w:eastAsia="宋体" w:cs="仿宋"/>
          <w:color w:val="auto"/>
          <w:szCs w:val="21"/>
          <w:highlight w:val="none"/>
        </w:rPr>
        <w:t>。</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18.1.2 双方当事人关于第三方责任险的特别约定：</w:t>
      </w:r>
      <w:r>
        <w:rPr>
          <w:rFonts w:hint="eastAsia" w:ascii="宋体" w:hAnsi="宋体" w:eastAsia="宋体" w:cs="仿宋"/>
          <w:color w:val="auto"/>
          <w:szCs w:val="21"/>
          <w:highlight w:val="none"/>
          <w:u w:val="single"/>
        </w:rPr>
        <w:t xml:space="preserve"> 由承包人按相关规定自行办理</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18.2 工伤和意外伤害保险</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18.2.3 关于工伤保险和意外伤害保险的特别约定：</w:t>
      </w:r>
      <w:r>
        <w:rPr>
          <w:rFonts w:hint="eastAsia" w:ascii="宋体" w:hAnsi="宋体" w:eastAsia="宋体" w:cs="仿宋"/>
          <w:color w:val="auto"/>
          <w:szCs w:val="21"/>
          <w:highlight w:val="none"/>
          <w:u w:val="single"/>
        </w:rPr>
        <w:t xml:space="preserve"> 由承包人按相关规定自行办理</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18.3 货物保险</w:t>
      </w:r>
    </w:p>
    <w:p>
      <w:pPr>
        <w:spacing w:line="360" w:lineRule="auto"/>
        <w:ind w:firstLine="560"/>
        <w:rPr>
          <w:rFonts w:ascii="宋体" w:hAnsi="宋体" w:eastAsia="宋体" w:cs="仿宋"/>
          <w:color w:val="auto"/>
          <w:szCs w:val="21"/>
          <w:highlight w:val="none"/>
          <w:u w:val="single"/>
        </w:rPr>
      </w:pPr>
      <w:r>
        <w:rPr>
          <w:rFonts w:hint="eastAsia" w:ascii="宋体" w:hAnsi="宋体" w:eastAsia="宋体" w:cs="仿宋"/>
          <w:color w:val="auto"/>
          <w:szCs w:val="21"/>
          <w:highlight w:val="none"/>
        </w:rPr>
        <w:t>关于承包人应为其施工设备、材料、工程设备和临时工程等办理财产保险的特别约定：</w:t>
      </w:r>
      <w:r>
        <w:rPr>
          <w:rFonts w:hint="eastAsia" w:ascii="宋体" w:hAnsi="宋体" w:eastAsia="宋体" w:cs="仿宋"/>
          <w:color w:val="auto"/>
          <w:szCs w:val="21"/>
          <w:highlight w:val="none"/>
          <w:u w:val="single"/>
        </w:rPr>
        <w:t>由承包人按相关规定自行办理。承包人为该项目场地内自有人员、车辆和设备办理保险，保险费用计列在总承包费用内，发包人不再单独支付此费用</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18.4 其他保险</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关于其他保险的约定：</w:t>
      </w:r>
      <w:r>
        <w:rPr>
          <w:rFonts w:hint="eastAsia" w:ascii="宋体" w:hAnsi="宋体" w:eastAsia="宋体" w:cs="仿宋"/>
          <w:color w:val="auto"/>
          <w:szCs w:val="21"/>
          <w:highlight w:val="none"/>
          <w:u w:val="single"/>
        </w:rPr>
        <w:t xml:space="preserve"> 由承包人按相关规定自行办理</w:t>
      </w:r>
      <w:r>
        <w:rPr>
          <w:rFonts w:hint="eastAsia" w:ascii="宋体" w:hAnsi="宋体" w:eastAsia="宋体" w:cs="仿宋"/>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18.5 对各项保险的一般要求</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18.5.2 保险凭证</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保险单的条件：</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按相关规定执行</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18.5.4 通知义务</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关于变更保险合同时的通知义务的约定：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按相关规定执行</w:t>
      </w:r>
      <w:r>
        <w:rPr>
          <w:rFonts w:hint="eastAsia" w:ascii="宋体" w:hAnsi="宋体" w:eastAsia="宋体" w:cs="仿宋"/>
          <w:bCs/>
          <w:color w:val="auto"/>
          <w:szCs w:val="21"/>
          <w:highlight w:val="none"/>
        </w:rPr>
        <w:t>。</w:t>
      </w:r>
    </w:p>
    <w:p>
      <w:pPr>
        <w:tabs>
          <w:tab w:val="left" w:pos="993"/>
        </w:tabs>
        <w:spacing w:line="360" w:lineRule="auto"/>
        <w:outlineLvl w:val="1"/>
        <w:rPr>
          <w:rFonts w:ascii="宋体" w:hAnsi="宋体" w:eastAsia="宋体" w:cs="仿宋"/>
          <w:bCs/>
          <w:color w:val="auto"/>
          <w:szCs w:val="21"/>
          <w:highlight w:val="none"/>
        </w:rPr>
      </w:pPr>
      <w:bookmarkStart w:id="1642" w:name="_Toc216681935"/>
      <w:bookmarkStart w:id="1643" w:name="_Toc54862350"/>
      <w:bookmarkStart w:id="1644" w:name="_Toc182245951"/>
      <w:bookmarkStart w:id="1645" w:name="_Toc16964"/>
      <w:r>
        <w:rPr>
          <w:rFonts w:hint="eastAsia" w:ascii="宋体" w:hAnsi="宋体" w:eastAsia="宋体" w:cs="仿宋"/>
          <w:bCs/>
          <w:color w:val="auto"/>
          <w:szCs w:val="21"/>
          <w:highlight w:val="none"/>
        </w:rPr>
        <w:t>第20条 争议解决</w:t>
      </w:r>
      <w:bookmarkEnd w:id="1642"/>
      <w:bookmarkEnd w:id="1643"/>
      <w:bookmarkEnd w:id="1644"/>
      <w:bookmarkEnd w:id="1645"/>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20.3 争议评审</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合同当事人是否同意将工程争议提交争议评审小组决定：</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20.3.1 争议评审小组的确定</w:t>
      </w:r>
    </w:p>
    <w:p>
      <w:pPr>
        <w:widowControl/>
        <w:adjustRightInd w:val="0"/>
        <w:snapToGrid w:val="0"/>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争议评审小组成员的人数：</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widowControl/>
        <w:adjustRightInd w:val="0"/>
        <w:snapToGrid w:val="0"/>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争议评审小组成员的确定：</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widowControl/>
        <w:adjustRightInd w:val="0"/>
        <w:snapToGrid w:val="0"/>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选定争议避免/评审组的期限：</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widowControl/>
        <w:adjustRightInd w:val="0"/>
        <w:snapToGrid w:val="0"/>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评审机构：</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widowControl/>
        <w:adjustRightInd w:val="0"/>
        <w:snapToGrid w:val="0"/>
        <w:spacing w:line="360" w:lineRule="auto"/>
        <w:ind w:firstLine="560"/>
        <w:rPr>
          <w:rFonts w:ascii="宋体" w:hAnsi="宋体" w:eastAsia="宋体" w:cs="仿宋"/>
          <w:bCs/>
          <w:color w:val="auto"/>
          <w:szCs w:val="21"/>
          <w:highlight w:val="none"/>
          <w:u w:val="single"/>
        </w:rPr>
      </w:pPr>
      <w:r>
        <w:rPr>
          <w:rFonts w:hint="eastAsia" w:ascii="宋体" w:hAnsi="宋体" w:eastAsia="宋体" w:cs="仿宋"/>
          <w:color w:val="auto"/>
          <w:szCs w:val="21"/>
          <w:highlight w:val="none"/>
        </w:rPr>
        <w:t>其他事项的约定：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widowControl/>
        <w:adjustRightInd w:val="0"/>
        <w:snapToGrid w:val="0"/>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争议评审员报酬的承担人：</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20.3.2 争议的避免</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发包人和承包人是否均出席争议避免的非正式讨论：</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是</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20.3.3 争议评审小组的决定</w:t>
      </w:r>
    </w:p>
    <w:p>
      <w:pPr>
        <w:spacing w:line="360" w:lineRule="auto"/>
        <w:ind w:firstLine="560"/>
        <w:rPr>
          <w:rFonts w:ascii="宋体" w:hAnsi="宋体" w:eastAsia="宋体" w:cs="仿宋"/>
          <w:bCs/>
          <w:color w:val="auto"/>
          <w:szCs w:val="21"/>
          <w:highlight w:val="none"/>
        </w:rPr>
      </w:pPr>
      <w:r>
        <w:rPr>
          <w:rFonts w:hint="eastAsia" w:ascii="宋体" w:hAnsi="宋体" w:eastAsia="宋体" w:cs="仿宋"/>
          <w:color w:val="auto"/>
          <w:szCs w:val="21"/>
          <w:highlight w:val="none"/>
        </w:rPr>
        <w:t>关于争议评审小组的决定的特别约定：</w:t>
      </w:r>
      <w:r>
        <w:rPr>
          <w:rFonts w:hint="eastAsia" w:ascii="宋体" w:hAnsi="宋体" w:eastAsia="宋体" w:cs="仿宋"/>
          <w:color w:val="auto"/>
          <w:szCs w:val="21"/>
          <w:highlight w:val="none"/>
          <w:u w:val="single"/>
        </w:rPr>
        <w:t xml:space="preserve"> </w:t>
      </w:r>
      <w:r>
        <w:rPr>
          <w:rFonts w:hint="eastAsia" w:ascii="宋体" w:hAnsi="宋体" w:eastAsia="宋体" w:cs="仿宋"/>
          <w:bCs/>
          <w:color w:val="auto"/>
          <w:szCs w:val="21"/>
          <w:highlight w:val="none"/>
          <w:u w:val="single"/>
        </w:rPr>
        <w:t>发生时双方协商</w:t>
      </w:r>
      <w:r>
        <w:rPr>
          <w:rFonts w:hint="eastAsia" w:ascii="宋体" w:hAnsi="宋体" w:eastAsia="宋体" w:cs="仿宋"/>
          <w:bCs/>
          <w:color w:val="auto"/>
          <w:szCs w:val="21"/>
          <w:highlight w:val="none"/>
        </w:rPr>
        <w:t>。</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20.4 仲裁或诉讼</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因合同及合同有关事项发生的争议，按下列第</w:t>
      </w:r>
      <w:r>
        <w:rPr>
          <w:rFonts w:hint="eastAsia" w:ascii="宋体" w:hAnsi="宋体" w:eastAsia="宋体" w:cs="仿宋"/>
          <w:color w:val="auto"/>
          <w:szCs w:val="21"/>
          <w:highlight w:val="none"/>
          <w:u w:val="single"/>
        </w:rPr>
        <w:t xml:space="preserve"> （2） </w:t>
      </w:r>
      <w:r>
        <w:rPr>
          <w:rFonts w:hint="eastAsia" w:ascii="宋体" w:hAnsi="宋体" w:eastAsia="宋体" w:cs="仿宋"/>
          <w:color w:val="auto"/>
          <w:szCs w:val="21"/>
          <w:highlight w:val="none"/>
        </w:rPr>
        <w:t>种方式解决：</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（1）向</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仲裁委员会申请仲裁；</w:t>
      </w:r>
    </w:p>
    <w:p>
      <w:pPr>
        <w:spacing w:line="360" w:lineRule="auto"/>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（2）向</w:t>
      </w:r>
      <w:r>
        <w:rPr>
          <w:rFonts w:hint="eastAsia" w:ascii="宋体" w:hAnsi="宋体" w:eastAsia="宋体" w:cs="仿宋"/>
          <w:color w:val="auto"/>
          <w:szCs w:val="21"/>
          <w:highlight w:val="none"/>
          <w:u w:val="single"/>
        </w:rPr>
        <w:t xml:space="preserve"> 普洱市思茅区 </w:t>
      </w:r>
      <w:r>
        <w:rPr>
          <w:rFonts w:hint="eastAsia" w:ascii="宋体" w:hAnsi="宋体" w:eastAsia="宋体" w:cs="仿宋"/>
          <w:color w:val="auto"/>
          <w:szCs w:val="21"/>
          <w:highlight w:val="none"/>
        </w:rPr>
        <w:t>人民法院起诉。</w:t>
      </w:r>
    </w:p>
    <w:p>
      <w:pPr>
        <w:spacing w:line="360" w:lineRule="auto"/>
        <w:ind w:firstLine="560"/>
        <w:rPr>
          <w:rFonts w:ascii="宋体" w:hAnsi="宋体" w:eastAsia="宋体" w:cs="仿宋"/>
          <w:color w:val="auto"/>
          <w:szCs w:val="21"/>
          <w:highlight w:val="none"/>
        </w:rPr>
      </w:pPr>
      <w:r>
        <w:rPr>
          <w:rFonts w:hint="eastAsia" w:ascii="宋体" w:hAnsi="宋体" w:eastAsia="宋体" w:cs="仿宋"/>
          <w:color w:val="auto"/>
          <w:szCs w:val="21"/>
          <w:highlight w:val="none"/>
        </w:rPr>
        <w:t>20.5 其他约定事项</w:t>
      </w:r>
    </w:p>
    <w:p>
      <w:pPr>
        <w:widowControl/>
        <w:adjustRightInd w:val="0"/>
        <w:snapToGrid w:val="0"/>
        <w:spacing w:line="360" w:lineRule="auto"/>
        <w:ind w:firstLine="420" w:firstLineChars="200"/>
        <w:jc w:val="left"/>
        <w:textAlignment w:val="baseline"/>
        <w:rPr>
          <w:rFonts w:ascii="宋体" w:hAnsi="宋体" w:eastAsia="宋体" w:cs="仿宋"/>
          <w:b/>
          <w:color w:val="auto"/>
          <w:kern w:val="0"/>
          <w:szCs w:val="21"/>
          <w:highlight w:val="none"/>
        </w:rPr>
      </w:pPr>
      <w:r>
        <w:rPr>
          <w:rFonts w:hint="eastAsia" w:ascii="宋体" w:hAnsi="宋体" w:eastAsia="宋体" w:cs="仿宋"/>
          <w:color w:val="auto"/>
          <w:kern w:val="0"/>
          <w:szCs w:val="21"/>
          <w:highlight w:val="none"/>
        </w:rPr>
        <w:t>20.5.1</w:t>
      </w:r>
      <w:r>
        <w:rPr>
          <w:rFonts w:hint="eastAsia" w:ascii="宋体" w:hAnsi="宋体" w:eastAsia="宋体" w:cs="仿宋"/>
          <w:bCs/>
          <w:color w:val="auto"/>
          <w:kern w:val="0"/>
          <w:szCs w:val="21"/>
          <w:highlight w:val="none"/>
        </w:rPr>
        <w:t>工程竣工结算审计（审核）：</w:t>
      </w:r>
      <w:r>
        <w:rPr>
          <w:rFonts w:hint="eastAsia" w:ascii="宋体" w:hAnsi="宋体" w:eastAsia="宋体" w:cs="仿宋"/>
          <w:bCs/>
          <w:color w:val="auto"/>
          <w:kern w:val="0"/>
          <w:szCs w:val="21"/>
          <w:highlight w:val="none"/>
          <w:u w:val="single"/>
        </w:rPr>
        <w:t>审减金额在5%以内，审计（审核）费用全部由发包人支付；审减金额在5%～8%，审计（审核）基本费由发包人支付，成效附加费承包人支付；审减金额在8%以上，审计（审核）基本费和成效附加费全部由承包人支付</w:t>
      </w:r>
      <w:r>
        <w:rPr>
          <w:rFonts w:hint="eastAsia" w:ascii="宋体" w:hAnsi="宋体" w:eastAsia="宋体" w:cs="仿宋"/>
          <w:bCs/>
          <w:color w:val="auto"/>
          <w:kern w:val="0"/>
          <w:szCs w:val="21"/>
          <w:highlight w:val="none"/>
        </w:rPr>
        <w:t>。</w:t>
      </w:r>
    </w:p>
    <w:p>
      <w:pPr>
        <w:widowControl/>
        <w:adjustRightInd w:val="0"/>
        <w:snapToGrid w:val="0"/>
        <w:spacing w:line="360" w:lineRule="auto"/>
        <w:ind w:firstLine="420" w:firstLineChars="200"/>
        <w:jc w:val="left"/>
        <w:textAlignment w:val="baseline"/>
        <w:rPr>
          <w:rFonts w:ascii="宋体" w:hAnsi="宋体" w:eastAsia="宋体" w:cs="仿宋"/>
          <w:bCs/>
          <w:color w:val="auto"/>
          <w:kern w:val="0"/>
          <w:szCs w:val="21"/>
          <w:highlight w:val="none"/>
        </w:rPr>
      </w:pPr>
      <w:r>
        <w:rPr>
          <w:rFonts w:hint="eastAsia" w:ascii="宋体" w:hAnsi="宋体" w:eastAsia="宋体" w:cs="仿宋"/>
          <w:bCs/>
          <w:color w:val="auto"/>
          <w:kern w:val="0"/>
          <w:szCs w:val="21"/>
          <w:highlight w:val="none"/>
        </w:rPr>
        <w:t>20.5.2 在最终审计成果确认后，若出现超付工程款的情况，承包人须在15天内无条件退还超付部分工程款。否则，自第15日以后，按照银行同期利率的两倍计息支付给发包人。</w:t>
      </w:r>
    </w:p>
    <w:p>
      <w:pPr>
        <w:widowControl/>
        <w:adjustRightInd w:val="0"/>
        <w:snapToGrid w:val="0"/>
        <w:spacing w:line="360" w:lineRule="auto"/>
        <w:ind w:firstLine="420" w:firstLineChars="200"/>
        <w:jc w:val="left"/>
        <w:textAlignment w:val="baseline"/>
        <w:rPr>
          <w:rFonts w:ascii="宋体" w:hAnsi="宋体" w:eastAsia="宋体" w:cs="仿宋"/>
          <w:bCs/>
          <w:color w:val="auto"/>
          <w:kern w:val="0"/>
          <w:szCs w:val="21"/>
          <w:highlight w:val="none"/>
        </w:rPr>
      </w:pPr>
      <w:r>
        <w:rPr>
          <w:rFonts w:hint="eastAsia" w:ascii="宋体" w:hAnsi="宋体" w:eastAsia="宋体" w:cs="仿宋"/>
          <w:bCs/>
          <w:color w:val="auto"/>
          <w:kern w:val="0"/>
          <w:szCs w:val="21"/>
          <w:highlight w:val="none"/>
        </w:rPr>
        <w:t>20.5.3 施工图设计均须本着安全和经济兼顾的原则，采取限额设计，</w:t>
      </w:r>
      <w:r>
        <w:rPr>
          <w:rFonts w:hint="eastAsia" w:ascii="宋体" w:hAnsi="宋体" w:eastAsia="宋体" w:cs="仿宋"/>
          <w:bCs/>
          <w:color w:val="auto"/>
          <w:kern w:val="0"/>
          <w:szCs w:val="21"/>
          <w:highlight w:val="none"/>
          <w:u w:val="single"/>
        </w:rPr>
        <w:t>须综合考虑合同工期的市场风险（含政策性风险），合理控制工程投资，</w:t>
      </w:r>
      <w:r>
        <w:rPr>
          <w:rFonts w:hint="eastAsia" w:ascii="宋体" w:hAnsi="宋体" w:eastAsia="宋体" w:cs="仿宋"/>
          <w:bCs/>
          <w:color w:val="auto"/>
          <w:kern w:val="0"/>
          <w:szCs w:val="21"/>
          <w:highlight w:val="none"/>
          <w:u w:val="single"/>
        </w:rPr>
        <w:t>即：建安工程费不得超过中标估算价且符合发包人的要求。由于承包人的原因，超出中标价的建安工程费由承包人承担。</w:t>
      </w:r>
      <w:r>
        <w:rPr>
          <w:rFonts w:hint="eastAsia" w:ascii="宋体" w:hAnsi="宋体" w:eastAsia="宋体" w:cs="仿宋"/>
          <w:bCs/>
          <w:color w:val="auto"/>
          <w:kern w:val="0"/>
          <w:szCs w:val="21"/>
          <w:highlight w:val="none"/>
        </w:rPr>
        <w:t>承包人完成的设计成果，须发包人认可后方可报批；如设计成果影响工程施工进度，因发包人的原因，工期顺延，如因承包人原因，由承包人承担责任。</w:t>
      </w:r>
    </w:p>
    <w:p>
      <w:pPr>
        <w:widowControl/>
        <w:adjustRightInd w:val="0"/>
        <w:snapToGrid w:val="0"/>
        <w:spacing w:line="360" w:lineRule="auto"/>
        <w:ind w:firstLine="420" w:firstLineChars="200"/>
        <w:jc w:val="left"/>
        <w:textAlignment w:val="baseline"/>
        <w:rPr>
          <w:rFonts w:ascii="宋体" w:hAnsi="宋体" w:eastAsia="宋体" w:cs="仿宋"/>
          <w:bCs/>
          <w:color w:val="auto"/>
          <w:kern w:val="0"/>
          <w:szCs w:val="21"/>
          <w:highlight w:val="none"/>
        </w:rPr>
      </w:pPr>
      <w:r>
        <w:rPr>
          <w:rFonts w:hint="eastAsia" w:ascii="宋体" w:hAnsi="宋体" w:eastAsia="宋体" w:cs="仿宋"/>
          <w:bCs/>
          <w:color w:val="auto"/>
          <w:kern w:val="0"/>
          <w:szCs w:val="21"/>
          <w:highlight w:val="none"/>
        </w:rPr>
        <w:t>20.5.4 承包人联合体各方对各自承担的工作内容对发包人承担连带责任。</w:t>
      </w:r>
    </w:p>
    <w:p>
      <w:pPr>
        <w:widowControl/>
        <w:adjustRightInd w:val="0"/>
        <w:snapToGrid w:val="0"/>
        <w:spacing w:line="360" w:lineRule="auto"/>
        <w:ind w:firstLine="420" w:firstLineChars="200"/>
        <w:jc w:val="left"/>
        <w:textAlignment w:val="baseline"/>
        <w:rPr>
          <w:rFonts w:ascii="宋体" w:hAnsi="宋体" w:eastAsia="宋体" w:cs="仿宋"/>
          <w:bCs/>
          <w:color w:val="auto"/>
          <w:kern w:val="0"/>
          <w:szCs w:val="21"/>
          <w:highlight w:val="none"/>
        </w:rPr>
      </w:pPr>
      <w:r>
        <w:rPr>
          <w:rFonts w:hint="eastAsia" w:ascii="宋体" w:hAnsi="宋体" w:eastAsia="宋体" w:cs="仿宋"/>
          <w:bCs/>
          <w:color w:val="auto"/>
          <w:kern w:val="0"/>
          <w:szCs w:val="21"/>
          <w:highlight w:val="none"/>
        </w:rPr>
        <w:t>20.5.5施工过程中，工程质量、施工进度、安全生产、环境保护等项目管控不符合现行标准、规范及相关文件要求，视为违约，接受发包人的质量管理条例处罚。处罚需以现场事实对应管理办法为依据，违约金直接在工程结算扣减。</w:t>
      </w:r>
    </w:p>
    <w:p>
      <w:pPr>
        <w:spacing w:line="360" w:lineRule="auto"/>
        <w:ind w:firstLine="525" w:firstLineChars="250"/>
        <w:rPr>
          <w:rFonts w:ascii="宋体" w:hAnsi="宋体" w:eastAsia="宋体" w:cs="仿宋"/>
          <w:bCs/>
          <w:color w:val="auto"/>
          <w:szCs w:val="21"/>
          <w:highlight w:val="none"/>
        </w:rPr>
      </w:pPr>
      <w:r>
        <w:rPr>
          <w:rFonts w:hint="eastAsia" w:ascii="宋体" w:hAnsi="宋体" w:eastAsia="宋体" w:cs="仿宋"/>
          <w:bCs/>
          <w:color w:val="auto"/>
          <w:szCs w:val="21"/>
          <w:highlight w:val="none"/>
        </w:rPr>
        <w:t>20.5.6承包人需做好隐蔽工程及施工过程影像资料，竣工时编入竣工资料。</w:t>
      </w:r>
    </w:p>
    <w:p>
      <w:pPr>
        <w:spacing w:line="360" w:lineRule="auto"/>
        <w:ind w:firstLine="525" w:firstLineChars="250"/>
        <w:rPr>
          <w:rFonts w:ascii="宋体" w:hAnsi="宋体" w:eastAsia="宋体" w:cs="仿宋"/>
          <w:bCs/>
          <w:color w:val="auto"/>
          <w:szCs w:val="21"/>
          <w:highlight w:val="none"/>
        </w:rPr>
      </w:pPr>
      <w:r>
        <w:rPr>
          <w:rFonts w:hint="eastAsia" w:ascii="宋体" w:hAnsi="宋体" w:eastAsia="宋体" w:cs="仿宋"/>
          <w:bCs/>
          <w:color w:val="auto"/>
          <w:szCs w:val="21"/>
          <w:highlight w:val="none"/>
        </w:rPr>
        <w:t>20.5.7工程竣工资料的提交时间：在项目施工完成后两个月开展初步验收，</w:t>
      </w:r>
      <w:r>
        <w:rPr>
          <w:rFonts w:hint="eastAsia" w:ascii="宋体" w:hAnsi="宋体" w:eastAsia="宋体" w:cs="仿宋"/>
          <w:color w:val="auto"/>
          <w:szCs w:val="21"/>
          <w:highlight w:val="none"/>
        </w:rPr>
        <w:t>竣工合格</w:t>
      </w:r>
      <w:r>
        <w:rPr>
          <w:rFonts w:hint="eastAsia" w:ascii="宋体" w:hAnsi="宋体" w:eastAsia="宋体" w:cs="仿宋"/>
          <w:bCs/>
          <w:color w:val="auto"/>
          <w:szCs w:val="21"/>
          <w:highlight w:val="none"/>
        </w:rPr>
        <w:t>后120天内内提交正式版竣工资料（含扫描电子版和可编辑版竣工图），未按规定提交工程竣工资料，每逾期一个月处罚人民币</w:t>
      </w:r>
      <w:r>
        <w:rPr>
          <w:rFonts w:hint="eastAsia" w:ascii="宋体" w:hAnsi="宋体" w:eastAsia="宋体" w:cs="仿宋"/>
          <w:bCs/>
          <w:color w:val="auto"/>
          <w:szCs w:val="21"/>
          <w:highlight w:val="none"/>
        </w:rPr>
        <w:t>贰万元整（小写：</w:t>
      </w:r>
      <w:r>
        <w:rPr>
          <w:rFonts w:hint="eastAsia" w:ascii="宋体" w:hAnsi="宋体" w:eastAsia="宋体" w:cs="宋体"/>
          <w:bCs/>
          <w:color w:val="auto"/>
          <w:szCs w:val="21"/>
          <w:highlight w:val="none"/>
        </w:rPr>
        <w:t>¥</w:t>
      </w:r>
      <w:r>
        <w:rPr>
          <w:rFonts w:hint="eastAsia" w:ascii="宋体" w:hAnsi="宋体" w:eastAsia="宋体" w:cs="仿宋"/>
          <w:bCs/>
          <w:color w:val="auto"/>
          <w:szCs w:val="21"/>
          <w:highlight w:val="none"/>
        </w:rPr>
        <w:t>20000.00元）。</w:t>
      </w:r>
    </w:p>
    <w:p>
      <w:pPr>
        <w:widowControl/>
        <w:adjustRightInd w:val="0"/>
        <w:snapToGrid w:val="0"/>
        <w:spacing w:line="360" w:lineRule="auto"/>
        <w:ind w:firstLine="420" w:firstLineChars="200"/>
        <w:jc w:val="left"/>
        <w:textAlignment w:val="baseline"/>
        <w:rPr>
          <w:rFonts w:ascii="宋体" w:hAnsi="宋体" w:eastAsia="宋体" w:cs="仿宋"/>
          <w:bCs/>
          <w:color w:val="auto"/>
          <w:kern w:val="0"/>
          <w:szCs w:val="21"/>
          <w:highlight w:val="none"/>
        </w:rPr>
      </w:pPr>
      <w:r>
        <w:rPr>
          <w:rFonts w:hint="eastAsia" w:ascii="宋体" w:hAnsi="宋体" w:eastAsia="宋体" w:cs="仿宋"/>
          <w:bCs/>
          <w:color w:val="auto"/>
          <w:kern w:val="0"/>
          <w:szCs w:val="21"/>
          <w:highlight w:val="none"/>
        </w:rPr>
        <w:t>20.5.8 因承包人原因造成单项工程未能通过竣工验收，由承包人承担由此产生的全部返工费用，工期不予顺延并承担该单项工程费的 1 %承担违约金。此项违约金不在专用条款8.7.2约定范围。</w:t>
      </w:r>
    </w:p>
    <w:p>
      <w:pPr>
        <w:widowControl/>
        <w:adjustRightInd w:val="0"/>
        <w:snapToGrid w:val="0"/>
        <w:spacing w:line="360" w:lineRule="auto"/>
        <w:ind w:firstLine="422" w:firstLineChars="200"/>
        <w:jc w:val="left"/>
        <w:textAlignment w:val="baseline"/>
        <w:rPr>
          <w:rFonts w:ascii="宋体" w:hAnsi="宋体" w:eastAsia="宋体" w:cs="仿宋"/>
          <w:b/>
          <w:color w:val="auto"/>
          <w:kern w:val="0"/>
          <w:szCs w:val="21"/>
          <w:highlight w:val="none"/>
        </w:rPr>
      </w:pPr>
      <w:r>
        <w:rPr>
          <w:rFonts w:hint="eastAsia" w:ascii="宋体" w:hAnsi="宋体" w:eastAsia="宋体" w:cs="仿宋"/>
          <w:b/>
          <w:color w:val="auto"/>
          <w:kern w:val="0"/>
          <w:szCs w:val="21"/>
          <w:highlight w:val="none"/>
        </w:rPr>
        <w:t>20.5.9本合同中出现因政府建设资金或其他非发包人原因导致的工期延长，只索赔工期，不进行费用索赔。</w:t>
      </w:r>
    </w:p>
    <w:p>
      <w:pPr>
        <w:widowControl/>
        <w:adjustRightInd w:val="0"/>
        <w:snapToGrid w:val="0"/>
        <w:spacing w:line="360" w:lineRule="auto"/>
        <w:ind w:firstLine="420" w:firstLineChars="200"/>
        <w:rPr>
          <w:rFonts w:ascii="宋体" w:hAnsi="宋体" w:eastAsia="宋体" w:cs="仿宋"/>
          <w:bCs/>
          <w:color w:val="auto"/>
          <w:szCs w:val="21"/>
          <w:highlight w:val="none"/>
        </w:rPr>
      </w:pPr>
      <w:r>
        <w:rPr>
          <w:rFonts w:hint="eastAsia" w:ascii="宋体" w:hAnsi="宋体" w:eastAsia="宋体" w:cs="仿宋"/>
          <w:bCs/>
          <w:color w:val="auto"/>
          <w:szCs w:val="21"/>
          <w:highlight w:val="none"/>
        </w:rPr>
        <w:t>20.5.10 承包人（施工单位）在施工前须进行设计图纸审核，对设计施工图存在缺陷或与施工现场不符的，应及时提出问题或修改方案。承包人（施工单位）未进行图纸审核直接进行施工给发包人造成损失的，</w:t>
      </w:r>
      <w:r>
        <w:rPr>
          <w:rFonts w:hint="eastAsia" w:ascii="宋体" w:hAnsi="宋体" w:eastAsia="宋体" w:cs="仿宋"/>
          <w:color w:val="auto"/>
          <w:kern w:val="0"/>
          <w:szCs w:val="21"/>
          <w:highlight w:val="none"/>
        </w:rPr>
        <w:t>对发包人承担连带赔偿责任</w:t>
      </w:r>
      <w:r>
        <w:rPr>
          <w:rFonts w:hint="eastAsia" w:ascii="宋体" w:hAnsi="宋体" w:eastAsia="宋体" w:cs="仿宋"/>
          <w:bCs/>
          <w:color w:val="auto"/>
          <w:szCs w:val="21"/>
          <w:highlight w:val="none"/>
        </w:rPr>
        <w:t>。</w:t>
      </w:r>
    </w:p>
    <w:p>
      <w:pPr>
        <w:spacing w:line="360" w:lineRule="auto"/>
        <w:ind w:firstLine="420" w:firstLineChars="200"/>
        <w:rPr>
          <w:rFonts w:ascii="宋体" w:hAnsi="宋体" w:eastAsia="宋体" w:cs="仿宋"/>
          <w:bCs/>
          <w:color w:val="auto"/>
          <w:szCs w:val="21"/>
          <w:highlight w:val="none"/>
        </w:rPr>
      </w:pPr>
      <w:r>
        <w:rPr>
          <w:rFonts w:hint="eastAsia" w:ascii="宋体" w:hAnsi="宋体" w:eastAsia="宋体" w:cs="仿宋"/>
          <w:bCs/>
          <w:color w:val="auto"/>
          <w:szCs w:val="21"/>
          <w:highlight w:val="none"/>
        </w:rPr>
        <w:t>20.5.11 工程开工前，须经相关部门审批后方可施工，未经相关部门审批，承包人擅自施工的，对擅自施工的工程不予计量计价，且承包人须无条件接受处罚，每次10000元人民币；如发生上级行政主管部门对项目作出违规处罚决定，一并由承包人承担。</w:t>
      </w:r>
    </w:p>
    <w:p>
      <w:pPr>
        <w:widowControl/>
        <w:adjustRightInd w:val="0"/>
        <w:snapToGrid w:val="0"/>
        <w:spacing w:line="360" w:lineRule="auto"/>
        <w:ind w:firstLine="420" w:firstLineChars="200"/>
        <w:rPr>
          <w:rFonts w:ascii="宋体" w:hAnsi="宋体" w:eastAsia="宋体" w:cs="仿宋"/>
          <w:bCs/>
          <w:color w:val="auto"/>
          <w:szCs w:val="21"/>
          <w:highlight w:val="none"/>
        </w:rPr>
      </w:pPr>
      <w:r>
        <w:rPr>
          <w:rFonts w:hint="eastAsia" w:ascii="宋体" w:hAnsi="宋体" w:eastAsia="宋体" w:cs="仿宋"/>
          <w:color w:val="auto"/>
          <w:szCs w:val="21"/>
          <w:highlight w:val="none"/>
        </w:rPr>
        <w:t>20.5.12若设计单位提交的设计成果无法满足工程质量要求或施工现场实施要求，无法在发包人要求合理时限内无法完成相关设计内容，发包人有权解除合同设计部分的权利及义务，承包人必须无条件配合。完成的合格的设计成果费用按合同约定设计费结算方式的80%记取。</w:t>
      </w:r>
    </w:p>
    <w:bookmarkEnd w:id="1571"/>
    <w:bookmarkEnd w:id="1572"/>
    <w:bookmarkEnd w:id="1573"/>
    <w:bookmarkEnd w:id="1574"/>
    <w:p>
      <w:pPr>
        <w:widowControl/>
        <w:adjustRightInd w:val="0"/>
        <w:snapToGrid w:val="0"/>
        <w:spacing w:line="360" w:lineRule="auto"/>
        <w:ind w:firstLine="422" w:firstLineChars="200"/>
        <w:rPr>
          <w:rFonts w:ascii="宋体" w:hAnsi="宋体" w:eastAsia="宋体" w:cs="仿宋"/>
          <w:b/>
          <w:bCs/>
          <w:color w:val="auto"/>
          <w:szCs w:val="21"/>
          <w:highlight w:val="none"/>
        </w:rPr>
      </w:pPr>
      <w:r>
        <w:rPr>
          <w:rFonts w:hint="eastAsia" w:ascii="宋体" w:hAnsi="宋体" w:eastAsia="宋体" w:cs="仿宋"/>
          <w:b/>
          <w:bCs/>
          <w:color w:val="auto"/>
          <w:szCs w:val="21"/>
          <w:highlight w:val="none"/>
        </w:rPr>
        <w:t>20.5.13 承包人不得因项目实施范围变化，投资减少或增加，向发包人提出完成实物建安费和设计费以外的索赔。</w:t>
      </w:r>
    </w:p>
    <w:p>
      <w:pPr>
        <w:widowControl/>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20.5.14 承包人不得因不可抗力无法实施或政府指令停止实施向发包人提出索赔。</w:t>
      </w:r>
    </w:p>
    <w:p>
      <w:pPr>
        <w:widowControl/>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20.5.15 承包人未按合同及相关文件规定做好建筑工人实名制管理、考勤管理和工资支付等工作的，出现一次罚款人民币壹万元整（小写：</w:t>
      </w:r>
      <w:r>
        <w:rPr>
          <w:rFonts w:hint="eastAsia" w:ascii="宋体" w:hAnsi="宋体" w:eastAsia="宋体" w:cs="宋体"/>
          <w:color w:val="auto"/>
          <w:szCs w:val="21"/>
          <w:highlight w:val="none"/>
        </w:rPr>
        <w:t>¥</w:t>
      </w:r>
      <w:r>
        <w:rPr>
          <w:rFonts w:hint="eastAsia" w:ascii="宋体" w:hAnsi="宋体" w:eastAsia="宋体" w:cs="仿宋"/>
          <w:color w:val="auto"/>
          <w:szCs w:val="21"/>
          <w:highlight w:val="none"/>
        </w:rPr>
        <w:t>10000.00元）。如因此建筑工人闹事上访造成恶劣事件的，每发生一次罚款人民币贰万元整（小写：</w:t>
      </w:r>
      <w:r>
        <w:rPr>
          <w:rFonts w:hint="eastAsia" w:ascii="宋体" w:hAnsi="宋体" w:eastAsia="宋体" w:cs="宋体"/>
          <w:color w:val="auto"/>
          <w:szCs w:val="21"/>
          <w:highlight w:val="none"/>
        </w:rPr>
        <w:t>¥</w:t>
      </w:r>
      <w:r>
        <w:rPr>
          <w:rFonts w:hint="eastAsia" w:ascii="宋体" w:hAnsi="宋体" w:eastAsia="宋体" w:cs="仿宋"/>
          <w:color w:val="auto"/>
          <w:szCs w:val="21"/>
          <w:highlight w:val="none"/>
        </w:rPr>
        <w:t>20000.00元）。</w:t>
      </w:r>
    </w:p>
    <w:p>
      <w:pPr>
        <w:widowControl/>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20.5.16 承包人针对本项目需专款占专用，确保项目施工进度。</w:t>
      </w:r>
    </w:p>
    <w:p>
      <w:pPr>
        <w:widowControl/>
        <w:adjustRightInd w:val="0"/>
        <w:snapToGrid w:val="0"/>
        <w:spacing w:line="360" w:lineRule="auto"/>
        <w:ind w:firstLine="420" w:firstLineChars="200"/>
        <w:rPr>
          <w:rFonts w:ascii="宋体" w:hAnsi="宋体" w:eastAsia="宋体" w:cs="仿宋"/>
          <w:color w:val="auto"/>
          <w:szCs w:val="21"/>
          <w:highlight w:val="none"/>
        </w:rPr>
      </w:pPr>
      <w:r>
        <w:rPr>
          <w:rFonts w:hint="eastAsia" w:ascii="宋体" w:hAnsi="宋体" w:eastAsia="宋体" w:cs="仿宋"/>
          <w:color w:val="auto"/>
          <w:szCs w:val="21"/>
          <w:highlight w:val="none"/>
        </w:rPr>
        <w:t>20.5.17本合同未尽事宜经双方协商解决，并以补充协议形式进行补充，补充协议属于合同的组成部分。</w:t>
      </w:r>
    </w:p>
    <w:p>
      <w:pPr>
        <w:rPr>
          <w:rFonts w:ascii="仿宋" w:hAnsi="仿宋" w:eastAsia="仿宋" w:cs="仿宋"/>
          <w:color w:val="auto"/>
          <w:sz w:val="24"/>
          <w:szCs w:val="24"/>
          <w:highlight w:val="none"/>
        </w:rPr>
      </w:pPr>
    </w:p>
    <w:p>
      <w:pPr>
        <w:widowControl/>
        <w:adjustRightInd w:val="0"/>
        <w:snapToGrid w:val="0"/>
        <w:spacing w:after="50" w:line="360" w:lineRule="auto"/>
        <w:jc w:val="center"/>
        <w:outlineLvl w:val="0"/>
        <w:rPr>
          <w:rFonts w:ascii="宋体" w:hAnsi="宋体" w:eastAsia="宋体" w:cs="Times New Roman"/>
          <w:b/>
          <w:bCs/>
          <w:color w:val="auto"/>
          <w:kern w:val="44"/>
          <w:sz w:val="24"/>
          <w:szCs w:val="28"/>
          <w:highlight w:val="none"/>
          <w:lang w:val="zh-CN"/>
        </w:rPr>
      </w:pPr>
      <w:bookmarkStart w:id="1646" w:name="_Toc216681936"/>
      <w:bookmarkStart w:id="1647" w:name="_Toc20992"/>
      <w:bookmarkStart w:id="1648" w:name="_Toc20171895"/>
      <w:bookmarkStart w:id="1649" w:name="_Toc18650"/>
      <w:bookmarkStart w:id="1650" w:name="_Toc54862354"/>
      <w:bookmarkStart w:id="1651" w:name="_Toc10334"/>
      <w:bookmarkStart w:id="1652" w:name="_Toc29578"/>
      <w:r>
        <w:rPr>
          <w:rFonts w:hint="eastAsia" w:ascii="宋体" w:hAnsi="宋体" w:eastAsia="宋体" w:cs="Times New Roman"/>
          <w:b/>
          <w:bCs/>
          <w:color w:val="auto"/>
          <w:kern w:val="44"/>
          <w:sz w:val="22"/>
          <w:szCs w:val="30"/>
          <w:highlight w:val="none"/>
          <w:lang w:val="zh-CN"/>
        </w:rPr>
        <w:t>专用合同条件附件</w:t>
      </w:r>
      <w:bookmarkEnd w:id="1646"/>
    </w:p>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p>
      <w:pPr>
        <w:widowControl/>
        <w:adjustRightInd w:val="0"/>
        <w:snapToGrid w:val="0"/>
        <w:spacing w:after="120" w:afterLines="50" w:line="360" w:lineRule="auto"/>
        <w:ind w:firstLine="420" w:firstLineChars="200"/>
        <w:rPr>
          <w:rFonts w:ascii="宋体" w:hAnsi="宋体" w:eastAsia="宋体" w:cs="仿宋_GB2312"/>
          <w:color w:val="auto"/>
          <w:kern w:val="0"/>
          <w:szCs w:val="21"/>
          <w:highlight w:val="none"/>
        </w:rPr>
      </w:pPr>
      <w:r>
        <w:rPr>
          <w:rFonts w:hint="eastAsia" w:ascii="宋体" w:hAnsi="宋体" w:eastAsia="宋体" w:cs="仿宋_GB2312"/>
          <w:color w:val="auto"/>
          <w:kern w:val="0"/>
          <w:szCs w:val="21"/>
          <w:highlight w:val="none"/>
        </w:rPr>
        <w:t>附件1：发包人要求</w:t>
      </w:r>
    </w:p>
    <w:p>
      <w:pPr>
        <w:widowControl/>
        <w:adjustRightInd w:val="0"/>
        <w:snapToGrid w:val="0"/>
        <w:spacing w:after="120" w:afterLines="50" w:line="360" w:lineRule="auto"/>
        <w:ind w:firstLine="420" w:firstLineChars="200"/>
        <w:rPr>
          <w:rFonts w:ascii="宋体" w:hAnsi="宋体" w:eastAsia="宋体" w:cs="仿宋_GB2312"/>
          <w:color w:val="auto"/>
          <w:kern w:val="0"/>
          <w:szCs w:val="21"/>
          <w:highlight w:val="none"/>
        </w:rPr>
      </w:pPr>
      <w:r>
        <w:rPr>
          <w:rFonts w:hint="eastAsia" w:ascii="宋体" w:hAnsi="宋体" w:eastAsia="宋体" w:cs="仿宋_GB2312"/>
          <w:color w:val="auto"/>
          <w:kern w:val="0"/>
          <w:szCs w:val="21"/>
          <w:highlight w:val="none"/>
        </w:rPr>
        <w:t>附件2：发包人供应材料设备一览表</w:t>
      </w:r>
    </w:p>
    <w:p>
      <w:pPr>
        <w:widowControl/>
        <w:adjustRightInd w:val="0"/>
        <w:snapToGrid w:val="0"/>
        <w:spacing w:after="120" w:afterLines="50" w:line="360" w:lineRule="auto"/>
        <w:ind w:firstLine="420" w:firstLineChars="200"/>
        <w:rPr>
          <w:rFonts w:ascii="宋体" w:hAnsi="宋体" w:eastAsia="宋体" w:cs="仿宋_GB2312"/>
          <w:color w:val="auto"/>
          <w:kern w:val="0"/>
          <w:szCs w:val="21"/>
          <w:highlight w:val="none"/>
        </w:rPr>
      </w:pPr>
      <w:r>
        <w:rPr>
          <w:rFonts w:hint="eastAsia" w:ascii="宋体" w:hAnsi="宋体" w:eastAsia="宋体" w:cs="仿宋_GB2312"/>
          <w:color w:val="auto"/>
          <w:kern w:val="0"/>
          <w:szCs w:val="21"/>
          <w:highlight w:val="none"/>
        </w:rPr>
        <w:t>附件3：工程质量保修书</w:t>
      </w:r>
    </w:p>
    <w:p>
      <w:pPr>
        <w:widowControl/>
        <w:adjustRightInd w:val="0"/>
        <w:snapToGrid w:val="0"/>
        <w:spacing w:after="120" w:afterLines="50" w:line="360" w:lineRule="auto"/>
        <w:ind w:firstLine="420" w:firstLineChars="200"/>
        <w:rPr>
          <w:rFonts w:ascii="宋体" w:hAnsi="宋体" w:eastAsia="宋体" w:cs="仿宋_GB2312"/>
          <w:color w:val="auto"/>
          <w:kern w:val="0"/>
          <w:szCs w:val="21"/>
          <w:highlight w:val="none"/>
        </w:rPr>
      </w:pPr>
      <w:r>
        <w:rPr>
          <w:rFonts w:hint="eastAsia" w:ascii="宋体" w:hAnsi="宋体" w:eastAsia="宋体" w:cs="仿宋_GB2312"/>
          <w:color w:val="auto"/>
          <w:kern w:val="0"/>
          <w:szCs w:val="21"/>
          <w:highlight w:val="none"/>
        </w:rPr>
        <w:t>附件4：主要建设工程文件目录</w:t>
      </w:r>
    </w:p>
    <w:p>
      <w:pPr>
        <w:widowControl/>
        <w:adjustRightInd w:val="0"/>
        <w:snapToGrid w:val="0"/>
        <w:spacing w:after="120" w:afterLines="50" w:line="360" w:lineRule="auto"/>
        <w:ind w:firstLine="420" w:firstLineChars="200"/>
        <w:rPr>
          <w:rFonts w:ascii="宋体" w:hAnsi="宋体" w:eastAsia="宋体" w:cs="仿宋_GB2312"/>
          <w:color w:val="auto"/>
          <w:kern w:val="0"/>
          <w:szCs w:val="21"/>
          <w:highlight w:val="none"/>
        </w:rPr>
      </w:pPr>
      <w:r>
        <w:rPr>
          <w:rFonts w:hint="eastAsia" w:ascii="宋体" w:hAnsi="宋体" w:eastAsia="宋体" w:cs="仿宋_GB2312"/>
          <w:color w:val="auto"/>
          <w:kern w:val="0"/>
          <w:szCs w:val="21"/>
          <w:highlight w:val="none"/>
        </w:rPr>
        <w:t>附件5：承包人主要管理人员表</w:t>
      </w:r>
    </w:p>
    <w:p>
      <w:pPr>
        <w:widowControl/>
        <w:adjustRightInd w:val="0"/>
        <w:snapToGrid w:val="0"/>
        <w:spacing w:after="120" w:afterLines="50" w:line="360" w:lineRule="auto"/>
        <w:ind w:firstLine="420" w:firstLineChars="200"/>
        <w:rPr>
          <w:rFonts w:ascii="宋体" w:hAnsi="宋体" w:eastAsia="宋体" w:cs="仿宋_GB2312"/>
          <w:color w:val="auto"/>
          <w:kern w:val="0"/>
          <w:szCs w:val="21"/>
          <w:highlight w:val="none"/>
        </w:rPr>
      </w:pPr>
      <w:r>
        <w:rPr>
          <w:rFonts w:hint="eastAsia" w:ascii="宋体" w:hAnsi="宋体" w:eastAsia="宋体" w:cs="仿宋_GB2312"/>
          <w:color w:val="auto"/>
          <w:kern w:val="0"/>
          <w:szCs w:val="21"/>
          <w:highlight w:val="none"/>
        </w:rPr>
        <w:t>附件</w:t>
      </w:r>
      <w:r>
        <w:rPr>
          <w:rFonts w:ascii="宋体" w:hAnsi="宋体" w:eastAsia="宋体" w:cs="仿宋_GB2312"/>
          <w:color w:val="auto"/>
          <w:kern w:val="0"/>
          <w:szCs w:val="21"/>
          <w:highlight w:val="none"/>
        </w:rPr>
        <w:t>6</w:t>
      </w:r>
      <w:r>
        <w:rPr>
          <w:rFonts w:hint="eastAsia" w:ascii="宋体" w:hAnsi="宋体" w:eastAsia="宋体" w:cs="仿宋_GB2312"/>
          <w:color w:val="auto"/>
          <w:kern w:val="0"/>
          <w:szCs w:val="21"/>
          <w:highlight w:val="none"/>
        </w:rPr>
        <w:t>：价格指数权重表</w:t>
      </w:r>
    </w:p>
    <w:p>
      <w:pPr>
        <w:keepNext/>
        <w:keepLines/>
        <w:tabs>
          <w:tab w:val="left" w:pos="1134"/>
        </w:tabs>
        <w:spacing w:line="480" w:lineRule="exact"/>
        <w:jc w:val="center"/>
        <w:outlineLvl w:val="1"/>
        <w:rPr>
          <w:rFonts w:ascii="仿宋" w:hAnsi="仿宋" w:eastAsia="仿宋" w:cs="仿宋"/>
          <w:b/>
          <w:bCs/>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p>
    <w:p>
      <w:pPr>
        <w:keepNext/>
        <w:keepLines/>
        <w:widowControl/>
        <w:tabs>
          <w:tab w:val="left" w:pos="1134"/>
        </w:tabs>
        <w:wordWrap w:val="0"/>
        <w:topLinePunct/>
        <w:adjustRightInd w:val="0"/>
        <w:snapToGrid w:val="0"/>
        <w:spacing w:after="120" w:afterLines="50" w:line="360" w:lineRule="auto"/>
        <w:outlineLvl w:val="1"/>
        <w:rPr>
          <w:rFonts w:ascii="宋体" w:hAnsi="宋体" w:eastAsia="宋体" w:cs="Times New Roman"/>
          <w:b/>
          <w:color w:val="auto"/>
          <w:kern w:val="0"/>
          <w:sz w:val="22"/>
          <w:szCs w:val="30"/>
          <w:highlight w:val="none"/>
        </w:rPr>
      </w:pPr>
      <w:bookmarkStart w:id="1653" w:name="_Toc54862352"/>
      <w:bookmarkStart w:id="1654" w:name="_Toc196119688"/>
      <w:bookmarkStart w:id="1655" w:name="_Hlk38571789"/>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bookmarkStart w:id="1656" w:name="_Toc216681937"/>
      <w:r>
        <w:rPr>
          <w:rFonts w:hint="eastAsia" w:ascii="宋体" w:hAnsi="宋体" w:eastAsia="宋体" w:cs="Times New Roman"/>
          <w:b/>
          <w:color w:val="auto"/>
          <w:kern w:val="0"/>
          <w:sz w:val="22"/>
          <w:szCs w:val="30"/>
          <w:highlight w:val="none"/>
        </w:rPr>
        <w:t>附件1</w:t>
      </w:r>
      <w:r>
        <w:rPr>
          <w:rFonts w:ascii="宋体" w:hAnsi="宋体" w:eastAsia="宋体" w:cs="Times New Roman"/>
          <w:b/>
          <w:color w:val="auto"/>
          <w:kern w:val="0"/>
          <w:sz w:val="22"/>
          <w:szCs w:val="30"/>
          <w:highlight w:val="none"/>
        </w:rPr>
        <w:t xml:space="preserve"> </w:t>
      </w:r>
      <w:r>
        <w:rPr>
          <w:rFonts w:hint="eastAsia" w:ascii="宋体" w:hAnsi="宋体" w:eastAsia="宋体" w:cs="Times New Roman"/>
          <w:b/>
          <w:color w:val="auto"/>
          <w:kern w:val="0"/>
          <w:sz w:val="22"/>
          <w:szCs w:val="30"/>
          <w:highlight w:val="none"/>
        </w:rPr>
        <w:t>《发包人要求》</w:t>
      </w:r>
      <w:bookmarkEnd w:id="1653"/>
      <w:bookmarkEnd w:id="1654"/>
      <w:bookmarkEnd w:id="1656"/>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bookmarkStart w:id="1657" w:name="_Toc20171894"/>
      <w:bookmarkStart w:id="1658" w:name="_Toc54862353"/>
      <w:bookmarkStart w:id="1659" w:name="_Toc196119689"/>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2"/>
          <w:szCs w:val="30"/>
          <w:highlight w:val="none"/>
        </w:rPr>
      </w:pPr>
      <w:bookmarkStart w:id="1660" w:name="_Toc216681938"/>
      <w:r>
        <w:rPr>
          <w:rFonts w:hint="eastAsia" w:ascii="宋体" w:hAnsi="宋体" w:eastAsia="宋体" w:cs="Times New Roman"/>
          <w:b/>
          <w:color w:val="auto"/>
          <w:kern w:val="0"/>
          <w:sz w:val="22"/>
          <w:szCs w:val="30"/>
          <w:highlight w:val="none"/>
        </w:rPr>
        <w:t>附件2</w:t>
      </w:r>
      <w:r>
        <w:rPr>
          <w:rFonts w:ascii="宋体" w:hAnsi="宋体" w:eastAsia="宋体" w:cs="Times New Roman"/>
          <w:b/>
          <w:color w:val="auto"/>
          <w:kern w:val="0"/>
          <w:sz w:val="22"/>
          <w:szCs w:val="30"/>
          <w:highlight w:val="none"/>
        </w:rPr>
        <w:t xml:space="preserve"> 发包人供应材料设备一览表</w:t>
      </w:r>
      <w:bookmarkEnd w:id="1657"/>
      <w:bookmarkEnd w:id="1658"/>
      <w:bookmarkEnd w:id="1659"/>
      <w:bookmarkEnd w:id="1660"/>
    </w:p>
    <w:tbl>
      <w:tblPr>
        <w:tblStyle w:val="41"/>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4" w:hRule="atLeast"/>
          <w:jc w:val="center"/>
        </w:trPr>
        <w:tc>
          <w:tcPr>
            <w:tcW w:w="552"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序号</w:t>
            </w:r>
          </w:p>
        </w:tc>
        <w:tc>
          <w:tcPr>
            <w:tcW w:w="1165"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材料、设备品种</w:t>
            </w:r>
          </w:p>
        </w:tc>
        <w:tc>
          <w:tcPr>
            <w:tcW w:w="1126"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规格型号</w:t>
            </w:r>
          </w:p>
        </w:tc>
        <w:tc>
          <w:tcPr>
            <w:tcW w:w="567"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单位</w:t>
            </w:r>
          </w:p>
        </w:tc>
        <w:tc>
          <w:tcPr>
            <w:tcW w:w="686"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数量</w:t>
            </w:r>
          </w:p>
        </w:tc>
        <w:tc>
          <w:tcPr>
            <w:tcW w:w="992"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单价（元）</w:t>
            </w:r>
          </w:p>
        </w:tc>
        <w:tc>
          <w:tcPr>
            <w:tcW w:w="1134"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质量等级</w:t>
            </w:r>
          </w:p>
        </w:tc>
        <w:tc>
          <w:tcPr>
            <w:tcW w:w="1134"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供应时间</w:t>
            </w:r>
          </w:p>
        </w:tc>
        <w:tc>
          <w:tcPr>
            <w:tcW w:w="1134"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送达地点</w:t>
            </w:r>
          </w:p>
        </w:tc>
        <w:tc>
          <w:tcPr>
            <w:tcW w:w="709" w:type="dxa"/>
            <w:tcBorders>
              <w:top w:val="single" w:color="auto" w:sz="12" w:space="0"/>
              <w:bottom w:val="double" w:color="auto" w:sz="6" w:space="0"/>
            </w:tcBorders>
            <w:vAlign w:val="center"/>
          </w:tcPr>
          <w:p>
            <w:pPr>
              <w:widowControl/>
              <w:adjustRightInd w:val="0"/>
              <w:snapToGrid w:val="0"/>
              <w:jc w:val="center"/>
              <w:rPr>
                <w:rFonts w:ascii="宋体" w:hAnsi="宋体" w:eastAsia="宋体" w:cs="Times New Roman"/>
                <w:color w:val="auto"/>
                <w:kern w:val="0"/>
                <w:sz w:val="16"/>
                <w:szCs w:val="20"/>
                <w:highlight w:val="none"/>
              </w:rPr>
            </w:pPr>
            <w:r>
              <w:rPr>
                <w:rFonts w:hint="eastAsia" w:ascii="宋体" w:hAnsi="宋体" w:eastAsia="宋体" w:cs="Times New Roman"/>
                <w:color w:val="auto"/>
                <w:kern w:val="0"/>
                <w:sz w:val="16"/>
                <w:szCs w:val="20"/>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Borders>
              <w:top w:val="double" w:color="auto" w:sz="6" w:space="0"/>
              <w:bottom w:val="single" w:color="auto" w:sz="6" w:space="0"/>
            </w:tcBorders>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tcBorders>
              <w:top w:val="double" w:color="auto" w:sz="6" w:space="0"/>
              <w:bottom w:val="single" w:color="auto" w:sz="6" w:space="0"/>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Borders>
              <w:top w:val="nil"/>
            </w:tcBorders>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tcBorders>
              <w:top w:val="nil"/>
            </w:tcBorders>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65"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2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567"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686"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992" w:type="dxa"/>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1134"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c>
          <w:tcPr>
            <w:tcW w:w="709" w:type="dxa"/>
            <w:vAlign w:val="center"/>
          </w:tcPr>
          <w:p>
            <w:pPr>
              <w:widowControl/>
              <w:adjustRightInd w:val="0"/>
              <w:snapToGrid w:val="0"/>
              <w:spacing w:after="120" w:afterLines="50" w:line="360" w:lineRule="auto"/>
              <w:ind w:firstLine="400" w:firstLineChars="200"/>
              <w:rPr>
                <w:rFonts w:ascii="宋体" w:hAnsi="宋体" w:eastAsia="宋体" w:cs="Times New Roman"/>
                <w:color w:val="auto"/>
                <w:kern w:val="0"/>
                <w:sz w:val="20"/>
                <w:szCs w:val="20"/>
                <w:highlight w:val="none"/>
              </w:rPr>
            </w:pPr>
          </w:p>
        </w:tc>
      </w:tr>
    </w:tbl>
    <w:p>
      <w:pPr>
        <w:widowControl/>
        <w:adjustRightInd w:val="0"/>
        <w:snapToGrid w:val="0"/>
        <w:spacing w:after="120" w:afterLines="50" w:line="360" w:lineRule="auto"/>
        <w:rPr>
          <w:rFonts w:ascii="宋体" w:hAnsi="宋体" w:eastAsia="宋体" w:cs="Times New Roman"/>
          <w:color w:val="auto"/>
          <w:kern w:val="0"/>
          <w:sz w:val="20"/>
          <w:szCs w:val="20"/>
          <w:highlight w:val="none"/>
        </w:rPr>
      </w:pPr>
    </w:p>
    <w:p>
      <w:pPr>
        <w:widowControl/>
        <w:adjustRightInd w:val="0"/>
        <w:snapToGrid w:val="0"/>
        <w:spacing w:after="120" w:afterLines="50" w:line="360" w:lineRule="auto"/>
        <w:ind w:firstLine="400" w:firstLineChars="200"/>
        <w:rPr>
          <w:rFonts w:ascii="仿宋" w:hAnsi="仿宋" w:eastAsia="仿宋" w:cs="仿宋"/>
          <w:color w:val="auto"/>
          <w:sz w:val="24"/>
          <w:szCs w:val="24"/>
          <w:highlight w:val="none"/>
        </w:rPr>
      </w:pPr>
      <w:r>
        <w:rPr>
          <w:rFonts w:ascii="宋体" w:hAnsi="宋体" w:eastAsia="宋体" w:cs="Times New Roman"/>
          <w:color w:val="auto"/>
          <w:kern w:val="0"/>
          <w:sz w:val="20"/>
          <w:szCs w:val="20"/>
          <w:highlight w:val="none"/>
        </w:rPr>
        <w:br w:type="page"/>
      </w:r>
    </w:p>
    <w:bookmarkEnd w:id="1647"/>
    <w:bookmarkEnd w:id="1648"/>
    <w:bookmarkEnd w:id="1649"/>
    <w:bookmarkEnd w:id="1650"/>
    <w:bookmarkEnd w:id="1651"/>
    <w:bookmarkEnd w:id="1652"/>
    <w:bookmarkEnd w:id="1655"/>
    <w:p>
      <w:pPr>
        <w:keepNext/>
        <w:keepLines/>
        <w:tabs>
          <w:tab w:val="left" w:pos="1134"/>
        </w:tabs>
        <w:spacing w:line="480" w:lineRule="exact"/>
        <w:jc w:val="center"/>
        <w:outlineLvl w:val="1"/>
        <w:rPr>
          <w:rFonts w:ascii="宋体" w:hAnsi="宋体" w:eastAsia="宋体" w:cs="仿宋"/>
          <w:b/>
          <w:bCs/>
          <w:color w:val="auto"/>
          <w:sz w:val="24"/>
          <w:szCs w:val="24"/>
          <w:highlight w:val="none"/>
        </w:rPr>
      </w:pPr>
      <w:bookmarkStart w:id="1661" w:name="_Toc6516"/>
      <w:bookmarkStart w:id="1662" w:name="_Toc216681939"/>
      <w:r>
        <w:rPr>
          <w:rFonts w:hint="eastAsia" w:ascii="宋体" w:hAnsi="宋体" w:eastAsia="宋体" w:cs="仿宋"/>
          <w:b/>
          <w:bCs/>
          <w:color w:val="auto"/>
          <w:sz w:val="24"/>
          <w:szCs w:val="24"/>
          <w:highlight w:val="none"/>
        </w:rPr>
        <w:t>附件3 工程质量保修书</w:t>
      </w:r>
      <w:bookmarkEnd w:id="1661"/>
      <w:bookmarkEnd w:id="1662"/>
    </w:p>
    <w:p>
      <w:pPr>
        <w:spacing w:line="480" w:lineRule="exact"/>
        <w:rPr>
          <w:rFonts w:ascii="宋体" w:hAnsi="宋体" w:eastAsia="宋体" w:cs="仿宋"/>
          <w:color w:val="auto"/>
          <w:szCs w:val="21"/>
          <w:highlight w:val="none"/>
        </w:rPr>
      </w:pPr>
      <w:r>
        <w:rPr>
          <w:rFonts w:hint="eastAsia" w:ascii="宋体" w:hAnsi="宋体" w:eastAsia="宋体" w:cs="仿宋"/>
          <w:color w:val="auto"/>
          <w:szCs w:val="21"/>
          <w:highlight w:val="none"/>
        </w:rPr>
        <w:t>发包人（全称）：</w:t>
      </w:r>
      <w:r>
        <w:rPr>
          <w:rFonts w:hint="eastAsia" w:ascii="宋体" w:hAnsi="宋体" w:eastAsia="宋体" w:cs="仿宋"/>
          <w:color w:val="auto"/>
          <w:szCs w:val="21"/>
          <w:highlight w:val="none"/>
          <w:u w:val="single"/>
        </w:rPr>
        <w:t xml:space="preserve">                                  </w:t>
      </w:r>
    </w:p>
    <w:p>
      <w:pPr>
        <w:spacing w:line="480" w:lineRule="exact"/>
        <w:rPr>
          <w:rFonts w:ascii="宋体" w:hAnsi="宋体" w:eastAsia="宋体" w:cs="仿宋"/>
          <w:color w:val="auto"/>
          <w:szCs w:val="21"/>
          <w:highlight w:val="none"/>
        </w:rPr>
      </w:pPr>
      <w:r>
        <w:rPr>
          <w:rFonts w:hint="eastAsia" w:ascii="宋体" w:hAnsi="宋体" w:eastAsia="宋体" w:cs="仿宋"/>
          <w:color w:val="auto"/>
          <w:szCs w:val="21"/>
          <w:highlight w:val="none"/>
        </w:rPr>
        <w:t>承包人（全称）：</w:t>
      </w:r>
      <w:r>
        <w:rPr>
          <w:rFonts w:hint="eastAsia" w:ascii="宋体" w:hAnsi="宋体" w:eastAsia="宋体" w:cs="仿宋"/>
          <w:color w:val="auto"/>
          <w:szCs w:val="21"/>
          <w:highlight w:val="none"/>
          <w:u w:val="single"/>
        </w:rPr>
        <w:t xml:space="preserve">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发包人和承包人根据《中华人民共和国建筑法》和《建设工程质量管理条例》，经协商一致就</w:t>
      </w:r>
      <w:r>
        <w:rPr>
          <w:rFonts w:hint="eastAsia" w:ascii="宋体" w:hAnsi="宋体" w:eastAsia="宋体" w:cs="仿宋"/>
          <w:color w:val="auto"/>
          <w:szCs w:val="21"/>
          <w:highlight w:val="none"/>
          <w:u w:val="single"/>
        </w:rPr>
        <w:t xml:space="preserve">                 </w:t>
      </w:r>
      <w:r>
        <w:rPr>
          <w:rFonts w:hint="eastAsia" w:ascii="宋体" w:hAnsi="宋体" w:eastAsia="宋体" w:cs="仿宋"/>
          <w:color w:val="auto"/>
          <w:szCs w:val="21"/>
          <w:highlight w:val="none"/>
        </w:rPr>
        <w:t>（工程全称）订立工程质量保修书。</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一、工程质量保修范围和内容</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承包人在质量保修期内，按照有关法律规定和合同约定，承担工程质量保修责任。</w:t>
      </w:r>
    </w:p>
    <w:p>
      <w:pPr>
        <w:spacing w:line="480" w:lineRule="exact"/>
        <w:ind w:firstLine="600"/>
        <w:jc w:val="left"/>
        <w:rPr>
          <w:rFonts w:ascii="宋体" w:hAnsi="宋体" w:eastAsia="宋体" w:cs="仿宋"/>
          <w:color w:val="auto"/>
          <w:szCs w:val="21"/>
          <w:highlight w:val="none"/>
        </w:rPr>
      </w:pPr>
      <w:r>
        <w:rPr>
          <w:rFonts w:hint="eastAsia" w:ascii="宋体" w:hAnsi="宋体" w:eastAsia="宋体" w:cs="仿宋"/>
          <w:color w:val="auto"/>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仿宋"/>
          <w:color w:val="auto"/>
          <w:szCs w:val="21"/>
          <w:highlight w:val="none"/>
          <w:u w:val="single"/>
        </w:rPr>
        <w:t xml:space="preserve">  按工程质量管理保修办法国务院第279号令、工程质量管理条例建设部第80号令及建设工程质量保证金管理办法的通知 (建质[2017]138号)执行  </w:t>
      </w:r>
      <w:r>
        <w:rPr>
          <w:rFonts w:hint="eastAsia" w:ascii="宋体" w:hAnsi="宋体" w:eastAsia="宋体" w:cs="仿宋"/>
          <w:color w:val="auto"/>
          <w:szCs w:val="21"/>
          <w:highlight w:val="none"/>
        </w:rPr>
        <w:t>。</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二、质量保修期</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根据《建设工程质量管理条例》及有关规定，工程的质量保修期如下：</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1．地基基础工程和主体结构工程为设计文件规定的工程合理使用年限；</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2．屋面防水工程、有防水要求的卫生间、房间和外墙面的防渗为</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年；</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3．装修工程为</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年；</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4．电气管线、给排水管道、设备安装工程为</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年；</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5．供热与供冷系统为</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个采暖期、供冷期；</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6．住宅小区内的给排水设施、道路等配套工程为</w:t>
      </w:r>
      <w:r>
        <w:rPr>
          <w:rFonts w:hint="eastAsia" w:ascii="宋体" w:hAnsi="宋体" w:eastAsia="宋体" w:cs="仿宋"/>
          <w:color w:val="auto"/>
          <w:szCs w:val="21"/>
          <w:highlight w:val="none"/>
          <w:u w:val="single"/>
        </w:rPr>
        <w:t xml:space="preserve">    /    </w:t>
      </w:r>
      <w:r>
        <w:rPr>
          <w:rFonts w:hint="eastAsia" w:ascii="宋体" w:hAnsi="宋体" w:eastAsia="宋体" w:cs="仿宋"/>
          <w:color w:val="auto"/>
          <w:szCs w:val="21"/>
          <w:highlight w:val="none"/>
        </w:rPr>
        <w:t>年；</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7．其他项目保修期限约定如下：</w:t>
      </w:r>
      <w:r>
        <w:rPr>
          <w:rFonts w:hint="eastAsia" w:ascii="宋体" w:hAnsi="宋体" w:eastAsia="宋体" w:cs="仿宋"/>
          <w:color w:val="auto"/>
          <w:szCs w:val="21"/>
          <w:highlight w:val="none"/>
          <w:u w:val="single"/>
        </w:rPr>
        <w:t xml:space="preserve">     按国家规定执行     </w:t>
      </w:r>
      <w:r>
        <w:rPr>
          <w:rFonts w:hint="eastAsia" w:ascii="宋体" w:hAnsi="宋体" w:eastAsia="宋体" w:cs="仿宋"/>
          <w:color w:val="auto"/>
          <w:szCs w:val="21"/>
          <w:highlight w:val="none"/>
        </w:rPr>
        <w:t>。</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质量保修期自工程竣工验收合格之日起计算。</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三、缺陷责任期</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工程缺陷责任期为</w:t>
      </w:r>
      <w:r>
        <w:rPr>
          <w:rFonts w:hint="eastAsia" w:ascii="宋体" w:hAnsi="宋体" w:eastAsia="宋体" w:cs="仿宋"/>
          <w:color w:val="auto"/>
          <w:szCs w:val="21"/>
          <w:highlight w:val="none"/>
          <w:u w:val="single"/>
        </w:rPr>
        <w:t xml:space="preserve">  24  </w:t>
      </w:r>
      <w:r>
        <w:rPr>
          <w:rFonts w:hint="eastAsia" w:ascii="宋体" w:hAnsi="宋体" w:eastAsia="宋体" w:cs="仿宋"/>
          <w:color w:val="auto"/>
          <w:szCs w:val="21"/>
          <w:highlight w:val="none"/>
        </w:rPr>
        <w:t>个月，缺陷责任期自工程通过竣工验收之日起计算。单位/区段工程先于全部工程进行验收，单位/区段工程缺陷责任期自单位/区段工程验收合格之日起算。</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缺陷责任期终止后，发包人应返还剩余的质量保证金。</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四、质量保修责任</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1．属于保修范围、内容的项目，承包人应当在接到保修通知之日起7天内派人保修。承包人不在约定期限内派人保修的，发包人可以委托他人修理。</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2．发生紧急事故需抢修的，承包人在接到事故通知后，应当立即到达事故现场抢修。</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4．质量保修完成后，由发包人组织验收。</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五、保修费用</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保修费用由造成质量缺陷的责任方承担。</w:t>
      </w:r>
    </w:p>
    <w:p>
      <w:pPr>
        <w:spacing w:line="480" w:lineRule="exact"/>
        <w:ind w:firstLine="600"/>
        <w:rPr>
          <w:rFonts w:ascii="宋体" w:hAnsi="宋体" w:eastAsia="宋体" w:cs="仿宋"/>
          <w:color w:val="auto"/>
          <w:szCs w:val="21"/>
          <w:highlight w:val="none"/>
          <w:u w:val="single"/>
        </w:rPr>
      </w:pPr>
      <w:r>
        <w:rPr>
          <w:rFonts w:hint="eastAsia" w:ascii="宋体" w:hAnsi="宋体" w:eastAsia="宋体" w:cs="仿宋"/>
          <w:color w:val="auto"/>
          <w:szCs w:val="21"/>
          <w:highlight w:val="none"/>
        </w:rPr>
        <w:t>六、双方约定的其他工程质量保修事项：</w:t>
      </w:r>
      <w:r>
        <w:rPr>
          <w:rFonts w:hint="eastAsia" w:ascii="宋体" w:hAnsi="宋体" w:eastAsia="宋体" w:cs="仿宋"/>
          <w:color w:val="auto"/>
          <w:szCs w:val="21"/>
          <w:highlight w:val="none"/>
          <w:u w:val="single"/>
        </w:rPr>
        <w:t xml:space="preserve">  保修期间如有质量问题，承包人接到发包人通知48小时内必须派专人维修  </w:t>
      </w:r>
      <w:r>
        <w:rPr>
          <w:rFonts w:hint="eastAsia" w:ascii="宋体" w:hAnsi="宋体" w:eastAsia="宋体" w:cs="仿宋"/>
          <w:color w:val="auto"/>
          <w:szCs w:val="21"/>
          <w:highlight w:val="none"/>
        </w:rPr>
        <w:t>。</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工程质量保修书由发包人、承包人在工程竣工验收前共同签署，作为工程总承包合同附件，其有效期限至保修期满。</w:t>
      </w:r>
    </w:p>
    <w:p>
      <w:pPr>
        <w:spacing w:line="480" w:lineRule="exact"/>
        <w:ind w:firstLine="600"/>
        <w:rPr>
          <w:rFonts w:ascii="宋体" w:hAnsi="宋体" w:eastAsia="宋体" w:cs="仿宋"/>
          <w:color w:val="auto"/>
          <w:szCs w:val="21"/>
          <w:highlight w:val="none"/>
        </w:rPr>
      </w:pP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发包人(公章)：               承包人(公章)：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地  址：                     地  址：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法定代表人(签字)：           法定代表人(签字)：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委托代理人(签字)：           委托代理人(签字)：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电  话：                     电  话：</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传  真：                     传  真：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开户银行：                   开户银行：</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账  号：                     账  号： </w:t>
      </w:r>
    </w:p>
    <w:p>
      <w:pPr>
        <w:spacing w:line="480" w:lineRule="exact"/>
        <w:ind w:firstLine="600"/>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邮政编码：                   邮政编码：  </w:t>
      </w:r>
    </w:p>
    <w:p>
      <w:pPr>
        <w:spacing w:line="480" w:lineRule="exact"/>
        <w:ind w:firstLine="600"/>
        <w:rPr>
          <w:rFonts w:ascii="宋体" w:hAnsi="宋体" w:eastAsia="宋体" w:cs="仿宋"/>
          <w:color w:val="auto"/>
          <w:szCs w:val="21"/>
          <w:highlight w:val="none"/>
        </w:rPr>
      </w:pPr>
    </w:p>
    <w:p>
      <w:pPr>
        <w:spacing w:line="480" w:lineRule="exact"/>
        <w:rPr>
          <w:rFonts w:ascii="仿宋" w:hAnsi="仿宋" w:eastAsia="仿宋" w:cs="仿宋"/>
          <w:color w:val="auto"/>
          <w:sz w:val="24"/>
          <w:szCs w:val="24"/>
          <w:highlight w:val="none"/>
        </w:rPr>
      </w:pPr>
    </w:p>
    <w:p>
      <w:pPr>
        <w:spacing w:line="480" w:lineRule="exact"/>
        <w:rPr>
          <w:rFonts w:ascii="仿宋" w:hAnsi="仿宋" w:eastAsia="仿宋" w:cs="仿宋"/>
          <w:color w:val="auto"/>
          <w:sz w:val="24"/>
          <w:szCs w:val="24"/>
          <w:highlight w:val="none"/>
        </w:rPr>
      </w:pPr>
    </w:p>
    <w:p>
      <w:pPr>
        <w:spacing w:line="480" w:lineRule="exact"/>
        <w:rPr>
          <w:rFonts w:ascii="仿宋" w:hAnsi="仿宋" w:eastAsia="仿宋" w:cs="仿宋"/>
          <w:color w:val="auto"/>
          <w:sz w:val="24"/>
          <w:szCs w:val="24"/>
          <w:highlight w:val="none"/>
        </w:rPr>
      </w:pPr>
    </w:p>
    <w:p>
      <w:pPr>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pPr>
        <w:keepNext/>
        <w:keepLines/>
        <w:widowControl/>
        <w:tabs>
          <w:tab w:val="left" w:pos="1134"/>
        </w:tabs>
        <w:wordWrap w:val="0"/>
        <w:topLinePunct/>
        <w:adjustRightInd w:val="0"/>
        <w:snapToGrid w:val="0"/>
        <w:spacing w:after="120" w:afterLines="50" w:line="360" w:lineRule="auto"/>
        <w:jc w:val="center"/>
        <w:outlineLvl w:val="1"/>
        <w:rPr>
          <w:rFonts w:ascii="宋体" w:hAnsi="宋体" w:eastAsia="宋体" w:cs="Times New Roman"/>
          <w:b/>
          <w:color w:val="auto"/>
          <w:kern w:val="0"/>
          <w:sz w:val="28"/>
          <w:szCs w:val="30"/>
          <w:highlight w:val="none"/>
        </w:rPr>
      </w:pPr>
      <w:bookmarkStart w:id="1663" w:name="_Toc20171896"/>
      <w:bookmarkStart w:id="1664" w:name="_Toc54862355"/>
      <w:bookmarkStart w:id="1665" w:name="_Toc196119691"/>
      <w:bookmarkStart w:id="1666" w:name="_Toc216681940"/>
      <w:r>
        <w:rPr>
          <w:rFonts w:hint="eastAsia" w:ascii="宋体" w:hAnsi="宋体" w:eastAsia="宋体" w:cs="Times New Roman"/>
          <w:b/>
          <w:color w:val="auto"/>
          <w:kern w:val="0"/>
          <w:sz w:val="28"/>
          <w:szCs w:val="30"/>
          <w:highlight w:val="none"/>
        </w:rPr>
        <w:t>附件4</w:t>
      </w:r>
      <w:r>
        <w:rPr>
          <w:rFonts w:ascii="宋体" w:hAnsi="宋体" w:eastAsia="宋体" w:cs="Times New Roman"/>
          <w:b/>
          <w:color w:val="auto"/>
          <w:kern w:val="0"/>
          <w:sz w:val="28"/>
          <w:szCs w:val="30"/>
          <w:highlight w:val="none"/>
        </w:rPr>
        <w:t xml:space="preserve"> 主要建设工程文件目录</w:t>
      </w:r>
      <w:bookmarkEnd w:id="1663"/>
      <w:bookmarkEnd w:id="1664"/>
      <w:bookmarkEnd w:id="1665"/>
      <w:bookmarkEnd w:id="1666"/>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vAlign w:val="center"/>
          </w:tcPr>
          <w:p>
            <w:pPr>
              <w:widowControl/>
              <w:adjustRightInd w:val="0"/>
              <w:snapToGrid w:val="0"/>
              <w:spacing w:line="360" w:lineRule="auto"/>
              <w:jc w:val="center"/>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文件名称</w:t>
            </w:r>
          </w:p>
        </w:tc>
        <w:tc>
          <w:tcPr>
            <w:tcW w:w="1276" w:type="dxa"/>
            <w:tcBorders>
              <w:top w:val="single" w:color="auto" w:sz="12" w:space="0"/>
              <w:bottom w:val="double" w:color="auto" w:sz="6" w:space="0"/>
            </w:tcBorders>
            <w:vAlign w:val="center"/>
          </w:tcPr>
          <w:p>
            <w:pPr>
              <w:widowControl/>
              <w:adjustRightInd w:val="0"/>
              <w:snapToGrid w:val="0"/>
              <w:spacing w:line="360" w:lineRule="auto"/>
              <w:jc w:val="center"/>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套数</w:t>
            </w:r>
          </w:p>
        </w:tc>
        <w:tc>
          <w:tcPr>
            <w:tcW w:w="1450" w:type="dxa"/>
            <w:tcBorders>
              <w:top w:val="single" w:color="auto" w:sz="12" w:space="0"/>
              <w:bottom w:val="double" w:color="auto" w:sz="6" w:space="0"/>
            </w:tcBorders>
            <w:vAlign w:val="center"/>
          </w:tcPr>
          <w:p>
            <w:pPr>
              <w:widowControl/>
              <w:adjustRightInd w:val="0"/>
              <w:snapToGrid w:val="0"/>
              <w:spacing w:line="360" w:lineRule="auto"/>
              <w:jc w:val="center"/>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费用（元）</w:t>
            </w:r>
          </w:p>
        </w:tc>
        <w:tc>
          <w:tcPr>
            <w:tcW w:w="1243" w:type="dxa"/>
            <w:tcBorders>
              <w:top w:val="single" w:color="auto" w:sz="12" w:space="0"/>
              <w:bottom w:val="double" w:color="auto" w:sz="6" w:space="0"/>
            </w:tcBorders>
            <w:vAlign w:val="center"/>
          </w:tcPr>
          <w:p>
            <w:pPr>
              <w:widowControl/>
              <w:adjustRightInd w:val="0"/>
              <w:snapToGrid w:val="0"/>
              <w:spacing w:line="360" w:lineRule="auto"/>
              <w:jc w:val="center"/>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质量</w:t>
            </w:r>
          </w:p>
        </w:tc>
        <w:tc>
          <w:tcPr>
            <w:tcW w:w="1450" w:type="dxa"/>
            <w:tcBorders>
              <w:top w:val="single" w:color="auto" w:sz="12" w:space="0"/>
              <w:bottom w:val="double" w:color="auto" w:sz="6" w:space="0"/>
            </w:tcBorders>
          </w:tcPr>
          <w:p>
            <w:pPr>
              <w:widowControl/>
              <w:adjustRightInd w:val="0"/>
              <w:snapToGrid w:val="0"/>
              <w:spacing w:line="360" w:lineRule="auto"/>
              <w:jc w:val="center"/>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移交时间</w:t>
            </w:r>
          </w:p>
        </w:tc>
        <w:tc>
          <w:tcPr>
            <w:tcW w:w="1670" w:type="dxa"/>
            <w:tcBorders>
              <w:top w:val="single" w:color="auto" w:sz="12" w:space="0"/>
              <w:bottom w:val="double" w:color="auto" w:sz="6" w:space="0"/>
            </w:tcBorders>
          </w:tcPr>
          <w:p>
            <w:pPr>
              <w:widowControl/>
              <w:adjustRightInd w:val="0"/>
              <w:snapToGrid w:val="0"/>
              <w:spacing w:line="360" w:lineRule="auto"/>
              <w:jc w:val="center"/>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Borders>
              <w:top w:val="double" w:color="auto" w:sz="6" w:space="0"/>
              <w:bottom w:val="single" w:color="auto" w:sz="6" w:space="0"/>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Borders>
              <w:top w:val="double" w:color="auto" w:sz="6" w:space="0"/>
              <w:bottom w:val="single" w:color="auto" w:sz="6" w:space="0"/>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Borders>
              <w:top w:val="double" w:color="auto" w:sz="6" w:space="0"/>
              <w:bottom w:val="single" w:color="auto" w:sz="6" w:space="0"/>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Borders>
              <w:top w:val="double" w:color="auto" w:sz="6" w:space="0"/>
              <w:bottom w:val="single" w:color="auto" w:sz="6" w:space="0"/>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Borders>
              <w:top w:val="double" w:color="auto" w:sz="6" w:space="0"/>
              <w:bottom w:val="single" w:color="auto" w:sz="6" w:space="0"/>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Borders>
              <w:top w:val="nil"/>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Borders>
              <w:top w:val="nil"/>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Borders>
              <w:top w:val="nil"/>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Borders>
              <w:top w:val="nil"/>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Borders>
              <w:top w:val="nil"/>
            </w:tcBorders>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vAlign w:val="center"/>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76"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243"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45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c>
          <w:tcPr>
            <w:tcW w:w="1670" w:type="dxa"/>
          </w:tcPr>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tc>
      </w:tr>
    </w:tbl>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pPr>
    </w:p>
    <w:p>
      <w:pPr>
        <w:widowControl/>
        <w:adjustRightInd w:val="0"/>
        <w:snapToGrid w:val="0"/>
        <w:spacing w:after="120" w:afterLines="50" w:line="360" w:lineRule="auto"/>
        <w:ind w:firstLine="440" w:firstLineChars="200"/>
        <w:rPr>
          <w:rFonts w:ascii="宋体" w:hAnsi="宋体" w:eastAsia="宋体" w:cs="Times New Roman"/>
          <w:color w:val="auto"/>
          <w:kern w:val="0"/>
          <w:sz w:val="22"/>
          <w:szCs w:val="20"/>
          <w:highlight w:val="none"/>
        </w:rPr>
        <w:sectPr>
          <w:pgSz w:w="11906" w:h="16838"/>
          <w:pgMar w:top="1440" w:right="1689" w:bottom="1440" w:left="1689" w:header="720" w:footer="998" w:gutter="0"/>
          <w:cols w:space="720" w:num="1"/>
          <w:docGrid w:linePitch="326" w:charSpace="0"/>
        </w:sectPr>
      </w:pPr>
    </w:p>
    <w:p>
      <w:pPr>
        <w:keepNext/>
        <w:keepLines/>
        <w:widowControl/>
        <w:tabs>
          <w:tab w:val="left" w:pos="1134"/>
        </w:tabs>
        <w:wordWrap w:val="0"/>
        <w:topLinePunct/>
        <w:adjustRightInd w:val="0"/>
        <w:snapToGrid w:val="0"/>
        <w:spacing w:after="156" w:afterLines="50" w:line="360" w:lineRule="auto"/>
        <w:jc w:val="center"/>
        <w:outlineLvl w:val="1"/>
        <w:rPr>
          <w:rFonts w:ascii="宋体" w:hAnsi="宋体" w:eastAsia="宋体" w:cs="Times New Roman"/>
          <w:b/>
          <w:color w:val="auto"/>
          <w:kern w:val="0"/>
          <w:sz w:val="28"/>
          <w:szCs w:val="30"/>
          <w:highlight w:val="none"/>
        </w:rPr>
      </w:pPr>
      <w:bookmarkStart w:id="1667" w:name="_Toc54862356"/>
      <w:bookmarkStart w:id="1668" w:name="_Toc196119692"/>
      <w:bookmarkStart w:id="1669" w:name="_Toc216681941"/>
      <w:bookmarkStart w:id="1670" w:name="_Toc20171897"/>
      <w:r>
        <w:rPr>
          <w:rFonts w:hint="eastAsia" w:ascii="宋体" w:hAnsi="宋体" w:eastAsia="宋体" w:cs="Times New Roman"/>
          <w:b/>
          <w:color w:val="auto"/>
          <w:kern w:val="0"/>
          <w:sz w:val="28"/>
          <w:szCs w:val="30"/>
          <w:highlight w:val="none"/>
        </w:rPr>
        <w:t>附件</w:t>
      </w:r>
      <w:r>
        <w:rPr>
          <w:rFonts w:ascii="宋体" w:hAnsi="宋体" w:eastAsia="宋体" w:cs="Times New Roman"/>
          <w:b/>
          <w:color w:val="auto"/>
          <w:kern w:val="0"/>
          <w:sz w:val="28"/>
          <w:szCs w:val="30"/>
          <w:highlight w:val="none"/>
        </w:rPr>
        <w:t>5 承包人主要管理人员表</w:t>
      </w:r>
      <w:bookmarkEnd w:id="1667"/>
      <w:bookmarkEnd w:id="1668"/>
      <w:bookmarkEnd w:id="1669"/>
      <w:bookmarkEnd w:id="1670"/>
    </w:p>
    <w:tbl>
      <w:tblPr>
        <w:tblStyle w:val="41"/>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729"/>
        <w:gridCol w:w="33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12" w:space="0"/>
              <w:bottom w:val="doub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名    称</w:t>
            </w:r>
          </w:p>
        </w:tc>
        <w:tc>
          <w:tcPr>
            <w:tcW w:w="1418" w:type="dxa"/>
            <w:tcBorders>
              <w:top w:val="single" w:color="auto" w:sz="12" w:space="0"/>
              <w:bottom w:val="doub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姓名</w:t>
            </w:r>
          </w:p>
        </w:tc>
        <w:tc>
          <w:tcPr>
            <w:tcW w:w="1134" w:type="dxa"/>
            <w:tcBorders>
              <w:top w:val="single" w:color="auto" w:sz="12" w:space="0"/>
              <w:bottom w:val="doub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职务</w:t>
            </w:r>
          </w:p>
        </w:tc>
        <w:tc>
          <w:tcPr>
            <w:tcW w:w="1729" w:type="dxa"/>
            <w:tcBorders>
              <w:top w:val="single" w:color="auto" w:sz="12" w:space="0"/>
              <w:bottom w:val="doub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职称</w:t>
            </w:r>
          </w:p>
        </w:tc>
        <w:tc>
          <w:tcPr>
            <w:tcW w:w="3301" w:type="dxa"/>
            <w:tcBorders>
              <w:top w:val="single" w:color="auto" w:sz="12" w:space="0"/>
              <w:bottom w:val="doub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9087" w:type="dxa"/>
            <w:gridSpan w:val="5"/>
            <w:tcBorders>
              <w:top w:val="double" w:color="auto" w:sz="6" w:space="0"/>
              <w:bottom w:val="sing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nil"/>
              <w:bottom w:val="nil"/>
            </w:tcBorders>
            <w:vAlign w:val="center"/>
          </w:tcPr>
          <w:p>
            <w:pPr>
              <w:widowControl/>
              <w:adjustRightInd w:val="0"/>
              <w:snapToGrid w:val="0"/>
              <w:jc w:val="center"/>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项目主管</w:t>
            </w:r>
          </w:p>
        </w:tc>
        <w:tc>
          <w:tcPr>
            <w:tcW w:w="1418" w:type="dxa"/>
            <w:tcBorders>
              <w:top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tcBorders>
              <w:top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tcBorders>
              <w:top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tcBorders>
              <w:top w:val="nil"/>
            </w:tcBorders>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nil"/>
              <w:bottom w:val="nil"/>
            </w:tcBorders>
            <w:vAlign w:val="center"/>
          </w:tcPr>
          <w:p>
            <w:pPr>
              <w:widowControl/>
              <w:adjustRightInd w:val="0"/>
              <w:snapToGrid w:val="0"/>
              <w:jc w:val="center"/>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其他人员</w:t>
            </w: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nil"/>
              <w:bottom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9087" w:type="dxa"/>
            <w:gridSpan w:val="5"/>
            <w:tcBorders>
              <w:top w:val="single" w:color="auto" w:sz="6" w:space="0"/>
              <w:bottom w:val="single" w:color="auto" w:sz="6" w:space="0"/>
            </w:tcBorders>
            <w:vAlign w:val="center"/>
          </w:tcPr>
          <w:p>
            <w:pPr>
              <w:widowControl/>
              <w:adjustRightInd w:val="0"/>
              <w:snapToGrid w:val="0"/>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tcBorders>
              <w:top w:val="single" w:color="auto" w:sz="6" w:space="0"/>
              <w:bottom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jc w:val="center"/>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vMerge w:val="restart"/>
            <w:tcBorders>
              <w:top w:val="single" w:color="auto" w:sz="6" w:space="0"/>
            </w:tcBorders>
            <w:vAlign w:val="center"/>
          </w:tcPr>
          <w:p>
            <w:pPr>
              <w:widowControl/>
              <w:adjustRightInd w:val="0"/>
              <w:snapToGrid w:val="0"/>
              <w:jc w:val="center"/>
              <w:rPr>
                <w:rFonts w:ascii="宋体" w:hAnsi="宋体" w:eastAsia="宋体" w:cs="Times New Roman"/>
                <w:color w:val="auto"/>
                <w:kern w:val="0"/>
                <w:sz w:val="20"/>
                <w:szCs w:val="21"/>
                <w:highlight w:val="none"/>
              </w:rPr>
            </w:pPr>
            <w:r>
              <w:rPr>
                <w:rFonts w:hint="eastAsia" w:ascii="宋体" w:hAnsi="宋体" w:eastAsia="宋体" w:cs="Times New Roman"/>
                <w:color w:val="auto"/>
                <w:kern w:val="0"/>
                <w:sz w:val="20"/>
                <w:szCs w:val="21"/>
                <w:highlight w:val="none"/>
              </w:rPr>
              <w:t>其他人员</w:t>
            </w: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vMerge w:val="continue"/>
            <w:vAlign w:val="center"/>
          </w:tcPr>
          <w:p>
            <w:pPr>
              <w:widowControl/>
              <w:adjustRightInd w:val="0"/>
              <w:snapToGrid w:val="0"/>
              <w:rPr>
                <w:rFonts w:ascii="宋体" w:hAnsi="宋体" w:eastAsia="宋体" w:cs="Times New Roman"/>
                <w:color w:val="auto"/>
                <w:kern w:val="0"/>
                <w:sz w:val="20"/>
                <w:szCs w:val="21"/>
                <w:highlight w:val="none"/>
              </w:rPr>
            </w:pPr>
          </w:p>
        </w:tc>
        <w:tc>
          <w:tcPr>
            <w:tcW w:w="1418" w:type="dxa"/>
            <w:tcBorders>
              <w:bottom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tcBorders>
              <w:bottom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tcBorders>
              <w:bottom w:val="nil"/>
            </w:tcBorders>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tcBorders>
              <w:bottom w:val="nil"/>
            </w:tcBorders>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vMerge w:val="continue"/>
            <w:vAlign w:val="center"/>
          </w:tcPr>
          <w:p>
            <w:pPr>
              <w:widowControl/>
              <w:adjustRightInd w:val="0"/>
              <w:snapToGrid w:val="0"/>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vMerge w:val="continue"/>
            <w:vAlign w:val="center"/>
          </w:tcPr>
          <w:p>
            <w:pPr>
              <w:widowControl/>
              <w:adjustRightInd w:val="0"/>
              <w:snapToGrid w:val="0"/>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vMerge w:val="continue"/>
            <w:vAlign w:val="center"/>
          </w:tcPr>
          <w:p>
            <w:pPr>
              <w:widowControl/>
              <w:adjustRightInd w:val="0"/>
              <w:snapToGrid w:val="0"/>
              <w:rPr>
                <w:rFonts w:ascii="宋体" w:hAnsi="宋体" w:eastAsia="宋体" w:cs="Times New Roman"/>
                <w:color w:val="auto"/>
                <w:kern w:val="0"/>
                <w:sz w:val="20"/>
                <w:szCs w:val="21"/>
                <w:highlight w:val="none"/>
              </w:rPr>
            </w:pPr>
          </w:p>
        </w:tc>
        <w:tc>
          <w:tcPr>
            <w:tcW w:w="1418" w:type="dxa"/>
            <w:vAlign w:val="center"/>
          </w:tcPr>
          <w:p>
            <w:pPr>
              <w:widowControl/>
              <w:adjustRightInd w:val="0"/>
              <w:snapToGrid w:val="0"/>
              <w:rPr>
                <w:rFonts w:ascii="宋体" w:hAnsi="宋体" w:eastAsia="宋体" w:cs="Times New Roman"/>
                <w:color w:val="auto"/>
                <w:kern w:val="0"/>
                <w:sz w:val="20"/>
                <w:szCs w:val="21"/>
                <w:highlight w:val="none"/>
              </w:rPr>
            </w:pPr>
          </w:p>
        </w:tc>
        <w:tc>
          <w:tcPr>
            <w:tcW w:w="1134" w:type="dxa"/>
            <w:vAlign w:val="center"/>
          </w:tcPr>
          <w:p>
            <w:pPr>
              <w:widowControl/>
              <w:adjustRightInd w:val="0"/>
              <w:snapToGrid w:val="0"/>
              <w:rPr>
                <w:rFonts w:ascii="宋体" w:hAnsi="宋体" w:eastAsia="宋体" w:cs="Times New Roman"/>
                <w:color w:val="auto"/>
                <w:kern w:val="0"/>
                <w:sz w:val="20"/>
                <w:szCs w:val="21"/>
                <w:highlight w:val="none"/>
              </w:rPr>
            </w:pPr>
          </w:p>
        </w:tc>
        <w:tc>
          <w:tcPr>
            <w:tcW w:w="1729" w:type="dxa"/>
            <w:vAlign w:val="center"/>
          </w:tcPr>
          <w:p>
            <w:pPr>
              <w:widowControl/>
              <w:adjustRightInd w:val="0"/>
              <w:snapToGrid w:val="0"/>
              <w:rPr>
                <w:rFonts w:ascii="宋体" w:hAnsi="宋体" w:eastAsia="宋体" w:cs="Times New Roman"/>
                <w:color w:val="auto"/>
                <w:kern w:val="0"/>
                <w:sz w:val="20"/>
                <w:szCs w:val="21"/>
                <w:highlight w:val="none"/>
              </w:rPr>
            </w:pPr>
          </w:p>
        </w:tc>
        <w:tc>
          <w:tcPr>
            <w:tcW w:w="3301" w:type="dxa"/>
            <w:vAlign w:val="center"/>
          </w:tcPr>
          <w:p>
            <w:pPr>
              <w:widowControl/>
              <w:adjustRightInd w:val="0"/>
              <w:snapToGrid w:val="0"/>
              <w:rPr>
                <w:rFonts w:ascii="宋体" w:hAnsi="宋体" w:eastAsia="宋体" w:cs="Times New Roman"/>
                <w:color w:val="auto"/>
                <w:kern w:val="0"/>
                <w:sz w:val="2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1505" w:type="dxa"/>
            <w:vMerge w:val="continue"/>
            <w:tcBorders>
              <w:bottom w:val="single" w:color="auto" w:sz="12" w:space="0"/>
            </w:tcBorders>
            <w:vAlign w:val="center"/>
          </w:tcPr>
          <w:p>
            <w:pPr>
              <w:widowControl/>
              <w:adjustRightInd w:val="0"/>
              <w:snapToGrid w:val="0"/>
              <w:rPr>
                <w:rFonts w:ascii="宋体" w:hAnsi="宋体" w:eastAsia="宋体" w:cs="Times New Roman"/>
                <w:color w:val="auto"/>
                <w:kern w:val="0"/>
                <w:sz w:val="22"/>
                <w:szCs w:val="20"/>
                <w:highlight w:val="none"/>
              </w:rPr>
            </w:pPr>
          </w:p>
        </w:tc>
        <w:tc>
          <w:tcPr>
            <w:tcW w:w="1418" w:type="dxa"/>
            <w:tcBorders>
              <w:bottom w:val="single" w:color="auto" w:sz="12" w:space="0"/>
            </w:tcBorders>
            <w:vAlign w:val="center"/>
          </w:tcPr>
          <w:p>
            <w:pPr>
              <w:widowControl/>
              <w:adjustRightInd w:val="0"/>
              <w:snapToGrid w:val="0"/>
              <w:rPr>
                <w:rFonts w:ascii="宋体" w:hAnsi="宋体" w:eastAsia="宋体" w:cs="Times New Roman"/>
                <w:color w:val="auto"/>
                <w:kern w:val="0"/>
                <w:sz w:val="22"/>
                <w:szCs w:val="20"/>
                <w:highlight w:val="none"/>
              </w:rPr>
            </w:pPr>
          </w:p>
        </w:tc>
        <w:tc>
          <w:tcPr>
            <w:tcW w:w="1134" w:type="dxa"/>
            <w:tcBorders>
              <w:bottom w:val="single" w:color="auto" w:sz="12" w:space="0"/>
            </w:tcBorders>
            <w:vAlign w:val="center"/>
          </w:tcPr>
          <w:p>
            <w:pPr>
              <w:widowControl/>
              <w:adjustRightInd w:val="0"/>
              <w:snapToGrid w:val="0"/>
              <w:rPr>
                <w:rFonts w:ascii="宋体" w:hAnsi="宋体" w:eastAsia="宋体" w:cs="Times New Roman"/>
                <w:color w:val="auto"/>
                <w:kern w:val="0"/>
                <w:sz w:val="22"/>
                <w:szCs w:val="20"/>
                <w:highlight w:val="none"/>
              </w:rPr>
            </w:pPr>
          </w:p>
        </w:tc>
        <w:tc>
          <w:tcPr>
            <w:tcW w:w="1729" w:type="dxa"/>
            <w:tcBorders>
              <w:bottom w:val="single" w:color="auto" w:sz="12" w:space="0"/>
            </w:tcBorders>
            <w:vAlign w:val="center"/>
          </w:tcPr>
          <w:p>
            <w:pPr>
              <w:widowControl/>
              <w:adjustRightInd w:val="0"/>
              <w:snapToGrid w:val="0"/>
              <w:rPr>
                <w:rFonts w:ascii="宋体" w:hAnsi="宋体" w:eastAsia="宋体" w:cs="Times New Roman"/>
                <w:color w:val="auto"/>
                <w:kern w:val="0"/>
                <w:sz w:val="22"/>
                <w:szCs w:val="20"/>
                <w:highlight w:val="none"/>
              </w:rPr>
            </w:pPr>
          </w:p>
        </w:tc>
        <w:tc>
          <w:tcPr>
            <w:tcW w:w="3301" w:type="dxa"/>
            <w:tcBorders>
              <w:bottom w:val="single" w:color="auto" w:sz="12" w:space="0"/>
            </w:tcBorders>
            <w:vAlign w:val="center"/>
          </w:tcPr>
          <w:p>
            <w:pPr>
              <w:widowControl/>
              <w:adjustRightInd w:val="0"/>
              <w:snapToGrid w:val="0"/>
              <w:rPr>
                <w:rFonts w:ascii="宋体" w:hAnsi="宋体" w:eastAsia="宋体" w:cs="Times New Roman"/>
                <w:color w:val="auto"/>
                <w:kern w:val="0"/>
                <w:sz w:val="22"/>
                <w:szCs w:val="20"/>
                <w:highlight w:val="none"/>
              </w:rPr>
            </w:pPr>
          </w:p>
        </w:tc>
      </w:tr>
    </w:tbl>
    <w:p>
      <w:pPr>
        <w:widowControl/>
        <w:adjustRightInd w:val="0"/>
        <w:snapToGrid w:val="0"/>
        <w:spacing w:after="156" w:afterLines="50" w:line="360" w:lineRule="auto"/>
        <w:ind w:firstLine="220" w:firstLineChars="100"/>
        <w:rPr>
          <w:rFonts w:ascii="宋体" w:hAnsi="宋体" w:eastAsia="宋体" w:cs="Times New Roman"/>
          <w:color w:val="auto"/>
          <w:kern w:val="0"/>
          <w:sz w:val="22"/>
          <w:szCs w:val="20"/>
          <w:highlight w:val="none"/>
        </w:rPr>
      </w:pPr>
      <w:r>
        <w:rPr>
          <w:rFonts w:ascii="宋体" w:hAnsi="宋体" w:eastAsia="宋体" w:cs="Times New Roman"/>
          <w:color w:val="auto"/>
          <w:kern w:val="0"/>
          <w:sz w:val="22"/>
          <w:szCs w:val="20"/>
          <w:highlight w:val="none"/>
        </w:rPr>
        <w:br w:type="page"/>
      </w:r>
    </w:p>
    <w:p>
      <w:pPr>
        <w:keepNext/>
        <w:keepLines/>
        <w:widowControl/>
        <w:tabs>
          <w:tab w:val="left" w:pos="1134"/>
        </w:tabs>
        <w:wordWrap w:val="0"/>
        <w:topLinePunct/>
        <w:adjustRightInd w:val="0"/>
        <w:snapToGrid w:val="0"/>
        <w:spacing w:after="156" w:afterLines="50" w:line="360" w:lineRule="auto"/>
        <w:jc w:val="center"/>
        <w:outlineLvl w:val="1"/>
        <w:rPr>
          <w:rFonts w:ascii="宋体" w:hAnsi="宋体" w:eastAsia="宋体" w:cs="Times New Roman"/>
          <w:b/>
          <w:color w:val="auto"/>
          <w:kern w:val="0"/>
          <w:sz w:val="28"/>
          <w:szCs w:val="30"/>
          <w:highlight w:val="none"/>
        </w:rPr>
      </w:pPr>
      <w:bookmarkStart w:id="1671" w:name="_Toc216681942"/>
      <w:bookmarkStart w:id="1672" w:name="_Toc196119693"/>
      <w:bookmarkStart w:id="1673" w:name="_Toc54862357"/>
      <w:r>
        <w:rPr>
          <w:rFonts w:hint="eastAsia" w:ascii="宋体" w:hAnsi="宋体" w:eastAsia="宋体" w:cs="Times New Roman"/>
          <w:b/>
          <w:color w:val="auto"/>
          <w:kern w:val="0"/>
          <w:sz w:val="28"/>
          <w:szCs w:val="30"/>
          <w:highlight w:val="none"/>
        </w:rPr>
        <w:t>附件6</w:t>
      </w:r>
      <w:r>
        <w:rPr>
          <w:rFonts w:ascii="宋体" w:hAnsi="宋体" w:eastAsia="宋体" w:cs="Times New Roman"/>
          <w:b/>
          <w:color w:val="auto"/>
          <w:kern w:val="0"/>
          <w:sz w:val="28"/>
          <w:szCs w:val="30"/>
          <w:highlight w:val="none"/>
        </w:rPr>
        <w:t xml:space="preserve"> </w:t>
      </w:r>
      <w:r>
        <w:rPr>
          <w:rFonts w:hint="eastAsia" w:ascii="宋体" w:hAnsi="宋体" w:eastAsia="宋体" w:cs="Times New Roman"/>
          <w:b/>
          <w:color w:val="auto"/>
          <w:kern w:val="0"/>
          <w:sz w:val="28"/>
          <w:szCs w:val="30"/>
          <w:highlight w:val="none"/>
        </w:rPr>
        <w:t>价格指数权重表</w:t>
      </w:r>
      <w:bookmarkEnd w:id="1671"/>
      <w:bookmarkEnd w:id="1672"/>
      <w:bookmarkEnd w:id="1673"/>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序号</w:t>
            </w:r>
          </w:p>
        </w:tc>
        <w:tc>
          <w:tcPr>
            <w:tcW w:w="1460" w:type="dxa"/>
            <w:gridSpan w:val="2"/>
            <w:vMerge w:val="restart"/>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名称</w:t>
            </w:r>
          </w:p>
        </w:tc>
        <w:tc>
          <w:tcPr>
            <w:tcW w:w="2295" w:type="dxa"/>
            <w:gridSpan w:val="2"/>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变更权重B</w:t>
            </w:r>
          </w:p>
        </w:tc>
        <w:tc>
          <w:tcPr>
            <w:tcW w:w="2445" w:type="dxa"/>
            <w:gridSpan w:val="2"/>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基本价格指数F0</w:t>
            </w: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460" w:type="dxa"/>
            <w:gridSpan w:val="2"/>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代号</w:t>
            </w: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权重</w:t>
            </w: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代号</w:t>
            </w: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指数</w:t>
            </w: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584" w:type="dxa"/>
            <w:vMerge w:val="restart"/>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变</w:t>
            </w:r>
          </w:p>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值</w:t>
            </w:r>
          </w:p>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部</w:t>
            </w:r>
          </w:p>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分</w:t>
            </w:r>
          </w:p>
        </w:tc>
        <w:tc>
          <w:tcPr>
            <w:tcW w:w="876"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B1</w:t>
            </w: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F01</w:t>
            </w: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584" w:type="dxa"/>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876"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B2</w:t>
            </w: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F02</w:t>
            </w: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584" w:type="dxa"/>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876"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B3</w:t>
            </w: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F03</w:t>
            </w: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584" w:type="dxa"/>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876"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B4</w:t>
            </w: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F04</w:t>
            </w: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584" w:type="dxa"/>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876"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584" w:type="dxa"/>
            <w:vMerge w:val="continue"/>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876"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定值部分权重A</w:t>
            </w: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0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15"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23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r>
              <w:rPr>
                <w:rFonts w:hint="eastAsia" w:ascii="宋体" w:hAnsi="宋体" w:eastAsia="宋体" w:cs="Times New Roman"/>
                <w:color w:val="auto"/>
                <w:kern w:val="0"/>
                <w:sz w:val="20"/>
                <w:szCs w:val="20"/>
                <w:highlight w:val="none"/>
              </w:rPr>
              <w:t>合计</w:t>
            </w:r>
          </w:p>
        </w:tc>
        <w:tc>
          <w:tcPr>
            <w:tcW w:w="2295" w:type="dxa"/>
            <w:gridSpan w:val="2"/>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2445" w:type="dxa"/>
            <w:gridSpan w:val="2"/>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c>
          <w:tcPr>
            <w:tcW w:w="1380" w:type="dxa"/>
            <w:shd w:val="clear" w:color="auto" w:fill="auto"/>
          </w:tcPr>
          <w:p>
            <w:pPr>
              <w:widowControl/>
              <w:adjustRightInd w:val="0"/>
              <w:snapToGrid w:val="0"/>
              <w:spacing w:after="156" w:afterLines="50" w:line="360" w:lineRule="auto"/>
              <w:rPr>
                <w:rFonts w:ascii="宋体" w:hAnsi="宋体" w:eastAsia="宋体" w:cs="Times New Roman"/>
                <w:color w:val="auto"/>
                <w:kern w:val="0"/>
                <w:sz w:val="20"/>
                <w:szCs w:val="20"/>
                <w:highlight w:val="none"/>
              </w:rPr>
            </w:pPr>
          </w:p>
        </w:tc>
      </w:tr>
    </w:tbl>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bookmarkStart w:id="1674" w:name="_Toc216681943"/>
      <w:r>
        <w:rPr>
          <w:rFonts w:hint="eastAsia" w:ascii="Times New Roman" w:hAnsi="Times New Roman" w:eastAsia="宋体" w:cs="Times New Roman"/>
          <w:b/>
          <w:bCs/>
          <w:color w:val="auto"/>
          <w:kern w:val="44"/>
          <w:sz w:val="44"/>
          <w:szCs w:val="44"/>
          <w:highlight w:val="none"/>
        </w:rPr>
        <w:t xml:space="preserve">第五章  </w:t>
      </w:r>
      <w:bookmarkEnd w:id="440"/>
      <w:bookmarkEnd w:id="441"/>
      <w:bookmarkEnd w:id="442"/>
      <w:bookmarkEnd w:id="449"/>
      <w:bookmarkEnd w:id="450"/>
      <w:r>
        <w:rPr>
          <w:rFonts w:hint="eastAsia" w:ascii="Times New Roman" w:hAnsi="Times New Roman" w:eastAsia="宋体" w:cs="Times New Roman"/>
          <w:b/>
          <w:bCs/>
          <w:color w:val="auto"/>
          <w:kern w:val="44"/>
          <w:sz w:val="44"/>
          <w:szCs w:val="44"/>
          <w:highlight w:val="none"/>
        </w:rPr>
        <w:t>初步设计文件</w:t>
      </w:r>
      <w:bookmarkEnd w:id="1674"/>
    </w:p>
    <w:p>
      <w:pPr>
        <w:spacing w:line="40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另附，投标人从云南省公共资源交易信息网（https://ggzy.yn.gov.cn/homePage）上下载电子版初步设计文件。</w:t>
      </w: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bookmarkStart w:id="1675" w:name="_Toc216681944"/>
      <w:r>
        <w:rPr>
          <w:rFonts w:hint="eastAsia" w:ascii="Times New Roman" w:hAnsi="Times New Roman" w:eastAsia="宋体" w:cs="Times New Roman"/>
          <w:b/>
          <w:bCs/>
          <w:color w:val="auto"/>
          <w:kern w:val="44"/>
          <w:sz w:val="44"/>
          <w:szCs w:val="44"/>
          <w:highlight w:val="none"/>
        </w:rPr>
        <w:t>第六章  工程量清单</w:t>
      </w:r>
      <w:bookmarkEnd w:id="1675"/>
    </w:p>
    <w:p>
      <w:pPr>
        <w:spacing w:line="40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另附，投标人从云南省公共资源交易信息网（https://ggzy.yn.gov.cn/homePage）上下载电子版工程量清单。</w:t>
      </w: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keepNext/>
        <w:keepLines/>
        <w:spacing w:before="340" w:after="330" w:line="576" w:lineRule="auto"/>
        <w:jc w:val="center"/>
        <w:outlineLvl w:val="0"/>
        <w:rPr>
          <w:rFonts w:ascii="Times New Roman" w:hAnsi="Times New Roman" w:eastAsia="宋体" w:cs="Times New Roman"/>
          <w:b/>
          <w:bCs/>
          <w:color w:val="auto"/>
          <w:kern w:val="44"/>
          <w:sz w:val="44"/>
          <w:szCs w:val="44"/>
          <w:highlight w:val="none"/>
        </w:rPr>
      </w:pPr>
      <w:bookmarkStart w:id="1676" w:name="_Toc216681945"/>
      <w:r>
        <w:rPr>
          <w:rFonts w:hint="eastAsia" w:ascii="Times New Roman" w:hAnsi="Times New Roman" w:eastAsia="宋体" w:cs="Times New Roman"/>
          <w:b/>
          <w:bCs/>
          <w:color w:val="auto"/>
          <w:kern w:val="44"/>
          <w:sz w:val="44"/>
          <w:szCs w:val="44"/>
          <w:highlight w:val="none"/>
        </w:rPr>
        <w:t>第七章  投标文件格式</w:t>
      </w:r>
      <w:bookmarkEnd w:id="1676"/>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pacing w:line="440" w:lineRule="exact"/>
        <w:rPr>
          <w:rFonts w:ascii="Times New Roman" w:hAnsi="Times New Roman" w:eastAsia="黑体" w:cs="Times New Roman"/>
          <w:color w:val="auto"/>
          <w:sz w:val="20"/>
          <w:szCs w:val="20"/>
          <w:highlight w:val="none"/>
        </w:rPr>
      </w:pPr>
    </w:p>
    <w:p>
      <w:pPr>
        <w:spacing w:line="440" w:lineRule="exact"/>
        <w:rPr>
          <w:rFonts w:ascii="Times New Roman" w:hAnsi="Times New Roman" w:eastAsia="黑体" w:cs="Times New Roman"/>
          <w:color w:val="auto"/>
          <w:sz w:val="20"/>
          <w:szCs w:val="20"/>
          <w:highlight w:val="none"/>
        </w:rPr>
      </w:pPr>
    </w:p>
    <w:p>
      <w:pPr>
        <w:jc w:val="center"/>
        <w:rPr>
          <w:rFonts w:ascii="Times New Roman" w:hAnsi="Times New Roman" w:eastAsia="黑体" w:cs="Times New Roman"/>
          <w:color w:val="auto"/>
          <w:sz w:val="28"/>
          <w:szCs w:val="28"/>
          <w:highlight w:val="none"/>
          <w:u w:val="single"/>
        </w:rPr>
      </w:pPr>
      <w:r>
        <w:rPr>
          <w:rFonts w:hint="eastAsia" w:ascii="Times New Roman" w:hAnsi="Times New Roman" w:eastAsia="黑体" w:cs="Times New Roman"/>
          <w:color w:val="auto"/>
          <w:sz w:val="28"/>
          <w:szCs w:val="28"/>
          <w:highlight w:val="none"/>
          <w:u w:val="single"/>
        </w:rPr>
        <w:t>普洱市主城区火车站片区排水防涝地下管网及设施建设项目</w:t>
      </w:r>
      <w:r>
        <w:rPr>
          <w:rFonts w:hint="eastAsia" w:ascii="Times New Roman" w:hAnsi="Times New Roman" w:eastAsia="黑体" w:cs="Times New Roman"/>
          <w:color w:val="auto"/>
          <w:sz w:val="28"/>
          <w:szCs w:val="28"/>
          <w:highlight w:val="none"/>
          <w:u w:val="single"/>
        </w:rPr>
        <w:t>（一期）</w:t>
      </w:r>
    </w:p>
    <w:p>
      <w:pPr>
        <w:jc w:val="center"/>
        <w:rPr>
          <w:rFonts w:ascii="Times New Roman" w:hAnsi="Times New Roman" w:eastAsia="黑体" w:cs="Times New Roman"/>
          <w:color w:val="auto"/>
          <w:sz w:val="28"/>
          <w:szCs w:val="28"/>
          <w:highlight w:val="none"/>
        </w:rPr>
      </w:pPr>
      <w:r>
        <w:rPr>
          <w:rFonts w:hint="eastAsia" w:ascii="Times New Roman" w:hAnsi="Times New Roman" w:eastAsia="黑体" w:cs="Times New Roman"/>
          <w:color w:val="auto"/>
          <w:sz w:val="28"/>
          <w:szCs w:val="28"/>
          <w:highlight w:val="none"/>
        </w:rPr>
        <w:t>工程总承包</w:t>
      </w:r>
      <w:r>
        <w:rPr>
          <w:rFonts w:ascii="Times New Roman" w:hAnsi="Times New Roman" w:eastAsia="黑体" w:cs="Times New Roman"/>
          <w:color w:val="auto"/>
          <w:sz w:val="28"/>
          <w:szCs w:val="28"/>
          <w:highlight w:val="none"/>
        </w:rPr>
        <w:t>招标</w:t>
      </w:r>
    </w:p>
    <w:p>
      <w:pPr>
        <w:rPr>
          <w:rFonts w:ascii="Times New Roman" w:hAnsi="Times New Roman" w:eastAsia="黑体" w:cs="Times New Roman"/>
          <w:color w:val="auto"/>
          <w:sz w:val="20"/>
          <w:szCs w:val="20"/>
          <w:highlight w:val="none"/>
        </w:rPr>
      </w:pPr>
    </w:p>
    <w:p>
      <w:pPr>
        <w:rPr>
          <w:rFonts w:ascii="Times New Roman" w:hAnsi="Times New Roman" w:eastAsia="黑体" w:cs="Times New Roman"/>
          <w:color w:val="auto"/>
          <w:sz w:val="20"/>
          <w:szCs w:val="20"/>
          <w:highlight w:val="none"/>
        </w:rPr>
      </w:pP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t>投  标  文  件</w:t>
      </w: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rPr>
          <w:rFonts w:ascii="Times New Roman" w:hAnsi="Times New Roman" w:eastAsia="黑体" w:cs="Times New Roman"/>
          <w:color w:val="auto"/>
          <w:sz w:val="28"/>
          <w:szCs w:val="28"/>
          <w:highlight w:val="none"/>
        </w:rPr>
      </w:pPr>
    </w:p>
    <w:p>
      <w:pPr>
        <w:jc w:val="center"/>
        <w:rPr>
          <w:rFonts w:ascii="Times New Roman" w:hAnsi="Times New Roman" w:eastAsia="黑体" w:cs="Times New Roman"/>
          <w:color w:val="auto"/>
          <w:sz w:val="28"/>
          <w:szCs w:val="28"/>
          <w:highlight w:val="none"/>
          <w:u w:val="single"/>
        </w:rPr>
      </w:pPr>
      <w:r>
        <w:rPr>
          <w:rFonts w:ascii="Times New Roman" w:hAnsi="Times New Roman" w:eastAsia="黑体" w:cs="Times New Roman"/>
          <w:color w:val="auto"/>
          <w:sz w:val="28"/>
          <w:szCs w:val="28"/>
          <w:highlight w:val="none"/>
        </w:rPr>
        <w:t>投标人：</w:t>
      </w:r>
      <w:r>
        <w:rPr>
          <w:rFonts w:ascii="Times New Roman" w:hAnsi="Times New Roman" w:eastAsia="黑体" w:cs="Times New Roman"/>
          <w:color w:val="auto"/>
          <w:sz w:val="28"/>
          <w:szCs w:val="28"/>
          <w:highlight w:val="none"/>
          <w:u w:val="single"/>
        </w:rPr>
        <w:t xml:space="preserve">                     </w:t>
      </w:r>
      <w:r>
        <w:rPr>
          <w:rFonts w:hint="eastAsia" w:ascii="Times New Roman" w:hAnsi="Times New Roman" w:eastAsia="黑体" w:cs="Times New Roman"/>
          <w:color w:val="auto"/>
          <w:sz w:val="28"/>
          <w:szCs w:val="28"/>
          <w:highlight w:val="none"/>
          <w:u w:val="single"/>
        </w:rPr>
        <w:t xml:space="preserve">  </w:t>
      </w:r>
      <w:r>
        <w:rPr>
          <w:rFonts w:ascii="Times New Roman" w:hAnsi="Times New Roman" w:eastAsia="黑体" w:cs="Times New Roman"/>
          <w:color w:val="auto"/>
          <w:sz w:val="28"/>
          <w:szCs w:val="28"/>
          <w:highlight w:val="none"/>
          <w:u w:val="single"/>
        </w:rPr>
        <w:t xml:space="preserve">       </w:t>
      </w:r>
      <w:r>
        <w:rPr>
          <w:rFonts w:hint="eastAsia" w:ascii="黑体" w:hAnsi="Times New Roman" w:eastAsia="黑体" w:cs="Times New Roman"/>
          <w:color w:val="auto"/>
          <w:sz w:val="28"/>
          <w:szCs w:val="28"/>
          <w:highlight w:val="none"/>
        </w:rPr>
        <w:t>（电子签章）</w:t>
      </w:r>
    </w:p>
    <w:p>
      <w:pPr>
        <w:ind w:firstLine="420" w:firstLineChars="150"/>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法定代表人：</w:t>
      </w:r>
      <w:r>
        <w:rPr>
          <w:rFonts w:ascii="Times New Roman" w:hAnsi="Times New Roman" w:eastAsia="黑体" w:cs="Times New Roman"/>
          <w:color w:val="auto"/>
          <w:sz w:val="28"/>
          <w:szCs w:val="28"/>
          <w:highlight w:val="none"/>
          <w:u w:val="single"/>
        </w:rPr>
        <w:t xml:space="preserve">                </w:t>
      </w:r>
      <w:r>
        <w:rPr>
          <w:rFonts w:hint="eastAsia" w:ascii="黑体" w:hAnsi="Times New Roman" w:eastAsia="黑体" w:cs="Times New Roman"/>
          <w:color w:val="auto"/>
          <w:sz w:val="28"/>
          <w:szCs w:val="28"/>
          <w:highlight w:val="none"/>
        </w:rPr>
        <w:t>（电子签章）</w:t>
      </w:r>
    </w:p>
    <w:p>
      <w:pPr>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u w:val="single"/>
        </w:rPr>
        <w:t xml:space="preserve">        </w:t>
      </w:r>
      <w:r>
        <w:rPr>
          <w:rFonts w:ascii="Times New Roman" w:hAnsi="Times New Roman" w:eastAsia="黑体" w:cs="Times New Roman"/>
          <w:color w:val="auto"/>
          <w:sz w:val="28"/>
          <w:szCs w:val="28"/>
          <w:highlight w:val="none"/>
        </w:rPr>
        <w:t>年</w:t>
      </w:r>
      <w:r>
        <w:rPr>
          <w:rFonts w:ascii="Times New Roman" w:hAnsi="Times New Roman" w:eastAsia="黑体" w:cs="Times New Roman"/>
          <w:color w:val="auto"/>
          <w:sz w:val="28"/>
          <w:szCs w:val="28"/>
          <w:highlight w:val="none"/>
          <w:u w:val="single"/>
        </w:rPr>
        <w:t xml:space="preserve">        </w:t>
      </w:r>
      <w:r>
        <w:rPr>
          <w:rFonts w:ascii="Times New Roman" w:hAnsi="Times New Roman" w:eastAsia="黑体" w:cs="Times New Roman"/>
          <w:color w:val="auto"/>
          <w:sz w:val="28"/>
          <w:szCs w:val="28"/>
          <w:highlight w:val="none"/>
        </w:rPr>
        <w:t>月</w:t>
      </w:r>
      <w:r>
        <w:rPr>
          <w:rFonts w:ascii="Times New Roman" w:hAnsi="Times New Roman" w:eastAsia="黑体" w:cs="Times New Roman"/>
          <w:color w:val="auto"/>
          <w:sz w:val="28"/>
          <w:szCs w:val="28"/>
          <w:highlight w:val="none"/>
          <w:u w:val="single"/>
        </w:rPr>
        <w:t xml:space="preserve">         </w:t>
      </w:r>
      <w:r>
        <w:rPr>
          <w:rFonts w:ascii="Times New Roman" w:hAnsi="Times New Roman" w:eastAsia="黑体" w:cs="Times New Roman"/>
          <w:color w:val="auto"/>
          <w:sz w:val="28"/>
          <w:szCs w:val="28"/>
          <w:highlight w:val="none"/>
        </w:rPr>
        <w:t>日</w:t>
      </w:r>
    </w:p>
    <w:p>
      <w:pPr>
        <w:spacing w:line="440" w:lineRule="exact"/>
        <w:rPr>
          <w:rFonts w:ascii="Times New Roman" w:hAnsi="Times New Roman" w:eastAsia="黑体" w:cs="Times New Roman"/>
          <w:color w:val="auto"/>
          <w:sz w:val="20"/>
          <w:szCs w:val="20"/>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677" w:name="_Toc152045787"/>
      <w:bookmarkStart w:id="1678" w:name="_Toc152042576"/>
      <w:bookmarkStart w:id="1679" w:name="_Toc144974856"/>
      <w:bookmarkStart w:id="1680" w:name="_Toc247514246"/>
      <w:bookmarkStart w:id="1681" w:name="_Toc216681946"/>
      <w:bookmarkStart w:id="1682" w:name="_Toc247527827"/>
      <w:r>
        <w:rPr>
          <w:rFonts w:hint="eastAsia" w:ascii="Arial" w:hAnsi="Arial" w:eastAsia="黑体" w:cs="Times New Roman"/>
          <w:b/>
          <w:bCs/>
          <w:color w:val="auto"/>
          <w:sz w:val="32"/>
          <w:szCs w:val="32"/>
          <w:highlight w:val="none"/>
        </w:rPr>
        <w:t>目    录</w:t>
      </w:r>
      <w:bookmarkEnd w:id="1677"/>
      <w:bookmarkEnd w:id="1678"/>
      <w:bookmarkEnd w:id="1679"/>
      <w:bookmarkEnd w:id="1680"/>
      <w:bookmarkEnd w:id="1681"/>
      <w:bookmarkEnd w:id="1682"/>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一、投标函及投标函附录</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二、法定代表人身份证明或授权委托书</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三、联合体协议书</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四、投标保证金 </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五、投标报价</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六、承包人建议书</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七、承包人实施方案</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八、资格审查资料</w:t>
      </w:r>
    </w:p>
    <w:p>
      <w:pPr>
        <w:spacing w:line="5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九、其他资料</w:t>
      </w: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spacing w:line="540" w:lineRule="exact"/>
        <w:rPr>
          <w:rFonts w:ascii="Times New Roman" w:hAnsi="Times New Roman" w:eastAsia="宋体" w:cs="Times New Roman"/>
          <w:color w:val="auto"/>
          <w:szCs w:val="24"/>
          <w:highlight w:val="none"/>
        </w:rPr>
      </w:pP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683" w:name="_Toc152045788"/>
      <w:bookmarkStart w:id="1684" w:name="_Toc247514247"/>
      <w:bookmarkStart w:id="1685" w:name="_Toc152042577"/>
      <w:bookmarkStart w:id="1686" w:name="_Toc216681947"/>
      <w:bookmarkStart w:id="1687" w:name="_Toc144974857"/>
      <w:bookmarkStart w:id="1688" w:name="_Toc247527828"/>
      <w:r>
        <w:rPr>
          <w:rFonts w:hint="eastAsia" w:ascii="Arial" w:hAnsi="Arial" w:eastAsia="黑体" w:cs="Times New Roman"/>
          <w:b/>
          <w:bCs/>
          <w:color w:val="auto"/>
          <w:sz w:val="32"/>
          <w:szCs w:val="32"/>
          <w:highlight w:val="none"/>
        </w:rPr>
        <w:t>一、</w:t>
      </w:r>
      <w:r>
        <w:rPr>
          <w:rFonts w:ascii="Arial" w:hAnsi="Arial" w:eastAsia="黑体" w:cs="Times New Roman"/>
          <w:b/>
          <w:bCs/>
          <w:color w:val="auto"/>
          <w:sz w:val="32"/>
          <w:szCs w:val="32"/>
          <w:highlight w:val="none"/>
        </w:rPr>
        <w:t>投标函及投标函附录</w:t>
      </w:r>
      <w:bookmarkEnd w:id="1683"/>
      <w:bookmarkEnd w:id="1684"/>
      <w:bookmarkEnd w:id="1685"/>
      <w:bookmarkEnd w:id="1686"/>
      <w:bookmarkEnd w:id="1687"/>
      <w:bookmarkEnd w:id="1688"/>
    </w:p>
    <w:p>
      <w:pPr>
        <w:spacing w:line="440" w:lineRule="exact"/>
        <w:rPr>
          <w:rFonts w:ascii="Times New Roman" w:hAnsi="Times New Roman" w:eastAsia="黑体" w:cs="Times New Roman"/>
          <w:color w:val="auto"/>
          <w:sz w:val="20"/>
          <w:szCs w:val="20"/>
          <w:highlight w:val="none"/>
        </w:rPr>
      </w:pPr>
    </w:p>
    <w:p>
      <w:pPr>
        <w:keepNext/>
        <w:keepLines/>
        <w:spacing w:before="260" w:after="260" w:line="415" w:lineRule="auto"/>
        <w:outlineLvl w:val="2"/>
        <w:rPr>
          <w:rFonts w:ascii="黑体" w:hAnsi="宋体" w:eastAsia="黑体" w:cs="Times New Roman"/>
          <w:bCs/>
          <w:color w:val="auto"/>
          <w:sz w:val="28"/>
          <w:szCs w:val="28"/>
          <w:highlight w:val="none"/>
        </w:rPr>
      </w:pPr>
      <w:bookmarkStart w:id="1689" w:name="_Toc152042578"/>
      <w:bookmarkStart w:id="1690" w:name="_Toc247514248"/>
      <w:bookmarkStart w:id="1691" w:name="_Toc152045789"/>
      <w:bookmarkStart w:id="1692" w:name="_Toc247527829"/>
      <w:bookmarkStart w:id="1693" w:name="_Toc216681948"/>
      <w:bookmarkStart w:id="1694" w:name="_Toc144974858"/>
      <w:r>
        <w:rPr>
          <w:rFonts w:hint="eastAsia" w:ascii="黑体" w:hAnsi="宋体" w:eastAsia="黑体" w:cs="Times New Roman"/>
          <w:bCs/>
          <w:color w:val="auto"/>
          <w:sz w:val="28"/>
          <w:szCs w:val="28"/>
          <w:highlight w:val="none"/>
        </w:rPr>
        <w:t>（一）</w:t>
      </w:r>
      <w:r>
        <w:rPr>
          <w:rFonts w:ascii="黑体" w:hAnsi="宋体" w:eastAsia="黑体" w:cs="Times New Roman"/>
          <w:bCs/>
          <w:color w:val="auto"/>
          <w:sz w:val="28"/>
          <w:szCs w:val="28"/>
          <w:highlight w:val="none"/>
        </w:rPr>
        <w:t>投标函</w:t>
      </w:r>
      <w:bookmarkEnd w:id="1689"/>
      <w:bookmarkEnd w:id="1690"/>
      <w:bookmarkEnd w:id="1691"/>
      <w:bookmarkEnd w:id="1692"/>
      <w:bookmarkEnd w:id="1693"/>
      <w:bookmarkEnd w:id="1694"/>
    </w:p>
    <w:p>
      <w:pPr>
        <w:spacing w:line="440" w:lineRule="exact"/>
        <w:rPr>
          <w:rFonts w:ascii="Times New Roman" w:hAnsi="Times New Roman" w:eastAsia="宋体" w:cs="Times New Roman"/>
          <w:color w:val="auto"/>
          <w:sz w:val="20"/>
          <w:szCs w:val="20"/>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（招标人名称）：</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1．我方已仔细研究了</w:t>
      </w:r>
      <w:r>
        <w:rPr>
          <w:rFonts w:hint="eastAsia" w:ascii="Times New Roman" w:hAnsi="Times New Roman" w:eastAsia="宋体" w:cs="Times New Roman"/>
          <w:color w:val="auto"/>
          <w:szCs w:val="21"/>
          <w:highlight w:val="none"/>
          <w:u w:val="single"/>
        </w:rPr>
        <w:t>普洱市主城区火车站片区排水防涝地下管网及设施建设项目</w:t>
      </w:r>
      <w:r>
        <w:rPr>
          <w:rFonts w:hint="eastAsia" w:ascii="Times New Roman" w:hAnsi="Times New Roman" w:eastAsia="宋体" w:cs="Times New Roman"/>
          <w:color w:val="auto"/>
          <w:szCs w:val="21"/>
          <w:highlight w:val="none"/>
          <w:u w:val="single"/>
        </w:rPr>
        <w:t>（一期）</w:t>
      </w:r>
      <w:r>
        <w:rPr>
          <w:rFonts w:hint="eastAsia" w:ascii="Times New Roman" w:hAnsi="Times New Roman" w:eastAsia="宋体" w:cs="Times New Roman"/>
          <w:color w:val="auto"/>
          <w:szCs w:val="21"/>
          <w:highlight w:val="none"/>
          <w:u w:val="single"/>
        </w:rPr>
        <w:t>工程总承包</w:t>
      </w:r>
      <w:r>
        <w:rPr>
          <w:rFonts w:ascii="Times New Roman" w:hAnsi="Times New Roman" w:eastAsia="宋体" w:cs="Times New Roman"/>
          <w:color w:val="auto"/>
          <w:szCs w:val="21"/>
          <w:highlight w:val="none"/>
        </w:rPr>
        <w:t>招标文件的全部内容，愿意以</w:t>
      </w: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①设计报价：</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u w:val="single"/>
        </w:rPr>
        <w:t>费率       %</w:t>
      </w:r>
      <w:r>
        <w:rPr>
          <w:rFonts w:ascii="Times New Roman" w:hAnsi="Times New Roman" w:eastAsia="宋体" w:cs="Times New Roman"/>
          <w:color w:val="auto"/>
          <w:szCs w:val="21"/>
          <w:highlight w:val="none"/>
        </w:rPr>
        <w:t>的</w:t>
      </w:r>
      <w:r>
        <w:rPr>
          <w:rFonts w:hint="eastAsia" w:ascii="Times New Roman" w:hAnsi="Times New Roman" w:eastAsia="宋体" w:cs="Times New Roman"/>
          <w:color w:val="auto"/>
          <w:szCs w:val="21"/>
          <w:highlight w:val="none"/>
        </w:rPr>
        <w:t>设计费</w:t>
      </w:r>
      <w:r>
        <w:rPr>
          <w:rFonts w:ascii="Times New Roman" w:hAnsi="Times New Roman" w:eastAsia="宋体" w:cs="Times New Roman"/>
          <w:color w:val="auto"/>
          <w:szCs w:val="21"/>
          <w:highlight w:val="none"/>
        </w:rPr>
        <w:t>投标报价</w:t>
      </w:r>
      <w:r>
        <w:rPr>
          <w:rFonts w:hint="eastAsia" w:ascii="Times New Roman" w:hAnsi="Times New Roman" w:eastAsia="宋体" w:cs="Times New Roman"/>
          <w:color w:val="auto"/>
          <w:szCs w:val="21"/>
          <w:highlight w:val="none"/>
        </w:rPr>
        <w:t>；</w:t>
      </w: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②施工报价：</w:t>
      </w:r>
      <w:r>
        <w:rPr>
          <w:rFonts w:hint="eastAsia" w:ascii="Times New Roman" w:hAnsi="Times New Roman" w:eastAsia="宋体" w:cs="Times New Roman"/>
          <w:color w:val="auto"/>
          <w:szCs w:val="21"/>
          <w:highlight w:val="none"/>
          <w:u w:val="single"/>
        </w:rPr>
        <w:t>优惠率为        %</w:t>
      </w:r>
      <w:r>
        <w:rPr>
          <w:rFonts w:hint="eastAsia" w:ascii="Times New Roman" w:hAnsi="Times New Roman" w:eastAsia="宋体" w:cs="Times New Roman"/>
          <w:color w:val="auto"/>
          <w:szCs w:val="21"/>
          <w:highlight w:val="none"/>
        </w:rPr>
        <w:t>的已公布工程量清单部分以外建筑安装工程费投标报价，和</w:t>
      </w:r>
      <w:r>
        <w:rPr>
          <w:rFonts w:hint="eastAsia" w:ascii="Times New Roman" w:hAnsi="Times New Roman" w:eastAsia="宋体" w:cs="Times New Roman"/>
          <w:color w:val="auto"/>
          <w:szCs w:val="21"/>
          <w:highlight w:val="none"/>
          <w:u w:val="single"/>
        </w:rPr>
        <w:t xml:space="preserve">投标总价为       </w:t>
      </w:r>
      <w:r>
        <w:rPr>
          <w:rFonts w:hint="eastAsia" w:ascii="Times New Roman" w:hAnsi="Times New Roman" w:eastAsia="宋体" w:cs="Times New Roman"/>
          <w:color w:val="auto"/>
          <w:szCs w:val="21"/>
          <w:highlight w:val="none"/>
        </w:rPr>
        <w:t>元的已公布工程量清单部分建筑安装工程费投标报价；</w:t>
      </w: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工期总日历天数</w:t>
      </w:r>
      <w:r>
        <w:rPr>
          <w:rFonts w:hint="eastAsia"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 xml:space="preserve"> 日历天，</w:t>
      </w:r>
      <w:r>
        <w:rPr>
          <w:rFonts w:ascii="Times New Roman" w:hAnsi="Times New Roman" w:eastAsia="宋体" w:cs="Times New Roman"/>
          <w:color w:val="auto"/>
          <w:szCs w:val="21"/>
          <w:highlight w:val="none"/>
        </w:rPr>
        <w:t>按合同约定</w:t>
      </w:r>
      <w:r>
        <w:rPr>
          <w:rFonts w:hint="eastAsia" w:ascii="Times New Roman" w:hAnsi="Times New Roman" w:eastAsia="宋体" w:cs="Times New Roman"/>
          <w:color w:val="auto"/>
          <w:szCs w:val="21"/>
          <w:highlight w:val="none"/>
        </w:rPr>
        <w:t>进行设计、</w:t>
      </w:r>
      <w:r>
        <w:rPr>
          <w:rFonts w:ascii="Times New Roman" w:hAnsi="Times New Roman" w:eastAsia="宋体" w:cs="Times New Roman"/>
          <w:color w:val="auto"/>
          <w:szCs w:val="21"/>
          <w:highlight w:val="none"/>
        </w:rPr>
        <w:t>实施和</w:t>
      </w:r>
      <w:r>
        <w:rPr>
          <w:rFonts w:hint="eastAsia" w:ascii="Times New Roman" w:hAnsi="Times New Roman" w:eastAsia="宋体" w:cs="Times New Roman"/>
          <w:color w:val="auto"/>
          <w:szCs w:val="21"/>
          <w:highlight w:val="none"/>
        </w:rPr>
        <w:t>竣工</w:t>
      </w:r>
      <w:r>
        <w:rPr>
          <w:rFonts w:ascii="Times New Roman" w:hAnsi="Times New Roman" w:eastAsia="宋体" w:cs="Times New Roman"/>
          <w:color w:val="auto"/>
          <w:szCs w:val="21"/>
          <w:highlight w:val="none"/>
        </w:rPr>
        <w:t>承包工程，修补工程中的任何缺陷，</w:t>
      </w:r>
      <w:r>
        <w:rPr>
          <w:rFonts w:hint="eastAsia" w:ascii="Times New Roman" w:hAnsi="Times New Roman" w:eastAsia="宋体" w:cs="Times New Roman"/>
          <w:color w:val="auto"/>
          <w:szCs w:val="21"/>
          <w:highlight w:val="none"/>
        </w:rPr>
        <w:t>实现工程目的</w:t>
      </w:r>
      <w:r>
        <w:rPr>
          <w:rFonts w:ascii="Times New Roman" w:hAnsi="Times New Roman" w:eastAsia="宋体" w:cs="Times New Roman"/>
          <w:color w:val="auto"/>
          <w:szCs w:val="21"/>
          <w:highlight w:val="none"/>
        </w:rPr>
        <w:t>。</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2．我方承诺在</w:t>
      </w:r>
      <w:r>
        <w:rPr>
          <w:rFonts w:hint="eastAsia" w:ascii="Times New Roman" w:hAnsi="Times New Roman" w:eastAsia="宋体" w:cs="Times New Roman"/>
          <w:color w:val="auto"/>
          <w:szCs w:val="21"/>
          <w:highlight w:val="none"/>
        </w:rPr>
        <w:t>招标文件规定的</w:t>
      </w:r>
      <w:r>
        <w:rPr>
          <w:rFonts w:ascii="Times New Roman" w:hAnsi="Times New Roman" w:eastAsia="宋体" w:cs="Times New Roman"/>
          <w:color w:val="auto"/>
          <w:szCs w:val="21"/>
          <w:highlight w:val="none"/>
        </w:rPr>
        <w:t>投标有效期内不修改、撤销投标文件</w:t>
      </w:r>
      <w:r>
        <w:rPr>
          <w:rFonts w:hint="eastAsia" w:ascii="Times New Roman" w:hAnsi="Times New Roman" w:eastAsia="宋体" w:cs="Times New Roman"/>
          <w:color w:val="auto"/>
          <w:szCs w:val="21"/>
          <w:highlight w:val="none"/>
        </w:rPr>
        <w:t>。</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3．随同本投标函提交投标保证金一份，金额为人民币（大写）</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4．如我方中标：</w:t>
      </w:r>
    </w:p>
    <w:p>
      <w:pPr>
        <w:spacing w:line="440" w:lineRule="exact"/>
        <w:ind w:firstLine="718"/>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（1）我方承诺在收到中标通知书后，在中标通知书规定的期限内与你方签订合同。</w:t>
      </w:r>
    </w:p>
    <w:p>
      <w:pPr>
        <w:spacing w:line="440" w:lineRule="exact"/>
        <w:ind w:firstLine="718"/>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（2）随同本投标函递交的投标函附录属于合同文件的组成部分。</w:t>
      </w:r>
    </w:p>
    <w:p>
      <w:pPr>
        <w:spacing w:line="440" w:lineRule="exact"/>
        <w:ind w:firstLine="718"/>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（3）我方承诺按照招标文件规定向你方递交履约担保。</w:t>
      </w:r>
    </w:p>
    <w:p>
      <w:pPr>
        <w:spacing w:line="440" w:lineRule="exact"/>
        <w:ind w:firstLine="718"/>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（4）我方承诺在合同约定的期限内完成并移交全部合同工程。</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w:t>
      </w:r>
      <w:r>
        <w:rPr>
          <w:rFonts w:hint="eastAsia" w:ascii="Times New Roman" w:hAnsi="Times New Roman" w:eastAsia="宋体" w:cs="Times New Roman"/>
          <w:color w:val="auto"/>
          <w:szCs w:val="24"/>
          <w:highlight w:val="none"/>
        </w:rPr>
        <w:t>我方在此声明，所递交的投标文件及有关资料内容完整、真实和准确，且不存在第二章“投标人须知”第1.4.3项和第1.4.4项规定的任何一种情形。</w:t>
      </w: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6．</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其他</w:t>
      </w:r>
      <w:r>
        <w:rPr>
          <w:rFonts w:ascii="Times New Roman" w:hAnsi="Times New Roman" w:eastAsia="宋体" w:cs="Times New Roman"/>
          <w:color w:val="auto"/>
          <w:szCs w:val="21"/>
          <w:highlight w:val="none"/>
        </w:rPr>
        <w:t>补充说明）。</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 标 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（电子签章）</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地址：</w:t>
      </w:r>
      <w:r>
        <w:rPr>
          <w:rFonts w:ascii="Times New Roman" w:hAnsi="Times New Roman" w:eastAsia="宋体" w:cs="Times New Roman"/>
          <w:color w:val="auto"/>
          <w:szCs w:val="21"/>
          <w:highlight w:val="none"/>
          <w:u w:val="single"/>
        </w:rPr>
        <w:t xml:space="preserve">                                     </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网址：</w:t>
      </w:r>
      <w:r>
        <w:rPr>
          <w:rFonts w:ascii="Times New Roman" w:hAnsi="Times New Roman" w:eastAsia="宋体" w:cs="Times New Roman"/>
          <w:color w:val="auto"/>
          <w:szCs w:val="21"/>
          <w:highlight w:val="none"/>
          <w:u w:val="single"/>
        </w:rPr>
        <w:t xml:space="preserve">                                     </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电话：</w:t>
      </w:r>
      <w:r>
        <w:rPr>
          <w:rFonts w:ascii="Times New Roman" w:hAnsi="Times New Roman" w:eastAsia="宋体" w:cs="Times New Roman"/>
          <w:color w:val="auto"/>
          <w:szCs w:val="21"/>
          <w:highlight w:val="none"/>
          <w:u w:val="single"/>
        </w:rPr>
        <w:t xml:space="preserve">                                     </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传真：</w:t>
      </w:r>
      <w:r>
        <w:rPr>
          <w:rFonts w:ascii="Times New Roman" w:hAnsi="Times New Roman" w:eastAsia="宋体" w:cs="Times New Roman"/>
          <w:color w:val="auto"/>
          <w:szCs w:val="21"/>
          <w:highlight w:val="none"/>
          <w:u w:val="single"/>
        </w:rPr>
        <w:t xml:space="preserve">                                     </w:t>
      </w:r>
    </w:p>
    <w:p>
      <w:pPr>
        <w:spacing w:line="440" w:lineRule="exact"/>
        <w:ind w:firstLine="367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邮政编码：</w:t>
      </w:r>
      <w:r>
        <w:rPr>
          <w:rFonts w:ascii="Times New Roman" w:hAnsi="Times New Roman" w:eastAsia="宋体" w:cs="Times New Roman"/>
          <w:color w:val="auto"/>
          <w:szCs w:val="21"/>
          <w:highlight w:val="none"/>
          <w:u w:val="single"/>
        </w:rPr>
        <w:t xml:space="preserve">                                 </w:t>
      </w:r>
    </w:p>
    <w:p>
      <w:pPr>
        <w:spacing w:line="440" w:lineRule="exact"/>
        <w:ind w:firstLine="472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695" w:name="_Toc152045790"/>
      <w:bookmarkStart w:id="1696" w:name="_Toc216681949"/>
      <w:bookmarkStart w:id="1697" w:name="_Toc144974859"/>
      <w:bookmarkStart w:id="1698" w:name="_Toc247527830"/>
      <w:bookmarkStart w:id="1699" w:name="_Toc247514249"/>
      <w:bookmarkStart w:id="1700" w:name="_Toc152042579"/>
      <w:r>
        <w:rPr>
          <w:rFonts w:ascii="黑体" w:hAnsi="宋体" w:eastAsia="黑体" w:cs="Times New Roman"/>
          <w:bCs/>
          <w:color w:val="auto"/>
          <w:sz w:val="28"/>
          <w:szCs w:val="28"/>
          <w:highlight w:val="none"/>
        </w:rPr>
        <w:t>（二）投标函附录</w:t>
      </w:r>
      <w:bookmarkEnd w:id="1695"/>
      <w:bookmarkEnd w:id="1696"/>
      <w:bookmarkEnd w:id="1697"/>
      <w:bookmarkEnd w:id="1698"/>
      <w:bookmarkEnd w:id="1699"/>
      <w:bookmarkEnd w:id="1700"/>
    </w:p>
    <w:tbl>
      <w:tblPr>
        <w:tblStyle w:val="41"/>
        <w:tblW w:w="8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680"/>
        <w:gridCol w:w="2832"/>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vAlign w:val="center"/>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序号</w:t>
            </w:r>
          </w:p>
        </w:tc>
        <w:tc>
          <w:tcPr>
            <w:tcW w:w="2161" w:type="dxa"/>
            <w:vAlign w:val="center"/>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条款名称</w:t>
            </w:r>
          </w:p>
        </w:tc>
        <w:tc>
          <w:tcPr>
            <w:tcW w:w="1680" w:type="dxa"/>
            <w:vAlign w:val="center"/>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合同条款号</w:t>
            </w:r>
          </w:p>
        </w:tc>
        <w:tc>
          <w:tcPr>
            <w:tcW w:w="2832" w:type="dxa"/>
            <w:vAlign w:val="center"/>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约定</w:t>
            </w:r>
            <w:r>
              <w:rPr>
                <w:rFonts w:ascii="宋体" w:hAnsi="宋体" w:eastAsia="宋体" w:cs="Times New Roman"/>
                <w:color w:val="auto"/>
                <w:szCs w:val="21"/>
                <w:highlight w:val="none"/>
              </w:rPr>
              <w:t>内容</w:t>
            </w:r>
          </w:p>
        </w:tc>
        <w:tc>
          <w:tcPr>
            <w:tcW w:w="744" w:type="dxa"/>
            <w:vAlign w:val="center"/>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vAlign w:val="center"/>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w:t>
            </w:r>
          </w:p>
        </w:tc>
        <w:tc>
          <w:tcPr>
            <w:tcW w:w="2161"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履约担保的金额</w:t>
            </w:r>
          </w:p>
        </w:tc>
        <w:tc>
          <w:tcPr>
            <w:tcW w:w="1680"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4.2</w:t>
            </w:r>
          </w:p>
        </w:tc>
        <w:tc>
          <w:tcPr>
            <w:tcW w:w="2832" w:type="dxa"/>
            <w:vAlign w:val="center"/>
          </w:tcPr>
          <w:p>
            <w:pPr>
              <w:spacing w:line="440" w:lineRule="exact"/>
              <w:rPr>
                <w:rFonts w:ascii="Times New Roman" w:hAnsi="Times New Roman" w:eastAsia="宋体" w:cs="Times New Roman"/>
                <w:color w:val="auto"/>
                <w:szCs w:val="21"/>
                <w:highlight w:val="none"/>
              </w:rPr>
            </w:pPr>
          </w:p>
        </w:tc>
        <w:tc>
          <w:tcPr>
            <w:tcW w:w="744" w:type="dxa"/>
            <w:vAlign w:val="center"/>
          </w:tcPr>
          <w:p>
            <w:pPr>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vAlign w:val="center"/>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p>
        </w:tc>
        <w:tc>
          <w:tcPr>
            <w:tcW w:w="2161"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工程总承包</w:t>
            </w:r>
            <w:r>
              <w:rPr>
                <w:rFonts w:ascii="宋体" w:hAnsi="宋体" w:eastAsia="宋体" w:cs="Times New Roman"/>
                <w:color w:val="auto"/>
                <w:szCs w:val="21"/>
                <w:highlight w:val="none"/>
              </w:rPr>
              <w:t>项目经理</w:t>
            </w:r>
          </w:p>
        </w:tc>
        <w:tc>
          <w:tcPr>
            <w:tcW w:w="1680"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4.3.1</w:t>
            </w:r>
          </w:p>
        </w:tc>
        <w:tc>
          <w:tcPr>
            <w:tcW w:w="2832" w:type="dxa"/>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姓名：</w:t>
            </w:r>
            <w:r>
              <w:rPr>
                <w:rFonts w:ascii="Times New Roman" w:hAnsi="Times New Roman" w:eastAsia="宋体" w:cs="Times New Roman"/>
                <w:color w:val="auto"/>
                <w:szCs w:val="21"/>
                <w:highlight w:val="none"/>
                <w:u w:val="single"/>
              </w:rPr>
              <w:t xml:space="preserve">           </w:t>
            </w:r>
          </w:p>
        </w:tc>
        <w:tc>
          <w:tcPr>
            <w:tcW w:w="744" w:type="dxa"/>
            <w:vAlign w:val="center"/>
          </w:tcPr>
          <w:p>
            <w:pPr>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vAlign w:val="center"/>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p>
        </w:tc>
        <w:tc>
          <w:tcPr>
            <w:tcW w:w="2161" w:type="dxa"/>
            <w:vAlign w:val="center"/>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缺陷责任期</w:t>
            </w:r>
          </w:p>
        </w:tc>
        <w:tc>
          <w:tcPr>
            <w:tcW w:w="1680" w:type="dxa"/>
            <w:vAlign w:val="center"/>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11.2</w:t>
            </w:r>
          </w:p>
        </w:tc>
        <w:tc>
          <w:tcPr>
            <w:tcW w:w="2832" w:type="dxa"/>
            <w:vAlign w:val="center"/>
          </w:tcPr>
          <w:p>
            <w:pPr>
              <w:spacing w:line="440" w:lineRule="exact"/>
              <w:rPr>
                <w:rFonts w:ascii="Times New Roman" w:hAnsi="Times New Roman" w:eastAsia="宋体" w:cs="Times New Roman"/>
                <w:color w:val="auto"/>
                <w:szCs w:val="21"/>
                <w:highlight w:val="none"/>
              </w:rPr>
            </w:pPr>
            <w:r>
              <w:rPr>
                <w:rFonts w:hint="eastAsia" w:ascii="宋体" w:hAnsi="宋体" w:eastAsia="宋体" w:cs="Times New Roman"/>
                <w:color w:val="auto"/>
                <w:szCs w:val="21"/>
                <w:highlight w:val="none"/>
              </w:rPr>
              <w:t>缺陷责任期的期限：</w:t>
            </w:r>
            <w:r>
              <w:rPr>
                <w:rFonts w:hint="eastAsia" w:ascii="宋体" w:hAnsi="宋体" w:eastAsia="宋体" w:cs="Times New Roman"/>
                <w:color w:val="auto"/>
                <w:szCs w:val="21"/>
                <w:highlight w:val="none"/>
                <w:u w:val="single"/>
              </w:rPr>
              <w:t>24个月</w:t>
            </w:r>
            <w:r>
              <w:rPr>
                <w:rFonts w:hint="eastAsia" w:ascii="宋体" w:hAnsi="宋体" w:eastAsia="宋体" w:cs="Times New Roman"/>
                <w:color w:val="auto"/>
                <w:szCs w:val="21"/>
                <w:highlight w:val="none"/>
              </w:rPr>
              <w:t>。</w:t>
            </w:r>
          </w:p>
        </w:tc>
        <w:tc>
          <w:tcPr>
            <w:tcW w:w="744" w:type="dxa"/>
            <w:vAlign w:val="center"/>
          </w:tcPr>
          <w:p>
            <w:pPr>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161" w:type="dxa"/>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680" w:type="dxa"/>
            <w:vAlign w:val="center"/>
          </w:tcPr>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832" w:type="dxa"/>
            <w:vAlign w:val="center"/>
          </w:tcPr>
          <w:p>
            <w:pPr>
              <w:spacing w:line="440" w:lineRule="exact"/>
              <w:jc w:val="center"/>
              <w:rPr>
                <w:rFonts w:ascii="Times New Roman" w:hAnsi="Times New Roman" w:eastAsia="宋体" w:cs="Times New Roman"/>
                <w:color w:val="auto"/>
                <w:szCs w:val="21"/>
                <w:highlight w:val="none"/>
              </w:rPr>
            </w:pPr>
            <w:r>
              <w:rPr>
                <w:rFonts w:ascii="宋体" w:hAnsi="宋体" w:eastAsia="宋体" w:cs="Times New Roman"/>
                <w:color w:val="auto"/>
                <w:szCs w:val="21"/>
                <w:highlight w:val="none"/>
              </w:rPr>
              <w:t>……</w:t>
            </w:r>
          </w:p>
        </w:tc>
        <w:tc>
          <w:tcPr>
            <w:tcW w:w="744" w:type="dxa"/>
            <w:vAlign w:val="center"/>
          </w:tcPr>
          <w:p>
            <w:pPr>
              <w:spacing w:line="440" w:lineRule="exact"/>
              <w:rPr>
                <w:rFonts w:ascii="Times New Roman" w:hAnsi="Times New Roman" w:eastAsia="宋体" w:cs="Times New Roman"/>
                <w:color w:val="auto"/>
                <w:szCs w:val="21"/>
                <w:highlight w:val="none"/>
              </w:rPr>
            </w:pPr>
          </w:p>
        </w:tc>
      </w:tr>
    </w:tbl>
    <w:p>
      <w:pPr>
        <w:spacing w:line="440" w:lineRule="exact"/>
        <w:ind w:left="840" w:firstLine="2200"/>
        <w:rPr>
          <w:rFonts w:ascii="Times New Roman" w:hAnsi="Times New Roman" w:eastAsia="黑体" w:cs="Times New Roman"/>
          <w:color w:val="auto"/>
          <w:sz w:val="20"/>
          <w:szCs w:val="20"/>
          <w:highlight w:val="none"/>
        </w:rPr>
      </w:pPr>
    </w:p>
    <w:p>
      <w:pPr>
        <w:jc w:val="center"/>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黑体" w:cs="Times New Roman"/>
          <w:color w:val="auto"/>
          <w:sz w:val="20"/>
          <w:szCs w:val="20"/>
          <w:highlight w:val="none"/>
        </w:rPr>
      </w:pPr>
      <w:r>
        <w:rPr>
          <w:rFonts w:ascii="Times New Roman" w:hAnsi="Times New Roman" w:eastAsia="宋体" w:cs="Times New Roman"/>
          <w:color w:val="auto"/>
          <w:szCs w:val="21"/>
          <w:highlight w:val="none"/>
        </w:rPr>
        <w:br w:type="page"/>
      </w: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01" w:name="_Toc144974860"/>
      <w:bookmarkStart w:id="1702" w:name="_Toc152042580"/>
      <w:bookmarkStart w:id="1703" w:name="_Toc247514283"/>
      <w:bookmarkStart w:id="1704" w:name="_Toc152045791"/>
      <w:bookmarkStart w:id="1705" w:name="_Toc247527831"/>
      <w:bookmarkStart w:id="1706" w:name="_Toc216681950"/>
      <w:r>
        <w:rPr>
          <w:rFonts w:ascii="Arial" w:hAnsi="Arial" w:eastAsia="黑体" w:cs="Times New Roman"/>
          <w:b/>
          <w:bCs/>
          <w:color w:val="auto"/>
          <w:sz w:val="32"/>
          <w:szCs w:val="32"/>
          <w:highlight w:val="none"/>
        </w:rPr>
        <w:t>二、法定代表人身份证明</w:t>
      </w:r>
      <w:bookmarkEnd w:id="1701"/>
      <w:bookmarkEnd w:id="1702"/>
      <w:bookmarkEnd w:id="1703"/>
      <w:bookmarkEnd w:id="1704"/>
      <w:bookmarkEnd w:id="1705"/>
      <w:bookmarkEnd w:id="1706"/>
    </w:p>
    <w:p>
      <w:pPr>
        <w:spacing w:line="440" w:lineRule="exact"/>
        <w:rPr>
          <w:rFonts w:ascii="Times New Roman" w:hAnsi="Times New Roman" w:eastAsia="宋体" w:cs="Times New Roman"/>
          <w:color w:val="auto"/>
          <w:sz w:val="20"/>
          <w:szCs w:val="20"/>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投标人名称：</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单位性质：</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地址：</w:t>
      </w:r>
      <w:r>
        <w:rPr>
          <w:rFonts w:ascii="Times New Roman" w:hAnsi="Times New Roman" w:eastAsia="宋体" w:cs="Times New Roman"/>
          <w:color w:val="auto"/>
          <w:szCs w:val="21"/>
          <w:highlight w:val="none"/>
          <w:u w:val="singl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成立时间：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经营期限：</w:t>
      </w:r>
      <w:r>
        <w:rPr>
          <w:rFonts w:ascii="Times New Roman" w:hAnsi="Times New Roman" w:eastAsia="宋体" w:cs="Times New Roman"/>
          <w:color w:val="auto"/>
          <w:szCs w:val="21"/>
          <w:highlight w:val="none"/>
          <w:u w:val="singl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姓名：</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性别：</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年龄：</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职务：</w:t>
      </w:r>
      <w:r>
        <w:rPr>
          <w:rFonts w:ascii="Times New Roman" w:hAnsi="Times New Roman" w:eastAsia="宋体" w:cs="Times New Roman"/>
          <w:color w:val="auto"/>
          <w:szCs w:val="21"/>
          <w:highlight w:val="none"/>
          <w:u w:val="single"/>
        </w:rPr>
        <w:t xml:space="preserve">        </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系</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投标人名称</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的法定代表人。</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特此证明。</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附：法定代表人身份证复印件。</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投标人：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日           </w:t>
      </w:r>
    </w:p>
    <w:p>
      <w:pPr>
        <w:spacing w:line="440" w:lineRule="exact"/>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br w:type="page"/>
      </w: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07" w:name="_Toc247527832"/>
      <w:bookmarkStart w:id="1708" w:name="_Toc152045792"/>
      <w:bookmarkStart w:id="1709" w:name="_Toc144974861"/>
      <w:bookmarkStart w:id="1710" w:name="_Toc216681951"/>
      <w:bookmarkStart w:id="1711" w:name="_Toc152042581"/>
      <w:bookmarkStart w:id="1712" w:name="_Toc247514284"/>
      <w:r>
        <w:rPr>
          <w:rFonts w:ascii="Arial" w:hAnsi="Arial" w:eastAsia="黑体" w:cs="Times New Roman"/>
          <w:b/>
          <w:bCs/>
          <w:color w:val="auto"/>
          <w:sz w:val="32"/>
          <w:szCs w:val="32"/>
          <w:highlight w:val="none"/>
        </w:rPr>
        <w:t>二、授权委托书</w:t>
      </w:r>
      <w:bookmarkEnd w:id="1707"/>
      <w:bookmarkEnd w:id="1708"/>
      <w:bookmarkEnd w:id="1709"/>
      <w:bookmarkEnd w:id="1710"/>
      <w:bookmarkEnd w:id="1711"/>
      <w:bookmarkEnd w:id="1712"/>
    </w:p>
    <w:p>
      <w:pPr>
        <w:spacing w:line="440" w:lineRule="exact"/>
        <w:rPr>
          <w:rFonts w:ascii="Times New Roman" w:hAnsi="Times New Roman" w:eastAsia="黑体" w:cs="Times New Roman"/>
          <w:color w:val="auto"/>
          <w:szCs w:val="21"/>
          <w:highlight w:val="none"/>
        </w:rPr>
      </w:pPr>
    </w:p>
    <w:p>
      <w:pPr>
        <w:topLinePunct/>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本人</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（姓名）系</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（投标人名称）的法定代表人，现委托</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（姓名）为我方代理人。代理人根据授权，以我方名义签署、澄清</w:t>
      </w:r>
      <w:r>
        <w:rPr>
          <w:rFonts w:hint="eastAsia" w:ascii="Times New Roman" w:hAnsi="Times New Roman" w:eastAsia="宋体" w:cs="Times New Roman"/>
          <w:color w:val="auto"/>
          <w:szCs w:val="21"/>
          <w:highlight w:val="none"/>
        </w:rPr>
        <w:t>、说明、补正</w:t>
      </w:r>
      <w:r>
        <w:rPr>
          <w:rFonts w:ascii="Times New Roman" w:hAnsi="Times New Roman" w:eastAsia="宋体" w:cs="Times New Roman"/>
          <w:color w:val="auto"/>
          <w:szCs w:val="21"/>
          <w:highlight w:val="none"/>
        </w:rPr>
        <w:t>、递交、撤回、修改</w:t>
      </w:r>
      <w:r>
        <w:rPr>
          <w:rFonts w:hint="eastAsia" w:ascii="Times New Roman" w:hAnsi="Times New Roman" w:eastAsia="宋体" w:cs="Times New Roman"/>
          <w:color w:val="auto"/>
          <w:szCs w:val="21"/>
          <w:highlight w:val="none"/>
          <w:u w:val="single"/>
        </w:rPr>
        <w:t>普洱市主城区火车站片区排水防涝地下管网及设施建设项目</w:t>
      </w:r>
      <w:r>
        <w:rPr>
          <w:rFonts w:hint="eastAsia" w:ascii="Times New Roman" w:hAnsi="Times New Roman" w:eastAsia="宋体" w:cs="Times New Roman"/>
          <w:color w:val="auto"/>
          <w:szCs w:val="21"/>
          <w:highlight w:val="none"/>
          <w:u w:val="single"/>
        </w:rPr>
        <w:t>（一期）</w:t>
      </w:r>
      <w:r>
        <w:rPr>
          <w:rFonts w:hint="eastAsia" w:ascii="Times New Roman" w:hAnsi="Times New Roman" w:eastAsia="宋体" w:cs="Times New Roman"/>
          <w:color w:val="auto"/>
          <w:szCs w:val="21"/>
          <w:highlight w:val="none"/>
          <w:u w:val="single"/>
        </w:rPr>
        <w:t>工程总承包</w:t>
      </w:r>
      <w:r>
        <w:rPr>
          <w:rFonts w:ascii="Times New Roman" w:hAnsi="Times New Roman" w:eastAsia="宋体" w:cs="Times New Roman"/>
          <w:color w:val="auto"/>
          <w:szCs w:val="21"/>
          <w:highlight w:val="none"/>
        </w:rPr>
        <w:t>投标文件、签订合同和处理有关事宜，其法律后果由我方承担。</w:t>
      </w:r>
    </w:p>
    <w:p>
      <w:pPr>
        <w:spacing w:line="440" w:lineRule="exact"/>
        <w:ind w:firstLine="43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委托期限：</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w:t>
      </w:r>
    </w:p>
    <w:p>
      <w:pPr>
        <w:spacing w:line="440" w:lineRule="exact"/>
        <w:ind w:firstLine="42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代理人无转委托权。</w:t>
      </w: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附：法定代表人身份证明</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身份证号码：</w:t>
      </w:r>
      <w:r>
        <w:rPr>
          <w:rFonts w:ascii="Times New Roman" w:hAnsi="Times New Roman" w:eastAsia="宋体" w:cs="Times New Roman"/>
          <w:color w:val="auto"/>
          <w:szCs w:val="21"/>
          <w:highlight w:val="none"/>
          <w:u w:val="single"/>
        </w:rPr>
        <w:t xml:space="preserve">                                     </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委托代理人：</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（签字） </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身份证号码：</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附身份证复印件</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ind w:firstLine="1575"/>
        <w:rPr>
          <w:rFonts w:ascii="Times New Roman" w:hAnsi="Times New Roman" w:eastAsia="黑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spacing w:line="400" w:lineRule="exact"/>
        <w:rPr>
          <w:rFonts w:ascii="Times New Roman" w:hAnsi="Times New Roman" w:eastAsia="宋体" w:cs="Times New Roman"/>
          <w:color w:val="auto"/>
          <w:szCs w:val="24"/>
          <w:highlight w:val="none"/>
        </w:rPr>
      </w:pPr>
      <w:r>
        <w:rPr>
          <w:rFonts w:ascii="Times New Roman" w:hAnsi="Times New Roman" w:eastAsia="黑体" w:cs="Times New Roman"/>
          <w:color w:val="auto"/>
          <w:sz w:val="20"/>
          <w:szCs w:val="20"/>
          <w:highlight w:val="none"/>
        </w:rPr>
        <w:br w:type="page"/>
      </w: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13" w:name="_Toc247514285"/>
      <w:bookmarkStart w:id="1714" w:name="_Toc216681952"/>
      <w:bookmarkStart w:id="1715" w:name="_Toc152045793"/>
      <w:bookmarkStart w:id="1716" w:name="_Toc152042582"/>
      <w:bookmarkStart w:id="1717" w:name="_Toc247527833"/>
      <w:r>
        <w:rPr>
          <w:rFonts w:hint="eastAsia" w:ascii="Arial" w:hAnsi="Arial" w:eastAsia="黑体" w:cs="Times New Roman"/>
          <w:b/>
          <w:bCs/>
          <w:color w:val="auto"/>
          <w:sz w:val="32"/>
          <w:szCs w:val="32"/>
          <w:highlight w:val="none"/>
        </w:rPr>
        <w:t>三、联合体协议书</w:t>
      </w:r>
      <w:bookmarkEnd w:id="1713"/>
      <w:bookmarkEnd w:id="1714"/>
      <w:bookmarkEnd w:id="1715"/>
      <w:bookmarkEnd w:id="1716"/>
      <w:bookmarkEnd w:id="1717"/>
    </w:p>
    <w:p>
      <w:pPr>
        <w:spacing w:line="400" w:lineRule="exact"/>
        <w:rPr>
          <w:rFonts w:ascii="Times New Roman" w:hAnsi="Times New Roman" w:eastAsia="宋体" w:cs="Times New Roman"/>
          <w:color w:val="auto"/>
          <w:szCs w:val="21"/>
          <w:highlight w:val="none"/>
        </w:rPr>
      </w:pP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牵头人名称：</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pacing w:val="35"/>
          <w:kern w:val="0"/>
          <w:szCs w:val="21"/>
          <w:highlight w:val="none"/>
        </w:rPr>
        <w:t>法定住</w:t>
      </w:r>
      <w:r>
        <w:rPr>
          <w:rFonts w:hint="eastAsia" w:ascii="宋体" w:hAnsi="宋体" w:eastAsia="宋体" w:cs="Times New Roman"/>
          <w:color w:val="auto"/>
          <w:kern w:val="0"/>
          <w:szCs w:val="21"/>
          <w:highlight w:val="none"/>
        </w:rPr>
        <w:t>所</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成员二名称：</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pacing w:val="35"/>
          <w:kern w:val="0"/>
          <w:szCs w:val="21"/>
          <w:highlight w:val="none"/>
        </w:rPr>
        <w:t>法定住</w:t>
      </w:r>
      <w:r>
        <w:rPr>
          <w:rFonts w:hint="eastAsia" w:ascii="宋体" w:hAnsi="宋体" w:eastAsia="宋体" w:cs="Times New Roman"/>
          <w:color w:val="auto"/>
          <w:kern w:val="0"/>
          <w:szCs w:val="21"/>
          <w:highlight w:val="none"/>
        </w:rPr>
        <w:t>所</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 xml:space="preserve">                                                        </w:t>
      </w:r>
    </w:p>
    <w:p>
      <w:pPr>
        <w:spacing w:line="400" w:lineRule="exact"/>
        <w:ind w:firstLine="420" w:firstLineChars="200"/>
        <w:rPr>
          <w:rFonts w:ascii="宋体" w:hAnsi="宋体" w:eastAsia="宋体" w:cs="Times New Roman"/>
          <w:color w:val="auto"/>
          <w:szCs w:val="21"/>
          <w:highlight w:val="none"/>
        </w:rPr>
      </w:pP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成员三名称：</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pacing w:val="35"/>
          <w:kern w:val="0"/>
          <w:szCs w:val="21"/>
          <w:highlight w:val="none"/>
        </w:rPr>
        <w:t>法定住</w:t>
      </w:r>
      <w:r>
        <w:rPr>
          <w:rFonts w:hint="eastAsia" w:ascii="宋体" w:hAnsi="宋体" w:eastAsia="宋体" w:cs="Times New Roman"/>
          <w:color w:val="auto"/>
          <w:kern w:val="0"/>
          <w:szCs w:val="21"/>
          <w:highlight w:val="none"/>
        </w:rPr>
        <w:t>所</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 xml:space="preserve">                                                        </w:t>
      </w:r>
    </w:p>
    <w:p>
      <w:pPr>
        <w:spacing w:line="400" w:lineRule="exact"/>
        <w:ind w:firstLine="420" w:firstLineChars="200"/>
        <w:rPr>
          <w:rFonts w:ascii="宋体" w:hAnsi="宋体" w:eastAsia="宋体" w:cs="Times New Roman"/>
          <w:color w:val="auto"/>
          <w:szCs w:val="21"/>
          <w:highlight w:val="none"/>
        </w:rPr>
      </w:pPr>
    </w:p>
    <w:p>
      <w:pPr>
        <w:spacing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p>
    <w:p>
      <w:pPr>
        <w:spacing w:line="400" w:lineRule="exact"/>
        <w:ind w:firstLine="359" w:firstLineChars="171"/>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鉴于上述各成员单位经过友好协商，自愿组成</w:t>
      </w:r>
      <w:r>
        <w:rPr>
          <w:rFonts w:hint="eastAsia" w:ascii="宋体" w:hAnsi="宋体" w:eastAsia="宋体" w:cs="Times New Roman"/>
          <w:color w:val="auto"/>
          <w:szCs w:val="21"/>
          <w:highlight w:val="none"/>
          <w:u w:val="single"/>
        </w:rPr>
        <w:t xml:space="preserve">         （联合体名称）</w:t>
      </w:r>
      <w:r>
        <w:rPr>
          <w:rFonts w:hint="eastAsia" w:ascii="宋体" w:hAnsi="宋体" w:eastAsia="宋体" w:cs="Times New Roman"/>
          <w:color w:val="auto"/>
          <w:szCs w:val="21"/>
          <w:highlight w:val="none"/>
        </w:rPr>
        <w:t>联合体，共同参加</w:t>
      </w:r>
      <w:r>
        <w:rPr>
          <w:rFonts w:hint="eastAsia" w:ascii="宋体" w:hAnsi="宋体" w:eastAsia="宋体" w:cs="Times New Roman"/>
          <w:color w:val="auto"/>
          <w:szCs w:val="21"/>
          <w:highlight w:val="none"/>
          <w:u w:val="single"/>
        </w:rPr>
        <w:t xml:space="preserve">                （招标人名称）</w:t>
      </w:r>
      <w:r>
        <w:rPr>
          <w:rFonts w:hint="eastAsia" w:ascii="宋体" w:hAnsi="宋体" w:eastAsia="宋体" w:cs="Times New Roman"/>
          <w:color w:val="auto"/>
          <w:szCs w:val="21"/>
          <w:highlight w:val="none"/>
        </w:rPr>
        <w:t>（以下简称招标人）</w:t>
      </w:r>
      <w:r>
        <w:rPr>
          <w:rFonts w:hint="eastAsia" w:ascii="宋体" w:hAnsi="宋体" w:eastAsia="宋体" w:cs="Times New Roman"/>
          <w:color w:val="auto"/>
          <w:szCs w:val="21"/>
          <w:highlight w:val="none"/>
          <w:u w:val="single"/>
        </w:rPr>
        <w:t>普洱市主城区火车站片区排水防涝地下管网及设施建设项目</w:t>
      </w:r>
      <w:r>
        <w:rPr>
          <w:rFonts w:hint="eastAsia" w:ascii="宋体" w:hAnsi="宋体" w:eastAsia="宋体" w:cs="Times New Roman"/>
          <w:color w:val="auto"/>
          <w:szCs w:val="21"/>
          <w:highlight w:val="none"/>
          <w:u w:val="single"/>
        </w:rPr>
        <w:t>（一期）</w:t>
      </w:r>
      <w:r>
        <w:rPr>
          <w:rFonts w:hint="eastAsia" w:ascii="宋体" w:hAnsi="宋体" w:eastAsia="宋体" w:cs="Times New Roman"/>
          <w:color w:val="auto"/>
          <w:szCs w:val="21"/>
          <w:highlight w:val="none"/>
          <w:u w:val="single"/>
        </w:rPr>
        <w:t>工程总承包</w:t>
      </w:r>
      <w:r>
        <w:rPr>
          <w:rFonts w:hint="eastAsia" w:ascii="宋体" w:hAnsi="宋体" w:eastAsia="宋体" w:cs="Times New Roman"/>
          <w:color w:val="auto"/>
          <w:szCs w:val="21"/>
          <w:highlight w:val="none"/>
        </w:rPr>
        <w:t>投标并争取赢得本工程总承包合同（以下简称合同）（以下简称合同）。现就联合体投标事宜订立如下协议：</w:t>
      </w:r>
    </w:p>
    <w:p>
      <w:pPr>
        <w:spacing w:line="400" w:lineRule="exact"/>
        <w:ind w:firstLine="359" w:firstLineChars="171"/>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u w:val="single"/>
        </w:rPr>
        <w:t xml:space="preserve">         （某成员单位名称）</w:t>
      </w:r>
      <w:r>
        <w:rPr>
          <w:rFonts w:hint="eastAsia" w:ascii="宋体" w:hAnsi="宋体" w:eastAsia="宋体" w:cs="Times New Roman"/>
          <w:color w:val="auto"/>
          <w:szCs w:val="21"/>
          <w:highlight w:val="none"/>
        </w:rPr>
        <w:t>为</w:t>
      </w:r>
      <w:r>
        <w:rPr>
          <w:rFonts w:hint="eastAsia" w:ascii="宋体" w:hAnsi="宋体" w:eastAsia="宋体" w:cs="Times New Roman"/>
          <w:color w:val="auto"/>
          <w:szCs w:val="21"/>
          <w:highlight w:val="none"/>
          <w:u w:val="single"/>
        </w:rPr>
        <w:t xml:space="preserve">          （联合体名称）</w:t>
      </w:r>
      <w:r>
        <w:rPr>
          <w:rFonts w:hint="eastAsia" w:ascii="宋体" w:hAnsi="宋体" w:eastAsia="宋体" w:cs="Times New Roman"/>
          <w:color w:val="auto"/>
          <w:szCs w:val="21"/>
          <w:highlight w:val="none"/>
        </w:rPr>
        <w:t>牵头人。</w:t>
      </w:r>
    </w:p>
    <w:p>
      <w:pPr>
        <w:spacing w:line="400" w:lineRule="exact"/>
        <w:ind w:firstLine="359" w:firstLineChars="171"/>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pPr>
        <w:spacing w:line="400" w:lineRule="exact"/>
        <w:ind w:firstLine="359" w:firstLineChars="171"/>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联合体将严格按照招标文件的各项要求，递交投标文件，履行投标义务和中标后的合同，共同承担合同规定的一切义务和责任，联合体各成员单位按照内部职责的划分，承担各自所负的责任和风险，并向招标人承担连带责任。</w:t>
      </w:r>
    </w:p>
    <w:p>
      <w:pPr>
        <w:spacing w:line="400" w:lineRule="exact"/>
        <w:ind w:firstLine="359" w:firstLineChars="171"/>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4、联合体各成员单位内部的职责分工如下：</w:t>
      </w:r>
      <w:r>
        <w:rPr>
          <w:rFonts w:hint="eastAsia" w:ascii="宋体" w:hAnsi="宋体" w:eastAsia="宋体" w:cs="Times New Roman"/>
          <w:color w:val="auto"/>
          <w:szCs w:val="21"/>
          <w:highlight w:val="none"/>
          <w:u w:val="single"/>
        </w:rPr>
        <w:t xml:space="preserve">                                     </w:t>
      </w:r>
    </w:p>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w:t>
      </w:r>
    </w:p>
    <w:p>
      <w:pPr>
        <w:spacing w:line="400" w:lineRule="exact"/>
        <w:ind w:firstLine="336" w:firstLineChars="16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5、投标工作以及联合体在中标后工程实施过程中的有关费用按各自承担的工作量分摊。</w:t>
      </w:r>
    </w:p>
    <w:p>
      <w:pPr>
        <w:spacing w:line="400" w:lineRule="exact"/>
        <w:ind w:firstLine="336" w:firstLineChars="16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6、联合体中标后，本联合体协议是合同的附件，对联合体各成员单位有合同约束力。</w:t>
      </w:r>
    </w:p>
    <w:p>
      <w:pPr>
        <w:spacing w:line="400" w:lineRule="exact"/>
        <w:ind w:firstLine="336" w:firstLineChars="16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7、本协议书自签署之日起生效，联合体未中标或者中标时合同履行完毕后自动失效。</w:t>
      </w:r>
    </w:p>
    <w:p>
      <w:pPr>
        <w:spacing w:line="400" w:lineRule="exact"/>
        <w:ind w:firstLine="336" w:firstLineChars="16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8、本协议书一式</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份，联合体成员和招标人各执一份。</w:t>
      </w:r>
    </w:p>
    <w:p>
      <w:pPr>
        <w:spacing w:line="400" w:lineRule="exact"/>
        <w:ind w:firstLine="336" w:firstLineChars="160"/>
        <w:rPr>
          <w:rFonts w:ascii="宋体" w:hAnsi="宋体" w:eastAsia="宋体" w:cs="Times New Roman"/>
          <w:color w:val="auto"/>
          <w:szCs w:val="21"/>
          <w:highlight w:val="none"/>
        </w:rPr>
      </w:pPr>
    </w:p>
    <w:p>
      <w:pPr>
        <w:spacing w:line="400" w:lineRule="exact"/>
        <w:ind w:firstLine="336" w:firstLineChars="160"/>
        <w:rPr>
          <w:rFonts w:ascii="宋体" w:hAnsi="宋体" w:eastAsia="宋体" w:cs="Times New Roman"/>
          <w:color w:val="auto"/>
          <w:szCs w:val="21"/>
          <w:highlight w:val="none"/>
        </w:rPr>
      </w:pPr>
    </w:p>
    <w:p>
      <w:pPr>
        <w:spacing w:line="400" w:lineRule="exact"/>
        <w:ind w:firstLine="336" w:firstLineChars="160"/>
        <w:rPr>
          <w:rFonts w:ascii="宋体" w:hAnsi="宋体" w:eastAsia="宋体" w:cs="Times New Roman"/>
          <w:color w:val="auto"/>
          <w:szCs w:val="21"/>
          <w:highlight w:val="none"/>
        </w:rPr>
      </w:pP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牵头人名称：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（盖单位章）</w:t>
      </w: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法定代表人或其委托代理人：</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（签字或盖章）</w:t>
      </w:r>
    </w:p>
    <w:p>
      <w:pPr>
        <w:spacing w:line="400" w:lineRule="exact"/>
        <w:ind w:firstLine="2658" w:firstLineChars="1266"/>
        <w:rPr>
          <w:rFonts w:ascii="宋体" w:hAnsi="宋体" w:eastAsia="宋体" w:cs="Times New Roman"/>
          <w:color w:val="auto"/>
          <w:szCs w:val="21"/>
          <w:highlight w:val="none"/>
        </w:rPr>
      </w:pP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成员二名称：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（盖单位章）</w:t>
      </w: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法定代表人或其委托代理人：</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（签字或盖章）</w:t>
      </w:r>
    </w:p>
    <w:p>
      <w:pPr>
        <w:pStyle w:val="2"/>
        <w:rPr>
          <w:color w:val="auto"/>
          <w:highlight w:val="none"/>
        </w:rPr>
      </w:pP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成员三名称：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（盖单位章）</w:t>
      </w: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法定代表人或其委托代理人：</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（签字或盖章）</w:t>
      </w:r>
    </w:p>
    <w:p>
      <w:pPr>
        <w:rPr>
          <w:color w:val="auto"/>
          <w:highlight w:val="none"/>
        </w:rPr>
      </w:pPr>
    </w:p>
    <w:p>
      <w:pPr>
        <w:spacing w:line="400" w:lineRule="exact"/>
        <w:ind w:firstLine="2658" w:firstLineChars="126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p>
    <w:p>
      <w:pPr>
        <w:wordWrap w:val="0"/>
        <w:spacing w:line="400" w:lineRule="exact"/>
        <w:jc w:val="right"/>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日               </w:t>
      </w:r>
    </w:p>
    <w:p>
      <w:pPr>
        <w:spacing w:line="400" w:lineRule="exact"/>
        <w:jc w:val="right"/>
        <w:rPr>
          <w:rFonts w:ascii="宋体" w:hAnsi="宋体" w:eastAsia="宋体" w:cs="Times New Roman"/>
          <w:color w:val="auto"/>
          <w:szCs w:val="21"/>
          <w:highlight w:val="none"/>
        </w:rPr>
      </w:pPr>
    </w:p>
    <w:p>
      <w:pPr>
        <w:spacing w:line="400" w:lineRule="exact"/>
        <w:jc w:val="right"/>
        <w:rPr>
          <w:rFonts w:ascii="宋体" w:hAnsi="宋体" w:eastAsia="宋体" w:cs="Times New Roman"/>
          <w:color w:val="auto"/>
          <w:szCs w:val="21"/>
          <w:highlight w:val="none"/>
        </w:rPr>
      </w:pPr>
    </w:p>
    <w:p>
      <w:pPr>
        <w:spacing w:line="400" w:lineRule="exact"/>
        <w:rPr>
          <w:rFonts w:ascii="宋体" w:hAnsi="宋体" w:eastAsia="宋体" w:cs="Times New Roman"/>
          <w:color w:val="auto"/>
          <w:szCs w:val="21"/>
          <w:highlight w:val="none"/>
        </w:rPr>
      </w:pPr>
      <w:r>
        <w:rPr>
          <w:rFonts w:hint="eastAsia" w:ascii="黑体" w:hAnsi="宋体" w:eastAsia="黑体" w:cs="Times New Roman"/>
          <w:color w:val="auto"/>
          <w:szCs w:val="21"/>
          <w:highlight w:val="none"/>
        </w:rPr>
        <w:t>备注：</w:t>
      </w:r>
      <w:r>
        <w:rPr>
          <w:rFonts w:hint="eastAsia" w:ascii="宋体" w:hAnsi="宋体" w:eastAsia="宋体" w:cs="Times New Roman"/>
          <w:color w:val="auto"/>
          <w:szCs w:val="21"/>
          <w:highlight w:val="none"/>
        </w:rPr>
        <w:t>本协议书由委托代理人</w:t>
      </w:r>
      <w:r>
        <w:rPr>
          <w:rFonts w:hint="eastAsia" w:ascii="宋体" w:hAnsi="宋体" w:eastAsia="宋体" w:cs="Times New Roman"/>
          <w:color w:val="auto"/>
          <w:szCs w:val="21"/>
          <w:highlight w:val="none"/>
        </w:rPr>
        <w:t>签字或盖章</w:t>
      </w:r>
      <w:r>
        <w:rPr>
          <w:rFonts w:hint="eastAsia" w:ascii="宋体" w:hAnsi="宋体" w:eastAsia="宋体" w:cs="Times New Roman"/>
          <w:color w:val="auto"/>
          <w:szCs w:val="21"/>
          <w:highlight w:val="none"/>
        </w:rPr>
        <w:t>的，应附法定代表人</w:t>
      </w:r>
      <w:r>
        <w:rPr>
          <w:rFonts w:hint="eastAsia" w:ascii="宋体" w:hAnsi="宋体" w:eastAsia="宋体" w:cs="Times New Roman"/>
          <w:color w:val="auto"/>
          <w:szCs w:val="21"/>
          <w:highlight w:val="none"/>
        </w:rPr>
        <w:t>签字或盖章</w:t>
      </w:r>
      <w:r>
        <w:rPr>
          <w:rFonts w:hint="eastAsia" w:ascii="宋体" w:hAnsi="宋体" w:eastAsia="宋体" w:cs="Times New Roman"/>
          <w:color w:val="auto"/>
          <w:szCs w:val="21"/>
          <w:highlight w:val="none"/>
        </w:rPr>
        <w:t>的授权委托书。</w:t>
      </w:r>
    </w:p>
    <w:p>
      <w:pPr>
        <w:ind w:firstLine="2879"/>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18" w:name="_Toc296602998"/>
      <w:bookmarkStart w:id="1719" w:name="_Toc216681953"/>
      <w:r>
        <w:rPr>
          <w:rFonts w:hint="eastAsia" w:ascii="Arial" w:hAnsi="Arial" w:eastAsia="黑体" w:cs="Times New Roman"/>
          <w:b/>
          <w:bCs/>
          <w:color w:val="auto"/>
          <w:sz w:val="32"/>
          <w:szCs w:val="32"/>
          <w:highlight w:val="none"/>
        </w:rPr>
        <w:t>四</w:t>
      </w:r>
      <w:r>
        <w:rPr>
          <w:rFonts w:ascii="Arial" w:hAnsi="Arial" w:eastAsia="黑体" w:cs="Times New Roman"/>
          <w:b/>
          <w:bCs/>
          <w:color w:val="auto"/>
          <w:sz w:val="32"/>
          <w:szCs w:val="32"/>
          <w:highlight w:val="none"/>
        </w:rPr>
        <w:t>、投标保证金</w:t>
      </w:r>
      <w:bookmarkEnd w:id="1718"/>
      <w:bookmarkEnd w:id="1719"/>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（招标人名称）：</w:t>
      </w:r>
    </w:p>
    <w:p>
      <w:pPr>
        <w:spacing w:line="440" w:lineRule="exact"/>
        <w:rPr>
          <w:rFonts w:ascii="Times New Roman" w:hAnsi="Times New Roman" w:eastAsia="宋体" w:cs="Times New Roman"/>
          <w:color w:val="auto"/>
          <w:szCs w:val="21"/>
          <w:highlight w:val="none"/>
        </w:rPr>
      </w:pPr>
    </w:p>
    <w:p>
      <w:pPr>
        <w:spacing w:line="440" w:lineRule="exact"/>
        <w:ind w:firstLine="42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我方</w:t>
      </w:r>
      <w:r>
        <w:rPr>
          <w:rFonts w:ascii="Times New Roman" w:hAnsi="Times New Roman" w:eastAsia="宋体" w:cs="Times New Roman"/>
          <w:color w:val="auto"/>
          <w:szCs w:val="21"/>
          <w:highlight w:val="none"/>
        </w:rPr>
        <w:t>于</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日参加</w:t>
      </w:r>
      <w:r>
        <w:rPr>
          <w:rFonts w:hint="eastAsia" w:ascii="Times New Roman" w:hAnsi="Times New Roman" w:eastAsia="宋体" w:cs="Times New Roman"/>
          <w:color w:val="auto"/>
          <w:szCs w:val="21"/>
          <w:highlight w:val="none"/>
          <w:u w:val="single"/>
        </w:rPr>
        <w:t>普洱市主城区火车站片区排水防涝地下管网及设施建设项目</w:t>
      </w:r>
      <w:r>
        <w:rPr>
          <w:rFonts w:hint="eastAsia" w:ascii="Times New Roman" w:hAnsi="Times New Roman" w:eastAsia="宋体" w:cs="Times New Roman"/>
          <w:color w:val="auto"/>
          <w:szCs w:val="21"/>
          <w:highlight w:val="none"/>
          <w:u w:val="single"/>
        </w:rPr>
        <w:t>（一期）</w:t>
      </w:r>
      <w:r>
        <w:rPr>
          <w:rFonts w:hint="eastAsia" w:ascii="Times New Roman" w:hAnsi="Times New Roman" w:eastAsia="宋体" w:cs="Times New Roman"/>
          <w:color w:val="auto"/>
          <w:szCs w:val="21"/>
          <w:highlight w:val="none"/>
          <w:u w:val="single"/>
        </w:rPr>
        <w:t>工程总承包</w:t>
      </w:r>
      <w:r>
        <w:rPr>
          <w:rFonts w:ascii="Times New Roman" w:hAnsi="Times New Roman" w:eastAsia="宋体" w:cs="Times New Roman"/>
          <w:color w:val="auto"/>
          <w:szCs w:val="21"/>
          <w:highlight w:val="none"/>
        </w:rPr>
        <w:t>的投标，</w:t>
      </w:r>
      <w:r>
        <w:rPr>
          <w:rFonts w:hint="eastAsia" w:ascii="Times New Roman" w:hAnsi="Times New Roman" w:eastAsia="宋体" w:cs="Times New Roman"/>
          <w:color w:val="auto"/>
          <w:szCs w:val="21"/>
          <w:highlight w:val="none"/>
        </w:rPr>
        <w:t>现</w:t>
      </w:r>
      <w:r>
        <w:rPr>
          <w:rFonts w:ascii="Times New Roman" w:hAnsi="Times New Roman" w:eastAsia="宋体" w:cs="Times New Roman"/>
          <w:color w:val="auto"/>
          <w:szCs w:val="21"/>
          <w:highlight w:val="none"/>
        </w:rPr>
        <w:t>保证：</w:t>
      </w:r>
      <w:r>
        <w:rPr>
          <w:rFonts w:hint="eastAsia" w:ascii="Times New Roman" w:hAnsi="Times New Roman" w:eastAsia="宋体" w:cs="Times New Roman"/>
          <w:color w:val="auto"/>
          <w:szCs w:val="21"/>
          <w:highlight w:val="none"/>
        </w:rPr>
        <w:t>我方</w:t>
      </w:r>
      <w:r>
        <w:rPr>
          <w:rFonts w:ascii="Times New Roman" w:hAnsi="Times New Roman" w:eastAsia="宋体" w:cs="Times New Roman"/>
          <w:color w:val="auto"/>
          <w:szCs w:val="21"/>
          <w:highlight w:val="none"/>
        </w:rPr>
        <w:t>在规定的投标有效期内撤销或修改投标文件的，或者在收到中标通知书后无正当理由拒签合同或拒交规定履约担保的，</w:t>
      </w:r>
      <w:r>
        <w:rPr>
          <w:rFonts w:hint="eastAsia" w:ascii="Times New Roman" w:hAnsi="Times New Roman" w:eastAsia="宋体" w:cs="Times New Roman"/>
          <w:color w:val="auto"/>
          <w:szCs w:val="21"/>
          <w:highlight w:val="none"/>
        </w:rPr>
        <w:t>投标保证金不予退还</w:t>
      </w:r>
      <w:r>
        <w:rPr>
          <w:rFonts w:ascii="Times New Roman" w:hAnsi="Times New Roman" w:eastAsia="宋体" w:cs="Times New Roman"/>
          <w:color w:val="auto"/>
          <w:szCs w:val="21"/>
          <w:highlight w:val="none"/>
        </w:rPr>
        <w:t>。</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宋体" w:cs="Times New Roman"/>
          <w:color w:val="auto"/>
          <w:szCs w:val="21"/>
          <w:highlight w:val="none"/>
        </w:rPr>
      </w:pPr>
    </w:p>
    <w:p>
      <w:pPr>
        <w:spacing w:line="440" w:lineRule="exact"/>
        <w:ind w:firstLine="2159"/>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投标人</w:t>
      </w:r>
      <w:r>
        <w:rPr>
          <w:rFonts w:ascii="Times New Roman" w:hAnsi="Times New Roman" w:eastAsia="宋体" w:cs="Times New Roman"/>
          <w:color w:val="auto"/>
          <w:szCs w:val="21"/>
          <w:highlight w:val="none"/>
        </w:rPr>
        <w:t>名称：</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ind w:firstLine="2159"/>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ind w:firstLine="2159"/>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    址：</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p>
    <w:p>
      <w:pPr>
        <w:spacing w:line="440" w:lineRule="exact"/>
        <w:ind w:firstLine="2159"/>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邮政编码：</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p>
    <w:p>
      <w:pPr>
        <w:spacing w:line="440" w:lineRule="exact"/>
        <w:ind w:firstLine="2159"/>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    话：</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p>
    <w:p>
      <w:pPr>
        <w:spacing w:line="440" w:lineRule="exact"/>
        <w:ind w:firstLine="3839"/>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spacing w:line="440" w:lineRule="exact"/>
        <w:rPr>
          <w:rFonts w:ascii="Times New Roman" w:hAnsi="Times New Roman" w:eastAsia="宋体" w:cs="Times New Roman"/>
          <w:color w:val="auto"/>
          <w:szCs w:val="21"/>
          <w:highlight w:val="none"/>
        </w:rPr>
      </w:pPr>
    </w:p>
    <w:p>
      <w:pPr>
        <w:spacing w:line="440" w:lineRule="exact"/>
        <w:rPr>
          <w:rFonts w:ascii="Times New Roman" w:hAnsi="Times New Roman" w:eastAsia="黑体" w:cs="Times New Roman"/>
          <w:color w:val="auto"/>
          <w:sz w:val="27"/>
          <w:szCs w:val="27"/>
          <w:highlight w:val="none"/>
        </w:rPr>
      </w:pPr>
      <w:r>
        <w:rPr>
          <w:rFonts w:ascii="Times New Roman" w:hAnsi="Times New Roman" w:eastAsia="黑体" w:cs="Times New Roman"/>
          <w:color w:val="auto"/>
          <w:sz w:val="20"/>
          <w:szCs w:val="20"/>
          <w:highlight w:val="none"/>
        </w:rPr>
        <w:br w:type="page"/>
      </w: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20" w:name="_Toc152045795"/>
      <w:bookmarkStart w:id="1721" w:name="_Toc152042584"/>
      <w:bookmarkStart w:id="1722" w:name="_Toc247527835"/>
      <w:bookmarkStart w:id="1723" w:name="_Toc247514287"/>
      <w:bookmarkStart w:id="1724" w:name="_Toc144974863"/>
      <w:bookmarkStart w:id="1725" w:name="_Toc216681954"/>
      <w:r>
        <w:rPr>
          <w:rFonts w:hint="eastAsia" w:ascii="Arial" w:hAnsi="Arial" w:eastAsia="黑体" w:cs="Times New Roman"/>
          <w:b/>
          <w:bCs/>
          <w:color w:val="auto"/>
          <w:sz w:val="32"/>
          <w:szCs w:val="32"/>
          <w:highlight w:val="none"/>
        </w:rPr>
        <w:t>五</w:t>
      </w:r>
      <w:r>
        <w:rPr>
          <w:rFonts w:ascii="Arial" w:hAnsi="Arial" w:eastAsia="黑体" w:cs="Times New Roman"/>
          <w:b/>
          <w:bCs/>
          <w:color w:val="auto"/>
          <w:sz w:val="32"/>
          <w:szCs w:val="32"/>
          <w:highlight w:val="none"/>
        </w:rPr>
        <w:t>、</w:t>
      </w:r>
      <w:bookmarkEnd w:id="1720"/>
      <w:bookmarkEnd w:id="1721"/>
      <w:bookmarkEnd w:id="1722"/>
      <w:bookmarkEnd w:id="1723"/>
      <w:bookmarkEnd w:id="1724"/>
      <w:r>
        <w:rPr>
          <w:rFonts w:hint="eastAsia" w:ascii="Arial" w:hAnsi="Arial" w:eastAsia="黑体" w:cs="Times New Roman"/>
          <w:b/>
          <w:bCs/>
          <w:color w:val="auto"/>
          <w:sz w:val="32"/>
          <w:szCs w:val="32"/>
          <w:highlight w:val="none"/>
        </w:rPr>
        <w:t>投标报价</w:t>
      </w:r>
      <w:bookmarkEnd w:id="1725"/>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26" w:name="_Toc216681955"/>
      <w:r>
        <w:rPr>
          <w:rFonts w:hint="eastAsia" w:ascii="黑体" w:hAnsi="宋体" w:eastAsia="黑体" w:cs="Times New Roman"/>
          <w:bCs/>
          <w:color w:val="auto"/>
          <w:sz w:val="28"/>
          <w:szCs w:val="28"/>
          <w:highlight w:val="none"/>
        </w:rPr>
        <w:t>（一）投标报价（开标）一览表</w:t>
      </w:r>
      <w:bookmarkEnd w:id="1726"/>
    </w:p>
    <w:p>
      <w:pPr>
        <w:spacing w:before="120" w:after="120"/>
        <w:ind w:left="-89" w:leftChars="-171" w:hanging="270" w:hangingChars="150"/>
        <w:rPr>
          <w:rFonts w:ascii="宋体" w:hAnsi="宋体" w:eastAsia="宋体" w:cs="Times New Roman"/>
          <w:color w:val="auto"/>
          <w:sz w:val="18"/>
          <w:szCs w:val="18"/>
          <w:highlight w:val="none"/>
        </w:rPr>
      </w:pPr>
      <w:bookmarkStart w:id="1727" w:name="_Toc144974864"/>
      <w:bookmarkStart w:id="1728" w:name="_Toc152045796"/>
      <w:bookmarkStart w:id="1729" w:name="_Toc152042585"/>
      <w:bookmarkStart w:id="1730" w:name="_Toc247514288"/>
      <w:bookmarkStart w:id="1731" w:name="_Toc247527836"/>
      <w:r>
        <w:rPr>
          <w:rFonts w:hint="eastAsia" w:ascii="宋体" w:hAnsi="宋体" w:eastAsia="宋体" w:cs="Times New Roman"/>
          <w:color w:val="auto"/>
          <w:sz w:val="18"/>
          <w:szCs w:val="18"/>
          <w:highlight w:val="none"/>
        </w:rPr>
        <w:t>标段名称：</w:t>
      </w:r>
      <w:r>
        <w:rPr>
          <w:rFonts w:hint="eastAsia" w:ascii="宋体" w:hAnsi="宋体" w:eastAsia="宋体" w:cs="Times New Roman"/>
          <w:color w:val="auto"/>
          <w:sz w:val="18"/>
          <w:szCs w:val="18"/>
          <w:highlight w:val="none"/>
        </w:rPr>
        <w:t>普洱市主城区火车站片区排水防涝地下管网及设施建设项目</w:t>
      </w:r>
      <w:r>
        <w:rPr>
          <w:rFonts w:hint="eastAsia" w:ascii="宋体" w:hAnsi="宋体" w:eastAsia="宋体" w:cs="Times New Roman"/>
          <w:color w:val="auto"/>
          <w:sz w:val="18"/>
          <w:szCs w:val="18"/>
          <w:highlight w:val="none"/>
        </w:rPr>
        <w:t>（一期）</w:t>
      </w:r>
      <w:r>
        <w:rPr>
          <w:rFonts w:hint="eastAsia" w:ascii="宋体" w:hAnsi="宋体" w:eastAsia="宋体" w:cs="Times New Roman"/>
          <w:color w:val="auto"/>
          <w:sz w:val="18"/>
          <w:szCs w:val="18"/>
          <w:highlight w:val="none"/>
        </w:rPr>
        <w:t>工程总承包</w:t>
      </w:r>
    </w:p>
    <w:tbl>
      <w:tblPr>
        <w:tblStyle w:val="41"/>
        <w:tblW w:w="9240"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3539"/>
        <w:gridCol w:w="4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8" w:hRule="atLeast"/>
        </w:trPr>
        <w:tc>
          <w:tcPr>
            <w:tcW w:w="1090" w:type="dxa"/>
            <w:vAlign w:val="center"/>
          </w:tcPr>
          <w:p>
            <w:pPr>
              <w:spacing w:before="120"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序号</w:t>
            </w:r>
          </w:p>
        </w:tc>
        <w:tc>
          <w:tcPr>
            <w:tcW w:w="3539" w:type="dxa"/>
            <w:vAlign w:val="center"/>
          </w:tcPr>
          <w:p>
            <w:pPr>
              <w:spacing w:before="120"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w:t>
            </w:r>
          </w:p>
        </w:tc>
        <w:tc>
          <w:tcPr>
            <w:tcW w:w="4611" w:type="dxa"/>
            <w:vAlign w:val="center"/>
          </w:tcPr>
          <w:p>
            <w:pPr>
              <w:spacing w:before="120"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p>
        </w:tc>
        <w:tc>
          <w:tcPr>
            <w:tcW w:w="3539" w:type="dxa"/>
            <w:vAlign w:val="center"/>
          </w:tcPr>
          <w:p>
            <w:pPr>
              <w:spacing w:before="120" w:after="120"/>
              <w:jc w:val="center"/>
              <w:rPr>
                <w:rFonts w:ascii="宋体" w:hAnsi="宋体" w:eastAsia="宋体" w:cs="Times New Roman"/>
                <w:color w:val="auto"/>
                <w:szCs w:val="21"/>
                <w:highlight w:val="none"/>
              </w:rPr>
            </w:pPr>
            <w:r>
              <w:rPr>
                <w:rFonts w:hint="eastAsia" w:ascii="Times New Roman" w:hAnsi="Times New Roman" w:eastAsia="宋体" w:cs="Times New Roman"/>
                <w:color w:val="auto"/>
                <w:szCs w:val="21"/>
                <w:highlight w:val="none"/>
              </w:rPr>
              <w:t>设计费投标报价</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费率</w:t>
            </w:r>
            <w:r>
              <w:rPr>
                <w:rFonts w:ascii="宋体" w:hAnsi="宋体" w:eastAsia="宋体" w:cs="Times New Roman"/>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p>
        </w:tc>
        <w:tc>
          <w:tcPr>
            <w:tcW w:w="3539" w:type="dxa"/>
            <w:vAlign w:val="center"/>
          </w:tcPr>
          <w:p>
            <w:pPr>
              <w:spacing w:before="120" w:after="120"/>
              <w:jc w:val="center"/>
              <w:rPr>
                <w:rFonts w:ascii="宋体" w:hAnsi="宋体" w:eastAsia="宋体" w:cs="Times New Roman"/>
                <w:color w:val="auto"/>
                <w:szCs w:val="21"/>
                <w:highlight w:val="none"/>
              </w:rPr>
            </w:pPr>
            <w:r>
              <w:rPr>
                <w:rFonts w:hint="eastAsia" w:ascii="Times New Roman" w:hAnsi="Times New Roman" w:eastAsia="宋体" w:cs="Times New Roman"/>
                <w:color w:val="auto"/>
                <w:szCs w:val="21"/>
                <w:highlight w:val="none"/>
              </w:rPr>
              <w:t>已公布工程量清单部分以外建筑安装工程费投标报价</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Times New Roman" w:hAnsi="Times New Roman" w:eastAsia="宋体" w:cs="Times New Roman"/>
                <w:color w:val="auto"/>
                <w:szCs w:val="21"/>
                <w:highlight w:val="none"/>
                <w:u w:val="single"/>
              </w:rPr>
              <w:t>优惠率为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w:t>
            </w:r>
            <w:r>
              <w:rPr>
                <w:rFonts w:hint="eastAsia" w:ascii="宋体" w:hAnsi="宋体" w:eastAsia="宋体" w:cs="Times New Roman"/>
                <w:color w:val="auto"/>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p>
        </w:tc>
        <w:tc>
          <w:tcPr>
            <w:tcW w:w="3539" w:type="dxa"/>
            <w:vAlign w:val="center"/>
          </w:tcPr>
          <w:p>
            <w:pPr>
              <w:spacing w:before="120" w:after="120"/>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已公布工程量清单部分建筑安装工程费投标报价</w:t>
            </w:r>
          </w:p>
        </w:tc>
        <w:tc>
          <w:tcPr>
            <w:tcW w:w="4611" w:type="dxa"/>
            <w:vAlign w:val="center"/>
          </w:tcPr>
          <w:p>
            <w:pPr>
              <w:spacing w:before="120" w:after="120"/>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（小写）：</w:t>
            </w:r>
            <w:r>
              <w:rPr>
                <w:rFonts w:hint="eastAsia" w:ascii="Times New Roman" w:hAnsi="Times New Roman" w:eastAsia="宋体" w:cs="Times New Roman"/>
                <w:color w:val="auto"/>
                <w:szCs w:val="21"/>
                <w:highlight w:val="none"/>
                <w:u w:val="single"/>
              </w:rPr>
              <w:t xml:space="preserve">             </w:t>
            </w:r>
          </w:p>
          <w:p>
            <w:pPr>
              <w:spacing w:before="120" w:after="120"/>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（大写）：</w:t>
            </w:r>
            <w:r>
              <w:rPr>
                <w:rFonts w:hint="eastAsia" w:ascii="Times New Roman" w:hAnsi="Times New Roman" w:eastAsia="宋体" w:cs="Times New Roman"/>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p>
        </w:tc>
        <w:tc>
          <w:tcPr>
            <w:tcW w:w="3539"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设计质量承诺</w:t>
            </w:r>
          </w:p>
        </w:tc>
        <w:tc>
          <w:tcPr>
            <w:tcW w:w="4611" w:type="dxa"/>
            <w:vAlign w:val="center"/>
          </w:tcPr>
          <w:p>
            <w:pPr>
              <w:spacing w:before="120"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p>
        </w:tc>
        <w:tc>
          <w:tcPr>
            <w:tcW w:w="3539"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施工质量承诺</w:t>
            </w:r>
          </w:p>
        </w:tc>
        <w:tc>
          <w:tcPr>
            <w:tcW w:w="4611" w:type="dxa"/>
            <w:vAlign w:val="center"/>
          </w:tcPr>
          <w:p>
            <w:pPr>
              <w:spacing w:before="120"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p>
        </w:tc>
        <w:tc>
          <w:tcPr>
            <w:tcW w:w="3539"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工 期 承 诺</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p>
        </w:tc>
        <w:tc>
          <w:tcPr>
            <w:tcW w:w="3539"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工程总承包</w:t>
            </w:r>
            <w:r>
              <w:rPr>
                <w:rFonts w:ascii="宋体" w:hAnsi="宋体" w:eastAsia="宋体" w:cs="Times New Roman"/>
                <w:color w:val="auto"/>
                <w:szCs w:val="21"/>
                <w:highlight w:val="none"/>
              </w:rPr>
              <w:t>项目经理</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姓名：</w:t>
            </w:r>
            <w:r>
              <w:rPr>
                <w:rFonts w:hint="eastAsia" w:ascii="宋体" w:hAnsi="宋体" w:eastAsia="宋体" w:cs="Times New Roman"/>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p>
        </w:tc>
        <w:tc>
          <w:tcPr>
            <w:tcW w:w="3539"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设计负责人</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姓名：</w:t>
            </w:r>
            <w:r>
              <w:rPr>
                <w:rFonts w:hint="eastAsia" w:ascii="宋体" w:hAnsi="宋体" w:eastAsia="宋体" w:cs="Times New Roman"/>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p>
        </w:tc>
        <w:tc>
          <w:tcPr>
            <w:tcW w:w="3539"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施工负责人</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姓名：</w:t>
            </w:r>
            <w:r>
              <w:rPr>
                <w:rFonts w:hint="eastAsia" w:ascii="宋体" w:hAnsi="宋体" w:eastAsia="宋体" w:cs="Times New Roman"/>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p>
        </w:tc>
        <w:tc>
          <w:tcPr>
            <w:tcW w:w="3539"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技术负责人</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姓名：</w:t>
            </w:r>
            <w:r>
              <w:rPr>
                <w:rFonts w:hint="eastAsia" w:ascii="宋体" w:hAnsi="宋体" w:eastAsia="宋体" w:cs="Times New Roman"/>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w:t>
            </w:r>
          </w:p>
        </w:tc>
        <w:tc>
          <w:tcPr>
            <w:tcW w:w="3539" w:type="dxa"/>
            <w:vAlign w:val="center"/>
          </w:tcPr>
          <w:p>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投标保证金金额</w:t>
            </w:r>
          </w:p>
        </w:tc>
        <w:tc>
          <w:tcPr>
            <w:tcW w:w="4611"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090"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12</w:t>
            </w:r>
          </w:p>
        </w:tc>
        <w:tc>
          <w:tcPr>
            <w:tcW w:w="3539" w:type="dxa"/>
            <w:vAlign w:val="center"/>
          </w:tcPr>
          <w:p>
            <w:pPr>
              <w:spacing w:before="120" w:after="12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4611" w:type="dxa"/>
            <w:vAlign w:val="center"/>
          </w:tcPr>
          <w:p>
            <w:pPr>
              <w:spacing w:before="120" w:after="120"/>
              <w:rPr>
                <w:rFonts w:ascii="宋体" w:hAnsi="宋体"/>
                <w:color w:val="auto"/>
                <w:sz w:val="18"/>
                <w:szCs w:val="18"/>
                <w:highlight w:val="none"/>
              </w:rPr>
            </w:pPr>
          </w:p>
        </w:tc>
      </w:tr>
    </w:tbl>
    <w:p>
      <w:pPr>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pPr>
        <w:spacing w:line="440" w:lineRule="exact"/>
        <w:ind w:firstLine="2159"/>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投标人</w:t>
      </w:r>
      <w:r>
        <w:rPr>
          <w:rFonts w:ascii="Times New Roman" w:hAnsi="Times New Roman" w:eastAsia="宋体" w:cs="Times New Roman"/>
          <w:color w:val="auto"/>
          <w:szCs w:val="21"/>
          <w:highlight w:val="none"/>
        </w:rPr>
        <w:t>名称：</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ind w:firstLine="2159"/>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（电子签章）</w:t>
      </w:r>
    </w:p>
    <w:p>
      <w:pPr>
        <w:spacing w:line="440" w:lineRule="exact"/>
        <w:ind w:firstLine="3839"/>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ind w:firstLine="315" w:firstLineChars="150"/>
        <w:rPr>
          <w:rFonts w:ascii="Times New Roman" w:hAnsi="Times New Roman" w:eastAsia="宋体" w:cs="Times New Roman"/>
          <w:color w:val="auto"/>
          <w:szCs w:val="24"/>
          <w:highlight w:val="none"/>
        </w:rPr>
      </w:pP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32" w:name="_Toc216681956"/>
      <w:r>
        <w:rPr>
          <w:rFonts w:hint="eastAsia" w:ascii="黑体" w:hAnsi="宋体" w:eastAsia="黑体" w:cs="Times New Roman"/>
          <w:bCs/>
          <w:color w:val="auto"/>
          <w:sz w:val="28"/>
          <w:szCs w:val="28"/>
          <w:highlight w:val="none"/>
        </w:rPr>
        <w:t>（二）已标价工程量清单</w:t>
      </w:r>
      <w:bookmarkEnd w:id="1732"/>
    </w:p>
    <w:p>
      <w:pPr>
        <w:ind w:firstLine="315" w:firstLineChars="15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（注:依据招标文件附件“工程量清单”所编制的已标价工程量清单全部内容放在此处）</w:t>
      </w:r>
    </w:p>
    <w:p>
      <w:pPr>
        <w:rPr>
          <w:rFonts w:ascii="Times New Roman" w:hAnsi="Times New Roman" w:eastAsia="宋体" w:cs="Times New Roman"/>
          <w:color w:val="auto"/>
          <w:szCs w:val="24"/>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keepNext/>
        <w:keepLines/>
        <w:spacing w:before="260" w:after="260" w:line="412" w:lineRule="auto"/>
        <w:jc w:val="center"/>
        <w:outlineLvl w:val="1"/>
        <w:rPr>
          <w:rFonts w:ascii="Arial" w:hAnsi="Arial" w:eastAsia="黑体" w:cs="Times New Roman"/>
          <w:b/>
          <w:bCs/>
          <w:color w:val="auto"/>
          <w:sz w:val="32"/>
          <w:szCs w:val="32"/>
          <w:highlight w:val="none"/>
        </w:rPr>
      </w:pPr>
      <w:bookmarkStart w:id="1733" w:name="_Toc216681957"/>
      <w:r>
        <w:rPr>
          <w:rFonts w:hint="eastAsia" w:ascii="Arial" w:hAnsi="Arial" w:eastAsia="黑体" w:cs="Times New Roman"/>
          <w:b/>
          <w:bCs/>
          <w:color w:val="auto"/>
          <w:sz w:val="32"/>
          <w:szCs w:val="32"/>
          <w:highlight w:val="none"/>
        </w:rPr>
        <w:t>六、承包人建议书</w:t>
      </w:r>
      <w:bookmarkEnd w:id="1733"/>
    </w:p>
    <w:p>
      <w:pPr>
        <w:ind w:firstLine="315" w:firstLineChars="15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注：格式自拟</w:t>
      </w:r>
    </w:p>
    <w:bookmarkEnd w:id="1727"/>
    <w:bookmarkEnd w:id="1728"/>
    <w:bookmarkEnd w:id="1729"/>
    <w:bookmarkEnd w:id="1730"/>
    <w:bookmarkEnd w:id="1731"/>
    <w:p>
      <w:pPr>
        <w:rPr>
          <w:rFonts w:ascii="Times New Roman" w:hAnsi="Times New Roman" w:eastAsia="宋体" w:cs="Times New Roman"/>
          <w:color w:val="auto"/>
          <w:szCs w:val="24"/>
          <w:highlight w:val="none"/>
        </w:rPr>
      </w:pPr>
    </w:p>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34" w:name="_Toc216681958"/>
      <w:r>
        <w:rPr>
          <w:rFonts w:hint="eastAsia" w:ascii="Arial" w:hAnsi="Arial" w:eastAsia="黑体" w:cs="Times New Roman"/>
          <w:b/>
          <w:bCs/>
          <w:color w:val="auto"/>
          <w:sz w:val="32"/>
          <w:szCs w:val="32"/>
          <w:highlight w:val="none"/>
        </w:rPr>
        <w:t>七</w:t>
      </w:r>
      <w:r>
        <w:rPr>
          <w:rFonts w:ascii="Arial" w:hAnsi="Arial" w:eastAsia="黑体" w:cs="Times New Roman"/>
          <w:b/>
          <w:bCs/>
          <w:color w:val="auto"/>
          <w:sz w:val="32"/>
          <w:szCs w:val="32"/>
          <w:highlight w:val="none"/>
        </w:rPr>
        <w:t>、</w:t>
      </w:r>
      <w:r>
        <w:rPr>
          <w:rFonts w:hint="eastAsia" w:ascii="Arial" w:hAnsi="Arial" w:eastAsia="黑体" w:cs="Times New Roman"/>
          <w:b/>
          <w:bCs/>
          <w:color w:val="auto"/>
          <w:sz w:val="32"/>
          <w:szCs w:val="32"/>
          <w:highlight w:val="none"/>
        </w:rPr>
        <w:t>承包人实施计划</w:t>
      </w:r>
      <w:bookmarkEnd w:id="1734"/>
    </w:p>
    <w:p>
      <w:pPr>
        <w:spacing w:line="360" w:lineRule="auto"/>
        <w:rPr>
          <w:rFonts w:ascii="黑体" w:hAnsi="宋体" w:eastAsia="黑体" w:cs="Times New Roman"/>
          <w:color w:val="auto"/>
          <w:szCs w:val="21"/>
          <w:highlight w:val="none"/>
        </w:rPr>
      </w:pPr>
      <w:r>
        <w:rPr>
          <w:rFonts w:hint="eastAsia" w:ascii="黑体" w:hAnsi="宋体" w:eastAsia="黑体" w:cs="Times New Roman"/>
          <w:color w:val="auto"/>
          <w:szCs w:val="21"/>
          <w:highlight w:val="none"/>
        </w:rPr>
        <w:t>（一）概述</w:t>
      </w:r>
    </w:p>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1. </w:t>
      </w:r>
      <w:r>
        <w:rPr>
          <w:rFonts w:hint="eastAsia" w:ascii="Times New Roman" w:hAnsi="Times New Roman" w:eastAsia="宋体" w:cs="Times New Roman"/>
          <w:color w:val="auto"/>
          <w:szCs w:val="24"/>
          <w:highlight w:val="none"/>
        </w:rPr>
        <w:t>项目简要介绍。</w:t>
      </w:r>
    </w:p>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2. </w:t>
      </w:r>
      <w:r>
        <w:rPr>
          <w:rFonts w:hint="eastAsia" w:ascii="Times New Roman" w:hAnsi="Times New Roman" w:eastAsia="宋体" w:cs="Times New Roman"/>
          <w:color w:val="auto"/>
          <w:szCs w:val="24"/>
          <w:highlight w:val="none"/>
        </w:rPr>
        <w:t>项目范围。</w:t>
      </w:r>
    </w:p>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3. </w:t>
      </w:r>
      <w:r>
        <w:rPr>
          <w:rFonts w:hint="eastAsia" w:ascii="Times New Roman" w:hAnsi="Times New Roman" w:eastAsia="宋体" w:cs="Times New Roman"/>
          <w:color w:val="auto"/>
          <w:szCs w:val="24"/>
          <w:highlight w:val="none"/>
        </w:rPr>
        <w:t>项目特点。</w:t>
      </w:r>
    </w:p>
    <w:p>
      <w:pPr>
        <w:spacing w:line="360" w:lineRule="auto"/>
        <w:rPr>
          <w:rFonts w:ascii="黑体" w:hAnsi="宋体" w:eastAsia="黑体" w:cs="Times New Roman"/>
          <w:color w:val="auto"/>
          <w:szCs w:val="21"/>
          <w:highlight w:val="none"/>
        </w:rPr>
      </w:pPr>
      <w:r>
        <w:rPr>
          <w:rFonts w:hint="eastAsia" w:ascii="黑体" w:hAnsi="宋体" w:eastAsia="黑体" w:cs="Times New Roman"/>
          <w:color w:val="auto"/>
          <w:szCs w:val="21"/>
          <w:highlight w:val="none"/>
        </w:rPr>
        <w:t>（二）总体实施方案</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 项目目标（质量、工期、造价）（注：应含进度计划图）。</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 项目实施组织形式（注：应含项目人员配置）。</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 项目阶段划分。</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 项目工作分解结构。</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 对项目各阶段工作及文件的要求。</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 项目沟通与协调程序。</w:t>
      </w:r>
    </w:p>
    <w:p>
      <w:pPr>
        <w:spacing w:line="360" w:lineRule="auto"/>
        <w:rPr>
          <w:rFonts w:ascii="黑体" w:hAnsi="宋体" w:eastAsia="黑体" w:cs="Times New Roman"/>
          <w:color w:val="auto"/>
          <w:szCs w:val="21"/>
          <w:highlight w:val="none"/>
        </w:rPr>
      </w:pPr>
      <w:r>
        <w:rPr>
          <w:rFonts w:hint="eastAsia" w:ascii="黑体" w:hAnsi="宋体" w:eastAsia="黑体" w:cs="Times New Roman"/>
          <w:color w:val="auto"/>
          <w:szCs w:val="21"/>
          <w:highlight w:val="none"/>
        </w:rPr>
        <w:t>（三）项目实施要点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 设计实施要点。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 施工实施要点。</w:t>
      </w:r>
    </w:p>
    <w:p>
      <w:pPr>
        <w:spacing w:line="360" w:lineRule="auto"/>
        <w:rPr>
          <w:rFonts w:ascii="黑体" w:hAnsi="宋体" w:eastAsia="黑体" w:cs="Times New Roman"/>
          <w:color w:val="auto"/>
          <w:szCs w:val="21"/>
          <w:highlight w:val="none"/>
        </w:rPr>
      </w:pPr>
      <w:r>
        <w:rPr>
          <w:rFonts w:hint="eastAsia" w:ascii="黑体" w:hAnsi="宋体" w:eastAsia="黑体" w:cs="Times New Roman"/>
          <w:color w:val="auto"/>
          <w:szCs w:val="21"/>
          <w:highlight w:val="none"/>
        </w:rPr>
        <w:t>（四）项目管理要点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 合同管理要点。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 资源管理要点。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 质量控制要点。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4. 进度控制要点。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5. 费用概算及控制要点。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6. 安全管理要点。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7. 职业健康管理要点。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8．环境管理要点。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9. 沟通和协调管理要点。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10. 财务管理要点。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11. 风险管理要点。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12. 文件及信息管理要点。</w:t>
      </w:r>
    </w:p>
    <w:p>
      <w:pPr>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13. 报告制度。</w:t>
      </w:r>
    </w:p>
    <w:p>
      <w:pP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（五）设计实施方案（注：应含相应图纸）</w:t>
      </w:r>
    </w:p>
    <w:p>
      <w:pP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（六）施工实施方案</w:t>
      </w:r>
    </w:p>
    <w:p>
      <w:pPr>
        <w:rPr>
          <w:rFonts w:ascii="Times New Roman" w:hAnsi="Times New Roman" w:eastAsia="宋体" w:cs="Times New Roman"/>
          <w:color w:val="auto"/>
          <w:szCs w:val="24"/>
          <w:highlight w:val="none"/>
        </w:rPr>
      </w:pPr>
    </w:p>
    <w:p>
      <w:pPr>
        <w:rPr>
          <w:rFonts w:ascii="Times New Roman" w:hAnsi="Times New Roman" w:eastAsia="宋体" w:cs="Times New Roman"/>
          <w:color w:val="auto"/>
          <w:szCs w:val="24"/>
          <w:highlight w:val="none"/>
        </w:rPr>
      </w:pPr>
    </w:p>
    <w:p>
      <w:pPr>
        <w:topLinePunct/>
        <w:spacing w:line="440" w:lineRule="exact"/>
        <w:rPr>
          <w:rFonts w:ascii="Times New Roman" w:hAnsi="Times New Roman" w:eastAsia="宋体" w:cs="Times New Roman"/>
          <w:color w:val="auto"/>
          <w:szCs w:val="24"/>
          <w:highlight w:val="none"/>
        </w:rPr>
      </w:pP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35" w:name="_Toc216681959"/>
      <w:r>
        <w:rPr>
          <w:rFonts w:hint="eastAsia" w:ascii="Arial" w:hAnsi="Arial" w:eastAsia="黑体" w:cs="Times New Roman"/>
          <w:b/>
          <w:bCs/>
          <w:color w:val="auto"/>
          <w:sz w:val="27"/>
          <w:szCs w:val="27"/>
          <w:highlight w:val="none"/>
        </w:rPr>
        <w:t>八、</w:t>
      </w:r>
      <w:bookmarkStart w:id="1736" w:name="_Toc152045807"/>
      <w:bookmarkStart w:id="1737" w:name="_Toc247514299"/>
      <w:bookmarkStart w:id="1738" w:name="_Toc144974875"/>
      <w:bookmarkStart w:id="1739" w:name="_Toc247527847"/>
      <w:bookmarkStart w:id="1740" w:name="_Toc152042596"/>
      <w:r>
        <w:rPr>
          <w:rFonts w:ascii="Arial" w:hAnsi="Arial" w:eastAsia="黑体" w:cs="Times New Roman"/>
          <w:b/>
          <w:bCs/>
          <w:color w:val="auto"/>
          <w:sz w:val="32"/>
          <w:szCs w:val="32"/>
          <w:highlight w:val="none"/>
        </w:rPr>
        <w:t>资格审查资料</w:t>
      </w:r>
      <w:bookmarkEnd w:id="1735"/>
      <w:bookmarkEnd w:id="1736"/>
      <w:bookmarkEnd w:id="1737"/>
      <w:bookmarkEnd w:id="1738"/>
      <w:bookmarkEnd w:id="1739"/>
      <w:bookmarkEnd w:id="1740"/>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41" w:name="_Toc152042597"/>
      <w:bookmarkStart w:id="1742" w:name="_Toc247514300"/>
      <w:bookmarkStart w:id="1743" w:name="_Toc247527848"/>
      <w:bookmarkStart w:id="1744" w:name="_Toc144974876"/>
      <w:bookmarkStart w:id="1745" w:name="_Toc152045808"/>
      <w:bookmarkStart w:id="1746" w:name="_Toc216681960"/>
      <w:r>
        <w:rPr>
          <w:rFonts w:ascii="黑体" w:hAnsi="宋体" w:eastAsia="黑体" w:cs="Times New Roman"/>
          <w:bCs/>
          <w:color w:val="auto"/>
          <w:sz w:val="28"/>
          <w:szCs w:val="28"/>
          <w:highlight w:val="none"/>
        </w:rPr>
        <w:t>（一）投标人基本情况表</w:t>
      </w:r>
      <w:bookmarkEnd w:id="1741"/>
      <w:bookmarkEnd w:id="1742"/>
      <w:bookmarkEnd w:id="1743"/>
      <w:bookmarkEnd w:id="1744"/>
      <w:bookmarkEnd w:id="1745"/>
      <w:bookmarkEnd w:id="1746"/>
    </w:p>
    <w:p>
      <w:pPr>
        <w:topLinePunct/>
        <w:spacing w:line="440" w:lineRule="exact"/>
        <w:rPr>
          <w:rFonts w:ascii="Times New Roman" w:hAnsi="Times New Roman" w:eastAsia="黑体" w:cs="Times New Roman"/>
          <w:color w:val="auto"/>
          <w:sz w:val="23"/>
          <w:szCs w:val="23"/>
          <w:highlight w:val="none"/>
        </w:rPr>
      </w:pPr>
    </w:p>
    <w:tbl>
      <w:tblPr>
        <w:tblStyle w:val="41"/>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投标人名称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1"/>
                <w:highlight w:val="none"/>
              </w:rPr>
              <w:t>技工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3"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210"/>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经营范围</w:t>
            </w:r>
          </w:p>
        </w:tc>
        <w:tc>
          <w:tcPr>
            <w:tcW w:w="6840" w:type="dxa"/>
            <w:gridSpan w:val="9"/>
            <w:tcBorders>
              <w:top w:val="single" w:color="auto" w:sz="4" w:space="0"/>
              <w:left w:val="single" w:color="auto" w:sz="4" w:space="0"/>
              <w:right w:val="single" w:color="auto" w:sz="4" w:space="0"/>
            </w:tcBorders>
            <w:vAlign w:val="center"/>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Times New Roman" w:hAnsi="Times New Roman" w:eastAsia="宋体" w:cs="Times New Roman"/>
                <w:color w:val="auto"/>
                <w:szCs w:val="21"/>
                <w:highlight w:val="none"/>
              </w:rPr>
            </w:pPr>
          </w:p>
        </w:tc>
      </w:tr>
    </w:tbl>
    <w:p>
      <w:pPr>
        <w:topLinePunct/>
        <w:spacing w:line="440" w:lineRule="exact"/>
        <w:rPr>
          <w:rFonts w:ascii="Times New Roman" w:hAnsi="Times New Roman" w:eastAsia="宋体" w:cs="Times New Roman"/>
          <w:color w:val="auto"/>
          <w:sz w:val="20"/>
          <w:szCs w:val="24"/>
          <w:highlight w:val="none"/>
        </w:rPr>
      </w:pPr>
      <w:r>
        <w:rPr>
          <w:rFonts w:hint="eastAsia" w:ascii="Times New Roman" w:hAnsi="Times New Roman" w:eastAsia="宋体" w:cs="Times New Roman"/>
          <w:color w:val="auto"/>
          <w:sz w:val="20"/>
          <w:szCs w:val="24"/>
          <w:highlight w:val="none"/>
        </w:rPr>
        <w:t>注：随此表附营业执照原件扫描件（含联合体各成员单位）、资质证书原件扫描件（含联合体各成员单位）、企业安全生产许可证原件扫描件（以联合体形式参加投标的，由联合体施工企业提供）。</w:t>
      </w:r>
      <w:r>
        <w:rPr>
          <w:rFonts w:ascii="Times New Roman" w:hAnsi="Times New Roman" w:eastAsia="宋体" w:cs="Times New Roman"/>
          <w:color w:val="auto"/>
          <w:sz w:val="20"/>
          <w:szCs w:val="24"/>
          <w:highlight w:val="none"/>
        </w:rPr>
        <w:br w:type="page"/>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47" w:name="_Toc152042598"/>
      <w:bookmarkStart w:id="1748" w:name="_Toc152045809"/>
      <w:bookmarkStart w:id="1749" w:name="_Toc247514301"/>
      <w:bookmarkStart w:id="1750" w:name="_Toc144974877"/>
      <w:bookmarkStart w:id="1751" w:name="_Toc216681961"/>
      <w:bookmarkStart w:id="1752" w:name="_Toc247527849"/>
      <w:r>
        <w:rPr>
          <w:rFonts w:ascii="黑体" w:hAnsi="宋体" w:eastAsia="黑体" w:cs="Times New Roman"/>
          <w:bCs/>
          <w:color w:val="auto"/>
          <w:sz w:val="28"/>
          <w:szCs w:val="28"/>
          <w:highlight w:val="none"/>
        </w:rPr>
        <w:t>（二）近年财务状况表</w:t>
      </w:r>
      <w:bookmarkEnd w:id="1747"/>
      <w:bookmarkEnd w:id="1748"/>
      <w:bookmarkEnd w:id="1749"/>
      <w:bookmarkEnd w:id="1750"/>
      <w:bookmarkEnd w:id="1751"/>
      <w:bookmarkEnd w:id="1752"/>
    </w:p>
    <w:p>
      <w:pPr>
        <w:topLinePunct/>
        <w:spacing w:line="440" w:lineRule="exact"/>
        <w:jc w:val="center"/>
        <w:rPr>
          <w:rFonts w:ascii="Times New Roman" w:hAnsi="Times New Roman" w:eastAsia="黑体" w:cs="Times New Roman"/>
          <w:color w:val="auto"/>
          <w:sz w:val="20"/>
          <w:szCs w:val="20"/>
          <w:highlight w:val="none"/>
        </w:rPr>
      </w:pP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br w:type="page"/>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53" w:name="_Toc216681962"/>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三</w:t>
      </w:r>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信誉证明材料</w:t>
      </w:r>
      <w:bookmarkEnd w:id="1753"/>
    </w:p>
    <w:p>
      <w:pPr>
        <w:pStyle w:val="2"/>
        <w:rPr>
          <w:smallCaps w:val="0"/>
          <w:color w:val="auto"/>
          <w:sz w:val="21"/>
          <w:szCs w:val="24"/>
          <w:highlight w:val="none"/>
        </w:rPr>
      </w:pPr>
      <w:r>
        <w:rPr>
          <w:rFonts w:hint="eastAsia"/>
          <w:smallCaps w:val="0"/>
          <w:color w:val="auto"/>
          <w:sz w:val="21"/>
          <w:szCs w:val="24"/>
          <w:highlight w:val="none"/>
        </w:rPr>
        <w:t>注：投标人（包括联合体各成员单位）在“信用中国”网站（http：//www.creditchina.gov.cn/）中未被列入失信被执行人名单（投标人在投标截止时间前5日内查询，将查询结果网页截图附于此处）。</w:t>
      </w: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54" w:name="_Toc144974878"/>
      <w:bookmarkStart w:id="1755" w:name="_Toc152045810"/>
      <w:bookmarkStart w:id="1756" w:name="_Toc216681963"/>
      <w:bookmarkStart w:id="1757" w:name="_Toc247527850"/>
      <w:bookmarkStart w:id="1758" w:name="_Toc152042599"/>
      <w:bookmarkStart w:id="1759" w:name="_Toc247514302"/>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四</w:t>
      </w:r>
      <w:r>
        <w:rPr>
          <w:rFonts w:ascii="黑体" w:hAnsi="宋体" w:eastAsia="黑体" w:cs="Times New Roman"/>
          <w:bCs/>
          <w:color w:val="auto"/>
          <w:sz w:val="28"/>
          <w:szCs w:val="28"/>
          <w:highlight w:val="none"/>
        </w:rPr>
        <w:t>）近年完成的类似项目情况表</w:t>
      </w:r>
      <w:bookmarkEnd w:id="1754"/>
      <w:bookmarkEnd w:id="1755"/>
      <w:bookmarkEnd w:id="1756"/>
      <w:bookmarkEnd w:id="1757"/>
      <w:bookmarkEnd w:id="1758"/>
      <w:bookmarkEnd w:id="1759"/>
    </w:p>
    <w:p>
      <w:pPr>
        <w:spacing w:line="440" w:lineRule="exact"/>
        <w:jc w:val="center"/>
        <w:rPr>
          <w:rFonts w:ascii="Times New Roman" w:hAnsi="Times New Roman" w:eastAsia="黑体" w:cs="Times New Roman"/>
          <w:color w:val="auto"/>
          <w:sz w:val="23"/>
          <w:szCs w:val="23"/>
          <w:highlight w:val="none"/>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项目名称</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项目所在地</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发包人名称</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发包人地址</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发包人电话</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合同价格</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开工日期</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rPr>
              <w:t>竣工</w:t>
            </w:r>
            <w:r>
              <w:rPr>
                <w:rFonts w:ascii="Times New Roman" w:hAnsi="Times New Roman" w:eastAsia="宋体" w:cs="Times New Roman"/>
                <w:color w:val="auto"/>
                <w:szCs w:val="21"/>
                <w:highlight w:val="none"/>
              </w:rPr>
              <w:t>日期</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承担的工作</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工程质量</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项目经理</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技术负责人</w:t>
            </w:r>
          </w:p>
        </w:tc>
        <w:tc>
          <w:tcPr>
            <w:tcW w:w="625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项目描述</w:t>
            </w:r>
          </w:p>
        </w:tc>
        <w:tc>
          <w:tcPr>
            <w:tcW w:w="6253" w:type="dxa"/>
          </w:tcPr>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备注</w:t>
            </w:r>
          </w:p>
        </w:tc>
        <w:tc>
          <w:tcPr>
            <w:tcW w:w="6253" w:type="dxa"/>
          </w:tcPr>
          <w:p>
            <w:pPr>
              <w:topLinePunct/>
              <w:spacing w:line="440" w:lineRule="exact"/>
              <w:rPr>
                <w:rFonts w:ascii="Times New Roman" w:hAnsi="Times New Roman" w:eastAsia="宋体" w:cs="Times New Roman"/>
                <w:color w:val="auto"/>
                <w:szCs w:val="21"/>
                <w:highlight w:val="none"/>
              </w:rPr>
            </w:pPr>
          </w:p>
        </w:tc>
      </w:tr>
    </w:tbl>
    <w:p>
      <w:pPr>
        <w:spacing w:line="440" w:lineRule="exact"/>
        <w:rPr>
          <w:rFonts w:ascii="Times New Roman" w:hAnsi="Times New Roman" w:eastAsia="宋体" w:cs="Times New Roman"/>
          <w:color w:val="auto"/>
          <w:szCs w:val="24"/>
          <w:highlight w:val="none"/>
        </w:rPr>
      </w:pPr>
      <w:bookmarkStart w:id="1760" w:name="_Toc247527851"/>
      <w:bookmarkStart w:id="1761" w:name="_Toc144974879"/>
      <w:bookmarkStart w:id="1762" w:name="_Toc152042600"/>
      <w:bookmarkStart w:id="1763" w:name="_Toc247514303"/>
      <w:bookmarkStart w:id="1764" w:name="_Toc152045811"/>
      <w:r>
        <w:rPr>
          <w:rFonts w:hint="eastAsia" w:ascii="Times New Roman" w:hAnsi="Times New Roman" w:eastAsia="宋体" w:cs="Times New Roman"/>
          <w:color w:val="auto"/>
          <w:szCs w:val="24"/>
          <w:highlight w:val="none"/>
        </w:rPr>
        <w:t>附：网络截图、合同协议书、建设单位证明（如有）等相关证明材料原件扫描件</w:t>
      </w:r>
    </w:p>
    <w:p>
      <w:pPr>
        <w:spacing w:line="440" w:lineRule="exact"/>
        <w:rPr>
          <w:rFonts w:ascii="Times New Roman" w:hAnsi="Times New Roman" w:eastAsia="宋体" w:cs="Times New Roman"/>
          <w:color w:val="auto"/>
          <w:szCs w:val="24"/>
          <w:highlight w:val="none"/>
        </w:rPr>
      </w:pP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65" w:name="_Toc216681964"/>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五</w:t>
      </w:r>
      <w:r>
        <w:rPr>
          <w:rFonts w:ascii="黑体" w:hAnsi="宋体" w:eastAsia="黑体" w:cs="Times New Roman"/>
          <w:bCs/>
          <w:color w:val="auto"/>
          <w:sz w:val="28"/>
          <w:szCs w:val="28"/>
          <w:highlight w:val="none"/>
        </w:rPr>
        <w:t>）正在</w:t>
      </w:r>
      <w:r>
        <w:rPr>
          <w:rFonts w:hint="eastAsia" w:ascii="黑体" w:hAnsi="宋体" w:eastAsia="黑体" w:cs="Times New Roman"/>
          <w:bCs/>
          <w:color w:val="auto"/>
          <w:sz w:val="28"/>
          <w:szCs w:val="28"/>
          <w:highlight w:val="none"/>
        </w:rPr>
        <w:t>实施</w:t>
      </w:r>
      <w:r>
        <w:rPr>
          <w:rFonts w:ascii="黑体" w:hAnsi="宋体" w:eastAsia="黑体" w:cs="Times New Roman"/>
          <w:bCs/>
          <w:color w:val="auto"/>
          <w:sz w:val="28"/>
          <w:szCs w:val="28"/>
          <w:highlight w:val="none"/>
        </w:rPr>
        <w:t>的和新承接的项目情况表</w:t>
      </w:r>
      <w:bookmarkEnd w:id="1760"/>
      <w:bookmarkEnd w:id="1761"/>
      <w:bookmarkEnd w:id="1762"/>
      <w:bookmarkEnd w:id="1763"/>
      <w:bookmarkEnd w:id="1764"/>
      <w:bookmarkEnd w:id="1765"/>
    </w:p>
    <w:p>
      <w:pPr>
        <w:spacing w:line="440" w:lineRule="exact"/>
        <w:rPr>
          <w:rFonts w:ascii="Times New Roman" w:hAnsi="Times New Roman" w:eastAsia="黑体" w:cs="Times New Roman"/>
          <w:color w:val="auto"/>
          <w:sz w:val="20"/>
          <w:szCs w:val="20"/>
          <w:highlight w:val="none"/>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项目名称</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项目所在地</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发包人名称</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发包人地址</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发包人电话</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签约合同价</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开工日期</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计划</w:t>
            </w:r>
            <w:r>
              <w:rPr>
                <w:rFonts w:hint="eastAsia" w:ascii="Times New Roman" w:hAnsi="Times New Roman" w:eastAsia="宋体" w:cs="Times New Roman"/>
                <w:color w:val="auto"/>
                <w:szCs w:val="24"/>
                <w:highlight w:val="none"/>
              </w:rPr>
              <w:t>竣工</w:t>
            </w:r>
            <w:r>
              <w:rPr>
                <w:rFonts w:ascii="Times New Roman" w:hAnsi="Times New Roman" w:eastAsia="宋体" w:cs="Times New Roman"/>
                <w:color w:val="auto"/>
                <w:szCs w:val="21"/>
                <w:highlight w:val="none"/>
              </w:rPr>
              <w:t>日期</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承担的工作</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工程质量</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项目经理</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技术负责人</w:t>
            </w:r>
          </w:p>
        </w:tc>
        <w:tc>
          <w:tcPr>
            <w:tcW w:w="6403" w:type="dxa"/>
          </w:tcPr>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项目描述</w:t>
            </w:r>
          </w:p>
        </w:tc>
        <w:tc>
          <w:tcPr>
            <w:tcW w:w="6403" w:type="dxa"/>
          </w:tcPr>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p>
            <w:pPr>
              <w:topLinePunct/>
              <w:spacing w:line="440" w:lineRule="exact"/>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pPr>
              <w:topLinePunct/>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备注</w:t>
            </w:r>
          </w:p>
        </w:tc>
        <w:tc>
          <w:tcPr>
            <w:tcW w:w="6403" w:type="dxa"/>
          </w:tcPr>
          <w:p>
            <w:pPr>
              <w:topLinePunct/>
              <w:spacing w:line="440" w:lineRule="exact"/>
              <w:rPr>
                <w:rFonts w:ascii="Times New Roman" w:hAnsi="Times New Roman" w:eastAsia="宋体" w:cs="Times New Roman"/>
                <w:color w:val="auto"/>
                <w:szCs w:val="21"/>
                <w:highlight w:val="none"/>
              </w:rPr>
            </w:pPr>
          </w:p>
        </w:tc>
      </w:tr>
    </w:tbl>
    <w:p>
      <w:pPr>
        <w:spacing w:line="440" w:lineRule="exact"/>
        <w:rPr>
          <w:rFonts w:ascii="Times New Roman" w:hAnsi="Times New Roman" w:eastAsia="宋体" w:cs="Times New Roman"/>
          <w:color w:val="auto"/>
          <w:szCs w:val="24"/>
          <w:highlight w:val="none"/>
        </w:rPr>
      </w:pPr>
      <w:bookmarkStart w:id="1766" w:name="_Toc144974880"/>
      <w:bookmarkStart w:id="1767" w:name="_Toc247514304"/>
      <w:bookmarkStart w:id="1768" w:name="_Toc152042601"/>
      <w:bookmarkStart w:id="1769" w:name="_Toc247527852"/>
      <w:bookmarkStart w:id="1770" w:name="_Toc152045812"/>
    </w:p>
    <w:p>
      <w:pPr>
        <w:spacing w:line="440" w:lineRule="exact"/>
        <w:rPr>
          <w:rFonts w:ascii="Times New Roman" w:hAnsi="Times New Roman" w:eastAsia="宋体" w:cs="Times New Roman"/>
          <w:color w:val="auto"/>
          <w:szCs w:val="24"/>
          <w:highlight w:val="none"/>
        </w:rPr>
      </w:pP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71" w:name="_Toc216681965"/>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六</w:t>
      </w:r>
      <w:r>
        <w:rPr>
          <w:rFonts w:ascii="黑体" w:hAnsi="宋体" w:eastAsia="黑体" w:cs="Times New Roman"/>
          <w:bCs/>
          <w:color w:val="auto"/>
          <w:sz w:val="28"/>
          <w:szCs w:val="28"/>
          <w:highlight w:val="none"/>
        </w:rPr>
        <w:t>）</w:t>
      </w:r>
      <w:bookmarkEnd w:id="1766"/>
      <w:bookmarkEnd w:id="1767"/>
      <w:bookmarkEnd w:id="1768"/>
      <w:bookmarkEnd w:id="1769"/>
      <w:bookmarkEnd w:id="1770"/>
      <w:r>
        <w:rPr>
          <w:rFonts w:hint="eastAsia" w:ascii="黑体" w:hAnsi="宋体" w:eastAsia="黑体" w:cs="Times New Roman"/>
          <w:bCs/>
          <w:color w:val="auto"/>
          <w:sz w:val="28"/>
          <w:szCs w:val="28"/>
          <w:highlight w:val="none"/>
        </w:rPr>
        <w:t>近年发生的诉讼和仲裁情况</w:t>
      </w:r>
      <w:bookmarkEnd w:id="1771"/>
    </w:p>
    <w:p>
      <w:pPr>
        <w:spacing w:line="44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bookmarkStart w:id="1772" w:name="_Toc247527853"/>
      <w:bookmarkStart w:id="1773" w:name="_Toc144974881"/>
      <w:bookmarkStart w:id="1774" w:name="_Toc152042602"/>
      <w:bookmarkStart w:id="1775" w:name="_Toc247530162"/>
      <w:bookmarkStart w:id="1776" w:name="_Toc247514305"/>
      <w:bookmarkStart w:id="1777" w:name="_Toc152045813"/>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78" w:name="_Toc216681966"/>
      <w:r>
        <w:rPr>
          <w:rFonts w:hint="eastAsia" w:ascii="黑体" w:hAnsi="宋体" w:eastAsia="黑体" w:cs="Times New Roman"/>
          <w:bCs/>
          <w:color w:val="auto"/>
          <w:sz w:val="28"/>
          <w:szCs w:val="28"/>
          <w:highlight w:val="none"/>
        </w:rPr>
        <w:t>（七）</w:t>
      </w:r>
      <w:r>
        <w:rPr>
          <w:rFonts w:ascii="黑体" w:hAnsi="宋体" w:eastAsia="黑体" w:cs="Times New Roman"/>
          <w:bCs/>
          <w:color w:val="auto"/>
          <w:sz w:val="28"/>
          <w:szCs w:val="28"/>
          <w:highlight w:val="none"/>
        </w:rPr>
        <w:t>拟投入本</w:t>
      </w:r>
      <w:r>
        <w:rPr>
          <w:rFonts w:hint="eastAsia" w:ascii="黑体" w:hAnsi="宋体" w:eastAsia="黑体" w:cs="Times New Roman"/>
          <w:bCs/>
          <w:color w:val="auto"/>
          <w:sz w:val="28"/>
          <w:szCs w:val="28"/>
          <w:highlight w:val="none"/>
        </w:rPr>
        <w:t>项目</w:t>
      </w:r>
      <w:r>
        <w:rPr>
          <w:rFonts w:ascii="黑体" w:hAnsi="宋体" w:eastAsia="黑体" w:cs="Times New Roman"/>
          <w:bCs/>
          <w:color w:val="auto"/>
          <w:sz w:val="28"/>
          <w:szCs w:val="28"/>
          <w:highlight w:val="none"/>
        </w:rPr>
        <w:t>的主要施工设备表</w:t>
      </w:r>
      <w:bookmarkEnd w:id="1778"/>
    </w:p>
    <w:p>
      <w:pPr>
        <w:spacing w:line="440" w:lineRule="exact"/>
        <w:rPr>
          <w:rFonts w:ascii="Times New Roman" w:hAnsi="Times New Roman" w:eastAsia="宋体" w:cs="Times New Roman"/>
          <w:color w:val="auto"/>
          <w:sz w:val="20"/>
          <w:szCs w:val="20"/>
          <w:highlight w:val="none"/>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1004"/>
        <w:gridCol w:w="1275"/>
        <w:gridCol w:w="85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序号</w:t>
            </w:r>
          </w:p>
        </w:tc>
        <w:tc>
          <w:tcPr>
            <w:tcW w:w="1086"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设备名称</w:t>
            </w:r>
          </w:p>
        </w:tc>
        <w:tc>
          <w:tcPr>
            <w:tcW w:w="761"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型号</w:t>
            </w: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规格</w:t>
            </w:r>
          </w:p>
        </w:tc>
        <w:tc>
          <w:tcPr>
            <w:tcW w:w="990"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数量</w:t>
            </w:r>
          </w:p>
        </w:tc>
        <w:tc>
          <w:tcPr>
            <w:tcW w:w="672" w:type="dxa"/>
            <w:vAlign w:val="center"/>
          </w:tcPr>
          <w:p>
            <w:pPr>
              <w:spacing w:line="440" w:lineRule="exact"/>
              <w:jc w:val="center"/>
              <w:rPr>
                <w:rFonts w:ascii="Times New Roman" w:hAnsi="Times New Roman" w:eastAsia="宋体" w:cs="Times New Roman"/>
                <w:color w:val="auto"/>
                <w:szCs w:val="21"/>
                <w:highlight w:val="none"/>
              </w:rPr>
            </w:pPr>
            <w:r>
              <w:rPr>
                <w:rFonts w:hint="eastAsia" w:ascii="宋体" w:hAnsi="宋体" w:eastAsia="宋体" w:cs="Times New Roman"/>
                <w:bCs/>
                <w:color w:val="auto"/>
                <w:szCs w:val="21"/>
                <w:highlight w:val="none"/>
              </w:rPr>
              <w:t>目前状况</w:t>
            </w:r>
          </w:p>
        </w:tc>
        <w:tc>
          <w:tcPr>
            <w:tcW w:w="1004" w:type="dxa"/>
            <w:vAlign w:val="center"/>
          </w:tcPr>
          <w:p>
            <w:pPr>
              <w:spacing w:line="440" w:lineRule="exact"/>
              <w:jc w:val="center"/>
              <w:rPr>
                <w:rFonts w:ascii="Times New Roman" w:hAnsi="Times New Roman" w:eastAsia="宋体" w:cs="Times New Roman"/>
                <w:color w:val="auto"/>
                <w:szCs w:val="21"/>
                <w:highlight w:val="none"/>
              </w:rPr>
            </w:pPr>
            <w:r>
              <w:rPr>
                <w:rFonts w:hint="eastAsia" w:ascii="宋体" w:hAnsi="宋体" w:eastAsia="宋体" w:cs="Times New Roman"/>
                <w:bCs/>
                <w:color w:val="auto"/>
                <w:szCs w:val="21"/>
                <w:highlight w:val="none"/>
              </w:rPr>
              <w:t>来  源</w:t>
            </w:r>
          </w:p>
        </w:tc>
        <w:tc>
          <w:tcPr>
            <w:tcW w:w="1275" w:type="dxa"/>
            <w:vAlign w:val="center"/>
          </w:tcPr>
          <w:p>
            <w:pP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现停放地点</w:t>
            </w:r>
          </w:p>
        </w:tc>
        <w:tc>
          <w:tcPr>
            <w:tcW w:w="851"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用于施工部位</w:t>
            </w:r>
          </w:p>
        </w:tc>
        <w:tc>
          <w:tcPr>
            <w:tcW w:w="1134"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pPr>
              <w:spacing w:line="440" w:lineRule="exact"/>
              <w:jc w:val="center"/>
              <w:rPr>
                <w:rFonts w:ascii="Times New Roman" w:hAnsi="Times New Roman" w:eastAsia="宋体" w:cs="Times New Roman"/>
                <w:color w:val="auto"/>
                <w:szCs w:val="21"/>
                <w:highlight w:val="none"/>
              </w:rPr>
            </w:pPr>
          </w:p>
        </w:tc>
        <w:tc>
          <w:tcPr>
            <w:tcW w:w="1086" w:type="dxa"/>
            <w:vAlign w:val="center"/>
          </w:tcPr>
          <w:p>
            <w:pPr>
              <w:spacing w:line="440" w:lineRule="exact"/>
              <w:jc w:val="center"/>
              <w:rPr>
                <w:rFonts w:ascii="Times New Roman" w:hAnsi="Times New Roman" w:eastAsia="宋体" w:cs="Times New Roman"/>
                <w:color w:val="auto"/>
                <w:szCs w:val="21"/>
                <w:highlight w:val="none"/>
              </w:rPr>
            </w:pPr>
          </w:p>
        </w:tc>
        <w:tc>
          <w:tcPr>
            <w:tcW w:w="761" w:type="dxa"/>
            <w:vAlign w:val="center"/>
          </w:tcPr>
          <w:p>
            <w:pPr>
              <w:spacing w:line="440" w:lineRule="exact"/>
              <w:jc w:val="center"/>
              <w:rPr>
                <w:rFonts w:ascii="Times New Roman" w:hAnsi="Times New Roman" w:eastAsia="宋体" w:cs="Times New Roman"/>
                <w:color w:val="auto"/>
                <w:szCs w:val="21"/>
                <w:highlight w:val="none"/>
              </w:rPr>
            </w:pPr>
          </w:p>
        </w:tc>
        <w:tc>
          <w:tcPr>
            <w:tcW w:w="990" w:type="dxa"/>
            <w:vAlign w:val="center"/>
          </w:tcPr>
          <w:p>
            <w:pPr>
              <w:spacing w:line="440" w:lineRule="exact"/>
              <w:jc w:val="center"/>
              <w:rPr>
                <w:rFonts w:ascii="Times New Roman" w:hAnsi="Times New Roman" w:eastAsia="宋体" w:cs="Times New Roman"/>
                <w:color w:val="auto"/>
                <w:szCs w:val="21"/>
                <w:highlight w:val="none"/>
              </w:rPr>
            </w:pPr>
          </w:p>
        </w:tc>
        <w:tc>
          <w:tcPr>
            <w:tcW w:w="672" w:type="dxa"/>
            <w:vAlign w:val="center"/>
          </w:tcPr>
          <w:p>
            <w:pPr>
              <w:spacing w:line="440" w:lineRule="exact"/>
              <w:jc w:val="center"/>
              <w:rPr>
                <w:rFonts w:ascii="Times New Roman" w:hAnsi="Times New Roman" w:eastAsia="宋体" w:cs="Times New Roman"/>
                <w:color w:val="auto"/>
                <w:szCs w:val="21"/>
                <w:highlight w:val="none"/>
              </w:rPr>
            </w:pPr>
          </w:p>
        </w:tc>
        <w:tc>
          <w:tcPr>
            <w:tcW w:w="1004" w:type="dxa"/>
            <w:vAlign w:val="center"/>
          </w:tcPr>
          <w:p>
            <w:pPr>
              <w:spacing w:line="440" w:lineRule="exact"/>
              <w:jc w:val="center"/>
              <w:rPr>
                <w:rFonts w:ascii="Times New Roman" w:hAnsi="Times New Roman" w:eastAsia="宋体" w:cs="Times New Roman"/>
                <w:color w:val="auto"/>
                <w:szCs w:val="21"/>
                <w:highlight w:val="none"/>
              </w:rPr>
            </w:pPr>
          </w:p>
        </w:tc>
        <w:tc>
          <w:tcPr>
            <w:tcW w:w="1275" w:type="dxa"/>
            <w:vAlign w:val="center"/>
          </w:tcPr>
          <w:p>
            <w:pPr>
              <w:spacing w:line="440" w:lineRule="exact"/>
              <w:jc w:val="center"/>
              <w:rPr>
                <w:rFonts w:ascii="Times New Roman" w:hAnsi="Times New Roman" w:eastAsia="宋体" w:cs="Times New Roman"/>
                <w:color w:val="auto"/>
                <w:szCs w:val="21"/>
                <w:highlight w:val="none"/>
              </w:rPr>
            </w:pPr>
          </w:p>
        </w:tc>
        <w:tc>
          <w:tcPr>
            <w:tcW w:w="851" w:type="dxa"/>
            <w:vAlign w:val="center"/>
          </w:tcPr>
          <w:p>
            <w:pPr>
              <w:spacing w:line="440" w:lineRule="exact"/>
              <w:jc w:val="center"/>
              <w:rPr>
                <w:rFonts w:ascii="Times New Roman" w:hAnsi="Times New Roman" w:eastAsia="宋体" w:cs="Times New Roman"/>
                <w:color w:val="auto"/>
                <w:szCs w:val="21"/>
                <w:highlight w:val="none"/>
              </w:rPr>
            </w:pPr>
          </w:p>
        </w:tc>
        <w:tc>
          <w:tcPr>
            <w:tcW w:w="1134" w:type="dxa"/>
            <w:vAlign w:val="center"/>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pPr>
              <w:spacing w:line="440" w:lineRule="exact"/>
              <w:jc w:val="center"/>
              <w:rPr>
                <w:rFonts w:ascii="Times New Roman" w:hAnsi="Times New Roman" w:eastAsia="宋体" w:cs="Times New Roman"/>
                <w:color w:val="auto"/>
                <w:szCs w:val="21"/>
                <w:highlight w:val="none"/>
              </w:rPr>
            </w:pPr>
          </w:p>
        </w:tc>
        <w:tc>
          <w:tcPr>
            <w:tcW w:w="1086" w:type="dxa"/>
            <w:vAlign w:val="center"/>
          </w:tcPr>
          <w:p>
            <w:pPr>
              <w:spacing w:line="440" w:lineRule="exact"/>
              <w:jc w:val="center"/>
              <w:rPr>
                <w:rFonts w:ascii="Times New Roman" w:hAnsi="Times New Roman" w:eastAsia="宋体" w:cs="Times New Roman"/>
                <w:color w:val="auto"/>
                <w:szCs w:val="21"/>
                <w:highlight w:val="none"/>
              </w:rPr>
            </w:pPr>
          </w:p>
        </w:tc>
        <w:tc>
          <w:tcPr>
            <w:tcW w:w="761" w:type="dxa"/>
            <w:vAlign w:val="center"/>
          </w:tcPr>
          <w:p>
            <w:pPr>
              <w:spacing w:line="440" w:lineRule="exact"/>
              <w:jc w:val="center"/>
              <w:rPr>
                <w:rFonts w:ascii="Times New Roman" w:hAnsi="Times New Roman" w:eastAsia="宋体" w:cs="Times New Roman"/>
                <w:color w:val="auto"/>
                <w:szCs w:val="21"/>
                <w:highlight w:val="none"/>
              </w:rPr>
            </w:pPr>
          </w:p>
        </w:tc>
        <w:tc>
          <w:tcPr>
            <w:tcW w:w="990" w:type="dxa"/>
            <w:vAlign w:val="center"/>
          </w:tcPr>
          <w:p>
            <w:pPr>
              <w:spacing w:line="440" w:lineRule="exact"/>
              <w:jc w:val="center"/>
              <w:rPr>
                <w:rFonts w:ascii="Times New Roman" w:hAnsi="Times New Roman" w:eastAsia="宋体" w:cs="Times New Roman"/>
                <w:color w:val="auto"/>
                <w:szCs w:val="21"/>
                <w:highlight w:val="none"/>
              </w:rPr>
            </w:pPr>
          </w:p>
        </w:tc>
        <w:tc>
          <w:tcPr>
            <w:tcW w:w="672" w:type="dxa"/>
            <w:vAlign w:val="center"/>
          </w:tcPr>
          <w:p>
            <w:pPr>
              <w:spacing w:line="440" w:lineRule="exact"/>
              <w:jc w:val="center"/>
              <w:rPr>
                <w:rFonts w:ascii="Times New Roman" w:hAnsi="Times New Roman" w:eastAsia="宋体" w:cs="Times New Roman"/>
                <w:color w:val="auto"/>
                <w:szCs w:val="21"/>
                <w:highlight w:val="none"/>
              </w:rPr>
            </w:pPr>
          </w:p>
        </w:tc>
        <w:tc>
          <w:tcPr>
            <w:tcW w:w="1004" w:type="dxa"/>
            <w:vAlign w:val="center"/>
          </w:tcPr>
          <w:p>
            <w:pPr>
              <w:spacing w:line="440" w:lineRule="exact"/>
              <w:jc w:val="center"/>
              <w:rPr>
                <w:rFonts w:ascii="Times New Roman" w:hAnsi="Times New Roman" w:eastAsia="宋体" w:cs="Times New Roman"/>
                <w:color w:val="auto"/>
                <w:szCs w:val="21"/>
                <w:highlight w:val="none"/>
              </w:rPr>
            </w:pPr>
          </w:p>
        </w:tc>
        <w:tc>
          <w:tcPr>
            <w:tcW w:w="1275" w:type="dxa"/>
            <w:vAlign w:val="center"/>
          </w:tcPr>
          <w:p>
            <w:pPr>
              <w:spacing w:line="440" w:lineRule="exact"/>
              <w:jc w:val="center"/>
              <w:rPr>
                <w:rFonts w:ascii="Times New Roman" w:hAnsi="Times New Roman" w:eastAsia="宋体" w:cs="Times New Roman"/>
                <w:color w:val="auto"/>
                <w:szCs w:val="21"/>
                <w:highlight w:val="none"/>
              </w:rPr>
            </w:pPr>
          </w:p>
        </w:tc>
        <w:tc>
          <w:tcPr>
            <w:tcW w:w="851" w:type="dxa"/>
            <w:vAlign w:val="center"/>
          </w:tcPr>
          <w:p>
            <w:pPr>
              <w:spacing w:line="440" w:lineRule="exact"/>
              <w:jc w:val="center"/>
              <w:rPr>
                <w:rFonts w:ascii="Times New Roman" w:hAnsi="Times New Roman" w:eastAsia="宋体" w:cs="Times New Roman"/>
                <w:color w:val="auto"/>
                <w:szCs w:val="21"/>
                <w:highlight w:val="none"/>
              </w:rPr>
            </w:pPr>
          </w:p>
        </w:tc>
        <w:tc>
          <w:tcPr>
            <w:tcW w:w="1134" w:type="dxa"/>
            <w:vAlign w:val="center"/>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pPr>
              <w:spacing w:line="440" w:lineRule="exact"/>
              <w:jc w:val="center"/>
              <w:rPr>
                <w:rFonts w:ascii="Times New Roman" w:hAnsi="Times New Roman" w:eastAsia="宋体" w:cs="Times New Roman"/>
                <w:color w:val="auto"/>
                <w:szCs w:val="21"/>
                <w:highlight w:val="none"/>
              </w:rPr>
            </w:pPr>
          </w:p>
        </w:tc>
        <w:tc>
          <w:tcPr>
            <w:tcW w:w="1086" w:type="dxa"/>
          </w:tcPr>
          <w:p>
            <w:pPr>
              <w:spacing w:line="440" w:lineRule="exact"/>
              <w:jc w:val="center"/>
              <w:rPr>
                <w:rFonts w:ascii="Times New Roman" w:hAnsi="Times New Roman" w:eastAsia="宋体" w:cs="Times New Roman"/>
                <w:color w:val="auto"/>
                <w:szCs w:val="21"/>
                <w:highlight w:val="none"/>
              </w:rPr>
            </w:pPr>
          </w:p>
        </w:tc>
        <w:tc>
          <w:tcPr>
            <w:tcW w:w="761" w:type="dxa"/>
          </w:tcPr>
          <w:p>
            <w:pPr>
              <w:spacing w:line="440" w:lineRule="exact"/>
              <w:jc w:val="center"/>
              <w:rPr>
                <w:rFonts w:ascii="Times New Roman" w:hAnsi="Times New Roman" w:eastAsia="宋体" w:cs="Times New Roman"/>
                <w:color w:val="auto"/>
                <w:szCs w:val="21"/>
                <w:highlight w:val="none"/>
              </w:rPr>
            </w:pPr>
          </w:p>
        </w:tc>
        <w:tc>
          <w:tcPr>
            <w:tcW w:w="990"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1004" w:type="dxa"/>
          </w:tcPr>
          <w:p>
            <w:pPr>
              <w:spacing w:line="440" w:lineRule="exact"/>
              <w:jc w:val="center"/>
              <w:rPr>
                <w:rFonts w:ascii="Times New Roman" w:hAnsi="Times New Roman" w:eastAsia="宋体" w:cs="Times New Roman"/>
                <w:color w:val="auto"/>
                <w:szCs w:val="21"/>
                <w:highlight w:val="none"/>
              </w:rPr>
            </w:pPr>
          </w:p>
        </w:tc>
        <w:tc>
          <w:tcPr>
            <w:tcW w:w="1275"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134" w:type="dxa"/>
          </w:tcPr>
          <w:p>
            <w:pPr>
              <w:spacing w:line="440" w:lineRule="exact"/>
              <w:jc w:val="center"/>
              <w:rPr>
                <w:rFonts w:ascii="Times New Roman" w:hAnsi="Times New Roman" w:eastAsia="宋体" w:cs="Times New Roman"/>
                <w:color w:val="auto"/>
                <w:szCs w:val="21"/>
                <w:highlight w:val="none"/>
              </w:rPr>
            </w:pPr>
          </w:p>
        </w:tc>
      </w:tr>
    </w:tbl>
    <w:p>
      <w:pPr>
        <w:spacing w:line="440" w:lineRule="exact"/>
        <w:rPr>
          <w:rFonts w:ascii="Times New Roman" w:hAnsi="Times New Roman" w:eastAsia="黑体" w:cs="Times New Roman"/>
          <w:color w:val="auto"/>
          <w:sz w:val="20"/>
          <w:szCs w:val="20"/>
          <w:highlight w:val="none"/>
        </w:rPr>
      </w:pP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br w:type="page"/>
      </w: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79" w:name="_Toc216681967"/>
      <w:bookmarkStart w:id="1780" w:name="_Toc152042587"/>
      <w:bookmarkStart w:id="1781" w:name="_Toc179632818"/>
      <w:bookmarkStart w:id="1782" w:name="_Toc152045798"/>
      <w:bookmarkStart w:id="1783" w:name="_Toc144974866"/>
      <w:r>
        <w:rPr>
          <w:rFonts w:hint="eastAsia" w:ascii="黑体" w:hAnsi="宋体" w:eastAsia="黑体" w:cs="Times New Roman"/>
          <w:bCs/>
          <w:color w:val="auto"/>
          <w:sz w:val="28"/>
          <w:szCs w:val="28"/>
          <w:highlight w:val="none"/>
        </w:rPr>
        <w:t>（八）</w:t>
      </w:r>
      <w:r>
        <w:rPr>
          <w:rFonts w:ascii="黑体" w:hAnsi="宋体" w:eastAsia="黑体" w:cs="Times New Roman"/>
          <w:bCs/>
          <w:color w:val="auto"/>
          <w:sz w:val="28"/>
          <w:szCs w:val="28"/>
          <w:highlight w:val="none"/>
        </w:rPr>
        <w:t>拟配备本</w:t>
      </w:r>
      <w:r>
        <w:rPr>
          <w:rFonts w:hint="eastAsia" w:ascii="黑体" w:hAnsi="宋体" w:eastAsia="黑体" w:cs="Times New Roman"/>
          <w:bCs/>
          <w:color w:val="auto"/>
          <w:sz w:val="28"/>
          <w:szCs w:val="28"/>
          <w:highlight w:val="none"/>
        </w:rPr>
        <w:t>项目</w:t>
      </w:r>
      <w:r>
        <w:rPr>
          <w:rFonts w:ascii="黑体" w:hAnsi="宋体" w:eastAsia="黑体" w:cs="Times New Roman"/>
          <w:bCs/>
          <w:color w:val="auto"/>
          <w:sz w:val="28"/>
          <w:szCs w:val="28"/>
          <w:highlight w:val="none"/>
        </w:rPr>
        <w:t>的试验和检测仪器设备表</w:t>
      </w:r>
      <w:bookmarkEnd w:id="1779"/>
      <w:bookmarkEnd w:id="1780"/>
      <w:bookmarkEnd w:id="1781"/>
      <w:bookmarkEnd w:id="1782"/>
      <w:bookmarkEnd w:id="1783"/>
    </w:p>
    <w:p>
      <w:pPr>
        <w:spacing w:line="440" w:lineRule="exact"/>
        <w:rPr>
          <w:rFonts w:ascii="Times New Roman" w:hAnsi="Times New Roman" w:eastAsia="宋体" w:cs="Times New Roman"/>
          <w:color w:val="auto"/>
          <w:sz w:val="20"/>
          <w:szCs w:val="20"/>
          <w:highlight w:val="none"/>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760"/>
        <w:gridCol w:w="991"/>
        <w:gridCol w:w="672"/>
        <w:gridCol w:w="738"/>
        <w:gridCol w:w="1212"/>
        <w:gridCol w:w="1653"/>
        <w:gridCol w:w="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序号</w:t>
            </w:r>
          </w:p>
        </w:tc>
        <w:tc>
          <w:tcPr>
            <w:tcW w:w="1087"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仪器设备名称</w:t>
            </w:r>
          </w:p>
        </w:tc>
        <w:tc>
          <w:tcPr>
            <w:tcW w:w="760"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型号</w:t>
            </w: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规格</w:t>
            </w:r>
          </w:p>
        </w:tc>
        <w:tc>
          <w:tcPr>
            <w:tcW w:w="991"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数量</w:t>
            </w:r>
          </w:p>
        </w:tc>
        <w:tc>
          <w:tcPr>
            <w:tcW w:w="672"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国别</w:t>
            </w: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产地</w:t>
            </w:r>
          </w:p>
        </w:tc>
        <w:tc>
          <w:tcPr>
            <w:tcW w:w="738"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制造</w:t>
            </w:r>
          </w:p>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年份</w:t>
            </w:r>
          </w:p>
        </w:tc>
        <w:tc>
          <w:tcPr>
            <w:tcW w:w="1212"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已使用台时数</w:t>
            </w:r>
          </w:p>
        </w:tc>
        <w:tc>
          <w:tcPr>
            <w:tcW w:w="1653"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用途</w:t>
            </w:r>
          </w:p>
        </w:tc>
        <w:tc>
          <w:tcPr>
            <w:tcW w:w="688"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pPr>
              <w:spacing w:line="440" w:lineRule="exact"/>
              <w:jc w:val="center"/>
              <w:rPr>
                <w:rFonts w:ascii="Times New Roman" w:hAnsi="Times New Roman" w:eastAsia="宋体" w:cs="Times New Roman"/>
                <w:color w:val="auto"/>
                <w:szCs w:val="21"/>
                <w:highlight w:val="none"/>
              </w:rPr>
            </w:pPr>
          </w:p>
        </w:tc>
        <w:tc>
          <w:tcPr>
            <w:tcW w:w="1087" w:type="dxa"/>
            <w:vAlign w:val="center"/>
          </w:tcPr>
          <w:p>
            <w:pPr>
              <w:spacing w:line="440" w:lineRule="exact"/>
              <w:jc w:val="center"/>
              <w:rPr>
                <w:rFonts w:ascii="Times New Roman" w:hAnsi="Times New Roman" w:eastAsia="宋体" w:cs="Times New Roman"/>
                <w:color w:val="auto"/>
                <w:szCs w:val="21"/>
                <w:highlight w:val="none"/>
              </w:rPr>
            </w:pPr>
          </w:p>
        </w:tc>
        <w:tc>
          <w:tcPr>
            <w:tcW w:w="760" w:type="dxa"/>
            <w:vAlign w:val="center"/>
          </w:tcPr>
          <w:p>
            <w:pPr>
              <w:spacing w:line="440" w:lineRule="exact"/>
              <w:jc w:val="center"/>
              <w:rPr>
                <w:rFonts w:ascii="Times New Roman" w:hAnsi="Times New Roman" w:eastAsia="宋体" w:cs="Times New Roman"/>
                <w:color w:val="auto"/>
                <w:szCs w:val="21"/>
                <w:highlight w:val="none"/>
              </w:rPr>
            </w:pPr>
          </w:p>
        </w:tc>
        <w:tc>
          <w:tcPr>
            <w:tcW w:w="991" w:type="dxa"/>
            <w:vAlign w:val="center"/>
          </w:tcPr>
          <w:p>
            <w:pPr>
              <w:spacing w:line="440" w:lineRule="exact"/>
              <w:jc w:val="center"/>
              <w:rPr>
                <w:rFonts w:ascii="Times New Roman" w:hAnsi="Times New Roman" w:eastAsia="宋体" w:cs="Times New Roman"/>
                <w:color w:val="auto"/>
                <w:szCs w:val="21"/>
                <w:highlight w:val="none"/>
              </w:rPr>
            </w:pPr>
          </w:p>
        </w:tc>
        <w:tc>
          <w:tcPr>
            <w:tcW w:w="672" w:type="dxa"/>
            <w:vAlign w:val="center"/>
          </w:tcPr>
          <w:p>
            <w:pPr>
              <w:spacing w:line="440" w:lineRule="exact"/>
              <w:jc w:val="center"/>
              <w:rPr>
                <w:rFonts w:ascii="Times New Roman" w:hAnsi="Times New Roman" w:eastAsia="宋体" w:cs="Times New Roman"/>
                <w:color w:val="auto"/>
                <w:szCs w:val="21"/>
                <w:highlight w:val="none"/>
              </w:rPr>
            </w:pPr>
          </w:p>
        </w:tc>
        <w:tc>
          <w:tcPr>
            <w:tcW w:w="738" w:type="dxa"/>
            <w:vAlign w:val="center"/>
          </w:tcPr>
          <w:p>
            <w:pPr>
              <w:spacing w:line="440" w:lineRule="exact"/>
              <w:jc w:val="center"/>
              <w:rPr>
                <w:rFonts w:ascii="Times New Roman" w:hAnsi="Times New Roman" w:eastAsia="宋体" w:cs="Times New Roman"/>
                <w:color w:val="auto"/>
                <w:szCs w:val="21"/>
                <w:highlight w:val="none"/>
              </w:rPr>
            </w:pPr>
          </w:p>
        </w:tc>
        <w:tc>
          <w:tcPr>
            <w:tcW w:w="1212" w:type="dxa"/>
            <w:vAlign w:val="center"/>
          </w:tcPr>
          <w:p>
            <w:pPr>
              <w:spacing w:line="440" w:lineRule="exact"/>
              <w:jc w:val="center"/>
              <w:rPr>
                <w:rFonts w:ascii="Times New Roman" w:hAnsi="Times New Roman" w:eastAsia="宋体" w:cs="Times New Roman"/>
                <w:color w:val="auto"/>
                <w:szCs w:val="21"/>
                <w:highlight w:val="none"/>
              </w:rPr>
            </w:pPr>
          </w:p>
        </w:tc>
        <w:tc>
          <w:tcPr>
            <w:tcW w:w="1653" w:type="dxa"/>
            <w:vAlign w:val="center"/>
          </w:tcPr>
          <w:p>
            <w:pPr>
              <w:spacing w:line="440" w:lineRule="exact"/>
              <w:jc w:val="center"/>
              <w:rPr>
                <w:rFonts w:ascii="Times New Roman" w:hAnsi="Times New Roman" w:eastAsia="宋体" w:cs="Times New Roman"/>
                <w:color w:val="auto"/>
                <w:szCs w:val="21"/>
                <w:highlight w:val="none"/>
              </w:rPr>
            </w:pPr>
          </w:p>
        </w:tc>
        <w:tc>
          <w:tcPr>
            <w:tcW w:w="688" w:type="dxa"/>
            <w:vAlign w:val="center"/>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pPr>
              <w:spacing w:line="440" w:lineRule="exact"/>
              <w:jc w:val="center"/>
              <w:rPr>
                <w:rFonts w:ascii="Times New Roman" w:hAnsi="Times New Roman" w:eastAsia="宋体" w:cs="Times New Roman"/>
                <w:color w:val="auto"/>
                <w:szCs w:val="21"/>
                <w:highlight w:val="none"/>
              </w:rPr>
            </w:pPr>
          </w:p>
        </w:tc>
        <w:tc>
          <w:tcPr>
            <w:tcW w:w="1087" w:type="dxa"/>
            <w:vAlign w:val="center"/>
          </w:tcPr>
          <w:p>
            <w:pPr>
              <w:spacing w:line="440" w:lineRule="exact"/>
              <w:jc w:val="center"/>
              <w:rPr>
                <w:rFonts w:ascii="Times New Roman" w:hAnsi="Times New Roman" w:eastAsia="宋体" w:cs="Times New Roman"/>
                <w:color w:val="auto"/>
                <w:szCs w:val="21"/>
                <w:highlight w:val="none"/>
              </w:rPr>
            </w:pPr>
          </w:p>
        </w:tc>
        <w:tc>
          <w:tcPr>
            <w:tcW w:w="760" w:type="dxa"/>
            <w:vAlign w:val="center"/>
          </w:tcPr>
          <w:p>
            <w:pPr>
              <w:spacing w:line="440" w:lineRule="exact"/>
              <w:jc w:val="center"/>
              <w:rPr>
                <w:rFonts w:ascii="Times New Roman" w:hAnsi="Times New Roman" w:eastAsia="宋体" w:cs="Times New Roman"/>
                <w:color w:val="auto"/>
                <w:szCs w:val="21"/>
                <w:highlight w:val="none"/>
              </w:rPr>
            </w:pPr>
          </w:p>
        </w:tc>
        <w:tc>
          <w:tcPr>
            <w:tcW w:w="991" w:type="dxa"/>
            <w:vAlign w:val="center"/>
          </w:tcPr>
          <w:p>
            <w:pPr>
              <w:spacing w:line="440" w:lineRule="exact"/>
              <w:jc w:val="center"/>
              <w:rPr>
                <w:rFonts w:ascii="Times New Roman" w:hAnsi="Times New Roman" w:eastAsia="宋体" w:cs="Times New Roman"/>
                <w:color w:val="auto"/>
                <w:szCs w:val="21"/>
                <w:highlight w:val="none"/>
              </w:rPr>
            </w:pPr>
          </w:p>
        </w:tc>
        <w:tc>
          <w:tcPr>
            <w:tcW w:w="672" w:type="dxa"/>
            <w:vAlign w:val="center"/>
          </w:tcPr>
          <w:p>
            <w:pPr>
              <w:spacing w:line="440" w:lineRule="exact"/>
              <w:jc w:val="center"/>
              <w:rPr>
                <w:rFonts w:ascii="Times New Roman" w:hAnsi="Times New Roman" w:eastAsia="宋体" w:cs="Times New Roman"/>
                <w:color w:val="auto"/>
                <w:szCs w:val="21"/>
                <w:highlight w:val="none"/>
              </w:rPr>
            </w:pPr>
          </w:p>
        </w:tc>
        <w:tc>
          <w:tcPr>
            <w:tcW w:w="738" w:type="dxa"/>
            <w:vAlign w:val="center"/>
          </w:tcPr>
          <w:p>
            <w:pPr>
              <w:spacing w:line="440" w:lineRule="exact"/>
              <w:jc w:val="center"/>
              <w:rPr>
                <w:rFonts w:ascii="Times New Roman" w:hAnsi="Times New Roman" w:eastAsia="宋体" w:cs="Times New Roman"/>
                <w:color w:val="auto"/>
                <w:szCs w:val="21"/>
                <w:highlight w:val="none"/>
              </w:rPr>
            </w:pPr>
          </w:p>
        </w:tc>
        <w:tc>
          <w:tcPr>
            <w:tcW w:w="1212" w:type="dxa"/>
            <w:vAlign w:val="center"/>
          </w:tcPr>
          <w:p>
            <w:pPr>
              <w:spacing w:line="440" w:lineRule="exact"/>
              <w:jc w:val="center"/>
              <w:rPr>
                <w:rFonts w:ascii="Times New Roman" w:hAnsi="Times New Roman" w:eastAsia="宋体" w:cs="Times New Roman"/>
                <w:color w:val="auto"/>
                <w:szCs w:val="21"/>
                <w:highlight w:val="none"/>
              </w:rPr>
            </w:pPr>
          </w:p>
        </w:tc>
        <w:tc>
          <w:tcPr>
            <w:tcW w:w="1653" w:type="dxa"/>
            <w:vAlign w:val="center"/>
          </w:tcPr>
          <w:p>
            <w:pPr>
              <w:spacing w:line="440" w:lineRule="exact"/>
              <w:jc w:val="center"/>
              <w:rPr>
                <w:rFonts w:ascii="Times New Roman" w:hAnsi="Times New Roman" w:eastAsia="宋体" w:cs="Times New Roman"/>
                <w:color w:val="auto"/>
                <w:szCs w:val="21"/>
                <w:highlight w:val="none"/>
              </w:rPr>
            </w:pPr>
          </w:p>
        </w:tc>
        <w:tc>
          <w:tcPr>
            <w:tcW w:w="688" w:type="dxa"/>
            <w:vAlign w:val="center"/>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Times New Roman" w:hAnsi="Times New Roman" w:eastAsia="宋体" w:cs="Times New Roman"/>
                <w:color w:val="auto"/>
                <w:szCs w:val="21"/>
                <w:highlight w:val="none"/>
              </w:rPr>
            </w:pPr>
          </w:p>
        </w:tc>
        <w:tc>
          <w:tcPr>
            <w:tcW w:w="1087" w:type="dxa"/>
          </w:tcPr>
          <w:p>
            <w:pPr>
              <w:spacing w:line="440" w:lineRule="exact"/>
              <w:jc w:val="center"/>
              <w:rPr>
                <w:rFonts w:ascii="Times New Roman" w:hAnsi="Times New Roman" w:eastAsia="宋体" w:cs="Times New Roman"/>
                <w:color w:val="auto"/>
                <w:szCs w:val="21"/>
                <w:highlight w:val="none"/>
              </w:rPr>
            </w:pPr>
          </w:p>
        </w:tc>
        <w:tc>
          <w:tcPr>
            <w:tcW w:w="760" w:type="dxa"/>
          </w:tcPr>
          <w:p>
            <w:pPr>
              <w:spacing w:line="440" w:lineRule="exact"/>
              <w:jc w:val="center"/>
              <w:rPr>
                <w:rFonts w:ascii="Times New Roman" w:hAnsi="Times New Roman" w:eastAsia="宋体" w:cs="Times New Roman"/>
                <w:color w:val="auto"/>
                <w:szCs w:val="21"/>
                <w:highlight w:val="none"/>
              </w:rPr>
            </w:pPr>
          </w:p>
        </w:tc>
        <w:tc>
          <w:tcPr>
            <w:tcW w:w="991"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c>
          <w:tcPr>
            <w:tcW w:w="738" w:type="dxa"/>
          </w:tcPr>
          <w:p>
            <w:pPr>
              <w:spacing w:line="440" w:lineRule="exact"/>
              <w:jc w:val="center"/>
              <w:rPr>
                <w:rFonts w:ascii="Times New Roman" w:hAnsi="Times New Roman" w:eastAsia="宋体" w:cs="Times New Roman"/>
                <w:color w:val="auto"/>
                <w:szCs w:val="21"/>
                <w:highlight w:val="none"/>
              </w:rPr>
            </w:pPr>
          </w:p>
        </w:tc>
        <w:tc>
          <w:tcPr>
            <w:tcW w:w="1212" w:type="dxa"/>
          </w:tcPr>
          <w:p>
            <w:pPr>
              <w:spacing w:line="440" w:lineRule="exact"/>
              <w:jc w:val="center"/>
              <w:rPr>
                <w:rFonts w:ascii="Times New Roman" w:hAnsi="Times New Roman" w:eastAsia="宋体" w:cs="Times New Roman"/>
                <w:color w:val="auto"/>
                <w:szCs w:val="21"/>
                <w:highlight w:val="none"/>
              </w:rPr>
            </w:pPr>
          </w:p>
        </w:tc>
        <w:tc>
          <w:tcPr>
            <w:tcW w:w="1653" w:type="dxa"/>
          </w:tcPr>
          <w:p>
            <w:pPr>
              <w:spacing w:line="440" w:lineRule="exact"/>
              <w:jc w:val="center"/>
              <w:rPr>
                <w:rFonts w:ascii="Times New Roman" w:hAnsi="Times New Roman" w:eastAsia="宋体" w:cs="Times New Roman"/>
                <w:color w:val="auto"/>
                <w:szCs w:val="21"/>
                <w:highlight w:val="none"/>
              </w:rPr>
            </w:pPr>
          </w:p>
        </w:tc>
        <w:tc>
          <w:tcPr>
            <w:tcW w:w="688" w:type="dxa"/>
          </w:tcPr>
          <w:p>
            <w:pPr>
              <w:spacing w:line="440" w:lineRule="exact"/>
              <w:jc w:val="center"/>
              <w:rPr>
                <w:rFonts w:ascii="Times New Roman" w:hAnsi="Times New Roman" w:eastAsia="宋体" w:cs="Times New Roman"/>
                <w:color w:val="auto"/>
                <w:szCs w:val="21"/>
                <w:highlight w:val="none"/>
              </w:rPr>
            </w:pPr>
          </w:p>
        </w:tc>
      </w:tr>
    </w:tbl>
    <w:p>
      <w:pPr>
        <w:spacing w:line="440" w:lineRule="exact"/>
        <w:jc w:val="center"/>
        <w:rPr>
          <w:rFonts w:ascii="Times New Roman" w:hAnsi="Times New Roman" w:eastAsia="宋体" w:cs="Times New Roman"/>
          <w:color w:val="auto"/>
          <w:szCs w:val="24"/>
          <w:highlight w:val="none"/>
        </w:rPr>
      </w:pPr>
      <w:bookmarkStart w:id="1784" w:name="_Toc144974872"/>
      <w:bookmarkStart w:id="1785" w:name="_Toc179632824"/>
      <w:bookmarkStart w:id="1786" w:name="_Toc152042593"/>
      <w:bookmarkStart w:id="1787" w:name="_Toc152045804"/>
    </w:p>
    <w:p>
      <w:pPr>
        <w:spacing w:line="440" w:lineRule="exact"/>
        <w:rPr>
          <w:rFonts w:ascii="Times New Roman" w:hAnsi="Times New Roman" w:eastAsia="宋体" w:cs="Times New Roman"/>
          <w:color w:val="auto"/>
          <w:szCs w:val="24"/>
          <w:highlight w:val="none"/>
        </w:rPr>
      </w:pPr>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88" w:name="_Toc216681968"/>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九</w:t>
      </w:r>
      <w:r>
        <w:rPr>
          <w:rFonts w:ascii="黑体" w:hAnsi="宋体" w:eastAsia="黑体" w:cs="Times New Roman"/>
          <w:bCs/>
          <w:color w:val="auto"/>
          <w:sz w:val="28"/>
          <w:szCs w:val="28"/>
          <w:highlight w:val="none"/>
        </w:rPr>
        <w:t>）项目管理机构组成表</w:t>
      </w:r>
      <w:bookmarkEnd w:id="1784"/>
      <w:bookmarkEnd w:id="1785"/>
      <w:bookmarkEnd w:id="1786"/>
      <w:bookmarkEnd w:id="1787"/>
      <w:bookmarkEnd w:id="1788"/>
    </w:p>
    <w:p>
      <w:pPr>
        <w:spacing w:line="440" w:lineRule="exact"/>
        <w:jc w:val="center"/>
        <w:rPr>
          <w:rFonts w:ascii="Times New Roman" w:hAnsi="Times New Roman" w:eastAsia="黑体" w:cs="Times New Roman"/>
          <w:color w:val="auto"/>
          <w:sz w:val="23"/>
          <w:szCs w:val="23"/>
          <w:highlight w:val="none"/>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423"/>
        <w:gridCol w:w="851"/>
        <w:gridCol w:w="1701"/>
        <w:gridCol w:w="1788"/>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Merge w:val="restart"/>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职务</w:t>
            </w:r>
          </w:p>
        </w:tc>
        <w:tc>
          <w:tcPr>
            <w:tcW w:w="721" w:type="dxa"/>
            <w:vMerge w:val="restart"/>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姓名</w:t>
            </w:r>
          </w:p>
        </w:tc>
        <w:tc>
          <w:tcPr>
            <w:tcW w:w="719" w:type="dxa"/>
            <w:vMerge w:val="restart"/>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职称</w:t>
            </w:r>
          </w:p>
        </w:tc>
        <w:tc>
          <w:tcPr>
            <w:tcW w:w="5763" w:type="dxa"/>
            <w:gridSpan w:val="4"/>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执业或职业资格证明</w:t>
            </w:r>
          </w:p>
        </w:tc>
        <w:tc>
          <w:tcPr>
            <w:tcW w:w="672"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Merge w:val="continue"/>
            <w:vAlign w:val="center"/>
          </w:tcPr>
          <w:p>
            <w:pPr>
              <w:spacing w:line="440" w:lineRule="exact"/>
              <w:jc w:val="center"/>
              <w:rPr>
                <w:rFonts w:ascii="Times New Roman" w:hAnsi="Times New Roman" w:eastAsia="宋体" w:cs="Times New Roman"/>
                <w:color w:val="auto"/>
                <w:szCs w:val="21"/>
                <w:highlight w:val="none"/>
              </w:rPr>
            </w:pPr>
          </w:p>
        </w:tc>
        <w:tc>
          <w:tcPr>
            <w:tcW w:w="721" w:type="dxa"/>
            <w:vMerge w:val="continue"/>
            <w:vAlign w:val="center"/>
          </w:tcPr>
          <w:p>
            <w:pPr>
              <w:spacing w:line="440" w:lineRule="exact"/>
              <w:jc w:val="center"/>
              <w:rPr>
                <w:rFonts w:ascii="Times New Roman" w:hAnsi="Times New Roman" w:eastAsia="宋体" w:cs="Times New Roman"/>
                <w:color w:val="auto"/>
                <w:szCs w:val="21"/>
                <w:highlight w:val="none"/>
              </w:rPr>
            </w:pPr>
          </w:p>
        </w:tc>
        <w:tc>
          <w:tcPr>
            <w:tcW w:w="719" w:type="dxa"/>
            <w:vMerge w:val="continue"/>
            <w:vAlign w:val="center"/>
          </w:tcPr>
          <w:p>
            <w:pPr>
              <w:spacing w:line="440" w:lineRule="exact"/>
              <w:jc w:val="center"/>
              <w:rPr>
                <w:rFonts w:ascii="Times New Roman" w:hAnsi="Times New Roman" w:eastAsia="宋体" w:cs="Times New Roman"/>
                <w:color w:val="auto"/>
                <w:szCs w:val="21"/>
                <w:highlight w:val="none"/>
              </w:rPr>
            </w:pPr>
          </w:p>
        </w:tc>
        <w:tc>
          <w:tcPr>
            <w:tcW w:w="1423"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证书名称</w:t>
            </w:r>
          </w:p>
        </w:tc>
        <w:tc>
          <w:tcPr>
            <w:tcW w:w="851"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级别</w:t>
            </w:r>
          </w:p>
        </w:tc>
        <w:tc>
          <w:tcPr>
            <w:tcW w:w="1701"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证号</w:t>
            </w:r>
          </w:p>
        </w:tc>
        <w:tc>
          <w:tcPr>
            <w:tcW w:w="1788" w:type="dxa"/>
            <w:vAlign w:val="center"/>
          </w:tcPr>
          <w:p>
            <w:pPr>
              <w:spacing w:line="44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专业</w:t>
            </w:r>
          </w:p>
        </w:tc>
        <w:tc>
          <w:tcPr>
            <w:tcW w:w="672" w:type="dxa"/>
            <w:vAlign w:val="center"/>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Align w:val="center"/>
          </w:tcPr>
          <w:p>
            <w:pPr>
              <w:spacing w:line="440" w:lineRule="exact"/>
              <w:jc w:val="center"/>
              <w:rPr>
                <w:rFonts w:ascii="Times New Roman" w:hAnsi="Times New Roman" w:eastAsia="宋体" w:cs="Times New Roman"/>
                <w:color w:val="auto"/>
                <w:szCs w:val="21"/>
                <w:highlight w:val="none"/>
              </w:rPr>
            </w:pPr>
          </w:p>
        </w:tc>
        <w:tc>
          <w:tcPr>
            <w:tcW w:w="721" w:type="dxa"/>
            <w:vAlign w:val="center"/>
          </w:tcPr>
          <w:p>
            <w:pPr>
              <w:spacing w:line="440" w:lineRule="exact"/>
              <w:jc w:val="center"/>
              <w:rPr>
                <w:rFonts w:ascii="Times New Roman" w:hAnsi="Times New Roman" w:eastAsia="宋体" w:cs="Times New Roman"/>
                <w:color w:val="auto"/>
                <w:szCs w:val="21"/>
                <w:highlight w:val="none"/>
              </w:rPr>
            </w:pPr>
          </w:p>
        </w:tc>
        <w:tc>
          <w:tcPr>
            <w:tcW w:w="719" w:type="dxa"/>
            <w:vAlign w:val="center"/>
          </w:tcPr>
          <w:p>
            <w:pPr>
              <w:spacing w:line="440" w:lineRule="exact"/>
              <w:jc w:val="center"/>
              <w:rPr>
                <w:rFonts w:ascii="Times New Roman" w:hAnsi="Times New Roman" w:eastAsia="宋体" w:cs="Times New Roman"/>
                <w:color w:val="auto"/>
                <w:szCs w:val="21"/>
                <w:highlight w:val="none"/>
              </w:rPr>
            </w:pPr>
          </w:p>
        </w:tc>
        <w:tc>
          <w:tcPr>
            <w:tcW w:w="1423" w:type="dxa"/>
            <w:vAlign w:val="center"/>
          </w:tcPr>
          <w:p>
            <w:pPr>
              <w:spacing w:line="440" w:lineRule="exact"/>
              <w:jc w:val="center"/>
              <w:rPr>
                <w:rFonts w:ascii="Times New Roman" w:hAnsi="Times New Roman" w:eastAsia="宋体" w:cs="Times New Roman"/>
                <w:color w:val="auto"/>
                <w:szCs w:val="21"/>
                <w:highlight w:val="none"/>
              </w:rPr>
            </w:pPr>
          </w:p>
        </w:tc>
        <w:tc>
          <w:tcPr>
            <w:tcW w:w="851" w:type="dxa"/>
            <w:vAlign w:val="center"/>
          </w:tcPr>
          <w:p>
            <w:pPr>
              <w:spacing w:line="440" w:lineRule="exact"/>
              <w:jc w:val="center"/>
              <w:rPr>
                <w:rFonts w:ascii="Times New Roman" w:hAnsi="Times New Roman" w:eastAsia="宋体" w:cs="Times New Roman"/>
                <w:color w:val="auto"/>
                <w:szCs w:val="21"/>
                <w:highlight w:val="none"/>
              </w:rPr>
            </w:pPr>
          </w:p>
        </w:tc>
        <w:tc>
          <w:tcPr>
            <w:tcW w:w="1701" w:type="dxa"/>
            <w:vAlign w:val="center"/>
          </w:tcPr>
          <w:p>
            <w:pPr>
              <w:spacing w:line="440" w:lineRule="exact"/>
              <w:jc w:val="center"/>
              <w:rPr>
                <w:rFonts w:ascii="Times New Roman" w:hAnsi="Times New Roman" w:eastAsia="宋体" w:cs="Times New Roman"/>
                <w:color w:val="auto"/>
                <w:szCs w:val="21"/>
                <w:highlight w:val="none"/>
              </w:rPr>
            </w:pPr>
          </w:p>
        </w:tc>
        <w:tc>
          <w:tcPr>
            <w:tcW w:w="1788" w:type="dxa"/>
            <w:vAlign w:val="center"/>
          </w:tcPr>
          <w:p>
            <w:pPr>
              <w:spacing w:line="440" w:lineRule="exact"/>
              <w:jc w:val="center"/>
              <w:rPr>
                <w:rFonts w:ascii="Times New Roman" w:hAnsi="Times New Roman" w:eastAsia="宋体" w:cs="Times New Roman"/>
                <w:color w:val="auto"/>
                <w:szCs w:val="21"/>
                <w:highlight w:val="none"/>
              </w:rPr>
            </w:pPr>
          </w:p>
        </w:tc>
        <w:tc>
          <w:tcPr>
            <w:tcW w:w="672" w:type="dxa"/>
            <w:vAlign w:val="center"/>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Times New Roman" w:hAnsi="Times New Roman" w:eastAsia="宋体" w:cs="Times New Roman"/>
                <w:color w:val="auto"/>
                <w:szCs w:val="21"/>
                <w:highlight w:val="none"/>
              </w:rPr>
            </w:pPr>
          </w:p>
        </w:tc>
        <w:tc>
          <w:tcPr>
            <w:tcW w:w="721" w:type="dxa"/>
          </w:tcPr>
          <w:p>
            <w:pPr>
              <w:spacing w:line="440" w:lineRule="exact"/>
              <w:jc w:val="center"/>
              <w:rPr>
                <w:rFonts w:ascii="Times New Roman" w:hAnsi="Times New Roman" w:eastAsia="宋体" w:cs="Times New Roman"/>
                <w:color w:val="auto"/>
                <w:szCs w:val="21"/>
                <w:highlight w:val="none"/>
              </w:rPr>
            </w:pPr>
          </w:p>
        </w:tc>
        <w:tc>
          <w:tcPr>
            <w:tcW w:w="719" w:type="dxa"/>
          </w:tcPr>
          <w:p>
            <w:pPr>
              <w:spacing w:line="440" w:lineRule="exact"/>
              <w:jc w:val="center"/>
              <w:rPr>
                <w:rFonts w:ascii="Times New Roman" w:hAnsi="Times New Roman" w:eastAsia="宋体" w:cs="Times New Roman"/>
                <w:color w:val="auto"/>
                <w:szCs w:val="21"/>
                <w:highlight w:val="none"/>
              </w:rPr>
            </w:pPr>
          </w:p>
        </w:tc>
        <w:tc>
          <w:tcPr>
            <w:tcW w:w="1423" w:type="dxa"/>
          </w:tcPr>
          <w:p>
            <w:pPr>
              <w:spacing w:line="440" w:lineRule="exact"/>
              <w:jc w:val="center"/>
              <w:rPr>
                <w:rFonts w:ascii="Times New Roman" w:hAnsi="Times New Roman" w:eastAsia="宋体" w:cs="Times New Roman"/>
                <w:color w:val="auto"/>
                <w:szCs w:val="21"/>
                <w:highlight w:val="none"/>
              </w:rPr>
            </w:pPr>
          </w:p>
        </w:tc>
        <w:tc>
          <w:tcPr>
            <w:tcW w:w="851" w:type="dxa"/>
          </w:tcPr>
          <w:p>
            <w:pPr>
              <w:spacing w:line="440" w:lineRule="exact"/>
              <w:jc w:val="center"/>
              <w:rPr>
                <w:rFonts w:ascii="Times New Roman" w:hAnsi="Times New Roman" w:eastAsia="宋体" w:cs="Times New Roman"/>
                <w:color w:val="auto"/>
                <w:szCs w:val="21"/>
                <w:highlight w:val="none"/>
              </w:rPr>
            </w:pPr>
          </w:p>
        </w:tc>
        <w:tc>
          <w:tcPr>
            <w:tcW w:w="1701" w:type="dxa"/>
          </w:tcPr>
          <w:p>
            <w:pPr>
              <w:spacing w:line="440" w:lineRule="exact"/>
              <w:jc w:val="center"/>
              <w:rPr>
                <w:rFonts w:ascii="Times New Roman" w:hAnsi="Times New Roman" w:eastAsia="宋体" w:cs="Times New Roman"/>
                <w:color w:val="auto"/>
                <w:szCs w:val="21"/>
                <w:highlight w:val="none"/>
              </w:rPr>
            </w:pPr>
          </w:p>
        </w:tc>
        <w:tc>
          <w:tcPr>
            <w:tcW w:w="1788" w:type="dxa"/>
          </w:tcPr>
          <w:p>
            <w:pPr>
              <w:spacing w:line="440" w:lineRule="exact"/>
              <w:jc w:val="center"/>
              <w:rPr>
                <w:rFonts w:ascii="Times New Roman" w:hAnsi="Times New Roman" w:eastAsia="宋体" w:cs="Times New Roman"/>
                <w:color w:val="auto"/>
                <w:szCs w:val="21"/>
                <w:highlight w:val="none"/>
              </w:rPr>
            </w:pPr>
          </w:p>
        </w:tc>
        <w:tc>
          <w:tcPr>
            <w:tcW w:w="672" w:type="dxa"/>
          </w:tcPr>
          <w:p>
            <w:pPr>
              <w:spacing w:line="440" w:lineRule="exact"/>
              <w:jc w:val="center"/>
              <w:rPr>
                <w:rFonts w:ascii="Times New Roman" w:hAnsi="Times New Roman" w:eastAsia="宋体" w:cs="Times New Roman"/>
                <w:color w:val="auto"/>
                <w:szCs w:val="21"/>
                <w:highlight w:val="none"/>
              </w:rPr>
            </w:pPr>
          </w:p>
        </w:tc>
      </w:tr>
    </w:tbl>
    <w:p>
      <w:pPr>
        <w:keepNext/>
        <w:keepLines/>
        <w:spacing w:before="260" w:after="260" w:line="415" w:lineRule="auto"/>
        <w:outlineLvl w:val="2"/>
        <w:rPr>
          <w:rFonts w:ascii="黑体" w:hAnsi="宋体" w:eastAsia="黑体" w:cs="Times New Roman"/>
          <w:bCs/>
          <w:color w:val="auto"/>
          <w:sz w:val="28"/>
          <w:szCs w:val="28"/>
          <w:highlight w:val="none"/>
        </w:rPr>
      </w:pPr>
      <w:bookmarkStart w:id="1789" w:name="_Toc152045805"/>
      <w:bookmarkStart w:id="1790" w:name="_Toc144974873"/>
      <w:bookmarkStart w:id="1791" w:name="_Toc179632825"/>
      <w:bookmarkStart w:id="1792" w:name="_Toc152042594"/>
    </w:p>
    <w:p>
      <w:pPr>
        <w:keepNext/>
        <w:keepLines/>
        <w:spacing w:before="260" w:after="260" w:line="415" w:lineRule="auto"/>
        <w:outlineLvl w:val="2"/>
        <w:rPr>
          <w:rFonts w:ascii="黑体" w:hAnsi="宋体" w:eastAsia="黑体" w:cs="Times New Roman"/>
          <w:bCs/>
          <w:color w:val="auto"/>
          <w:sz w:val="28"/>
          <w:szCs w:val="28"/>
          <w:highlight w:val="none"/>
        </w:rPr>
      </w:pPr>
      <w:bookmarkStart w:id="1793" w:name="_Toc216681969"/>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十</w:t>
      </w:r>
      <w:r>
        <w:rPr>
          <w:rFonts w:ascii="黑体" w:hAnsi="宋体" w:eastAsia="黑体" w:cs="Times New Roman"/>
          <w:bCs/>
          <w:color w:val="auto"/>
          <w:sz w:val="28"/>
          <w:szCs w:val="28"/>
          <w:highlight w:val="none"/>
        </w:rPr>
        <w:t>）主要人员简历表</w:t>
      </w:r>
      <w:bookmarkEnd w:id="1789"/>
      <w:bookmarkEnd w:id="1790"/>
      <w:bookmarkEnd w:id="1791"/>
      <w:bookmarkEnd w:id="1792"/>
      <w:bookmarkEnd w:id="1793"/>
    </w:p>
    <w:bookmarkEnd w:id="1772"/>
    <w:bookmarkEnd w:id="1773"/>
    <w:bookmarkEnd w:id="1774"/>
    <w:bookmarkEnd w:id="1775"/>
    <w:bookmarkEnd w:id="1776"/>
    <w:bookmarkEnd w:id="1777"/>
    <w:p>
      <w:pPr>
        <w:ind w:firstLine="3360" w:firstLineChars="140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（1）项目经理简历表</w:t>
      </w:r>
    </w:p>
    <w:p>
      <w:pPr>
        <w:spacing w:after="156" w:afterLines="50"/>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   </w:t>
      </w:r>
      <w:r>
        <w:rPr>
          <w:rFonts w:hint="eastAsia" w:ascii="宋体" w:hAnsi="宋体" w:eastAsia="宋体" w:cs="Times New Roman"/>
          <w:bCs/>
          <w:color w:val="auto"/>
          <w:szCs w:val="20"/>
          <w:highlight w:val="none"/>
        </w:rPr>
        <w:t xml:space="preserve"> </w:t>
      </w:r>
    </w:p>
    <w:tbl>
      <w:tblPr>
        <w:tblStyle w:val="4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1218"/>
        <w:gridCol w:w="1092"/>
        <w:gridCol w:w="658"/>
        <w:gridCol w:w="854"/>
        <w:gridCol w:w="1245"/>
        <w:gridCol w:w="490"/>
        <w:gridCol w:w="203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130"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姓  名</w:t>
            </w:r>
          </w:p>
        </w:tc>
        <w:tc>
          <w:tcPr>
            <w:tcW w:w="1218" w:type="dxa"/>
            <w:vAlign w:val="center"/>
          </w:tcPr>
          <w:p>
            <w:pPr>
              <w:jc w:val="center"/>
              <w:rPr>
                <w:rFonts w:ascii="宋体" w:hAnsi="宋体" w:eastAsia="宋体" w:cs="Times New Roman"/>
                <w:color w:val="auto"/>
                <w:szCs w:val="20"/>
                <w:highlight w:val="none"/>
              </w:rPr>
            </w:pPr>
          </w:p>
        </w:tc>
        <w:tc>
          <w:tcPr>
            <w:tcW w:w="1092"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年  龄</w:t>
            </w:r>
          </w:p>
        </w:tc>
        <w:tc>
          <w:tcPr>
            <w:tcW w:w="1512" w:type="dxa"/>
            <w:gridSpan w:val="2"/>
            <w:vAlign w:val="center"/>
          </w:tcPr>
          <w:p>
            <w:pPr>
              <w:jc w:val="center"/>
              <w:rPr>
                <w:rFonts w:ascii="宋体" w:hAnsi="宋体" w:eastAsia="宋体" w:cs="Times New Roman"/>
                <w:color w:val="auto"/>
                <w:szCs w:val="20"/>
                <w:highlight w:val="none"/>
              </w:rPr>
            </w:pPr>
          </w:p>
        </w:tc>
        <w:tc>
          <w:tcPr>
            <w:tcW w:w="1735" w:type="dxa"/>
            <w:gridSpan w:val="2"/>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学  历</w:t>
            </w:r>
          </w:p>
        </w:tc>
        <w:tc>
          <w:tcPr>
            <w:tcW w:w="2033" w:type="dxa"/>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130"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职  称</w:t>
            </w:r>
          </w:p>
        </w:tc>
        <w:tc>
          <w:tcPr>
            <w:tcW w:w="1218" w:type="dxa"/>
            <w:vAlign w:val="center"/>
          </w:tcPr>
          <w:p>
            <w:pPr>
              <w:jc w:val="center"/>
              <w:rPr>
                <w:rFonts w:ascii="宋体" w:hAnsi="宋体" w:eastAsia="宋体" w:cs="Times New Roman"/>
                <w:color w:val="auto"/>
                <w:szCs w:val="20"/>
                <w:highlight w:val="none"/>
              </w:rPr>
            </w:pPr>
          </w:p>
        </w:tc>
        <w:tc>
          <w:tcPr>
            <w:tcW w:w="1092"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职  务</w:t>
            </w:r>
          </w:p>
        </w:tc>
        <w:tc>
          <w:tcPr>
            <w:tcW w:w="1512" w:type="dxa"/>
            <w:gridSpan w:val="2"/>
            <w:vAlign w:val="center"/>
          </w:tcPr>
          <w:p>
            <w:pPr>
              <w:jc w:val="center"/>
              <w:rPr>
                <w:rFonts w:ascii="宋体" w:hAnsi="宋体" w:eastAsia="宋体" w:cs="Times New Roman"/>
                <w:color w:val="auto"/>
                <w:szCs w:val="20"/>
                <w:highlight w:val="none"/>
              </w:rPr>
            </w:pPr>
          </w:p>
        </w:tc>
        <w:tc>
          <w:tcPr>
            <w:tcW w:w="1735" w:type="dxa"/>
            <w:gridSpan w:val="2"/>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拟在本工程任职</w:t>
            </w:r>
          </w:p>
        </w:tc>
        <w:tc>
          <w:tcPr>
            <w:tcW w:w="2033"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项目经理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40" w:type="dxa"/>
            <w:gridSpan w:val="3"/>
            <w:vAlign w:val="center"/>
          </w:tcPr>
          <w:p>
            <w:pPr>
              <w:jc w:val="center"/>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注册建造师资格等级</w:t>
            </w:r>
          </w:p>
        </w:tc>
        <w:tc>
          <w:tcPr>
            <w:tcW w:w="1512" w:type="dxa"/>
            <w:gridSpan w:val="2"/>
            <w:vAlign w:val="center"/>
          </w:tcPr>
          <w:p>
            <w:pPr>
              <w:jc w:val="center"/>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 xml:space="preserve">       级</w:t>
            </w:r>
          </w:p>
        </w:tc>
        <w:tc>
          <w:tcPr>
            <w:tcW w:w="1735" w:type="dxa"/>
            <w:gridSpan w:val="2"/>
            <w:vAlign w:val="center"/>
          </w:tcPr>
          <w:p>
            <w:pPr>
              <w:jc w:val="center"/>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建造师专业</w:t>
            </w:r>
          </w:p>
        </w:tc>
        <w:tc>
          <w:tcPr>
            <w:tcW w:w="2033" w:type="dxa"/>
            <w:vAlign w:val="center"/>
          </w:tcPr>
          <w:p>
            <w:pPr>
              <w:jc w:val="center"/>
              <w:rPr>
                <w:rFonts w:ascii="宋体" w:hAnsi="宋体" w:eastAsia="宋体" w:cs="Times New Roman"/>
                <w:bCs/>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40" w:type="dxa"/>
            <w:gridSpan w:val="3"/>
            <w:vAlign w:val="center"/>
          </w:tcPr>
          <w:p>
            <w:pPr>
              <w:jc w:val="center"/>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安全生产考核合格证书</w:t>
            </w:r>
          </w:p>
        </w:tc>
        <w:tc>
          <w:tcPr>
            <w:tcW w:w="5280" w:type="dxa"/>
            <w:gridSpan w:val="5"/>
            <w:vAlign w:val="center"/>
          </w:tcPr>
          <w:p>
            <w:pPr>
              <w:jc w:val="center"/>
              <w:rPr>
                <w:rFonts w:ascii="宋体" w:hAnsi="宋体" w:eastAsia="宋体" w:cs="Times New Roman"/>
                <w:bCs/>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毕业学校</w:t>
            </w:r>
          </w:p>
        </w:tc>
        <w:tc>
          <w:tcPr>
            <w:tcW w:w="7590" w:type="dxa"/>
            <w:gridSpan w:val="7"/>
            <w:vAlign w:val="center"/>
          </w:tcPr>
          <w:p>
            <w:pPr>
              <w:ind w:firstLine="1050" w:firstLineChars="500"/>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年毕业于            学校               专业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720" w:type="dxa"/>
            <w:gridSpan w:val="8"/>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主要工作经历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时  间</w:t>
            </w:r>
          </w:p>
        </w:tc>
        <w:tc>
          <w:tcPr>
            <w:tcW w:w="2968" w:type="dxa"/>
            <w:gridSpan w:val="3"/>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参加过的类似项目名称</w:t>
            </w:r>
          </w:p>
        </w:tc>
        <w:tc>
          <w:tcPr>
            <w:tcW w:w="2099" w:type="dxa"/>
            <w:gridSpan w:val="2"/>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工程概况说明</w:t>
            </w:r>
          </w:p>
        </w:tc>
        <w:tc>
          <w:tcPr>
            <w:tcW w:w="2523" w:type="dxa"/>
            <w:gridSpan w:val="2"/>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发包人及联系电话</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30" w:type="dxa"/>
            <w:vAlign w:val="center"/>
          </w:tcPr>
          <w:p>
            <w:pPr>
              <w:jc w:val="center"/>
              <w:rPr>
                <w:rFonts w:ascii="宋体" w:hAnsi="宋体" w:eastAsia="宋体" w:cs="Times New Roman"/>
                <w:color w:val="auto"/>
                <w:szCs w:val="20"/>
                <w:highlight w:val="none"/>
              </w:rPr>
            </w:pPr>
          </w:p>
        </w:tc>
        <w:tc>
          <w:tcPr>
            <w:tcW w:w="2968" w:type="dxa"/>
            <w:gridSpan w:val="3"/>
            <w:vAlign w:val="center"/>
          </w:tcPr>
          <w:p>
            <w:pPr>
              <w:jc w:val="center"/>
              <w:rPr>
                <w:rFonts w:ascii="宋体" w:hAnsi="宋体" w:eastAsia="宋体" w:cs="Times New Roman"/>
                <w:color w:val="auto"/>
                <w:szCs w:val="20"/>
                <w:highlight w:val="none"/>
              </w:rPr>
            </w:pPr>
          </w:p>
        </w:tc>
        <w:tc>
          <w:tcPr>
            <w:tcW w:w="2099" w:type="dxa"/>
            <w:gridSpan w:val="2"/>
            <w:vAlign w:val="center"/>
          </w:tcPr>
          <w:p>
            <w:pPr>
              <w:jc w:val="center"/>
              <w:rPr>
                <w:rFonts w:ascii="宋体" w:hAnsi="宋体" w:eastAsia="宋体" w:cs="Times New Roman"/>
                <w:color w:val="auto"/>
                <w:szCs w:val="20"/>
                <w:highlight w:val="none"/>
              </w:rPr>
            </w:pPr>
          </w:p>
        </w:tc>
        <w:tc>
          <w:tcPr>
            <w:tcW w:w="2523" w:type="dxa"/>
            <w:gridSpan w:val="2"/>
            <w:vAlign w:val="center"/>
          </w:tcPr>
          <w:p>
            <w:pPr>
              <w:jc w:val="center"/>
              <w:rPr>
                <w:rFonts w:ascii="宋体" w:hAnsi="宋体" w:eastAsia="宋体" w:cs="Times New Roman"/>
                <w:color w:val="auto"/>
                <w:szCs w:val="20"/>
                <w:highlight w:val="none"/>
              </w:rPr>
            </w:pPr>
          </w:p>
        </w:tc>
      </w:tr>
    </w:tbl>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附：项目经理应附建造师注册证书、安全生产考核合格证书、身份证、职称证、学历证原件扫描件以及未担任其他在施建设工程项目项目经理的承诺。</w:t>
      </w:r>
    </w:p>
    <w:p>
      <w:pPr>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br w:type="page"/>
      </w:r>
      <w:r>
        <w:rPr>
          <w:rFonts w:hint="eastAsia" w:ascii="宋体" w:hAnsi="宋体" w:eastAsia="宋体" w:cs="Times New Roman"/>
          <w:color w:val="auto"/>
          <w:sz w:val="24"/>
          <w:szCs w:val="20"/>
          <w:highlight w:val="none"/>
        </w:rPr>
        <w:t>（2）主要项目管理人员简历表</w:t>
      </w:r>
    </w:p>
    <w:p>
      <w:pPr>
        <w:spacing w:after="156" w:afterLines="50"/>
        <w:rPr>
          <w:rFonts w:ascii="宋体" w:hAnsi="宋体" w:eastAsia="宋体" w:cs="Times New Roman"/>
          <w:color w:val="auto"/>
          <w:sz w:val="18"/>
          <w:szCs w:val="18"/>
          <w:highlight w:val="none"/>
        </w:rPr>
      </w:pPr>
    </w:p>
    <w:tbl>
      <w:tblPr>
        <w:tblStyle w:val="4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28"/>
        <w:gridCol w:w="2264"/>
        <w:gridCol w:w="2264"/>
        <w:gridCol w:w="226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28"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岗位名称</w:t>
            </w:r>
          </w:p>
        </w:tc>
        <w:tc>
          <w:tcPr>
            <w:tcW w:w="6792" w:type="dxa"/>
            <w:gridSpan w:val="3"/>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28"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姓    名</w:t>
            </w:r>
          </w:p>
        </w:tc>
        <w:tc>
          <w:tcPr>
            <w:tcW w:w="2264" w:type="dxa"/>
            <w:vAlign w:val="center"/>
          </w:tcPr>
          <w:p>
            <w:pPr>
              <w:jc w:val="center"/>
              <w:rPr>
                <w:rFonts w:ascii="宋体" w:hAnsi="宋体" w:eastAsia="宋体" w:cs="Times New Roman"/>
                <w:color w:val="auto"/>
                <w:szCs w:val="20"/>
                <w:highlight w:val="none"/>
              </w:rPr>
            </w:pPr>
          </w:p>
        </w:tc>
        <w:tc>
          <w:tcPr>
            <w:tcW w:w="2264"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年    龄</w:t>
            </w:r>
          </w:p>
        </w:tc>
        <w:tc>
          <w:tcPr>
            <w:tcW w:w="2264" w:type="dxa"/>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28"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性    别</w:t>
            </w:r>
          </w:p>
        </w:tc>
        <w:tc>
          <w:tcPr>
            <w:tcW w:w="2264" w:type="dxa"/>
            <w:vAlign w:val="center"/>
          </w:tcPr>
          <w:p>
            <w:pPr>
              <w:jc w:val="center"/>
              <w:rPr>
                <w:rFonts w:ascii="宋体" w:hAnsi="宋体" w:eastAsia="宋体" w:cs="Times New Roman"/>
                <w:color w:val="auto"/>
                <w:szCs w:val="20"/>
                <w:highlight w:val="none"/>
              </w:rPr>
            </w:pPr>
          </w:p>
        </w:tc>
        <w:tc>
          <w:tcPr>
            <w:tcW w:w="2264"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毕业学校</w:t>
            </w:r>
          </w:p>
        </w:tc>
        <w:tc>
          <w:tcPr>
            <w:tcW w:w="2264" w:type="dxa"/>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28"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学历和专业</w:t>
            </w:r>
          </w:p>
        </w:tc>
        <w:tc>
          <w:tcPr>
            <w:tcW w:w="2264" w:type="dxa"/>
            <w:vAlign w:val="center"/>
          </w:tcPr>
          <w:p>
            <w:pPr>
              <w:jc w:val="center"/>
              <w:rPr>
                <w:rFonts w:ascii="宋体" w:hAnsi="宋体" w:eastAsia="宋体" w:cs="Times New Roman"/>
                <w:color w:val="auto"/>
                <w:szCs w:val="20"/>
                <w:highlight w:val="none"/>
              </w:rPr>
            </w:pPr>
          </w:p>
        </w:tc>
        <w:tc>
          <w:tcPr>
            <w:tcW w:w="2264"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毕业时间</w:t>
            </w:r>
          </w:p>
        </w:tc>
        <w:tc>
          <w:tcPr>
            <w:tcW w:w="2264" w:type="dxa"/>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28"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拥有的执业资格</w:t>
            </w:r>
          </w:p>
        </w:tc>
        <w:tc>
          <w:tcPr>
            <w:tcW w:w="2264" w:type="dxa"/>
            <w:vAlign w:val="center"/>
          </w:tcPr>
          <w:p>
            <w:pPr>
              <w:jc w:val="center"/>
              <w:rPr>
                <w:rFonts w:ascii="宋体" w:hAnsi="宋体" w:eastAsia="宋体" w:cs="Times New Roman"/>
                <w:color w:val="auto"/>
                <w:szCs w:val="20"/>
                <w:highlight w:val="none"/>
              </w:rPr>
            </w:pPr>
          </w:p>
        </w:tc>
        <w:tc>
          <w:tcPr>
            <w:tcW w:w="2264"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专业职称</w:t>
            </w:r>
          </w:p>
        </w:tc>
        <w:tc>
          <w:tcPr>
            <w:tcW w:w="2264" w:type="dxa"/>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928"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执业资格证书编号</w:t>
            </w:r>
          </w:p>
        </w:tc>
        <w:tc>
          <w:tcPr>
            <w:tcW w:w="2264" w:type="dxa"/>
            <w:vAlign w:val="center"/>
          </w:tcPr>
          <w:p>
            <w:pPr>
              <w:jc w:val="center"/>
              <w:rPr>
                <w:rFonts w:ascii="宋体" w:hAnsi="宋体" w:eastAsia="宋体" w:cs="Times New Roman"/>
                <w:color w:val="auto"/>
                <w:szCs w:val="20"/>
                <w:highlight w:val="none"/>
              </w:rPr>
            </w:pPr>
          </w:p>
        </w:tc>
        <w:tc>
          <w:tcPr>
            <w:tcW w:w="2264" w:type="dxa"/>
            <w:vAlign w:val="center"/>
          </w:tcPr>
          <w:p>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工作年限</w:t>
            </w:r>
          </w:p>
        </w:tc>
        <w:tc>
          <w:tcPr>
            <w:tcW w:w="2264" w:type="dxa"/>
            <w:vAlign w:val="center"/>
          </w:tcPr>
          <w:p>
            <w:pPr>
              <w:jc w:val="center"/>
              <w:rPr>
                <w:rFonts w:ascii="宋体" w:hAnsi="宋体" w:eastAsia="宋体" w:cs="Times New Roman"/>
                <w:color w:val="auto"/>
                <w:szCs w:val="20"/>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85" w:hRule="atLeast"/>
          <w:jc w:val="center"/>
        </w:trPr>
        <w:tc>
          <w:tcPr>
            <w:tcW w:w="1928" w:type="dxa"/>
            <w:vAlign w:val="center"/>
          </w:tcPr>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主</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要</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工</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作</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业</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绩</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及</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担</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任</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的</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主</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要</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工</w:t>
            </w:r>
          </w:p>
          <w:p>
            <w:pPr>
              <w:spacing w:line="240" w:lineRule="exact"/>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作</w:t>
            </w:r>
          </w:p>
        </w:tc>
        <w:tc>
          <w:tcPr>
            <w:tcW w:w="6792" w:type="dxa"/>
            <w:gridSpan w:val="3"/>
            <w:vAlign w:val="center"/>
          </w:tcPr>
          <w:p>
            <w:pPr>
              <w:jc w:val="center"/>
              <w:rPr>
                <w:rFonts w:ascii="宋体" w:hAnsi="宋体" w:eastAsia="宋体" w:cs="Times New Roman"/>
                <w:color w:val="auto"/>
                <w:szCs w:val="20"/>
                <w:highlight w:val="none"/>
              </w:rPr>
            </w:pPr>
          </w:p>
        </w:tc>
      </w:tr>
    </w:tbl>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主要项目管理（施工、设计）人员指项目副经理、技术负责人、施工负责人、设计负责人、设计各专业负责人、合同商务负责人、专职质量安全生产管理人员等岗位人员。需附注册证书、资格证书、身份证、职称证、学历证扫描件,</w:t>
      </w:r>
      <w:r>
        <w:rPr>
          <w:rFonts w:hint="eastAsia" w:ascii="Times New Roman" w:hAnsi="Times New Roman" w:eastAsia="宋体" w:cs="Times New Roman"/>
          <w:color w:val="auto"/>
          <w:szCs w:val="24"/>
          <w:highlight w:val="none"/>
        </w:rPr>
        <w:t xml:space="preserve"> </w:t>
      </w:r>
      <w:r>
        <w:rPr>
          <w:rFonts w:hint="eastAsia" w:ascii="宋体" w:hAnsi="宋体" w:eastAsia="宋体" w:cs="Times New Roman"/>
          <w:color w:val="auto"/>
          <w:szCs w:val="21"/>
          <w:highlight w:val="none"/>
        </w:rPr>
        <w:t>施工负责人和专职安全生产管理人员应附有效的安全生产考核合格证书。</w:t>
      </w:r>
    </w:p>
    <w:p>
      <w:pPr>
        <w:rPr>
          <w:rFonts w:ascii="宋体" w:hAnsi="宋体" w:eastAsia="宋体" w:cs="Times New Roman"/>
          <w:color w:val="auto"/>
          <w:szCs w:val="21"/>
          <w:highlight w:val="none"/>
        </w:rPr>
      </w:pPr>
    </w:p>
    <w:p>
      <w:pPr>
        <w:keepNext/>
        <w:keepLines/>
        <w:spacing w:before="260" w:after="260" w:line="415" w:lineRule="auto"/>
        <w:outlineLvl w:val="1"/>
        <w:rPr>
          <w:rFonts w:ascii="Arial" w:hAnsi="Arial" w:eastAsia="黑体" w:cs="Times New Roman"/>
          <w:b/>
          <w:bCs/>
          <w:color w:val="auto"/>
          <w:sz w:val="32"/>
          <w:szCs w:val="32"/>
          <w:highlight w:val="none"/>
        </w:rPr>
      </w:pPr>
    </w:p>
    <w:p>
      <w:pPr>
        <w:keepNext/>
        <w:keepLines/>
        <w:spacing w:before="260" w:after="260" w:line="415" w:lineRule="auto"/>
        <w:jc w:val="center"/>
        <w:outlineLvl w:val="1"/>
        <w:rPr>
          <w:rFonts w:ascii="Arial" w:hAnsi="Arial" w:eastAsia="黑体" w:cs="Times New Roman"/>
          <w:b/>
          <w:bCs/>
          <w:color w:val="auto"/>
          <w:sz w:val="32"/>
          <w:szCs w:val="32"/>
          <w:highlight w:val="none"/>
        </w:rPr>
      </w:pPr>
      <w:bookmarkStart w:id="1794" w:name="_Toc216681970"/>
      <w:bookmarkStart w:id="1795" w:name="_Toc271821942"/>
      <w:r>
        <w:rPr>
          <w:rFonts w:hint="eastAsia" w:ascii="Arial" w:hAnsi="Arial" w:eastAsia="黑体" w:cs="Times New Roman"/>
          <w:b/>
          <w:bCs/>
          <w:color w:val="auto"/>
          <w:sz w:val="32"/>
          <w:szCs w:val="32"/>
          <w:highlight w:val="none"/>
        </w:rPr>
        <w:t>九</w:t>
      </w:r>
      <w:r>
        <w:rPr>
          <w:rFonts w:ascii="Arial" w:hAnsi="Arial" w:eastAsia="黑体" w:cs="Times New Roman"/>
          <w:b/>
          <w:bCs/>
          <w:color w:val="auto"/>
          <w:sz w:val="32"/>
          <w:szCs w:val="32"/>
          <w:highlight w:val="none"/>
        </w:rPr>
        <w:t>、其他资料</w:t>
      </w:r>
      <w:bookmarkEnd w:id="1794"/>
      <w:bookmarkEnd w:id="1795"/>
    </w:p>
    <w:p>
      <w:pPr>
        <w:keepNext/>
        <w:keepLines/>
        <w:spacing w:before="260" w:after="260" w:line="415" w:lineRule="auto"/>
        <w:ind w:firstLine="137"/>
        <w:outlineLvl w:val="2"/>
        <w:rPr>
          <w:rFonts w:ascii="黑体" w:hAnsi="宋体" w:eastAsia="黑体" w:cs="Times New Roman"/>
          <w:bCs/>
          <w:color w:val="auto"/>
          <w:sz w:val="28"/>
          <w:szCs w:val="28"/>
          <w:highlight w:val="none"/>
        </w:rPr>
      </w:pPr>
      <w:bookmarkStart w:id="1796" w:name="_Toc216681971"/>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一</w:t>
      </w:r>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承诺书</w:t>
      </w:r>
      <w:bookmarkEnd w:id="1796"/>
    </w:p>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格式1：拟派项目经理无在施工程承诺书</w:t>
      </w:r>
    </w:p>
    <w:p>
      <w:pPr>
        <w:jc w:val="center"/>
        <w:rPr>
          <w:rFonts w:ascii="黑体" w:hAnsi="宋体" w:eastAsia="黑体" w:cs="Times New Roman"/>
          <w:color w:val="auto"/>
          <w:sz w:val="28"/>
          <w:szCs w:val="28"/>
          <w:highlight w:val="none"/>
        </w:rPr>
      </w:pPr>
    </w:p>
    <w:p>
      <w:pPr>
        <w:jc w:val="center"/>
        <w:rPr>
          <w:rFonts w:ascii="黑体" w:hAnsi="宋体" w:eastAsia="黑体" w:cs="Times New Roman"/>
          <w:bCs/>
          <w:color w:val="auto"/>
          <w:sz w:val="42"/>
          <w:szCs w:val="28"/>
          <w:highlight w:val="none"/>
        </w:rPr>
      </w:pPr>
      <w:r>
        <w:rPr>
          <w:rFonts w:hint="eastAsia" w:ascii="黑体" w:hAnsi="宋体" w:eastAsia="黑体" w:cs="Times New Roman"/>
          <w:bCs/>
          <w:color w:val="auto"/>
          <w:sz w:val="42"/>
          <w:szCs w:val="28"/>
          <w:highlight w:val="none"/>
        </w:rPr>
        <w:t>承诺书</w:t>
      </w:r>
    </w:p>
    <w:p>
      <w:pPr>
        <w:jc w:val="center"/>
        <w:rPr>
          <w:rFonts w:ascii="黑体" w:hAnsi="宋体" w:eastAsia="黑体" w:cs="Times New Roman"/>
          <w:bCs/>
          <w:color w:val="auto"/>
          <w:sz w:val="32"/>
          <w:szCs w:val="32"/>
          <w:highlight w:val="none"/>
        </w:rPr>
      </w:pPr>
    </w:p>
    <w:p>
      <w:pPr>
        <w:rPr>
          <w:rFonts w:ascii="宋体" w:hAnsi="宋体" w:eastAsia="宋体" w:cs="Times New Roman"/>
          <w:bCs/>
          <w:color w:val="auto"/>
          <w:sz w:val="25"/>
          <w:szCs w:val="20"/>
          <w:highlight w:val="none"/>
        </w:rPr>
      </w:pPr>
      <w:r>
        <w:rPr>
          <w:rFonts w:hint="eastAsia" w:ascii="宋体" w:hAnsi="宋体" w:eastAsia="宋体" w:cs="Times New Roman"/>
          <w:bCs/>
          <w:color w:val="auto"/>
          <w:sz w:val="25"/>
          <w:szCs w:val="20"/>
          <w:highlight w:val="none"/>
          <w:u w:val="single"/>
        </w:rPr>
        <w:t xml:space="preserve">                     </w:t>
      </w:r>
      <w:r>
        <w:rPr>
          <w:rFonts w:hint="eastAsia" w:ascii="宋体" w:hAnsi="宋体" w:eastAsia="宋体" w:cs="Times New Roman"/>
          <w:bCs/>
          <w:color w:val="auto"/>
          <w:sz w:val="25"/>
          <w:szCs w:val="20"/>
          <w:highlight w:val="none"/>
        </w:rPr>
        <w:t>（招标人名称）：</w:t>
      </w:r>
    </w:p>
    <w:p>
      <w:pPr>
        <w:rPr>
          <w:rFonts w:ascii="宋体" w:hAnsi="宋体" w:eastAsia="宋体" w:cs="Times New Roman"/>
          <w:bCs/>
          <w:color w:val="auto"/>
          <w:sz w:val="25"/>
          <w:szCs w:val="20"/>
          <w:highlight w:val="none"/>
        </w:rPr>
      </w:pPr>
    </w:p>
    <w:p>
      <w:pPr>
        <w:ind w:firstLine="500" w:firstLineChars="200"/>
        <w:rPr>
          <w:rFonts w:ascii="宋体" w:hAnsi="宋体" w:eastAsia="宋体" w:cs="Times New Roman"/>
          <w:bCs/>
          <w:color w:val="auto"/>
          <w:sz w:val="25"/>
          <w:szCs w:val="20"/>
          <w:highlight w:val="none"/>
          <w:u w:val="single"/>
        </w:rPr>
      </w:pPr>
      <w:r>
        <w:rPr>
          <w:rFonts w:hint="eastAsia" w:ascii="宋体" w:hAnsi="宋体" w:eastAsia="宋体" w:cs="Times New Roman"/>
          <w:bCs/>
          <w:color w:val="auto"/>
          <w:sz w:val="25"/>
          <w:szCs w:val="20"/>
          <w:highlight w:val="none"/>
        </w:rPr>
        <w:t>我方在此声明，我方拟派往</w:t>
      </w:r>
      <w:r>
        <w:rPr>
          <w:rFonts w:hint="eastAsia" w:ascii="宋体" w:hAnsi="宋体" w:eastAsia="宋体" w:cs="Times New Roman"/>
          <w:bCs/>
          <w:color w:val="auto"/>
          <w:sz w:val="25"/>
          <w:szCs w:val="20"/>
          <w:highlight w:val="none"/>
          <w:u w:val="single"/>
        </w:rPr>
        <w:t>普洱市主城区火车站片区排水防涝地下管网及设施建设项目</w:t>
      </w:r>
      <w:r>
        <w:rPr>
          <w:rFonts w:hint="eastAsia" w:ascii="宋体" w:hAnsi="宋体" w:eastAsia="宋体" w:cs="Times New Roman"/>
          <w:bCs/>
          <w:color w:val="auto"/>
          <w:sz w:val="25"/>
          <w:szCs w:val="20"/>
          <w:highlight w:val="none"/>
          <w:u w:val="single"/>
        </w:rPr>
        <w:t>（一期）</w:t>
      </w:r>
      <w:r>
        <w:rPr>
          <w:rFonts w:hint="eastAsia" w:ascii="宋体" w:hAnsi="宋体" w:eastAsia="宋体" w:cs="Times New Roman"/>
          <w:bCs/>
          <w:color w:val="auto"/>
          <w:sz w:val="25"/>
          <w:szCs w:val="20"/>
          <w:highlight w:val="none"/>
          <w:u w:val="single"/>
        </w:rPr>
        <w:t>工程总承包</w:t>
      </w:r>
      <w:r>
        <w:rPr>
          <w:rFonts w:hint="eastAsia" w:ascii="宋体" w:hAnsi="宋体" w:eastAsia="宋体" w:cs="Times New Roman"/>
          <w:bCs/>
          <w:color w:val="auto"/>
          <w:sz w:val="25"/>
          <w:szCs w:val="20"/>
          <w:highlight w:val="none"/>
        </w:rPr>
        <w:t>的项目经理</w:t>
      </w:r>
      <w:r>
        <w:rPr>
          <w:rFonts w:hint="eastAsia" w:ascii="宋体" w:hAnsi="宋体" w:eastAsia="宋体" w:cs="Times New Roman"/>
          <w:bCs/>
          <w:color w:val="auto"/>
          <w:sz w:val="25"/>
          <w:szCs w:val="20"/>
          <w:highlight w:val="none"/>
          <w:u w:val="single"/>
        </w:rPr>
        <w:t xml:space="preserve">           </w:t>
      </w:r>
    </w:p>
    <w:p>
      <w:pPr>
        <w:rPr>
          <w:rFonts w:ascii="宋体" w:hAnsi="宋体" w:eastAsia="宋体" w:cs="Times New Roman"/>
          <w:bCs/>
          <w:color w:val="auto"/>
          <w:sz w:val="25"/>
          <w:szCs w:val="20"/>
          <w:highlight w:val="none"/>
        </w:rPr>
      </w:pPr>
      <w:r>
        <w:rPr>
          <w:rFonts w:hint="eastAsia" w:ascii="宋体" w:hAnsi="宋体" w:eastAsia="宋体" w:cs="Times New Roman"/>
          <w:bCs/>
          <w:color w:val="auto"/>
          <w:sz w:val="25"/>
          <w:szCs w:val="20"/>
          <w:highlight w:val="none"/>
          <w:u w:val="single"/>
        </w:rPr>
        <w:t>（项目经理姓名）</w:t>
      </w:r>
      <w:r>
        <w:rPr>
          <w:rFonts w:hint="eastAsia" w:ascii="宋体" w:hAnsi="宋体" w:eastAsia="宋体" w:cs="Times New Roman"/>
          <w:bCs/>
          <w:color w:val="auto"/>
          <w:sz w:val="25"/>
          <w:szCs w:val="20"/>
          <w:highlight w:val="none"/>
        </w:rPr>
        <w:t>现阶段没有担任任何在施建设工程项目的项目经理，此项目经理的身份证号码为</w:t>
      </w:r>
      <w:r>
        <w:rPr>
          <w:rFonts w:hint="eastAsia" w:ascii="宋体" w:hAnsi="宋体" w:eastAsia="宋体" w:cs="Times New Roman"/>
          <w:bCs/>
          <w:color w:val="auto"/>
          <w:sz w:val="25"/>
          <w:szCs w:val="20"/>
          <w:highlight w:val="none"/>
          <w:u w:val="single"/>
        </w:rPr>
        <w:t xml:space="preserve">              </w:t>
      </w:r>
      <w:r>
        <w:rPr>
          <w:rFonts w:hint="eastAsia" w:ascii="宋体" w:hAnsi="宋体" w:eastAsia="宋体" w:cs="Times New Roman"/>
          <w:bCs/>
          <w:color w:val="auto"/>
          <w:sz w:val="25"/>
          <w:szCs w:val="20"/>
          <w:highlight w:val="none"/>
        </w:rPr>
        <w:t xml:space="preserve"> ，建造师注册编号为</w:t>
      </w:r>
      <w:r>
        <w:rPr>
          <w:rFonts w:hint="eastAsia" w:ascii="宋体" w:hAnsi="宋体" w:eastAsia="宋体" w:cs="Times New Roman"/>
          <w:bCs/>
          <w:color w:val="auto"/>
          <w:sz w:val="25"/>
          <w:szCs w:val="20"/>
          <w:highlight w:val="none"/>
          <w:u w:val="single"/>
        </w:rPr>
        <w:t xml:space="preserve">                      </w:t>
      </w:r>
      <w:r>
        <w:rPr>
          <w:rFonts w:hint="eastAsia" w:ascii="宋体" w:hAnsi="宋体" w:eastAsia="宋体" w:cs="Times New Roman"/>
          <w:bCs/>
          <w:color w:val="auto"/>
          <w:sz w:val="25"/>
          <w:szCs w:val="20"/>
          <w:highlight w:val="none"/>
        </w:rPr>
        <w:t>。</w:t>
      </w:r>
    </w:p>
    <w:p>
      <w:pPr>
        <w:ind w:firstLine="500" w:firstLineChars="200"/>
        <w:rPr>
          <w:rFonts w:ascii="宋体" w:hAnsi="宋体" w:eastAsia="宋体" w:cs="Times New Roman"/>
          <w:bCs/>
          <w:color w:val="auto"/>
          <w:sz w:val="25"/>
          <w:szCs w:val="20"/>
          <w:highlight w:val="none"/>
        </w:rPr>
      </w:pPr>
      <w:r>
        <w:rPr>
          <w:rFonts w:hint="eastAsia" w:ascii="宋体" w:hAnsi="宋体" w:eastAsia="宋体" w:cs="Times New Roman"/>
          <w:bCs/>
          <w:color w:val="auto"/>
          <w:sz w:val="25"/>
          <w:szCs w:val="20"/>
          <w:highlight w:val="none"/>
        </w:rPr>
        <w:t>我方保证上述信息的真实和准确，并愿意承担因我方就此弄虚作假所引起的一切法律后果。</w:t>
      </w:r>
    </w:p>
    <w:p>
      <w:pPr>
        <w:ind w:firstLine="500" w:firstLineChars="200"/>
        <w:rPr>
          <w:rFonts w:ascii="宋体" w:hAnsi="宋体" w:eastAsia="宋体" w:cs="Times New Roman"/>
          <w:bCs/>
          <w:color w:val="auto"/>
          <w:sz w:val="25"/>
          <w:szCs w:val="20"/>
          <w:highlight w:val="none"/>
        </w:rPr>
      </w:pPr>
    </w:p>
    <w:p>
      <w:pPr>
        <w:ind w:firstLine="500" w:firstLineChars="200"/>
        <w:rPr>
          <w:rFonts w:ascii="宋体" w:hAnsi="宋体" w:eastAsia="宋体" w:cs="Times New Roman"/>
          <w:bCs/>
          <w:color w:val="auto"/>
          <w:sz w:val="25"/>
          <w:szCs w:val="20"/>
          <w:highlight w:val="none"/>
        </w:rPr>
      </w:pPr>
      <w:r>
        <w:rPr>
          <w:rFonts w:hint="eastAsia" w:ascii="宋体" w:hAnsi="宋体" w:eastAsia="宋体" w:cs="Times New Roman"/>
          <w:bCs/>
          <w:color w:val="auto"/>
          <w:sz w:val="25"/>
          <w:szCs w:val="20"/>
          <w:highlight w:val="none"/>
        </w:rPr>
        <w:t>特此承诺</w:t>
      </w:r>
    </w:p>
    <w:p>
      <w:pPr>
        <w:rPr>
          <w:rFonts w:ascii="宋体" w:hAnsi="宋体" w:eastAsia="宋体" w:cs="Times New Roman"/>
          <w:bCs/>
          <w:color w:val="auto"/>
          <w:szCs w:val="20"/>
          <w:highlight w:val="none"/>
        </w:rPr>
      </w:pPr>
    </w:p>
    <w:p>
      <w:pPr>
        <w:ind w:firstLine="420" w:firstLineChars="200"/>
        <w:rPr>
          <w:rFonts w:ascii="宋体" w:hAnsi="宋体" w:eastAsia="宋体" w:cs="Times New Roman"/>
          <w:bCs/>
          <w:color w:val="auto"/>
          <w:szCs w:val="20"/>
          <w:highlight w:val="none"/>
        </w:rPr>
      </w:pPr>
    </w:p>
    <w:p>
      <w:pPr>
        <w:wordWrap w:val="0"/>
        <w:ind w:firstLine="420" w:firstLineChars="200"/>
        <w:jc w:val="right"/>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投标人：</w:t>
      </w:r>
      <w:r>
        <w:rPr>
          <w:rFonts w:hint="eastAsia" w:ascii="宋体" w:hAnsi="宋体" w:eastAsia="宋体" w:cs="Times New Roman"/>
          <w:bCs/>
          <w:color w:val="auto"/>
          <w:szCs w:val="20"/>
          <w:highlight w:val="none"/>
          <w:u w:val="single"/>
        </w:rPr>
        <w:t xml:space="preserve">                      </w:t>
      </w:r>
      <w:r>
        <w:rPr>
          <w:rFonts w:hint="eastAsia" w:ascii="Times New Roman" w:hAnsi="宋体" w:eastAsia="宋体" w:cs="Times New Roman"/>
          <w:color w:val="auto"/>
          <w:szCs w:val="21"/>
          <w:highlight w:val="none"/>
        </w:rPr>
        <w:t>（电子签章）</w:t>
      </w:r>
    </w:p>
    <w:p>
      <w:pPr>
        <w:wordWrap w:val="0"/>
        <w:ind w:right="420" w:firstLine="420" w:firstLineChars="200"/>
        <w:jc w:val="center"/>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 xml:space="preserve">                        </w:t>
      </w:r>
    </w:p>
    <w:p>
      <w:pPr>
        <w:wordWrap w:val="0"/>
        <w:ind w:right="420" w:firstLine="420" w:firstLineChars="200"/>
        <w:jc w:val="center"/>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rPr>
        <w:t xml:space="preserve">                             法定代表人：</w:t>
      </w:r>
      <w:r>
        <w:rPr>
          <w:rFonts w:hint="eastAsia" w:ascii="宋体" w:hAnsi="宋体" w:eastAsia="宋体" w:cs="Times New Roman"/>
          <w:bCs/>
          <w:color w:val="auto"/>
          <w:szCs w:val="20"/>
          <w:highlight w:val="none"/>
          <w:u w:val="single"/>
        </w:rPr>
        <w:t xml:space="preserve">        </w:t>
      </w:r>
      <w:r>
        <w:rPr>
          <w:rFonts w:hint="eastAsia" w:ascii="Times New Roman" w:hAnsi="宋体" w:eastAsia="宋体" w:cs="Times New Roman"/>
          <w:color w:val="auto"/>
          <w:szCs w:val="21"/>
          <w:highlight w:val="none"/>
        </w:rPr>
        <w:t>（电子签章）</w:t>
      </w:r>
    </w:p>
    <w:p>
      <w:pPr>
        <w:ind w:firstLine="420" w:firstLineChars="200"/>
        <w:jc w:val="right"/>
        <w:rPr>
          <w:rFonts w:ascii="宋体" w:hAnsi="宋体" w:eastAsia="宋体" w:cs="Times New Roman"/>
          <w:bCs/>
          <w:color w:val="auto"/>
          <w:szCs w:val="20"/>
          <w:highlight w:val="none"/>
        </w:rPr>
      </w:pPr>
    </w:p>
    <w:p>
      <w:pPr>
        <w:ind w:firstLine="420" w:firstLineChars="200"/>
        <w:jc w:val="right"/>
        <w:rPr>
          <w:rFonts w:ascii="宋体" w:hAnsi="宋体" w:eastAsia="宋体" w:cs="Times New Roman"/>
          <w:bCs/>
          <w:color w:val="auto"/>
          <w:szCs w:val="20"/>
          <w:highlight w:val="none"/>
        </w:rPr>
      </w:pPr>
      <w:r>
        <w:rPr>
          <w:rFonts w:hint="eastAsia" w:ascii="宋体" w:hAnsi="宋体" w:eastAsia="宋体" w:cs="Times New Roman"/>
          <w:bCs/>
          <w:color w:val="auto"/>
          <w:szCs w:val="20"/>
          <w:highlight w:val="none"/>
          <w:u w:val="single"/>
        </w:rPr>
        <w:t xml:space="preserve">       </w:t>
      </w:r>
      <w:r>
        <w:rPr>
          <w:rFonts w:hint="eastAsia" w:ascii="宋体" w:hAnsi="宋体" w:eastAsia="宋体" w:cs="Times New Roman"/>
          <w:bCs/>
          <w:color w:val="auto"/>
          <w:szCs w:val="20"/>
          <w:highlight w:val="none"/>
        </w:rPr>
        <w:t>年</w:t>
      </w:r>
      <w:r>
        <w:rPr>
          <w:rFonts w:hint="eastAsia" w:ascii="宋体" w:hAnsi="宋体" w:eastAsia="宋体" w:cs="Times New Roman"/>
          <w:bCs/>
          <w:color w:val="auto"/>
          <w:szCs w:val="20"/>
          <w:highlight w:val="none"/>
          <w:u w:val="single"/>
        </w:rPr>
        <w:t xml:space="preserve">       </w:t>
      </w:r>
      <w:r>
        <w:rPr>
          <w:rFonts w:hint="eastAsia" w:ascii="宋体" w:hAnsi="宋体" w:eastAsia="宋体" w:cs="Times New Roman"/>
          <w:bCs/>
          <w:color w:val="auto"/>
          <w:szCs w:val="20"/>
          <w:highlight w:val="none"/>
        </w:rPr>
        <w:t>月</w:t>
      </w:r>
      <w:r>
        <w:rPr>
          <w:rFonts w:hint="eastAsia" w:ascii="宋体" w:hAnsi="宋体" w:eastAsia="宋体" w:cs="Times New Roman"/>
          <w:bCs/>
          <w:color w:val="auto"/>
          <w:szCs w:val="20"/>
          <w:highlight w:val="none"/>
          <w:u w:val="single"/>
        </w:rPr>
        <w:t xml:space="preserve">       </w:t>
      </w:r>
      <w:r>
        <w:rPr>
          <w:rFonts w:hint="eastAsia" w:ascii="宋体" w:hAnsi="宋体" w:eastAsia="宋体" w:cs="Times New Roman"/>
          <w:bCs/>
          <w:color w:val="auto"/>
          <w:szCs w:val="20"/>
          <w:highlight w:val="none"/>
        </w:rPr>
        <w:t>日</w:t>
      </w:r>
    </w:p>
    <w:p>
      <w:pPr>
        <w:rPr>
          <w:rFonts w:ascii="宋体" w:hAnsi="宋体" w:eastAsia="宋体" w:cs="Times New Roman"/>
          <w:color w:val="auto"/>
          <w:szCs w:val="21"/>
          <w:highlight w:val="none"/>
        </w:rPr>
      </w:pPr>
    </w:p>
    <w:p>
      <w:pPr>
        <w:rPr>
          <w:rFonts w:ascii="宋体" w:hAnsi="宋体" w:eastAsia="宋体" w:cs="Times New Roman"/>
          <w:color w:val="auto"/>
          <w:szCs w:val="21"/>
          <w:highlight w:val="none"/>
        </w:rPr>
      </w:pPr>
    </w:p>
    <w:p>
      <w:pPr>
        <w:rPr>
          <w:rFonts w:ascii="宋体" w:hAnsi="宋体" w:eastAsia="宋体" w:cs="Times New Roman"/>
          <w:color w:val="auto"/>
          <w:szCs w:val="21"/>
          <w:highlight w:val="none"/>
        </w:rPr>
      </w:pPr>
    </w:p>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格式2：类似业绩真实准确的承诺书</w:t>
      </w:r>
    </w:p>
    <w:p>
      <w:pPr>
        <w:jc w:val="center"/>
        <w:rPr>
          <w:rFonts w:ascii="宋体" w:hAnsi="宋体" w:eastAsia="宋体" w:cs="Times New Roman"/>
          <w:color w:val="auto"/>
          <w:sz w:val="44"/>
          <w:szCs w:val="44"/>
          <w:highlight w:val="none"/>
        </w:rPr>
      </w:pPr>
    </w:p>
    <w:p>
      <w:pPr>
        <w:spacing w:before="312" w:beforeLines="100" w:after="312" w:afterLines="100"/>
        <w:jc w:val="center"/>
        <w:rPr>
          <w:rFonts w:ascii="黑体" w:hAnsi="宋体" w:eastAsia="黑体" w:cs="Times New Roman"/>
          <w:color w:val="auto"/>
          <w:sz w:val="44"/>
          <w:szCs w:val="44"/>
          <w:highlight w:val="none"/>
        </w:rPr>
      </w:pPr>
      <w:r>
        <w:rPr>
          <w:rFonts w:hint="eastAsia" w:ascii="黑体" w:hAnsi="宋体" w:eastAsia="黑体" w:cs="Times New Roman"/>
          <w:color w:val="auto"/>
          <w:sz w:val="44"/>
          <w:szCs w:val="44"/>
          <w:highlight w:val="none"/>
        </w:rPr>
        <w:t>承诺书</w:t>
      </w:r>
    </w:p>
    <w:p>
      <w:pPr>
        <w:spacing w:after="312" w:afterLines="100" w:line="440" w:lineRule="exact"/>
        <w:rPr>
          <w:rFonts w:ascii="宋体" w:hAnsi="宋体" w:eastAsia="宋体" w:cs="Times New Roman"/>
          <w:color w:val="auto"/>
          <w:sz w:val="28"/>
          <w:szCs w:val="28"/>
          <w:highlight w:val="none"/>
        </w:rPr>
      </w:pPr>
      <w:r>
        <w:rPr>
          <w:rFonts w:hint="eastAsia" w:ascii="宋体" w:hAnsi="宋体" w:eastAsia="宋体" w:cs="Times New Roman"/>
          <w:color w:val="auto"/>
          <w:position w:val="-7"/>
          <w:sz w:val="28"/>
          <w:szCs w:val="28"/>
          <w:highlight w:val="none"/>
        </w:rPr>
        <w:t>————————</w:t>
      </w:r>
      <w:r>
        <w:rPr>
          <w:rFonts w:hint="eastAsia" w:ascii="宋体" w:hAnsi="宋体" w:eastAsia="宋体" w:cs="Times New Roman"/>
          <w:color w:val="auto"/>
          <w:sz w:val="28"/>
          <w:szCs w:val="28"/>
          <w:highlight w:val="none"/>
        </w:rPr>
        <w:t>（招标人名称）：</w:t>
      </w:r>
    </w:p>
    <w:p>
      <w:pPr>
        <w:spacing w:line="440" w:lineRule="exact"/>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我方在此声明，我方在</w:t>
      </w:r>
      <w:r>
        <w:rPr>
          <w:rFonts w:hint="eastAsia" w:ascii="宋体" w:hAnsi="宋体" w:eastAsia="宋体" w:cs="Times New Roman"/>
          <w:color w:val="auto"/>
          <w:sz w:val="28"/>
          <w:szCs w:val="28"/>
          <w:highlight w:val="none"/>
          <w:u w:val="single"/>
        </w:rPr>
        <w:t>普洱市主城区火车站片区排水防涝地下管网及设施建设项目</w:t>
      </w:r>
      <w:r>
        <w:rPr>
          <w:rFonts w:hint="eastAsia" w:ascii="宋体" w:hAnsi="宋体" w:eastAsia="宋体" w:cs="Times New Roman"/>
          <w:color w:val="auto"/>
          <w:sz w:val="28"/>
          <w:szCs w:val="28"/>
          <w:highlight w:val="none"/>
          <w:u w:val="single"/>
        </w:rPr>
        <w:t>（一期）</w:t>
      </w:r>
      <w:r>
        <w:rPr>
          <w:rFonts w:hint="eastAsia" w:ascii="宋体" w:hAnsi="宋体" w:eastAsia="宋体" w:cs="Times New Roman"/>
          <w:color w:val="auto"/>
          <w:sz w:val="28"/>
          <w:szCs w:val="28"/>
          <w:highlight w:val="none"/>
          <w:u w:val="single"/>
        </w:rPr>
        <w:t>工程总承包</w:t>
      </w:r>
      <w:r>
        <w:rPr>
          <w:rFonts w:hint="eastAsia" w:ascii="宋体" w:hAnsi="宋体" w:eastAsia="宋体" w:cs="Times New Roman"/>
          <w:color w:val="auto"/>
          <w:sz w:val="28"/>
          <w:szCs w:val="28"/>
          <w:highlight w:val="none"/>
        </w:rPr>
        <w:t>投标文件中所附的类似项目业绩证明材料真实和准确。</w:t>
      </w:r>
    </w:p>
    <w:p>
      <w:pPr>
        <w:spacing w:line="440" w:lineRule="exact"/>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我方保证上述信息的真实和准确，并愿意承担因我方就此弄虚作假所引起的一切法律后果。</w:t>
      </w:r>
    </w:p>
    <w:p>
      <w:pPr>
        <w:spacing w:line="440" w:lineRule="exact"/>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特此承诺</w:t>
      </w: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spacing w:line="440" w:lineRule="exact"/>
        <w:ind w:firstLine="420" w:firstLineChars="200"/>
        <w:rPr>
          <w:rFonts w:ascii="宋体" w:hAnsi="宋体" w:eastAsia="宋体" w:cs="Times New Roman"/>
          <w:color w:val="auto"/>
          <w:szCs w:val="21"/>
          <w:highlight w:val="none"/>
        </w:rPr>
      </w:pPr>
    </w:p>
    <w:p>
      <w:pPr>
        <w:wordWrap w:val="0"/>
        <w:ind w:firstLine="420" w:firstLineChars="200"/>
        <w:jc w:val="right"/>
        <w:rPr>
          <w:rFonts w:ascii="宋体" w:hAnsi="宋体" w:eastAsia="宋体" w:cs="Times New Roman"/>
          <w:bCs/>
          <w:color w:val="auto"/>
          <w:szCs w:val="20"/>
          <w:highlight w:val="none"/>
        </w:rPr>
      </w:pPr>
      <w:r>
        <w:rPr>
          <w:rFonts w:hint="eastAsia" w:ascii="宋体" w:hAnsi="宋体" w:eastAsia="宋体" w:cs="Times New Roman"/>
          <w:color w:val="auto"/>
          <w:szCs w:val="21"/>
          <w:highlight w:val="none"/>
        </w:rPr>
        <w:t>投标人：</w:t>
      </w:r>
      <w:r>
        <w:rPr>
          <w:rFonts w:hint="eastAsia" w:ascii="宋体" w:hAnsi="宋体" w:eastAsia="宋体" w:cs="Times New Roman"/>
          <w:color w:val="auto"/>
          <w:szCs w:val="21"/>
          <w:highlight w:val="none"/>
          <w:u w:val="single"/>
        </w:rPr>
        <w:t xml:space="preserve">                             </w:t>
      </w:r>
      <w:r>
        <w:rPr>
          <w:rFonts w:hint="eastAsia" w:ascii="Times New Roman" w:hAnsi="宋体" w:eastAsia="宋体" w:cs="Times New Roman"/>
          <w:color w:val="auto"/>
          <w:szCs w:val="21"/>
          <w:highlight w:val="none"/>
        </w:rPr>
        <w:t>（电子签章）</w:t>
      </w:r>
    </w:p>
    <w:p>
      <w:pPr>
        <w:spacing w:line="440" w:lineRule="exact"/>
        <w:jc w:val="right"/>
        <w:rPr>
          <w:rFonts w:ascii="宋体" w:hAnsi="宋体" w:eastAsia="宋体" w:cs="Times New Roman"/>
          <w:color w:val="auto"/>
          <w:szCs w:val="21"/>
          <w:highlight w:val="none"/>
        </w:rPr>
      </w:pPr>
    </w:p>
    <w:p>
      <w:pPr>
        <w:wordWrap w:val="0"/>
        <w:ind w:firstLine="420" w:firstLineChars="200"/>
        <w:jc w:val="right"/>
        <w:rPr>
          <w:rFonts w:ascii="宋体" w:hAnsi="宋体" w:eastAsia="宋体" w:cs="Times New Roman"/>
          <w:bCs/>
          <w:color w:val="auto"/>
          <w:szCs w:val="20"/>
          <w:highlight w:val="none"/>
        </w:rPr>
      </w:pPr>
      <w:r>
        <w:rPr>
          <w:rFonts w:hint="eastAsia" w:ascii="宋体" w:hAnsi="宋体" w:eastAsia="宋体" w:cs="Times New Roman"/>
          <w:color w:val="auto"/>
          <w:szCs w:val="21"/>
          <w:highlight w:val="none"/>
        </w:rPr>
        <w:t>法定代表人：</w:t>
      </w:r>
      <w:r>
        <w:rPr>
          <w:rFonts w:hint="eastAsia" w:ascii="宋体" w:hAnsi="宋体" w:eastAsia="宋体" w:cs="Times New Roman"/>
          <w:color w:val="auto"/>
          <w:szCs w:val="21"/>
          <w:highlight w:val="none"/>
          <w:u w:val="single"/>
        </w:rPr>
        <w:t xml:space="preserve">               </w:t>
      </w:r>
      <w:r>
        <w:rPr>
          <w:rFonts w:hint="eastAsia" w:ascii="Times New Roman" w:hAnsi="宋体" w:eastAsia="宋体" w:cs="Times New Roman"/>
          <w:color w:val="auto"/>
          <w:szCs w:val="21"/>
          <w:highlight w:val="none"/>
        </w:rPr>
        <w:t>（电子签章）</w:t>
      </w:r>
    </w:p>
    <w:p>
      <w:pPr>
        <w:spacing w:line="440" w:lineRule="exact"/>
        <w:ind w:right="420" w:firstLine="3150" w:firstLineChars="1500"/>
        <w:rPr>
          <w:rFonts w:ascii="宋体" w:hAnsi="宋体" w:eastAsia="宋体" w:cs="Times New Roman"/>
          <w:color w:val="auto"/>
          <w:szCs w:val="21"/>
          <w:highlight w:val="none"/>
        </w:rPr>
      </w:pPr>
    </w:p>
    <w:p>
      <w:pPr>
        <w:spacing w:line="440" w:lineRule="exact"/>
        <w:jc w:val="right"/>
        <w:rPr>
          <w:rFonts w:ascii="宋体" w:hAnsi="宋体" w:eastAsia="宋体" w:cs="Times New Roman"/>
          <w:color w:val="auto"/>
          <w:szCs w:val="21"/>
          <w:highlight w:val="none"/>
        </w:rPr>
      </w:pPr>
    </w:p>
    <w:p>
      <w:pPr>
        <w:spacing w:line="440" w:lineRule="exact"/>
        <w:jc w:val="right"/>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p>
      <w:pPr>
        <w:rPr>
          <w:rFonts w:ascii="Times New Roman" w:hAnsi="Times New Roman" w:eastAsia="宋体" w:cs="Times New Roman"/>
          <w:color w:val="auto"/>
          <w:szCs w:val="24"/>
          <w:highlight w:val="none"/>
        </w:rPr>
      </w:pPr>
    </w:p>
    <w:p>
      <w:pPr>
        <w:keepNext/>
        <w:keepLines/>
        <w:spacing w:before="260" w:after="260" w:line="415" w:lineRule="auto"/>
        <w:ind w:firstLine="137"/>
        <w:outlineLvl w:val="2"/>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br w:type="page"/>
      </w:r>
      <w:bookmarkStart w:id="1797" w:name="_Toc216681972"/>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二</w:t>
      </w:r>
      <w:r>
        <w:rPr>
          <w:rFonts w:ascii="黑体" w:hAnsi="宋体" w:eastAsia="黑体" w:cs="Times New Roman"/>
          <w:bCs/>
          <w:color w:val="auto"/>
          <w:sz w:val="28"/>
          <w:szCs w:val="28"/>
          <w:highlight w:val="none"/>
        </w:rPr>
        <w:t>）</w:t>
      </w:r>
      <w:r>
        <w:rPr>
          <w:rFonts w:hint="eastAsia" w:ascii="黑体" w:hAnsi="宋体" w:eastAsia="黑体" w:cs="Times New Roman"/>
          <w:bCs/>
          <w:color w:val="auto"/>
          <w:sz w:val="28"/>
          <w:szCs w:val="28"/>
          <w:highlight w:val="none"/>
        </w:rPr>
        <w:t>其他</w:t>
      </w:r>
      <w:bookmarkEnd w:id="1797"/>
    </w:p>
    <w:p>
      <w:pPr>
        <w:spacing w:line="400" w:lineRule="exact"/>
        <w:ind w:firstLine="315"/>
        <w:rPr>
          <w:rFonts w:ascii="Times New Roman" w:hAnsi="Times New Roman" w:eastAsia="宋体" w:cs="Times New Roman"/>
          <w:color w:val="auto"/>
          <w:szCs w:val="24"/>
          <w:highlight w:val="none"/>
        </w:rPr>
      </w:pPr>
    </w:p>
    <w:p>
      <w:pPr>
        <w:keepNext/>
        <w:keepLines/>
        <w:spacing w:before="260" w:after="260" w:line="415" w:lineRule="auto"/>
        <w:outlineLvl w:val="2"/>
        <w:rPr>
          <w:rFonts w:ascii="黑体" w:hAnsi="宋体" w:eastAsia="黑体" w:cs="Times New Roman"/>
          <w:bCs/>
          <w:color w:val="auto"/>
          <w:sz w:val="28"/>
          <w:szCs w:val="28"/>
          <w:highlight w:val="none"/>
        </w:rPr>
      </w:pPr>
    </w:p>
    <w:p>
      <w:pPr>
        <w:rPr>
          <w:rFonts w:ascii="Times New Roman" w:hAnsi="Times New Roman" w:eastAsia="宋体" w:cs="Times New Roman"/>
          <w:color w:val="auto"/>
          <w:szCs w:val="24"/>
          <w:highlight w:val="none"/>
        </w:rPr>
      </w:pPr>
    </w:p>
    <w:p>
      <w:pPr>
        <w:rPr>
          <w:color w:val="auto"/>
          <w:highlight w:val="none"/>
        </w:rPr>
      </w:pPr>
    </w:p>
    <w:sectPr>
      <w:head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0" w:usb3="00000000" w:csb0="00000093"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roman"/>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G Times">
    <w:altName w:val="Times New Roman"/>
    <w:panose1 w:val="02020603050405020304"/>
    <w:charset w:val="00"/>
    <w:family w:val="roman"/>
    <w:pitch w:val="default"/>
    <w:sig w:usb0="00000000" w:usb1="00000000" w:usb2="00000000" w:usb3="00000000" w:csb0="00000093"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201060103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169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5"/>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169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A7760"/>
    <w:multiLevelType w:val="singleLevel"/>
    <w:tmpl w:val="D60A7760"/>
    <w:lvl w:ilvl="0" w:tentative="0">
      <w:start w:val="3"/>
      <w:numFmt w:val="chineseCounting"/>
      <w:suff w:val="space"/>
      <w:lvlText w:val="第%1部分"/>
      <w:lvlJc w:val="left"/>
      <w:rPr>
        <w:rFonts w:hint="eastAsia"/>
      </w:rPr>
    </w:lvl>
  </w:abstractNum>
  <w:abstractNum w:abstractNumId="1">
    <w:nsid w:val="ECD95777"/>
    <w:multiLevelType w:val="singleLevel"/>
    <w:tmpl w:val="ECD95777"/>
    <w:lvl w:ilvl="0" w:tentative="0">
      <w:start w:val="2"/>
      <w:numFmt w:val="chineseCounting"/>
      <w:suff w:val="space"/>
      <w:lvlText w:val="第%1部分"/>
      <w:lvlJc w:val="left"/>
      <w:rPr>
        <w:rFonts w:hint="eastAsia"/>
      </w:rPr>
    </w:lvl>
  </w:abstractNum>
  <w:abstractNum w:abstractNumId="2">
    <w:nsid w:val="00000004"/>
    <w:multiLevelType w:val="singleLevel"/>
    <w:tmpl w:val="00000004"/>
    <w:lvl w:ilvl="0" w:tentative="0">
      <w:start w:val="5"/>
      <w:numFmt w:val="decimal"/>
      <w:pStyle w:val="123"/>
      <w:suff w:val="nothing"/>
      <w:lvlText w:val="%1．"/>
      <w:lvlJc w:val="left"/>
    </w:lvl>
  </w:abstractNum>
  <w:abstractNum w:abstractNumId="3">
    <w:nsid w:val="0D8C6054"/>
    <w:multiLevelType w:val="multilevel"/>
    <w:tmpl w:val="0D8C6054"/>
    <w:lvl w:ilvl="0" w:tentative="0">
      <w:start w:val="1"/>
      <w:numFmt w:val="decimal"/>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pStyle w:val="114"/>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95467E7"/>
    <w:multiLevelType w:val="multilevel"/>
    <w:tmpl w:val="195467E7"/>
    <w:lvl w:ilvl="0" w:tentative="0">
      <w:start w:val="1"/>
      <w:numFmt w:val="decimal"/>
      <w:pStyle w:val="141"/>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D39578F"/>
    <w:multiLevelType w:val="multilevel"/>
    <w:tmpl w:val="1D39578F"/>
    <w:lvl w:ilvl="0" w:tentative="0">
      <w:start w:val="1"/>
      <w:numFmt w:val="decimal"/>
      <w:lvlText w:val="%1、"/>
      <w:lvlJc w:val="left"/>
      <w:pPr>
        <w:ind w:left="360" w:hanging="360"/>
      </w:pPr>
      <w:rPr>
        <w:rFonts w:hint="default"/>
        <w:color w:val="auto"/>
      </w:rPr>
    </w:lvl>
    <w:lvl w:ilvl="1" w:tentative="0">
      <w:start w:val="1"/>
      <w:numFmt w:val="lowerLetter"/>
      <w:pStyle w:val="132"/>
      <w:lvlText w:val="%2)"/>
      <w:lvlJc w:val="left"/>
      <w:pPr>
        <w:ind w:left="840" w:hanging="420"/>
      </w:pPr>
    </w:lvl>
    <w:lvl w:ilvl="2" w:tentative="0">
      <w:start w:val="1"/>
      <w:numFmt w:val="lowerRoman"/>
      <w:lvlText w:val="%3."/>
      <w:lvlJc w:val="right"/>
      <w:pPr>
        <w:ind w:left="1260" w:hanging="420"/>
      </w:pPr>
    </w:lvl>
    <w:lvl w:ilvl="3" w:tentative="0">
      <w:start w:val="1"/>
      <w:numFmt w:val="decimal"/>
      <w:pStyle w:val="156"/>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7">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lvlText w:val="(%2)"/>
      <w:lvlJc w:val="left"/>
      <w:pPr>
        <w:tabs>
          <w:tab w:val="left" w:pos="1417"/>
        </w:tabs>
        <w:ind w:left="1417" w:hanging="793"/>
      </w:pPr>
    </w:lvl>
    <w:lvl w:ilvl="2" w:tentative="0">
      <w:start w:val="1"/>
      <w:numFmt w:val="upperLetter"/>
      <w:pStyle w:val="151"/>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8">
    <w:nsid w:val="301F5202"/>
    <w:multiLevelType w:val="multilevel"/>
    <w:tmpl w:val="301F5202"/>
    <w:lvl w:ilvl="0" w:tentative="0">
      <w:start w:val="1"/>
      <w:numFmt w:val="decimal"/>
      <w:pStyle w:val="118"/>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9">
    <w:nsid w:val="3AA800C6"/>
    <w:multiLevelType w:val="multilevel"/>
    <w:tmpl w:val="3AA800C6"/>
    <w:lvl w:ilvl="0" w:tentative="0">
      <w:start w:val="1"/>
      <w:numFmt w:val="decimal"/>
      <w:pStyle w:val="152"/>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0">
    <w:nsid w:val="5EAA4008"/>
    <w:multiLevelType w:val="singleLevel"/>
    <w:tmpl w:val="5EAA4008"/>
    <w:lvl w:ilvl="0" w:tentative="0">
      <w:start w:val="1"/>
      <w:numFmt w:val="decimal"/>
      <w:suff w:val="nothing"/>
      <w:lvlText w:val="（%1）"/>
      <w:lvlJc w:val="left"/>
    </w:lvl>
  </w:abstractNum>
  <w:abstractNum w:abstractNumId="11">
    <w:nsid w:val="61BD6C99"/>
    <w:multiLevelType w:val="multilevel"/>
    <w:tmpl w:val="61BD6C99"/>
    <w:lvl w:ilvl="0" w:tentative="0">
      <w:start w:val="1"/>
      <w:numFmt w:val="lowerRoman"/>
      <w:lvlText w:val="(%1)"/>
      <w:lvlJc w:val="left"/>
      <w:pPr>
        <w:ind w:left="1560" w:hanging="720"/>
      </w:pPr>
    </w:lvl>
    <w:lvl w:ilvl="1" w:tentative="0">
      <w:start w:val="1"/>
      <w:numFmt w:val="lowerLetter"/>
      <w:pStyle w:val="155"/>
      <w:lvlText w:val="%2)"/>
      <w:lvlJc w:val="left"/>
      <w:pPr>
        <w:ind w:left="1680" w:hanging="420"/>
      </w:pPr>
    </w:lvl>
    <w:lvl w:ilvl="2" w:tentative="0">
      <w:start w:val="1"/>
      <w:numFmt w:val="lowerRoman"/>
      <w:pStyle w:val="149"/>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62687BB6"/>
    <w:multiLevelType w:val="multilevel"/>
    <w:tmpl w:val="62687BB6"/>
    <w:lvl w:ilvl="0" w:tentative="0">
      <w:start w:val="1"/>
      <w:numFmt w:val="decimal"/>
      <w:pStyle w:val="153"/>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num w:numId="1">
    <w:abstractNumId w:val="3"/>
  </w:num>
  <w:num w:numId="2">
    <w:abstractNumId w:val="8"/>
  </w:num>
  <w:num w:numId="3">
    <w:abstractNumId w:val="2"/>
  </w:num>
  <w:num w:numId="4">
    <w:abstractNumId w:val="6"/>
    <w:lvlOverride w:ilvl="0">
      <w:lvl w:ilvl="0" w:tentative="1">
        <w:start w:val="1"/>
        <w:numFmt w:val="decimal"/>
        <w:pStyle w:val="147"/>
        <w:lvlText w:val="第%1条"/>
        <w:lvlJc w:val="left"/>
        <w:pPr>
          <w:ind w:left="0" w:firstLine="0"/>
        </w:pPr>
      </w:lvl>
    </w:lvlOverride>
    <w:lvlOverride w:ilvl="1">
      <w:lvl w:ilvl="1" w:tentative="1">
        <w:start w:val="1"/>
        <w:numFmt w:val="decimal"/>
        <w:pStyle w:val="150"/>
        <w:lvlText w:val="%1.%2"/>
        <w:lvlJc w:val="left"/>
        <w:pPr>
          <w:ind w:left="1843" w:firstLine="0"/>
        </w:pPr>
      </w:lvl>
    </w:lvlOverride>
    <w:lvlOverride w:ilvl="2">
      <w:lvl w:ilvl="2" w:tentative="1">
        <w:start w:val="1"/>
        <w:numFmt w:val="decimal"/>
        <w:pStyle w:val="125"/>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5">
    <w:abstractNumId w:val="5"/>
  </w:num>
  <w:num w:numId="6">
    <w:abstractNumId w:val="4"/>
  </w:num>
  <w:num w:numId="7">
    <w:abstractNumId w:val="10"/>
  </w:num>
  <w:num w:numId="8">
    <w:abstractNumId w:val="11"/>
  </w:num>
  <w:num w:numId="9">
    <w:abstractNumId w:val="7"/>
  </w:num>
  <w:num w:numId="10">
    <w:abstractNumId w:val="9"/>
  </w:num>
  <w:num w:numId="11">
    <w:abstractNumId w:val="1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4NzIxYjZlNzQwZDVmZDRmOTkzNjczMzYzN2YyMDIifQ=="/>
  </w:docVars>
  <w:rsids>
    <w:rsidRoot w:val="00902FC7"/>
    <w:rsid w:val="0001098C"/>
    <w:rsid w:val="000113DD"/>
    <w:rsid w:val="00026EEA"/>
    <w:rsid w:val="00033044"/>
    <w:rsid w:val="000366AD"/>
    <w:rsid w:val="00037078"/>
    <w:rsid w:val="00037540"/>
    <w:rsid w:val="00041529"/>
    <w:rsid w:val="00072F1F"/>
    <w:rsid w:val="00073151"/>
    <w:rsid w:val="000835A1"/>
    <w:rsid w:val="000860F6"/>
    <w:rsid w:val="00095308"/>
    <w:rsid w:val="000A20B2"/>
    <w:rsid w:val="000A3F81"/>
    <w:rsid w:val="000A4225"/>
    <w:rsid w:val="000B04EE"/>
    <w:rsid w:val="000D27BF"/>
    <w:rsid w:val="000D57AD"/>
    <w:rsid w:val="000D7A5D"/>
    <w:rsid w:val="000E1BA9"/>
    <w:rsid w:val="00101BB1"/>
    <w:rsid w:val="00101DEF"/>
    <w:rsid w:val="00106887"/>
    <w:rsid w:val="0011118C"/>
    <w:rsid w:val="001111DC"/>
    <w:rsid w:val="00134FCF"/>
    <w:rsid w:val="00135785"/>
    <w:rsid w:val="0013585C"/>
    <w:rsid w:val="00137C18"/>
    <w:rsid w:val="0014301F"/>
    <w:rsid w:val="00152F21"/>
    <w:rsid w:val="00153458"/>
    <w:rsid w:val="00162962"/>
    <w:rsid w:val="00166E31"/>
    <w:rsid w:val="00170A25"/>
    <w:rsid w:val="0017501E"/>
    <w:rsid w:val="00175317"/>
    <w:rsid w:val="00180BF0"/>
    <w:rsid w:val="00181170"/>
    <w:rsid w:val="00183D64"/>
    <w:rsid w:val="00185DD2"/>
    <w:rsid w:val="00192002"/>
    <w:rsid w:val="001A2519"/>
    <w:rsid w:val="001B3630"/>
    <w:rsid w:val="001B74F3"/>
    <w:rsid w:val="001C24B3"/>
    <w:rsid w:val="001D18E0"/>
    <w:rsid w:val="001D6B45"/>
    <w:rsid w:val="001E1092"/>
    <w:rsid w:val="001E362A"/>
    <w:rsid w:val="001E39C1"/>
    <w:rsid w:val="001F3432"/>
    <w:rsid w:val="001F5F36"/>
    <w:rsid w:val="00201A7F"/>
    <w:rsid w:val="0020387A"/>
    <w:rsid w:val="00206318"/>
    <w:rsid w:val="00221D60"/>
    <w:rsid w:val="0022308A"/>
    <w:rsid w:val="0022374B"/>
    <w:rsid w:val="00225869"/>
    <w:rsid w:val="002359D7"/>
    <w:rsid w:val="002369FC"/>
    <w:rsid w:val="0024137B"/>
    <w:rsid w:val="00253D0F"/>
    <w:rsid w:val="00254B89"/>
    <w:rsid w:val="00255F18"/>
    <w:rsid w:val="002622C0"/>
    <w:rsid w:val="00270093"/>
    <w:rsid w:val="00270A03"/>
    <w:rsid w:val="00273718"/>
    <w:rsid w:val="002752E5"/>
    <w:rsid w:val="002869CA"/>
    <w:rsid w:val="00292E50"/>
    <w:rsid w:val="002A7842"/>
    <w:rsid w:val="002B2B04"/>
    <w:rsid w:val="002D1283"/>
    <w:rsid w:val="002D1948"/>
    <w:rsid w:val="002D69EF"/>
    <w:rsid w:val="002E73E6"/>
    <w:rsid w:val="0031469F"/>
    <w:rsid w:val="00314766"/>
    <w:rsid w:val="00316C27"/>
    <w:rsid w:val="00321AD1"/>
    <w:rsid w:val="00330341"/>
    <w:rsid w:val="00332D3E"/>
    <w:rsid w:val="0035074F"/>
    <w:rsid w:val="00357898"/>
    <w:rsid w:val="00362854"/>
    <w:rsid w:val="0036485F"/>
    <w:rsid w:val="0036489E"/>
    <w:rsid w:val="00371EE1"/>
    <w:rsid w:val="00380110"/>
    <w:rsid w:val="00384762"/>
    <w:rsid w:val="00386DE8"/>
    <w:rsid w:val="003C04F0"/>
    <w:rsid w:val="003C2119"/>
    <w:rsid w:val="003C50E7"/>
    <w:rsid w:val="003D5CA7"/>
    <w:rsid w:val="003E4B05"/>
    <w:rsid w:val="003E4D22"/>
    <w:rsid w:val="00406FE8"/>
    <w:rsid w:val="00433B48"/>
    <w:rsid w:val="00436D3A"/>
    <w:rsid w:val="00443B60"/>
    <w:rsid w:val="00450B9F"/>
    <w:rsid w:val="00460F36"/>
    <w:rsid w:val="004625FB"/>
    <w:rsid w:val="004673CC"/>
    <w:rsid w:val="00470FF1"/>
    <w:rsid w:val="00474924"/>
    <w:rsid w:val="004902D9"/>
    <w:rsid w:val="00497F1E"/>
    <w:rsid w:val="004A14EE"/>
    <w:rsid w:val="004A3C4F"/>
    <w:rsid w:val="004A5697"/>
    <w:rsid w:val="004B0CE8"/>
    <w:rsid w:val="004B67FD"/>
    <w:rsid w:val="004C1890"/>
    <w:rsid w:val="004C7F71"/>
    <w:rsid w:val="004D47B3"/>
    <w:rsid w:val="004F01B9"/>
    <w:rsid w:val="004F5E63"/>
    <w:rsid w:val="004F723D"/>
    <w:rsid w:val="00502951"/>
    <w:rsid w:val="00502BBB"/>
    <w:rsid w:val="005076F5"/>
    <w:rsid w:val="00510730"/>
    <w:rsid w:val="00511D30"/>
    <w:rsid w:val="005124B0"/>
    <w:rsid w:val="005207E0"/>
    <w:rsid w:val="0052584C"/>
    <w:rsid w:val="005263F6"/>
    <w:rsid w:val="0053140E"/>
    <w:rsid w:val="005323B1"/>
    <w:rsid w:val="00534E6C"/>
    <w:rsid w:val="00537741"/>
    <w:rsid w:val="0053795C"/>
    <w:rsid w:val="005424F5"/>
    <w:rsid w:val="00545FDD"/>
    <w:rsid w:val="00562853"/>
    <w:rsid w:val="0057015C"/>
    <w:rsid w:val="005866A6"/>
    <w:rsid w:val="00590082"/>
    <w:rsid w:val="00591C32"/>
    <w:rsid w:val="0059266F"/>
    <w:rsid w:val="005929BC"/>
    <w:rsid w:val="00594BE4"/>
    <w:rsid w:val="005A2B57"/>
    <w:rsid w:val="005B34C8"/>
    <w:rsid w:val="005B6792"/>
    <w:rsid w:val="005C69D2"/>
    <w:rsid w:val="005F36E6"/>
    <w:rsid w:val="005F3B9C"/>
    <w:rsid w:val="005F439E"/>
    <w:rsid w:val="00614845"/>
    <w:rsid w:val="0061501D"/>
    <w:rsid w:val="00625C2B"/>
    <w:rsid w:val="0062632F"/>
    <w:rsid w:val="00633E6E"/>
    <w:rsid w:val="00636291"/>
    <w:rsid w:val="00637464"/>
    <w:rsid w:val="00640BBC"/>
    <w:rsid w:val="00650566"/>
    <w:rsid w:val="00656B87"/>
    <w:rsid w:val="00692055"/>
    <w:rsid w:val="00692D74"/>
    <w:rsid w:val="00697FBF"/>
    <w:rsid w:val="006A0034"/>
    <w:rsid w:val="006A074A"/>
    <w:rsid w:val="006A49FE"/>
    <w:rsid w:val="006C0ED5"/>
    <w:rsid w:val="006D6068"/>
    <w:rsid w:val="006D679A"/>
    <w:rsid w:val="006E404D"/>
    <w:rsid w:val="006E58A5"/>
    <w:rsid w:val="00700364"/>
    <w:rsid w:val="007019FB"/>
    <w:rsid w:val="0070346D"/>
    <w:rsid w:val="007110A7"/>
    <w:rsid w:val="007111D2"/>
    <w:rsid w:val="00712B01"/>
    <w:rsid w:val="00720CB6"/>
    <w:rsid w:val="00733F77"/>
    <w:rsid w:val="00740EF8"/>
    <w:rsid w:val="00741FF7"/>
    <w:rsid w:val="00761468"/>
    <w:rsid w:val="00765DA8"/>
    <w:rsid w:val="007670FA"/>
    <w:rsid w:val="00776F66"/>
    <w:rsid w:val="00780BE2"/>
    <w:rsid w:val="00793E37"/>
    <w:rsid w:val="007B2C5B"/>
    <w:rsid w:val="007B786F"/>
    <w:rsid w:val="007C042B"/>
    <w:rsid w:val="007C6B16"/>
    <w:rsid w:val="007D6DAB"/>
    <w:rsid w:val="007E1E37"/>
    <w:rsid w:val="007E4730"/>
    <w:rsid w:val="007E5B7D"/>
    <w:rsid w:val="00801E13"/>
    <w:rsid w:val="00802566"/>
    <w:rsid w:val="00803833"/>
    <w:rsid w:val="00815B9E"/>
    <w:rsid w:val="0081699D"/>
    <w:rsid w:val="00817136"/>
    <w:rsid w:val="00836C54"/>
    <w:rsid w:val="00841BEF"/>
    <w:rsid w:val="0084238C"/>
    <w:rsid w:val="00845314"/>
    <w:rsid w:val="00867D8D"/>
    <w:rsid w:val="008727E0"/>
    <w:rsid w:val="0088018A"/>
    <w:rsid w:val="00880452"/>
    <w:rsid w:val="008A347D"/>
    <w:rsid w:val="008A40A2"/>
    <w:rsid w:val="008A68C0"/>
    <w:rsid w:val="008B228C"/>
    <w:rsid w:val="008B2969"/>
    <w:rsid w:val="008E392F"/>
    <w:rsid w:val="008E44C7"/>
    <w:rsid w:val="008E5448"/>
    <w:rsid w:val="008E5974"/>
    <w:rsid w:val="008E6A8F"/>
    <w:rsid w:val="00902FC7"/>
    <w:rsid w:val="009035CC"/>
    <w:rsid w:val="00904838"/>
    <w:rsid w:val="009272E1"/>
    <w:rsid w:val="009315FA"/>
    <w:rsid w:val="0093338C"/>
    <w:rsid w:val="00933AB3"/>
    <w:rsid w:val="00945A72"/>
    <w:rsid w:val="00962100"/>
    <w:rsid w:val="00963F09"/>
    <w:rsid w:val="00965663"/>
    <w:rsid w:val="009668AB"/>
    <w:rsid w:val="00972628"/>
    <w:rsid w:val="009846AE"/>
    <w:rsid w:val="00985A98"/>
    <w:rsid w:val="00985F40"/>
    <w:rsid w:val="00992554"/>
    <w:rsid w:val="009A5D73"/>
    <w:rsid w:val="009B03D3"/>
    <w:rsid w:val="009C793F"/>
    <w:rsid w:val="009D1E14"/>
    <w:rsid w:val="009D4824"/>
    <w:rsid w:val="009D621F"/>
    <w:rsid w:val="009E059F"/>
    <w:rsid w:val="009E2461"/>
    <w:rsid w:val="009E7E1E"/>
    <w:rsid w:val="009F3EFF"/>
    <w:rsid w:val="009F6B93"/>
    <w:rsid w:val="009F7BAE"/>
    <w:rsid w:val="009F7E28"/>
    <w:rsid w:val="00A076F6"/>
    <w:rsid w:val="00A11252"/>
    <w:rsid w:val="00A2530D"/>
    <w:rsid w:val="00A319C8"/>
    <w:rsid w:val="00A351A1"/>
    <w:rsid w:val="00A35DE3"/>
    <w:rsid w:val="00A369F6"/>
    <w:rsid w:val="00A37011"/>
    <w:rsid w:val="00A41CE4"/>
    <w:rsid w:val="00A447BD"/>
    <w:rsid w:val="00A46E88"/>
    <w:rsid w:val="00A55C02"/>
    <w:rsid w:val="00A62037"/>
    <w:rsid w:val="00A72928"/>
    <w:rsid w:val="00A81D16"/>
    <w:rsid w:val="00A85C47"/>
    <w:rsid w:val="00A924B6"/>
    <w:rsid w:val="00A93A53"/>
    <w:rsid w:val="00AA129D"/>
    <w:rsid w:val="00AA25A4"/>
    <w:rsid w:val="00AA42CC"/>
    <w:rsid w:val="00AA606B"/>
    <w:rsid w:val="00AA6D77"/>
    <w:rsid w:val="00AB2ED9"/>
    <w:rsid w:val="00AC10A4"/>
    <w:rsid w:val="00AE2768"/>
    <w:rsid w:val="00AF28DE"/>
    <w:rsid w:val="00AF57C1"/>
    <w:rsid w:val="00AF6C9C"/>
    <w:rsid w:val="00B01B6A"/>
    <w:rsid w:val="00B0404F"/>
    <w:rsid w:val="00B1035F"/>
    <w:rsid w:val="00B15D7E"/>
    <w:rsid w:val="00B1763A"/>
    <w:rsid w:val="00B24526"/>
    <w:rsid w:val="00B37B1E"/>
    <w:rsid w:val="00B40703"/>
    <w:rsid w:val="00B517A6"/>
    <w:rsid w:val="00B5341F"/>
    <w:rsid w:val="00B6154A"/>
    <w:rsid w:val="00B6174B"/>
    <w:rsid w:val="00B658F2"/>
    <w:rsid w:val="00B71BDE"/>
    <w:rsid w:val="00B81D3E"/>
    <w:rsid w:val="00B85CCA"/>
    <w:rsid w:val="00B8612E"/>
    <w:rsid w:val="00B94867"/>
    <w:rsid w:val="00B975C3"/>
    <w:rsid w:val="00BA22E8"/>
    <w:rsid w:val="00BA70EB"/>
    <w:rsid w:val="00BA7894"/>
    <w:rsid w:val="00BB10C0"/>
    <w:rsid w:val="00BB589C"/>
    <w:rsid w:val="00BD013F"/>
    <w:rsid w:val="00BD357E"/>
    <w:rsid w:val="00BE63BB"/>
    <w:rsid w:val="00BF4081"/>
    <w:rsid w:val="00BF5744"/>
    <w:rsid w:val="00BF6F33"/>
    <w:rsid w:val="00C01923"/>
    <w:rsid w:val="00C03042"/>
    <w:rsid w:val="00C13AB5"/>
    <w:rsid w:val="00C206A8"/>
    <w:rsid w:val="00C23B73"/>
    <w:rsid w:val="00C24E2F"/>
    <w:rsid w:val="00C27E51"/>
    <w:rsid w:val="00C356FD"/>
    <w:rsid w:val="00C40C1A"/>
    <w:rsid w:val="00C4164E"/>
    <w:rsid w:val="00C450B8"/>
    <w:rsid w:val="00C634A6"/>
    <w:rsid w:val="00C76BE2"/>
    <w:rsid w:val="00C77462"/>
    <w:rsid w:val="00C82930"/>
    <w:rsid w:val="00C91645"/>
    <w:rsid w:val="00C96CF0"/>
    <w:rsid w:val="00CA0022"/>
    <w:rsid w:val="00CB139C"/>
    <w:rsid w:val="00CB3DEE"/>
    <w:rsid w:val="00CC5D68"/>
    <w:rsid w:val="00CC60A2"/>
    <w:rsid w:val="00CD4718"/>
    <w:rsid w:val="00CD7536"/>
    <w:rsid w:val="00CE080D"/>
    <w:rsid w:val="00CE51DF"/>
    <w:rsid w:val="00CF0C31"/>
    <w:rsid w:val="00CF1F57"/>
    <w:rsid w:val="00CF2FC4"/>
    <w:rsid w:val="00CF5B1B"/>
    <w:rsid w:val="00D0057A"/>
    <w:rsid w:val="00D00AEE"/>
    <w:rsid w:val="00D03A98"/>
    <w:rsid w:val="00D20218"/>
    <w:rsid w:val="00D21061"/>
    <w:rsid w:val="00D2221B"/>
    <w:rsid w:val="00D271A6"/>
    <w:rsid w:val="00D36042"/>
    <w:rsid w:val="00D42BA6"/>
    <w:rsid w:val="00D44784"/>
    <w:rsid w:val="00D4581D"/>
    <w:rsid w:val="00D53728"/>
    <w:rsid w:val="00D6188B"/>
    <w:rsid w:val="00D73952"/>
    <w:rsid w:val="00D8458F"/>
    <w:rsid w:val="00D92701"/>
    <w:rsid w:val="00D94D2E"/>
    <w:rsid w:val="00DA2E70"/>
    <w:rsid w:val="00DB2029"/>
    <w:rsid w:val="00DB65ED"/>
    <w:rsid w:val="00DB796A"/>
    <w:rsid w:val="00DC5655"/>
    <w:rsid w:val="00DC793E"/>
    <w:rsid w:val="00DD2B4F"/>
    <w:rsid w:val="00DE28CE"/>
    <w:rsid w:val="00DE675D"/>
    <w:rsid w:val="00DE7C21"/>
    <w:rsid w:val="00DF2D1E"/>
    <w:rsid w:val="00DF6FCA"/>
    <w:rsid w:val="00E019FB"/>
    <w:rsid w:val="00E02AA5"/>
    <w:rsid w:val="00E06C20"/>
    <w:rsid w:val="00E111DD"/>
    <w:rsid w:val="00E16CAC"/>
    <w:rsid w:val="00E24E48"/>
    <w:rsid w:val="00E41C4B"/>
    <w:rsid w:val="00E4237A"/>
    <w:rsid w:val="00E42564"/>
    <w:rsid w:val="00E44590"/>
    <w:rsid w:val="00E46314"/>
    <w:rsid w:val="00E50468"/>
    <w:rsid w:val="00E53A17"/>
    <w:rsid w:val="00E556B9"/>
    <w:rsid w:val="00E62069"/>
    <w:rsid w:val="00E62378"/>
    <w:rsid w:val="00E7164E"/>
    <w:rsid w:val="00E72FDF"/>
    <w:rsid w:val="00E8350C"/>
    <w:rsid w:val="00E90C76"/>
    <w:rsid w:val="00E92520"/>
    <w:rsid w:val="00EA28B4"/>
    <w:rsid w:val="00EA47B3"/>
    <w:rsid w:val="00EA5510"/>
    <w:rsid w:val="00EB564F"/>
    <w:rsid w:val="00EC147A"/>
    <w:rsid w:val="00EE6708"/>
    <w:rsid w:val="00EF11BE"/>
    <w:rsid w:val="00F05FC3"/>
    <w:rsid w:val="00F14A0E"/>
    <w:rsid w:val="00F257DB"/>
    <w:rsid w:val="00F70974"/>
    <w:rsid w:val="00F72087"/>
    <w:rsid w:val="00F72C78"/>
    <w:rsid w:val="00F74626"/>
    <w:rsid w:val="00F75773"/>
    <w:rsid w:val="00F84976"/>
    <w:rsid w:val="00F9568D"/>
    <w:rsid w:val="00FA2EFB"/>
    <w:rsid w:val="00FB3039"/>
    <w:rsid w:val="00FC7FC9"/>
    <w:rsid w:val="00FD07CF"/>
    <w:rsid w:val="00FD1A9C"/>
    <w:rsid w:val="00FD1AAD"/>
    <w:rsid w:val="00FD5297"/>
    <w:rsid w:val="00FD7CB6"/>
    <w:rsid w:val="00FE2160"/>
    <w:rsid w:val="00FF2F39"/>
    <w:rsid w:val="00FF44FB"/>
    <w:rsid w:val="02533F0F"/>
    <w:rsid w:val="036839EA"/>
    <w:rsid w:val="073562D9"/>
    <w:rsid w:val="08F32103"/>
    <w:rsid w:val="0E5C05EF"/>
    <w:rsid w:val="1340403C"/>
    <w:rsid w:val="17033CFE"/>
    <w:rsid w:val="18730A0F"/>
    <w:rsid w:val="1AC449DB"/>
    <w:rsid w:val="1AE6371B"/>
    <w:rsid w:val="1BB6133F"/>
    <w:rsid w:val="22CD0827"/>
    <w:rsid w:val="23580F2E"/>
    <w:rsid w:val="24E54A43"/>
    <w:rsid w:val="25D24FC7"/>
    <w:rsid w:val="26ED5E31"/>
    <w:rsid w:val="290B4905"/>
    <w:rsid w:val="29E4351B"/>
    <w:rsid w:val="2A9421C0"/>
    <w:rsid w:val="2F5A4BF1"/>
    <w:rsid w:val="303B7C0D"/>
    <w:rsid w:val="306233EC"/>
    <w:rsid w:val="31434FCB"/>
    <w:rsid w:val="316A07AA"/>
    <w:rsid w:val="32C739DA"/>
    <w:rsid w:val="350F7D89"/>
    <w:rsid w:val="39F01A68"/>
    <w:rsid w:val="3AD969A0"/>
    <w:rsid w:val="3B2121B4"/>
    <w:rsid w:val="3C432323"/>
    <w:rsid w:val="3D4A3B7F"/>
    <w:rsid w:val="3EEF0540"/>
    <w:rsid w:val="3FA05CDE"/>
    <w:rsid w:val="406373A6"/>
    <w:rsid w:val="434075BC"/>
    <w:rsid w:val="445A46AE"/>
    <w:rsid w:val="463E4AE6"/>
    <w:rsid w:val="46BF4C9C"/>
    <w:rsid w:val="49CF3448"/>
    <w:rsid w:val="49DC5B65"/>
    <w:rsid w:val="4A1D0657"/>
    <w:rsid w:val="4E073831"/>
    <w:rsid w:val="4F455F5A"/>
    <w:rsid w:val="50CC06E1"/>
    <w:rsid w:val="51B80C66"/>
    <w:rsid w:val="5CDB6025"/>
    <w:rsid w:val="5E6301AB"/>
    <w:rsid w:val="5EE017FC"/>
    <w:rsid w:val="606C1599"/>
    <w:rsid w:val="61ED7C66"/>
    <w:rsid w:val="62C531E2"/>
    <w:rsid w:val="63E1404C"/>
    <w:rsid w:val="715F2A54"/>
    <w:rsid w:val="72E4251B"/>
    <w:rsid w:val="79E85CDC"/>
    <w:rsid w:val="7B5F3D7C"/>
    <w:rsid w:val="7B713AB0"/>
    <w:rsid w:val="7FF30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iPriority="99" w:semiHidden="0" w:name="Body Text 2"/>
    <w:lsdException w:qFormat="1" w:unhideWhenUsed="0" w:uiPriority="99" w:semiHidden="0"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2"/>
    <w:qFormat/>
    <w:uiPriority w:val="0"/>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4">
    <w:name w:val="heading 2"/>
    <w:basedOn w:val="1"/>
    <w:next w:val="1"/>
    <w:link w:val="53"/>
    <w:qFormat/>
    <w:uiPriority w:val="0"/>
    <w:pPr>
      <w:keepNext/>
      <w:keepLines/>
      <w:spacing w:before="260" w:after="260" w:line="415" w:lineRule="auto"/>
      <w:outlineLvl w:val="1"/>
    </w:pPr>
    <w:rPr>
      <w:rFonts w:ascii="Arial" w:hAnsi="Arial" w:eastAsia="黑体" w:cs="Times New Roman"/>
      <w:b/>
      <w:bCs/>
      <w:sz w:val="32"/>
      <w:szCs w:val="32"/>
    </w:rPr>
  </w:style>
  <w:style w:type="paragraph" w:styleId="5">
    <w:name w:val="heading 3"/>
    <w:basedOn w:val="1"/>
    <w:next w:val="1"/>
    <w:link w:val="54"/>
    <w:qFormat/>
    <w:uiPriority w:val="0"/>
    <w:pPr>
      <w:keepNext/>
      <w:keepLines/>
      <w:spacing w:before="260" w:after="260" w:line="415" w:lineRule="auto"/>
      <w:ind w:firstLine="137"/>
      <w:outlineLvl w:val="2"/>
    </w:pPr>
    <w:rPr>
      <w:rFonts w:ascii="黑体" w:hAnsi="宋体" w:eastAsia="黑体" w:cs="Times New Roman"/>
      <w:bCs/>
      <w:sz w:val="28"/>
      <w:szCs w:val="28"/>
    </w:rPr>
  </w:style>
  <w:style w:type="paragraph" w:styleId="6">
    <w:name w:val="heading 4"/>
    <w:basedOn w:val="1"/>
    <w:next w:val="1"/>
    <w:link w:val="55"/>
    <w:qFormat/>
    <w:uiPriority w:val="0"/>
    <w:pPr>
      <w:keepNext/>
      <w:keepLines/>
      <w:spacing w:before="280" w:after="290" w:line="374" w:lineRule="auto"/>
      <w:outlineLvl w:val="3"/>
    </w:pPr>
    <w:rPr>
      <w:rFonts w:ascii="Arial" w:hAnsi="Arial" w:eastAsia="黑体" w:cs="Times New Roman"/>
      <w:b/>
      <w:bCs/>
      <w:sz w:val="28"/>
      <w:szCs w:val="28"/>
    </w:rPr>
  </w:style>
  <w:style w:type="paragraph" w:styleId="7">
    <w:name w:val="heading 5"/>
    <w:basedOn w:val="1"/>
    <w:next w:val="1"/>
    <w:link w:val="92"/>
    <w:qFormat/>
    <w:uiPriority w:val="1"/>
    <w:pPr>
      <w:keepNext/>
      <w:keepLines/>
      <w:widowControl/>
      <w:wordWrap w:val="0"/>
      <w:topLinePunct/>
      <w:adjustRightInd w:val="0"/>
      <w:snapToGrid w:val="0"/>
      <w:spacing w:before="280" w:after="290" w:afterLines="50" w:line="376" w:lineRule="auto"/>
      <w:ind w:left="992" w:hanging="992" w:firstLineChars="200"/>
      <w:outlineLvl w:val="4"/>
    </w:pPr>
    <w:rPr>
      <w:rFonts w:ascii="宋体" w:hAnsi="宋体" w:eastAsia="宋体" w:cs="Times New Roman"/>
      <w:b/>
      <w:bCs/>
      <w:kern w:val="0"/>
      <w:sz w:val="28"/>
      <w:szCs w:val="28"/>
    </w:rPr>
  </w:style>
  <w:style w:type="paragraph" w:styleId="8">
    <w:name w:val="heading 6"/>
    <w:basedOn w:val="1"/>
    <w:next w:val="1"/>
    <w:link w:val="57"/>
    <w:qFormat/>
    <w:uiPriority w:val="0"/>
    <w:pPr>
      <w:keepNext/>
      <w:keepLines/>
      <w:widowControl/>
      <w:tabs>
        <w:tab w:val="left" w:pos="1440"/>
      </w:tabs>
      <w:spacing w:before="240" w:after="64" w:line="319" w:lineRule="auto"/>
      <w:ind w:left="1152" w:hanging="1152"/>
      <w:jc w:val="left"/>
      <w:outlineLvl w:val="5"/>
    </w:pPr>
    <w:rPr>
      <w:rFonts w:ascii="Arial" w:hAnsi="Arial" w:eastAsia="黑体" w:cs="Times New Roman"/>
      <w:b/>
      <w:bCs/>
      <w:kern w:val="0"/>
      <w:sz w:val="24"/>
      <w:szCs w:val="24"/>
    </w:rPr>
  </w:style>
  <w:style w:type="paragraph" w:styleId="9">
    <w:name w:val="heading 7"/>
    <w:basedOn w:val="1"/>
    <w:next w:val="1"/>
    <w:link w:val="58"/>
    <w:qFormat/>
    <w:uiPriority w:val="0"/>
    <w:pPr>
      <w:keepNext/>
      <w:keepLines/>
      <w:widowControl/>
      <w:tabs>
        <w:tab w:val="left" w:pos="2520"/>
      </w:tabs>
      <w:spacing w:before="240" w:after="64" w:line="319" w:lineRule="auto"/>
      <w:ind w:left="1296" w:hanging="1296"/>
      <w:jc w:val="left"/>
      <w:outlineLvl w:val="6"/>
    </w:pPr>
    <w:rPr>
      <w:rFonts w:ascii="Times New Roman" w:hAnsi="Times New Roman" w:eastAsia="宋体" w:cs="Times New Roman"/>
      <w:b/>
      <w:bCs/>
      <w:kern w:val="0"/>
      <w:sz w:val="24"/>
      <w:szCs w:val="24"/>
    </w:rPr>
  </w:style>
  <w:style w:type="paragraph" w:styleId="10">
    <w:name w:val="heading 8"/>
    <w:basedOn w:val="1"/>
    <w:next w:val="1"/>
    <w:link w:val="59"/>
    <w:qFormat/>
    <w:uiPriority w:val="0"/>
    <w:pPr>
      <w:keepNext/>
      <w:keepLines/>
      <w:widowControl/>
      <w:tabs>
        <w:tab w:val="left" w:pos="1440"/>
      </w:tabs>
      <w:spacing w:before="240" w:after="64" w:line="319" w:lineRule="auto"/>
      <w:ind w:left="1440" w:hanging="1440"/>
      <w:jc w:val="left"/>
      <w:outlineLvl w:val="7"/>
    </w:pPr>
    <w:rPr>
      <w:rFonts w:ascii="Arial" w:hAnsi="Arial" w:eastAsia="黑体" w:cs="Times New Roman"/>
      <w:kern w:val="0"/>
      <w:sz w:val="24"/>
      <w:szCs w:val="24"/>
    </w:rPr>
  </w:style>
  <w:style w:type="paragraph" w:styleId="11">
    <w:name w:val="heading 9"/>
    <w:basedOn w:val="1"/>
    <w:next w:val="1"/>
    <w:link w:val="60"/>
    <w:qFormat/>
    <w:uiPriority w:val="0"/>
    <w:pPr>
      <w:keepNext/>
      <w:keepLines/>
      <w:widowControl/>
      <w:tabs>
        <w:tab w:val="left" w:pos="1584"/>
      </w:tabs>
      <w:spacing w:before="240" w:after="64" w:line="319" w:lineRule="auto"/>
      <w:ind w:left="1584" w:hanging="1584"/>
      <w:jc w:val="left"/>
      <w:outlineLvl w:val="8"/>
    </w:pPr>
    <w:rPr>
      <w:rFonts w:ascii="Arial" w:hAnsi="Arial" w:eastAsia="黑体" w:cs="Times New Roman"/>
      <w:kern w:val="0"/>
      <w:szCs w:val="21"/>
    </w:rPr>
  </w:style>
  <w:style w:type="character" w:default="1" w:styleId="43">
    <w:name w:val="Default Paragraph Font"/>
    <w:semiHidden/>
    <w:unhideWhenUsed/>
    <w:uiPriority w:val="1"/>
  </w:style>
  <w:style w:type="table" w:default="1" w:styleId="41">
    <w:name w:val="Normal Table"/>
    <w:semiHidden/>
    <w:unhideWhenUsed/>
    <w:uiPriority w:val="99"/>
    <w:tblPr>
      <w:tblCellMar>
        <w:top w:w="0" w:type="dxa"/>
        <w:left w:w="108" w:type="dxa"/>
        <w:bottom w:w="0" w:type="dxa"/>
        <w:right w:w="108" w:type="dxa"/>
      </w:tblCellMar>
    </w:tblPr>
  </w:style>
  <w:style w:type="paragraph" w:styleId="2">
    <w:name w:val="toc 2"/>
    <w:basedOn w:val="1"/>
    <w:next w:val="1"/>
    <w:qFormat/>
    <w:uiPriority w:val="39"/>
    <w:pPr>
      <w:ind w:left="210"/>
      <w:jc w:val="left"/>
    </w:pPr>
    <w:rPr>
      <w:rFonts w:ascii="Times New Roman" w:hAnsi="Times New Roman" w:eastAsia="宋体" w:cs="Times New Roman"/>
      <w:smallCaps/>
      <w:sz w:val="20"/>
      <w:szCs w:val="20"/>
    </w:rPr>
  </w:style>
  <w:style w:type="paragraph" w:styleId="12">
    <w:name w:val="toc 7"/>
    <w:basedOn w:val="1"/>
    <w:next w:val="1"/>
    <w:qFormat/>
    <w:uiPriority w:val="39"/>
    <w:pPr>
      <w:ind w:left="1260"/>
      <w:jc w:val="left"/>
    </w:pPr>
    <w:rPr>
      <w:rFonts w:ascii="Times New Roman" w:hAnsi="Times New Roman" w:eastAsia="宋体" w:cs="Times New Roman"/>
      <w:sz w:val="18"/>
      <w:szCs w:val="18"/>
    </w:rPr>
  </w:style>
  <w:style w:type="paragraph" w:styleId="13">
    <w:name w:val="Normal Indent"/>
    <w:basedOn w:val="1"/>
    <w:qFormat/>
    <w:uiPriority w:val="0"/>
    <w:pPr>
      <w:ind w:firstLine="420"/>
    </w:pPr>
    <w:rPr>
      <w:rFonts w:ascii="Times New Roman" w:hAnsi="Times New Roman" w:eastAsia="宋体" w:cs="Times New Roman"/>
      <w:szCs w:val="24"/>
    </w:rPr>
  </w:style>
  <w:style w:type="paragraph" w:styleId="14">
    <w:name w:val="Document Map"/>
    <w:basedOn w:val="1"/>
    <w:link w:val="81"/>
    <w:qFormat/>
    <w:uiPriority w:val="99"/>
    <w:pPr>
      <w:shd w:val="clear" w:color="auto" w:fill="000080"/>
    </w:pPr>
    <w:rPr>
      <w:rFonts w:eastAsia="宋体"/>
      <w:szCs w:val="24"/>
    </w:rPr>
  </w:style>
  <w:style w:type="paragraph" w:styleId="15">
    <w:name w:val="annotation text"/>
    <w:basedOn w:val="1"/>
    <w:link w:val="102"/>
    <w:unhideWhenUsed/>
    <w:qFormat/>
    <w:uiPriority w:val="0"/>
    <w:pPr>
      <w:jc w:val="left"/>
    </w:pPr>
  </w:style>
  <w:style w:type="paragraph" w:styleId="16">
    <w:name w:val="Body Text 3"/>
    <w:basedOn w:val="1"/>
    <w:link w:val="69"/>
    <w:qFormat/>
    <w:uiPriority w:val="99"/>
    <w:rPr>
      <w:rFonts w:ascii="宋体"/>
      <w:sz w:val="24"/>
    </w:rPr>
  </w:style>
  <w:style w:type="paragraph" w:styleId="17">
    <w:name w:val="Body Text"/>
    <w:basedOn w:val="1"/>
    <w:link w:val="107"/>
    <w:unhideWhenUsed/>
    <w:qFormat/>
    <w:uiPriority w:val="0"/>
    <w:pPr>
      <w:spacing w:after="120"/>
    </w:pPr>
  </w:style>
  <w:style w:type="paragraph" w:styleId="18">
    <w:name w:val="Body Text Indent"/>
    <w:basedOn w:val="1"/>
    <w:link w:val="110"/>
    <w:qFormat/>
    <w:uiPriority w:val="0"/>
    <w:pPr>
      <w:spacing w:after="120"/>
      <w:ind w:left="420"/>
    </w:pPr>
    <w:rPr>
      <w:rFonts w:ascii="Times New Roman" w:hAnsi="Times New Roman" w:eastAsia="宋体" w:cs="Times New Roman"/>
      <w:szCs w:val="24"/>
    </w:rPr>
  </w:style>
  <w:style w:type="paragraph" w:styleId="19">
    <w:name w:val="toc 5"/>
    <w:basedOn w:val="1"/>
    <w:next w:val="1"/>
    <w:qFormat/>
    <w:uiPriority w:val="39"/>
    <w:pPr>
      <w:ind w:left="840"/>
      <w:jc w:val="left"/>
    </w:pPr>
    <w:rPr>
      <w:rFonts w:ascii="Times New Roman" w:hAnsi="Times New Roman" w:eastAsia="宋体" w:cs="Times New Roman"/>
      <w:sz w:val="18"/>
      <w:szCs w:val="18"/>
    </w:rPr>
  </w:style>
  <w:style w:type="paragraph" w:styleId="20">
    <w:name w:val="toc 3"/>
    <w:basedOn w:val="1"/>
    <w:next w:val="1"/>
    <w:qFormat/>
    <w:uiPriority w:val="39"/>
    <w:pPr>
      <w:ind w:left="420"/>
      <w:jc w:val="left"/>
    </w:pPr>
    <w:rPr>
      <w:rFonts w:ascii="Times New Roman" w:hAnsi="Times New Roman" w:eastAsia="宋体" w:cs="Times New Roman"/>
      <w:iCs/>
      <w:sz w:val="20"/>
      <w:szCs w:val="20"/>
    </w:rPr>
  </w:style>
  <w:style w:type="paragraph" w:styleId="21">
    <w:name w:val="Plain Text"/>
    <w:link w:val="64"/>
    <w:qFormat/>
    <w:uiPriority w:val="0"/>
    <w:pPr>
      <w:adjustRightInd w:val="0"/>
      <w:snapToGrid w:val="0"/>
      <w:spacing w:after="120" w:afterLines="50" w:line="360" w:lineRule="auto"/>
      <w:jc w:val="both"/>
    </w:pPr>
    <w:rPr>
      <w:rFonts w:ascii="宋体" w:hAnsi="宋体" w:cs="宋体" w:eastAsiaTheme="minorEastAsia"/>
      <w:kern w:val="2"/>
      <w:sz w:val="24"/>
      <w:szCs w:val="24"/>
      <w:lang w:val="en-US" w:eastAsia="zh-CN" w:bidi="ar-SA"/>
    </w:rPr>
  </w:style>
  <w:style w:type="paragraph" w:styleId="22">
    <w:name w:val="toc 8"/>
    <w:basedOn w:val="1"/>
    <w:next w:val="1"/>
    <w:qFormat/>
    <w:uiPriority w:val="39"/>
    <w:pPr>
      <w:ind w:left="1470"/>
      <w:jc w:val="left"/>
    </w:pPr>
    <w:rPr>
      <w:rFonts w:ascii="Times New Roman" w:hAnsi="Times New Roman" w:eastAsia="宋体" w:cs="Times New Roman"/>
      <w:sz w:val="18"/>
      <w:szCs w:val="18"/>
    </w:rPr>
  </w:style>
  <w:style w:type="paragraph" w:styleId="23">
    <w:name w:val="Date"/>
    <w:basedOn w:val="1"/>
    <w:next w:val="1"/>
    <w:link w:val="94"/>
    <w:qFormat/>
    <w:uiPriority w:val="0"/>
    <w:rPr>
      <w:sz w:val="24"/>
    </w:rPr>
  </w:style>
  <w:style w:type="paragraph" w:styleId="24">
    <w:name w:val="Balloon Text"/>
    <w:basedOn w:val="1"/>
    <w:link w:val="89"/>
    <w:qFormat/>
    <w:uiPriority w:val="99"/>
    <w:rPr>
      <w:sz w:val="18"/>
      <w:szCs w:val="18"/>
    </w:rPr>
  </w:style>
  <w:style w:type="paragraph" w:styleId="25">
    <w:name w:val="footer"/>
    <w:basedOn w:val="1"/>
    <w:link w:val="51"/>
    <w:unhideWhenUsed/>
    <w:qFormat/>
    <w:uiPriority w:val="0"/>
    <w:pPr>
      <w:tabs>
        <w:tab w:val="center" w:pos="4153"/>
        <w:tab w:val="right" w:pos="8306"/>
      </w:tabs>
      <w:snapToGrid w:val="0"/>
      <w:jc w:val="left"/>
    </w:pPr>
    <w:rPr>
      <w:sz w:val="18"/>
      <w:szCs w:val="18"/>
    </w:rPr>
  </w:style>
  <w:style w:type="paragraph" w:styleId="26">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Times New Roman" w:hAnsi="Times New Roman" w:eastAsia="宋体" w:cs="Times New Roman"/>
      <w:b/>
      <w:bCs/>
      <w:caps/>
      <w:sz w:val="20"/>
      <w:szCs w:val="20"/>
    </w:rPr>
  </w:style>
  <w:style w:type="paragraph" w:styleId="28">
    <w:name w:val="toc 4"/>
    <w:basedOn w:val="1"/>
    <w:next w:val="1"/>
    <w:qFormat/>
    <w:uiPriority w:val="39"/>
    <w:pPr>
      <w:ind w:left="630"/>
      <w:jc w:val="left"/>
    </w:pPr>
    <w:rPr>
      <w:rFonts w:ascii="Times New Roman" w:hAnsi="Times New Roman" w:eastAsia="宋体" w:cs="Times New Roman"/>
      <w:sz w:val="18"/>
      <w:szCs w:val="18"/>
    </w:rPr>
  </w:style>
  <w:style w:type="paragraph" w:styleId="29">
    <w:name w:val="Subtitle"/>
    <w:next w:val="1"/>
    <w:link w:val="78"/>
    <w:qFormat/>
    <w:uiPriority w:val="11"/>
    <w:pPr>
      <w:adjustRightInd w:val="0"/>
      <w:snapToGrid w:val="0"/>
      <w:ind w:left="708" w:leftChars="295"/>
      <w:outlineLvl w:val="1"/>
    </w:pPr>
    <w:rPr>
      <w:rFonts w:ascii="宋体" w:hAnsi="宋体" w:eastAsiaTheme="minorEastAsia" w:cstheme="minorBidi"/>
      <w:b/>
      <w:bCs/>
      <w:kern w:val="28"/>
      <w:sz w:val="24"/>
      <w:szCs w:val="32"/>
      <w:lang w:val="en-US" w:eastAsia="zh-CN" w:bidi="ar-SA"/>
    </w:rPr>
  </w:style>
  <w:style w:type="paragraph" w:styleId="30">
    <w:name w:val="toc 6"/>
    <w:basedOn w:val="1"/>
    <w:next w:val="1"/>
    <w:qFormat/>
    <w:uiPriority w:val="39"/>
    <w:pPr>
      <w:ind w:left="1050"/>
      <w:jc w:val="left"/>
    </w:pPr>
    <w:rPr>
      <w:rFonts w:ascii="Times New Roman" w:hAnsi="Times New Roman" w:eastAsia="宋体" w:cs="Times New Roman"/>
      <w:sz w:val="18"/>
      <w:szCs w:val="18"/>
    </w:rPr>
  </w:style>
  <w:style w:type="paragraph" w:styleId="31">
    <w:name w:val="Body Text Indent 3"/>
    <w:basedOn w:val="1"/>
    <w:link w:val="120"/>
    <w:qFormat/>
    <w:uiPriority w:val="0"/>
    <w:pPr>
      <w:spacing w:after="120"/>
      <w:ind w:left="420"/>
    </w:pPr>
    <w:rPr>
      <w:rFonts w:ascii="Times New Roman" w:hAnsi="Times New Roman" w:eastAsia="宋体" w:cs="Times New Roman"/>
      <w:sz w:val="16"/>
      <w:szCs w:val="16"/>
    </w:rPr>
  </w:style>
  <w:style w:type="paragraph" w:styleId="32">
    <w:name w:val="toc 9"/>
    <w:basedOn w:val="1"/>
    <w:next w:val="1"/>
    <w:qFormat/>
    <w:uiPriority w:val="39"/>
    <w:pPr>
      <w:ind w:left="1680"/>
      <w:jc w:val="left"/>
    </w:pPr>
    <w:rPr>
      <w:rFonts w:ascii="Times New Roman" w:hAnsi="Times New Roman" w:eastAsia="宋体" w:cs="Times New Roman"/>
      <w:sz w:val="18"/>
      <w:szCs w:val="18"/>
    </w:rPr>
  </w:style>
  <w:style w:type="paragraph" w:styleId="33">
    <w:name w:val="Body Text 2"/>
    <w:basedOn w:val="1"/>
    <w:link w:val="93"/>
    <w:unhideWhenUsed/>
    <w:qFormat/>
    <w:uiPriority w:val="99"/>
    <w:pPr>
      <w:widowControl/>
      <w:wordWrap w:val="0"/>
      <w:topLinePunct/>
      <w:adjustRightInd w:val="0"/>
      <w:snapToGrid w:val="0"/>
      <w:spacing w:after="120" w:afterLines="50" w:line="480" w:lineRule="auto"/>
      <w:ind w:firstLine="480" w:firstLineChars="200"/>
    </w:pPr>
    <w:rPr>
      <w:rFonts w:ascii="Calibri" w:hAnsi="Calibri"/>
      <w:sz w:val="24"/>
    </w:rPr>
  </w:style>
  <w:style w:type="paragraph" w:styleId="34">
    <w:name w:val="HTML Preformatted"/>
    <w:basedOn w:val="1"/>
    <w:link w:val="9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topLinePunct/>
      <w:jc w:val="left"/>
    </w:pPr>
    <w:rPr>
      <w:rFonts w:ascii="宋体" w:hAnsi="宋体" w:cs="宋体"/>
      <w:sz w:val="24"/>
      <w:szCs w:val="24"/>
    </w:rPr>
  </w:style>
  <w:style w:type="paragraph" w:styleId="35">
    <w:name w:val="Normal (Web)"/>
    <w:basedOn w:val="1"/>
    <w:unhideWhenUsed/>
    <w:qFormat/>
    <w:uiPriority w:val="99"/>
    <w:pPr>
      <w:widowControl/>
      <w:wordWrap w:val="0"/>
      <w:topLinePunct/>
      <w:spacing w:before="100" w:beforeAutospacing="1" w:after="100" w:afterAutospacing="1"/>
      <w:jc w:val="left"/>
    </w:pPr>
    <w:rPr>
      <w:rFonts w:ascii="宋体" w:hAnsi="宋体" w:eastAsia="宋体" w:cs="宋体"/>
      <w:kern w:val="0"/>
      <w:sz w:val="24"/>
      <w:szCs w:val="20"/>
    </w:rPr>
  </w:style>
  <w:style w:type="paragraph" w:styleId="36">
    <w:name w:val="index 1"/>
    <w:basedOn w:val="1"/>
    <w:next w:val="1"/>
    <w:qFormat/>
    <w:uiPriority w:val="0"/>
    <w:pPr>
      <w:spacing w:line="220" w:lineRule="exact"/>
      <w:jc w:val="center"/>
    </w:pPr>
    <w:rPr>
      <w:rFonts w:ascii="仿宋_GB2312" w:hAnsi="Times New Roman" w:eastAsia="仿宋_GB2312" w:cs="Times New Roman"/>
      <w:szCs w:val="21"/>
    </w:rPr>
  </w:style>
  <w:style w:type="paragraph" w:styleId="37">
    <w:name w:val="Title"/>
    <w:basedOn w:val="1"/>
    <w:link w:val="119"/>
    <w:qFormat/>
    <w:uiPriority w:val="0"/>
    <w:pPr>
      <w:adjustRightInd w:val="0"/>
      <w:spacing w:before="240" w:after="60" w:line="420" w:lineRule="atLeast"/>
      <w:jc w:val="center"/>
      <w:textAlignment w:val="baseline"/>
      <w:outlineLvl w:val="0"/>
    </w:pPr>
    <w:rPr>
      <w:rFonts w:ascii="Arial" w:hAnsi="Arial" w:eastAsia="宋体" w:cs="Times New Roman"/>
      <w:b/>
      <w:kern w:val="0"/>
      <w:sz w:val="32"/>
      <w:szCs w:val="20"/>
    </w:rPr>
  </w:style>
  <w:style w:type="paragraph" w:styleId="38">
    <w:name w:val="annotation subject"/>
    <w:basedOn w:val="15"/>
    <w:next w:val="15"/>
    <w:link w:val="83"/>
    <w:qFormat/>
    <w:uiPriority w:val="99"/>
    <w:pPr>
      <w:jc w:val="both"/>
    </w:pPr>
    <w:rPr>
      <w:rFonts w:eastAsia="宋体"/>
      <w:b/>
      <w:bCs/>
      <w:szCs w:val="24"/>
    </w:rPr>
  </w:style>
  <w:style w:type="paragraph" w:styleId="39">
    <w:name w:val="Body Text First Indent"/>
    <w:basedOn w:val="1"/>
    <w:link w:val="82"/>
    <w:qFormat/>
    <w:uiPriority w:val="0"/>
    <w:pPr>
      <w:spacing w:line="312" w:lineRule="auto"/>
      <w:ind w:firstLine="420"/>
    </w:pPr>
    <w:rPr>
      <w:rFonts w:eastAsia="宋体"/>
      <w:szCs w:val="24"/>
    </w:rPr>
  </w:style>
  <w:style w:type="paragraph" w:styleId="40">
    <w:name w:val="Body Text First Indent 2"/>
    <w:basedOn w:val="18"/>
    <w:link w:val="181"/>
    <w:qFormat/>
    <w:uiPriority w:val="0"/>
    <w:pPr>
      <w:ind w:left="200" w:leftChars="200" w:firstLine="420" w:firstLineChars="200"/>
    </w:pPr>
    <w:rPr>
      <w:rFonts w:ascii="Calibri" w:hAnsi="Calibri" w:eastAsia="仿宋"/>
      <w:sz w:val="24"/>
    </w:rPr>
  </w:style>
  <w:style w:type="table" w:styleId="42">
    <w:name w:val="Table Grid"/>
    <w:basedOn w:val="41"/>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basedOn w:val="43"/>
    <w:qFormat/>
    <w:uiPriority w:val="0"/>
  </w:style>
  <w:style w:type="character" w:styleId="46">
    <w:name w:val="FollowedHyperlink"/>
    <w:qFormat/>
    <w:uiPriority w:val="99"/>
    <w:rPr>
      <w:color w:val="800080"/>
      <w:u w:val="single"/>
    </w:rPr>
  </w:style>
  <w:style w:type="character" w:styleId="47">
    <w:name w:val="Hyperlink"/>
    <w:qFormat/>
    <w:uiPriority w:val="99"/>
    <w:rPr>
      <w:color w:val="0000FF"/>
      <w:u w:val="single"/>
    </w:rPr>
  </w:style>
  <w:style w:type="character" w:styleId="48">
    <w:name w:val="annotation reference"/>
    <w:qFormat/>
    <w:uiPriority w:val="99"/>
    <w:rPr>
      <w:sz w:val="21"/>
      <w:szCs w:val="21"/>
    </w:rPr>
  </w:style>
  <w:style w:type="character" w:styleId="49">
    <w:name w:val="footnote reference"/>
    <w:qFormat/>
    <w:uiPriority w:val="0"/>
    <w:rPr>
      <w:vertAlign w:val="superscript"/>
    </w:rPr>
  </w:style>
  <w:style w:type="character" w:customStyle="1" w:styleId="50">
    <w:name w:val="页眉 Char"/>
    <w:basedOn w:val="43"/>
    <w:link w:val="26"/>
    <w:qFormat/>
    <w:uiPriority w:val="0"/>
    <w:rPr>
      <w:sz w:val="18"/>
      <w:szCs w:val="18"/>
    </w:rPr>
  </w:style>
  <w:style w:type="character" w:customStyle="1" w:styleId="51">
    <w:name w:val="页脚 Char"/>
    <w:basedOn w:val="43"/>
    <w:link w:val="25"/>
    <w:qFormat/>
    <w:uiPriority w:val="0"/>
    <w:rPr>
      <w:sz w:val="18"/>
      <w:szCs w:val="18"/>
    </w:rPr>
  </w:style>
  <w:style w:type="character" w:customStyle="1" w:styleId="52">
    <w:name w:val="标题 1 Char"/>
    <w:basedOn w:val="43"/>
    <w:link w:val="3"/>
    <w:qFormat/>
    <w:uiPriority w:val="0"/>
    <w:rPr>
      <w:rFonts w:ascii="Times New Roman" w:hAnsi="Times New Roman" w:eastAsia="宋体" w:cs="Times New Roman"/>
      <w:b/>
      <w:bCs/>
      <w:kern w:val="44"/>
      <w:sz w:val="44"/>
      <w:szCs w:val="44"/>
    </w:rPr>
  </w:style>
  <w:style w:type="character" w:customStyle="1" w:styleId="53">
    <w:name w:val="标题 2 Char"/>
    <w:basedOn w:val="43"/>
    <w:link w:val="4"/>
    <w:qFormat/>
    <w:uiPriority w:val="0"/>
    <w:rPr>
      <w:rFonts w:ascii="Arial" w:hAnsi="Arial" w:eastAsia="黑体" w:cs="Times New Roman"/>
      <w:b/>
      <w:bCs/>
      <w:sz w:val="32"/>
      <w:szCs w:val="32"/>
    </w:rPr>
  </w:style>
  <w:style w:type="character" w:customStyle="1" w:styleId="54">
    <w:name w:val="标题 3 Char"/>
    <w:basedOn w:val="43"/>
    <w:link w:val="5"/>
    <w:qFormat/>
    <w:uiPriority w:val="0"/>
    <w:rPr>
      <w:rFonts w:ascii="黑体" w:hAnsi="宋体" w:eastAsia="黑体" w:cs="Times New Roman"/>
      <w:bCs/>
      <w:sz w:val="28"/>
      <w:szCs w:val="28"/>
    </w:rPr>
  </w:style>
  <w:style w:type="character" w:customStyle="1" w:styleId="55">
    <w:name w:val="标题 4 Char"/>
    <w:basedOn w:val="43"/>
    <w:link w:val="6"/>
    <w:qFormat/>
    <w:uiPriority w:val="9"/>
    <w:rPr>
      <w:rFonts w:ascii="Arial" w:hAnsi="Arial" w:eastAsia="黑体" w:cs="Times New Roman"/>
      <w:b/>
      <w:bCs/>
      <w:sz w:val="28"/>
      <w:szCs w:val="28"/>
    </w:rPr>
  </w:style>
  <w:style w:type="character" w:customStyle="1" w:styleId="56">
    <w:name w:val="标题 5 Char"/>
    <w:basedOn w:val="43"/>
    <w:semiHidden/>
    <w:qFormat/>
    <w:uiPriority w:val="0"/>
    <w:rPr>
      <w:b/>
      <w:bCs/>
      <w:sz w:val="28"/>
      <w:szCs w:val="28"/>
    </w:rPr>
  </w:style>
  <w:style w:type="character" w:customStyle="1" w:styleId="57">
    <w:name w:val="标题 6 Char"/>
    <w:basedOn w:val="43"/>
    <w:link w:val="8"/>
    <w:qFormat/>
    <w:uiPriority w:val="0"/>
    <w:rPr>
      <w:rFonts w:ascii="Arial" w:hAnsi="Arial" w:eastAsia="黑体" w:cs="Times New Roman"/>
      <w:b/>
      <w:bCs/>
      <w:kern w:val="0"/>
      <w:sz w:val="24"/>
      <w:szCs w:val="24"/>
    </w:rPr>
  </w:style>
  <w:style w:type="character" w:customStyle="1" w:styleId="58">
    <w:name w:val="标题 7 Char"/>
    <w:basedOn w:val="43"/>
    <w:link w:val="9"/>
    <w:qFormat/>
    <w:uiPriority w:val="0"/>
    <w:rPr>
      <w:rFonts w:ascii="Times New Roman" w:hAnsi="Times New Roman" w:eastAsia="宋体" w:cs="Times New Roman"/>
      <w:b/>
      <w:bCs/>
      <w:kern w:val="0"/>
      <w:sz w:val="24"/>
      <w:szCs w:val="24"/>
    </w:rPr>
  </w:style>
  <w:style w:type="character" w:customStyle="1" w:styleId="59">
    <w:name w:val="标题 8 Char"/>
    <w:basedOn w:val="43"/>
    <w:link w:val="10"/>
    <w:qFormat/>
    <w:uiPriority w:val="0"/>
    <w:rPr>
      <w:rFonts w:ascii="Arial" w:hAnsi="Arial" w:eastAsia="黑体" w:cs="Times New Roman"/>
      <w:kern w:val="0"/>
      <w:sz w:val="24"/>
      <w:szCs w:val="24"/>
    </w:rPr>
  </w:style>
  <w:style w:type="character" w:customStyle="1" w:styleId="60">
    <w:name w:val="标题 9 Char"/>
    <w:basedOn w:val="43"/>
    <w:link w:val="11"/>
    <w:qFormat/>
    <w:uiPriority w:val="0"/>
    <w:rPr>
      <w:rFonts w:ascii="Arial" w:hAnsi="Arial" w:eastAsia="黑体" w:cs="Times New Roman"/>
      <w:kern w:val="0"/>
      <w:szCs w:val="21"/>
    </w:rPr>
  </w:style>
  <w:style w:type="character" w:customStyle="1" w:styleId="61">
    <w:name w:val="正文文本 字符"/>
    <w:qFormat/>
    <w:uiPriority w:val="99"/>
    <w:rPr>
      <w:rFonts w:ascii="Calibri" w:hAnsi="Calibri" w:eastAsia="宋体" w:cs="Times New Roman"/>
      <w:kern w:val="2"/>
      <w:sz w:val="24"/>
      <w:szCs w:val="22"/>
    </w:rPr>
  </w:style>
  <w:style w:type="character" w:customStyle="1" w:styleId="62">
    <w:name w:val="页眉 字符"/>
    <w:qFormat/>
    <w:uiPriority w:val="99"/>
    <w:rPr>
      <w:rFonts w:ascii="宋体" w:hAnsi="宋体" w:cs="Times New Roman"/>
      <w:kern w:val="2"/>
      <w:sz w:val="18"/>
      <w:szCs w:val="18"/>
    </w:rPr>
  </w:style>
  <w:style w:type="character" w:customStyle="1" w:styleId="63">
    <w:name w:val="search-in-page-highlight-item"/>
    <w:qFormat/>
    <w:uiPriority w:val="0"/>
  </w:style>
  <w:style w:type="character" w:customStyle="1" w:styleId="64">
    <w:name w:val="纯文本 Char1"/>
    <w:link w:val="21"/>
    <w:qFormat/>
    <w:uiPriority w:val="0"/>
    <w:rPr>
      <w:rFonts w:ascii="宋体" w:hAnsi="宋体" w:cs="宋体"/>
      <w:sz w:val="24"/>
      <w:szCs w:val="24"/>
    </w:rPr>
  </w:style>
  <w:style w:type="character" w:customStyle="1" w:styleId="65">
    <w:name w:val="未处理的提及1"/>
    <w:unhideWhenUsed/>
    <w:qFormat/>
    <w:uiPriority w:val="99"/>
    <w:rPr>
      <w:color w:val="605E5C"/>
      <w:shd w:val="clear" w:color="auto" w:fill="E1DFDD"/>
    </w:rPr>
  </w:style>
  <w:style w:type="character" w:styleId="66">
    <w:name w:val="Placeholder Text"/>
    <w:unhideWhenUsed/>
    <w:qFormat/>
    <w:uiPriority w:val="99"/>
    <w:rPr>
      <w:color w:val="808080"/>
    </w:rPr>
  </w:style>
  <w:style w:type="character" w:customStyle="1" w:styleId="67">
    <w:name w:val="未处理的提及3"/>
    <w:unhideWhenUsed/>
    <w:qFormat/>
    <w:uiPriority w:val="99"/>
    <w:rPr>
      <w:color w:val="605E5C"/>
      <w:shd w:val="clear" w:color="auto" w:fill="E1DFDD"/>
    </w:rPr>
  </w:style>
  <w:style w:type="character" w:customStyle="1" w:styleId="68">
    <w:name w:val="文档结构图 字符"/>
    <w:semiHidden/>
    <w:qFormat/>
    <w:uiPriority w:val="99"/>
    <w:rPr>
      <w:rFonts w:ascii="宋体" w:hAnsi="Calibri" w:cs="Times New Roman"/>
      <w:kern w:val="2"/>
      <w:sz w:val="24"/>
      <w:szCs w:val="24"/>
    </w:rPr>
  </w:style>
  <w:style w:type="character" w:customStyle="1" w:styleId="69">
    <w:name w:val="正文文本 3 Char"/>
    <w:link w:val="16"/>
    <w:qFormat/>
    <w:uiPriority w:val="99"/>
    <w:rPr>
      <w:rFonts w:ascii="宋体"/>
      <w:sz w:val="24"/>
    </w:rPr>
  </w:style>
  <w:style w:type="character" w:customStyle="1" w:styleId="70">
    <w:name w:val="正文文本 2 Char"/>
    <w:qFormat/>
    <w:uiPriority w:val="0"/>
    <w:rPr>
      <w:kern w:val="2"/>
      <w:sz w:val="21"/>
      <w:szCs w:val="24"/>
    </w:rPr>
  </w:style>
  <w:style w:type="character" w:customStyle="1" w:styleId="71">
    <w:name w:val="标题 3 字符"/>
    <w:qFormat/>
    <w:uiPriority w:val="0"/>
    <w:rPr>
      <w:rFonts w:ascii="宋体" w:hAnsi="Calibri" w:cs="Times New Roman"/>
      <w:b/>
      <w:kern w:val="2"/>
      <w:sz w:val="24"/>
      <w:szCs w:val="22"/>
    </w:rPr>
  </w:style>
  <w:style w:type="character" w:customStyle="1" w:styleId="72">
    <w:name w:val="批注文字 Char"/>
    <w:qFormat/>
    <w:uiPriority w:val="0"/>
    <w:rPr>
      <w:rFonts w:eastAsia="宋体"/>
      <w:kern w:val="2"/>
      <w:sz w:val="21"/>
      <w:szCs w:val="24"/>
      <w:lang w:val="en-US" w:eastAsia="zh-CN" w:bidi="ar-SA"/>
    </w:rPr>
  </w:style>
  <w:style w:type="character" w:customStyle="1" w:styleId="73">
    <w:name w:val="search-in-page-highlight-wrapper"/>
    <w:qFormat/>
    <w:uiPriority w:val="0"/>
  </w:style>
  <w:style w:type="character" w:customStyle="1" w:styleId="74">
    <w:name w:val="纯文本 Char"/>
    <w:qFormat/>
    <w:uiPriority w:val="0"/>
    <w:rPr>
      <w:rFonts w:ascii="宋体" w:hAnsi="Courier New" w:cs="Courier New"/>
      <w:kern w:val="2"/>
      <w:sz w:val="21"/>
      <w:szCs w:val="21"/>
    </w:rPr>
  </w:style>
  <w:style w:type="character" w:customStyle="1" w:styleId="75">
    <w:name w:val="refer-count"/>
    <w:qFormat/>
    <w:uiPriority w:val="0"/>
  </w:style>
  <w:style w:type="character" w:customStyle="1" w:styleId="76">
    <w:name w:val="样式1 字符"/>
    <w:link w:val="77"/>
    <w:qFormat/>
    <w:uiPriority w:val="0"/>
    <w:rPr>
      <w:rFonts w:ascii="宋体" w:hAnsi="宋体"/>
      <w:szCs w:val="21"/>
    </w:rPr>
  </w:style>
  <w:style w:type="paragraph" w:customStyle="1" w:styleId="77">
    <w:name w:val="样式1"/>
    <w:basedOn w:val="1"/>
    <w:next w:val="6"/>
    <w:link w:val="76"/>
    <w:qFormat/>
    <w:uiPriority w:val="0"/>
    <w:pPr>
      <w:spacing w:line="360" w:lineRule="auto"/>
      <w:ind w:firstLine="420"/>
    </w:pPr>
    <w:rPr>
      <w:rFonts w:ascii="宋体" w:hAnsi="宋体"/>
      <w:szCs w:val="21"/>
    </w:rPr>
  </w:style>
  <w:style w:type="character" w:customStyle="1" w:styleId="78">
    <w:name w:val="副标题 Char1"/>
    <w:link w:val="29"/>
    <w:qFormat/>
    <w:uiPriority w:val="11"/>
    <w:rPr>
      <w:rFonts w:ascii="宋体" w:hAnsi="宋体"/>
      <w:b/>
      <w:bCs/>
      <w:kern w:val="28"/>
      <w:sz w:val="24"/>
      <w:szCs w:val="32"/>
    </w:rPr>
  </w:style>
  <w:style w:type="character" w:customStyle="1" w:styleId="79">
    <w:name w:val="font161"/>
    <w:qFormat/>
    <w:uiPriority w:val="0"/>
    <w:rPr>
      <w:b/>
      <w:bCs/>
      <w:sz w:val="32"/>
      <w:szCs w:val="32"/>
    </w:rPr>
  </w:style>
  <w:style w:type="character" w:customStyle="1" w:styleId="80">
    <w:name w:val="正文文本 Char"/>
    <w:qFormat/>
    <w:uiPriority w:val="0"/>
    <w:rPr>
      <w:rFonts w:eastAsia="宋体"/>
      <w:kern w:val="2"/>
      <w:sz w:val="21"/>
      <w:szCs w:val="24"/>
      <w:lang w:val="en-US" w:eastAsia="zh-CN" w:bidi="ar-SA"/>
    </w:rPr>
  </w:style>
  <w:style w:type="character" w:customStyle="1" w:styleId="81">
    <w:name w:val="文档结构图 Char"/>
    <w:link w:val="14"/>
    <w:qFormat/>
    <w:uiPriority w:val="0"/>
    <w:rPr>
      <w:rFonts w:eastAsia="宋体"/>
      <w:szCs w:val="24"/>
      <w:shd w:val="clear" w:color="auto" w:fill="000080"/>
    </w:rPr>
  </w:style>
  <w:style w:type="character" w:customStyle="1" w:styleId="82">
    <w:name w:val="正文首行缩进 Char"/>
    <w:basedOn w:val="80"/>
    <w:link w:val="39"/>
    <w:qFormat/>
    <w:uiPriority w:val="0"/>
    <w:rPr>
      <w:rFonts w:eastAsia="宋体"/>
      <w:kern w:val="2"/>
      <w:sz w:val="21"/>
      <w:szCs w:val="24"/>
      <w:lang w:val="en-US" w:eastAsia="zh-CN" w:bidi="ar-SA"/>
    </w:rPr>
  </w:style>
  <w:style w:type="character" w:customStyle="1" w:styleId="83">
    <w:name w:val="批注主题 Char"/>
    <w:link w:val="38"/>
    <w:qFormat/>
    <w:uiPriority w:val="0"/>
    <w:rPr>
      <w:rFonts w:eastAsia="宋体"/>
      <w:b/>
      <w:bCs/>
      <w:szCs w:val="24"/>
    </w:rPr>
  </w:style>
  <w:style w:type="character" w:customStyle="1" w:styleId="84">
    <w:name w:val="content"/>
    <w:qFormat/>
    <w:uiPriority w:val="0"/>
  </w:style>
  <w:style w:type="character" w:customStyle="1" w:styleId="85">
    <w:name w:val="批注文字 字符"/>
    <w:qFormat/>
    <w:uiPriority w:val="99"/>
    <w:rPr>
      <w:rFonts w:ascii="Calibri" w:hAnsi="Calibri" w:eastAsia="宋体" w:cs="Times New Roman"/>
      <w:kern w:val="2"/>
      <w:sz w:val="24"/>
      <w:szCs w:val="22"/>
    </w:rPr>
  </w:style>
  <w:style w:type="character" w:customStyle="1" w:styleId="86">
    <w:name w:val="页脚 字符"/>
    <w:qFormat/>
    <w:uiPriority w:val="99"/>
    <w:rPr>
      <w:rFonts w:ascii="宋体" w:hAnsi="宋体" w:cs="Times New Roman"/>
      <w:kern w:val="2"/>
      <w:sz w:val="18"/>
      <w:szCs w:val="18"/>
    </w:rPr>
  </w:style>
  <w:style w:type="character" w:customStyle="1" w:styleId="87">
    <w:name w:val="批注主题 字符"/>
    <w:semiHidden/>
    <w:qFormat/>
    <w:uiPriority w:val="99"/>
    <w:rPr>
      <w:rFonts w:ascii="Calibri" w:hAnsi="Calibri" w:eastAsia="宋体" w:cs="Times New Roman"/>
      <w:b/>
      <w:bCs/>
      <w:kern w:val="2"/>
      <w:sz w:val="24"/>
      <w:szCs w:val="22"/>
    </w:rPr>
  </w:style>
  <w:style w:type="character" w:customStyle="1" w:styleId="88">
    <w:name w:val="law-parenthese"/>
    <w:qFormat/>
    <w:uiPriority w:val="0"/>
  </w:style>
  <w:style w:type="character" w:customStyle="1" w:styleId="89">
    <w:name w:val="批注框文本 Char"/>
    <w:link w:val="24"/>
    <w:qFormat/>
    <w:uiPriority w:val="0"/>
    <w:rPr>
      <w:sz w:val="18"/>
      <w:szCs w:val="18"/>
    </w:rPr>
  </w:style>
  <w:style w:type="character" w:customStyle="1" w:styleId="90">
    <w:name w:val="HTML 预设格式 Char1"/>
    <w:link w:val="34"/>
    <w:qFormat/>
    <w:uiPriority w:val="99"/>
    <w:rPr>
      <w:rFonts w:ascii="宋体" w:hAnsi="宋体" w:cs="宋体"/>
      <w:sz w:val="24"/>
      <w:szCs w:val="24"/>
    </w:rPr>
  </w:style>
  <w:style w:type="character" w:customStyle="1" w:styleId="91">
    <w:name w:val="标题 1 字符"/>
    <w:qFormat/>
    <w:uiPriority w:val="9"/>
    <w:rPr>
      <w:rFonts w:eastAsia="宋体" w:cs="Times New Roman"/>
      <w:b/>
      <w:kern w:val="44"/>
      <w:sz w:val="30"/>
      <w:szCs w:val="22"/>
    </w:rPr>
  </w:style>
  <w:style w:type="character" w:customStyle="1" w:styleId="92">
    <w:name w:val="标题 5 Char1"/>
    <w:link w:val="7"/>
    <w:qFormat/>
    <w:uiPriority w:val="0"/>
    <w:rPr>
      <w:rFonts w:ascii="宋体" w:hAnsi="宋体" w:eastAsia="宋体" w:cs="Times New Roman"/>
      <w:b/>
      <w:bCs/>
      <w:kern w:val="0"/>
      <w:sz w:val="28"/>
      <w:szCs w:val="28"/>
    </w:rPr>
  </w:style>
  <w:style w:type="character" w:customStyle="1" w:styleId="93">
    <w:name w:val="正文文本 2 Char1"/>
    <w:link w:val="33"/>
    <w:qFormat/>
    <w:uiPriority w:val="99"/>
    <w:rPr>
      <w:rFonts w:ascii="Calibri" w:hAnsi="Calibri"/>
      <w:sz w:val="24"/>
    </w:rPr>
  </w:style>
  <w:style w:type="character" w:customStyle="1" w:styleId="94">
    <w:name w:val="日期 Char"/>
    <w:link w:val="23"/>
    <w:qFormat/>
    <w:uiPriority w:val="0"/>
    <w:rPr>
      <w:sz w:val="24"/>
    </w:rPr>
  </w:style>
  <w:style w:type="character" w:customStyle="1" w:styleId="95">
    <w:name w:val="未处理的提及2"/>
    <w:unhideWhenUsed/>
    <w:qFormat/>
    <w:uiPriority w:val="99"/>
    <w:rPr>
      <w:color w:val="605E5C"/>
      <w:shd w:val="clear" w:color="auto" w:fill="E1DFDD"/>
    </w:rPr>
  </w:style>
  <w:style w:type="character" w:customStyle="1" w:styleId="96">
    <w:name w:val="HTML 预设格式 Char"/>
    <w:qFormat/>
    <w:uiPriority w:val="0"/>
    <w:rPr>
      <w:rFonts w:ascii="Courier New" w:hAnsi="Courier New" w:cs="Courier New"/>
      <w:kern w:val="2"/>
    </w:rPr>
  </w:style>
  <w:style w:type="character" w:customStyle="1" w:styleId="97">
    <w:name w:val="副标题 Char"/>
    <w:qFormat/>
    <w:uiPriority w:val="0"/>
    <w:rPr>
      <w:rFonts w:ascii="Cambria" w:hAnsi="Cambria" w:cs="Times New Roman"/>
      <w:b/>
      <w:bCs/>
      <w:kern w:val="28"/>
      <w:sz w:val="32"/>
      <w:szCs w:val="32"/>
    </w:rPr>
  </w:style>
  <w:style w:type="paragraph" w:customStyle="1" w:styleId="98">
    <w:name w:val="Char2"/>
    <w:basedOn w:val="1"/>
    <w:qFormat/>
    <w:uiPriority w:val="0"/>
    <w:pPr>
      <w:ind w:left="432" w:hanging="432"/>
    </w:pPr>
    <w:rPr>
      <w:rFonts w:ascii="Times New Roman" w:hAnsi="Times New Roman" w:eastAsia="宋体" w:cs="Times New Roman"/>
      <w:sz w:val="24"/>
      <w:szCs w:val="24"/>
    </w:rPr>
  </w:style>
  <w:style w:type="character" w:customStyle="1" w:styleId="99">
    <w:name w:val="正文文本 3 Char1"/>
    <w:basedOn w:val="43"/>
    <w:semiHidden/>
    <w:qFormat/>
    <w:uiPriority w:val="99"/>
    <w:rPr>
      <w:sz w:val="16"/>
      <w:szCs w:val="16"/>
    </w:rPr>
  </w:style>
  <w:style w:type="paragraph" w:customStyle="1" w:styleId="100">
    <w:name w:val="样式2"/>
    <w:basedOn w:val="5"/>
    <w:qFormat/>
    <w:uiPriority w:val="0"/>
    <w:rPr>
      <w:i/>
    </w:rPr>
  </w:style>
  <w:style w:type="character" w:customStyle="1" w:styleId="101">
    <w:name w:val="文档结构图 Char1"/>
    <w:basedOn w:val="43"/>
    <w:semiHidden/>
    <w:qFormat/>
    <w:uiPriority w:val="99"/>
    <w:rPr>
      <w:rFonts w:ascii="宋体" w:eastAsia="宋体"/>
      <w:sz w:val="18"/>
      <w:szCs w:val="18"/>
    </w:rPr>
  </w:style>
  <w:style w:type="character" w:customStyle="1" w:styleId="102">
    <w:name w:val="批注文字 Char1"/>
    <w:basedOn w:val="43"/>
    <w:link w:val="15"/>
    <w:semiHidden/>
    <w:qFormat/>
    <w:uiPriority w:val="99"/>
  </w:style>
  <w:style w:type="character" w:customStyle="1" w:styleId="103">
    <w:name w:val="批注主题 Char1"/>
    <w:basedOn w:val="102"/>
    <w:semiHidden/>
    <w:qFormat/>
    <w:uiPriority w:val="99"/>
    <w:rPr>
      <w:b/>
      <w:bCs/>
    </w:rPr>
  </w:style>
  <w:style w:type="paragraph" w:customStyle="1" w:styleId="104">
    <w:name w:val="表格文字"/>
    <w:basedOn w:val="1"/>
    <w:qFormat/>
    <w:uiPriority w:val="0"/>
    <w:pPr>
      <w:adjustRightInd w:val="0"/>
      <w:spacing w:line="420" w:lineRule="atLeast"/>
      <w:jc w:val="left"/>
      <w:textAlignment w:val="baseline"/>
    </w:pPr>
    <w:rPr>
      <w:rFonts w:ascii="Times New Roman" w:hAnsi="Times New Roman" w:eastAsia="宋体" w:cs="Times New Roman"/>
      <w:kern w:val="0"/>
      <w:szCs w:val="20"/>
    </w:rPr>
  </w:style>
  <w:style w:type="paragraph" w:customStyle="1" w:styleId="105">
    <w:name w:val="Char Char Char Char Char Char Char Char Char Char Char Char Char"/>
    <w:basedOn w:val="1"/>
    <w:qFormat/>
    <w:uiPriority w:val="0"/>
    <w:rPr>
      <w:rFonts w:ascii="宋体" w:hAnsi="宋体" w:eastAsia="宋体" w:cs="Times New Roman"/>
      <w:sz w:val="24"/>
      <w:szCs w:val="24"/>
    </w:rPr>
  </w:style>
  <w:style w:type="paragraph" w:styleId="106">
    <w:name w:val="List Paragraph"/>
    <w:basedOn w:val="1"/>
    <w:qFormat/>
    <w:uiPriority w:val="99"/>
    <w:pPr>
      <w:ind w:firstLine="420" w:firstLineChars="200"/>
    </w:pPr>
    <w:rPr>
      <w:rFonts w:ascii="Times New Roman" w:hAnsi="Times New Roman" w:eastAsia="宋体" w:cs="Times New Roman"/>
      <w:szCs w:val="24"/>
    </w:rPr>
  </w:style>
  <w:style w:type="character" w:customStyle="1" w:styleId="107">
    <w:name w:val="正文文本 Char1"/>
    <w:basedOn w:val="43"/>
    <w:link w:val="17"/>
    <w:semiHidden/>
    <w:qFormat/>
    <w:uiPriority w:val="99"/>
  </w:style>
  <w:style w:type="character" w:customStyle="1" w:styleId="108">
    <w:name w:val="正文首行缩进 Char1"/>
    <w:basedOn w:val="107"/>
    <w:semiHidden/>
    <w:qFormat/>
    <w:uiPriority w:val="99"/>
  </w:style>
  <w:style w:type="character" w:customStyle="1" w:styleId="109">
    <w:name w:val="正文文本 2 Char2"/>
    <w:basedOn w:val="43"/>
    <w:semiHidden/>
    <w:qFormat/>
    <w:uiPriority w:val="99"/>
  </w:style>
  <w:style w:type="character" w:customStyle="1" w:styleId="110">
    <w:name w:val="正文文本缩进 Char"/>
    <w:basedOn w:val="43"/>
    <w:link w:val="18"/>
    <w:qFormat/>
    <w:uiPriority w:val="0"/>
    <w:rPr>
      <w:rFonts w:ascii="Times New Roman" w:hAnsi="Times New Roman" w:eastAsia="宋体" w:cs="Times New Roman"/>
      <w:szCs w:val="24"/>
    </w:rPr>
  </w:style>
  <w:style w:type="paragraph" w:customStyle="1" w:styleId="111">
    <w:name w:val="样式 标题 3 + (中文) 黑体 小四 非加粗 段前: 7.8 磅 段后: 0 磅 行距: 固定值 20 磅"/>
    <w:basedOn w:val="5"/>
    <w:qFormat/>
    <w:uiPriority w:val="0"/>
    <w:pPr>
      <w:spacing w:before="0" w:after="0" w:line="400" w:lineRule="exact"/>
    </w:pPr>
    <w:rPr>
      <w:rFonts w:cs="宋体"/>
      <w:bCs w:val="0"/>
      <w:sz w:val="24"/>
      <w:szCs w:val="20"/>
    </w:rPr>
  </w:style>
  <w:style w:type="character" w:customStyle="1" w:styleId="112">
    <w:name w:val="纯文本 Char2"/>
    <w:basedOn w:val="43"/>
    <w:semiHidden/>
    <w:qFormat/>
    <w:uiPriority w:val="99"/>
    <w:rPr>
      <w:rFonts w:ascii="宋体" w:hAnsi="Courier New" w:eastAsia="宋体" w:cs="Courier New"/>
      <w:szCs w:val="21"/>
    </w:rPr>
  </w:style>
  <w:style w:type="paragraph" w:customStyle="1" w:styleId="113">
    <w:name w:val="专用标题2"/>
    <w:basedOn w:val="4"/>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bCs w:val="0"/>
      <w:kern w:val="0"/>
      <w:sz w:val="28"/>
      <w:szCs w:val="20"/>
    </w:rPr>
  </w:style>
  <w:style w:type="paragraph" w:customStyle="1" w:styleId="114">
    <w:name w:val="通用标题6"/>
    <w:basedOn w:val="1"/>
    <w:qFormat/>
    <w:uiPriority w:val="0"/>
    <w:pPr>
      <w:widowControl/>
      <w:numPr>
        <w:ilvl w:val="4"/>
        <w:numId w:val="1"/>
      </w:numPr>
      <w:tabs>
        <w:tab w:val="left" w:pos="993"/>
      </w:tabs>
      <w:adjustRightInd w:val="0"/>
      <w:snapToGrid w:val="0"/>
      <w:spacing w:after="120" w:afterLines="50" w:line="360" w:lineRule="auto"/>
      <w:ind w:firstLine="0"/>
    </w:pPr>
    <w:rPr>
      <w:rFonts w:ascii="宋体" w:hAnsi="宋体" w:eastAsia="宋体" w:cs="Times New Roman"/>
      <w:kern w:val="0"/>
      <w:sz w:val="24"/>
      <w:szCs w:val="20"/>
    </w:rPr>
  </w:style>
  <w:style w:type="character" w:customStyle="1" w:styleId="115">
    <w:name w:val="日期 Char1"/>
    <w:basedOn w:val="43"/>
    <w:semiHidden/>
    <w:qFormat/>
    <w:uiPriority w:val="99"/>
  </w:style>
  <w:style w:type="character" w:customStyle="1" w:styleId="116">
    <w:name w:val="批注框文本 Char1"/>
    <w:basedOn w:val="43"/>
    <w:semiHidden/>
    <w:qFormat/>
    <w:uiPriority w:val="99"/>
    <w:rPr>
      <w:sz w:val="18"/>
      <w:szCs w:val="18"/>
    </w:rPr>
  </w:style>
  <w:style w:type="character" w:customStyle="1" w:styleId="117">
    <w:name w:val="副标题 Char2"/>
    <w:basedOn w:val="43"/>
    <w:qFormat/>
    <w:uiPriority w:val="11"/>
    <w:rPr>
      <w:rFonts w:eastAsia="宋体" w:asciiTheme="majorHAnsi" w:hAnsiTheme="majorHAnsi" w:cstheme="majorBidi"/>
      <w:b/>
      <w:bCs/>
      <w:kern w:val="28"/>
      <w:sz w:val="32"/>
      <w:szCs w:val="32"/>
    </w:rPr>
  </w:style>
  <w:style w:type="paragraph" w:customStyle="1" w:styleId="118">
    <w:name w:val="附件标题1"/>
    <w:next w:val="1"/>
    <w:qFormat/>
    <w:uiPriority w:val="0"/>
    <w:pPr>
      <w:numPr>
        <w:ilvl w:val="0"/>
        <w:numId w:val="2"/>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character" w:customStyle="1" w:styleId="119">
    <w:name w:val="标题 Char"/>
    <w:basedOn w:val="43"/>
    <w:link w:val="37"/>
    <w:qFormat/>
    <w:uiPriority w:val="0"/>
    <w:rPr>
      <w:rFonts w:ascii="Arial" w:hAnsi="Arial" w:eastAsia="宋体" w:cs="Times New Roman"/>
      <w:b/>
      <w:kern w:val="0"/>
      <w:sz w:val="32"/>
      <w:szCs w:val="20"/>
    </w:rPr>
  </w:style>
  <w:style w:type="character" w:customStyle="1" w:styleId="120">
    <w:name w:val="正文文本缩进 3 Char"/>
    <w:basedOn w:val="43"/>
    <w:link w:val="31"/>
    <w:qFormat/>
    <w:uiPriority w:val="0"/>
    <w:rPr>
      <w:rFonts w:ascii="Times New Roman" w:hAnsi="Times New Roman" w:eastAsia="宋体" w:cs="Times New Roman"/>
      <w:sz w:val="16"/>
      <w:szCs w:val="16"/>
    </w:rPr>
  </w:style>
  <w:style w:type="character" w:customStyle="1" w:styleId="121">
    <w:name w:val="HTML 预设格式 Char2"/>
    <w:basedOn w:val="43"/>
    <w:semiHidden/>
    <w:qFormat/>
    <w:uiPriority w:val="99"/>
    <w:rPr>
      <w:rFonts w:ascii="Courier New" w:hAnsi="Courier New" w:cs="Courier New"/>
      <w:sz w:val="20"/>
      <w:szCs w:val="20"/>
    </w:rPr>
  </w:style>
  <w:style w:type="paragraph" w:customStyle="1" w:styleId="122">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123">
    <w:name w:val="附件标题"/>
    <w:basedOn w:val="4"/>
    <w:next w:val="1"/>
    <w:qFormat/>
    <w:uiPriority w:val="0"/>
    <w:pPr>
      <w:widowControl/>
      <w:numPr>
        <w:ilvl w:val="0"/>
        <w:numId w:val="3"/>
      </w:numPr>
      <w:tabs>
        <w:tab w:val="left" w:pos="1134"/>
      </w:tabs>
      <w:wordWrap w:val="0"/>
      <w:topLinePunct/>
      <w:adjustRightInd w:val="0"/>
      <w:snapToGrid w:val="0"/>
      <w:spacing w:before="0" w:after="120" w:afterLines="50" w:line="360" w:lineRule="auto"/>
      <w:jc w:val="center"/>
    </w:pPr>
    <w:rPr>
      <w:rFonts w:ascii="黑体" w:hAnsi="黑体"/>
      <w:bCs w:val="0"/>
      <w:kern w:val="0"/>
      <w:sz w:val="30"/>
      <w:szCs w:val="30"/>
    </w:rPr>
  </w:style>
  <w:style w:type="paragraph" w:customStyle="1" w:styleId="124">
    <w:name w:val="1"/>
    <w:basedOn w:val="1"/>
    <w:qFormat/>
    <w:uiPriority w:val="0"/>
    <w:rPr>
      <w:rFonts w:ascii="Times New Roman" w:hAnsi="Times New Roman" w:eastAsia="宋体" w:cs="Times New Roman"/>
      <w:szCs w:val="24"/>
    </w:rPr>
  </w:style>
  <w:style w:type="paragraph" w:customStyle="1" w:styleId="125">
    <w:name w:val="通用标题4"/>
    <w:next w:val="1"/>
    <w:qFormat/>
    <w:uiPriority w:val="0"/>
    <w:pPr>
      <w:numPr>
        <w:ilvl w:val="2"/>
        <w:numId w:val="4"/>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26">
    <w:name w:val="Char Char Char Char Char Char Char Char Char Char Char Char Char Char Char Char Char Char Char"/>
    <w:basedOn w:val="1"/>
    <w:qFormat/>
    <w:uiPriority w:val="0"/>
    <w:pPr>
      <w:widowControl/>
      <w:spacing w:after="160" w:line="240" w:lineRule="exact"/>
      <w:jc w:val="left"/>
    </w:pPr>
    <w:rPr>
      <w:rFonts w:ascii="Verdana" w:hAnsi="Verdana" w:eastAsia="宋体" w:cs="Verdana"/>
      <w:kern w:val="0"/>
      <w:sz w:val="20"/>
      <w:szCs w:val="20"/>
      <w:lang w:eastAsia="en-US"/>
    </w:rPr>
  </w:style>
  <w:style w:type="paragraph" w:customStyle="1" w:styleId="1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8">
    <w:name w:val="Char"/>
    <w:basedOn w:val="1"/>
    <w:qFormat/>
    <w:uiPriority w:val="0"/>
    <w:pPr>
      <w:tabs>
        <w:tab w:val="left" w:pos="360"/>
      </w:tabs>
    </w:pPr>
    <w:rPr>
      <w:rFonts w:ascii="Times New Roman" w:hAnsi="Times New Roman" w:eastAsia="宋体" w:cs="Times New Roman"/>
      <w:sz w:val="24"/>
      <w:szCs w:val="24"/>
    </w:rPr>
  </w:style>
  <w:style w:type="paragraph" w:customStyle="1" w:styleId="129">
    <w:name w:val="修订1"/>
    <w:qFormat/>
    <w:uiPriority w:val="0"/>
    <w:rPr>
      <w:rFonts w:ascii="Times New Roman" w:hAnsi="Times New Roman" w:eastAsia="宋体" w:cs="Times New Roman"/>
      <w:kern w:val="2"/>
      <w:sz w:val="21"/>
      <w:szCs w:val="24"/>
      <w:lang w:val="en-US" w:eastAsia="zh-CN" w:bidi="ar-SA"/>
    </w:rPr>
  </w:style>
  <w:style w:type="paragraph" w:customStyle="1" w:styleId="130">
    <w:name w:val="6'"/>
    <w:basedOn w:val="1"/>
    <w:qFormat/>
    <w:uiPriority w:val="0"/>
    <w:pPr>
      <w:autoSpaceDE w:val="0"/>
      <w:autoSpaceDN w:val="0"/>
      <w:adjustRightInd w:val="0"/>
      <w:snapToGrid w:val="0"/>
      <w:spacing w:line="320" w:lineRule="exact"/>
      <w:jc w:val="center"/>
      <w:textAlignment w:val="baseline"/>
    </w:pPr>
    <w:rPr>
      <w:rFonts w:ascii="Times New Roman" w:hAnsi="Times New Roman" w:eastAsia="宋体" w:cs="Times New Roman"/>
      <w:spacing w:val="20"/>
      <w:kern w:val="28"/>
      <w:szCs w:val="20"/>
    </w:rPr>
  </w:style>
  <w:style w:type="paragraph" w:customStyle="1" w:styleId="131">
    <w:name w:val="Char1"/>
    <w:basedOn w:val="1"/>
    <w:qFormat/>
    <w:uiPriority w:val="0"/>
    <w:pPr>
      <w:tabs>
        <w:tab w:val="left" w:pos="360"/>
      </w:tabs>
    </w:pPr>
    <w:rPr>
      <w:rFonts w:ascii="Times New Roman" w:hAnsi="Times New Roman" w:eastAsia="宋体" w:cs="Times New Roman"/>
      <w:sz w:val="24"/>
      <w:szCs w:val="24"/>
    </w:rPr>
  </w:style>
  <w:style w:type="paragraph" w:customStyle="1" w:styleId="132">
    <w:name w:val="通用标题3"/>
    <w:next w:val="1"/>
    <w:qFormat/>
    <w:uiPriority w:val="0"/>
    <w:pPr>
      <w:widowControl w:val="0"/>
      <w:numPr>
        <w:ilvl w:val="1"/>
        <w:numId w:val="5"/>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33">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34">
    <w:name w:val="TOC 标题1"/>
    <w:basedOn w:val="3"/>
    <w:next w:val="1"/>
    <w:unhideWhenUsed/>
    <w:qFormat/>
    <w:uiPriority w:val="39"/>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3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36">
    <w:name w:val="Char Char2"/>
    <w:basedOn w:val="1"/>
    <w:qFormat/>
    <w:uiPriority w:val="0"/>
    <w:pPr>
      <w:widowControl/>
      <w:spacing w:after="160" w:line="240" w:lineRule="exact"/>
      <w:jc w:val="left"/>
    </w:pPr>
    <w:rPr>
      <w:rFonts w:ascii="Verdana" w:hAnsi="Verdana" w:eastAsia="宋体" w:cs="Verdana"/>
      <w:kern w:val="0"/>
      <w:sz w:val="20"/>
      <w:szCs w:val="20"/>
      <w:lang w:eastAsia="en-US"/>
    </w:rPr>
  </w:style>
  <w:style w:type="paragraph" w:customStyle="1" w:styleId="137">
    <w:name w:val="表格"/>
    <w:basedOn w:val="1"/>
    <w:qFormat/>
    <w:uiPriority w:val="0"/>
    <w:pPr>
      <w:jc w:val="center"/>
      <w:textAlignment w:val="center"/>
    </w:pPr>
    <w:rPr>
      <w:rFonts w:ascii="华文细黑" w:hAnsi="华文细黑" w:eastAsia="宋体" w:cs="Times New Roman"/>
      <w:kern w:val="0"/>
      <w:szCs w:val="20"/>
    </w:rPr>
  </w:style>
  <w:style w:type="paragraph" w:customStyle="1" w:styleId="138">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139">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140">
    <w:name w:val="_Style 54"/>
    <w:basedOn w:val="1"/>
    <w:next w:val="1"/>
    <w:unhideWhenUsed/>
    <w:qFormat/>
    <w:uiPriority w:val="39"/>
    <w:pPr>
      <w:widowControl/>
      <w:wordWrap w:val="0"/>
      <w:topLinePunct/>
      <w:adjustRightInd w:val="0"/>
      <w:snapToGrid w:val="0"/>
      <w:spacing w:after="120" w:afterLines="50" w:line="360" w:lineRule="auto"/>
      <w:ind w:left="2520" w:leftChars="1200" w:firstLine="480" w:firstLineChars="200"/>
    </w:pPr>
    <w:rPr>
      <w:rFonts w:ascii="宋体" w:hAnsi="宋体" w:eastAsia="宋体" w:cs="Times New Roman"/>
      <w:kern w:val="0"/>
      <w:szCs w:val="20"/>
    </w:rPr>
  </w:style>
  <w:style w:type="paragraph" w:customStyle="1" w:styleId="141">
    <w:name w:val="Title 5"/>
    <w:next w:val="142"/>
    <w:qFormat/>
    <w:uiPriority w:val="0"/>
    <w:pPr>
      <w:numPr>
        <w:ilvl w:val="0"/>
        <w:numId w:val="6"/>
      </w:numPr>
      <w:ind w:left="1701" w:hanging="426"/>
      <w:jc w:val="both"/>
    </w:pPr>
    <w:rPr>
      <w:rFonts w:ascii="Times New Roman" w:hAnsi="Times New Roman" w:eastAsia="宋体" w:cs="Times New Roman"/>
      <w:kern w:val="2"/>
      <w:sz w:val="24"/>
      <w:szCs w:val="24"/>
      <w:lang w:val="en-US" w:eastAsia="zh-CN" w:bidi="ar-SA"/>
    </w:rPr>
  </w:style>
  <w:style w:type="paragraph" w:customStyle="1" w:styleId="142">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143">
    <w:name w:val="修订11"/>
    <w:semiHidden/>
    <w:qFormat/>
    <w:uiPriority w:val="99"/>
    <w:rPr>
      <w:rFonts w:ascii="宋体" w:hAnsi="Calibri" w:eastAsia="宋体" w:cs="Times New Roman"/>
      <w:kern w:val="2"/>
      <w:sz w:val="24"/>
      <w:szCs w:val="22"/>
      <w:lang w:val="en-US" w:eastAsia="zh-CN" w:bidi="ar-SA"/>
    </w:rPr>
  </w:style>
  <w:style w:type="paragraph" w:customStyle="1" w:styleId="144">
    <w:name w:val="通用标题7"/>
    <w:basedOn w:val="1"/>
    <w:qFormat/>
    <w:uiPriority w:val="0"/>
    <w:pPr>
      <w:widowControl/>
      <w:numPr>
        <w:ilvl w:val="5"/>
        <w:numId w:val="7"/>
      </w:numPr>
      <w:wordWrap w:val="0"/>
      <w:topLinePunct/>
      <w:adjustRightInd w:val="0"/>
      <w:snapToGrid w:val="0"/>
      <w:spacing w:after="120" w:afterLines="50" w:line="360" w:lineRule="auto"/>
      <w:ind w:firstLine="200" w:firstLineChars="200"/>
    </w:pPr>
    <w:rPr>
      <w:rFonts w:ascii="宋体" w:hAnsi="宋体" w:eastAsia="宋体" w:cs="Times New Roman"/>
      <w:kern w:val="0"/>
      <w:sz w:val="24"/>
      <w:szCs w:val="20"/>
    </w:rPr>
  </w:style>
  <w:style w:type="paragraph" w:customStyle="1" w:styleId="145">
    <w:name w:val="样式8"/>
    <w:basedOn w:val="1"/>
    <w:qFormat/>
    <w:uiPriority w:val="0"/>
    <w:pPr>
      <w:widowControl/>
      <w:wordWrap w:val="0"/>
      <w:topLinePunct/>
      <w:autoSpaceDE w:val="0"/>
      <w:autoSpaceDN w:val="0"/>
      <w:adjustRightInd w:val="0"/>
      <w:ind w:left="1274" w:leftChars="531" w:firstLine="2"/>
    </w:pPr>
    <w:rPr>
      <w:rFonts w:ascii="宋体" w:hAnsi="宋体" w:eastAsia="宋体" w:cs="Times New Roman"/>
      <w:bCs/>
      <w:kern w:val="0"/>
      <w:sz w:val="24"/>
      <w:szCs w:val="20"/>
    </w:rPr>
  </w:style>
  <w:style w:type="paragraph" w:customStyle="1" w:styleId="146">
    <w:name w:val="through-content"/>
    <w:basedOn w:val="1"/>
    <w:qFormat/>
    <w:uiPriority w:val="0"/>
    <w:pPr>
      <w:widowControl/>
      <w:wordWrap w:val="0"/>
      <w:topLinePunct/>
      <w:spacing w:before="100" w:beforeAutospacing="1" w:after="100" w:afterAutospacing="1"/>
      <w:jc w:val="left"/>
    </w:pPr>
    <w:rPr>
      <w:rFonts w:ascii="宋体" w:hAnsi="宋体" w:eastAsia="宋体" w:cs="宋体"/>
      <w:kern w:val="0"/>
      <w:sz w:val="24"/>
      <w:szCs w:val="20"/>
    </w:rPr>
  </w:style>
  <w:style w:type="paragraph" w:customStyle="1" w:styleId="147">
    <w:name w:val="List ALPHA CAPS 1"/>
    <w:basedOn w:val="1"/>
    <w:next w:val="17"/>
    <w:qFormat/>
    <w:uiPriority w:val="0"/>
    <w:pPr>
      <w:widowControl/>
      <w:numPr>
        <w:ilvl w:val="0"/>
        <w:numId w:val="4"/>
      </w:numPr>
      <w:tabs>
        <w:tab w:val="left" w:pos="22"/>
        <w:tab w:val="left" w:pos="624"/>
      </w:tabs>
      <w:wordWrap w:val="0"/>
      <w:topLinePunct/>
      <w:adjustRightInd w:val="0"/>
      <w:snapToGrid w:val="0"/>
      <w:spacing w:after="200" w:afterLines="50" w:line="288" w:lineRule="auto"/>
      <w:ind w:firstLine="200" w:firstLineChars="200"/>
    </w:pPr>
    <w:rPr>
      <w:rFonts w:ascii="CG Times" w:hAnsi="CG Times" w:eastAsia="宋体" w:cs="Times New Roman"/>
      <w:kern w:val="0"/>
      <w:sz w:val="22"/>
      <w:szCs w:val="20"/>
      <w:lang w:val="en-GB"/>
    </w:rPr>
  </w:style>
  <w:style w:type="paragraph" w:customStyle="1" w:styleId="148">
    <w:name w:val="TOC 标题2"/>
    <w:basedOn w:val="3"/>
    <w:next w:val="1"/>
    <w:qFormat/>
    <w:uiPriority w:val="0"/>
    <w:pPr>
      <w:spacing w:before="260" w:after="260" w:line="413" w:lineRule="auto"/>
      <w:jc w:val="center"/>
    </w:pPr>
    <w:rPr>
      <w:rFonts w:ascii="宋体" w:hAnsi="宋体"/>
      <w:sz w:val="36"/>
      <w:lang w:val="zh-CN"/>
    </w:rPr>
  </w:style>
  <w:style w:type="paragraph" w:customStyle="1" w:styleId="149">
    <w:name w:val="专用标题4"/>
    <w:basedOn w:val="6"/>
    <w:next w:val="1"/>
    <w:qFormat/>
    <w:uiPriority w:val="0"/>
    <w:pPr>
      <w:widowControl/>
      <w:numPr>
        <w:ilvl w:val="2"/>
        <w:numId w:val="8"/>
      </w:numPr>
      <w:adjustRightInd w:val="0"/>
      <w:snapToGrid w:val="0"/>
      <w:spacing w:before="0" w:after="0" w:line="240" w:lineRule="auto"/>
      <w:jc w:val="left"/>
    </w:pPr>
    <w:rPr>
      <w:rFonts w:eastAsia="宋体"/>
      <w:b w:val="0"/>
      <w:bCs w:val="0"/>
      <w:szCs w:val="22"/>
    </w:rPr>
  </w:style>
  <w:style w:type="paragraph" w:customStyle="1" w:styleId="150">
    <w:name w:val="LIST ALPHA CAPS 2"/>
    <w:basedOn w:val="1"/>
    <w:next w:val="33"/>
    <w:qFormat/>
    <w:uiPriority w:val="0"/>
    <w:pPr>
      <w:widowControl/>
      <w:numPr>
        <w:ilvl w:val="1"/>
        <w:numId w:val="4"/>
      </w:numPr>
      <w:tabs>
        <w:tab w:val="left" w:pos="50"/>
        <w:tab w:val="left" w:pos="1417"/>
      </w:tabs>
      <w:wordWrap w:val="0"/>
      <w:topLinePunct/>
      <w:adjustRightInd w:val="0"/>
      <w:snapToGrid w:val="0"/>
      <w:spacing w:after="200" w:afterLines="50" w:line="288" w:lineRule="auto"/>
      <w:ind w:firstLine="200" w:firstLineChars="200"/>
    </w:pPr>
    <w:rPr>
      <w:rFonts w:ascii="CG Times" w:hAnsi="CG Times" w:eastAsia="宋体" w:cs="Times New Roman"/>
      <w:kern w:val="0"/>
      <w:sz w:val="22"/>
      <w:szCs w:val="20"/>
      <w:lang w:val="en-GB"/>
    </w:rPr>
  </w:style>
  <w:style w:type="paragraph" w:customStyle="1" w:styleId="151">
    <w:name w:val="样式3"/>
    <w:next w:val="1"/>
    <w:qFormat/>
    <w:uiPriority w:val="0"/>
    <w:pPr>
      <w:numPr>
        <w:ilvl w:val="2"/>
        <w:numId w:val="9"/>
      </w:numPr>
    </w:pPr>
    <w:rPr>
      <w:rFonts w:ascii="Times New Roman" w:hAnsi="Times New Roman" w:eastAsia="宋体" w:cs="Times New Roman"/>
      <w:bCs/>
      <w:kern w:val="2"/>
      <w:sz w:val="24"/>
      <w:szCs w:val="24"/>
      <w:lang w:val="en-US" w:eastAsia="zh-CN" w:bidi="ar-SA"/>
    </w:rPr>
  </w:style>
  <w:style w:type="paragraph" w:customStyle="1" w:styleId="152">
    <w:name w:val="Title 4"/>
    <w:next w:val="138"/>
    <w:qFormat/>
    <w:uiPriority w:val="0"/>
    <w:pPr>
      <w:numPr>
        <w:ilvl w:val="0"/>
        <w:numId w:val="10"/>
      </w:numPr>
      <w:ind w:left="1276" w:hanging="562"/>
      <w:jc w:val="both"/>
    </w:pPr>
    <w:rPr>
      <w:rFonts w:ascii="Times New Roman" w:hAnsi="Times New Roman" w:eastAsia="宋体" w:cs="Times New Roman"/>
      <w:kern w:val="2"/>
      <w:sz w:val="24"/>
      <w:szCs w:val="24"/>
      <w:lang w:val="en-US" w:eastAsia="zh-CN" w:bidi="ar-SA"/>
    </w:rPr>
  </w:style>
  <w:style w:type="paragraph" w:customStyle="1" w:styleId="153">
    <w:name w:val="协议书标题2"/>
    <w:basedOn w:val="4"/>
    <w:next w:val="1"/>
    <w:qFormat/>
    <w:uiPriority w:val="0"/>
    <w:pPr>
      <w:keepNext w:val="0"/>
      <w:keepLines w:val="0"/>
      <w:widowControl/>
      <w:numPr>
        <w:ilvl w:val="0"/>
        <w:numId w:val="11"/>
      </w:numPr>
      <w:tabs>
        <w:tab w:val="left" w:pos="567"/>
      </w:tabs>
      <w:wordWrap w:val="0"/>
      <w:topLinePunct/>
      <w:adjustRightInd w:val="0"/>
      <w:snapToGrid w:val="0"/>
      <w:spacing w:before="0" w:after="120" w:afterLines="50" w:line="360" w:lineRule="auto"/>
      <w:ind w:firstLine="0"/>
      <w:jc w:val="left"/>
    </w:pPr>
    <w:rPr>
      <w:rFonts w:ascii="宋体" w:hAnsi="宋体" w:eastAsia="宋体"/>
      <w:bCs w:val="0"/>
      <w:kern w:val="0"/>
      <w:sz w:val="24"/>
      <w:szCs w:val="20"/>
    </w:rPr>
  </w:style>
  <w:style w:type="paragraph" w:customStyle="1" w:styleId="154">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55">
    <w:name w:val="专用标题3"/>
    <w:basedOn w:val="5"/>
    <w:qFormat/>
    <w:uiPriority w:val="0"/>
    <w:pPr>
      <w:widowControl/>
      <w:numPr>
        <w:ilvl w:val="1"/>
        <w:numId w:val="8"/>
      </w:numPr>
      <w:wordWrap w:val="0"/>
      <w:topLinePunct/>
      <w:adjustRightInd w:val="0"/>
      <w:snapToGrid w:val="0"/>
      <w:spacing w:before="0" w:after="120" w:afterLines="50" w:line="360" w:lineRule="auto"/>
      <w:jc w:val="left"/>
    </w:pPr>
    <w:rPr>
      <w:rFonts w:ascii="宋体" w:eastAsia="宋体"/>
      <w:b/>
      <w:bCs w:val="0"/>
      <w:kern w:val="0"/>
      <w:sz w:val="24"/>
      <w:szCs w:val="20"/>
    </w:rPr>
  </w:style>
  <w:style w:type="paragraph" w:customStyle="1" w:styleId="156">
    <w:name w:val="通用标题5"/>
    <w:qFormat/>
    <w:uiPriority w:val="0"/>
    <w:pPr>
      <w:widowControl w:val="0"/>
      <w:numPr>
        <w:ilvl w:val="3"/>
        <w:numId w:val="5"/>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57">
    <w:name w:val="LIST ALPHA CAPS 3"/>
    <w:basedOn w:val="1"/>
    <w:next w:val="16"/>
    <w:qFormat/>
    <w:uiPriority w:val="0"/>
    <w:pPr>
      <w:widowControl/>
      <w:tabs>
        <w:tab w:val="left" w:pos="68"/>
        <w:tab w:val="left" w:pos="1928"/>
      </w:tabs>
      <w:wordWrap w:val="0"/>
      <w:topLinePunct/>
      <w:adjustRightInd w:val="0"/>
      <w:snapToGrid w:val="0"/>
      <w:spacing w:after="200" w:afterLines="50" w:line="288" w:lineRule="auto"/>
      <w:ind w:left="2126" w:firstLine="200" w:firstLineChars="200"/>
    </w:pPr>
    <w:rPr>
      <w:rFonts w:ascii="CG Times" w:hAnsi="CG Times" w:eastAsia="宋体" w:cs="Times New Roman"/>
      <w:kern w:val="0"/>
      <w:sz w:val="22"/>
      <w:szCs w:val="20"/>
      <w:lang w:val="en-GB"/>
    </w:rPr>
  </w:style>
  <w:style w:type="paragraph" w:customStyle="1" w:styleId="158">
    <w:name w:val="通用标题2"/>
    <w:basedOn w:val="4"/>
    <w:next w:val="1"/>
    <w:qFormat/>
    <w:uiPriority w:val="0"/>
    <w:pPr>
      <w:keepNext w:val="0"/>
      <w:keepLines w:val="0"/>
      <w:widowControl/>
      <w:tabs>
        <w:tab w:val="left" w:pos="993"/>
      </w:tabs>
      <w:wordWrap w:val="0"/>
      <w:topLinePunct/>
      <w:adjustRightInd w:val="0"/>
      <w:snapToGrid w:val="0"/>
      <w:spacing w:before="0" w:after="120" w:afterLines="50" w:line="360" w:lineRule="auto"/>
    </w:pPr>
    <w:rPr>
      <w:rFonts w:ascii="黑体" w:hAnsi="黑体"/>
      <w:bCs w:val="0"/>
      <w:kern w:val="0"/>
      <w:sz w:val="28"/>
      <w:szCs w:val="20"/>
    </w:rPr>
  </w:style>
  <w:style w:type="paragraph" w:customStyle="1" w:styleId="159">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table" w:customStyle="1" w:styleId="160">
    <w:name w:val="TableGrid"/>
    <w:qFormat/>
    <w:uiPriority w:val="0"/>
    <w:rPr>
      <w:rFonts w:ascii="Times New Roman" w:hAnsi="Times New Roman" w:eastAsia="宋体" w:cs="Times New Roman"/>
    </w:rPr>
    <w:tblPr>
      <w:tblCellMar>
        <w:top w:w="0" w:type="dxa"/>
        <w:left w:w="0" w:type="dxa"/>
        <w:bottom w:w="0" w:type="dxa"/>
        <w:right w:w="0" w:type="dxa"/>
      </w:tblCellMar>
    </w:tblPr>
  </w:style>
  <w:style w:type="table" w:customStyle="1" w:styleId="161">
    <w:name w:val="网格型1"/>
    <w:basedOn w:val="41"/>
    <w:qFormat/>
    <w:uiPriority w:val="39"/>
    <w:rPr>
      <w:rFonts w:ascii="Calibri" w:hAnsi="Calibri" w:eastAsia="Times New Roman"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3">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4">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65">
    <w:name w:val="纯文本 字符"/>
    <w:qFormat/>
    <w:uiPriority w:val="0"/>
    <w:rPr>
      <w:rFonts w:ascii="宋体" w:hAnsi="宋体" w:eastAsia="宋体" w:cs="宋体"/>
      <w:kern w:val="2"/>
      <w:sz w:val="24"/>
      <w:szCs w:val="24"/>
    </w:rPr>
  </w:style>
  <w:style w:type="character" w:customStyle="1" w:styleId="166">
    <w:name w:val="副标题 字符"/>
    <w:qFormat/>
    <w:uiPriority w:val="11"/>
    <w:rPr>
      <w:rFonts w:ascii="宋体" w:hAnsi="宋体" w:cs="Times New Roman"/>
      <w:b/>
      <w:bCs/>
      <w:kern w:val="28"/>
      <w:sz w:val="24"/>
      <w:szCs w:val="32"/>
    </w:rPr>
  </w:style>
  <w:style w:type="character" w:customStyle="1" w:styleId="167">
    <w:name w:val="标题 9 字符"/>
    <w:qFormat/>
    <w:uiPriority w:val="0"/>
    <w:rPr>
      <w:rFonts w:ascii="CG Times" w:hAnsi="CG Times"/>
      <w:b/>
      <w:smallCaps/>
      <w:sz w:val="21"/>
      <w:lang w:val="en-GB"/>
    </w:rPr>
  </w:style>
  <w:style w:type="character" w:customStyle="1" w:styleId="168">
    <w:name w:val="标题 5 字符"/>
    <w:qFormat/>
    <w:uiPriority w:val="9"/>
    <w:rPr>
      <w:b/>
      <w:bCs/>
      <w:kern w:val="2"/>
      <w:sz w:val="28"/>
      <w:szCs w:val="28"/>
    </w:rPr>
  </w:style>
  <w:style w:type="character" w:customStyle="1" w:styleId="169">
    <w:name w:val="正文文本 2 字符"/>
    <w:semiHidden/>
    <w:qFormat/>
    <w:uiPriority w:val="99"/>
    <w:rPr>
      <w:rFonts w:ascii="Calibri" w:hAnsi="Calibri" w:eastAsia="宋体" w:cs="Times New Roman"/>
      <w:kern w:val="2"/>
      <w:sz w:val="24"/>
      <w:szCs w:val="22"/>
    </w:rPr>
  </w:style>
  <w:style w:type="character" w:customStyle="1" w:styleId="170">
    <w:name w:val="日期 字符"/>
    <w:basedOn w:val="43"/>
    <w:qFormat/>
    <w:uiPriority w:val="0"/>
  </w:style>
  <w:style w:type="character" w:customStyle="1" w:styleId="171">
    <w:name w:val="批注框文本 字符"/>
    <w:semiHidden/>
    <w:qFormat/>
    <w:uiPriority w:val="99"/>
    <w:rPr>
      <w:sz w:val="18"/>
      <w:szCs w:val="18"/>
    </w:rPr>
  </w:style>
  <w:style w:type="character" w:customStyle="1" w:styleId="172">
    <w:name w:val="标题 8 字符"/>
    <w:qFormat/>
    <w:uiPriority w:val="0"/>
    <w:rPr>
      <w:rFonts w:ascii="CG Times" w:hAnsi="CG Times"/>
      <w:sz w:val="22"/>
      <w:lang w:val="en-GB"/>
    </w:rPr>
  </w:style>
  <w:style w:type="character" w:customStyle="1" w:styleId="173">
    <w:name w:val="标题 7 字符"/>
    <w:qFormat/>
    <w:uiPriority w:val="0"/>
    <w:rPr>
      <w:rFonts w:ascii="CG Times" w:hAnsi="CG Times"/>
      <w:sz w:val="22"/>
      <w:lang w:val="en-GB"/>
    </w:rPr>
  </w:style>
  <w:style w:type="character" w:customStyle="1" w:styleId="174">
    <w:name w:val="标题 6 字符"/>
    <w:semiHidden/>
    <w:qFormat/>
    <w:uiPriority w:val="9"/>
    <w:rPr>
      <w:rFonts w:ascii="Calibri Light" w:hAnsi="Calibri Light" w:eastAsia="宋体" w:cs="Times New Roman"/>
      <w:b/>
      <w:bCs/>
      <w:kern w:val="2"/>
      <w:sz w:val="24"/>
      <w:szCs w:val="24"/>
    </w:rPr>
  </w:style>
  <w:style w:type="character" w:customStyle="1" w:styleId="175">
    <w:name w:val="正文文本 3 字符"/>
    <w:semiHidden/>
    <w:qFormat/>
    <w:uiPriority w:val="99"/>
    <w:rPr>
      <w:rFonts w:ascii="Calibri" w:hAnsi="Calibri" w:eastAsia="宋体" w:cs="Times New Roman"/>
      <w:kern w:val="2"/>
      <w:sz w:val="16"/>
      <w:szCs w:val="16"/>
    </w:rPr>
  </w:style>
  <w:style w:type="character" w:customStyle="1" w:styleId="176">
    <w:name w:val="HTML 预设格式 字符"/>
    <w:semiHidden/>
    <w:qFormat/>
    <w:uiPriority w:val="99"/>
    <w:rPr>
      <w:rFonts w:ascii="宋体" w:hAnsi="宋体" w:cs="宋体"/>
      <w:sz w:val="24"/>
      <w:szCs w:val="24"/>
    </w:rPr>
  </w:style>
  <w:style w:type="paragraph" w:customStyle="1" w:styleId="177">
    <w:name w:val="_Style 175"/>
    <w:basedOn w:val="1"/>
    <w:next w:val="1"/>
    <w:unhideWhenUsed/>
    <w:qFormat/>
    <w:uiPriority w:val="39"/>
    <w:pPr>
      <w:widowControl/>
      <w:wordWrap w:val="0"/>
      <w:topLinePunct/>
      <w:adjustRightInd w:val="0"/>
      <w:snapToGrid w:val="0"/>
      <w:spacing w:after="120" w:afterLines="50" w:line="360" w:lineRule="auto"/>
      <w:ind w:left="2520" w:leftChars="1200" w:firstLine="480" w:firstLineChars="200"/>
    </w:pPr>
    <w:rPr>
      <w:rFonts w:ascii="宋体" w:hAnsi="宋体" w:eastAsia="宋体" w:cs="Times New Roman"/>
      <w:kern w:val="0"/>
      <w:szCs w:val="20"/>
    </w:rPr>
  </w:style>
  <w:style w:type="table" w:customStyle="1" w:styleId="178">
    <w:name w:val="网格型2"/>
    <w:basedOn w:val="41"/>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
    <w:name w:val="网格型11"/>
    <w:basedOn w:val="41"/>
    <w:qFormat/>
    <w:uiPriority w:val="39"/>
    <w:rPr>
      <w:rFonts w:ascii="Calibri" w:hAnsi="Calibri" w:eastAsia="Times New Roman"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0">
    <w:name w:val="TableGrid1"/>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181">
    <w:name w:val="正文首行缩进 2 Char"/>
    <w:basedOn w:val="110"/>
    <w:link w:val="40"/>
    <w:uiPriority w:val="0"/>
    <w:rPr>
      <w:rFonts w:ascii="Calibri" w:hAnsi="Calibri" w:eastAsia="仿宋" w:cs="Times New Roman"/>
      <w:kern w:val="2"/>
      <w:sz w:val="24"/>
      <w:szCs w:val="24"/>
    </w:rPr>
  </w:style>
  <w:style w:type="table" w:customStyle="1" w:styleId="182">
    <w:name w:val="网格型3"/>
    <w:basedOn w:val="41"/>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3">
    <w:name w:val="正文首行缩进1"/>
    <w:basedOn w:val="17"/>
    <w:qFormat/>
    <w:uiPriority w:val="0"/>
    <w:pPr>
      <w:spacing w:after="0" w:line="440" w:lineRule="exact"/>
      <w:ind w:firstLine="420" w:firstLineChars="100"/>
    </w:pPr>
    <w:rPr>
      <w:rFonts w:ascii="Calibri" w:hAnsi="Calibri" w:eastAsia="仿宋" w:cs="Times New Roman"/>
      <w:sz w:val="24"/>
      <w:szCs w:val="20"/>
    </w:rPr>
  </w:style>
  <w:style w:type="paragraph" w:customStyle="1" w:styleId="184">
    <w:name w:val="Table Paragraph"/>
    <w:basedOn w:val="1"/>
    <w:next w:val="1"/>
    <w:qFormat/>
    <w:uiPriority w:val="1"/>
    <w:rPr>
      <w:rFonts w:ascii="Calibri" w:hAnsi="Calibri" w:eastAsia="仿宋" w:cs="Times New Roman"/>
      <w:sz w:val="24"/>
      <w:szCs w:val="24"/>
    </w:rPr>
  </w:style>
  <w:style w:type="paragraph" w:customStyle="1" w:styleId="185">
    <w:name w:val="Normal_1"/>
    <w:qFormat/>
    <w:uiPriority w:val="0"/>
    <w:rPr>
      <w:rFonts w:ascii="Times New Roman" w:hAnsi="Times New Roman" w:eastAsia="Times New Roman" w:cs="Times New Roman"/>
      <w:sz w:val="24"/>
      <w:szCs w:val="24"/>
      <w:lang w:val="en-US" w:eastAsia="zh-CN" w:bidi="ar-SA"/>
    </w:rPr>
  </w:style>
  <w:style w:type="character" w:customStyle="1" w:styleId="186">
    <w:name w:val="font21"/>
    <w:basedOn w:val="43"/>
    <w:qFormat/>
    <w:uiPriority w:val="0"/>
    <w:rPr>
      <w:rFonts w:hint="eastAsia" w:ascii="仿宋" w:hAnsi="仿宋" w:eastAsia="仿宋" w:cs="仿宋"/>
      <w:b/>
      <w:bCs/>
      <w:color w:val="000000"/>
      <w:sz w:val="56"/>
      <w:szCs w:val="56"/>
      <w:u w:val="none"/>
    </w:rPr>
  </w:style>
  <w:style w:type="character" w:customStyle="1" w:styleId="187">
    <w:name w:val="NormalCharacter"/>
    <w:semiHidden/>
    <w:qFormat/>
    <w:uiPriority w:val="0"/>
    <w:rPr>
      <w:rFonts w:eastAsia="仿宋"/>
    </w:rPr>
  </w:style>
  <w:style w:type="character" w:customStyle="1" w:styleId="188">
    <w:name w:val="font61"/>
    <w:basedOn w:val="43"/>
    <w:qFormat/>
    <w:uiPriority w:val="0"/>
    <w:rPr>
      <w:rFonts w:ascii="Arial" w:hAnsi="Arial" w:cs="Arial"/>
      <w:color w:val="000000"/>
      <w:sz w:val="22"/>
      <w:szCs w:val="22"/>
      <w:u w:val="none"/>
    </w:rPr>
  </w:style>
  <w:style w:type="character" w:customStyle="1" w:styleId="189">
    <w:name w:val="font41"/>
    <w:basedOn w:val="43"/>
    <w:qFormat/>
    <w:uiPriority w:val="0"/>
    <w:rPr>
      <w:rFonts w:hint="eastAsia" w:ascii="仿宋" w:hAnsi="仿宋" w:eastAsia="仿宋" w:cs="仿宋"/>
      <w:color w:val="000000"/>
      <w:sz w:val="22"/>
      <w:szCs w:val="22"/>
      <w:u w:val="none"/>
    </w:rPr>
  </w:style>
  <w:style w:type="paragraph" w:customStyle="1" w:styleId="190">
    <w:name w:val="Table Text"/>
    <w:basedOn w:val="1"/>
    <w:semiHidden/>
    <w:qFormat/>
    <w:uiPriority w:val="0"/>
    <w:rPr>
      <w:rFonts w:ascii="宋体" w:hAnsi="宋体" w:eastAsia="宋体" w:cs="宋体"/>
      <w:sz w:val="26"/>
      <w:szCs w:val="26"/>
      <w:lang w:eastAsia="en-US"/>
    </w:rPr>
  </w:style>
  <w:style w:type="table" w:customStyle="1" w:styleId="191">
    <w:name w:val="Table Normal_0"/>
    <w:semiHidden/>
    <w:unhideWhenUsed/>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192">
    <w:name w:val="Normal_2"/>
    <w:basedOn w:val="193"/>
    <w:qFormat/>
    <w:uiPriority w:val="0"/>
  </w:style>
  <w:style w:type="paragraph" w:customStyle="1" w:styleId="193">
    <w:name w:val="Normal_3"/>
    <w:qFormat/>
    <w:uiPriority w:val="0"/>
    <w:pPr>
      <w:widowControl w:val="0"/>
      <w:jc w:val="both"/>
    </w:pPr>
    <w:rPr>
      <w:rFonts w:ascii="Calibri" w:hAnsi="Calibri" w:eastAsia="宋体" w:cs="Times New Roman"/>
      <w:lang w:val="en-US" w:eastAsia="en-US" w:bidi="ar-SA"/>
    </w:rPr>
  </w:style>
  <w:style w:type="paragraph" w:customStyle="1" w:styleId="194">
    <w:name w:val="正文缩进1"/>
    <w:basedOn w:val="1"/>
    <w:qFormat/>
    <w:uiPriority w:val="99"/>
    <w:pPr>
      <w:ind w:firstLine="420"/>
    </w:pPr>
    <w:rPr>
      <w:rFonts w:ascii="Calibri" w:hAnsi="Calibri" w:eastAsia="仿宋" w:cs="Times New Roman"/>
      <w:sz w:val="24"/>
      <w:szCs w:val="24"/>
    </w:rPr>
  </w:style>
  <w:style w:type="character" w:customStyle="1" w:styleId="195">
    <w:name w:val="UserStyle_3"/>
    <w:semiHidden/>
    <w:qFormat/>
    <w:uiPriority w:val="0"/>
    <w:rPr>
      <w:rFonts w:ascii="Calibri" w:hAnsi="Calibri" w:eastAsia="仿宋"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206D06-68E7-44A8-AC6E-1636A56E957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169</Pages>
  <Words>20113</Words>
  <Characters>114650</Characters>
  <Lines>955</Lines>
  <Paragraphs>268</Paragraphs>
  <TotalTime>240</TotalTime>
  <ScaleCrop>false</ScaleCrop>
  <LinksUpToDate>false</LinksUpToDate>
  <CharactersWithSpaces>134495</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2024-10-25T01:10:00Z</dcterms:created>
  <dc:creator>AutoBVT</dc:creator>
  <cp:lastModifiedBy>朱莹祥</cp:lastModifiedBy>
  <cp:lastPrinted>2025-04-18T04:16:00Z</cp:lastPrinted>
  <dcterms:modified xsi:type="dcterms:W3CDTF">2025-12-18T09:12:51Z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49EA7B5D1095434285DAF03792D158D0_13</vt:lpwstr>
  </property>
  <property fmtid="{D5CDD505-2E9C-101B-9397-08002B2CF9AE}" pid="4" name="KSOTemplateDocerSaveRecord">
    <vt:lpwstr>eyJoZGlkIjoiMGEwZDNlNjQ1ZmMzNTgyZTQ5OGNjYWY4OTJlMzZhYzkifQ==</vt:lpwstr>
  </property>
</Properties>
</file>