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微软雅黑" w:hAnsi="微软雅黑" w:eastAsia="微软雅黑" w:cs="微软雅黑"/>
          <w:b/>
          <w:bCs/>
          <w:i w:val="0"/>
          <w:iCs w:val="0"/>
          <w:caps w:val="0"/>
          <w:color w:val="232B32"/>
          <w:spacing w:val="0"/>
          <w:sz w:val="36"/>
          <w:szCs w:val="36"/>
          <w:shd w:val="clear" w:fill="FFFFFF"/>
          <w:lang w:val="en-US" w:eastAsia="zh-CN"/>
        </w:rPr>
      </w:pPr>
      <w:r>
        <w:rPr>
          <w:rFonts w:ascii="微软雅黑" w:hAnsi="微软雅黑" w:eastAsia="微软雅黑" w:cs="微软雅黑"/>
          <w:b/>
          <w:bCs/>
          <w:i w:val="0"/>
          <w:iCs w:val="0"/>
          <w:caps w:val="0"/>
          <w:color w:val="232B32"/>
          <w:spacing w:val="0"/>
          <w:sz w:val="36"/>
          <w:szCs w:val="36"/>
          <w:shd w:val="clear" w:fill="FFFFFF"/>
        </w:rPr>
        <w:t>鲁甸至巧家高速公路钢筋、型钢采购招标(二次)</w:t>
      </w:r>
      <w:r>
        <w:rPr>
          <w:rFonts w:hint="eastAsia" w:ascii="微软雅黑" w:hAnsi="微软雅黑" w:eastAsia="微软雅黑" w:cs="微软雅黑"/>
          <w:b/>
          <w:bCs/>
          <w:i w:val="0"/>
          <w:iCs w:val="0"/>
          <w:caps w:val="0"/>
          <w:color w:val="232B32"/>
          <w:spacing w:val="0"/>
          <w:sz w:val="36"/>
          <w:szCs w:val="36"/>
          <w:shd w:val="clear" w:fill="FFFFFF"/>
          <w:lang w:val="en-US" w:eastAsia="zh-CN"/>
        </w:rPr>
        <w:t>-招标公告</w:t>
      </w:r>
    </w:p>
    <w:p>
      <w:pPr>
        <w:pStyle w:val="2"/>
        <w:jc w:val="center"/>
        <w:rPr>
          <w:rFonts w:hint="default" w:eastAsia="微软雅黑"/>
          <w:lang w:val="en-US" w:eastAsia="zh-CN"/>
        </w:rPr>
      </w:pPr>
      <w:r>
        <w:rPr>
          <w:rFonts w:hint="eastAsia" w:eastAsia="微软雅黑"/>
          <w:lang w:val="en-US" w:eastAsia="zh-CN"/>
        </w:rPr>
        <w:t>项目编码：2022275</w:t>
      </w:r>
    </w:p>
    <w:p>
      <w:pPr>
        <w:jc w:val="center"/>
        <w:rPr>
          <w:rFonts w:ascii="微软雅黑" w:hAnsi="微软雅黑" w:eastAsia="微软雅黑" w:cs="微软雅黑"/>
          <w:b w:val="0"/>
          <w:bCs w:val="0"/>
          <w:i w:val="0"/>
          <w:iCs w:val="0"/>
          <w:caps w:val="0"/>
          <w:color w:val="232B32"/>
          <w:spacing w:val="0"/>
          <w:sz w:val="28"/>
          <w:szCs w:val="28"/>
          <w:shd w:val="clear" w:fill="FFFFFF"/>
        </w:rPr>
      </w:pP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一）</w:t>
      </w:r>
      <w:r>
        <w:rPr>
          <w:rFonts w:hint="eastAsia" w:ascii="微软雅黑" w:hAnsi="微软雅黑" w:eastAsia="微软雅黑" w:cs="微软雅黑"/>
          <w:b w:val="0"/>
          <w:bCs w:val="0"/>
          <w:i w:val="0"/>
          <w:iCs w:val="0"/>
          <w:caps w:val="0"/>
          <w:color w:val="232B32"/>
          <w:spacing w:val="0"/>
          <w:sz w:val="28"/>
          <w:szCs w:val="28"/>
          <w:shd w:val="clear" w:fill="FFFFFF"/>
        </w:rPr>
        <w:t>鲁甸至巧家高速公路钢筋采购招标</w:t>
      </w: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二次</w:t>
      </w: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招标</w:t>
      </w:r>
      <w:r>
        <w:rPr>
          <w:rFonts w:hint="eastAsia" w:ascii="微软雅黑" w:hAnsi="微软雅黑" w:eastAsia="微软雅黑" w:cs="微软雅黑"/>
          <w:b w:val="0"/>
          <w:bCs w:val="0"/>
          <w:i w:val="0"/>
          <w:iCs w:val="0"/>
          <w:caps w:val="0"/>
          <w:color w:val="232B32"/>
          <w:spacing w:val="0"/>
          <w:sz w:val="28"/>
          <w:szCs w:val="28"/>
          <w:shd w:val="clear" w:fill="FFFFFF"/>
        </w:rPr>
        <w:t>公告</w:t>
      </w:r>
    </w:p>
    <w:p>
      <w:pPr>
        <w:topLinePunct/>
        <w:spacing w:after="78" w:afterLines="25" w:line="300" w:lineRule="auto"/>
        <w:ind w:firstLine="480" w:firstLineChars="200"/>
        <w:outlineLvl w:val="2"/>
        <w:rPr>
          <w:rFonts w:ascii="黑体" w:hAnsi="黑体" w:eastAsia="黑体"/>
          <w:sz w:val="24"/>
          <w:highlight w:val="none"/>
        </w:rPr>
      </w:pPr>
      <w:bookmarkStart w:id="0" w:name="_Toc144974394"/>
      <w:bookmarkStart w:id="1" w:name="_Toc152047191"/>
      <w:bookmarkStart w:id="2" w:name="_Toc144974395"/>
      <w:bookmarkStart w:id="3" w:name="_Toc152047192"/>
      <w:r>
        <w:rPr>
          <w:rFonts w:ascii="黑体" w:hAnsi="黑体" w:eastAsia="黑体"/>
          <w:sz w:val="24"/>
          <w:highlight w:val="none"/>
        </w:rPr>
        <w:t>1</w:t>
      </w:r>
      <w:r>
        <w:rPr>
          <w:rFonts w:hint="eastAsia" w:ascii="黑体" w:hAnsi="黑体" w:eastAsia="黑体"/>
          <w:sz w:val="24"/>
          <w:highlight w:val="none"/>
        </w:rPr>
        <w:t>.</w:t>
      </w:r>
      <w:r>
        <w:rPr>
          <w:rFonts w:ascii="黑体" w:hAnsi="黑体" w:eastAsia="黑体"/>
          <w:sz w:val="24"/>
          <w:highlight w:val="none"/>
        </w:rPr>
        <w:t>招标条件</w:t>
      </w:r>
      <w:bookmarkEnd w:id="0"/>
      <w:bookmarkEnd w:id="1"/>
    </w:p>
    <w:p>
      <w:pPr>
        <w:snapToGrid w:val="0"/>
        <w:spacing w:after="78" w:afterLines="25" w:line="300" w:lineRule="auto"/>
        <w:ind w:firstLine="480" w:firstLineChars="200"/>
        <w:rPr>
          <w:sz w:val="24"/>
          <w:highlight w:val="none"/>
          <w:u w:val="none"/>
        </w:rPr>
      </w:pPr>
      <w:r>
        <w:rPr>
          <w:rFonts w:hint="eastAsia" w:ascii="宋体" w:hAnsi="宋体" w:cs="宋体"/>
          <w:sz w:val="24"/>
          <w:highlight w:val="none"/>
          <w:u w:val="none"/>
        </w:rPr>
        <w:t>本招标项目鲁甸至巧家高速公路已由云南省发展和改革委员会以云发改基础〔2020〕988号批准建设，初步设计已由云南省交通运输厅以云交审批［2021］7号批复。项目业主为昭通市鲁巧高速公路投资开发有限公司，招标人为</w:t>
      </w:r>
      <w:bookmarkStart w:id="4" w:name="_Hlk853466"/>
      <w:r>
        <w:rPr>
          <w:rFonts w:hint="eastAsia" w:ascii="宋体" w:hAnsi="宋体" w:cs="宋体"/>
          <w:sz w:val="24"/>
          <w:highlight w:val="none"/>
          <w:u w:val="none"/>
        </w:rPr>
        <w:t>云南大昭物资有限公司（以下简称“发包人”或“招标人”）</w:t>
      </w:r>
      <w:bookmarkEnd w:id="4"/>
      <w:r>
        <w:rPr>
          <w:rFonts w:hint="eastAsia" w:ascii="宋体" w:hAnsi="宋体" w:cs="宋体"/>
          <w:sz w:val="24"/>
          <w:highlight w:val="none"/>
          <w:u w:val="none"/>
        </w:rPr>
        <w:t>；建设资金来自企业自筹、政府补助和国内银行贷款，资金已落实，招标代理机构为华杰工程咨询有限公司。项目已具备招标条件。现对该项目所需钢筋以资格后审方式进行公开招标。</w:t>
      </w:r>
    </w:p>
    <w:p>
      <w:pPr>
        <w:topLinePunct/>
        <w:spacing w:after="78" w:afterLines="25" w:line="300" w:lineRule="auto"/>
        <w:ind w:firstLine="480" w:firstLineChars="200"/>
        <w:outlineLvl w:val="2"/>
        <w:rPr>
          <w:rFonts w:ascii="黑体" w:hAnsi="黑体" w:eastAsia="黑体"/>
          <w:sz w:val="24"/>
          <w:highlight w:val="none"/>
        </w:rPr>
      </w:pPr>
      <w:r>
        <w:rPr>
          <w:rFonts w:ascii="黑体" w:hAnsi="黑体" w:eastAsia="黑体"/>
          <w:sz w:val="24"/>
          <w:highlight w:val="none"/>
        </w:rPr>
        <w:t>2</w:t>
      </w:r>
      <w:r>
        <w:rPr>
          <w:rFonts w:hint="eastAsia" w:ascii="黑体" w:hAnsi="黑体" w:eastAsia="黑体"/>
          <w:sz w:val="24"/>
          <w:highlight w:val="none"/>
        </w:rPr>
        <w:t>.</w:t>
      </w:r>
      <w:r>
        <w:rPr>
          <w:rFonts w:ascii="黑体" w:hAnsi="黑体" w:eastAsia="黑体"/>
          <w:sz w:val="24"/>
          <w:highlight w:val="none"/>
        </w:rPr>
        <w:t>项目概况与招标范围</w:t>
      </w:r>
      <w:bookmarkEnd w:id="2"/>
      <w:bookmarkEnd w:id="3"/>
    </w:p>
    <w:p>
      <w:pPr>
        <w:spacing w:after="78" w:afterLines="25" w:line="300" w:lineRule="auto"/>
        <w:ind w:firstLine="480" w:firstLineChars="200"/>
        <w:rPr>
          <w:rFonts w:hint="eastAsia"/>
          <w:sz w:val="24"/>
          <w:highlight w:val="none"/>
        </w:rPr>
      </w:pPr>
      <w:r>
        <w:rPr>
          <w:sz w:val="24"/>
          <w:highlight w:val="none"/>
        </w:rPr>
        <w:t>2.1建设地点：云南省</w:t>
      </w:r>
      <w:r>
        <w:rPr>
          <w:rFonts w:hint="eastAsia"/>
          <w:sz w:val="24"/>
          <w:highlight w:val="none"/>
        </w:rPr>
        <w:t>昭通市境内</w:t>
      </w:r>
      <w:r>
        <w:rPr>
          <w:sz w:val="24"/>
          <w:highlight w:val="none"/>
        </w:rPr>
        <w:t>。</w:t>
      </w:r>
    </w:p>
    <w:p>
      <w:pPr>
        <w:spacing w:after="78" w:afterLines="25" w:line="300" w:lineRule="auto"/>
        <w:ind w:firstLine="480" w:firstLineChars="200"/>
        <w:rPr>
          <w:sz w:val="24"/>
          <w:highlight w:val="none"/>
        </w:rPr>
      </w:pPr>
      <w:r>
        <w:rPr>
          <w:sz w:val="24"/>
          <w:highlight w:val="none"/>
        </w:rPr>
        <w:t>2.2建设规模：</w:t>
      </w:r>
      <w:r>
        <w:rPr>
          <w:rFonts w:hint="eastAsia"/>
          <w:sz w:val="24"/>
          <w:highlight w:val="none"/>
        </w:rPr>
        <w:t>鲁甸至巧家高速公路（以下简称“鲁巧高速”）起于昭通市鲁甸县龙头山镇东侧，接G7611都香高速公路昭金段K38+585.27处，设龙头山枢纽互通立交实现交通转换，止于昭通市巧家县城郊迤博溪，与云南省高速公路S23昆明至巧家高速公路格勒至巧家段 K55+086. 08处相接，设巧家枢纽互通立交实现交通转换。主线全长71.767公里（鲁甸县境内13. 078公里，巧家县境内58. 689公里）。全线设置龙头山（枢纽）、包谷垴、老店、崇溪、中寨、巧家（枢纽）共6处互通式立交。同步建设中寨立交连接线4.104公里。主线采用双向四车道高速公路标准建设，设计速度 80公里/小时，路基宽度25.5米，桥涵设计汽车荷载等级采用 公路-I级。中寨立交连接线采用三级公路标准建设，设计速度40公里/小时，路基宽度8.5米。项目概算批复总投资为1684549.6671万元。</w:t>
      </w:r>
    </w:p>
    <w:p>
      <w:pPr>
        <w:spacing w:after="78" w:afterLines="25" w:line="300" w:lineRule="auto"/>
        <w:ind w:firstLine="480" w:firstLineChars="200"/>
        <w:rPr>
          <w:sz w:val="24"/>
          <w:highlight w:val="none"/>
        </w:rPr>
      </w:pPr>
      <w:r>
        <w:rPr>
          <w:sz w:val="24"/>
          <w:highlight w:val="none"/>
        </w:rPr>
        <w:t>2.3计划供货期：</w:t>
      </w:r>
      <w:r>
        <w:rPr>
          <w:rFonts w:hint="eastAsia"/>
          <w:sz w:val="24"/>
          <w:highlight w:val="none"/>
        </w:rPr>
        <w:t>暂定66个月</w:t>
      </w:r>
      <w:r>
        <w:rPr>
          <w:sz w:val="24"/>
          <w:highlight w:val="none"/>
        </w:rPr>
        <w:t>（</w:t>
      </w:r>
      <w:r>
        <w:rPr>
          <w:rFonts w:hint="eastAsia"/>
          <w:sz w:val="24"/>
          <w:highlight w:val="none"/>
        </w:rPr>
        <w:t>同土建施工工期42个月，缺陷责任期24个月，</w:t>
      </w:r>
      <w:r>
        <w:rPr>
          <w:sz w:val="24"/>
          <w:highlight w:val="none"/>
        </w:rPr>
        <w:t>由招标人根据物资需求计划，</w:t>
      </w:r>
      <w:r>
        <w:rPr>
          <w:rFonts w:hint="eastAsia"/>
          <w:sz w:val="24"/>
          <w:highlight w:val="none"/>
        </w:rPr>
        <w:t>从</w:t>
      </w:r>
      <w:r>
        <w:rPr>
          <w:sz w:val="24"/>
          <w:highlight w:val="none"/>
        </w:rPr>
        <w:t>下达第一份物资需求计划开始至本项目</w:t>
      </w:r>
      <w:r>
        <w:rPr>
          <w:rFonts w:hint="eastAsia"/>
          <w:sz w:val="24"/>
          <w:highlight w:val="none"/>
        </w:rPr>
        <w:t>缺陷责任期</w:t>
      </w:r>
      <w:r>
        <w:rPr>
          <w:sz w:val="24"/>
          <w:highlight w:val="none"/>
        </w:rPr>
        <w:t>结束为止）。</w:t>
      </w:r>
    </w:p>
    <w:p>
      <w:pPr>
        <w:spacing w:after="78" w:afterLines="25" w:line="300" w:lineRule="auto"/>
        <w:ind w:firstLine="480" w:firstLineChars="200"/>
        <w:rPr>
          <w:rFonts w:hint="default" w:eastAsia="宋体"/>
          <w:sz w:val="24"/>
          <w:highlight w:val="none"/>
          <w:lang w:val="en-US" w:eastAsia="zh-CN"/>
        </w:rPr>
      </w:pPr>
      <w:r>
        <w:rPr>
          <w:sz w:val="24"/>
          <w:highlight w:val="none"/>
        </w:rPr>
        <w:t>2.4招标范围：</w:t>
      </w:r>
      <w:r>
        <w:rPr>
          <w:rFonts w:hint="eastAsia"/>
          <w:sz w:val="24"/>
          <w:highlight w:val="none"/>
        </w:rPr>
        <w:t>本项目</w:t>
      </w:r>
      <w:r>
        <w:rPr>
          <w:sz w:val="24"/>
          <w:highlight w:val="none"/>
        </w:rPr>
        <w:t>工程</w:t>
      </w:r>
      <w:r>
        <w:rPr>
          <w:rFonts w:hint="eastAsia"/>
          <w:sz w:val="24"/>
          <w:highlight w:val="none"/>
        </w:rPr>
        <w:t>所需钢筋材料</w:t>
      </w:r>
      <w:r>
        <w:rPr>
          <w:sz w:val="24"/>
          <w:highlight w:val="none"/>
        </w:rPr>
        <w:t>。</w:t>
      </w:r>
      <w:r>
        <w:rPr>
          <w:rFonts w:hint="eastAsia"/>
          <w:sz w:val="24"/>
          <w:highlight w:val="none"/>
          <w:lang w:val="en-US" w:eastAsia="zh-CN"/>
        </w:rPr>
        <w:t>本项目划分为GJCG-A~GJCG-F共6个标段，本次招标为GJCG-B~GJCGD、GJCG-F标段。</w:t>
      </w:r>
    </w:p>
    <w:p>
      <w:pPr>
        <w:spacing w:after="78" w:afterLines="25" w:line="300" w:lineRule="auto"/>
        <w:ind w:firstLine="480" w:firstLineChars="200"/>
        <w:rPr>
          <w:rFonts w:hint="eastAsia"/>
          <w:sz w:val="24"/>
          <w:highlight w:val="none"/>
        </w:rPr>
      </w:pPr>
      <w:r>
        <w:rPr>
          <w:rFonts w:hint="eastAsia"/>
          <w:sz w:val="24"/>
          <w:highlight w:val="none"/>
        </w:rPr>
        <w:t>2.5标段划分、材料名称及规格、暂定数量、交货地点见下表：</w:t>
      </w:r>
    </w:p>
    <w:p>
      <w:pPr>
        <w:pStyle w:val="2"/>
        <w:rPr>
          <w:highlight w:val="none"/>
        </w:rPr>
      </w:pPr>
    </w:p>
    <w:p>
      <w:pPr>
        <w:pStyle w:val="2"/>
        <w:rPr>
          <w:highlight w:val="none"/>
        </w:rPr>
      </w:pPr>
    </w:p>
    <w:p>
      <w:pPr>
        <w:pStyle w:val="2"/>
        <w:rPr>
          <w:highlight w:val="none"/>
        </w:rPr>
      </w:pPr>
    </w:p>
    <w:tbl>
      <w:tblPr>
        <w:tblStyle w:val="4"/>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77"/>
        <w:gridCol w:w="2619"/>
        <w:gridCol w:w="2268"/>
        <w:gridCol w:w="992"/>
        <w:gridCol w:w="1134"/>
        <w:gridCol w:w="1183"/>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977" w:type="dxa"/>
            <w:vAlign w:val="center"/>
          </w:tcPr>
          <w:p>
            <w:pPr>
              <w:spacing w:line="240" w:lineRule="exact"/>
              <w:jc w:val="center"/>
              <w:rPr>
                <w:rFonts w:hint="eastAsia"/>
                <w:b/>
                <w:szCs w:val="21"/>
                <w:highlight w:val="none"/>
              </w:rPr>
            </w:pPr>
            <w:r>
              <w:rPr>
                <w:rFonts w:hint="eastAsia"/>
                <w:b/>
                <w:szCs w:val="21"/>
                <w:highlight w:val="none"/>
              </w:rPr>
              <w:t>标段</w:t>
            </w:r>
          </w:p>
        </w:tc>
        <w:tc>
          <w:tcPr>
            <w:tcW w:w="2619" w:type="dxa"/>
            <w:vAlign w:val="center"/>
          </w:tcPr>
          <w:p>
            <w:pPr>
              <w:spacing w:line="240" w:lineRule="exact"/>
              <w:jc w:val="center"/>
              <w:rPr>
                <w:b/>
                <w:bCs/>
                <w:szCs w:val="21"/>
                <w:highlight w:val="none"/>
              </w:rPr>
            </w:pPr>
            <w:r>
              <w:rPr>
                <w:rFonts w:hint="eastAsia"/>
                <w:b/>
                <w:bCs/>
                <w:szCs w:val="21"/>
                <w:highlight w:val="none"/>
              </w:rPr>
              <w:t>对应桩号（初步设计）</w:t>
            </w:r>
          </w:p>
        </w:tc>
        <w:tc>
          <w:tcPr>
            <w:tcW w:w="2268" w:type="dxa"/>
            <w:tcBorders>
              <w:right w:val="single" w:color="auto" w:sz="4" w:space="0"/>
            </w:tcBorders>
            <w:vAlign w:val="center"/>
          </w:tcPr>
          <w:p>
            <w:pPr>
              <w:spacing w:line="240" w:lineRule="exact"/>
              <w:jc w:val="center"/>
              <w:rPr>
                <w:b/>
                <w:bCs/>
                <w:szCs w:val="21"/>
                <w:highlight w:val="none"/>
              </w:rPr>
            </w:pPr>
            <w:r>
              <w:rPr>
                <w:rFonts w:hint="eastAsia"/>
                <w:b/>
                <w:bCs/>
                <w:szCs w:val="21"/>
                <w:highlight w:val="none"/>
              </w:rPr>
              <w:t>材料名称</w:t>
            </w:r>
          </w:p>
        </w:tc>
        <w:tc>
          <w:tcPr>
            <w:tcW w:w="992" w:type="dxa"/>
            <w:vAlign w:val="center"/>
          </w:tcPr>
          <w:p>
            <w:pPr>
              <w:spacing w:line="240" w:lineRule="exact"/>
              <w:jc w:val="center"/>
              <w:rPr>
                <w:b/>
                <w:szCs w:val="21"/>
                <w:highlight w:val="none"/>
              </w:rPr>
            </w:pPr>
            <w:r>
              <w:rPr>
                <w:rFonts w:hint="eastAsia"/>
                <w:b/>
                <w:bCs/>
                <w:szCs w:val="21"/>
                <w:highlight w:val="none"/>
              </w:rPr>
              <w:t>规格</w:t>
            </w:r>
          </w:p>
        </w:tc>
        <w:tc>
          <w:tcPr>
            <w:tcW w:w="1134" w:type="dxa"/>
            <w:tcBorders>
              <w:bottom w:val="single" w:color="auto" w:sz="4" w:space="0"/>
            </w:tcBorders>
            <w:vAlign w:val="center"/>
          </w:tcPr>
          <w:p>
            <w:pPr>
              <w:spacing w:line="240" w:lineRule="exact"/>
              <w:jc w:val="center"/>
              <w:rPr>
                <w:b/>
                <w:bCs/>
                <w:szCs w:val="21"/>
                <w:highlight w:val="none"/>
              </w:rPr>
            </w:pPr>
            <w:r>
              <w:rPr>
                <w:rFonts w:hint="eastAsia"/>
                <w:b/>
                <w:bCs/>
                <w:szCs w:val="21"/>
                <w:highlight w:val="none"/>
              </w:rPr>
              <w:t>暂定数量</w:t>
            </w:r>
          </w:p>
          <w:p>
            <w:pPr>
              <w:spacing w:line="240" w:lineRule="exact"/>
              <w:jc w:val="center"/>
              <w:rPr>
                <w:b/>
                <w:szCs w:val="21"/>
                <w:highlight w:val="none"/>
              </w:rPr>
            </w:pPr>
            <w:r>
              <w:rPr>
                <w:rFonts w:hint="eastAsia"/>
                <w:b/>
                <w:bCs/>
                <w:szCs w:val="21"/>
                <w:highlight w:val="none"/>
              </w:rPr>
              <w:t>（吨）</w:t>
            </w:r>
          </w:p>
        </w:tc>
        <w:tc>
          <w:tcPr>
            <w:tcW w:w="1183" w:type="dxa"/>
            <w:tcBorders>
              <w:bottom w:val="single" w:color="auto" w:sz="4" w:space="0"/>
            </w:tcBorders>
            <w:vAlign w:val="center"/>
          </w:tcPr>
          <w:p>
            <w:pPr>
              <w:spacing w:line="240" w:lineRule="exact"/>
              <w:jc w:val="center"/>
              <w:rPr>
                <w:b/>
                <w:szCs w:val="21"/>
                <w:highlight w:val="none"/>
              </w:rPr>
            </w:pPr>
            <w:r>
              <w:rPr>
                <w:rFonts w:hint="eastAsia"/>
                <w:b/>
                <w:szCs w:val="21"/>
                <w:highlight w:val="none"/>
              </w:rPr>
              <w:t>交货</w:t>
            </w:r>
          </w:p>
          <w:p>
            <w:pPr>
              <w:spacing w:line="240" w:lineRule="exact"/>
              <w:jc w:val="center"/>
              <w:rPr>
                <w:b/>
                <w:szCs w:val="21"/>
                <w:highlight w:val="none"/>
              </w:rPr>
            </w:pPr>
            <w:r>
              <w:rPr>
                <w:rFonts w:hint="eastAsia"/>
                <w:b/>
                <w:szCs w:val="21"/>
                <w:highlight w:val="none"/>
              </w:rPr>
              <w:t>地点</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977" w:type="dxa"/>
            <w:vMerge w:val="restart"/>
            <w:vAlign w:val="center"/>
          </w:tcPr>
          <w:p>
            <w:pPr>
              <w:spacing w:line="240" w:lineRule="exact"/>
              <w:jc w:val="center"/>
              <w:rPr>
                <w:rFonts w:hint="eastAsia" w:ascii="宋体" w:hAnsi="宋体"/>
                <w:szCs w:val="21"/>
                <w:highlight w:val="none"/>
              </w:rPr>
            </w:pPr>
          </w:p>
          <w:p>
            <w:pPr>
              <w:spacing w:line="240" w:lineRule="exact"/>
              <w:jc w:val="center"/>
              <w:rPr>
                <w:rFonts w:ascii="宋体" w:hAnsi="宋体"/>
                <w:szCs w:val="21"/>
                <w:highlight w:val="none"/>
              </w:rPr>
            </w:pPr>
            <w:r>
              <w:rPr>
                <w:rFonts w:hint="eastAsia" w:ascii="宋体" w:hAnsi="宋体"/>
                <w:szCs w:val="21"/>
                <w:highlight w:val="none"/>
              </w:rPr>
              <w:t>GJCG-B</w:t>
            </w:r>
          </w:p>
        </w:tc>
        <w:tc>
          <w:tcPr>
            <w:tcW w:w="2619" w:type="dxa"/>
            <w:vMerge w:val="restart"/>
            <w:vAlign w:val="center"/>
          </w:tcPr>
          <w:p>
            <w:pPr>
              <w:spacing w:line="240" w:lineRule="exact"/>
              <w:jc w:val="left"/>
              <w:rPr>
                <w:rFonts w:ascii="宋体" w:hAnsi="宋体"/>
                <w:szCs w:val="21"/>
                <w:highlight w:val="none"/>
              </w:rPr>
            </w:pPr>
            <w:r>
              <w:rPr>
                <w:rFonts w:hint="eastAsia"/>
                <w:sz w:val="20"/>
                <w:szCs w:val="20"/>
                <w:highlight w:val="none"/>
              </w:rPr>
              <w:t>K12+185～K23+715</w:t>
            </w: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预应力钢筋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35</w:t>
            </w:r>
          </w:p>
        </w:tc>
        <w:tc>
          <w:tcPr>
            <w:tcW w:w="1183" w:type="dxa"/>
            <w:vMerge w:val="restart"/>
            <w:vAlign w:val="center"/>
          </w:tcPr>
          <w:p>
            <w:pPr>
              <w:spacing w:line="240" w:lineRule="exact"/>
              <w:jc w:val="left"/>
              <w:rPr>
                <w:rFonts w:ascii="宋体" w:hAnsi="宋体"/>
                <w:szCs w:val="21"/>
                <w:highlight w:val="none"/>
              </w:rPr>
            </w:pPr>
            <w:r>
              <w:rPr>
                <w:rFonts w:hint="eastAsia" w:ascii="宋体" w:hAnsi="宋体"/>
                <w:szCs w:val="21"/>
                <w:highlight w:val="none"/>
              </w:rPr>
              <w:t>发包人指定的材料堆放场</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left"/>
              <w:rPr>
                <w:rFonts w:ascii="宋体" w:hAnsi="宋体"/>
                <w:szCs w:val="21"/>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热轧光圆钢筋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HPB300</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5093</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82"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left"/>
              <w:rPr>
                <w:rFonts w:ascii="宋体" w:hAnsi="宋体"/>
                <w:szCs w:val="21"/>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热轧带肋钢筋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HRB400E</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41128</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Align w:val="center"/>
          </w:tcPr>
          <w:p>
            <w:pPr>
              <w:spacing w:line="240" w:lineRule="exact"/>
              <w:jc w:val="left"/>
              <w:rPr>
                <w:rFonts w:ascii="宋体" w:hAnsi="宋体"/>
                <w:szCs w:val="21"/>
                <w:highlight w:val="none"/>
              </w:rPr>
            </w:pPr>
            <w:r>
              <w:rPr>
                <w:rFonts w:hint="eastAsia"/>
                <w:sz w:val="20"/>
                <w:szCs w:val="20"/>
                <w:highlight w:val="none"/>
              </w:rPr>
              <w:t>K0+000~K70+374.475</w:t>
            </w:r>
          </w:p>
        </w:tc>
        <w:tc>
          <w:tcPr>
            <w:tcW w:w="2268" w:type="dxa"/>
            <w:tcBorders>
              <w:right w:val="single" w:color="auto" w:sz="4" w:space="0"/>
            </w:tcBorders>
            <w:vAlign w:val="center"/>
          </w:tcPr>
          <w:p>
            <w:pPr>
              <w:spacing w:line="240" w:lineRule="exact"/>
              <w:jc w:val="center"/>
              <w:rPr>
                <w:rFonts w:hint="eastAsia" w:ascii="宋体" w:hAnsi="宋体"/>
                <w:szCs w:val="21"/>
                <w:highlight w:val="none"/>
              </w:rPr>
            </w:pPr>
            <w:r>
              <w:rPr>
                <w:rFonts w:hint="eastAsia" w:ascii="宋体" w:hAnsi="宋体"/>
                <w:szCs w:val="21"/>
                <w:highlight w:val="none"/>
              </w:rPr>
              <w:t>热轧带肋钢筋</w:t>
            </w:r>
          </w:p>
        </w:tc>
        <w:tc>
          <w:tcPr>
            <w:tcW w:w="992" w:type="dxa"/>
            <w:vAlign w:val="center"/>
          </w:tcPr>
          <w:p>
            <w:pPr>
              <w:spacing w:line="240" w:lineRule="exact"/>
              <w:jc w:val="center"/>
              <w:rPr>
                <w:rFonts w:hint="eastAsia" w:ascii="宋体" w:hAnsi="宋体"/>
                <w:szCs w:val="21"/>
                <w:highlight w:val="none"/>
              </w:rPr>
            </w:pPr>
            <w:r>
              <w:rPr>
                <w:rFonts w:hint="eastAsia" w:ascii="宋体" w:hAnsi="宋体"/>
                <w:szCs w:val="21"/>
                <w:highlight w:val="none"/>
              </w:rPr>
              <w:t>HRB500E</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5937</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977" w:type="dxa"/>
            <w:vMerge w:val="restart"/>
            <w:vAlign w:val="center"/>
          </w:tcPr>
          <w:p>
            <w:pPr>
              <w:spacing w:line="240" w:lineRule="exact"/>
              <w:jc w:val="center"/>
              <w:rPr>
                <w:rFonts w:ascii="宋体" w:hAnsi="宋体"/>
                <w:szCs w:val="21"/>
                <w:highlight w:val="none"/>
              </w:rPr>
            </w:pPr>
            <w:r>
              <w:rPr>
                <w:rFonts w:hint="eastAsia" w:ascii="宋体" w:hAnsi="宋体"/>
                <w:szCs w:val="21"/>
                <w:highlight w:val="none"/>
              </w:rPr>
              <w:t>GJCG-C</w:t>
            </w:r>
          </w:p>
        </w:tc>
        <w:tc>
          <w:tcPr>
            <w:tcW w:w="2619" w:type="dxa"/>
            <w:vMerge w:val="restart"/>
            <w:vAlign w:val="center"/>
          </w:tcPr>
          <w:p>
            <w:pPr>
              <w:spacing w:line="240" w:lineRule="exact"/>
              <w:rPr>
                <w:sz w:val="20"/>
                <w:szCs w:val="20"/>
                <w:highlight w:val="none"/>
              </w:rPr>
            </w:pPr>
            <w:r>
              <w:rPr>
                <w:rFonts w:hint="eastAsia"/>
                <w:sz w:val="20"/>
                <w:szCs w:val="20"/>
                <w:highlight w:val="none"/>
              </w:rPr>
              <w:t>K23+715~K36+975</w:t>
            </w: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热轧光圆钢筋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HPB300</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8663</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center"/>
              <w:rPr>
                <w:sz w:val="20"/>
                <w:szCs w:val="20"/>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热轧带肋钢筋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HRB400E</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29940</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977" w:type="dxa"/>
            <w:vMerge w:val="restart"/>
            <w:vAlign w:val="center"/>
          </w:tcPr>
          <w:p>
            <w:pPr>
              <w:spacing w:line="240" w:lineRule="exact"/>
              <w:jc w:val="center"/>
              <w:rPr>
                <w:rFonts w:ascii="宋体" w:hAnsi="宋体"/>
                <w:szCs w:val="21"/>
                <w:highlight w:val="none"/>
              </w:rPr>
            </w:pPr>
            <w:r>
              <w:rPr>
                <w:rFonts w:hint="eastAsia" w:ascii="宋体" w:hAnsi="宋体"/>
                <w:szCs w:val="21"/>
                <w:highlight w:val="none"/>
              </w:rPr>
              <w:t>GJCG-D</w:t>
            </w:r>
          </w:p>
        </w:tc>
        <w:tc>
          <w:tcPr>
            <w:tcW w:w="2619" w:type="dxa"/>
            <w:vMerge w:val="restart"/>
            <w:vAlign w:val="center"/>
          </w:tcPr>
          <w:p>
            <w:pPr>
              <w:spacing w:line="240" w:lineRule="exact"/>
              <w:rPr>
                <w:sz w:val="20"/>
                <w:szCs w:val="20"/>
                <w:highlight w:val="none"/>
              </w:rPr>
            </w:pPr>
            <w:r>
              <w:rPr>
                <w:rFonts w:hint="eastAsia"/>
                <w:sz w:val="20"/>
                <w:szCs w:val="20"/>
                <w:highlight w:val="none"/>
              </w:rPr>
              <w:t>K36+975~K54+620</w:t>
            </w: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热轧光圆钢筋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HPB300</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6864</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center"/>
              <w:rPr>
                <w:sz w:val="20"/>
                <w:szCs w:val="20"/>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热轧带肋钢筋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HRB400E</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31288</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977" w:type="dxa"/>
            <w:vMerge w:val="restart"/>
            <w:vAlign w:val="center"/>
          </w:tcPr>
          <w:p>
            <w:pPr>
              <w:spacing w:line="240" w:lineRule="exact"/>
              <w:jc w:val="center"/>
              <w:rPr>
                <w:rFonts w:ascii="宋体" w:hAnsi="宋体"/>
                <w:szCs w:val="21"/>
                <w:highlight w:val="none"/>
              </w:rPr>
            </w:pPr>
            <w:r>
              <w:rPr>
                <w:rFonts w:hint="eastAsia" w:ascii="宋体" w:hAnsi="宋体"/>
                <w:szCs w:val="21"/>
                <w:highlight w:val="none"/>
              </w:rPr>
              <w:t>GJCG-F</w:t>
            </w:r>
          </w:p>
        </w:tc>
        <w:tc>
          <w:tcPr>
            <w:tcW w:w="2619" w:type="dxa"/>
            <w:vMerge w:val="restart"/>
            <w:vAlign w:val="center"/>
          </w:tcPr>
          <w:p>
            <w:pPr>
              <w:spacing w:line="240" w:lineRule="exact"/>
              <w:rPr>
                <w:sz w:val="20"/>
                <w:szCs w:val="20"/>
                <w:highlight w:val="none"/>
              </w:rPr>
            </w:pPr>
            <w:r>
              <w:rPr>
                <w:rFonts w:hint="eastAsia"/>
                <w:sz w:val="20"/>
                <w:szCs w:val="20"/>
                <w:highlight w:val="none"/>
              </w:rPr>
              <w:t>K61+775~K70+374.475</w:t>
            </w: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钢筋网片</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1518</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center"/>
              <w:rPr>
                <w:rFonts w:ascii="宋体" w:hAnsi="宋体"/>
                <w:szCs w:val="21"/>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热轧光圆钢筋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HPB300</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6017</w:t>
            </w:r>
          </w:p>
        </w:tc>
        <w:tc>
          <w:tcPr>
            <w:tcW w:w="1183" w:type="dxa"/>
            <w:vMerge w:val="continue"/>
            <w:vAlign w:val="center"/>
          </w:tcPr>
          <w:p>
            <w:pPr>
              <w:spacing w:line="240" w:lineRule="exact"/>
              <w:jc w:val="center"/>
              <w:rPr>
                <w:rFonts w:ascii="宋体" w:hAnsi="宋体"/>
                <w:szCs w:val="21"/>
                <w:highlight w:val="none"/>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977" w:type="dxa"/>
            <w:vMerge w:val="continue"/>
            <w:vAlign w:val="center"/>
          </w:tcPr>
          <w:p>
            <w:pPr>
              <w:spacing w:line="240" w:lineRule="exact"/>
              <w:jc w:val="center"/>
              <w:rPr>
                <w:rFonts w:ascii="宋体" w:hAnsi="宋体"/>
                <w:szCs w:val="21"/>
                <w:highlight w:val="none"/>
              </w:rPr>
            </w:pPr>
          </w:p>
        </w:tc>
        <w:tc>
          <w:tcPr>
            <w:tcW w:w="2619" w:type="dxa"/>
            <w:vMerge w:val="continue"/>
            <w:vAlign w:val="center"/>
          </w:tcPr>
          <w:p>
            <w:pPr>
              <w:spacing w:line="240" w:lineRule="exact"/>
              <w:jc w:val="center"/>
              <w:rPr>
                <w:rFonts w:ascii="宋体" w:hAnsi="宋体"/>
                <w:szCs w:val="21"/>
                <w:highlight w:val="none"/>
              </w:rPr>
            </w:pPr>
          </w:p>
        </w:tc>
        <w:tc>
          <w:tcPr>
            <w:tcW w:w="2268" w:type="dxa"/>
            <w:tcBorders>
              <w:right w:val="single" w:color="auto" w:sz="4" w:space="0"/>
            </w:tcBorders>
            <w:vAlign w:val="center"/>
          </w:tcPr>
          <w:p>
            <w:pPr>
              <w:spacing w:line="240" w:lineRule="exact"/>
              <w:jc w:val="center"/>
              <w:rPr>
                <w:rFonts w:ascii="宋体" w:hAnsi="宋体"/>
                <w:szCs w:val="21"/>
                <w:highlight w:val="none"/>
              </w:rPr>
            </w:pPr>
            <w:r>
              <w:rPr>
                <w:rFonts w:hint="eastAsia" w:ascii="宋体" w:hAnsi="宋体"/>
                <w:szCs w:val="21"/>
                <w:highlight w:val="none"/>
              </w:rPr>
              <w:t>热轧带肋钢筋</w:t>
            </w:r>
          </w:p>
        </w:tc>
        <w:tc>
          <w:tcPr>
            <w:tcW w:w="992" w:type="dxa"/>
            <w:vAlign w:val="center"/>
          </w:tcPr>
          <w:p>
            <w:pPr>
              <w:spacing w:line="240" w:lineRule="exact"/>
              <w:jc w:val="center"/>
              <w:rPr>
                <w:rFonts w:ascii="宋体" w:hAnsi="宋体"/>
                <w:szCs w:val="21"/>
                <w:highlight w:val="none"/>
              </w:rPr>
            </w:pPr>
            <w:r>
              <w:rPr>
                <w:rFonts w:hint="eastAsia" w:ascii="宋体" w:hAnsi="宋体"/>
                <w:szCs w:val="21"/>
                <w:highlight w:val="none"/>
              </w:rPr>
              <w:t>HRB400E</w:t>
            </w:r>
          </w:p>
        </w:tc>
        <w:tc>
          <w:tcPr>
            <w:tcW w:w="1134" w:type="dxa"/>
            <w:vAlign w:val="center"/>
          </w:tcPr>
          <w:p>
            <w:pPr>
              <w:spacing w:line="240" w:lineRule="exact"/>
              <w:jc w:val="center"/>
              <w:rPr>
                <w:rFonts w:ascii="宋体" w:hAnsi="宋体"/>
                <w:szCs w:val="21"/>
                <w:highlight w:val="none"/>
              </w:rPr>
            </w:pPr>
            <w:r>
              <w:rPr>
                <w:rFonts w:hint="eastAsia" w:ascii="宋体" w:hAnsi="宋体"/>
                <w:szCs w:val="21"/>
                <w:highlight w:val="none"/>
              </w:rPr>
              <w:t>24449</w:t>
            </w:r>
          </w:p>
        </w:tc>
        <w:tc>
          <w:tcPr>
            <w:tcW w:w="1183" w:type="dxa"/>
            <w:vMerge w:val="continue"/>
            <w:vAlign w:val="center"/>
          </w:tcPr>
          <w:p>
            <w:pPr>
              <w:spacing w:line="240" w:lineRule="exact"/>
              <w:jc w:val="center"/>
              <w:rPr>
                <w:rFonts w:ascii="宋体" w:hAnsi="宋体"/>
                <w:szCs w:val="21"/>
                <w:highlight w:val="none"/>
              </w:rPr>
            </w:pPr>
          </w:p>
        </w:tc>
      </w:tr>
    </w:tbl>
    <w:p>
      <w:pPr>
        <w:ind w:firstLine="360" w:firstLineChars="200"/>
        <w:rPr>
          <w:rFonts w:ascii="黑体" w:hAnsi="黑体" w:eastAsia="黑体"/>
          <w:sz w:val="18"/>
          <w:szCs w:val="18"/>
          <w:highlight w:val="none"/>
        </w:rPr>
      </w:pPr>
      <w:r>
        <w:rPr>
          <w:rFonts w:hint="eastAsia" w:ascii="黑体" w:hAnsi="黑体" w:eastAsia="黑体"/>
          <w:sz w:val="18"/>
          <w:szCs w:val="18"/>
          <w:highlight w:val="none"/>
        </w:rPr>
        <w:t>注：①上表内所列数量为设计估算数量，实际供货数量会有增减变化，最终以实际需求计划为准，桩号里程为暂定，具体范围根据实际施工情况调整，请各投标人综合考虑供货数量和桩号里程变化带来的风险；②若其他标段需要预应力钢筋或热轧带肋钢筋</w:t>
      </w:r>
      <w:r>
        <w:rPr>
          <w:rFonts w:ascii="黑体" w:hAnsi="黑体" w:eastAsia="黑体"/>
          <w:sz w:val="18"/>
          <w:szCs w:val="18"/>
          <w:highlight w:val="none"/>
        </w:rPr>
        <w:t>HRB500E</w:t>
      </w:r>
      <w:r>
        <w:rPr>
          <w:rFonts w:hint="eastAsia" w:ascii="黑体" w:hAnsi="黑体" w:eastAsia="黑体"/>
          <w:sz w:val="18"/>
          <w:szCs w:val="18"/>
          <w:highlight w:val="none"/>
        </w:rPr>
        <w:t>，G</w:t>
      </w:r>
      <w:r>
        <w:rPr>
          <w:rFonts w:ascii="黑体" w:hAnsi="黑体" w:eastAsia="黑体"/>
          <w:sz w:val="18"/>
          <w:szCs w:val="18"/>
          <w:highlight w:val="none"/>
        </w:rPr>
        <w:t>JCG-B</w:t>
      </w:r>
      <w:r>
        <w:rPr>
          <w:rFonts w:hint="eastAsia" w:ascii="黑体" w:hAnsi="黑体" w:eastAsia="黑体"/>
          <w:sz w:val="18"/>
          <w:szCs w:val="18"/>
          <w:highlight w:val="none"/>
        </w:rPr>
        <w:t>合同包供应商需无条件</w:t>
      </w:r>
      <w:bookmarkStart w:id="5" w:name="_Hlk102809905"/>
      <w:r>
        <w:rPr>
          <w:rFonts w:hint="eastAsia" w:ascii="黑体" w:hAnsi="黑体" w:eastAsia="黑体"/>
          <w:sz w:val="18"/>
          <w:szCs w:val="18"/>
          <w:highlight w:val="none"/>
        </w:rPr>
        <w:t>按本包件合同约定价格</w:t>
      </w:r>
      <w:bookmarkEnd w:id="5"/>
      <w:r>
        <w:rPr>
          <w:rFonts w:hint="eastAsia" w:ascii="黑体" w:hAnsi="黑体" w:eastAsia="黑体"/>
          <w:sz w:val="18"/>
          <w:szCs w:val="18"/>
          <w:highlight w:val="none"/>
        </w:rPr>
        <w:t>供应。</w:t>
      </w:r>
    </w:p>
    <w:p>
      <w:pPr>
        <w:spacing w:after="78" w:afterLines="25" w:line="300" w:lineRule="auto"/>
        <w:ind w:firstLine="480" w:firstLineChars="200"/>
        <w:rPr>
          <w:sz w:val="24"/>
          <w:highlight w:val="none"/>
        </w:rPr>
      </w:pPr>
      <w:r>
        <w:rPr>
          <w:rFonts w:hint="eastAsia"/>
          <w:sz w:val="24"/>
          <w:highlight w:val="none"/>
        </w:rPr>
        <w:t>2.</w:t>
      </w:r>
      <w:r>
        <w:rPr>
          <w:sz w:val="24"/>
          <w:highlight w:val="none"/>
        </w:rPr>
        <w:t>6</w:t>
      </w:r>
      <w:r>
        <w:rPr>
          <w:rFonts w:hint="eastAsia"/>
          <w:sz w:val="24"/>
          <w:highlight w:val="none"/>
        </w:rPr>
        <w:t>本次建设项目</w:t>
      </w:r>
      <w:r>
        <w:rPr>
          <w:sz w:val="24"/>
          <w:highlight w:val="none"/>
        </w:rPr>
        <w:t>钢筋采购GJCG-A、GJCG-B标段及</w:t>
      </w:r>
      <w:r>
        <w:rPr>
          <w:rFonts w:hint="eastAsia"/>
          <w:sz w:val="24"/>
          <w:highlight w:val="none"/>
        </w:rPr>
        <w:t>型钢</w:t>
      </w:r>
      <w:r>
        <w:rPr>
          <w:sz w:val="24"/>
          <w:highlight w:val="none"/>
        </w:rPr>
        <w:t>采购X</w:t>
      </w:r>
      <w:r>
        <w:rPr>
          <w:rFonts w:hint="eastAsia"/>
          <w:sz w:val="24"/>
          <w:highlight w:val="none"/>
        </w:rPr>
        <w:t>G</w:t>
      </w:r>
      <w:r>
        <w:rPr>
          <w:sz w:val="24"/>
          <w:highlight w:val="none"/>
        </w:rPr>
        <w:t>CG-A标段中标人在工地附近合建</w:t>
      </w:r>
      <w:r>
        <w:rPr>
          <w:rFonts w:hint="eastAsia"/>
          <w:sz w:val="24"/>
          <w:highlight w:val="none"/>
        </w:rPr>
        <w:t>或租赁</w:t>
      </w:r>
      <w:r>
        <w:rPr>
          <w:sz w:val="24"/>
          <w:highlight w:val="none"/>
        </w:rPr>
        <w:t>一个仓库，钢筋采购GJCG-C、GJCG-D标段及</w:t>
      </w:r>
      <w:r>
        <w:rPr>
          <w:rFonts w:hint="eastAsia"/>
          <w:sz w:val="24"/>
          <w:highlight w:val="none"/>
        </w:rPr>
        <w:t>型钢</w:t>
      </w:r>
      <w:r>
        <w:rPr>
          <w:sz w:val="24"/>
          <w:highlight w:val="none"/>
        </w:rPr>
        <w:t>采购X</w:t>
      </w:r>
      <w:r>
        <w:rPr>
          <w:rFonts w:hint="eastAsia"/>
          <w:sz w:val="24"/>
          <w:highlight w:val="none"/>
        </w:rPr>
        <w:t>G</w:t>
      </w:r>
      <w:r>
        <w:rPr>
          <w:sz w:val="24"/>
          <w:highlight w:val="none"/>
        </w:rPr>
        <w:t>CG-B标段中标人在工地附近合建</w:t>
      </w:r>
      <w:r>
        <w:rPr>
          <w:rFonts w:hint="eastAsia"/>
          <w:sz w:val="24"/>
          <w:highlight w:val="none"/>
        </w:rPr>
        <w:t>或租赁</w:t>
      </w:r>
      <w:r>
        <w:rPr>
          <w:sz w:val="24"/>
          <w:highlight w:val="none"/>
        </w:rPr>
        <w:t>一个仓库</w:t>
      </w:r>
      <w:r>
        <w:rPr>
          <w:rFonts w:hint="eastAsia"/>
          <w:sz w:val="24"/>
          <w:highlight w:val="none"/>
        </w:rPr>
        <w:t>，</w:t>
      </w:r>
      <w:r>
        <w:rPr>
          <w:sz w:val="24"/>
          <w:highlight w:val="none"/>
        </w:rPr>
        <w:t>钢筋采购GJCG-E、GJCG-F标段及</w:t>
      </w:r>
      <w:r>
        <w:rPr>
          <w:rFonts w:hint="eastAsia"/>
          <w:sz w:val="24"/>
          <w:highlight w:val="none"/>
        </w:rPr>
        <w:t>型钢</w:t>
      </w:r>
      <w:r>
        <w:rPr>
          <w:sz w:val="24"/>
          <w:highlight w:val="none"/>
        </w:rPr>
        <w:t>采购X</w:t>
      </w:r>
      <w:r>
        <w:rPr>
          <w:rFonts w:hint="eastAsia"/>
          <w:sz w:val="24"/>
          <w:highlight w:val="none"/>
        </w:rPr>
        <w:t>G</w:t>
      </w:r>
      <w:r>
        <w:rPr>
          <w:sz w:val="24"/>
          <w:highlight w:val="none"/>
        </w:rPr>
        <w:t>CG-</w:t>
      </w:r>
      <w:r>
        <w:rPr>
          <w:rFonts w:hint="eastAsia"/>
          <w:sz w:val="24"/>
          <w:highlight w:val="none"/>
        </w:rPr>
        <w:t>C标段</w:t>
      </w:r>
      <w:r>
        <w:rPr>
          <w:sz w:val="24"/>
          <w:highlight w:val="none"/>
        </w:rPr>
        <w:t>中标人在工地附近合建</w:t>
      </w:r>
      <w:r>
        <w:rPr>
          <w:rFonts w:hint="eastAsia"/>
          <w:sz w:val="24"/>
          <w:highlight w:val="none"/>
        </w:rPr>
        <w:t>或租赁</w:t>
      </w:r>
      <w:r>
        <w:rPr>
          <w:sz w:val="24"/>
          <w:highlight w:val="none"/>
        </w:rPr>
        <w:t>一个仓库。</w:t>
      </w:r>
      <w:r>
        <w:rPr>
          <w:rFonts w:hint="eastAsia"/>
          <w:sz w:val="24"/>
          <w:highlight w:val="none"/>
        </w:rPr>
        <w:t>仓库建设或租赁费用由各标段</w:t>
      </w:r>
      <w:r>
        <w:rPr>
          <w:rFonts w:hint="eastAsia"/>
          <w:sz w:val="24"/>
          <w:highlight w:val="none"/>
          <w:lang w:val="en-US" w:eastAsia="zh-CN"/>
        </w:rPr>
        <w:t>中标人按</w:t>
      </w:r>
      <w:r>
        <w:rPr>
          <w:rFonts w:hint="eastAsia"/>
          <w:sz w:val="24"/>
          <w:highlight w:val="none"/>
        </w:rPr>
        <w:t>中标</w:t>
      </w:r>
      <w:r>
        <w:rPr>
          <w:rFonts w:hint="eastAsia"/>
          <w:sz w:val="24"/>
          <w:highlight w:val="none"/>
          <w:lang w:val="en-US" w:eastAsia="zh-CN"/>
        </w:rPr>
        <w:t>价</w:t>
      </w:r>
      <w:r>
        <w:rPr>
          <w:rFonts w:hint="eastAsia"/>
          <w:sz w:val="24"/>
          <w:highlight w:val="none"/>
        </w:rPr>
        <w:t>比例承担。</w:t>
      </w:r>
      <w:r>
        <w:rPr>
          <w:sz w:val="24"/>
          <w:highlight w:val="none"/>
        </w:rPr>
        <w:t>钢筋采购GJCG-F标段的中标人供应</w:t>
      </w:r>
      <w:r>
        <w:rPr>
          <w:rFonts w:hint="eastAsia"/>
          <w:sz w:val="24"/>
          <w:highlight w:val="none"/>
        </w:rPr>
        <w:t>鲁甸至巧家高速公路</w:t>
      </w:r>
      <w:r>
        <w:rPr>
          <w:sz w:val="24"/>
          <w:highlight w:val="none"/>
        </w:rPr>
        <w:t>全线工程所需钢筋网。</w:t>
      </w:r>
    </w:p>
    <w:p>
      <w:pPr>
        <w:topLinePunct/>
        <w:spacing w:after="78" w:afterLines="25" w:line="300" w:lineRule="auto"/>
        <w:ind w:firstLine="480" w:firstLineChars="200"/>
        <w:outlineLvl w:val="2"/>
        <w:rPr>
          <w:rFonts w:ascii="黑体" w:hAnsi="黑体" w:eastAsia="黑体"/>
          <w:sz w:val="24"/>
          <w:highlight w:val="none"/>
        </w:rPr>
      </w:pPr>
      <w:r>
        <w:rPr>
          <w:rFonts w:hint="eastAsia" w:ascii="黑体" w:hAnsi="黑体" w:eastAsia="黑体"/>
          <w:sz w:val="24"/>
          <w:highlight w:val="none"/>
        </w:rPr>
        <w:t>3.</w:t>
      </w:r>
      <w:r>
        <w:rPr>
          <w:rFonts w:ascii="黑体" w:hAnsi="黑体" w:eastAsia="黑体"/>
          <w:sz w:val="24"/>
          <w:highlight w:val="none"/>
        </w:rPr>
        <w:t>投标人资格要求</w:t>
      </w:r>
    </w:p>
    <w:p>
      <w:pPr>
        <w:topLinePunct/>
        <w:spacing w:after="78" w:afterLines="25" w:line="300" w:lineRule="auto"/>
        <w:ind w:firstLine="480" w:firstLineChars="200"/>
        <w:outlineLvl w:val="2"/>
        <w:rPr>
          <w:rFonts w:hint="eastAsia" w:ascii="宋体" w:hAnsi="宋体" w:cs="宋体"/>
          <w:sz w:val="24"/>
          <w:highlight w:val="none"/>
        </w:rPr>
      </w:pPr>
      <w:r>
        <w:rPr>
          <w:rFonts w:hint="eastAsia" w:ascii="宋体" w:hAnsi="宋体" w:cs="宋体"/>
          <w:sz w:val="24"/>
          <w:highlight w:val="none"/>
        </w:rPr>
        <w:t>3.1投标人资质要求</w:t>
      </w:r>
    </w:p>
    <w:p>
      <w:pPr>
        <w:spacing w:after="78" w:afterLines="25" w:line="300" w:lineRule="auto"/>
        <w:ind w:firstLine="480" w:firstLineChars="200"/>
        <w:rPr>
          <w:rFonts w:hint="eastAsia" w:ascii="宋体" w:hAnsi="宋体" w:cs="宋体"/>
          <w:sz w:val="24"/>
          <w:highlight w:val="none"/>
        </w:rPr>
      </w:pPr>
      <w:r>
        <w:rPr>
          <w:rFonts w:hint="eastAsia" w:ascii="宋体" w:hAnsi="宋体" w:cs="宋体"/>
          <w:sz w:val="24"/>
          <w:highlight w:val="none"/>
        </w:rPr>
        <w:t>（1）投标人如为生产厂家，应具备：</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a.具有独立法人资格，并持有有效的营业执照；</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b.具有有效的全国工业产品生产许可证；</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c.产品技术指标达到国家现行相关行业标准要求；</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d.具有国家认可的质量</w:t>
      </w:r>
      <w:r>
        <w:rPr>
          <w:rFonts w:ascii="宋体" w:hAnsi="宋体"/>
          <w:sz w:val="24"/>
          <w:highlight w:val="none"/>
        </w:rPr>
        <w:t>管理体系认证</w:t>
      </w:r>
      <w:r>
        <w:rPr>
          <w:rFonts w:hint="eastAsia" w:ascii="宋体" w:hAnsi="宋体"/>
          <w:sz w:val="24"/>
          <w:highlight w:val="none"/>
        </w:rPr>
        <w:t>证书；</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e.必须为一般纳税人。</w:t>
      </w:r>
    </w:p>
    <w:p>
      <w:pPr>
        <w:spacing w:after="78" w:afterLines="25" w:line="300" w:lineRule="auto"/>
        <w:ind w:firstLine="480" w:firstLineChars="200"/>
        <w:rPr>
          <w:rFonts w:hint="eastAsia" w:ascii="宋体" w:hAnsi="宋体" w:cs="宋体"/>
          <w:sz w:val="24"/>
          <w:highlight w:val="none"/>
        </w:rPr>
      </w:pPr>
      <w:r>
        <w:rPr>
          <w:rFonts w:hint="eastAsia" w:ascii="宋体" w:hAnsi="宋体" w:cs="宋体"/>
          <w:sz w:val="24"/>
          <w:highlight w:val="none"/>
        </w:rPr>
        <w:t>（2）投标人如为授权代理商，应具备：</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a.代理品牌的钢筋生产厂家条件满足上述(1)要求；</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b.具有独立法人资格，并持有有效的营业执照；</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c.具有所代理品牌的生产厂家出具的针对本项目</w:t>
      </w:r>
      <w:r>
        <w:rPr>
          <w:rFonts w:hint="eastAsia" w:ascii="宋体" w:hAnsi="宋体" w:cs="宋体"/>
          <w:sz w:val="24"/>
          <w:highlight w:val="none"/>
        </w:rPr>
        <w:t>一个或者多个标段</w:t>
      </w:r>
      <w:r>
        <w:rPr>
          <w:rFonts w:hint="eastAsia" w:ascii="宋体" w:hAnsi="宋体"/>
          <w:sz w:val="24"/>
          <w:highlight w:val="none"/>
        </w:rPr>
        <w:t>的唯一授权代理证书；</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d.必须为一般纳税人。</w:t>
      </w:r>
    </w:p>
    <w:p>
      <w:pPr>
        <w:spacing w:after="78" w:afterLines="25" w:line="300" w:lineRule="auto"/>
        <w:ind w:firstLine="480" w:firstLineChars="200"/>
        <w:rPr>
          <w:rFonts w:hint="eastAsia" w:ascii="宋体" w:hAnsi="宋体" w:cs="宋体"/>
          <w:sz w:val="24"/>
          <w:highlight w:val="none"/>
        </w:rPr>
      </w:pPr>
      <w:r>
        <w:rPr>
          <w:rFonts w:hint="eastAsia" w:ascii="宋体" w:hAnsi="宋体" w:cs="宋体"/>
          <w:sz w:val="24"/>
          <w:highlight w:val="none"/>
        </w:rPr>
        <w:t>3.2财务要求</w:t>
      </w:r>
    </w:p>
    <w:p>
      <w:pPr>
        <w:spacing w:after="78" w:afterLines="25" w:line="300" w:lineRule="auto"/>
        <w:ind w:firstLine="480" w:firstLineChars="200"/>
        <w:rPr>
          <w:rFonts w:ascii="宋体" w:hAnsi="宋体"/>
          <w:b/>
          <w:bCs/>
          <w:sz w:val="24"/>
          <w:highlight w:val="none"/>
        </w:rPr>
      </w:pPr>
      <w:r>
        <w:rPr>
          <w:rFonts w:hint="eastAsia" w:ascii="宋体" w:hAnsi="宋体" w:cs="宋体"/>
          <w:sz w:val="24"/>
          <w:highlight w:val="none"/>
        </w:rPr>
        <w:t>（1）投标人如为生产厂家：</w:t>
      </w:r>
    </w:p>
    <w:p>
      <w:pPr>
        <w:spacing w:after="78" w:afterLines="25" w:line="300" w:lineRule="auto"/>
        <w:ind w:firstLine="480" w:firstLineChars="200"/>
        <w:rPr>
          <w:rFonts w:ascii="宋体" w:hAnsi="宋体"/>
          <w:sz w:val="24"/>
          <w:highlight w:val="none"/>
        </w:rPr>
      </w:pPr>
      <w:r>
        <w:rPr>
          <w:rFonts w:hint="eastAsia" w:ascii="宋体" w:hAnsi="宋体"/>
          <w:sz w:val="24"/>
          <w:highlight w:val="none"/>
        </w:rPr>
        <w:t>a</w:t>
      </w:r>
      <w:r>
        <w:rPr>
          <w:rFonts w:ascii="宋体" w:hAnsi="宋体"/>
          <w:sz w:val="24"/>
          <w:highlight w:val="none"/>
        </w:rPr>
        <w:t>.注册资</w:t>
      </w:r>
      <w:r>
        <w:rPr>
          <w:rFonts w:hint="eastAsia" w:ascii="宋体" w:hAnsi="宋体"/>
          <w:sz w:val="24"/>
          <w:highlight w:val="none"/>
        </w:rPr>
        <w:t>本</w:t>
      </w:r>
      <w:r>
        <w:rPr>
          <w:rFonts w:ascii="宋体" w:hAnsi="宋体"/>
          <w:sz w:val="24"/>
          <w:highlight w:val="none"/>
        </w:rPr>
        <w:t>不低于人民币10</w:t>
      </w:r>
      <w:r>
        <w:rPr>
          <w:rFonts w:hint="eastAsia" w:ascii="宋体" w:hAnsi="宋体"/>
          <w:sz w:val="24"/>
          <w:highlight w:val="none"/>
        </w:rPr>
        <w:t>00</w:t>
      </w:r>
      <w:r>
        <w:rPr>
          <w:rFonts w:ascii="宋体" w:hAnsi="宋体"/>
          <w:sz w:val="24"/>
          <w:highlight w:val="none"/>
        </w:rPr>
        <w:t>00万元，以营业执照注明的注册资本为准；</w:t>
      </w:r>
    </w:p>
    <w:p>
      <w:pPr>
        <w:spacing w:after="78" w:afterLines="25" w:line="300" w:lineRule="auto"/>
        <w:ind w:firstLine="480" w:firstLineChars="200"/>
        <w:rPr>
          <w:rFonts w:ascii="宋体" w:hAnsi="宋体"/>
          <w:sz w:val="24"/>
          <w:highlight w:val="none"/>
        </w:rPr>
      </w:pPr>
      <w:r>
        <w:rPr>
          <w:rFonts w:hint="eastAsia" w:ascii="宋体" w:hAnsi="宋体"/>
          <w:sz w:val="24"/>
          <w:highlight w:val="none"/>
        </w:rPr>
        <w:t>b.</w:t>
      </w:r>
      <w:r>
        <w:rPr>
          <w:rFonts w:ascii="宋体" w:hAnsi="宋体"/>
          <w:sz w:val="24"/>
          <w:highlight w:val="none"/>
        </w:rPr>
        <w:t>提供近三年经会计师事务所或审计机构审计的</w:t>
      </w:r>
      <w:r>
        <w:rPr>
          <w:rFonts w:hint="eastAsia" w:ascii="宋体" w:hAnsi="宋体"/>
          <w:sz w:val="24"/>
          <w:highlight w:val="none"/>
        </w:rPr>
        <w:t>财务报表</w:t>
      </w:r>
      <w:r>
        <w:rPr>
          <w:rFonts w:ascii="宋体" w:hAnsi="宋体"/>
          <w:sz w:val="24"/>
          <w:highlight w:val="none"/>
        </w:rPr>
        <w:t>。</w:t>
      </w:r>
    </w:p>
    <w:p>
      <w:pPr>
        <w:spacing w:after="78" w:afterLines="25" w:line="300" w:lineRule="auto"/>
        <w:ind w:firstLine="480" w:firstLineChars="200"/>
        <w:rPr>
          <w:rFonts w:hint="eastAsia" w:ascii="宋体" w:hAnsi="宋体"/>
          <w:sz w:val="24"/>
          <w:highlight w:val="none"/>
        </w:rPr>
      </w:pPr>
      <w:r>
        <w:rPr>
          <w:rFonts w:hint="eastAsia" w:ascii="宋体" w:hAnsi="宋体"/>
          <w:sz w:val="24"/>
          <w:highlight w:val="none"/>
        </w:rPr>
        <w:t>（2）投标人如为授权代理商：</w:t>
      </w:r>
    </w:p>
    <w:p>
      <w:pPr>
        <w:spacing w:after="78" w:afterLines="25" w:line="300" w:lineRule="auto"/>
        <w:ind w:firstLine="480" w:firstLineChars="200"/>
        <w:rPr>
          <w:rFonts w:ascii="宋体" w:hAnsi="宋体"/>
          <w:sz w:val="24"/>
          <w:highlight w:val="none"/>
        </w:rPr>
      </w:pPr>
      <w:r>
        <w:rPr>
          <w:rFonts w:hint="eastAsia" w:ascii="宋体" w:hAnsi="宋体"/>
          <w:sz w:val="24"/>
          <w:highlight w:val="none"/>
        </w:rPr>
        <w:t>a</w:t>
      </w:r>
      <w:r>
        <w:rPr>
          <w:rFonts w:ascii="宋体" w:hAnsi="宋体"/>
          <w:sz w:val="24"/>
          <w:highlight w:val="none"/>
        </w:rPr>
        <w:t>.注册资</w:t>
      </w:r>
      <w:r>
        <w:rPr>
          <w:rFonts w:hint="eastAsia" w:ascii="宋体" w:hAnsi="宋体"/>
          <w:sz w:val="24"/>
          <w:highlight w:val="none"/>
        </w:rPr>
        <w:t>本</w:t>
      </w:r>
      <w:r>
        <w:rPr>
          <w:rFonts w:ascii="宋体" w:hAnsi="宋体"/>
          <w:sz w:val="24"/>
          <w:highlight w:val="none"/>
        </w:rPr>
        <w:t>不低于人民币</w:t>
      </w:r>
      <w:r>
        <w:rPr>
          <w:rFonts w:hint="eastAsia" w:ascii="宋体" w:hAnsi="宋体"/>
          <w:sz w:val="24"/>
          <w:highlight w:val="none"/>
        </w:rPr>
        <w:t>30</w:t>
      </w:r>
      <w:r>
        <w:rPr>
          <w:rFonts w:ascii="宋体" w:hAnsi="宋体"/>
          <w:sz w:val="24"/>
          <w:highlight w:val="none"/>
        </w:rPr>
        <w:t>00万元，以营业执照注明的注册资本为准；</w:t>
      </w:r>
    </w:p>
    <w:p>
      <w:pPr>
        <w:spacing w:after="78" w:afterLines="25" w:line="300" w:lineRule="auto"/>
        <w:ind w:firstLine="480" w:firstLineChars="200"/>
        <w:rPr>
          <w:rFonts w:ascii="宋体" w:hAnsi="宋体"/>
          <w:sz w:val="24"/>
          <w:highlight w:val="none"/>
        </w:rPr>
      </w:pPr>
      <w:r>
        <w:rPr>
          <w:rFonts w:hint="eastAsia" w:ascii="宋体" w:hAnsi="宋体"/>
          <w:sz w:val="24"/>
          <w:highlight w:val="none"/>
        </w:rPr>
        <w:t>b</w:t>
      </w:r>
      <w:r>
        <w:rPr>
          <w:rFonts w:ascii="宋体" w:hAnsi="宋体"/>
          <w:sz w:val="24"/>
          <w:highlight w:val="none"/>
        </w:rPr>
        <w:t>.投标人提供近三年经会计师事务所或审计机构审计的</w:t>
      </w:r>
      <w:r>
        <w:rPr>
          <w:rFonts w:hint="eastAsia" w:ascii="宋体" w:hAnsi="宋体"/>
          <w:sz w:val="24"/>
          <w:highlight w:val="none"/>
        </w:rPr>
        <w:t>财务报表</w:t>
      </w:r>
      <w:r>
        <w:rPr>
          <w:rFonts w:ascii="宋体" w:hAnsi="宋体"/>
          <w:sz w:val="24"/>
          <w:highlight w:val="none"/>
        </w:rPr>
        <w:t>，且2021年</w:t>
      </w:r>
      <w:r>
        <w:rPr>
          <w:rFonts w:hint="eastAsia" w:ascii="宋体" w:hAnsi="宋体"/>
          <w:sz w:val="24"/>
          <w:highlight w:val="none"/>
        </w:rPr>
        <w:t>末</w:t>
      </w:r>
      <w:r>
        <w:rPr>
          <w:rFonts w:ascii="宋体" w:hAnsi="宋体"/>
          <w:sz w:val="24"/>
          <w:highlight w:val="none"/>
        </w:rPr>
        <w:t>营运资金（流动资产-流动负债）不低于3000万元。</w:t>
      </w:r>
    </w:p>
    <w:p>
      <w:pPr>
        <w:pStyle w:val="3"/>
        <w:spacing w:after="78" w:afterLines="25" w:line="300" w:lineRule="auto"/>
        <w:ind w:firstLine="480" w:firstLineChars="200"/>
        <w:jc w:val="left"/>
        <w:rPr>
          <w:rFonts w:hint="eastAsia" w:ascii="宋体" w:hAnsi="宋体" w:cs="宋体"/>
          <w:sz w:val="24"/>
          <w:highlight w:val="none"/>
        </w:rPr>
      </w:pPr>
      <w:r>
        <w:rPr>
          <w:rFonts w:hint="eastAsia" w:ascii="宋体" w:hAnsi="宋体" w:cs="宋体"/>
          <w:sz w:val="24"/>
          <w:highlight w:val="none"/>
        </w:rPr>
        <w:t>3.3供货业绩要求</w:t>
      </w:r>
    </w:p>
    <w:p>
      <w:pPr>
        <w:pStyle w:val="3"/>
        <w:spacing w:after="78" w:afterLines="25" w:line="300" w:lineRule="auto"/>
        <w:ind w:firstLine="480" w:firstLineChars="200"/>
        <w:jc w:val="left"/>
        <w:rPr>
          <w:rFonts w:hint="eastAsia" w:ascii="宋体" w:hAnsi="宋体" w:cs="宋体"/>
          <w:sz w:val="24"/>
          <w:highlight w:val="none"/>
        </w:rPr>
      </w:pPr>
      <w:r>
        <w:rPr>
          <w:rFonts w:hint="eastAsia" w:ascii="宋体" w:hAnsi="宋体" w:cs="宋体"/>
          <w:sz w:val="24"/>
          <w:highlight w:val="none"/>
        </w:rPr>
        <w:t>投标人2017年1月1日至今完成过2个及以上高速公路、高铁项目或大型水利水电工程项目钢筋供货项目，且单个业绩钢筋供货量不低于2万吨。</w:t>
      </w:r>
    </w:p>
    <w:p>
      <w:pPr>
        <w:pStyle w:val="3"/>
        <w:spacing w:after="78" w:afterLines="25" w:line="300" w:lineRule="auto"/>
        <w:ind w:firstLine="480" w:firstLineChars="200"/>
        <w:jc w:val="left"/>
        <w:rPr>
          <w:rFonts w:ascii="宋体" w:hAnsi="宋体" w:cs="宋体"/>
          <w:sz w:val="24"/>
          <w:highlight w:val="none"/>
        </w:rPr>
      </w:pPr>
      <w:r>
        <w:rPr>
          <w:rFonts w:hint="eastAsia" w:ascii="宋体" w:hAnsi="宋体" w:cs="宋体"/>
          <w:sz w:val="24"/>
          <w:highlight w:val="none"/>
        </w:rPr>
        <w:t>3.4生产厂家产能不低于450万吨/年。</w:t>
      </w:r>
    </w:p>
    <w:p>
      <w:pPr>
        <w:topLinePunct/>
        <w:spacing w:after="78" w:afterLines="25" w:line="300" w:lineRule="auto"/>
        <w:ind w:firstLine="480" w:firstLineChars="200"/>
        <w:outlineLvl w:val="2"/>
        <w:rPr>
          <w:rFonts w:hint="eastAsia" w:ascii="宋体" w:hAnsi="宋体" w:cs="宋体"/>
          <w:sz w:val="24"/>
          <w:highlight w:val="none"/>
        </w:rPr>
      </w:pPr>
      <w:r>
        <w:rPr>
          <w:rFonts w:hint="eastAsia" w:ascii="宋体" w:hAnsi="宋体" w:cs="宋体"/>
          <w:sz w:val="24"/>
          <w:highlight w:val="none"/>
        </w:rPr>
        <w:t>3.5同一生产厂家仅能委托一个代理商参加同一标段的投标，同一生产厂家及其授权的代理商不能同时参与同一标段投标，同一代理商仅能代理唯一生产厂家进行同一标段投标。否则，其投标被否决。每个投标人在投标时需提供一个备选辅助供应品牌（该品牌生产商须达到招标文件对生产商的资格要求），投标人投标时提供辅供品牌厂家愿意在本项目辅助供应的承诺书。</w:t>
      </w:r>
    </w:p>
    <w:p>
      <w:pPr>
        <w:topLinePunct/>
        <w:spacing w:after="78" w:afterLines="25" w:line="300" w:lineRule="auto"/>
        <w:ind w:firstLine="480" w:firstLineChars="200"/>
        <w:outlineLvl w:val="2"/>
        <w:rPr>
          <w:rFonts w:ascii="宋体" w:hAnsi="宋体" w:cs="宋体"/>
          <w:sz w:val="24"/>
          <w:highlight w:val="none"/>
        </w:rPr>
      </w:pPr>
      <w:r>
        <w:rPr>
          <w:rFonts w:hint="eastAsia" w:ascii="宋体" w:hAnsi="宋体" w:cs="宋体"/>
          <w:sz w:val="24"/>
          <w:highlight w:val="none"/>
        </w:rPr>
        <w:t>3.6投标人还应在人员、信誉等方面具有相应的履约能力。</w:t>
      </w:r>
    </w:p>
    <w:p>
      <w:pPr>
        <w:pStyle w:val="3"/>
        <w:spacing w:after="78" w:afterLines="25" w:line="300" w:lineRule="auto"/>
        <w:ind w:firstLine="480" w:firstLineChars="200"/>
        <w:jc w:val="left"/>
        <w:rPr>
          <w:rFonts w:hint="eastAsia" w:ascii="宋体" w:hAnsi="宋体"/>
          <w:sz w:val="24"/>
          <w:highlight w:val="none"/>
        </w:rPr>
      </w:pPr>
      <w:r>
        <w:rPr>
          <w:rFonts w:hint="eastAsia" w:ascii="宋体" w:hAnsi="宋体"/>
          <w:sz w:val="24"/>
          <w:highlight w:val="none"/>
        </w:rPr>
        <w:t>3.7投标人可以对本次招标的</w:t>
      </w:r>
      <w:r>
        <w:rPr>
          <w:rFonts w:hint="eastAsia" w:ascii="宋体" w:hAnsi="宋体"/>
          <w:b/>
          <w:sz w:val="24"/>
          <w:highlight w:val="none"/>
          <w:u w:val="single"/>
          <w:lang w:val="en-US" w:eastAsia="zh-CN"/>
        </w:rPr>
        <w:t>多</w:t>
      </w:r>
      <w:r>
        <w:rPr>
          <w:rFonts w:hint="eastAsia" w:ascii="宋体" w:hAnsi="宋体"/>
          <w:b/>
          <w:sz w:val="24"/>
          <w:highlight w:val="none"/>
          <w:u w:val="single"/>
        </w:rPr>
        <w:t>个</w:t>
      </w:r>
      <w:r>
        <w:rPr>
          <w:rFonts w:hint="eastAsia" w:ascii="宋体" w:hAnsi="宋体"/>
          <w:sz w:val="24"/>
          <w:highlight w:val="none"/>
        </w:rPr>
        <w:t>标段进行投标，但最多只允许中</w:t>
      </w:r>
      <w:r>
        <w:rPr>
          <w:rFonts w:hint="eastAsia" w:ascii="宋体" w:hAnsi="宋体"/>
          <w:sz w:val="24"/>
          <w:highlight w:val="none"/>
          <w:lang w:val="en-US" w:eastAsia="zh-CN"/>
        </w:rPr>
        <w:t>标</w:t>
      </w:r>
      <w:r>
        <w:rPr>
          <w:rFonts w:hint="eastAsia" w:ascii="宋体" w:hAnsi="宋体"/>
          <w:sz w:val="24"/>
          <w:highlight w:val="none"/>
        </w:rPr>
        <w:t>本招标项目</w:t>
      </w:r>
      <w:r>
        <w:rPr>
          <w:rFonts w:hint="eastAsia" w:ascii="宋体" w:hAnsi="宋体"/>
          <w:sz w:val="24"/>
          <w:highlight w:val="none"/>
          <w:lang w:val="en-US" w:eastAsia="zh-CN"/>
        </w:rPr>
        <w:t>钢筋</w:t>
      </w:r>
      <w:r>
        <w:rPr>
          <w:rFonts w:hint="eastAsia" w:ascii="宋体" w:hAnsi="宋体"/>
          <w:sz w:val="24"/>
          <w:highlight w:val="none"/>
        </w:rPr>
        <w:t>采购的</w:t>
      </w:r>
      <w:r>
        <w:rPr>
          <w:rFonts w:hint="eastAsia" w:ascii="宋体" w:hAnsi="宋体"/>
          <w:sz w:val="24"/>
          <w:highlight w:val="none"/>
          <w:u w:val="single"/>
        </w:rPr>
        <w:t>2</w:t>
      </w:r>
      <w:r>
        <w:rPr>
          <w:rFonts w:hint="eastAsia" w:ascii="宋体" w:hAnsi="宋体"/>
          <w:sz w:val="24"/>
          <w:highlight w:val="none"/>
        </w:rPr>
        <w:t>个标段。</w:t>
      </w:r>
    </w:p>
    <w:p>
      <w:pPr>
        <w:pStyle w:val="3"/>
        <w:spacing w:after="78" w:afterLines="25" w:line="300" w:lineRule="auto"/>
        <w:ind w:firstLine="480" w:firstLineChars="200"/>
        <w:jc w:val="left"/>
        <w:rPr>
          <w:rFonts w:hint="eastAsia" w:ascii="宋体" w:hAnsi="宋体"/>
          <w:sz w:val="24"/>
          <w:highlight w:val="none"/>
        </w:rPr>
      </w:pPr>
      <w:r>
        <w:rPr>
          <w:rFonts w:hint="eastAsia" w:ascii="宋体" w:hAnsi="宋体"/>
          <w:sz w:val="24"/>
          <w:highlight w:val="none"/>
        </w:rPr>
        <w:t>3.8本次招标</w:t>
      </w:r>
      <w:r>
        <w:rPr>
          <w:rFonts w:hint="eastAsia" w:ascii="宋体" w:hAnsi="宋体"/>
          <w:b/>
          <w:sz w:val="24"/>
          <w:highlight w:val="none"/>
          <w:u w:val="single"/>
        </w:rPr>
        <w:t>不接受</w:t>
      </w:r>
      <w:r>
        <w:rPr>
          <w:rFonts w:hint="eastAsia" w:ascii="宋体" w:hAnsi="宋体"/>
          <w:sz w:val="24"/>
          <w:highlight w:val="none"/>
        </w:rPr>
        <w:t>联合体投标。</w:t>
      </w:r>
    </w:p>
    <w:p>
      <w:pPr>
        <w:pStyle w:val="3"/>
        <w:spacing w:after="78" w:afterLines="25" w:line="300" w:lineRule="auto"/>
        <w:ind w:firstLine="480" w:firstLineChars="200"/>
        <w:jc w:val="left"/>
        <w:rPr>
          <w:rFonts w:hint="eastAsia" w:ascii="宋体" w:hAnsi="宋体"/>
          <w:sz w:val="24"/>
          <w:highlight w:val="none"/>
        </w:rPr>
      </w:pPr>
      <w:r>
        <w:rPr>
          <w:rFonts w:hint="eastAsia" w:ascii="宋体" w:hAnsi="宋体"/>
          <w:sz w:val="24"/>
          <w:highlight w:val="none"/>
        </w:rPr>
        <w:t>3.9与招标人存在利害关系可能影响招标公正性的单位，不得参加投标。单位负责人为同一人或存在控股、管理关系的不同单位，不得参加同一标段投标，否则，相关投标均无效。</w:t>
      </w:r>
    </w:p>
    <w:p>
      <w:pPr>
        <w:pStyle w:val="3"/>
        <w:spacing w:after="78" w:afterLines="25" w:line="300" w:lineRule="auto"/>
        <w:ind w:firstLine="480" w:firstLineChars="200"/>
        <w:jc w:val="left"/>
        <w:rPr>
          <w:rFonts w:ascii="宋体" w:hAnsi="宋体"/>
          <w:sz w:val="24"/>
          <w:highlight w:val="none"/>
        </w:rPr>
      </w:pPr>
      <w:r>
        <w:rPr>
          <w:rFonts w:hint="eastAsia" w:ascii="宋体" w:hAnsi="宋体"/>
          <w:sz w:val="24"/>
          <w:highlight w:val="none"/>
        </w:rPr>
        <w:t>3.10在国家企业信用信息公示系统（http:// www.gsxt.gov.cn/）中未被列入严重违法失信企业名单、在“信用中国”网站（http://www.creditchina.gov.cn/）中未被列入失信被执行人名单。</w:t>
      </w:r>
    </w:p>
    <w:p>
      <w:pPr>
        <w:pStyle w:val="3"/>
        <w:spacing w:after="78" w:afterLines="25"/>
        <w:ind w:firstLine="480" w:firstLineChars="200"/>
        <w:jc w:val="left"/>
        <w:rPr>
          <w:rFonts w:hint="eastAsia" w:ascii="黑体" w:hAnsi="黑体" w:eastAsia="黑体"/>
          <w:sz w:val="24"/>
          <w:highlight w:val="none"/>
        </w:rPr>
      </w:pPr>
      <w:bookmarkStart w:id="6" w:name="_Toc152047197"/>
      <w:bookmarkStart w:id="7" w:name="_Toc144974401"/>
      <w:r>
        <w:rPr>
          <w:rFonts w:hint="eastAsia" w:ascii="黑体" w:hAnsi="黑体" w:eastAsia="黑体"/>
          <w:sz w:val="24"/>
          <w:highlight w:val="none"/>
        </w:rPr>
        <w:t>4.投标报名</w:t>
      </w:r>
    </w:p>
    <w:bookmarkEnd w:id="6"/>
    <w:bookmarkEnd w:id="7"/>
    <w:p>
      <w:pPr>
        <w:snapToGrid w:val="0"/>
        <w:spacing w:after="25" w:line="300" w:lineRule="auto"/>
        <w:ind w:firstLine="480" w:firstLineChars="200"/>
        <w:rPr>
          <w:rFonts w:hint="eastAsia"/>
          <w:sz w:val="24"/>
          <w:highlight w:val="none"/>
        </w:rPr>
      </w:pPr>
      <w:r>
        <w:rPr>
          <w:rFonts w:hint="eastAsia"/>
          <w:sz w:val="24"/>
          <w:highlight w:val="none"/>
        </w:rPr>
        <w:t>凡有意参加投标者，请于2022年</w:t>
      </w:r>
      <w:r>
        <w:rPr>
          <w:rFonts w:hint="eastAsia"/>
          <w:sz w:val="24"/>
          <w:highlight w:val="none"/>
          <w:lang w:val="en-US" w:eastAsia="zh-CN"/>
        </w:rPr>
        <w:t>9</w:t>
      </w:r>
      <w:r>
        <w:rPr>
          <w:rFonts w:hint="eastAsia"/>
          <w:sz w:val="24"/>
          <w:highlight w:val="none"/>
        </w:rPr>
        <w:t>月</w:t>
      </w:r>
      <w:r>
        <w:rPr>
          <w:rFonts w:hint="eastAsia"/>
          <w:sz w:val="24"/>
          <w:highlight w:val="none"/>
          <w:lang w:val="en-US" w:eastAsia="zh-CN"/>
        </w:rPr>
        <w:t>9</w:t>
      </w:r>
      <w:r>
        <w:rPr>
          <w:rFonts w:hint="eastAsia"/>
          <w:sz w:val="24"/>
          <w:highlight w:val="none"/>
        </w:rPr>
        <w:t>日</w:t>
      </w:r>
      <w:r>
        <w:rPr>
          <w:rFonts w:hint="eastAsia"/>
          <w:sz w:val="24"/>
          <w:highlight w:val="none"/>
          <w:lang w:val="en-US" w:eastAsia="zh-CN"/>
        </w:rPr>
        <w:t>16</w:t>
      </w:r>
      <w:r>
        <w:rPr>
          <w:rFonts w:hint="eastAsia"/>
          <w:sz w:val="24"/>
          <w:highlight w:val="none"/>
        </w:rPr>
        <w:t>时00分至2022年</w:t>
      </w:r>
      <w:r>
        <w:rPr>
          <w:rFonts w:hint="eastAsia"/>
          <w:sz w:val="24"/>
          <w:highlight w:val="none"/>
          <w:lang w:val="en-US" w:eastAsia="zh-CN"/>
        </w:rPr>
        <w:t>9</w:t>
      </w:r>
      <w:r>
        <w:rPr>
          <w:rFonts w:hint="eastAsia"/>
          <w:sz w:val="24"/>
          <w:highlight w:val="none"/>
        </w:rPr>
        <w:t>月</w:t>
      </w:r>
      <w:r>
        <w:rPr>
          <w:rFonts w:hint="eastAsia"/>
          <w:sz w:val="24"/>
          <w:highlight w:val="none"/>
          <w:lang w:val="en-US" w:eastAsia="zh-CN"/>
        </w:rPr>
        <w:t>19</w:t>
      </w:r>
      <w:r>
        <w:rPr>
          <w:rFonts w:hint="eastAsia"/>
          <w:sz w:val="24"/>
          <w:highlight w:val="none"/>
        </w:rPr>
        <w:t>日23时59分（北京时间，下同），登录云南省公共资源交易信息网（网址：http://ggzy.yn.gov.cn）</w:t>
      </w:r>
      <w:r>
        <w:rPr>
          <w:rFonts w:hint="eastAsia"/>
          <w:sz w:val="24"/>
          <w:highlight w:val="none"/>
          <w:lang w:eastAsia="zh-CN"/>
        </w:rPr>
        <w:t>，</w:t>
      </w:r>
      <w:r>
        <w:rPr>
          <w:rFonts w:hint="eastAsia"/>
          <w:sz w:val="24"/>
          <w:highlight w:val="none"/>
        </w:rPr>
        <w:t>选择“昭通市”，凭企业数字证书（CA）在网上获取电子招标文件及其它招标资料，电子招标文件格式为*.BZBJ；未办理企业数字证书（CA）的企业需要按照云南省公共资源交易电子认证的要求，办理企业数字证书（CA）并完成注册通过后，获取招标文件。注：此为获取招标文件的唯一途径。</w:t>
      </w:r>
    </w:p>
    <w:p>
      <w:pPr>
        <w:topLinePunct/>
        <w:spacing w:after="78" w:afterLines="25" w:line="300" w:lineRule="auto"/>
        <w:ind w:firstLine="480" w:firstLineChars="200"/>
        <w:outlineLvl w:val="2"/>
        <w:rPr>
          <w:rFonts w:ascii="黑体" w:hAnsi="黑体" w:eastAsia="黑体"/>
          <w:sz w:val="24"/>
          <w:highlight w:val="none"/>
        </w:rPr>
      </w:pPr>
      <w:bookmarkStart w:id="8" w:name="_Toc152047196"/>
      <w:bookmarkStart w:id="9" w:name="_Toc144974400"/>
      <w:r>
        <w:rPr>
          <w:rFonts w:hint="eastAsia" w:ascii="黑体" w:hAnsi="黑体" w:eastAsia="黑体"/>
          <w:sz w:val="24"/>
          <w:highlight w:val="none"/>
        </w:rPr>
        <w:t>5.</w:t>
      </w:r>
      <w:r>
        <w:rPr>
          <w:rFonts w:ascii="黑体" w:hAnsi="黑体" w:eastAsia="黑体"/>
          <w:sz w:val="24"/>
          <w:highlight w:val="none"/>
        </w:rPr>
        <w:t>投标文件的递交</w:t>
      </w:r>
      <w:bookmarkEnd w:id="8"/>
      <w:bookmarkEnd w:id="9"/>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5.1 招标人将不组织进行工程现场踏勘，不召开投标预备会。</w:t>
      </w:r>
    </w:p>
    <w:p>
      <w:pPr>
        <w:spacing w:line="400" w:lineRule="atLeast"/>
        <w:ind w:left="239" w:leftChars="114" w:firstLine="240" w:firstLineChars="100"/>
        <w:rPr>
          <w:rFonts w:hint="eastAsia" w:ascii="宋体" w:hAnsi="宋体" w:cs="宋体"/>
          <w:color w:val="000000"/>
          <w:sz w:val="24"/>
          <w:highlight w:val="none"/>
        </w:rPr>
      </w:pPr>
      <w:r>
        <w:rPr>
          <w:rFonts w:hint="eastAsia" w:ascii="宋体" w:hAnsi="宋体" w:cs="宋体"/>
          <w:color w:val="000000"/>
          <w:sz w:val="24"/>
          <w:highlight w:val="none"/>
        </w:rPr>
        <w:t>5.2 投标文件递交的截止时间（投标截止时间，下同）为</w:t>
      </w:r>
      <w:r>
        <w:rPr>
          <w:rFonts w:hint="eastAsia" w:ascii="宋体" w:hAnsi="宋体" w:cs="宋体"/>
          <w:color w:val="000000"/>
          <w:sz w:val="24"/>
          <w:highlight w:val="none"/>
          <w:u w:val="single"/>
        </w:rPr>
        <w:t>2022</w:t>
      </w:r>
      <w:r>
        <w:rPr>
          <w:rFonts w:hint="eastAsia" w:ascii="宋体" w:hAnsi="宋体" w:cs="宋体"/>
          <w:color w:val="000000"/>
          <w:sz w:val="24"/>
          <w:highlight w:val="none"/>
        </w:rPr>
        <w:t>年</w:t>
      </w:r>
      <w:r>
        <w:rPr>
          <w:rFonts w:hint="eastAsia" w:ascii="宋体" w:hAnsi="宋体" w:cs="宋体"/>
          <w:color w:val="000000"/>
          <w:sz w:val="24"/>
          <w:highlight w:val="none"/>
          <w:u w:val="single"/>
          <w:lang w:val="en-US" w:eastAsia="zh-CN"/>
        </w:rPr>
        <w:t>10</w:t>
      </w:r>
      <w:r>
        <w:rPr>
          <w:rFonts w:hint="eastAsia" w:ascii="宋体" w:hAnsi="宋体" w:cs="宋体"/>
          <w:color w:val="000000"/>
          <w:sz w:val="24"/>
          <w:highlight w:val="none"/>
        </w:rPr>
        <w:t>月</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rPr>
        <w:t>日</w:t>
      </w:r>
      <w:r>
        <w:rPr>
          <w:rFonts w:hint="eastAsia" w:ascii="宋体" w:hAnsi="宋体" w:cs="宋体"/>
          <w:color w:val="000000"/>
          <w:sz w:val="24"/>
          <w:highlight w:val="none"/>
          <w:u w:val="single"/>
        </w:rPr>
        <w:t>09</w:t>
      </w:r>
      <w:r>
        <w:rPr>
          <w:rFonts w:hint="eastAsia" w:ascii="宋体" w:hAnsi="宋体" w:cs="宋体"/>
          <w:color w:val="000000"/>
          <w:sz w:val="24"/>
          <w:highlight w:val="none"/>
        </w:rPr>
        <w:t>时</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w:t>
      </w:r>
      <w:r>
        <w:rPr>
          <w:rFonts w:hint="eastAsia" w:ascii="宋体" w:hAnsi="宋体" w:cs="宋体"/>
          <w:color w:val="000000"/>
          <w:sz w:val="24"/>
          <w:highlight w:val="none"/>
        </w:rPr>
        <w:t>分。</w:t>
      </w:r>
    </w:p>
    <w:p>
      <w:pPr>
        <w:topLinePunct/>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网上递交网址：云南省公共资源交易信息网（网址：http://ggzy.yn.gov.cn）</w:t>
      </w:r>
      <w:r>
        <w:rPr>
          <w:rFonts w:hint="eastAsia" w:ascii="宋体" w:hAnsi="宋体" w:cs="宋体"/>
          <w:color w:val="000000"/>
          <w:sz w:val="24"/>
          <w:highlight w:val="none"/>
          <w:lang w:eastAsia="zh-CN"/>
        </w:rPr>
        <w:t>，</w:t>
      </w:r>
      <w:r>
        <w:rPr>
          <w:rFonts w:hint="eastAsia" w:ascii="宋体" w:hAnsi="宋体" w:cs="宋体"/>
          <w:color w:val="000000"/>
          <w:sz w:val="24"/>
          <w:highlight w:val="none"/>
        </w:rPr>
        <w:t>选择“昭通市”</w:t>
      </w:r>
      <w:r>
        <w:rPr>
          <w:rFonts w:hint="eastAsia" w:ascii="宋体" w:hAnsi="宋体" w:cs="宋体"/>
          <w:color w:val="000000"/>
          <w:sz w:val="24"/>
          <w:highlight w:val="none"/>
          <w:lang w:eastAsia="zh-CN"/>
        </w:rPr>
        <w:t>。</w:t>
      </w:r>
      <w:r>
        <w:rPr>
          <w:rFonts w:hint="eastAsia" w:ascii="宋体" w:hAnsi="宋体" w:cs="宋体"/>
          <w:color w:val="000000"/>
          <w:sz w:val="24"/>
          <w:highlight w:val="none"/>
        </w:rPr>
        <w:t xml:space="preserve">投标人须在投标截止时间前完成所有投标文件的上传，网上确认电子签名，并打印“上传投标文件回执”（如因修改重新上传投标文件后，需再次确认并打印回执），投标截止时间前未完成投标文件传输的，视为撤回投标文件。 </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网上递交电子投标文件后，不再递交刻录投标文件的光盘。</w:t>
      </w:r>
      <w:r>
        <w:rPr>
          <w:rFonts w:hint="eastAsia"/>
          <w:b/>
          <w:bCs/>
          <w:highlight w:val="none"/>
          <w:lang w:val="en-US" w:eastAsia="zh-CN"/>
        </w:rPr>
        <w:t>因交易系统可能不稳定，建议各投标人在投标截止前2~3个工作日内完成投标保证金绑定。</w:t>
      </w:r>
    </w:p>
    <w:p>
      <w:pPr>
        <w:spacing w:line="400" w:lineRule="atLeast"/>
        <w:ind w:firstLine="480" w:firstLineChars="200"/>
        <w:rPr>
          <w:rFonts w:hint="eastAsia"/>
          <w:color w:val="000000"/>
          <w:sz w:val="24"/>
          <w:highlight w:val="none"/>
        </w:rPr>
      </w:pPr>
      <w:r>
        <w:rPr>
          <w:rFonts w:hint="eastAsia" w:ascii="宋体" w:hAnsi="宋体" w:cs="宋体"/>
          <w:color w:val="000000"/>
          <w:sz w:val="24"/>
          <w:highlight w:val="none"/>
        </w:rPr>
        <w:t>5.3</w:t>
      </w:r>
      <w:r>
        <w:rPr>
          <w:rFonts w:hint="eastAsia"/>
          <w:color w:val="000000"/>
          <w:sz w:val="24"/>
          <w:highlight w:val="none"/>
        </w:rPr>
        <w:t>开标方式：网上远程开标。</w:t>
      </w:r>
    </w:p>
    <w:p>
      <w:pPr>
        <w:spacing w:line="400" w:lineRule="atLeast"/>
        <w:ind w:firstLine="480" w:firstLineChars="200"/>
        <w:rPr>
          <w:rFonts w:hint="eastAsia"/>
          <w:color w:val="000000"/>
          <w:sz w:val="24"/>
          <w:highlight w:val="none"/>
        </w:rPr>
      </w:pPr>
      <w:r>
        <w:rPr>
          <w:rFonts w:hint="eastAsia"/>
          <w:color w:val="000000"/>
          <w:sz w:val="24"/>
          <w:highlight w:val="none"/>
        </w:rPr>
        <w:t>投标人登录云南省公共资源交易信息网（网址：http://ggzy.yn.gov.cn），选择“昭通市”，按照</w:t>
      </w:r>
      <w:r>
        <w:rPr>
          <w:rFonts w:hint="eastAsia"/>
          <w:color w:val="000000"/>
          <w:sz w:val="24"/>
          <w:highlight w:val="none"/>
          <w:lang w:val="en-US" w:eastAsia="zh-CN"/>
        </w:rPr>
        <w:t>办事指南中</w:t>
      </w:r>
      <w:r>
        <w:rPr>
          <w:rFonts w:hint="eastAsia"/>
          <w:color w:val="000000"/>
          <w:sz w:val="24"/>
          <w:highlight w:val="none"/>
        </w:rPr>
        <w:t>《云南省公共资源交易电子化平台智能开标系统培训教材》（适用投标人和供应商），在截标时间前提前进入到“网上开标室”，根据网上远程解密、开标要求，在下达投标文件解密指令后</w:t>
      </w:r>
      <w:r>
        <w:rPr>
          <w:rFonts w:hint="eastAsia"/>
          <w:b/>
          <w:bCs/>
          <w:color w:val="000000"/>
          <w:sz w:val="24"/>
          <w:highlight w:val="none"/>
        </w:rPr>
        <w:t>30分钟</w:t>
      </w:r>
      <w:r>
        <w:rPr>
          <w:rFonts w:hint="eastAsia"/>
          <w:color w:val="000000"/>
          <w:sz w:val="24"/>
          <w:highlight w:val="none"/>
        </w:rPr>
        <w:t>内完成远程解密、查看开标一览表等相关操作。若投标人没有在规定时间完成以上相关操作，则视为其撤销投标文件，放弃投标。因开标系统、开标现场网络、设备及其他特殊原因，导致不能正常解密投标文件的，经核实和上报相关部门同意后，可再次下达网上解密指令来延长解密时间。开标过程中如有疑问，可以在线提出异议，由代理机构（招标人）回复。在规定的统一提出异议时间内不提出异议的，视为对开标结果无异议。</w:t>
      </w:r>
    </w:p>
    <w:p>
      <w:pPr>
        <w:spacing w:line="400" w:lineRule="atLeast"/>
        <w:ind w:firstLine="480" w:firstLineChars="200"/>
        <w:rPr>
          <w:rFonts w:hint="eastAsia"/>
          <w:color w:val="000000"/>
          <w:sz w:val="24"/>
          <w:highlight w:val="none"/>
        </w:rPr>
      </w:pPr>
      <w:r>
        <w:rPr>
          <w:rFonts w:hint="eastAsia"/>
          <w:color w:val="000000"/>
          <w:sz w:val="24"/>
          <w:highlight w:val="none"/>
        </w:rPr>
        <w:t>技术服务咨询：北京筑龙信息技术有限责任公司</w:t>
      </w:r>
    </w:p>
    <w:p>
      <w:pPr>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服务热线：0870-2221602，010-86483801。</w:t>
      </w:r>
    </w:p>
    <w:p>
      <w:pPr>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5.4特别说明</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公共资源进场交易疫情防控工作实行业主单位负责制。招标人要会同代理机构建立防控处置和报告机制，严格落实防控工作要求，组织完成本项目各方参与主体检测体温，扫描“健康码”、“行程码”二维码，填报《公共资源交易进场人员健康申报表》《公共资源进场交易进场人员登记表》。</w:t>
      </w:r>
    </w:p>
    <w:p>
      <w:pPr>
        <w:snapToGrid w:val="0"/>
        <w:spacing w:after="25" w:line="300" w:lineRule="auto"/>
        <w:ind w:firstLine="480" w:firstLineChars="200"/>
        <w:rPr>
          <w:rFonts w:hint="eastAsia" w:ascii="宋体" w:hAnsi="宋体"/>
          <w:kern w:val="0"/>
          <w:sz w:val="24"/>
          <w:highlight w:val="none"/>
        </w:rPr>
      </w:pPr>
      <w:r>
        <w:rPr>
          <w:rFonts w:hint="eastAsia" w:ascii="宋体" w:hAnsi="宋体" w:cs="宋体"/>
          <w:color w:val="000000"/>
          <w:sz w:val="24"/>
          <w:highlight w:val="none"/>
        </w:rPr>
        <w:t>请本项目各方参与主体（招标人代表、代理机构人员、行业主管部门人员等）携带本人身份证，自行佩戴口罩，在交易中心开标等候区进行体温检测并登记。如有发热（体温大于等于37.3℃）、干咳、乏力等不适症状、14天内与新冠肺炎确诊或疑似病例有密切接触、14天内有境外旅居史（港台地区和国外其他国家或地区）、14天内来自或途经新冠肺炎疫情高风险地区、14天内来自或途经新冠肺炎疫情中风险地区（具体的高风险地区、中风险地区以官方实时通报的为准）等应主动回避。</w:t>
      </w:r>
    </w:p>
    <w:p>
      <w:pPr>
        <w:snapToGrid w:val="0"/>
        <w:spacing w:after="78" w:afterLines="25" w:line="300" w:lineRule="auto"/>
        <w:ind w:firstLine="480" w:firstLineChars="200"/>
        <w:rPr>
          <w:rFonts w:hint="eastAsia" w:ascii="黑体" w:hAnsi="黑体" w:eastAsia="黑体"/>
          <w:sz w:val="24"/>
          <w:highlight w:val="none"/>
        </w:rPr>
      </w:pPr>
      <w:r>
        <w:rPr>
          <w:rFonts w:hint="eastAsia" w:ascii="黑体" w:hAnsi="黑体" w:eastAsia="黑体"/>
          <w:sz w:val="24"/>
          <w:highlight w:val="none"/>
        </w:rPr>
        <w:t>6.</w:t>
      </w:r>
      <w:r>
        <w:rPr>
          <w:rFonts w:ascii="黑体" w:hAnsi="黑体" w:eastAsia="黑体"/>
          <w:sz w:val="24"/>
          <w:highlight w:val="none"/>
        </w:rPr>
        <w:t>发布公告的媒介</w:t>
      </w:r>
    </w:p>
    <w:p>
      <w:pPr>
        <w:snapToGrid w:val="0"/>
        <w:spacing w:after="78" w:afterLines="25" w:line="300" w:lineRule="auto"/>
        <w:ind w:firstLine="480" w:firstLineChars="200"/>
        <w:rPr>
          <w:rFonts w:ascii="宋体" w:hAnsi="宋体"/>
          <w:sz w:val="24"/>
          <w:highlight w:val="none"/>
        </w:rPr>
      </w:pPr>
      <w:r>
        <w:rPr>
          <w:rFonts w:hint="eastAsia"/>
          <w:sz w:val="24"/>
          <w:highlight w:val="none"/>
        </w:rPr>
        <w:t>本次招标公告</w:t>
      </w:r>
      <w:r>
        <w:rPr>
          <w:rFonts w:hint="eastAsia"/>
          <w:sz w:val="24"/>
          <w:highlight w:val="none"/>
          <w:lang w:val="en-US" w:eastAsia="zh-CN"/>
        </w:rPr>
        <w:t>在</w:t>
      </w:r>
      <w:r>
        <w:rPr>
          <w:rFonts w:hint="eastAsia"/>
          <w:sz w:val="24"/>
          <w:highlight w:val="none"/>
        </w:rPr>
        <w:t>云南省公共资源交易信息网（网址：http://ggzy.yn.gov.cn）上发布。</w:t>
      </w:r>
    </w:p>
    <w:p>
      <w:pPr>
        <w:topLinePunct/>
        <w:spacing w:after="78" w:afterLines="25" w:line="300" w:lineRule="auto"/>
        <w:ind w:firstLine="480" w:firstLineChars="200"/>
        <w:outlineLvl w:val="2"/>
        <w:rPr>
          <w:rFonts w:ascii="黑体" w:hAnsi="黑体" w:eastAsia="黑体"/>
          <w:sz w:val="24"/>
          <w:highlight w:val="none"/>
        </w:rPr>
      </w:pPr>
      <w:r>
        <w:rPr>
          <w:rFonts w:hint="eastAsia" w:ascii="黑体" w:hAnsi="黑体" w:eastAsia="黑体"/>
          <w:sz w:val="24"/>
          <w:highlight w:val="none"/>
        </w:rPr>
        <w:t>7.</w:t>
      </w:r>
      <w:r>
        <w:rPr>
          <w:rFonts w:ascii="黑体" w:hAnsi="黑体" w:eastAsia="黑体"/>
          <w:sz w:val="24"/>
          <w:highlight w:val="none"/>
        </w:rPr>
        <w:t>联系方式</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招 标 人：云南大昭物资有限公司</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地    址：云南省昭通市昭阳区龙韵雅苑29栋17楼</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邮    编：657000</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电    话：0870-2127756/18314519484</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传    真：0870-2127756</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联 系 人：李朝栋</w:t>
      </w:r>
    </w:p>
    <w:p>
      <w:pPr>
        <w:snapToGrid w:val="0"/>
        <w:ind w:firstLine="480" w:firstLineChars="200"/>
        <w:rPr>
          <w:rFonts w:hint="eastAsia" w:ascii="宋体" w:hAnsi="宋体" w:cs="宋体"/>
          <w:sz w:val="24"/>
          <w:highlight w:val="none"/>
        </w:rPr>
      </w:pPr>
    </w:p>
    <w:p>
      <w:pPr>
        <w:snapToGrid w:val="0"/>
        <w:ind w:firstLine="480" w:firstLineChars="200"/>
        <w:rPr>
          <w:rFonts w:hint="eastAsia" w:ascii="宋体" w:hAnsi="宋体" w:cs="宋体"/>
          <w:sz w:val="24"/>
          <w:highlight w:val="none"/>
        </w:rPr>
      </w:pPr>
      <w:r>
        <w:rPr>
          <w:rFonts w:hint="eastAsia" w:ascii="宋体" w:hAnsi="宋体" w:cs="宋体"/>
          <w:sz w:val="24"/>
          <w:highlight w:val="none"/>
        </w:rPr>
        <w:t>招标代理机构：华杰工程咨询有限公司</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地    址：北京市朝阳区安苑路20号世纪兴源大厦8层</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邮政编码：100029</w:t>
      </w:r>
    </w:p>
    <w:p>
      <w:pPr>
        <w:snapToGrid w:val="0"/>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联 系 人：郭蝉锋</w:t>
      </w:r>
      <w:r>
        <w:rPr>
          <w:rFonts w:hint="eastAsia" w:ascii="宋体" w:hAnsi="宋体" w:cs="宋体"/>
          <w:sz w:val="24"/>
          <w:highlight w:val="none"/>
          <w:lang w:eastAsia="zh-CN"/>
        </w:rPr>
        <w:t>、</w:t>
      </w:r>
      <w:r>
        <w:rPr>
          <w:rFonts w:hint="eastAsia" w:ascii="宋体" w:hAnsi="宋体" w:cs="宋体"/>
          <w:sz w:val="24"/>
          <w:highlight w:val="none"/>
          <w:lang w:val="en-US" w:eastAsia="zh-CN"/>
        </w:rPr>
        <w:t>赵特</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电    话：010-64997351</w:t>
      </w:r>
    </w:p>
    <w:p>
      <w:pPr>
        <w:snapToGrid w:val="0"/>
        <w:ind w:firstLine="480" w:firstLineChars="200"/>
        <w:rPr>
          <w:rFonts w:hint="eastAsia" w:ascii="宋体" w:hAnsi="宋体" w:cs="宋体"/>
          <w:sz w:val="24"/>
          <w:highlight w:val="none"/>
        </w:rPr>
      </w:pPr>
      <w:r>
        <w:rPr>
          <w:rFonts w:hint="eastAsia" w:ascii="宋体" w:hAnsi="宋体" w:cs="宋体"/>
          <w:sz w:val="24"/>
          <w:highlight w:val="none"/>
        </w:rPr>
        <w:t>传    真：010-64997367</w:t>
      </w:r>
    </w:p>
    <w:p>
      <w:pPr>
        <w:rPr>
          <w:sz w:val="24"/>
          <w:highlight w:val="none"/>
        </w:rPr>
      </w:pPr>
      <w:r>
        <w:rPr>
          <w:sz w:val="24"/>
          <w:highlight w:val="none"/>
        </w:rPr>
        <w:t xml:space="preserve">                                              20</w:t>
      </w:r>
      <w:r>
        <w:rPr>
          <w:rFonts w:hint="eastAsia"/>
          <w:sz w:val="24"/>
          <w:highlight w:val="none"/>
        </w:rPr>
        <w:t>22</w:t>
      </w:r>
      <w:r>
        <w:rPr>
          <w:sz w:val="24"/>
          <w:highlight w:val="none"/>
        </w:rPr>
        <w:t>年</w:t>
      </w:r>
      <w:r>
        <w:rPr>
          <w:rFonts w:hint="eastAsia"/>
          <w:sz w:val="24"/>
          <w:highlight w:val="none"/>
          <w:lang w:val="en-US" w:eastAsia="zh-CN"/>
        </w:rPr>
        <w:t>9</w:t>
      </w:r>
      <w:r>
        <w:rPr>
          <w:sz w:val="24"/>
          <w:highlight w:val="none"/>
        </w:rPr>
        <w:t>月</w:t>
      </w:r>
      <w:r>
        <w:rPr>
          <w:rFonts w:hint="eastAsia"/>
          <w:sz w:val="24"/>
          <w:highlight w:val="none"/>
          <w:lang w:val="en-US" w:eastAsia="zh-CN"/>
        </w:rPr>
        <w:t>9</w:t>
      </w:r>
      <w:r>
        <w:rPr>
          <w:sz w:val="24"/>
          <w:highlight w:val="none"/>
        </w:rPr>
        <w:t>日</w:t>
      </w: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pStyle w:val="2"/>
        <w:rPr>
          <w:sz w:val="24"/>
          <w:highlight w:val="none"/>
        </w:rPr>
      </w:pPr>
    </w:p>
    <w:p>
      <w:pPr>
        <w:keepNext w:val="0"/>
        <w:keepLines w:val="0"/>
        <w:pageBreakBefore/>
        <w:widowControl w:val="0"/>
        <w:kinsoku/>
        <w:wordWrap/>
        <w:overflowPunct/>
        <w:topLinePunct w:val="0"/>
        <w:autoSpaceDE/>
        <w:autoSpaceDN/>
        <w:bidi w:val="0"/>
        <w:adjustRightInd/>
        <w:snapToGrid/>
        <w:jc w:val="center"/>
        <w:textAlignment w:val="auto"/>
        <w:rPr>
          <w:rFonts w:hint="eastAsia" w:ascii="微软雅黑" w:hAnsi="微软雅黑" w:eastAsia="微软雅黑" w:cs="微软雅黑"/>
          <w:b w:val="0"/>
          <w:bCs w:val="0"/>
          <w:i w:val="0"/>
          <w:iCs w:val="0"/>
          <w:caps w:val="0"/>
          <w:color w:val="232B32"/>
          <w:spacing w:val="0"/>
          <w:sz w:val="28"/>
          <w:szCs w:val="28"/>
          <w:shd w:val="clear" w:fill="FFFFFF"/>
        </w:rPr>
      </w:pP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二</w:t>
      </w: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rPr>
        <w:t>鲁甸至巧家高速公路型钢采购</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招标</w:t>
      </w: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lang w:val="en-US" w:eastAsia="zh-CN"/>
        </w:rPr>
        <w:t>二次</w:t>
      </w:r>
      <w:r>
        <w:rPr>
          <w:rFonts w:hint="eastAsia" w:ascii="微软雅黑" w:hAnsi="微软雅黑" w:eastAsia="微软雅黑" w:cs="微软雅黑"/>
          <w:b w:val="0"/>
          <w:bCs w:val="0"/>
          <w:i w:val="0"/>
          <w:iCs w:val="0"/>
          <w:caps w:val="0"/>
          <w:color w:val="232B32"/>
          <w:spacing w:val="0"/>
          <w:sz w:val="28"/>
          <w:szCs w:val="28"/>
          <w:shd w:val="clear" w:fill="FFFFFF"/>
          <w:lang w:eastAsia="zh-CN"/>
        </w:rPr>
        <w:t>）</w:t>
      </w:r>
      <w:r>
        <w:rPr>
          <w:rFonts w:hint="eastAsia" w:ascii="微软雅黑" w:hAnsi="微软雅黑" w:eastAsia="微软雅黑" w:cs="微软雅黑"/>
          <w:b w:val="0"/>
          <w:bCs w:val="0"/>
          <w:i w:val="0"/>
          <w:iCs w:val="0"/>
          <w:caps w:val="0"/>
          <w:color w:val="232B32"/>
          <w:spacing w:val="0"/>
          <w:sz w:val="28"/>
          <w:szCs w:val="28"/>
          <w:shd w:val="clear" w:fill="FFFFFF"/>
        </w:rPr>
        <w:t>招标公告</w:t>
      </w:r>
    </w:p>
    <w:p>
      <w:pPr>
        <w:topLinePunct/>
        <w:spacing w:after="60" w:afterLines="25" w:line="300" w:lineRule="auto"/>
        <w:ind w:firstLine="480" w:firstLineChars="200"/>
        <w:outlineLvl w:val="2"/>
        <w:rPr>
          <w:rFonts w:eastAsia="黑体"/>
          <w:bCs/>
          <w:sz w:val="24"/>
          <w:highlight w:val="none"/>
        </w:rPr>
      </w:pPr>
      <w:bookmarkStart w:id="10" w:name="_Toc152047193"/>
      <w:bookmarkStart w:id="11" w:name="_Toc144974396"/>
      <w:r>
        <w:rPr>
          <w:rFonts w:eastAsia="黑体"/>
          <w:bCs/>
          <w:sz w:val="24"/>
          <w:highlight w:val="none"/>
        </w:rPr>
        <w:t>1</w:t>
      </w:r>
      <w:r>
        <w:rPr>
          <w:rFonts w:hint="eastAsia" w:ascii="黑体" w:hAnsi="黑体" w:eastAsia="黑体"/>
          <w:sz w:val="24"/>
          <w:highlight w:val="none"/>
        </w:rPr>
        <w:t>.</w:t>
      </w:r>
      <w:r>
        <w:rPr>
          <w:rFonts w:eastAsia="黑体"/>
          <w:bCs/>
          <w:sz w:val="24"/>
          <w:highlight w:val="none"/>
        </w:rPr>
        <w:t>招标条件</w:t>
      </w:r>
    </w:p>
    <w:p>
      <w:pPr>
        <w:spacing w:after="60" w:afterLines="25" w:line="300" w:lineRule="auto"/>
        <w:ind w:firstLine="480" w:firstLineChars="200"/>
        <w:rPr>
          <w:rFonts w:hint="eastAsia" w:ascii="宋体" w:hAnsi="宋体" w:cs="宋体"/>
          <w:sz w:val="24"/>
          <w:highlight w:val="none"/>
          <w:u w:val="none"/>
        </w:rPr>
      </w:pPr>
      <w:r>
        <w:rPr>
          <w:rFonts w:hint="eastAsia" w:ascii="宋体" w:hAnsi="宋体" w:cs="宋体"/>
          <w:sz w:val="24"/>
          <w:highlight w:val="none"/>
          <w:u w:val="none"/>
        </w:rPr>
        <w:t>本招标项目鲁甸至巧家高速公路已由云南省发展和改革委员会以云发改基础〔2020〕988号批准建设，初步设计已由云南省交通运输厅以云交审批［2021］7号批复。项目业主为昭通市鲁巧高速公路投资开发有限公司，招标人为云南大昭物资有限公司（以下简称“发包人”或“招标人”）；建设资金来自企业自筹、政府补助和国内银行贷款，资金已落实，招标代理机构为华杰工程咨询有限公司。项目已具备招标条件。现对该项目所需型钢以资格后审方式进行公开招标。</w:t>
      </w:r>
    </w:p>
    <w:p>
      <w:pPr>
        <w:topLinePunct/>
        <w:spacing w:after="60" w:afterLines="25" w:line="300" w:lineRule="auto"/>
        <w:ind w:firstLine="480" w:firstLineChars="200"/>
        <w:outlineLvl w:val="2"/>
        <w:rPr>
          <w:rFonts w:eastAsia="黑体"/>
          <w:bCs/>
          <w:sz w:val="24"/>
          <w:highlight w:val="none"/>
        </w:rPr>
      </w:pPr>
      <w:r>
        <w:rPr>
          <w:rFonts w:eastAsia="黑体"/>
          <w:bCs/>
          <w:sz w:val="24"/>
          <w:highlight w:val="none"/>
        </w:rPr>
        <w:t>2</w:t>
      </w:r>
      <w:r>
        <w:rPr>
          <w:rFonts w:hint="eastAsia" w:ascii="黑体" w:hAnsi="黑体" w:eastAsia="黑体"/>
          <w:sz w:val="24"/>
          <w:highlight w:val="none"/>
        </w:rPr>
        <w:t>.</w:t>
      </w:r>
      <w:r>
        <w:rPr>
          <w:rFonts w:eastAsia="黑体"/>
          <w:bCs/>
          <w:sz w:val="24"/>
          <w:highlight w:val="none"/>
        </w:rPr>
        <w:t>项目概况与招标范围</w:t>
      </w:r>
    </w:p>
    <w:p>
      <w:pPr>
        <w:adjustRightInd w:val="0"/>
        <w:snapToGrid w:val="0"/>
        <w:spacing w:after="60" w:afterLines="25" w:line="300" w:lineRule="auto"/>
        <w:ind w:firstLine="480" w:firstLineChars="200"/>
        <w:rPr>
          <w:sz w:val="24"/>
          <w:highlight w:val="none"/>
        </w:rPr>
      </w:pPr>
      <w:r>
        <w:rPr>
          <w:sz w:val="24"/>
          <w:highlight w:val="none"/>
        </w:rPr>
        <w:t>2.1建设地点</w:t>
      </w:r>
      <w:r>
        <w:rPr>
          <w:rFonts w:hint="eastAsia"/>
          <w:sz w:val="24"/>
          <w:highlight w:val="none"/>
        </w:rPr>
        <w:t>：</w:t>
      </w:r>
      <w:r>
        <w:rPr>
          <w:sz w:val="24"/>
          <w:highlight w:val="none"/>
        </w:rPr>
        <w:t>云南省</w:t>
      </w:r>
      <w:r>
        <w:rPr>
          <w:rFonts w:hint="eastAsia"/>
          <w:sz w:val="24"/>
          <w:highlight w:val="none"/>
        </w:rPr>
        <w:t>昭通市</w:t>
      </w:r>
      <w:r>
        <w:rPr>
          <w:sz w:val="24"/>
          <w:highlight w:val="none"/>
        </w:rPr>
        <w:t>境内。</w:t>
      </w:r>
    </w:p>
    <w:p>
      <w:pPr>
        <w:adjustRightInd w:val="0"/>
        <w:snapToGrid w:val="0"/>
        <w:spacing w:after="60" w:afterLines="25" w:line="300" w:lineRule="auto"/>
        <w:ind w:firstLine="480" w:firstLineChars="200"/>
        <w:rPr>
          <w:sz w:val="24"/>
          <w:highlight w:val="none"/>
        </w:rPr>
      </w:pPr>
      <w:r>
        <w:rPr>
          <w:sz w:val="24"/>
          <w:highlight w:val="none"/>
        </w:rPr>
        <w:t>2.2建设规模</w:t>
      </w:r>
      <w:r>
        <w:rPr>
          <w:rFonts w:hint="eastAsia"/>
          <w:sz w:val="24"/>
          <w:highlight w:val="none"/>
        </w:rPr>
        <w:t>：鲁甸至巧家高速公路（以下简称“鲁巧高速”）起于昭通市鲁甸县龙头山镇东侧，接G7611都香高速公路昭金段K38+585.27处，设龙头山枢纽互通立交实现交通转换，止于昭通市巧家县城郊迤博溪，与云南省高速公路S23昆明至巧家高速公路格勒至巧家段 K55+086. 08处相接，设巧家枢纽互通立交实现交通转换。主线全长71.767公里（鲁甸县境内13. 078公里，巧家县境内58. 689公里）。全线设置龙头山（枢纽）、包谷垴、老店、崇溪、中寨、巧家（枢纽）共6处互通式立交。同步建设中寨立交连接线4.104公里。主线采用双向四车道高速公路标准建设，设计速度 80公里/小时，路基宽度25.5米，桥涵设计汽车荷载等级采用 公路-I级。中寨立交连接线采用三级公路标准建设，设计速度40公里/小时，路基宽度8.5米。项目概算批复总投资为1684549. 6671万元。</w:t>
      </w:r>
    </w:p>
    <w:p>
      <w:pPr>
        <w:adjustRightInd w:val="0"/>
        <w:snapToGrid w:val="0"/>
        <w:spacing w:after="60" w:afterLines="25" w:line="300" w:lineRule="auto"/>
        <w:ind w:firstLine="480" w:firstLineChars="200"/>
        <w:rPr>
          <w:sz w:val="24"/>
          <w:highlight w:val="none"/>
        </w:rPr>
      </w:pPr>
      <w:r>
        <w:rPr>
          <w:sz w:val="24"/>
          <w:highlight w:val="none"/>
        </w:rPr>
        <w:t>2.3计划供货期</w:t>
      </w:r>
      <w:r>
        <w:rPr>
          <w:rFonts w:hint="eastAsia"/>
          <w:sz w:val="24"/>
          <w:highlight w:val="none"/>
        </w:rPr>
        <w:t>：暂定66个月。</w:t>
      </w:r>
      <w:r>
        <w:rPr>
          <w:sz w:val="24"/>
          <w:highlight w:val="none"/>
        </w:rPr>
        <w:t>（</w:t>
      </w:r>
      <w:r>
        <w:rPr>
          <w:rFonts w:hint="eastAsia"/>
          <w:sz w:val="24"/>
          <w:highlight w:val="none"/>
        </w:rPr>
        <w:t>同土建施工工期42个月，缺陷责任期24个月，</w:t>
      </w:r>
      <w:r>
        <w:rPr>
          <w:sz w:val="24"/>
          <w:highlight w:val="none"/>
        </w:rPr>
        <w:t>由招标人根据物资需求计划，</w:t>
      </w:r>
      <w:r>
        <w:rPr>
          <w:rFonts w:hint="eastAsia"/>
          <w:sz w:val="24"/>
          <w:highlight w:val="none"/>
        </w:rPr>
        <w:t>从</w:t>
      </w:r>
      <w:r>
        <w:rPr>
          <w:sz w:val="24"/>
          <w:highlight w:val="none"/>
        </w:rPr>
        <w:t>下达第一份物资需求计划开始至本项目</w:t>
      </w:r>
      <w:r>
        <w:rPr>
          <w:rFonts w:hint="eastAsia"/>
          <w:sz w:val="24"/>
          <w:highlight w:val="none"/>
        </w:rPr>
        <w:t>缺陷责任期</w:t>
      </w:r>
      <w:r>
        <w:rPr>
          <w:sz w:val="24"/>
          <w:highlight w:val="none"/>
        </w:rPr>
        <w:t>结束为止）。</w:t>
      </w:r>
    </w:p>
    <w:p>
      <w:pPr>
        <w:adjustRightInd w:val="0"/>
        <w:snapToGrid w:val="0"/>
        <w:spacing w:after="60" w:afterLines="25" w:line="300" w:lineRule="auto"/>
        <w:ind w:firstLine="480" w:firstLineChars="200"/>
        <w:rPr>
          <w:rFonts w:hint="eastAsia"/>
          <w:sz w:val="24"/>
          <w:highlight w:val="none"/>
          <w:lang w:val="en-US" w:eastAsia="zh-CN"/>
        </w:rPr>
      </w:pPr>
      <w:r>
        <w:rPr>
          <w:sz w:val="24"/>
          <w:highlight w:val="none"/>
        </w:rPr>
        <w:t>2.4招标范围</w:t>
      </w:r>
      <w:r>
        <w:rPr>
          <w:rFonts w:hint="eastAsia"/>
          <w:sz w:val="24"/>
          <w:highlight w:val="none"/>
        </w:rPr>
        <w:t>：本项目</w:t>
      </w:r>
      <w:r>
        <w:rPr>
          <w:sz w:val="24"/>
          <w:highlight w:val="none"/>
        </w:rPr>
        <w:t>工程</w:t>
      </w:r>
      <w:r>
        <w:rPr>
          <w:rFonts w:hint="eastAsia"/>
          <w:sz w:val="24"/>
          <w:highlight w:val="none"/>
        </w:rPr>
        <w:t>所需型钢材料</w:t>
      </w:r>
      <w:r>
        <w:rPr>
          <w:sz w:val="24"/>
          <w:highlight w:val="none"/>
        </w:rPr>
        <w:t>。</w:t>
      </w:r>
      <w:r>
        <w:rPr>
          <w:rFonts w:hint="eastAsia"/>
          <w:sz w:val="24"/>
          <w:highlight w:val="none"/>
          <w:lang w:val="en-US" w:eastAsia="zh-CN"/>
        </w:rPr>
        <w:t>本项目共划分为XGCG-A、XGCG-B和XGCG-C三个标段，本次招标为XGCG-A、XGCG-B标段。</w:t>
      </w:r>
    </w:p>
    <w:p>
      <w:pPr>
        <w:adjustRightInd w:val="0"/>
        <w:snapToGrid w:val="0"/>
        <w:spacing w:after="60" w:afterLines="25" w:line="300" w:lineRule="auto"/>
        <w:ind w:firstLine="480" w:firstLineChars="200"/>
        <w:rPr>
          <w:rFonts w:hint="eastAsia" w:eastAsia="宋体"/>
          <w:sz w:val="24"/>
          <w:highlight w:val="none"/>
          <w:lang w:eastAsia="zh-CN"/>
        </w:rPr>
      </w:pPr>
      <w:r>
        <w:rPr>
          <w:rFonts w:eastAsia="黑体"/>
          <w:bCs/>
          <w:sz w:val="24"/>
          <w:highlight w:val="none"/>
        </w:rPr>
        <w:t>2.</w:t>
      </w:r>
      <w:r>
        <w:rPr>
          <w:rFonts w:hint="eastAsia" w:eastAsia="黑体"/>
          <w:bCs/>
          <w:sz w:val="24"/>
          <w:highlight w:val="none"/>
        </w:rPr>
        <w:t>5</w:t>
      </w:r>
      <w:r>
        <w:rPr>
          <w:rFonts w:hint="eastAsia"/>
          <w:sz w:val="24"/>
          <w:highlight w:val="none"/>
        </w:rPr>
        <w:t>标段划分、材料名称及规格、暂定数量、交货地点见下表</w:t>
      </w:r>
      <w:r>
        <w:rPr>
          <w:rFonts w:hint="eastAsia"/>
          <w:sz w:val="24"/>
          <w:highlight w:val="none"/>
          <w:lang w:eastAsia="zh-CN"/>
        </w:rPr>
        <w:t>：</w:t>
      </w:r>
    </w:p>
    <w:p>
      <w:pPr>
        <w:adjustRightInd w:val="0"/>
        <w:snapToGrid w:val="0"/>
        <w:spacing w:after="60" w:afterLines="25" w:line="300" w:lineRule="auto"/>
        <w:ind w:firstLine="480" w:firstLineChars="200"/>
        <w:rPr>
          <w:rFonts w:hint="eastAsia"/>
          <w:sz w:val="24"/>
          <w:highlight w:val="none"/>
        </w:rPr>
      </w:pPr>
    </w:p>
    <w:p>
      <w:pPr>
        <w:adjustRightInd w:val="0"/>
        <w:snapToGrid w:val="0"/>
        <w:spacing w:after="60" w:afterLines="25" w:line="300" w:lineRule="auto"/>
        <w:ind w:firstLine="480" w:firstLineChars="200"/>
        <w:rPr>
          <w:rFonts w:hint="eastAsia"/>
          <w:sz w:val="24"/>
          <w:highlight w:val="none"/>
        </w:rPr>
      </w:pPr>
    </w:p>
    <w:p>
      <w:pPr>
        <w:adjustRightInd w:val="0"/>
        <w:snapToGrid w:val="0"/>
        <w:spacing w:after="60" w:afterLines="25" w:line="300" w:lineRule="auto"/>
        <w:ind w:firstLine="480" w:firstLineChars="200"/>
        <w:rPr>
          <w:rFonts w:hint="eastAsia"/>
          <w:sz w:val="24"/>
          <w:highlight w:val="none"/>
        </w:rPr>
      </w:pPr>
    </w:p>
    <w:p>
      <w:pPr>
        <w:adjustRightInd w:val="0"/>
        <w:snapToGrid w:val="0"/>
        <w:spacing w:after="60" w:afterLines="25" w:line="300" w:lineRule="auto"/>
        <w:ind w:firstLine="480" w:firstLineChars="200"/>
        <w:rPr>
          <w:rFonts w:hint="eastAsia"/>
          <w:sz w:val="24"/>
          <w:highlight w:val="none"/>
        </w:rPr>
      </w:pPr>
    </w:p>
    <w:p>
      <w:pPr>
        <w:pStyle w:val="2"/>
        <w:rPr>
          <w:rFonts w:hint="eastAsia"/>
        </w:rPr>
      </w:pPr>
    </w:p>
    <w:p>
      <w:pPr>
        <w:adjustRightInd w:val="0"/>
        <w:snapToGrid w:val="0"/>
        <w:spacing w:after="60" w:afterLines="25" w:line="300" w:lineRule="auto"/>
        <w:ind w:firstLine="480" w:firstLineChars="200"/>
        <w:rPr>
          <w:rFonts w:hint="eastAsia"/>
          <w:sz w:val="24"/>
          <w:highlight w:val="none"/>
        </w:rPr>
      </w:pPr>
    </w:p>
    <w:p>
      <w:pPr>
        <w:adjustRightInd w:val="0"/>
        <w:snapToGrid w:val="0"/>
        <w:spacing w:after="60" w:afterLines="25" w:line="300" w:lineRule="auto"/>
        <w:ind w:firstLine="480" w:firstLineChars="200"/>
        <w:rPr>
          <w:rFonts w:hint="eastAsia"/>
          <w:sz w:val="24"/>
          <w:highlight w:val="none"/>
        </w:rPr>
      </w:pPr>
    </w:p>
    <w:bookmarkEnd w:id="10"/>
    <w:bookmarkEnd w:id="11"/>
    <w:tbl>
      <w:tblPr>
        <w:tblStyle w:val="4"/>
        <w:tblW w:w="9503" w:type="dxa"/>
        <w:tblInd w:w="0" w:type="dxa"/>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Layout w:type="fixed"/>
        <w:tblCellMar>
          <w:top w:w="0" w:type="dxa"/>
          <w:left w:w="0" w:type="dxa"/>
          <w:bottom w:w="0" w:type="dxa"/>
          <w:right w:w="0" w:type="dxa"/>
        </w:tblCellMar>
      </w:tblPr>
      <w:tblGrid>
        <w:gridCol w:w="631"/>
        <w:gridCol w:w="909"/>
        <w:gridCol w:w="717"/>
        <w:gridCol w:w="364"/>
        <w:gridCol w:w="535"/>
        <w:gridCol w:w="542"/>
        <w:gridCol w:w="534"/>
        <w:gridCol w:w="622"/>
        <w:gridCol w:w="629"/>
        <w:gridCol w:w="542"/>
        <w:gridCol w:w="501"/>
        <w:gridCol w:w="636"/>
        <w:gridCol w:w="510"/>
        <w:gridCol w:w="578"/>
        <w:gridCol w:w="626"/>
        <w:gridCol w:w="627"/>
      </w:tblGrid>
      <w:tr>
        <w:tblPrEx>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CellMar>
            <w:top w:w="0" w:type="dxa"/>
            <w:left w:w="0" w:type="dxa"/>
            <w:bottom w:w="0" w:type="dxa"/>
            <w:right w:w="0" w:type="dxa"/>
          </w:tblCellMar>
        </w:tblPrEx>
        <w:trPr>
          <w:trHeight w:val="516" w:hRule="atLeast"/>
        </w:trPr>
        <w:tc>
          <w:tcPr>
            <w:tcW w:w="631" w:type="dxa"/>
            <w:vMerge w:val="restart"/>
            <w:tcBorders>
              <w:top w:val="single" w:color="auto" w:sz="4" w:space="0"/>
              <w:left w:val="single" w:color="auto" w:sz="4" w:space="0"/>
              <w:bottom w:val="single" w:color="auto" w:sz="4" w:space="0"/>
            </w:tcBorders>
            <w:noWrap/>
            <w:tcMar>
              <w:top w:w="6" w:type="dxa"/>
              <w:left w:w="6" w:type="dxa"/>
              <w:right w:w="6" w:type="dxa"/>
            </w:tcMar>
            <w:vAlign w:val="center"/>
          </w:tcPr>
          <w:p>
            <w:pPr>
              <w:adjustRightInd w:val="0"/>
              <w:snapToGrid w:val="0"/>
              <w:spacing w:after="60" w:afterLines="25" w:line="300" w:lineRule="auto"/>
              <w:ind w:firstLine="361" w:firstLineChars="200"/>
              <w:jc w:val="left"/>
              <w:rPr>
                <w:b/>
                <w:bCs/>
                <w:sz w:val="18"/>
                <w:szCs w:val="18"/>
                <w:highlight w:val="none"/>
              </w:rPr>
            </w:pPr>
          </w:p>
          <w:p>
            <w:pPr>
              <w:adjustRightInd w:val="0"/>
              <w:snapToGrid w:val="0"/>
              <w:spacing w:after="60" w:afterLines="25" w:line="300" w:lineRule="auto"/>
              <w:ind w:firstLine="0" w:firstLineChars="0"/>
              <w:jc w:val="left"/>
              <w:rPr>
                <w:rFonts w:ascii="宋体" w:hAnsi="宋体" w:cs="宋体"/>
                <w:kern w:val="0"/>
                <w:sz w:val="18"/>
                <w:szCs w:val="18"/>
                <w:highlight w:val="none"/>
                <w:lang w:bidi="ar"/>
              </w:rPr>
            </w:pPr>
            <w:r>
              <w:rPr>
                <w:b/>
                <w:bCs/>
                <w:sz w:val="18"/>
                <w:szCs w:val="18"/>
                <w:highlight w:val="none"/>
              </w:rPr>
              <w:t>标段</w:t>
            </w:r>
          </w:p>
        </w:tc>
        <w:tc>
          <w:tcPr>
            <w:tcW w:w="909" w:type="dxa"/>
            <w:vMerge w:val="restart"/>
            <w:tcBorders>
              <w:top w:val="single" w:color="auto" w:sz="4" w:space="0"/>
              <w:bottom w:val="single" w:color="auto" w:sz="4" w:space="0"/>
            </w:tcBorders>
            <w:noWrap/>
            <w:tcMar>
              <w:top w:w="6" w:type="dxa"/>
              <w:left w:w="6" w:type="dxa"/>
              <w:right w:w="6" w:type="dxa"/>
            </w:tcMar>
            <w:vAlign w:val="center"/>
          </w:tcPr>
          <w:p>
            <w:pPr>
              <w:adjustRightInd w:val="0"/>
              <w:snapToGrid w:val="0"/>
              <w:spacing w:after="60" w:afterLines="25" w:line="300" w:lineRule="auto"/>
              <w:ind w:firstLine="0" w:firstLineChars="0"/>
              <w:jc w:val="left"/>
              <w:rPr>
                <w:rFonts w:ascii="宋体" w:hAnsi="宋体" w:cs="宋体"/>
                <w:kern w:val="0"/>
                <w:sz w:val="18"/>
                <w:szCs w:val="18"/>
                <w:highlight w:val="none"/>
                <w:lang w:bidi="ar"/>
              </w:rPr>
            </w:pPr>
            <w:r>
              <w:rPr>
                <w:rFonts w:hint="eastAsia"/>
                <w:b/>
                <w:bCs/>
                <w:sz w:val="18"/>
                <w:szCs w:val="18"/>
                <w:highlight w:val="none"/>
              </w:rPr>
              <w:t>对应桩号</w:t>
            </w:r>
          </w:p>
        </w:tc>
        <w:tc>
          <w:tcPr>
            <w:tcW w:w="717" w:type="dxa"/>
            <w:vMerge w:val="restart"/>
            <w:tcBorders>
              <w:top w:val="single" w:color="auto" w:sz="4" w:space="0"/>
              <w:bottom w:val="single" w:color="auto" w:sz="4" w:space="0"/>
            </w:tcBorders>
            <w:noWrap/>
            <w:tcMar>
              <w:top w:w="6" w:type="dxa"/>
              <w:left w:w="6" w:type="dxa"/>
              <w:right w:w="6" w:type="dxa"/>
            </w:tcMar>
            <w:vAlign w:val="center"/>
          </w:tcPr>
          <w:p>
            <w:pPr>
              <w:adjustRightInd w:val="0"/>
              <w:snapToGrid w:val="0"/>
              <w:spacing w:after="60" w:afterLines="25" w:line="300" w:lineRule="auto"/>
              <w:ind w:firstLine="0" w:firstLineChars="0"/>
              <w:jc w:val="left"/>
              <w:rPr>
                <w:rFonts w:ascii="宋体" w:hAnsi="宋体" w:cs="宋体"/>
                <w:kern w:val="0"/>
                <w:sz w:val="18"/>
                <w:szCs w:val="18"/>
                <w:highlight w:val="none"/>
                <w:lang w:bidi="ar"/>
              </w:rPr>
            </w:pPr>
            <w:r>
              <w:rPr>
                <w:rFonts w:hint="eastAsia"/>
                <w:b/>
                <w:bCs/>
                <w:sz w:val="18"/>
                <w:szCs w:val="18"/>
                <w:highlight w:val="none"/>
              </w:rPr>
              <w:t>对应土建标段</w:t>
            </w:r>
          </w:p>
        </w:tc>
        <w:tc>
          <w:tcPr>
            <w:tcW w:w="6619" w:type="dxa"/>
            <w:gridSpan w:val="12"/>
            <w:tcBorders>
              <w:top w:val="single" w:color="auto" w:sz="4" w:space="0"/>
              <w:bottom w:val="single" w:color="auto" w:sz="4" w:space="0"/>
            </w:tcBorders>
            <w:noWrap/>
            <w:tcMar>
              <w:top w:w="6" w:type="dxa"/>
              <w:left w:w="6" w:type="dxa"/>
              <w:right w:w="6" w:type="dxa"/>
            </w:tcMar>
            <w:vAlign w:val="center"/>
          </w:tcPr>
          <w:p>
            <w:pPr>
              <w:widowControl/>
              <w:adjustRightInd w:val="0"/>
              <w:snapToGrid w:val="0"/>
              <w:spacing w:after="60" w:afterLines="25" w:line="300" w:lineRule="auto"/>
              <w:ind w:firstLine="360" w:firstLineChars="200"/>
              <w:jc w:val="left"/>
              <w:rPr>
                <w:rFonts w:hint="eastAsia" w:ascii="宋体" w:hAnsi="宋体"/>
                <w:sz w:val="18"/>
                <w:szCs w:val="18"/>
                <w:highlight w:val="none"/>
                <w:lang w:bidi="ar"/>
              </w:rPr>
            </w:pPr>
            <w:r>
              <w:rPr>
                <w:rFonts w:hint="eastAsia" w:ascii="宋体" w:hAnsi="宋体"/>
                <w:sz w:val="18"/>
                <w:szCs w:val="18"/>
                <w:highlight w:val="none"/>
                <w:lang w:bidi="ar"/>
              </w:rPr>
              <w:t>类型及数量（吨）</w:t>
            </w:r>
          </w:p>
        </w:tc>
        <w:tc>
          <w:tcPr>
            <w:tcW w:w="627" w:type="dxa"/>
            <w:vMerge w:val="restart"/>
            <w:tcBorders>
              <w:top w:val="single" w:color="auto" w:sz="4" w:space="0"/>
              <w:bottom w:val="single" w:color="auto" w:sz="4" w:space="0"/>
              <w:right w:val="single" w:color="auto" w:sz="4" w:space="0"/>
            </w:tcBorders>
            <w:noWrap/>
            <w:tcMar>
              <w:top w:w="6" w:type="dxa"/>
              <w:left w:w="6" w:type="dxa"/>
              <w:right w:w="6" w:type="dxa"/>
            </w:tcMar>
            <w:vAlign w:val="center"/>
          </w:tcPr>
          <w:p>
            <w:pPr>
              <w:widowControl/>
              <w:adjustRightInd w:val="0"/>
              <w:snapToGrid w:val="0"/>
              <w:spacing w:after="60" w:afterLines="25" w:line="300" w:lineRule="auto"/>
              <w:ind w:firstLine="360" w:firstLineChars="200"/>
              <w:jc w:val="left"/>
              <w:textAlignment w:val="auto"/>
              <w:rPr>
                <w:rFonts w:ascii="宋体" w:hAnsi="宋体" w:cs="宋体"/>
                <w:kern w:val="0"/>
                <w:sz w:val="18"/>
                <w:szCs w:val="18"/>
                <w:highlight w:val="none"/>
                <w:lang w:bidi="ar"/>
              </w:rPr>
            </w:pPr>
            <w:r>
              <w:rPr>
                <w:rFonts w:hint="eastAsia" w:ascii="宋体" w:hAnsi="宋体" w:cs="宋体"/>
                <w:kern w:val="0"/>
                <w:sz w:val="18"/>
                <w:szCs w:val="18"/>
                <w:highlight w:val="none"/>
                <w:lang w:bidi="ar"/>
              </w:rPr>
              <w:t>交货地点</w:t>
            </w:r>
          </w:p>
        </w:tc>
      </w:tr>
      <w:tr>
        <w:tblPrEx>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CellMar>
            <w:top w:w="0" w:type="dxa"/>
            <w:left w:w="0" w:type="dxa"/>
            <w:bottom w:w="0" w:type="dxa"/>
            <w:right w:w="0" w:type="dxa"/>
          </w:tblCellMar>
        </w:tblPrEx>
        <w:trPr>
          <w:trHeight w:val="511" w:hRule="atLeast"/>
        </w:trPr>
        <w:tc>
          <w:tcPr>
            <w:tcW w:w="631" w:type="dxa"/>
            <w:vMerge w:val="continue"/>
            <w:tcBorders>
              <w:top w:val="single" w:color="auto" w:sz="4" w:space="0"/>
              <w:left w:val="single" w:color="auto" w:sz="4" w:space="0"/>
              <w:bottom w:val="single" w:color="auto" w:sz="4" w:space="0"/>
            </w:tcBorders>
            <w:noWrap/>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c>
          <w:tcPr>
            <w:tcW w:w="909" w:type="dxa"/>
            <w:vMerge w:val="continue"/>
            <w:tcBorders>
              <w:top w:val="single" w:color="auto" w:sz="4" w:space="0"/>
              <w:bottom w:val="single" w:color="auto" w:sz="4" w:space="0"/>
            </w:tcBorders>
            <w:noWrap/>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c>
          <w:tcPr>
            <w:tcW w:w="717" w:type="dxa"/>
            <w:vMerge w:val="continue"/>
            <w:tcBorders>
              <w:top w:val="single" w:color="auto" w:sz="4" w:space="0"/>
              <w:bottom w:val="single" w:color="auto" w:sz="4" w:space="0"/>
            </w:tcBorders>
            <w:noWrap/>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c>
          <w:tcPr>
            <w:tcW w:w="4905" w:type="dxa"/>
            <w:gridSpan w:val="9"/>
            <w:tcBorders>
              <w:top w:val="single" w:color="auto" w:sz="4" w:space="0"/>
              <w:bottom w:val="single" w:color="auto" w:sz="4" w:space="0"/>
            </w:tcBorders>
            <w:noWrap/>
            <w:tcMar>
              <w:top w:w="6" w:type="dxa"/>
              <w:left w:w="6" w:type="dxa"/>
              <w:right w:w="6" w:type="dxa"/>
            </w:tcMar>
            <w:vAlign w:val="center"/>
          </w:tcPr>
          <w:p>
            <w:pPr>
              <w:widowControl/>
              <w:jc w:val="center"/>
              <w:rPr>
                <w:rFonts w:ascii="宋体" w:hAnsi="宋体"/>
                <w:sz w:val="18"/>
                <w:szCs w:val="18"/>
                <w:highlight w:val="none"/>
              </w:rPr>
            </w:pPr>
            <w:r>
              <w:rPr>
                <w:rFonts w:hint="eastAsia" w:ascii="宋体" w:hAnsi="宋体"/>
                <w:sz w:val="18"/>
                <w:szCs w:val="18"/>
                <w:highlight w:val="none"/>
                <w:lang w:bidi="ar"/>
              </w:rPr>
              <w:t>工字钢</w:t>
            </w:r>
          </w:p>
        </w:tc>
        <w:tc>
          <w:tcPr>
            <w:tcW w:w="1714" w:type="dxa"/>
            <w:gridSpan w:val="3"/>
            <w:tcBorders>
              <w:top w:val="single" w:color="auto" w:sz="4" w:space="0"/>
              <w:bottom w:val="single" w:color="auto" w:sz="4" w:space="0"/>
            </w:tcBorders>
            <w:noWrap/>
            <w:tcMar>
              <w:top w:w="6" w:type="dxa"/>
              <w:left w:w="6" w:type="dxa"/>
              <w:right w:w="6" w:type="dxa"/>
            </w:tcMar>
            <w:vAlign w:val="center"/>
          </w:tcPr>
          <w:p>
            <w:pPr>
              <w:widowControl/>
              <w:jc w:val="center"/>
              <w:rPr>
                <w:rFonts w:ascii="宋体" w:hAnsi="宋体"/>
                <w:sz w:val="18"/>
                <w:szCs w:val="18"/>
                <w:highlight w:val="none"/>
              </w:rPr>
            </w:pPr>
            <w:r>
              <w:rPr>
                <w:rFonts w:hint="eastAsia" w:ascii="宋体" w:hAnsi="宋体"/>
                <w:sz w:val="18"/>
                <w:szCs w:val="18"/>
                <w:highlight w:val="none"/>
                <w:lang w:bidi="ar"/>
              </w:rPr>
              <w:t>无缝钢管</w:t>
            </w:r>
          </w:p>
        </w:tc>
        <w:tc>
          <w:tcPr>
            <w:tcW w:w="627" w:type="dxa"/>
            <w:vMerge w:val="continue"/>
            <w:tcBorders>
              <w:top w:val="single" w:color="auto" w:sz="4" w:space="0"/>
              <w:bottom w:val="single" w:color="auto" w:sz="4" w:space="0"/>
              <w:right w:val="single" w:color="auto" w:sz="4" w:space="0"/>
            </w:tcBorders>
            <w:noWrap/>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r>
      <w:tr>
        <w:tblPrEx>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CellMar>
            <w:top w:w="0" w:type="dxa"/>
            <w:left w:w="0" w:type="dxa"/>
            <w:bottom w:w="0" w:type="dxa"/>
            <w:right w:w="0" w:type="dxa"/>
          </w:tblCellMar>
        </w:tblPrEx>
        <w:trPr>
          <w:trHeight w:val="824" w:hRule="atLeast"/>
        </w:trPr>
        <w:tc>
          <w:tcPr>
            <w:tcW w:w="631" w:type="dxa"/>
            <w:vMerge w:val="continue"/>
            <w:tcBorders>
              <w:top w:val="single" w:color="auto" w:sz="4" w:space="0"/>
              <w:left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p>
        </w:tc>
        <w:tc>
          <w:tcPr>
            <w:tcW w:w="909" w:type="dxa"/>
            <w:vMerge w:val="continue"/>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p>
        </w:tc>
        <w:tc>
          <w:tcPr>
            <w:tcW w:w="717" w:type="dxa"/>
            <w:vMerge w:val="continue"/>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p>
        </w:tc>
        <w:tc>
          <w:tcPr>
            <w:tcW w:w="36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I14</w:t>
            </w:r>
          </w:p>
        </w:tc>
        <w:tc>
          <w:tcPr>
            <w:tcW w:w="535"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I16</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I18</w:t>
            </w:r>
          </w:p>
        </w:tc>
        <w:tc>
          <w:tcPr>
            <w:tcW w:w="53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I20a</w:t>
            </w:r>
          </w:p>
        </w:tc>
        <w:tc>
          <w:tcPr>
            <w:tcW w:w="62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I22a</w:t>
            </w:r>
          </w:p>
        </w:tc>
        <w:tc>
          <w:tcPr>
            <w:tcW w:w="629"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I22b</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I25a</w:t>
            </w:r>
          </w:p>
        </w:tc>
        <w:tc>
          <w:tcPr>
            <w:tcW w:w="501"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ascii="宋体" w:hAnsi="宋体"/>
                <w:sz w:val="18"/>
                <w:szCs w:val="18"/>
                <w:highlight w:val="none"/>
                <w:lang w:bidi="ar"/>
              </w:rPr>
              <w:t>I32a</w:t>
            </w:r>
          </w:p>
        </w:tc>
        <w:tc>
          <w:tcPr>
            <w:tcW w:w="636"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hint="eastAsia" w:ascii="宋体" w:hAnsi="宋体"/>
                <w:sz w:val="18"/>
                <w:szCs w:val="18"/>
                <w:highlight w:val="none"/>
                <w:lang w:bidi="ar"/>
              </w:rPr>
              <w:t>合计</w:t>
            </w:r>
          </w:p>
        </w:tc>
        <w:tc>
          <w:tcPr>
            <w:tcW w:w="510"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hint="eastAsia" w:ascii="宋体" w:hAnsi="宋体"/>
                <w:sz w:val="18"/>
                <w:szCs w:val="18"/>
                <w:highlight w:val="none"/>
                <w:lang w:bidi="ar"/>
              </w:rPr>
              <w:t>φ</w:t>
            </w:r>
            <w:r>
              <w:rPr>
                <w:rFonts w:ascii="宋体" w:hAnsi="宋体"/>
                <w:sz w:val="18"/>
                <w:szCs w:val="18"/>
                <w:highlight w:val="none"/>
                <w:lang w:bidi="ar"/>
              </w:rPr>
              <w:t xml:space="preserve">108 </w:t>
            </w:r>
            <w:r>
              <w:rPr>
                <w:rFonts w:hint="eastAsia" w:ascii="宋体" w:hAnsi="宋体"/>
                <w:sz w:val="18"/>
                <w:szCs w:val="18"/>
                <w:highlight w:val="none"/>
                <w:lang w:bidi="ar"/>
              </w:rPr>
              <w:t>×</w:t>
            </w:r>
            <w:r>
              <w:rPr>
                <w:rFonts w:ascii="宋体" w:hAnsi="宋体"/>
                <w:sz w:val="18"/>
                <w:szCs w:val="18"/>
                <w:highlight w:val="none"/>
                <w:lang w:bidi="ar"/>
              </w:rPr>
              <w:t>6</w:t>
            </w:r>
          </w:p>
        </w:tc>
        <w:tc>
          <w:tcPr>
            <w:tcW w:w="578"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hint="eastAsia" w:ascii="宋体" w:hAnsi="宋体"/>
                <w:sz w:val="18"/>
                <w:szCs w:val="18"/>
                <w:highlight w:val="none"/>
                <w:lang w:bidi="ar"/>
              </w:rPr>
              <w:t>φ</w:t>
            </w:r>
            <w:r>
              <w:rPr>
                <w:rFonts w:ascii="宋体" w:hAnsi="宋体"/>
                <w:sz w:val="18"/>
                <w:szCs w:val="18"/>
                <w:highlight w:val="none"/>
                <w:lang w:bidi="ar"/>
              </w:rPr>
              <w:t>42×4</w:t>
            </w:r>
          </w:p>
        </w:tc>
        <w:tc>
          <w:tcPr>
            <w:tcW w:w="626"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rPr>
            </w:pPr>
            <w:r>
              <w:rPr>
                <w:rFonts w:hint="eastAsia" w:ascii="宋体" w:hAnsi="宋体"/>
                <w:sz w:val="18"/>
                <w:szCs w:val="18"/>
                <w:highlight w:val="none"/>
                <w:lang w:bidi="ar"/>
              </w:rPr>
              <w:t>合计</w:t>
            </w:r>
          </w:p>
        </w:tc>
        <w:tc>
          <w:tcPr>
            <w:tcW w:w="627" w:type="dxa"/>
            <w:vMerge w:val="continue"/>
            <w:tcBorders>
              <w:top w:val="single" w:color="auto" w:sz="4" w:space="0"/>
              <w:bottom w:val="single" w:color="auto" w:sz="4" w:space="0"/>
              <w:right w:val="single" w:color="auto" w:sz="4" w:space="0"/>
            </w:tcBorders>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r>
      <w:tr>
        <w:tblPrEx>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CellMar>
            <w:top w:w="0" w:type="dxa"/>
            <w:left w:w="0" w:type="dxa"/>
            <w:bottom w:w="0" w:type="dxa"/>
            <w:right w:w="0" w:type="dxa"/>
          </w:tblCellMar>
        </w:tblPrEx>
        <w:trPr>
          <w:trHeight w:val="1007" w:hRule="atLeast"/>
        </w:trPr>
        <w:tc>
          <w:tcPr>
            <w:tcW w:w="631" w:type="dxa"/>
            <w:tcBorders>
              <w:top w:val="single" w:color="auto" w:sz="4" w:space="0"/>
              <w:left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r>
              <w:rPr>
                <w:rFonts w:hint="eastAsia"/>
                <w:sz w:val="18"/>
                <w:szCs w:val="18"/>
                <w:highlight w:val="none"/>
              </w:rPr>
              <w:t>XGCG-A</w:t>
            </w:r>
          </w:p>
        </w:tc>
        <w:tc>
          <w:tcPr>
            <w:tcW w:w="909" w:type="dxa"/>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r>
              <w:rPr>
                <w:rFonts w:hint="eastAsia" w:ascii="宋体" w:hAnsi="宋体"/>
                <w:sz w:val="18"/>
                <w:szCs w:val="18"/>
                <w:highlight w:val="none"/>
              </w:rPr>
              <w:t>K0+000～K23+715</w:t>
            </w:r>
          </w:p>
        </w:tc>
        <w:tc>
          <w:tcPr>
            <w:tcW w:w="717" w:type="dxa"/>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r>
              <w:rPr>
                <w:rFonts w:hint="eastAsia"/>
                <w:sz w:val="18"/>
                <w:szCs w:val="18"/>
                <w:highlight w:val="none"/>
              </w:rPr>
              <w:t>一</w:t>
            </w:r>
            <w:r>
              <w:rPr>
                <w:rFonts w:hint="eastAsia" w:ascii="宋体" w:hAnsi="宋体"/>
                <w:sz w:val="18"/>
                <w:szCs w:val="18"/>
                <w:highlight w:val="none"/>
              </w:rPr>
              <w:t>～</w:t>
            </w:r>
            <w:r>
              <w:rPr>
                <w:rFonts w:hint="eastAsia"/>
                <w:sz w:val="18"/>
                <w:szCs w:val="18"/>
                <w:highlight w:val="none"/>
              </w:rPr>
              <w:t>三标段</w:t>
            </w:r>
          </w:p>
        </w:tc>
        <w:tc>
          <w:tcPr>
            <w:tcW w:w="36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9 </w:t>
            </w:r>
          </w:p>
        </w:tc>
        <w:tc>
          <w:tcPr>
            <w:tcW w:w="535"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11511 </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4669 </w:t>
            </w:r>
          </w:p>
        </w:tc>
        <w:tc>
          <w:tcPr>
            <w:tcW w:w="53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7733 </w:t>
            </w:r>
          </w:p>
        </w:tc>
        <w:tc>
          <w:tcPr>
            <w:tcW w:w="62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312 </w:t>
            </w:r>
          </w:p>
        </w:tc>
        <w:tc>
          <w:tcPr>
            <w:tcW w:w="629"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646 </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20 </w:t>
            </w:r>
          </w:p>
        </w:tc>
        <w:tc>
          <w:tcPr>
            <w:tcW w:w="501"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 xml:space="preserve">5 </w:t>
            </w:r>
          </w:p>
        </w:tc>
        <w:tc>
          <w:tcPr>
            <w:tcW w:w="636"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 xml:space="preserve">24905 </w:t>
            </w:r>
          </w:p>
        </w:tc>
        <w:tc>
          <w:tcPr>
            <w:tcW w:w="510"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 xml:space="preserve">537 </w:t>
            </w:r>
          </w:p>
        </w:tc>
        <w:tc>
          <w:tcPr>
            <w:tcW w:w="578"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 xml:space="preserve">8379 </w:t>
            </w:r>
          </w:p>
        </w:tc>
        <w:tc>
          <w:tcPr>
            <w:tcW w:w="626"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r>
              <w:rPr>
                <w:rFonts w:hint="eastAsia" w:ascii="宋体" w:hAnsi="宋体" w:cs="宋体"/>
                <w:kern w:val="0"/>
                <w:sz w:val="18"/>
                <w:szCs w:val="18"/>
                <w:highlight w:val="none"/>
                <w:lang w:bidi="ar"/>
              </w:rPr>
              <w:t xml:space="preserve">8916 </w:t>
            </w:r>
          </w:p>
        </w:tc>
        <w:tc>
          <w:tcPr>
            <w:tcW w:w="627" w:type="dxa"/>
            <w:vMerge w:val="restart"/>
            <w:tcBorders>
              <w:top w:val="single" w:color="auto" w:sz="4" w:space="0"/>
              <w:bottom w:val="single" w:color="auto" w:sz="4" w:space="0"/>
              <w:right w:val="single" w:color="auto" w:sz="4" w:space="0"/>
            </w:tcBorders>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r>
              <w:rPr>
                <w:rFonts w:hint="eastAsia"/>
                <w:sz w:val="18"/>
                <w:szCs w:val="18"/>
                <w:highlight w:val="none"/>
              </w:rPr>
              <w:t>对应施工标段沿线工地、仓库，施工现场</w:t>
            </w:r>
          </w:p>
        </w:tc>
      </w:tr>
      <w:tr>
        <w:tblPrEx>
          <w:tblBorders>
            <w:top w:val="thinThickSmallGap" w:color="auto" w:sz="12" w:space="0"/>
            <w:left w:val="thinThickSmallGap" w:color="auto" w:sz="12" w:space="0"/>
            <w:bottom w:val="thinThickSmallGap" w:color="auto" w:sz="12" w:space="0"/>
            <w:right w:val="thinThickSmallGap" w:color="auto" w:sz="12" w:space="0"/>
            <w:insideH w:val="none" w:color="auto" w:sz="0" w:space="0"/>
            <w:insideV w:val="single" w:color="auto" w:sz="4" w:space="0"/>
          </w:tblBorders>
          <w:tblCellMar>
            <w:top w:w="0" w:type="dxa"/>
            <w:left w:w="0" w:type="dxa"/>
            <w:bottom w:w="0" w:type="dxa"/>
            <w:right w:w="0" w:type="dxa"/>
          </w:tblCellMar>
        </w:tblPrEx>
        <w:trPr>
          <w:trHeight w:val="1019" w:hRule="atLeast"/>
        </w:trPr>
        <w:tc>
          <w:tcPr>
            <w:tcW w:w="631" w:type="dxa"/>
            <w:tcBorders>
              <w:top w:val="single" w:color="auto" w:sz="4" w:space="0"/>
              <w:left w:val="single" w:color="auto" w:sz="4" w:space="0"/>
              <w:bottom w:val="single" w:color="auto" w:sz="4" w:space="0"/>
            </w:tcBorders>
            <w:tcMar>
              <w:top w:w="6" w:type="dxa"/>
              <w:left w:w="6" w:type="dxa"/>
              <w:right w:w="6" w:type="dxa"/>
            </w:tcMar>
            <w:vAlign w:val="center"/>
          </w:tcPr>
          <w:p>
            <w:pPr>
              <w:widowControl/>
              <w:jc w:val="center"/>
              <w:rPr>
                <w:rFonts w:ascii="宋体" w:hAnsi="宋体" w:cs="宋体"/>
                <w:kern w:val="0"/>
                <w:sz w:val="18"/>
                <w:szCs w:val="18"/>
                <w:highlight w:val="none"/>
                <w:lang w:bidi="ar"/>
              </w:rPr>
            </w:pPr>
            <w:r>
              <w:rPr>
                <w:rFonts w:hint="eastAsia"/>
                <w:sz w:val="18"/>
                <w:szCs w:val="18"/>
                <w:highlight w:val="none"/>
              </w:rPr>
              <w:t>XGCG-B</w:t>
            </w:r>
          </w:p>
        </w:tc>
        <w:tc>
          <w:tcPr>
            <w:tcW w:w="909" w:type="dxa"/>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r>
              <w:rPr>
                <w:rFonts w:hint="eastAsia" w:ascii="宋体" w:hAnsi="宋体"/>
                <w:sz w:val="18"/>
                <w:szCs w:val="18"/>
                <w:highlight w:val="none"/>
              </w:rPr>
              <w:t>K23+715～K54+620</w:t>
            </w:r>
          </w:p>
        </w:tc>
        <w:tc>
          <w:tcPr>
            <w:tcW w:w="717" w:type="dxa"/>
            <w:tcBorders>
              <w:top w:val="single" w:color="auto" w:sz="4" w:space="0"/>
              <w:bottom w:val="single" w:color="auto" w:sz="4" w:space="0"/>
            </w:tcBorders>
            <w:tcMar>
              <w:top w:w="6" w:type="dxa"/>
              <w:left w:w="6" w:type="dxa"/>
              <w:right w:w="6" w:type="dxa"/>
            </w:tcMar>
            <w:vAlign w:val="center"/>
          </w:tcPr>
          <w:p>
            <w:pPr>
              <w:jc w:val="center"/>
              <w:rPr>
                <w:rFonts w:ascii="宋体" w:hAnsi="宋体" w:cs="宋体"/>
                <w:kern w:val="0"/>
                <w:sz w:val="18"/>
                <w:szCs w:val="18"/>
                <w:highlight w:val="none"/>
                <w:lang w:bidi="ar"/>
              </w:rPr>
            </w:pPr>
            <w:r>
              <w:rPr>
                <w:rFonts w:hint="eastAsia"/>
                <w:sz w:val="18"/>
                <w:szCs w:val="18"/>
                <w:highlight w:val="none"/>
              </w:rPr>
              <w:t>四</w:t>
            </w:r>
            <w:r>
              <w:rPr>
                <w:rFonts w:hint="eastAsia" w:ascii="宋体" w:hAnsi="宋体"/>
                <w:sz w:val="18"/>
                <w:szCs w:val="18"/>
                <w:highlight w:val="none"/>
              </w:rPr>
              <w:t>～八</w:t>
            </w:r>
            <w:r>
              <w:rPr>
                <w:rFonts w:hint="eastAsia"/>
                <w:sz w:val="18"/>
                <w:szCs w:val="18"/>
                <w:highlight w:val="none"/>
              </w:rPr>
              <w:t>标段</w:t>
            </w:r>
          </w:p>
        </w:tc>
        <w:tc>
          <w:tcPr>
            <w:tcW w:w="36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74</w:t>
            </w:r>
          </w:p>
        </w:tc>
        <w:tc>
          <w:tcPr>
            <w:tcW w:w="535"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17745</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6148</w:t>
            </w:r>
          </w:p>
        </w:tc>
        <w:tc>
          <w:tcPr>
            <w:tcW w:w="534"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3680</w:t>
            </w:r>
          </w:p>
        </w:tc>
        <w:tc>
          <w:tcPr>
            <w:tcW w:w="62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444</w:t>
            </w:r>
          </w:p>
        </w:tc>
        <w:tc>
          <w:tcPr>
            <w:tcW w:w="629"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922</w:t>
            </w:r>
          </w:p>
        </w:tc>
        <w:tc>
          <w:tcPr>
            <w:tcW w:w="542"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52</w:t>
            </w:r>
          </w:p>
        </w:tc>
        <w:tc>
          <w:tcPr>
            <w:tcW w:w="501" w:type="dxa"/>
            <w:tcBorders>
              <w:top w:val="single" w:color="auto" w:sz="4" w:space="0"/>
              <w:bottom w:val="single" w:color="auto" w:sz="4" w:space="0"/>
            </w:tcBorders>
            <w:tcMar>
              <w:top w:w="6" w:type="dxa"/>
              <w:left w:w="6" w:type="dxa"/>
              <w:right w:w="6" w:type="dxa"/>
            </w:tcMar>
            <w:vAlign w:val="center"/>
          </w:tcPr>
          <w:p>
            <w:pPr>
              <w:widowControl/>
              <w:jc w:val="center"/>
              <w:rPr>
                <w:rFonts w:ascii="宋体" w:hAnsi="宋体"/>
                <w:sz w:val="18"/>
                <w:szCs w:val="18"/>
                <w:highlight w:val="none"/>
                <w:lang w:bidi="ar"/>
              </w:rPr>
            </w:pPr>
            <w:r>
              <w:rPr>
                <w:rFonts w:ascii="宋体" w:hAnsi="宋体"/>
                <w:sz w:val="18"/>
                <w:szCs w:val="18"/>
                <w:highlight w:val="none"/>
                <w:lang w:bidi="ar"/>
              </w:rPr>
              <w:t>14</w:t>
            </w:r>
          </w:p>
        </w:tc>
        <w:tc>
          <w:tcPr>
            <w:tcW w:w="636"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29079</w:t>
            </w:r>
          </w:p>
        </w:tc>
        <w:tc>
          <w:tcPr>
            <w:tcW w:w="510"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705</w:t>
            </w:r>
          </w:p>
        </w:tc>
        <w:tc>
          <w:tcPr>
            <w:tcW w:w="578"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sz w:val="18"/>
                <w:szCs w:val="18"/>
                <w:highlight w:val="none"/>
                <w:lang w:bidi="ar"/>
              </w:rPr>
            </w:pPr>
            <w:r>
              <w:rPr>
                <w:rFonts w:hint="eastAsia" w:ascii="宋体" w:hAnsi="宋体" w:cs="宋体"/>
                <w:kern w:val="0"/>
                <w:sz w:val="18"/>
                <w:szCs w:val="18"/>
                <w:highlight w:val="none"/>
                <w:lang w:bidi="ar"/>
              </w:rPr>
              <w:t>9308</w:t>
            </w:r>
          </w:p>
        </w:tc>
        <w:tc>
          <w:tcPr>
            <w:tcW w:w="626" w:type="dxa"/>
            <w:tcBorders>
              <w:top w:val="single" w:color="auto" w:sz="4" w:space="0"/>
              <w:bottom w:val="single" w:color="auto" w:sz="4" w:space="0"/>
            </w:tcBorders>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r>
              <w:rPr>
                <w:rFonts w:hint="eastAsia" w:ascii="宋体" w:hAnsi="宋体" w:cs="宋体"/>
                <w:kern w:val="0"/>
                <w:sz w:val="18"/>
                <w:szCs w:val="18"/>
                <w:highlight w:val="none"/>
                <w:lang w:bidi="ar"/>
              </w:rPr>
              <w:t>10013</w:t>
            </w:r>
          </w:p>
        </w:tc>
        <w:tc>
          <w:tcPr>
            <w:tcW w:w="627" w:type="dxa"/>
            <w:vMerge w:val="continue"/>
            <w:tcBorders>
              <w:top w:val="single" w:color="auto" w:sz="4" w:space="0"/>
              <w:bottom w:val="single" w:color="auto" w:sz="4" w:space="0"/>
              <w:right w:val="single" w:color="auto" w:sz="4" w:space="0"/>
            </w:tcBorders>
            <w:tcMar>
              <w:top w:w="6" w:type="dxa"/>
              <w:left w:w="6" w:type="dxa"/>
              <w:right w:w="6" w:type="dxa"/>
            </w:tcMar>
            <w:vAlign w:val="center"/>
          </w:tcPr>
          <w:p>
            <w:pPr>
              <w:widowControl/>
              <w:jc w:val="center"/>
              <w:textAlignment w:val="center"/>
              <w:rPr>
                <w:rFonts w:ascii="宋体" w:hAnsi="宋体" w:cs="宋体"/>
                <w:kern w:val="0"/>
                <w:sz w:val="18"/>
                <w:szCs w:val="18"/>
                <w:highlight w:val="none"/>
                <w:lang w:bidi="ar"/>
              </w:rPr>
            </w:pPr>
          </w:p>
        </w:tc>
      </w:tr>
    </w:tbl>
    <w:p>
      <w:pPr>
        <w:topLinePunct/>
        <w:spacing w:line="300" w:lineRule="auto"/>
        <w:ind w:firstLine="420" w:firstLineChars="200"/>
        <w:rPr>
          <w:rFonts w:hint="eastAsia" w:eastAsia="黑体"/>
          <w:bCs/>
          <w:highlight w:val="none"/>
        </w:rPr>
      </w:pPr>
      <w:r>
        <w:rPr>
          <w:rFonts w:hint="eastAsia" w:ascii="黑体" w:hAnsi="黑体" w:eastAsia="黑体"/>
          <w:highlight w:val="none"/>
        </w:rPr>
        <w:t>注：上表内所列数量为设计估算数量，实际供货数量会有增减变化，最终以实际需求计划为准，桩号里程为暂定，具体范围根据实际施工情况调整，请各投标人综合考虑供货数量和桩号里程变化带来的风险。</w:t>
      </w:r>
    </w:p>
    <w:p>
      <w:pPr>
        <w:adjustRightInd w:val="0"/>
        <w:snapToGrid w:val="0"/>
        <w:spacing w:after="60" w:afterLines="25" w:line="300" w:lineRule="auto"/>
        <w:ind w:firstLine="480" w:firstLineChars="200"/>
        <w:rPr>
          <w:rFonts w:hint="eastAsia"/>
          <w:sz w:val="24"/>
          <w:highlight w:val="none"/>
        </w:rPr>
      </w:pPr>
      <w:r>
        <w:rPr>
          <w:rFonts w:hint="eastAsia"/>
          <w:sz w:val="24"/>
          <w:highlight w:val="none"/>
        </w:rPr>
        <w:t>2.6 本次建设项目型钢采购XGCG-A标段及钢筋采购GJCG-A、GJCG-B标段中标人在工地附近合建或租赁一个仓库，型钢采购XGCG-B标段及钢筋采购GJCG-C、GJCG-D标段中标人在工地附近合建或租赁一个仓库。仓库建设或租赁费用由各标段</w:t>
      </w:r>
      <w:r>
        <w:rPr>
          <w:rFonts w:hint="eastAsia"/>
          <w:sz w:val="24"/>
          <w:highlight w:val="none"/>
          <w:lang w:val="en-US" w:eastAsia="zh-CN"/>
        </w:rPr>
        <w:t>中标人按</w:t>
      </w:r>
      <w:r>
        <w:rPr>
          <w:rFonts w:hint="eastAsia"/>
          <w:sz w:val="24"/>
          <w:highlight w:val="none"/>
        </w:rPr>
        <w:t>中标</w:t>
      </w:r>
      <w:r>
        <w:rPr>
          <w:rFonts w:hint="eastAsia"/>
          <w:sz w:val="24"/>
          <w:highlight w:val="none"/>
          <w:lang w:val="en-US" w:eastAsia="zh-CN"/>
        </w:rPr>
        <w:t>价</w:t>
      </w:r>
      <w:r>
        <w:rPr>
          <w:rFonts w:hint="eastAsia"/>
          <w:sz w:val="24"/>
          <w:highlight w:val="none"/>
        </w:rPr>
        <w:t>比例承担。</w:t>
      </w:r>
    </w:p>
    <w:p>
      <w:pPr>
        <w:topLinePunct/>
        <w:spacing w:after="25" w:line="300" w:lineRule="auto"/>
        <w:ind w:firstLine="480" w:firstLineChars="200"/>
        <w:outlineLvl w:val="2"/>
        <w:rPr>
          <w:rFonts w:eastAsia="黑体"/>
          <w:bCs/>
          <w:sz w:val="24"/>
          <w:highlight w:val="none"/>
        </w:rPr>
      </w:pPr>
      <w:r>
        <w:rPr>
          <w:rFonts w:hint="eastAsia" w:eastAsia="黑体"/>
          <w:bCs/>
          <w:sz w:val="24"/>
          <w:highlight w:val="none"/>
        </w:rPr>
        <w:t>3</w:t>
      </w:r>
      <w:r>
        <w:rPr>
          <w:rFonts w:hint="eastAsia" w:ascii="黑体" w:hAnsi="黑体" w:eastAsia="黑体"/>
          <w:sz w:val="24"/>
          <w:highlight w:val="none"/>
        </w:rPr>
        <w:t>.</w:t>
      </w:r>
      <w:r>
        <w:rPr>
          <w:rFonts w:eastAsia="黑体"/>
          <w:bCs/>
          <w:sz w:val="24"/>
          <w:highlight w:val="none"/>
        </w:rPr>
        <w:t>投标人资格要求</w:t>
      </w:r>
    </w:p>
    <w:p>
      <w:pPr>
        <w:topLinePunct/>
        <w:spacing w:after="25" w:line="300" w:lineRule="auto"/>
        <w:ind w:firstLine="480" w:firstLineChars="200"/>
        <w:outlineLvl w:val="2"/>
        <w:rPr>
          <w:rFonts w:hint="eastAsia" w:ascii="宋体" w:hAnsi="宋体" w:cs="宋体"/>
          <w:bCs/>
          <w:sz w:val="24"/>
          <w:highlight w:val="none"/>
        </w:rPr>
      </w:pPr>
      <w:r>
        <w:rPr>
          <w:rFonts w:hint="eastAsia" w:ascii="宋体" w:hAnsi="宋体" w:cs="宋体"/>
          <w:bCs/>
          <w:sz w:val="24"/>
          <w:highlight w:val="none"/>
        </w:rPr>
        <w:t>3.1资质要求:</w:t>
      </w:r>
    </w:p>
    <w:p>
      <w:pPr>
        <w:adjustRightInd w:val="0"/>
        <w:snapToGrid w:val="0"/>
        <w:spacing w:after="25" w:line="300" w:lineRule="auto"/>
        <w:ind w:firstLine="480" w:firstLineChars="200"/>
        <w:rPr>
          <w:rFonts w:hint="eastAsia" w:ascii="宋体" w:hAnsi="宋体" w:cs="宋体"/>
          <w:sz w:val="24"/>
          <w:highlight w:val="none"/>
        </w:rPr>
      </w:pPr>
      <w:r>
        <w:rPr>
          <w:rFonts w:hint="eastAsia" w:ascii="宋体" w:hAnsi="宋体" w:cs="宋体"/>
          <w:sz w:val="24"/>
          <w:highlight w:val="none"/>
        </w:rPr>
        <w:t>(1)投标人如为生产商，应具备：</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a.具有独立法人资格，并持有有效的营业执照；</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b.具有有效的全国工业产品生产许可证；</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c.产品技术指标达到国家现行相关行业标准要求；</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d.具有国家认可的质量</w:t>
      </w:r>
      <w:r>
        <w:rPr>
          <w:rFonts w:ascii="宋体" w:hAnsi="宋体"/>
          <w:sz w:val="24"/>
          <w:highlight w:val="none"/>
        </w:rPr>
        <w:t>管理体系认证</w:t>
      </w:r>
      <w:r>
        <w:rPr>
          <w:rFonts w:hint="eastAsia" w:ascii="宋体" w:hAnsi="宋体"/>
          <w:sz w:val="24"/>
          <w:highlight w:val="none"/>
        </w:rPr>
        <w:t>证书；</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e.必须为一般纳税人。</w:t>
      </w:r>
    </w:p>
    <w:p>
      <w:pPr>
        <w:spacing w:after="25" w:line="300" w:lineRule="auto"/>
        <w:ind w:firstLine="480" w:firstLineChars="200"/>
        <w:rPr>
          <w:rFonts w:hint="eastAsia" w:ascii="宋体" w:hAnsi="宋体" w:cs="宋体"/>
          <w:sz w:val="24"/>
          <w:highlight w:val="none"/>
        </w:rPr>
      </w:pPr>
      <w:r>
        <w:rPr>
          <w:rFonts w:hint="eastAsia" w:ascii="宋体" w:hAnsi="宋体" w:cs="宋体"/>
          <w:sz w:val="24"/>
          <w:highlight w:val="none"/>
        </w:rPr>
        <w:t>(2)投标人如为授权代理商，应具备：</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a.代理品牌的型钢生产商条件满足上述(1)中要求；</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b.具有独立法人资格，并持有有效的营业执照；</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c.具有所代理品牌的生产商出具的针对本项</w:t>
      </w:r>
      <w:r>
        <w:rPr>
          <w:rFonts w:hint="eastAsia" w:ascii="宋体" w:hAnsi="宋体" w:cs="宋体"/>
          <w:sz w:val="24"/>
          <w:highlight w:val="none"/>
        </w:rPr>
        <w:t>目一个或者多个标段的唯一</w:t>
      </w:r>
      <w:r>
        <w:rPr>
          <w:rFonts w:hint="eastAsia" w:ascii="宋体" w:hAnsi="宋体"/>
          <w:sz w:val="24"/>
          <w:highlight w:val="none"/>
        </w:rPr>
        <w:t>授权代理证书；</w:t>
      </w:r>
    </w:p>
    <w:p>
      <w:pPr>
        <w:spacing w:after="25" w:line="300" w:lineRule="auto"/>
        <w:ind w:firstLine="480" w:firstLineChars="200"/>
        <w:rPr>
          <w:rFonts w:hint="eastAsia" w:ascii="宋体" w:hAnsi="宋体"/>
          <w:sz w:val="24"/>
          <w:highlight w:val="none"/>
        </w:rPr>
      </w:pPr>
      <w:r>
        <w:rPr>
          <w:rFonts w:hint="eastAsia" w:ascii="宋体" w:hAnsi="宋体"/>
          <w:sz w:val="24"/>
          <w:highlight w:val="none"/>
        </w:rPr>
        <w:t>d.必须为一般纳税人。</w:t>
      </w:r>
    </w:p>
    <w:p>
      <w:pPr>
        <w:spacing w:after="25" w:line="300" w:lineRule="auto"/>
        <w:ind w:firstLine="480" w:firstLineChars="200"/>
        <w:rPr>
          <w:rFonts w:hint="eastAsia" w:ascii="宋体" w:hAnsi="宋体" w:cs="宋体"/>
          <w:sz w:val="24"/>
          <w:highlight w:val="none"/>
        </w:rPr>
      </w:pPr>
      <w:r>
        <w:rPr>
          <w:rFonts w:hint="eastAsia" w:ascii="宋体" w:hAnsi="宋体" w:cs="宋体"/>
          <w:sz w:val="24"/>
          <w:highlight w:val="none"/>
        </w:rPr>
        <w:t>3.2 财务要求</w:t>
      </w:r>
    </w:p>
    <w:p>
      <w:pPr>
        <w:spacing w:after="60" w:afterLines="25" w:line="300" w:lineRule="auto"/>
        <w:ind w:firstLine="480" w:firstLineChars="200"/>
        <w:rPr>
          <w:rFonts w:ascii="宋体" w:hAnsi="宋体"/>
          <w:sz w:val="24"/>
          <w:highlight w:val="none"/>
        </w:rPr>
      </w:pPr>
      <w:r>
        <w:rPr>
          <w:rFonts w:hint="eastAsia" w:ascii="宋体" w:hAnsi="宋体"/>
          <w:sz w:val="24"/>
          <w:highlight w:val="none"/>
        </w:rPr>
        <w:t>（1）投标人如为生产厂家：</w:t>
      </w:r>
    </w:p>
    <w:p>
      <w:pPr>
        <w:spacing w:after="60" w:afterLines="25" w:line="300" w:lineRule="auto"/>
        <w:ind w:firstLine="480" w:firstLineChars="200"/>
        <w:rPr>
          <w:rFonts w:ascii="宋体" w:hAnsi="宋体"/>
          <w:sz w:val="24"/>
          <w:highlight w:val="none"/>
        </w:rPr>
      </w:pPr>
      <w:r>
        <w:rPr>
          <w:rFonts w:hint="eastAsia" w:ascii="宋体" w:hAnsi="宋体"/>
          <w:sz w:val="24"/>
          <w:highlight w:val="none"/>
        </w:rPr>
        <w:t>a</w:t>
      </w:r>
      <w:r>
        <w:rPr>
          <w:rFonts w:ascii="宋体" w:hAnsi="宋体"/>
          <w:sz w:val="24"/>
          <w:highlight w:val="none"/>
        </w:rPr>
        <w:t>.注册资</w:t>
      </w:r>
      <w:r>
        <w:rPr>
          <w:rFonts w:hint="eastAsia" w:ascii="宋体" w:hAnsi="宋体"/>
          <w:sz w:val="24"/>
          <w:highlight w:val="none"/>
        </w:rPr>
        <w:t>本</w:t>
      </w:r>
      <w:r>
        <w:rPr>
          <w:rFonts w:ascii="宋体" w:hAnsi="宋体"/>
          <w:sz w:val="24"/>
          <w:highlight w:val="none"/>
        </w:rPr>
        <w:t>不低于人民币1</w:t>
      </w:r>
      <w:r>
        <w:rPr>
          <w:rFonts w:hint="eastAsia" w:ascii="宋体" w:hAnsi="宋体"/>
          <w:sz w:val="24"/>
          <w:highlight w:val="none"/>
        </w:rPr>
        <w:t>00</w:t>
      </w:r>
      <w:r>
        <w:rPr>
          <w:rFonts w:ascii="宋体" w:hAnsi="宋体"/>
          <w:sz w:val="24"/>
          <w:highlight w:val="none"/>
        </w:rPr>
        <w:t>00万元，以营业执照注明的注册资本为准；</w:t>
      </w:r>
    </w:p>
    <w:p>
      <w:pPr>
        <w:spacing w:after="60" w:afterLines="25" w:line="300" w:lineRule="auto"/>
        <w:ind w:firstLine="480" w:firstLineChars="200"/>
        <w:rPr>
          <w:rFonts w:ascii="宋体" w:hAnsi="宋体"/>
          <w:sz w:val="24"/>
          <w:highlight w:val="none"/>
        </w:rPr>
      </w:pPr>
      <w:r>
        <w:rPr>
          <w:rFonts w:hint="eastAsia" w:ascii="宋体" w:hAnsi="宋体"/>
          <w:sz w:val="24"/>
          <w:highlight w:val="none"/>
        </w:rPr>
        <w:t>b.提供近三年经会计师事务所或审计机构审计的财务报表。</w:t>
      </w:r>
    </w:p>
    <w:p>
      <w:pPr>
        <w:spacing w:after="60" w:afterLines="25" w:line="300" w:lineRule="auto"/>
        <w:ind w:firstLine="480" w:firstLineChars="200"/>
        <w:rPr>
          <w:rFonts w:hint="eastAsia" w:ascii="宋体" w:hAnsi="宋体"/>
          <w:sz w:val="24"/>
          <w:highlight w:val="none"/>
        </w:rPr>
      </w:pPr>
      <w:r>
        <w:rPr>
          <w:rFonts w:hint="eastAsia" w:ascii="宋体" w:hAnsi="宋体"/>
          <w:sz w:val="24"/>
          <w:highlight w:val="none"/>
        </w:rPr>
        <w:t>（2）投标人如为授权代理商：</w:t>
      </w:r>
    </w:p>
    <w:p>
      <w:pPr>
        <w:spacing w:after="60" w:afterLines="25" w:line="300" w:lineRule="auto"/>
        <w:ind w:firstLine="480" w:firstLineChars="200"/>
        <w:rPr>
          <w:rFonts w:ascii="宋体" w:hAnsi="宋体"/>
          <w:sz w:val="24"/>
          <w:highlight w:val="none"/>
        </w:rPr>
      </w:pPr>
      <w:r>
        <w:rPr>
          <w:rFonts w:hint="eastAsia" w:ascii="宋体" w:hAnsi="宋体"/>
          <w:sz w:val="24"/>
          <w:highlight w:val="none"/>
        </w:rPr>
        <w:t>a</w:t>
      </w:r>
      <w:r>
        <w:rPr>
          <w:rFonts w:ascii="宋体" w:hAnsi="宋体"/>
          <w:sz w:val="24"/>
          <w:highlight w:val="none"/>
        </w:rPr>
        <w:t>.注册资</w:t>
      </w:r>
      <w:r>
        <w:rPr>
          <w:rFonts w:hint="eastAsia" w:ascii="宋体" w:hAnsi="宋体"/>
          <w:sz w:val="24"/>
          <w:highlight w:val="none"/>
        </w:rPr>
        <w:t>本</w:t>
      </w:r>
      <w:r>
        <w:rPr>
          <w:rFonts w:ascii="宋体" w:hAnsi="宋体"/>
          <w:sz w:val="24"/>
          <w:highlight w:val="none"/>
        </w:rPr>
        <w:t>不低于人民币</w:t>
      </w:r>
      <w:r>
        <w:rPr>
          <w:rFonts w:hint="eastAsia" w:ascii="宋体" w:hAnsi="宋体"/>
          <w:sz w:val="24"/>
          <w:highlight w:val="none"/>
          <w:lang w:val="en-US" w:eastAsia="zh-CN"/>
        </w:rPr>
        <w:t>1</w:t>
      </w:r>
      <w:r>
        <w:rPr>
          <w:rFonts w:hint="eastAsia" w:ascii="宋体" w:hAnsi="宋体"/>
          <w:sz w:val="24"/>
          <w:highlight w:val="none"/>
        </w:rPr>
        <w:t>0</w:t>
      </w:r>
      <w:r>
        <w:rPr>
          <w:rFonts w:ascii="宋体" w:hAnsi="宋体"/>
          <w:sz w:val="24"/>
          <w:highlight w:val="none"/>
        </w:rPr>
        <w:t>00万元，以营业执照注明的注册资本为准；</w:t>
      </w:r>
    </w:p>
    <w:p>
      <w:pPr>
        <w:spacing w:after="25" w:line="300" w:lineRule="auto"/>
        <w:ind w:firstLine="480" w:firstLineChars="200"/>
        <w:rPr>
          <w:rFonts w:ascii="宋体" w:hAnsi="宋体"/>
          <w:sz w:val="24"/>
          <w:highlight w:val="none"/>
        </w:rPr>
      </w:pPr>
      <w:r>
        <w:rPr>
          <w:rFonts w:hint="eastAsia" w:ascii="宋体" w:hAnsi="宋体"/>
          <w:sz w:val="24"/>
          <w:highlight w:val="none"/>
        </w:rPr>
        <w:t>b</w:t>
      </w:r>
      <w:r>
        <w:rPr>
          <w:rFonts w:ascii="宋体" w:hAnsi="宋体"/>
          <w:sz w:val="24"/>
          <w:highlight w:val="none"/>
        </w:rPr>
        <w:t>.投标人提供近三年经会计师事务所或审计机构审计的</w:t>
      </w:r>
      <w:r>
        <w:rPr>
          <w:rFonts w:hint="eastAsia" w:ascii="宋体" w:hAnsi="宋体"/>
          <w:sz w:val="24"/>
          <w:highlight w:val="none"/>
        </w:rPr>
        <w:t>财务报表</w:t>
      </w:r>
      <w:r>
        <w:rPr>
          <w:rFonts w:ascii="宋体" w:hAnsi="宋体"/>
          <w:sz w:val="24"/>
          <w:highlight w:val="none"/>
        </w:rPr>
        <w:t>，且2021年</w:t>
      </w:r>
      <w:r>
        <w:rPr>
          <w:rFonts w:hint="eastAsia" w:ascii="宋体" w:hAnsi="宋体"/>
          <w:sz w:val="24"/>
          <w:highlight w:val="none"/>
        </w:rPr>
        <w:t>末</w:t>
      </w:r>
      <w:r>
        <w:rPr>
          <w:rFonts w:ascii="宋体" w:hAnsi="宋体"/>
          <w:sz w:val="24"/>
          <w:highlight w:val="none"/>
        </w:rPr>
        <w:t>营运资金（流动资产-流动负债）不低于</w:t>
      </w:r>
      <w:r>
        <w:rPr>
          <w:rFonts w:hint="eastAsia" w:ascii="宋体" w:hAnsi="宋体"/>
          <w:sz w:val="24"/>
          <w:highlight w:val="none"/>
        </w:rPr>
        <w:t>1</w:t>
      </w:r>
      <w:r>
        <w:rPr>
          <w:rFonts w:ascii="宋体" w:hAnsi="宋体"/>
          <w:sz w:val="24"/>
          <w:highlight w:val="none"/>
        </w:rPr>
        <w:t>500万元。</w:t>
      </w:r>
    </w:p>
    <w:p>
      <w:pPr>
        <w:spacing w:after="25" w:line="300" w:lineRule="auto"/>
        <w:ind w:firstLine="480" w:firstLineChars="200"/>
        <w:rPr>
          <w:rFonts w:hint="eastAsia" w:ascii="宋体" w:hAnsi="宋体" w:cs="宋体"/>
          <w:sz w:val="24"/>
          <w:highlight w:val="none"/>
        </w:rPr>
      </w:pPr>
      <w:r>
        <w:rPr>
          <w:rFonts w:hint="eastAsia" w:ascii="宋体" w:hAnsi="宋体" w:cs="宋体"/>
          <w:sz w:val="24"/>
          <w:highlight w:val="none"/>
        </w:rPr>
        <w:t>3.3供货业绩要求</w:t>
      </w:r>
    </w:p>
    <w:p>
      <w:pPr>
        <w:topLinePunct/>
        <w:spacing w:after="60" w:afterLines="25" w:line="300" w:lineRule="auto"/>
        <w:ind w:firstLine="480" w:firstLineChars="200"/>
        <w:outlineLvl w:val="2"/>
        <w:rPr>
          <w:rFonts w:hint="eastAsia" w:ascii="黑体" w:hAnsi="黑体" w:eastAsia="黑体"/>
          <w:sz w:val="24"/>
          <w:highlight w:val="none"/>
        </w:rPr>
      </w:pPr>
      <w:r>
        <w:rPr>
          <w:rFonts w:hint="eastAsia" w:ascii="宋体" w:hAnsi="宋体" w:cs="宋体"/>
          <w:sz w:val="24"/>
          <w:highlight w:val="none"/>
        </w:rPr>
        <w:t>投标人2017年1月1日至今</w:t>
      </w:r>
      <w:r>
        <w:rPr>
          <w:rFonts w:hint="eastAsia" w:ascii="宋体" w:hAnsi="宋体" w:cs="宋体"/>
          <w:b w:val="0"/>
          <w:bCs w:val="0"/>
          <w:sz w:val="24"/>
          <w:highlight w:val="none"/>
        </w:rPr>
        <w:t>完成过</w:t>
      </w:r>
      <w:r>
        <w:rPr>
          <w:rFonts w:hint="eastAsia" w:ascii="宋体" w:hAnsi="宋体" w:cs="宋体"/>
          <w:sz w:val="24"/>
          <w:highlight w:val="none"/>
        </w:rPr>
        <w:t>2个及以上高速公路、高铁工程或大型水利水电工程型钢供货项目，且单个业绩供货量不低于1000吨。</w:t>
      </w:r>
    </w:p>
    <w:p>
      <w:pPr>
        <w:topLinePunct/>
        <w:spacing w:after="60" w:afterLines="25" w:line="300" w:lineRule="auto"/>
        <w:ind w:firstLine="480" w:firstLineChars="200"/>
        <w:outlineLvl w:val="2"/>
        <w:rPr>
          <w:rFonts w:hint="eastAsia" w:ascii="宋体" w:hAnsi="宋体" w:cs="宋体"/>
          <w:sz w:val="24"/>
          <w:highlight w:val="none"/>
        </w:rPr>
      </w:pPr>
      <w:bookmarkStart w:id="12" w:name="_Hlk5178686"/>
      <w:r>
        <w:rPr>
          <w:rFonts w:hint="eastAsia" w:ascii="黑体" w:hAnsi="黑体" w:eastAsia="黑体"/>
          <w:sz w:val="24"/>
          <w:highlight w:val="none"/>
        </w:rPr>
        <w:t>3.4</w:t>
      </w:r>
      <w:r>
        <w:rPr>
          <w:rFonts w:hint="eastAsia" w:ascii="宋体" w:hAnsi="宋体" w:cs="宋体"/>
          <w:sz w:val="24"/>
          <w:highlight w:val="none"/>
        </w:rPr>
        <w:t>同一生产厂家仅能委托一个代理商参加同一标段的投标，同一生产厂家及其授权的代理商不能同时参与同一标段投标，同一代理商仅能代理唯一生产厂家进行同一标段投标。否则，其投标被否决。若投标人所代理的工字钢和无缝钢管不为同一生产厂家，则投标人可同时代理这两类厂家对该标段进行投标，但必须是对该标段的唯一授权</w:t>
      </w:r>
      <w:r>
        <w:rPr>
          <w:rFonts w:hint="eastAsia" w:ascii="宋体" w:hAnsi="宋体" w:cs="宋体"/>
          <w:sz w:val="24"/>
          <w:highlight w:val="none"/>
          <w:lang w:eastAsia="zh-CN"/>
        </w:rPr>
        <w:t>。</w:t>
      </w:r>
      <w:r>
        <w:rPr>
          <w:rFonts w:hint="eastAsia" w:ascii="宋体" w:hAnsi="宋体" w:cs="宋体"/>
          <w:sz w:val="24"/>
          <w:highlight w:val="none"/>
        </w:rPr>
        <w:t>每个投标人在投标时必须提供一个备选辅助供应品牌（该品牌生产商须达到招标文件对生产商的资格要求），投标人投标时提供辅供品牌厂家愿意在本项目辅助供应的承诺书。</w:t>
      </w:r>
    </w:p>
    <w:p>
      <w:pPr>
        <w:topLinePunct/>
        <w:spacing w:after="60" w:afterLines="25" w:line="300" w:lineRule="auto"/>
        <w:ind w:firstLine="480" w:firstLineChars="200"/>
        <w:outlineLvl w:val="2"/>
        <w:rPr>
          <w:rFonts w:ascii="宋体" w:hAnsi="宋体" w:cs="宋体"/>
          <w:sz w:val="24"/>
          <w:highlight w:val="none"/>
        </w:rPr>
      </w:pPr>
      <w:r>
        <w:rPr>
          <w:rFonts w:hint="eastAsia" w:ascii="宋体" w:hAnsi="宋体" w:cs="宋体"/>
          <w:sz w:val="24"/>
          <w:highlight w:val="none"/>
        </w:rPr>
        <w:t>3.5投标人还应在人员、信誉等方面具有相应的履约能力。</w:t>
      </w:r>
    </w:p>
    <w:p>
      <w:pPr>
        <w:topLinePunct/>
        <w:spacing w:after="60" w:afterLines="25" w:line="300" w:lineRule="auto"/>
        <w:ind w:firstLine="480" w:firstLineChars="200"/>
        <w:outlineLvl w:val="2"/>
        <w:rPr>
          <w:rFonts w:ascii="宋体" w:hAnsi="宋体" w:cs="宋体"/>
          <w:sz w:val="24"/>
          <w:highlight w:val="none"/>
        </w:rPr>
      </w:pPr>
      <w:r>
        <w:rPr>
          <w:rFonts w:hint="eastAsia" w:ascii="宋体" w:hAnsi="宋体" w:cs="宋体"/>
          <w:sz w:val="24"/>
          <w:highlight w:val="none"/>
        </w:rPr>
        <w:t>3.6投标人可对本次招标的</w:t>
      </w:r>
      <w:r>
        <w:rPr>
          <w:rFonts w:hint="eastAsia" w:ascii="宋体" w:hAnsi="宋体" w:cs="宋体"/>
          <w:b/>
          <w:bCs/>
          <w:sz w:val="24"/>
          <w:highlight w:val="none"/>
          <w:u w:val="single"/>
          <w:lang w:val="en-US" w:eastAsia="zh-CN"/>
        </w:rPr>
        <w:t>多</w:t>
      </w:r>
      <w:r>
        <w:rPr>
          <w:rFonts w:hint="eastAsia" w:ascii="宋体" w:hAnsi="宋体" w:cs="宋体"/>
          <w:b/>
          <w:bCs/>
          <w:sz w:val="24"/>
          <w:highlight w:val="none"/>
          <w:u w:val="single"/>
        </w:rPr>
        <w:t>个</w:t>
      </w:r>
      <w:r>
        <w:rPr>
          <w:rFonts w:hint="eastAsia" w:ascii="宋体" w:hAnsi="宋体" w:cs="宋体"/>
          <w:sz w:val="24"/>
          <w:highlight w:val="none"/>
        </w:rPr>
        <w:t>标段进行投标，但最多只能中</w:t>
      </w:r>
      <w:r>
        <w:rPr>
          <w:rFonts w:hint="eastAsia" w:ascii="宋体" w:hAnsi="宋体" w:cs="宋体"/>
          <w:sz w:val="24"/>
          <w:highlight w:val="none"/>
          <w:lang w:val="en-US" w:eastAsia="zh-CN"/>
        </w:rPr>
        <w:t>标本招标项目型钢采购的2</w:t>
      </w:r>
      <w:r>
        <w:rPr>
          <w:rFonts w:hint="eastAsia" w:ascii="宋体" w:hAnsi="宋体" w:cs="宋体"/>
          <w:sz w:val="24"/>
          <w:highlight w:val="none"/>
        </w:rPr>
        <w:t>个标段。</w:t>
      </w:r>
      <w:bookmarkStart w:id="13" w:name="_GoBack"/>
      <w:bookmarkEnd w:id="13"/>
    </w:p>
    <w:bookmarkEnd w:id="12"/>
    <w:p>
      <w:pPr>
        <w:spacing w:after="60" w:afterLines="25"/>
        <w:ind w:firstLine="480" w:firstLineChars="200"/>
        <w:rPr>
          <w:rFonts w:hint="eastAsia" w:ascii="宋体" w:hAnsi="宋体"/>
          <w:sz w:val="24"/>
          <w:highlight w:val="none"/>
        </w:rPr>
      </w:pPr>
      <w:r>
        <w:rPr>
          <w:rFonts w:hint="eastAsia" w:ascii="宋体" w:hAnsi="宋体"/>
          <w:sz w:val="24"/>
          <w:highlight w:val="none"/>
        </w:rPr>
        <w:t>3.7本次招标</w:t>
      </w:r>
      <w:r>
        <w:rPr>
          <w:rFonts w:hint="eastAsia" w:ascii="宋体" w:hAnsi="宋体"/>
          <w:b/>
          <w:sz w:val="24"/>
          <w:highlight w:val="none"/>
          <w:u w:val="single"/>
        </w:rPr>
        <w:t>不接受</w:t>
      </w:r>
      <w:r>
        <w:rPr>
          <w:rFonts w:hint="eastAsia" w:ascii="宋体" w:hAnsi="宋体"/>
          <w:sz w:val="24"/>
          <w:highlight w:val="none"/>
        </w:rPr>
        <w:t>联合体投标。</w:t>
      </w:r>
    </w:p>
    <w:p>
      <w:pPr>
        <w:topLinePunct/>
        <w:spacing w:after="25" w:line="300" w:lineRule="auto"/>
        <w:ind w:firstLine="480" w:firstLineChars="200"/>
        <w:rPr>
          <w:rFonts w:hint="eastAsia" w:ascii="宋体" w:hAnsi="宋体"/>
          <w:sz w:val="24"/>
          <w:highlight w:val="none"/>
        </w:rPr>
      </w:pPr>
      <w:r>
        <w:rPr>
          <w:rFonts w:hint="eastAsia" w:ascii="宋体" w:hAnsi="宋体"/>
          <w:sz w:val="24"/>
          <w:highlight w:val="none"/>
        </w:rPr>
        <w:t>3.8与招标人存在利害关系可能影响招标公正性的单位，不得参加投标。单位负责人为同一人或存在控股、管理关系的不同单位，不得参加同一标段投标，否则，相关投标均无效。</w:t>
      </w:r>
    </w:p>
    <w:p>
      <w:pPr>
        <w:topLinePunct/>
        <w:spacing w:after="25" w:line="300" w:lineRule="auto"/>
        <w:ind w:firstLine="480" w:firstLineChars="200"/>
        <w:rPr>
          <w:rFonts w:ascii="宋体" w:hAnsi="宋体"/>
          <w:sz w:val="24"/>
          <w:highlight w:val="none"/>
        </w:rPr>
      </w:pPr>
      <w:r>
        <w:rPr>
          <w:rFonts w:hint="eastAsia" w:ascii="宋体" w:hAnsi="宋体"/>
          <w:sz w:val="24"/>
          <w:highlight w:val="none"/>
        </w:rPr>
        <w:t>3.9在国家企业信用信息公示系统（http:// www.gsxt.gov.cn/）中未被列入严重违法失信企业名单、在“信用中国”网站（http://www.creditchina.gov.cn/）中未被列入失信被执行人名单。</w:t>
      </w:r>
    </w:p>
    <w:p>
      <w:pPr>
        <w:topLinePunct/>
        <w:spacing w:after="25" w:line="300" w:lineRule="auto"/>
        <w:ind w:firstLine="480" w:firstLineChars="200"/>
        <w:rPr>
          <w:rFonts w:hint="eastAsia" w:eastAsia="黑体"/>
          <w:bCs/>
          <w:sz w:val="24"/>
          <w:highlight w:val="none"/>
        </w:rPr>
      </w:pPr>
      <w:r>
        <w:rPr>
          <w:rFonts w:hint="eastAsia" w:eastAsia="黑体"/>
          <w:bCs/>
          <w:sz w:val="24"/>
          <w:highlight w:val="none"/>
        </w:rPr>
        <w:t>4</w:t>
      </w:r>
      <w:r>
        <w:rPr>
          <w:rFonts w:hint="eastAsia" w:ascii="黑体" w:hAnsi="黑体" w:eastAsia="黑体"/>
          <w:sz w:val="24"/>
          <w:highlight w:val="none"/>
        </w:rPr>
        <w:t>.</w:t>
      </w:r>
      <w:r>
        <w:rPr>
          <w:rFonts w:hint="eastAsia" w:eastAsia="黑体"/>
          <w:bCs/>
          <w:sz w:val="24"/>
          <w:highlight w:val="none"/>
        </w:rPr>
        <w:t>投标报名</w:t>
      </w:r>
    </w:p>
    <w:p>
      <w:pPr>
        <w:topLinePunct/>
        <w:spacing w:after="25" w:line="300" w:lineRule="auto"/>
        <w:ind w:firstLine="480" w:firstLineChars="200"/>
        <w:outlineLvl w:val="2"/>
        <w:rPr>
          <w:rFonts w:hint="eastAsia" w:ascii="宋体" w:hAnsi="宋体" w:cs="宋体"/>
          <w:bCs/>
          <w:sz w:val="24"/>
          <w:highlight w:val="none"/>
        </w:rPr>
      </w:pPr>
      <w:r>
        <w:rPr>
          <w:rFonts w:hint="eastAsia" w:ascii="宋体" w:hAnsi="宋体" w:cs="宋体"/>
          <w:bCs/>
          <w:sz w:val="24"/>
          <w:highlight w:val="none"/>
        </w:rPr>
        <w:t>4.1 凡有意参加投标者，请于2022年</w:t>
      </w:r>
      <w:r>
        <w:rPr>
          <w:rFonts w:hint="eastAsia" w:ascii="宋体" w:hAnsi="宋体" w:cs="宋体"/>
          <w:bCs/>
          <w:sz w:val="24"/>
          <w:highlight w:val="none"/>
          <w:lang w:val="en-US" w:eastAsia="zh-CN"/>
        </w:rPr>
        <w:t>9</w:t>
      </w:r>
      <w:r>
        <w:rPr>
          <w:rFonts w:hint="eastAsia" w:ascii="宋体" w:hAnsi="宋体" w:cs="宋体"/>
          <w:bCs/>
          <w:sz w:val="24"/>
          <w:highlight w:val="none"/>
        </w:rPr>
        <w:t>月</w:t>
      </w:r>
      <w:r>
        <w:rPr>
          <w:rFonts w:hint="eastAsia" w:ascii="宋体" w:hAnsi="宋体" w:cs="宋体"/>
          <w:bCs/>
          <w:sz w:val="24"/>
          <w:highlight w:val="none"/>
          <w:lang w:val="en-US" w:eastAsia="zh-CN"/>
        </w:rPr>
        <w:t>9</w:t>
      </w:r>
      <w:r>
        <w:rPr>
          <w:rFonts w:hint="eastAsia" w:ascii="宋体" w:hAnsi="宋体" w:cs="宋体"/>
          <w:bCs/>
          <w:sz w:val="24"/>
          <w:highlight w:val="none"/>
        </w:rPr>
        <w:t>日</w:t>
      </w:r>
      <w:r>
        <w:rPr>
          <w:rFonts w:hint="eastAsia" w:ascii="宋体" w:hAnsi="宋体" w:cs="宋体"/>
          <w:bCs/>
          <w:sz w:val="24"/>
          <w:highlight w:val="none"/>
          <w:lang w:val="en-US" w:eastAsia="zh-CN"/>
        </w:rPr>
        <w:t>16</w:t>
      </w:r>
      <w:r>
        <w:rPr>
          <w:rFonts w:hint="eastAsia" w:ascii="宋体" w:hAnsi="宋体" w:cs="宋体"/>
          <w:bCs/>
          <w:sz w:val="24"/>
          <w:highlight w:val="none"/>
        </w:rPr>
        <w:t>时00分至2022年</w:t>
      </w:r>
      <w:r>
        <w:rPr>
          <w:rFonts w:hint="eastAsia" w:ascii="宋体" w:hAnsi="宋体" w:cs="宋体"/>
          <w:bCs/>
          <w:sz w:val="24"/>
          <w:highlight w:val="none"/>
          <w:lang w:val="en-US" w:eastAsia="zh-CN"/>
        </w:rPr>
        <w:t>9</w:t>
      </w:r>
      <w:r>
        <w:rPr>
          <w:rFonts w:hint="eastAsia" w:ascii="宋体" w:hAnsi="宋体" w:cs="宋体"/>
          <w:bCs/>
          <w:sz w:val="24"/>
          <w:highlight w:val="none"/>
        </w:rPr>
        <w:t>月</w:t>
      </w:r>
      <w:r>
        <w:rPr>
          <w:rFonts w:hint="eastAsia" w:ascii="宋体" w:hAnsi="宋体" w:cs="宋体"/>
          <w:bCs/>
          <w:sz w:val="24"/>
          <w:highlight w:val="none"/>
          <w:lang w:val="en-US" w:eastAsia="zh-CN"/>
        </w:rPr>
        <w:t>19</w:t>
      </w:r>
      <w:r>
        <w:rPr>
          <w:rFonts w:hint="eastAsia" w:ascii="宋体" w:hAnsi="宋体" w:cs="宋体"/>
          <w:bCs/>
          <w:sz w:val="24"/>
          <w:highlight w:val="none"/>
        </w:rPr>
        <w:t>日23时59分（北京时间，下同），云南省公共资源交易信息网（网址：http://ggzy.yn.gov.cn）</w:t>
      </w:r>
      <w:r>
        <w:rPr>
          <w:rFonts w:hint="eastAsia" w:ascii="宋体" w:hAnsi="宋体" w:cs="宋体"/>
          <w:bCs/>
          <w:sz w:val="24"/>
          <w:highlight w:val="none"/>
          <w:lang w:eastAsia="zh-CN"/>
        </w:rPr>
        <w:t>，</w:t>
      </w:r>
      <w:r>
        <w:rPr>
          <w:rFonts w:hint="eastAsia" w:ascii="宋体" w:hAnsi="宋体" w:cs="宋体"/>
          <w:bCs/>
          <w:sz w:val="24"/>
          <w:highlight w:val="none"/>
        </w:rPr>
        <w:t>选择“昭通市”，凭企业数字证书（CA）在网上获取电子招标文件及其它招标资料，电子招标文件格式为*.BZBJ；未办理企业数字证书（CA）的企业需要按照云南省公共资源交易电子认证的要求，办理企业数字证书（CA）并完成注册通过后，获取招标文件。注：此为获取招标文件的唯一途径。</w:t>
      </w:r>
    </w:p>
    <w:p>
      <w:pPr>
        <w:spacing w:after="25" w:line="300" w:lineRule="auto"/>
        <w:ind w:firstLine="480" w:firstLineChars="200"/>
        <w:rPr>
          <w:rFonts w:eastAsia="黑体"/>
          <w:bCs/>
          <w:sz w:val="24"/>
          <w:highlight w:val="none"/>
        </w:rPr>
      </w:pPr>
      <w:r>
        <w:rPr>
          <w:rFonts w:hint="eastAsia" w:eastAsia="黑体"/>
          <w:bCs/>
          <w:sz w:val="24"/>
          <w:highlight w:val="none"/>
        </w:rPr>
        <w:t>5.</w:t>
      </w:r>
      <w:r>
        <w:rPr>
          <w:rFonts w:eastAsia="黑体"/>
          <w:bCs/>
          <w:sz w:val="24"/>
          <w:highlight w:val="none"/>
        </w:rPr>
        <w:t>投标文件的递交</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5.1 招标人将不组织进行工程现场踏勘，不召开投标预备会。</w:t>
      </w:r>
    </w:p>
    <w:p>
      <w:pPr>
        <w:spacing w:line="400" w:lineRule="atLeast"/>
        <w:ind w:left="239" w:leftChars="114" w:firstLine="240" w:firstLineChars="100"/>
        <w:rPr>
          <w:rFonts w:hint="eastAsia" w:ascii="宋体" w:hAnsi="宋体" w:cs="宋体"/>
          <w:color w:val="000000"/>
          <w:sz w:val="24"/>
          <w:highlight w:val="none"/>
        </w:rPr>
      </w:pPr>
      <w:r>
        <w:rPr>
          <w:rFonts w:hint="eastAsia" w:ascii="宋体" w:hAnsi="宋体" w:cs="宋体"/>
          <w:color w:val="000000"/>
          <w:sz w:val="24"/>
          <w:highlight w:val="none"/>
        </w:rPr>
        <w:t>5.2 投标文件递交的截止时间（投标截止时间，下同）为</w:t>
      </w:r>
      <w:r>
        <w:rPr>
          <w:rFonts w:hint="eastAsia" w:ascii="宋体" w:hAnsi="宋体" w:cs="宋体"/>
          <w:color w:val="000000"/>
          <w:sz w:val="24"/>
          <w:highlight w:val="none"/>
          <w:u w:val="single"/>
        </w:rPr>
        <w:t>2022</w:t>
      </w:r>
      <w:r>
        <w:rPr>
          <w:rFonts w:hint="eastAsia" w:ascii="宋体" w:hAnsi="宋体" w:cs="宋体"/>
          <w:color w:val="000000"/>
          <w:sz w:val="24"/>
          <w:highlight w:val="none"/>
        </w:rPr>
        <w:t>年</w:t>
      </w:r>
      <w:r>
        <w:rPr>
          <w:rFonts w:hint="eastAsia" w:ascii="宋体" w:hAnsi="宋体" w:cs="宋体"/>
          <w:color w:val="000000"/>
          <w:sz w:val="24"/>
          <w:highlight w:val="none"/>
          <w:u w:val="single"/>
          <w:lang w:val="en-US" w:eastAsia="zh-CN"/>
        </w:rPr>
        <w:t>10</w:t>
      </w:r>
      <w:r>
        <w:rPr>
          <w:rFonts w:hint="eastAsia" w:ascii="宋体" w:hAnsi="宋体" w:cs="宋体"/>
          <w:color w:val="000000"/>
          <w:sz w:val="24"/>
          <w:highlight w:val="none"/>
        </w:rPr>
        <w:t>月</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rPr>
        <w:t>日</w:t>
      </w:r>
      <w:r>
        <w:rPr>
          <w:rFonts w:hint="eastAsia" w:ascii="宋体" w:hAnsi="宋体" w:cs="宋体"/>
          <w:color w:val="000000"/>
          <w:sz w:val="24"/>
          <w:highlight w:val="none"/>
          <w:u w:val="single"/>
        </w:rPr>
        <w:t>09</w:t>
      </w:r>
      <w:r>
        <w:rPr>
          <w:rFonts w:hint="eastAsia" w:ascii="宋体" w:hAnsi="宋体" w:cs="宋体"/>
          <w:color w:val="000000"/>
          <w:sz w:val="24"/>
          <w:highlight w:val="none"/>
        </w:rPr>
        <w:t>时</w:t>
      </w:r>
      <w:r>
        <w:rPr>
          <w:rFonts w:hint="eastAsia" w:ascii="宋体" w:hAnsi="宋体" w:cs="宋体"/>
          <w:color w:val="000000"/>
          <w:sz w:val="24"/>
          <w:highlight w:val="none"/>
          <w:u w:val="single"/>
          <w:lang w:val="en-US" w:eastAsia="zh-CN"/>
        </w:rPr>
        <w:t>0</w:t>
      </w:r>
      <w:r>
        <w:rPr>
          <w:rFonts w:hint="eastAsia" w:ascii="宋体" w:hAnsi="宋体" w:cs="宋体"/>
          <w:color w:val="000000"/>
          <w:sz w:val="24"/>
          <w:highlight w:val="none"/>
          <w:u w:val="single"/>
        </w:rPr>
        <w:t>0</w:t>
      </w:r>
      <w:r>
        <w:rPr>
          <w:rFonts w:hint="eastAsia" w:ascii="宋体" w:hAnsi="宋体" w:cs="宋体"/>
          <w:color w:val="000000"/>
          <w:sz w:val="24"/>
          <w:highlight w:val="none"/>
        </w:rPr>
        <w:t>分。</w:t>
      </w:r>
    </w:p>
    <w:p>
      <w:pPr>
        <w:topLinePunct/>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 xml:space="preserve">网上递交网址：云南省公共资源交易信息网（网址：http://ggzy.yn.gov.cn），选择“昭通市”。投标人须在投标截止时间前完成所有投标文件的上传，网上确认电子签名，并打印“上传投标文件回执”（如因修改重新上传投标文件后，需再次确认并打印回执），投标截止时间前未完成投标文件传输的，视为撤回投标文件。 </w:t>
      </w:r>
    </w:p>
    <w:p>
      <w:pPr>
        <w:spacing w:line="400" w:lineRule="atLeast"/>
        <w:ind w:firstLine="480" w:firstLineChars="200"/>
        <w:rPr>
          <w:rFonts w:hint="eastAsia"/>
          <w:highlight w:val="none"/>
        </w:rPr>
      </w:pPr>
      <w:r>
        <w:rPr>
          <w:rFonts w:hint="eastAsia" w:ascii="宋体" w:hAnsi="宋体" w:cs="宋体"/>
          <w:color w:val="000000"/>
          <w:sz w:val="24"/>
          <w:highlight w:val="none"/>
        </w:rPr>
        <w:t>网上递交电子投标文件后，不再递交刻录投标文件的光盘。</w:t>
      </w:r>
      <w:r>
        <w:rPr>
          <w:rFonts w:hint="eastAsia"/>
          <w:b/>
          <w:bCs/>
          <w:highlight w:val="none"/>
          <w:lang w:val="en-US" w:eastAsia="zh-CN"/>
        </w:rPr>
        <w:t>因交易系统可能不稳定，建议各投标人在投标截止前2~3个工作日内完成投标保证金绑定。</w:t>
      </w:r>
    </w:p>
    <w:p>
      <w:pPr>
        <w:spacing w:line="400" w:lineRule="atLeast"/>
        <w:ind w:firstLine="480" w:firstLineChars="200"/>
        <w:rPr>
          <w:rFonts w:hint="eastAsia"/>
          <w:color w:val="000000"/>
          <w:sz w:val="24"/>
          <w:highlight w:val="none"/>
        </w:rPr>
      </w:pPr>
      <w:r>
        <w:rPr>
          <w:rFonts w:hint="eastAsia" w:ascii="宋体" w:hAnsi="宋体" w:cs="宋体"/>
          <w:color w:val="000000"/>
          <w:sz w:val="24"/>
          <w:highlight w:val="none"/>
        </w:rPr>
        <w:t>5.3</w:t>
      </w:r>
      <w:r>
        <w:rPr>
          <w:rFonts w:hint="eastAsia"/>
          <w:color w:val="000000"/>
          <w:sz w:val="24"/>
          <w:highlight w:val="none"/>
        </w:rPr>
        <w:t>开标方式：网上远程开标。</w:t>
      </w:r>
    </w:p>
    <w:p>
      <w:pPr>
        <w:spacing w:line="400" w:lineRule="atLeast"/>
        <w:ind w:firstLine="480" w:firstLineChars="200"/>
        <w:rPr>
          <w:rFonts w:hint="eastAsia"/>
          <w:color w:val="000000"/>
          <w:sz w:val="24"/>
          <w:highlight w:val="none"/>
        </w:rPr>
      </w:pPr>
      <w:r>
        <w:rPr>
          <w:rFonts w:hint="eastAsia"/>
          <w:color w:val="000000"/>
          <w:sz w:val="24"/>
          <w:highlight w:val="none"/>
        </w:rPr>
        <w:t>投标人登录云南省公共资源交易信息网（网址：http://ggzy.yn.gov.cn），选择“昭通市”，按照办事指南中《云南省公共资源交易电子化平台智能开标系统培训教材》（适用投标人和供应商），在截标时间前提前进入到“网上开标室”，根据网上远程解密、开标要求，在下达投标文件解密指令后</w:t>
      </w:r>
      <w:r>
        <w:rPr>
          <w:rFonts w:hint="eastAsia"/>
          <w:b/>
          <w:bCs/>
          <w:color w:val="000000"/>
          <w:sz w:val="24"/>
          <w:highlight w:val="none"/>
        </w:rPr>
        <w:t>30分钟</w:t>
      </w:r>
      <w:r>
        <w:rPr>
          <w:rFonts w:hint="eastAsia"/>
          <w:color w:val="000000"/>
          <w:sz w:val="24"/>
          <w:highlight w:val="none"/>
        </w:rPr>
        <w:t>内完成远程解密、查看开标一览表等相关操作。若投标人没有在规定时间完成以上相关操作，则视为其撤销投标文件，放弃投标。因开标系统、开标现场网络、设备及其他特殊原因，导致不能正常解密投标文件的，经核实和上报相关部门同意后，可再次下达网上解密指令来延长解密时间。开标过程中如有疑问，可以在线提出异议，由代理机构（招标人）回复。在规定的统一提出异议时间内不提出异议的，视为对开标结果无异议。</w:t>
      </w:r>
    </w:p>
    <w:p>
      <w:pPr>
        <w:spacing w:line="400" w:lineRule="atLeast"/>
        <w:ind w:firstLine="480" w:firstLineChars="200"/>
        <w:rPr>
          <w:rFonts w:hint="eastAsia"/>
          <w:color w:val="000000"/>
          <w:sz w:val="24"/>
          <w:highlight w:val="none"/>
        </w:rPr>
      </w:pPr>
      <w:r>
        <w:rPr>
          <w:rFonts w:hint="eastAsia"/>
          <w:color w:val="000000"/>
          <w:sz w:val="24"/>
          <w:highlight w:val="none"/>
        </w:rPr>
        <w:t>技术服务咨询：北京筑龙信息技术有限责任公司</w:t>
      </w:r>
    </w:p>
    <w:p>
      <w:pPr>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服务热线：0870-2221602，010-86483801。</w:t>
      </w:r>
    </w:p>
    <w:p>
      <w:pPr>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5.4特别说明</w:t>
      </w:r>
    </w:p>
    <w:p>
      <w:pPr>
        <w:spacing w:line="400" w:lineRule="atLeas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公共资源进场交易疫情防控工作实行业主单位负责制。招标人要会同代理机构建立防控处置和报告机制，严格落实防控工作要求，组织完成本项目各方参与主体检测体温，扫描“健康码”、“行程码”二维码，填报《公共资源交易进场人员健康申报表》《公共资源进场交易进场人员登记表》。</w:t>
      </w:r>
    </w:p>
    <w:p>
      <w:pPr>
        <w:snapToGrid w:val="0"/>
        <w:spacing w:after="25" w:line="300" w:lineRule="auto"/>
        <w:ind w:firstLine="480" w:firstLineChars="200"/>
        <w:rPr>
          <w:rFonts w:hint="eastAsia" w:ascii="宋体" w:hAnsi="宋体"/>
          <w:sz w:val="24"/>
          <w:highlight w:val="none"/>
        </w:rPr>
      </w:pPr>
      <w:r>
        <w:rPr>
          <w:rFonts w:hint="eastAsia" w:ascii="宋体" w:hAnsi="宋体" w:cs="宋体"/>
          <w:color w:val="000000"/>
          <w:sz w:val="24"/>
          <w:highlight w:val="none"/>
        </w:rPr>
        <w:t>请本项目各方参与主体（招标人代表、代理机构人员、行业主管部门人员等）携带本人身份证，自行佩戴口罩，在交易中心开标等候区进行体温检测并登记。如有发热（体温大于等于37.3℃）、干咳、乏力等不适症状、14天内与新冠肺炎确诊或疑似病例有密切接触、14天内有境外旅居史（港台地区和国外其他国家或地区）、14天内来自或途经新冠肺炎疫情高风险地区、14天内来自或途经新冠肺炎疫情中风险地区（具体的高风险地区、中风险地区以官方实时通报的为准）等应主动回避。</w:t>
      </w:r>
    </w:p>
    <w:p>
      <w:pPr>
        <w:topLinePunct/>
        <w:spacing w:after="25" w:line="300" w:lineRule="auto"/>
        <w:ind w:firstLine="480" w:firstLineChars="200"/>
        <w:outlineLvl w:val="2"/>
        <w:rPr>
          <w:rFonts w:hint="eastAsia" w:eastAsia="黑体"/>
          <w:bCs/>
          <w:sz w:val="24"/>
          <w:highlight w:val="none"/>
        </w:rPr>
      </w:pPr>
      <w:r>
        <w:rPr>
          <w:rFonts w:hint="eastAsia" w:eastAsia="黑体"/>
          <w:bCs/>
          <w:sz w:val="24"/>
          <w:highlight w:val="none"/>
        </w:rPr>
        <w:t>6.</w:t>
      </w:r>
      <w:r>
        <w:rPr>
          <w:rFonts w:eastAsia="黑体"/>
          <w:bCs/>
          <w:sz w:val="24"/>
          <w:highlight w:val="none"/>
        </w:rPr>
        <w:t>发布公告的媒介</w:t>
      </w:r>
    </w:p>
    <w:p>
      <w:pPr>
        <w:snapToGrid w:val="0"/>
        <w:spacing w:after="25" w:line="300" w:lineRule="auto"/>
        <w:ind w:firstLine="480" w:firstLineChars="200"/>
        <w:rPr>
          <w:rFonts w:ascii="宋体" w:hAnsi="宋体"/>
          <w:sz w:val="24"/>
          <w:highlight w:val="none"/>
        </w:rPr>
      </w:pPr>
      <w:r>
        <w:rPr>
          <w:rFonts w:hint="eastAsia"/>
          <w:sz w:val="24"/>
          <w:highlight w:val="none"/>
        </w:rPr>
        <w:t>本次招标公告在云南省公共资源交易信息网（网址：http://ggzy.yn.gov.cn）上发布。</w:t>
      </w:r>
    </w:p>
    <w:p>
      <w:pPr>
        <w:topLinePunct/>
        <w:spacing w:after="25" w:line="300" w:lineRule="auto"/>
        <w:ind w:firstLine="480" w:firstLineChars="200"/>
        <w:outlineLvl w:val="2"/>
        <w:rPr>
          <w:rFonts w:eastAsia="黑体"/>
          <w:bCs/>
          <w:sz w:val="24"/>
          <w:highlight w:val="none"/>
        </w:rPr>
      </w:pPr>
      <w:r>
        <w:rPr>
          <w:rFonts w:hint="eastAsia" w:eastAsia="黑体"/>
          <w:bCs/>
          <w:sz w:val="24"/>
          <w:highlight w:val="none"/>
        </w:rPr>
        <w:t>7.</w:t>
      </w:r>
      <w:r>
        <w:rPr>
          <w:rFonts w:eastAsia="黑体"/>
          <w:bCs/>
          <w:sz w:val="24"/>
          <w:highlight w:val="none"/>
        </w:rPr>
        <w:t>联系方式</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招 标 人：云南大昭物资有限公司</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地    址：云南省昭通市昭阳区龙韵雅苑29栋17楼</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邮    编：657000</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电    话：0870-2127756/18314519484</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传    真：0870-2127756</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联 系 人：李朝栋</w:t>
      </w:r>
    </w:p>
    <w:p>
      <w:pPr>
        <w:snapToGrid w:val="0"/>
        <w:spacing w:line="300" w:lineRule="auto"/>
        <w:ind w:firstLine="480" w:firstLineChars="200"/>
        <w:rPr>
          <w:rFonts w:hint="eastAsia" w:ascii="宋体" w:hAnsi="宋体" w:cs="宋体"/>
          <w:sz w:val="24"/>
          <w:highlight w:val="none"/>
        </w:rPr>
      </w:pP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招标代理机构：华杰工程咨询有限公司</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地    址：北京市朝阳区安苑路20号世纪兴源大厦8层</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邮政编码：100029</w:t>
      </w:r>
    </w:p>
    <w:p>
      <w:pPr>
        <w:snapToGrid w:val="0"/>
        <w:spacing w:line="30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联 系 人：郭蝉锋</w:t>
      </w:r>
      <w:r>
        <w:rPr>
          <w:rFonts w:hint="eastAsia" w:ascii="宋体" w:hAnsi="宋体" w:cs="宋体"/>
          <w:sz w:val="24"/>
          <w:highlight w:val="none"/>
          <w:lang w:eastAsia="zh-CN"/>
        </w:rPr>
        <w:t>、</w:t>
      </w:r>
      <w:r>
        <w:rPr>
          <w:rFonts w:hint="eastAsia" w:ascii="宋体" w:hAnsi="宋体" w:cs="宋体"/>
          <w:sz w:val="24"/>
          <w:highlight w:val="none"/>
          <w:lang w:val="en-US" w:eastAsia="zh-CN"/>
        </w:rPr>
        <w:t>赵特</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电    话：010-64997351</w:t>
      </w:r>
    </w:p>
    <w:p>
      <w:pPr>
        <w:snapToGrid w:val="0"/>
        <w:spacing w:line="300" w:lineRule="auto"/>
        <w:ind w:firstLine="480" w:firstLineChars="200"/>
        <w:rPr>
          <w:rFonts w:hint="eastAsia" w:ascii="宋体" w:hAnsi="宋体" w:cs="宋体"/>
          <w:sz w:val="24"/>
          <w:highlight w:val="none"/>
        </w:rPr>
      </w:pPr>
      <w:r>
        <w:rPr>
          <w:rFonts w:hint="eastAsia" w:ascii="宋体" w:hAnsi="宋体" w:cs="宋体"/>
          <w:sz w:val="24"/>
          <w:highlight w:val="none"/>
        </w:rPr>
        <w:t>传    真：010-64997367</w:t>
      </w:r>
    </w:p>
    <w:p>
      <w:pPr>
        <w:pStyle w:val="2"/>
        <w:rPr>
          <w:sz w:val="24"/>
          <w:highlight w:val="none"/>
        </w:rPr>
      </w:pPr>
      <w:r>
        <w:rPr>
          <w:rFonts w:hint="eastAsia" w:ascii="宋体" w:hAnsi="宋体" w:cs="宋体"/>
          <w:sz w:val="24"/>
          <w:highlight w:val="none"/>
        </w:rPr>
        <w:t xml:space="preserve">                                              2022年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9</w:t>
      </w:r>
      <w:r>
        <w:rPr>
          <w:rFonts w:hint="eastAsia" w:ascii="宋体" w:hAnsi="宋体" w:cs="宋体"/>
          <w:sz w:val="24"/>
          <w:highlight w:val="none"/>
        </w:rPr>
        <w:t>日</w:t>
      </w:r>
    </w:p>
    <w:sectPr>
      <w:pgSz w:w="11906" w:h="16838"/>
      <w:pgMar w:top="1440" w:right="850" w:bottom="1440"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kYWM0YmQwNmU0NjAyNGQ3YTA1M2E3YWM3NTVmZjAifQ=="/>
  </w:docVars>
  <w:rsids>
    <w:rsidRoot w:val="00000000"/>
    <w:rsid w:val="04CE10DE"/>
    <w:rsid w:val="09E737A3"/>
    <w:rsid w:val="0E0356BD"/>
    <w:rsid w:val="108753CB"/>
    <w:rsid w:val="110E340F"/>
    <w:rsid w:val="14A170C3"/>
    <w:rsid w:val="171944DE"/>
    <w:rsid w:val="27D715F2"/>
    <w:rsid w:val="287E1436"/>
    <w:rsid w:val="2CCA431B"/>
    <w:rsid w:val="2E7D5703"/>
    <w:rsid w:val="349059E6"/>
    <w:rsid w:val="36B21726"/>
    <w:rsid w:val="40A45A04"/>
    <w:rsid w:val="421A3FE6"/>
    <w:rsid w:val="4B6B63A4"/>
    <w:rsid w:val="4D7F1224"/>
    <w:rsid w:val="4F1162B1"/>
    <w:rsid w:val="522D653C"/>
    <w:rsid w:val="69261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3">
    <w:name w:val="Body Text"/>
    <w:basedOn w:val="1"/>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6882</Words>
  <Characters>8155</Characters>
  <Lines>0</Lines>
  <Paragraphs>0</Paragraphs>
  <TotalTime>36</TotalTime>
  <ScaleCrop>false</ScaleCrop>
  <LinksUpToDate>false</LinksUpToDate>
  <CharactersWithSpaces>8353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2021-11-24T16:24:00Z</dcterms:created>
  <dc:creator>Administrator</dc:creator>
  <cp:lastModifiedBy>赵特</cp:lastModifiedBy>
  <dcterms:modified xsi:type="dcterms:W3CDTF">2022-09-09T02:47:16Z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2E790FE0E2B64EC99BCAAB7AA17D8D1D</vt:lpwstr>
  </property>
</Properties>
</file>